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1CA8" w14:textId="27E0B7D9" w:rsidR="00BF6C94" w:rsidRPr="00C91B40" w:rsidRDefault="002A571C" w:rsidP="008B6633">
      <w:pPr>
        <w:pStyle w:val="1-MainHeading"/>
        <w:spacing w:before="160"/>
        <w:rPr>
          <w:rFonts w:cstheme="minorHAnsi"/>
        </w:rPr>
      </w:pPr>
      <w:bookmarkStart w:id="0" w:name="_Toc219900832"/>
      <w:r w:rsidRPr="00275521">
        <w:rPr>
          <w:rFonts w:cstheme="minorHAnsi"/>
        </w:rPr>
        <w:t>6.10</w:t>
      </w:r>
      <w:r w:rsidR="00163F66" w:rsidRPr="00275521">
        <w:rPr>
          <w:rFonts w:cstheme="minorHAnsi"/>
        </w:rPr>
        <w:tab/>
      </w:r>
      <w:r w:rsidR="00634988" w:rsidRPr="00275521">
        <w:rPr>
          <w:rFonts w:cstheme="minorHAnsi"/>
        </w:rPr>
        <w:t>ODEVIXIBAT</w:t>
      </w:r>
      <w:r w:rsidR="00163F66" w:rsidRPr="00275521">
        <w:rPr>
          <w:rFonts w:cstheme="minorHAnsi"/>
        </w:rPr>
        <w:t>,</w:t>
      </w:r>
      <w:r w:rsidR="00163F66" w:rsidRPr="00275521">
        <w:rPr>
          <w:rFonts w:cstheme="minorHAnsi"/>
        </w:rPr>
        <w:br/>
      </w:r>
      <w:r w:rsidR="00634988" w:rsidRPr="00275521">
        <w:rPr>
          <w:rFonts w:cstheme="minorHAnsi"/>
        </w:rPr>
        <w:t>Capsule 200 micrograms</w:t>
      </w:r>
      <w:r w:rsidR="00163F66" w:rsidRPr="00275521">
        <w:rPr>
          <w:rFonts w:cstheme="minorHAnsi"/>
        </w:rPr>
        <w:t>,</w:t>
      </w:r>
      <w:r w:rsidR="00163F66" w:rsidRPr="00275521">
        <w:rPr>
          <w:rFonts w:cstheme="minorHAnsi"/>
        </w:rPr>
        <w:br/>
      </w:r>
      <w:r w:rsidR="00634988" w:rsidRPr="00275521">
        <w:rPr>
          <w:rFonts w:cstheme="minorHAnsi"/>
        </w:rPr>
        <w:t>Capsule 400 micrograms</w:t>
      </w:r>
      <w:r w:rsidR="00163F66" w:rsidRPr="00275521">
        <w:rPr>
          <w:rFonts w:cstheme="minorHAnsi"/>
        </w:rPr>
        <w:t>,</w:t>
      </w:r>
      <w:r w:rsidR="00634988" w:rsidRPr="00275521">
        <w:rPr>
          <w:rFonts w:cstheme="minorHAnsi"/>
        </w:rPr>
        <w:br/>
        <w:t>Capsule 600 micrograms,</w:t>
      </w:r>
      <w:r w:rsidR="00634988" w:rsidRPr="00275521">
        <w:rPr>
          <w:rFonts w:cstheme="minorHAnsi"/>
        </w:rPr>
        <w:br/>
        <w:t>Capsule 1200 micrograms</w:t>
      </w:r>
      <w:r w:rsidR="00163F66" w:rsidRPr="00275521">
        <w:rPr>
          <w:rFonts w:cstheme="minorHAnsi"/>
        </w:rPr>
        <w:br/>
      </w:r>
      <w:r w:rsidR="00634988" w:rsidRPr="00275521">
        <w:rPr>
          <w:rFonts w:cstheme="minorHAnsi"/>
        </w:rPr>
        <w:t>Bylvay</w:t>
      </w:r>
      <w:r w:rsidR="00B60939" w:rsidRPr="00275521">
        <w:rPr>
          <w:rFonts w:cstheme="minorHAnsi"/>
          <w:vertAlign w:val="superscript"/>
        </w:rPr>
        <w:t>®</w:t>
      </w:r>
      <w:r w:rsidR="004A6040" w:rsidRPr="00275521">
        <w:rPr>
          <w:rFonts w:cstheme="minorHAnsi"/>
        </w:rPr>
        <w:t>,</w:t>
      </w:r>
      <w:r w:rsidR="004A6040" w:rsidRPr="00275521">
        <w:rPr>
          <w:rFonts w:cstheme="minorHAnsi"/>
        </w:rPr>
        <w:br/>
      </w:r>
      <w:r w:rsidR="00634988" w:rsidRPr="00275521">
        <w:rPr>
          <w:rFonts w:cstheme="minorHAnsi"/>
        </w:rPr>
        <w:t>Ipsen PTY LTD</w:t>
      </w:r>
      <w:r w:rsidR="00B60939" w:rsidRPr="00275521">
        <w:rPr>
          <w:rFonts w:cstheme="minorHAnsi"/>
        </w:rPr>
        <w:t>.</w:t>
      </w:r>
      <w:bookmarkEnd w:id="0"/>
    </w:p>
    <w:p w14:paraId="11C00795" w14:textId="3DFB6D23" w:rsidR="00B50DB8" w:rsidRPr="00275521" w:rsidRDefault="00B50DB8" w:rsidP="008B6633">
      <w:pPr>
        <w:pStyle w:val="2-SectionHeading"/>
        <w:spacing w:before="160" w:after="160"/>
        <w:rPr>
          <w:rFonts w:cstheme="minorHAnsi"/>
        </w:rPr>
      </w:pPr>
      <w:bookmarkStart w:id="1" w:name="_Toc219900835"/>
      <w:r w:rsidRPr="00275521">
        <w:rPr>
          <w:rFonts w:cstheme="minorHAnsi"/>
        </w:rPr>
        <w:t xml:space="preserve">Purpose of </w:t>
      </w:r>
      <w:r w:rsidR="00CD7193" w:rsidRPr="00275521">
        <w:rPr>
          <w:rFonts w:cstheme="minorHAnsi"/>
        </w:rPr>
        <w:t>s</w:t>
      </w:r>
      <w:r w:rsidR="00BB3A45" w:rsidRPr="00275521">
        <w:rPr>
          <w:rFonts w:cstheme="minorHAnsi"/>
        </w:rPr>
        <w:t>ubmission</w:t>
      </w:r>
      <w:bookmarkEnd w:id="1"/>
    </w:p>
    <w:p w14:paraId="170BE995" w14:textId="77777777" w:rsidR="00E05979" w:rsidRPr="00275521" w:rsidRDefault="00E05979" w:rsidP="008B6633">
      <w:pPr>
        <w:pStyle w:val="3-BodyText"/>
        <w:spacing w:before="160" w:after="160"/>
        <w:rPr>
          <w:rFonts w:cstheme="minorHAnsi"/>
        </w:rPr>
      </w:pPr>
      <w:r w:rsidRPr="00275521">
        <w:rPr>
          <w:rFonts w:cstheme="minorHAnsi"/>
        </w:rPr>
        <w:t>The Category 2 submission requested a Section 85, Authority Required, Restricted Benefit listing for odevixibat for the treatment of cholestatic pruritus in Alagille syndrome (ALGS) in patients aged six months and older.</w:t>
      </w:r>
    </w:p>
    <w:p w14:paraId="4CA9F838" w14:textId="465A7373" w:rsidR="00E05979" w:rsidRPr="00275521" w:rsidRDefault="00E05979" w:rsidP="008B6633">
      <w:pPr>
        <w:pStyle w:val="3-BodyText"/>
        <w:spacing w:before="160" w:after="160"/>
        <w:rPr>
          <w:rFonts w:cstheme="minorHAnsi"/>
        </w:rPr>
      </w:pPr>
      <w:r w:rsidRPr="00275521">
        <w:rPr>
          <w:rFonts w:cstheme="minorHAnsi"/>
        </w:rPr>
        <w:t>Listing was requested on the basis of a cost-effectiveness analysis versus standard of care (SoC) including biliary diversion surgery (SBD) and liver transplant (LT).</w:t>
      </w:r>
    </w:p>
    <w:p w14:paraId="3718DE61" w14:textId="3743677F" w:rsidR="008B1757" w:rsidRPr="00275521" w:rsidRDefault="00696EF9" w:rsidP="008B6633">
      <w:pPr>
        <w:pStyle w:val="TableFigureHeading"/>
        <w:rPr>
          <w:rStyle w:val="CommentReference"/>
          <w:b/>
          <w:szCs w:val="24"/>
        </w:rPr>
      </w:pPr>
      <w:bookmarkStart w:id="2" w:name="_Ref226357999"/>
      <w:r w:rsidRPr="00275521">
        <w:t xml:space="preserve">Table </w:t>
      </w:r>
      <w:fldSimple w:instr=" SEQ Table \* ARABIC ">
        <w:r w:rsidR="0060088A">
          <w:rPr>
            <w:noProof/>
          </w:rPr>
          <w:t>1</w:t>
        </w:r>
      </w:fldSimple>
      <w:bookmarkEnd w:id="2"/>
      <w:r w:rsidRPr="00275521">
        <w:t>:</w:t>
      </w:r>
      <w:r w:rsidR="00BC591F" w:rsidRPr="00275521">
        <w:rPr>
          <w:rStyle w:val="CommentReference"/>
          <w:b/>
          <w:szCs w:val="24"/>
        </w:rPr>
        <w:t xml:space="preserve"> </w:t>
      </w:r>
      <w:r w:rsidR="008B1757" w:rsidRPr="00275521">
        <w:rPr>
          <w:rStyle w:val="CommentReference"/>
          <w:b/>
          <w:szCs w:val="24"/>
        </w:rPr>
        <w:t>Key components of the clinical issue addressed by the submission</w:t>
      </w:r>
      <w:r w:rsidR="007170DA" w:rsidRPr="00275521">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Pr>
      <w:tblGrid>
        <w:gridCol w:w="1666"/>
        <w:gridCol w:w="7351"/>
      </w:tblGrid>
      <w:tr w:rsidR="003965B6" w:rsidRPr="00275521" w14:paraId="569F5103" w14:textId="77777777" w:rsidTr="002A2ADE">
        <w:trPr>
          <w:cantSplit/>
          <w:tblHeader/>
        </w:trPr>
        <w:tc>
          <w:tcPr>
            <w:tcW w:w="924" w:type="pct"/>
          </w:tcPr>
          <w:p w14:paraId="501803FB" w14:textId="77777777" w:rsidR="008B1757" w:rsidRPr="00275521" w:rsidRDefault="008B1757" w:rsidP="008B6633">
            <w:pPr>
              <w:pStyle w:val="In-tableHeading"/>
              <w:rPr>
                <w:szCs w:val="20"/>
                <w:lang w:val="en-AU"/>
              </w:rPr>
            </w:pPr>
            <w:r w:rsidRPr="00275521">
              <w:rPr>
                <w:lang w:val="en-AU"/>
              </w:rPr>
              <w:t>Component</w:t>
            </w:r>
          </w:p>
        </w:tc>
        <w:tc>
          <w:tcPr>
            <w:tcW w:w="4076" w:type="pct"/>
          </w:tcPr>
          <w:p w14:paraId="445D9EBB" w14:textId="77777777" w:rsidR="008B1757" w:rsidRPr="00275521" w:rsidRDefault="008B1757" w:rsidP="008B6633">
            <w:pPr>
              <w:pStyle w:val="In-tableHeading"/>
              <w:rPr>
                <w:lang w:val="en-AU"/>
              </w:rPr>
            </w:pPr>
            <w:r w:rsidRPr="00275521">
              <w:rPr>
                <w:lang w:val="en-AU"/>
              </w:rPr>
              <w:t>Description</w:t>
            </w:r>
          </w:p>
        </w:tc>
      </w:tr>
      <w:tr w:rsidR="003965B6" w:rsidRPr="00275521" w14:paraId="2EB546E2" w14:textId="77777777">
        <w:trPr>
          <w:cantSplit/>
        </w:trPr>
        <w:tc>
          <w:tcPr>
            <w:tcW w:w="924" w:type="pct"/>
          </w:tcPr>
          <w:p w14:paraId="38F3BB34" w14:textId="77777777" w:rsidR="00E05979" w:rsidRPr="00275521" w:rsidRDefault="00E05979" w:rsidP="008B6633">
            <w:pPr>
              <w:pStyle w:val="TableText0"/>
            </w:pPr>
            <w:r w:rsidRPr="00275521">
              <w:t>Population</w:t>
            </w:r>
          </w:p>
        </w:tc>
        <w:tc>
          <w:tcPr>
            <w:tcW w:w="4076" w:type="pct"/>
            <w:vAlign w:val="center"/>
          </w:tcPr>
          <w:p w14:paraId="79618EEE" w14:textId="05E03F01" w:rsidR="00E05979" w:rsidRPr="00275521" w:rsidRDefault="00E05979" w:rsidP="008B6633">
            <w:pPr>
              <w:pStyle w:val="TableText0"/>
            </w:pPr>
            <w:r w:rsidRPr="00275521">
              <w:t>Patients with cholestatic pruritus in Alagille Syndrome (ALGS)</w:t>
            </w:r>
            <w:r w:rsidR="000A6644" w:rsidRPr="00275521">
              <w:t>.</w:t>
            </w:r>
          </w:p>
        </w:tc>
      </w:tr>
      <w:tr w:rsidR="003965B6" w:rsidRPr="00275521" w14:paraId="0CA523AF" w14:textId="77777777">
        <w:trPr>
          <w:cantSplit/>
        </w:trPr>
        <w:tc>
          <w:tcPr>
            <w:tcW w:w="924" w:type="pct"/>
          </w:tcPr>
          <w:p w14:paraId="7B6D20D8" w14:textId="77777777" w:rsidR="00E05979" w:rsidRPr="00275521" w:rsidRDefault="00E05979" w:rsidP="008B6633">
            <w:pPr>
              <w:pStyle w:val="TableText0"/>
            </w:pPr>
            <w:r w:rsidRPr="00275521">
              <w:t>Intervention</w:t>
            </w:r>
          </w:p>
        </w:tc>
        <w:tc>
          <w:tcPr>
            <w:tcW w:w="4076" w:type="pct"/>
            <w:vAlign w:val="center"/>
          </w:tcPr>
          <w:p w14:paraId="2491E905" w14:textId="3F6E1500" w:rsidR="00E05979" w:rsidRPr="00275521" w:rsidRDefault="00E05979" w:rsidP="008B6633">
            <w:pPr>
              <w:pStyle w:val="TableText0"/>
            </w:pPr>
            <w:r w:rsidRPr="00275521">
              <w:t>Odevixibat 120 µg/kg administered orally once daily in the morning. Dose reduction to 40 µg/kg/day may be considered if tolerability issues occur in the absence of other causes.</w:t>
            </w:r>
          </w:p>
        </w:tc>
      </w:tr>
      <w:tr w:rsidR="003965B6" w:rsidRPr="00275521" w14:paraId="0F81EBE4" w14:textId="77777777">
        <w:trPr>
          <w:cantSplit/>
        </w:trPr>
        <w:tc>
          <w:tcPr>
            <w:tcW w:w="924" w:type="pct"/>
          </w:tcPr>
          <w:p w14:paraId="3656B343" w14:textId="77777777" w:rsidR="00E05979" w:rsidRPr="00275521" w:rsidRDefault="00E05979" w:rsidP="008B6633">
            <w:pPr>
              <w:pStyle w:val="TableText0"/>
            </w:pPr>
            <w:r w:rsidRPr="00275521">
              <w:t>Comparator</w:t>
            </w:r>
          </w:p>
        </w:tc>
        <w:tc>
          <w:tcPr>
            <w:tcW w:w="4076" w:type="pct"/>
            <w:vAlign w:val="center"/>
          </w:tcPr>
          <w:p w14:paraId="3727DE24" w14:textId="698A8FD1" w:rsidR="00E05979" w:rsidRPr="00275521" w:rsidRDefault="00E05979" w:rsidP="008B6633">
            <w:pPr>
              <w:pStyle w:val="TableText0"/>
            </w:pPr>
            <w:r w:rsidRPr="00275521">
              <w:t>Standard of care (SoC) including biliary diversion surgery (SBD) and liver transplant (LT)</w:t>
            </w:r>
            <w:r w:rsidR="000A6644" w:rsidRPr="00275521">
              <w:t>.</w:t>
            </w:r>
          </w:p>
        </w:tc>
      </w:tr>
      <w:tr w:rsidR="003965B6" w:rsidRPr="00275521" w14:paraId="02F86F0D" w14:textId="77777777">
        <w:trPr>
          <w:cantSplit/>
        </w:trPr>
        <w:tc>
          <w:tcPr>
            <w:tcW w:w="924" w:type="pct"/>
          </w:tcPr>
          <w:p w14:paraId="06433105" w14:textId="77777777" w:rsidR="00E05979" w:rsidRPr="00275521" w:rsidRDefault="00E05979" w:rsidP="008B6633">
            <w:pPr>
              <w:pStyle w:val="TableText0"/>
            </w:pPr>
            <w:r w:rsidRPr="00275521">
              <w:t>Outcomes</w:t>
            </w:r>
          </w:p>
        </w:tc>
        <w:tc>
          <w:tcPr>
            <w:tcW w:w="4076" w:type="pct"/>
            <w:vAlign w:val="center"/>
          </w:tcPr>
          <w:p w14:paraId="5ABC4037" w14:textId="11CD0BF9" w:rsidR="00E05979" w:rsidRPr="00275521" w:rsidRDefault="00E05979" w:rsidP="008B6633">
            <w:pPr>
              <w:pStyle w:val="TableText0"/>
              <w:rPr>
                <w:snapToGrid w:val="0"/>
              </w:rPr>
            </w:pPr>
            <w:r w:rsidRPr="00275521">
              <w:t>Pruritus response, serum bile acid (sBA) response, sleep parameters, growth parameters, quality of life and safety.</w:t>
            </w:r>
          </w:p>
        </w:tc>
      </w:tr>
      <w:tr w:rsidR="003965B6" w:rsidRPr="00275521" w14:paraId="22223890" w14:textId="77777777">
        <w:trPr>
          <w:cantSplit/>
        </w:trPr>
        <w:tc>
          <w:tcPr>
            <w:tcW w:w="924" w:type="pct"/>
          </w:tcPr>
          <w:p w14:paraId="0FC8FCE0" w14:textId="77777777" w:rsidR="00E05979" w:rsidRPr="00275521" w:rsidRDefault="00E05979" w:rsidP="008B6633">
            <w:pPr>
              <w:pStyle w:val="TableText0"/>
            </w:pPr>
            <w:r w:rsidRPr="00275521">
              <w:t>Clinical claim</w:t>
            </w:r>
          </w:p>
        </w:tc>
        <w:tc>
          <w:tcPr>
            <w:tcW w:w="4076" w:type="pct"/>
            <w:vAlign w:val="center"/>
          </w:tcPr>
          <w:p w14:paraId="02510E07" w14:textId="6C049A87" w:rsidR="00E05979" w:rsidRPr="00275521" w:rsidRDefault="00E05979" w:rsidP="008B6633">
            <w:pPr>
              <w:pStyle w:val="TableText0"/>
            </w:pPr>
            <w:r w:rsidRPr="00275521">
              <w:t>Superiority in terms of efficacy (pruritus response, sBA response and sleep parameters)</w:t>
            </w:r>
            <w:r w:rsidR="000A6644" w:rsidRPr="00275521">
              <w:t>.</w:t>
            </w:r>
          </w:p>
          <w:p w14:paraId="2C99C4DE" w14:textId="3D447FEB" w:rsidR="00E05979" w:rsidRPr="00275521" w:rsidRDefault="00E05979" w:rsidP="008B6633">
            <w:pPr>
              <w:pStyle w:val="TableText0"/>
              <w:rPr>
                <w:snapToGrid w:val="0"/>
              </w:rPr>
            </w:pPr>
            <w:r w:rsidRPr="00275521">
              <w:t>Non-inferiority in terms of safety</w:t>
            </w:r>
            <w:r w:rsidR="000A6644" w:rsidRPr="00275521">
              <w:t>.</w:t>
            </w:r>
          </w:p>
        </w:tc>
      </w:tr>
    </w:tbl>
    <w:p w14:paraId="527CA7F0" w14:textId="2C1A6D75" w:rsidR="004E43B2" w:rsidRPr="00275521" w:rsidRDefault="008B1757" w:rsidP="008B6633">
      <w:pPr>
        <w:pStyle w:val="FooterTableFigure"/>
        <w:spacing w:after="0"/>
        <w:rPr>
          <w:sz w:val="20"/>
        </w:rPr>
      </w:pPr>
      <w:r w:rsidRPr="00275521">
        <w:t xml:space="preserve">Source: </w:t>
      </w:r>
      <w:r w:rsidR="00E05979" w:rsidRPr="00275521">
        <w:t>Table 1-1, p14, p24 and p10</w:t>
      </w:r>
      <w:r w:rsidR="00055D4D" w:rsidRPr="00275521">
        <w:t>5</w:t>
      </w:r>
      <w:r w:rsidR="00E05979" w:rsidRPr="00275521">
        <w:t xml:space="preserve"> of the submission.</w:t>
      </w:r>
    </w:p>
    <w:p w14:paraId="6B4AB6C2" w14:textId="7F01D731" w:rsidR="005C25FF" w:rsidRPr="00275521" w:rsidRDefault="005C25FF" w:rsidP="008B6633">
      <w:pPr>
        <w:pStyle w:val="2-SectionHeading"/>
        <w:spacing w:before="160" w:after="160"/>
        <w:rPr>
          <w:rFonts w:cstheme="minorHAnsi"/>
        </w:rPr>
      </w:pPr>
      <w:bookmarkStart w:id="3" w:name="_Toc219900836"/>
      <w:r w:rsidRPr="00275521">
        <w:rPr>
          <w:rFonts w:cstheme="minorHAnsi"/>
        </w:rPr>
        <w:t>Background</w:t>
      </w:r>
      <w:bookmarkEnd w:id="3"/>
    </w:p>
    <w:p w14:paraId="2C521D6D" w14:textId="78CF03EE" w:rsidR="005C25FF" w:rsidRPr="00275521" w:rsidRDefault="005C25FF" w:rsidP="008B6633">
      <w:pPr>
        <w:pStyle w:val="4-SubsectionHeading"/>
      </w:pPr>
      <w:bookmarkStart w:id="4" w:name="_Toc22897638"/>
      <w:bookmarkStart w:id="5" w:name="_Toc219900837"/>
      <w:r w:rsidRPr="00275521">
        <w:t>Registration status</w:t>
      </w:r>
      <w:bookmarkEnd w:id="4"/>
      <w:bookmarkEnd w:id="5"/>
    </w:p>
    <w:p w14:paraId="7AB0A249" w14:textId="29AF0ABE" w:rsidR="00BD27D4" w:rsidRPr="00627F06" w:rsidRDefault="00BD27D4" w:rsidP="008B6633">
      <w:pPr>
        <w:pStyle w:val="3-BodyText"/>
        <w:spacing w:before="160"/>
        <w:rPr>
          <w:rFonts w:cstheme="minorHAnsi"/>
        </w:rPr>
      </w:pPr>
      <w:r w:rsidRPr="00627F06">
        <w:rPr>
          <w:rFonts w:cstheme="minorHAnsi"/>
        </w:rPr>
        <w:t xml:space="preserve">Odevixibat is not Therapeutic Goods Administration (TGA) registered for the treatment of ALGS. The submission was made under the TGA/Pharmaceutical Benefits Advisory Committee (PBAC) Parallel Process. The application has been submitted under the Comparable Overseas Regulator (COR) pathway. However, at the time of evaluation, confirmation of the acceptability of inclusion within the COR pathway was pending. This confirmation, along with the evaluation plan (including expected time frames for related TGA documents), and outcome of the first-round evaluation </w:t>
      </w:r>
      <w:r w:rsidR="00925FAB">
        <w:rPr>
          <w:rFonts w:cstheme="minorHAnsi"/>
        </w:rPr>
        <w:t>was</w:t>
      </w:r>
      <w:r w:rsidR="00925FAB" w:rsidRPr="00627F06">
        <w:rPr>
          <w:rFonts w:cstheme="minorHAnsi"/>
        </w:rPr>
        <w:t xml:space="preserve"> </w:t>
      </w:r>
      <w:r w:rsidR="00AB176D">
        <w:rPr>
          <w:rFonts w:cstheme="minorHAnsi"/>
        </w:rPr>
        <w:t>not available at the time of PBAC consideration</w:t>
      </w:r>
      <w:r w:rsidRPr="00627F06">
        <w:rPr>
          <w:rFonts w:cstheme="minorHAnsi"/>
        </w:rPr>
        <w:t>.</w:t>
      </w:r>
    </w:p>
    <w:p w14:paraId="19AEC823" w14:textId="4F939AA0" w:rsidR="000A6644" w:rsidRPr="00AD5D0D" w:rsidRDefault="00055D4D" w:rsidP="008B6633">
      <w:pPr>
        <w:pStyle w:val="3-BodyText"/>
        <w:spacing w:before="160"/>
        <w:rPr>
          <w:rFonts w:cstheme="minorHAnsi"/>
        </w:rPr>
      </w:pPr>
      <w:r w:rsidRPr="008F5F30">
        <w:rPr>
          <w:rFonts w:cstheme="minorHAnsi"/>
        </w:rPr>
        <w:t xml:space="preserve">Odevixibat was TGA registered in March 2025 for the treatment of </w:t>
      </w:r>
      <w:r w:rsidR="00B452ED" w:rsidRPr="008F5F30">
        <w:rPr>
          <w:rFonts w:cstheme="minorHAnsi"/>
        </w:rPr>
        <w:t>Progressive Familial Intrahepatic Cholestasis</w:t>
      </w:r>
      <w:r w:rsidR="00391A3C" w:rsidRPr="008F5F30">
        <w:rPr>
          <w:rFonts w:cstheme="minorHAnsi"/>
        </w:rPr>
        <w:t xml:space="preserve"> (</w:t>
      </w:r>
      <w:r w:rsidRPr="008F5F30">
        <w:rPr>
          <w:rFonts w:cstheme="minorHAnsi"/>
        </w:rPr>
        <w:t>PFIC</w:t>
      </w:r>
      <w:r w:rsidR="00391A3C" w:rsidRPr="008F5F30">
        <w:rPr>
          <w:rFonts w:cstheme="minorHAnsi"/>
        </w:rPr>
        <w:t>)</w:t>
      </w:r>
      <w:r w:rsidRPr="008F5F30">
        <w:rPr>
          <w:rFonts w:cstheme="minorHAnsi"/>
        </w:rPr>
        <w:t xml:space="preserve"> in patients aged six months or </w:t>
      </w:r>
      <w:r w:rsidR="0004289B" w:rsidRPr="008F5F30">
        <w:rPr>
          <w:rFonts w:cstheme="minorHAnsi"/>
        </w:rPr>
        <w:t>older and</w:t>
      </w:r>
      <w:r w:rsidRPr="008F5F30">
        <w:rPr>
          <w:rFonts w:cstheme="minorHAnsi"/>
        </w:rPr>
        <w:t xml:space="preserve"> was </w:t>
      </w:r>
      <w:r w:rsidRPr="008F5F30">
        <w:rPr>
          <w:rFonts w:cstheme="minorHAnsi"/>
        </w:rPr>
        <w:lastRenderedPageBreak/>
        <w:t>recommended by the PBAC for the treatment of PFIC at the July 2025 PBAC meeting</w:t>
      </w:r>
      <w:r w:rsidR="00305D88" w:rsidRPr="008F5F30">
        <w:rPr>
          <w:rFonts w:cstheme="minorHAnsi"/>
        </w:rPr>
        <w:t xml:space="preserve"> and listed on the PBS on 1 January 2026</w:t>
      </w:r>
      <w:r w:rsidRPr="008F5F30">
        <w:rPr>
          <w:rFonts w:cstheme="minorHAnsi"/>
        </w:rPr>
        <w:t>. Odevixibat is orphan drug designated for the treatment of ALGS and PFIC.</w:t>
      </w:r>
      <w:r w:rsidR="006E643B" w:rsidRPr="008F5F30">
        <w:rPr>
          <w:rFonts w:cstheme="minorHAnsi"/>
        </w:rPr>
        <w:t xml:space="preserve"> </w:t>
      </w:r>
    </w:p>
    <w:p w14:paraId="274BCFDC" w14:textId="27FFC52E" w:rsidR="00C940FE" w:rsidRPr="00EB7944" w:rsidRDefault="00B50DB8" w:rsidP="008B6633">
      <w:pPr>
        <w:pStyle w:val="2-SectionHeading"/>
        <w:spacing w:before="160"/>
        <w:rPr>
          <w:rFonts w:cstheme="minorHAnsi"/>
        </w:rPr>
      </w:pPr>
      <w:bookmarkStart w:id="6" w:name="_Toc107902078"/>
      <w:bookmarkStart w:id="7" w:name="_Toc219900838"/>
      <w:bookmarkEnd w:id="6"/>
      <w:r w:rsidRPr="00275521">
        <w:rPr>
          <w:rFonts w:cstheme="minorHAnsi"/>
        </w:rPr>
        <w:t>Requested listing</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quested listing"/>
      </w:tblPr>
      <w:tblGrid>
        <w:gridCol w:w="3114"/>
        <w:gridCol w:w="992"/>
        <w:gridCol w:w="1134"/>
        <w:gridCol w:w="851"/>
        <w:gridCol w:w="1984"/>
        <w:gridCol w:w="942"/>
      </w:tblGrid>
      <w:tr w:rsidR="005A5829" w:rsidRPr="00275521" w14:paraId="20C1016F" w14:textId="77777777" w:rsidTr="00C414C4">
        <w:trPr>
          <w:cantSplit/>
          <w:trHeight w:val="471"/>
        </w:trPr>
        <w:tc>
          <w:tcPr>
            <w:tcW w:w="3114" w:type="dxa"/>
            <w:tcBorders>
              <w:top w:val="single" w:sz="4" w:space="0" w:color="auto"/>
              <w:left w:val="single" w:sz="4" w:space="0" w:color="auto"/>
              <w:bottom w:val="single" w:sz="4" w:space="0" w:color="auto"/>
              <w:right w:val="single" w:sz="4" w:space="0" w:color="auto"/>
            </w:tcBorders>
            <w:hideMark/>
          </w:tcPr>
          <w:p w14:paraId="5D24FAFD" w14:textId="77777777" w:rsidR="005A5829" w:rsidRPr="00275521" w:rsidRDefault="005A5829" w:rsidP="008B6633">
            <w:pPr>
              <w:keepNext/>
              <w:keepLines/>
              <w:rPr>
                <w:rFonts w:ascii="Arial Narrow" w:hAnsi="Arial Narrow"/>
                <w:b/>
                <w:sz w:val="20"/>
                <w:szCs w:val="20"/>
              </w:rPr>
            </w:pPr>
            <w:bookmarkStart w:id="8" w:name="_Hlk104809082"/>
            <w:r w:rsidRPr="00275521">
              <w:rPr>
                <w:rFonts w:ascii="Arial Narrow" w:hAnsi="Arial Narrow"/>
                <w:b/>
                <w:sz w:val="20"/>
                <w:szCs w:val="20"/>
              </w:rPr>
              <w:t>MEDICINAL PRODUCT</w:t>
            </w:r>
          </w:p>
          <w:p w14:paraId="6EBDB345" w14:textId="77777777" w:rsidR="005A5829" w:rsidRPr="00275521" w:rsidRDefault="005A5829" w:rsidP="008B6633">
            <w:pPr>
              <w:keepNext/>
              <w:keepLines/>
              <w:rPr>
                <w:rFonts w:ascii="Arial Narrow" w:hAnsi="Arial Narrow"/>
                <w:b/>
                <w:sz w:val="20"/>
                <w:szCs w:val="20"/>
              </w:rPr>
            </w:pPr>
            <w:r w:rsidRPr="00275521">
              <w:rPr>
                <w:rFonts w:ascii="Arial Narrow" w:hAnsi="Arial Narrow"/>
                <w:b/>
                <w:sz w:val="20"/>
                <w:szCs w:val="20"/>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7E934577" w14:textId="77777777" w:rsidR="005A5829" w:rsidRPr="00275521" w:rsidRDefault="005A5829" w:rsidP="008B6633">
            <w:pPr>
              <w:keepNext/>
              <w:keepLines/>
              <w:jc w:val="center"/>
              <w:rPr>
                <w:rFonts w:ascii="Arial Narrow" w:hAnsi="Arial Narrow"/>
                <w:b/>
                <w:sz w:val="20"/>
                <w:szCs w:val="20"/>
                <w:vertAlign w:val="superscript"/>
              </w:rPr>
            </w:pPr>
            <w:r w:rsidRPr="00275521">
              <w:rPr>
                <w:rFonts w:ascii="Arial Narrow" w:hAnsi="Arial Narrow"/>
                <w:b/>
                <w:sz w:val="20"/>
                <w:szCs w:val="20"/>
              </w:rPr>
              <w:t>Max. qty packs</w:t>
            </w:r>
          </w:p>
        </w:tc>
        <w:tc>
          <w:tcPr>
            <w:tcW w:w="1134" w:type="dxa"/>
          </w:tcPr>
          <w:p w14:paraId="72DCD98B" w14:textId="0C051001" w:rsidR="005A5829" w:rsidRPr="00275521" w:rsidRDefault="005A5829" w:rsidP="008B6633">
            <w:pPr>
              <w:keepNext/>
              <w:keepLines/>
              <w:jc w:val="center"/>
              <w:rPr>
                <w:rFonts w:ascii="Arial Narrow" w:hAnsi="Arial Narrow"/>
                <w:b/>
                <w:sz w:val="20"/>
                <w:szCs w:val="20"/>
                <w:vertAlign w:val="superscript"/>
              </w:rPr>
            </w:pPr>
            <w:r w:rsidRPr="00275521">
              <w:rPr>
                <w:rFonts w:ascii="Arial Narrow" w:hAnsi="Arial Narrow"/>
                <w:b/>
                <w:sz w:val="20"/>
                <w:szCs w:val="20"/>
              </w:rPr>
              <w:t>Max. qty units</w:t>
            </w:r>
          </w:p>
        </w:tc>
        <w:tc>
          <w:tcPr>
            <w:tcW w:w="851" w:type="dxa"/>
            <w:tcBorders>
              <w:top w:val="single" w:sz="4" w:space="0" w:color="auto"/>
              <w:left w:val="single" w:sz="4" w:space="0" w:color="auto"/>
              <w:bottom w:val="single" w:sz="4" w:space="0" w:color="auto"/>
              <w:right w:val="single" w:sz="4" w:space="0" w:color="auto"/>
            </w:tcBorders>
            <w:hideMark/>
          </w:tcPr>
          <w:p w14:paraId="1D929851" w14:textId="77777777" w:rsidR="005A5829" w:rsidRPr="00275521" w:rsidRDefault="005A5829" w:rsidP="008B6633">
            <w:pPr>
              <w:keepNext/>
              <w:keepLines/>
              <w:jc w:val="center"/>
              <w:rPr>
                <w:rFonts w:ascii="Arial Narrow" w:hAnsi="Arial Narrow"/>
                <w:b/>
                <w:sz w:val="20"/>
                <w:szCs w:val="20"/>
              </w:rPr>
            </w:pPr>
            <w:r w:rsidRPr="00275521">
              <w:rPr>
                <w:rFonts w:ascii="Arial Narrow" w:hAnsi="Arial Narrow"/>
                <w:b/>
                <w:sz w:val="20"/>
                <w:szCs w:val="20"/>
              </w:rPr>
              <w:t>№. of</w:t>
            </w:r>
          </w:p>
          <w:p w14:paraId="1BEA27C8" w14:textId="77777777" w:rsidR="005A5829" w:rsidRPr="00275521" w:rsidRDefault="005A5829" w:rsidP="008B6633">
            <w:pPr>
              <w:keepNext/>
              <w:keepLines/>
              <w:jc w:val="center"/>
              <w:rPr>
                <w:rFonts w:ascii="Arial Narrow" w:hAnsi="Arial Narrow"/>
                <w:b/>
                <w:sz w:val="20"/>
                <w:szCs w:val="20"/>
              </w:rPr>
            </w:pPr>
            <w:r w:rsidRPr="00275521">
              <w:rPr>
                <w:rFonts w:ascii="Arial Narrow" w:hAnsi="Arial Narrow"/>
                <w:b/>
                <w:sz w:val="20"/>
                <w:szCs w:val="20"/>
              </w:rPr>
              <w:t>Rpts</w:t>
            </w:r>
          </w:p>
        </w:tc>
        <w:tc>
          <w:tcPr>
            <w:tcW w:w="1984" w:type="dxa"/>
            <w:tcBorders>
              <w:top w:val="single" w:sz="4" w:space="0" w:color="auto"/>
              <w:left w:val="single" w:sz="4" w:space="0" w:color="auto"/>
              <w:bottom w:val="single" w:sz="4" w:space="0" w:color="auto"/>
              <w:right w:val="single" w:sz="4" w:space="0" w:color="auto"/>
            </w:tcBorders>
            <w:vAlign w:val="center"/>
          </w:tcPr>
          <w:p w14:paraId="0104DAA8" w14:textId="3B1265F2" w:rsidR="005A5829" w:rsidRPr="00275521" w:rsidRDefault="000D63AF" w:rsidP="008B6633">
            <w:pPr>
              <w:keepNext/>
              <w:keepLines/>
              <w:jc w:val="center"/>
              <w:rPr>
                <w:rFonts w:ascii="Arial Narrow" w:hAnsi="Arial Narrow"/>
                <w:b/>
                <w:sz w:val="20"/>
                <w:szCs w:val="20"/>
                <w:vertAlign w:val="superscript"/>
              </w:rPr>
            </w:pPr>
            <w:r w:rsidRPr="00275521">
              <w:rPr>
                <w:rFonts w:ascii="Arial Narrow" w:hAnsi="Arial Narrow"/>
                <w:b/>
                <w:sz w:val="20"/>
                <w:szCs w:val="20"/>
              </w:rPr>
              <w:t>DPMQ</w:t>
            </w:r>
          </w:p>
        </w:tc>
        <w:tc>
          <w:tcPr>
            <w:tcW w:w="942" w:type="dxa"/>
            <w:tcBorders>
              <w:top w:val="single" w:sz="4" w:space="0" w:color="auto"/>
              <w:left w:val="single" w:sz="4" w:space="0" w:color="auto"/>
              <w:bottom w:val="single" w:sz="4" w:space="0" w:color="auto"/>
              <w:right w:val="single" w:sz="4" w:space="0" w:color="auto"/>
            </w:tcBorders>
            <w:hideMark/>
          </w:tcPr>
          <w:p w14:paraId="32451EF2" w14:textId="77777777" w:rsidR="005A5829" w:rsidRPr="00275521" w:rsidRDefault="005A5829" w:rsidP="008B6633">
            <w:pPr>
              <w:keepNext/>
              <w:keepLines/>
              <w:rPr>
                <w:rFonts w:ascii="Arial Narrow" w:hAnsi="Arial Narrow"/>
                <w:b/>
                <w:sz w:val="20"/>
                <w:szCs w:val="20"/>
              </w:rPr>
            </w:pPr>
            <w:r w:rsidRPr="00275521">
              <w:rPr>
                <w:rFonts w:ascii="Arial Narrow" w:hAnsi="Arial Narrow"/>
                <w:b/>
                <w:sz w:val="20"/>
                <w:szCs w:val="20"/>
              </w:rPr>
              <w:t>Available brands</w:t>
            </w:r>
          </w:p>
        </w:tc>
      </w:tr>
      <w:tr w:rsidR="005A5829" w:rsidRPr="00275521" w14:paraId="21EBEA99" w14:textId="77777777" w:rsidTr="00C414C4">
        <w:trPr>
          <w:cantSplit/>
          <w:trHeight w:val="419"/>
        </w:trPr>
        <w:tc>
          <w:tcPr>
            <w:tcW w:w="3114" w:type="dxa"/>
            <w:tcBorders>
              <w:top w:val="single" w:sz="4" w:space="0" w:color="auto"/>
              <w:left w:val="single" w:sz="4" w:space="0" w:color="auto"/>
              <w:bottom w:val="single" w:sz="4" w:space="0" w:color="auto"/>
              <w:right w:val="single" w:sz="4" w:space="0" w:color="auto"/>
            </w:tcBorders>
          </w:tcPr>
          <w:p w14:paraId="2760C44C" w14:textId="1496AD84" w:rsidR="005A5829" w:rsidRPr="00275521" w:rsidRDefault="005A5829" w:rsidP="008B6633">
            <w:pPr>
              <w:keepNext/>
              <w:keepLines/>
              <w:jc w:val="left"/>
              <w:rPr>
                <w:rFonts w:ascii="Arial Narrow" w:hAnsi="Arial Narrow"/>
                <w:sz w:val="20"/>
                <w:szCs w:val="20"/>
              </w:rPr>
            </w:pPr>
            <w:r w:rsidRPr="00275521">
              <w:rPr>
                <w:rFonts w:ascii="Arial Narrow" w:hAnsi="Arial Narrow"/>
                <w:sz w:val="20"/>
                <w:szCs w:val="20"/>
              </w:rPr>
              <w:t>Odevixibat</w:t>
            </w:r>
            <w:r w:rsidR="008B6633">
              <w:rPr>
                <w:rFonts w:ascii="Arial Narrow" w:hAnsi="Arial Narrow"/>
                <w:sz w:val="20"/>
                <w:szCs w:val="20"/>
              </w:rPr>
              <w:t xml:space="preserve"> </w:t>
            </w:r>
          </w:p>
          <w:p w14:paraId="465765F2" w14:textId="77777777" w:rsidR="005A5829" w:rsidRPr="00275521" w:rsidRDefault="005A5829" w:rsidP="008B6633">
            <w:pPr>
              <w:keepNext/>
              <w:keepLines/>
              <w:jc w:val="left"/>
              <w:rPr>
                <w:rFonts w:ascii="Arial Narrow" w:hAnsi="Arial Narrow"/>
                <w:sz w:val="20"/>
                <w:szCs w:val="20"/>
              </w:rPr>
            </w:pPr>
            <w:r w:rsidRPr="00275521">
              <w:rPr>
                <w:rFonts w:ascii="Arial Narrow" w:hAnsi="Arial Narrow"/>
                <w:sz w:val="20"/>
                <w:szCs w:val="20"/>
              </w:rPr>
              <w:t>200 micrograms capsules bottle</w:t>
            </w:r>
          </w:p>
        </w:tc>
        <w:tc>
          <w:tcPr>
            <w:tcW w:w="992" w:type="dxa"/>
            <w:tcBorders>
              <w:top w:val="single" w:sz="4" w:space="0" w:color="auto"/>
              <w:left w:val="single" w:sz="4" w:space="0" w:color="auto"/>
              <w:bottom w:val="single" w:sz="4" w:space="0" w:color="auto"/>
              <w:right w:val="single" w:sz="4" w:space="0" w:color="auto"/>
            </w:tcBorders>
            <w:vAlign w:val="center"/>
          </w:tcPr>
          <w:p w14:paraId="21EEDE4E"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12</w:t>
            </w:r>
          </w:p>
        </w:tc>
        <w:tc>
          <w:tcPr>
            <w:tcW w:w="1134" w:type="dxa"/>
            <w:vAlign w:val="center"/>
          </w:tcPr>
          <w:p w14:paraId="63D308FC" w14:textId="77777777" w:rsidR="005A5829" w:rsidRPr="00862021" w:rsidRDefault="005A5829" w:rsidP="008B6633">
            <w:pPr>
              <w:keepNext/>
              <w:keepLines/>
              <w:jc w:val="center"/>
              <w:rPr>
                <w:rFonts w:ascii="Arial Narrow" w:hAnsi="Arial Narrow"/>
                <w:sz w:val="20"/>
                <w:szCs w:val="20"/>
              </w:rPr>
            </w:pPr>
            <w:r w:rsidRPr="00862021">
              <w:rPr>
                <w:rFonts w:ascii="Arial Narrow" w:hAnsi="Arial Narrow"/>
                <w:sz w:val="20"/>
                <w:szCs w:val="20"/>
              </w:rPr>
              <w:t>360</w:t>
            </w:r>
          </w:p>
        </w:tc>
        <w:tc>
          <w:tcPr>
            <w:tcW w:w="851" w:type="dxa"/>
            <w:tcBorders>
              <w:top w:val="single" w:sz="4" w:space="0" w:color="auto"/>
              <w:left w:val="single" w:sz="4" w:space="0" w:color="auto"/>
              <w:bottom w:val="single" w:sz="4" w:space="0" w:color="auto"/>
              <w:right w:val="single" w:sz="4" w:space="0" w:color="auto"/>
            </w:tcBorders>
            <w:vAlign w:val="center"/>
          </w:tcPr>
          <w:p w14:paraId="320CA3A8"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5</w:t>
            </w:r>
          </w:p>
        </w:tc>
        <w:tc>
          <w:tcPr>
            <w:tcW w:w="1984" w:type="dxa"/>
            <w:tcBorders>
              <w:top w:val="single" w:sz="4" w:space="0" w:color="auto"/>
              <w:left w:val="single" w:sz="4" w:space="0" w:color="auto"/>
              <w:bottom w:val="single" w:sz="4" w:space="0" w:color="auto"/>
              <w:right w:val="single" w:sz="4" w:space="0" w:color="auto"/>
            </w:tcBorders>
          </w:tcPr>
          <w:p w14:paraId="29EF4464" w14:textId="4BDDCEAE" w:rsidR="005A5829" w:rsidRPr="00275521" w:rsidRDefault="005A5829" w:rsidP="008B6633">
            <w:pPr>
              <w:keepNext/>
              <w:keepLines/>
              <w:rPr>
                <w:rFonts w:ascii="Arial Narrow" w:hAnsi="Arial Narrow"/>
                <w:sz w:val="20"/>
                <w:szCs w:val="20"/>
              </w:rPr>
            </w:pPr>
            <w:r w:rsidRPr="00275521">
              <w:rPr>
                <w:rFonts w:ascii="Arial Narrow" w:hAnsi="Arial Narrow"/>
                <w:sz w:val="20"/>
                <w:szCs w:val="20"/>
              </w:rPr>
              <w:t>Published: $</w:t>
            </w:r>
            <w:r w:rsidR="000D63AF" w:rsidRPr="00275521">
              <w:rPr>
                <w:rFonts w:ascii="Arial Narrow" w:hAnsi="Arial Narrow"/>
                <w:sz w:val="20"/>
                <w:szCs w:val="20"/>
              </w:rPr>
              <w:t>67,122.93</w:t>
            </w:r>
          </w:p>
          <w:p w14:paraId="5B1F7A6E" w14:textId="225B1B59" w:rsidR="005A5829" w:rsidRPr="00275521" w:rsidRDefault="005A5829" w:rsidP="008B6633">
            <w:pPr>
              <w:keepNext/>
              <w:keepLines/>
              <w:rPr>
                <w:rFonts w:ascii="Arial Narrow" w:hAnsi="Arial Narrow"/>
                <w:sz w:val="20"/>
                <w:szCs w:val="20"/>
              </w:rPr>
            </w:pPr>
            <w:r w:rsidRPr="00275521">
              <w:rPr>
                <w:rFonts w:ascii="Arial Narrow" w:hAnsi="Arial Narrow"/>
                <w:sz w:val="20"/>
                <w:szCs w:val="20"/>
              </w:rPr>
              <w:t xml:space="preserve">Effective: </w:t>
            </w:r>
            <w:r w:rsidRPr="009B6E51">
              <w:rPr>
                <w:rFonts w:ascii="Arial Narrow" w:hAnsi="Arial Narrow"/>
                <w:sz w:val="20"/>
                <w:szCs w:val="20"/>
              </w:rPr>
              <w:t>$</w:t>
            </w:r>
            <w:r w:rsidR="006C4DC1" w:rsidRPr="006C4DC1">
              <w:rPr>
                <w:rFonts w:ascii="Arial Narrow" w:hAnsi="Arial Narrow"/>
                <w:sz w:val="2"/>
                <w:szCs w:val="20"/>
                <w:highlight w:val="black"/>
              </w:rPr>
              <w:t>redacted content</w:t>
            </w:r>
          </w:p>
        </w:tc>
        <w:tc>
          <w:tcPr>
            <w:tcW w:w="942" w:type="dxa"/>
            <w:tcBorders>
              <w:top w:val="single" w:sz="4" w:space="0" w:color="auto"/>
              <w:left w:val="single" w:sz="4" w:space="0" w:color="auto"/>
              <w:bottom w:val="single" w:sz="4" w:space="0" w:color="auto"/>
              <w:right w:val="single" w:sz="4" w:space="0" w:color="auto"/>
            </w:tcBorders>
            <w:vAlign w:val="center"/>
          </w:tcPr>
          <w:p w14:paraId="61A8C073"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Bylvay</w:t>
            </w:r>
          </w:p>
        </w:tc>
      </w:tr>
      <w:tr w:rsidR="005A5829" w:rsidRPr="00275521" w14:paraId="0AE1D819" w14:textId="77777777" w:rsidTr="00C414C4">
        <w:trPr>
          <w:cantSplit/>
          <w:trHeight w:val="419"/>
        </w:trPr>
        <w:tc>
          <w:tcPr>
            <w:tcW w:w="3114" w:type="dxa"/>
            <w:tcBorders>
              <w:top w:val="single" w:sz="4" w:space="0" w:color="auto"/>
              <w:left w:val="single" w:sz="4" w:space="0" w:color="auto"/>
              <w:bottom w:val="single" w:sz="4" w:space="0" w:color="auto"/>
              <w:right w:val="single" w:sz="4" w:space="0" w:color="auto"/>
            </w:tcBorders>
          </w:tcPr>
          <w:p w14:paraId="7293BBDB" w14:textId="443B45BC" w:rsidR="005A5829" w:rsidRPr="00275521" w:rsidRDefault="005A5829" w:rsidP="008B6633">
            <w:pPr>
              <w:keepNext/>
              <w:keepLines/>
              <w:jc w:val="left"/>
              <w:rPr>
                <w:rFonts w:ascii="Arial Narrow" w:hAnsi="Arial Narrow"/>
                <w:sz w:val="20"/>
                <w:szCs w:val="20"/>
              </w:rPr>
            </w:pPr>
            <w:r w:rsidRPr="00275521">
              <w:rPr>
                <w:rFonts w:ascii="Arial Narrow" w:hAnsi="Arial Narrow"/>
                <w:sz w:val="20"/>
                <w:szCs w:val="20"/>
              </w:rPr>
              <w:t>Odevixibat</w:t>
            </w:r>
            <w:r w:rsidR="008B6633">
              <w:rPr>
                <w:rFonts w:ascii="Arial Narrow" w:hAnsi="Arial Narrow"/>
                <w:sz w:val="20"/>
                <w:szCs w:val="20"/>
              </w:rPr>
              <w:t xml:space="preserve"> </w:t>
            </w:r>
          </w:p>
          <w:p w14:paraId="289ABD51" w14:textId="77777777" w:rsidR="005A5829" w:rsidRPr="00275521" w:rsidRDefault="005A5829" w:rsidP="008B6633">
            <w:pPr>
              <w:keepNext/>
              <w:keepLines/>
              <w:jc w:val="left"/>
              <w:rPr>
                <w:rFonts w:ascii="Arial Narrow" w:hAnsi="Arial Narrow"/>
                <w:sz w:val="20"/>
                <w:szCs w:val="20"/>
              </w:rPr>
            </w:pPr>
            <w:r w:rsidRPr="00275521">
              <w:rPr>
                <w:rFonts w:ascii="Arial Narrow" w:hAnsi="Arial Narrow"/>
                <w:sz w:val="20"/>
                <w:szCs w:val="20"/>
              </w:rPr>
              <w:t>400 micrograms capsules bottle</w:t>
            </w:r>
          </w:p>
        </w:tc>
        <w:tc>
          <w:tcPr>
            <w:tcW w:w="992" w:type="dxa"/>
            <w:tcBorders>
              <w:top w:val="single" w:sz="4" w:space="0" w:color="auto"/>
              <w:left w:val="single" w:sz="4" w:space="0" w:color="auto"/>
              <w:bottom w:val="single" w:sz="4" w:space="0" w:color="auto"/>
              <w:right w:val="single" w:sz="4" w:space="0" w:color="auto"/>
            </w:tcBorders>
            <w:vAlign w:val="center"/>
          </w:tcPr>
          <w:p w14:paraId="535D9089"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6</w:t>
            </w:r>
          </w:p>
        </w:tc>
        <w:tc>
          <w:tcPr>
            <w:tcW w:w="1134" w:type="dxa"/>
            <w:vAlign w:val="center"/>
          </w:tcPr>
          <w:p w14:paraId="477EB5E1" w14:textId="77777777" w:rsidR="005A5829" w:rsidRPr="00862021" w:rsidRDefault="005A5829" w:rsidP="008B6633">
            <w:pPr>
              <w:keepNext/>
              <w:keepLines/>
              <w:jc w:val="center"/>
              <w:rPr>
                <w:rFonts w:ascii="Arial Narrow" w:hAnsi="Arial Narrow"/>
                <w:sz w:val="20"/>
                <w:szCs w:val="20"/>
              </w:rPr>
            </w:pPr>
            <w:r w:rsidRPr="00862021">
              <w:rPr>
                <w:rFonts w:ascii="Arial Narrow" w:hAnsi="Arial Narrow"/>
                <w:sz w:val="20"/>
                <w:szCs w:val="20"/>
              </w:rPr>
              <w:t>180</w:t>
            </w:r>
          </w:p>
        </w:tc>
        <w:tc>
          <w:tcPr>
            <w:tcW w:w="851" w:type="dxa"/>
            <w:tcBorders>
              <w:top w:val="single" w:sz="4" w:space="0" w:color="auto"/>
              <w:left w:val="single" w:sz="4" w:space="0" w:color="auto"/>
              <w:bottom w:val="single" w:sz="4" w:space="0" w:color="auto"/>
              <w:right w:val="single" w:sz="4" w:space="0" w:color="auto"/>
            </w:tcBorders>
            <w:vAlign w:val="center"/>
          </w:tcPr>
          <w:p w14:paraId="631457F8"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5</w:t>
            </w:r>
          </w:p>
        </w:tc>
        <w:tc>
          <w:tcPr>
            <w:tcW w:w="1984" w:type="dxa"/>
            <w:tcBorders>
              <w:top w:val="single" w:sz="4" w:space="0" w:color="auto"/>
              <w:left w:val="single" w:sz="4" w:space="0" w:color="auto"/>
              <w:bottom w:val="single" w:sz="4" w:space="0" w:color="auto"/>
              <w:right w:val="single" w:sz="4" w:space="0" w:color="auto"/>
            </w:tcBorders>
          </w:tcPr>
          <w:p w14:paraId="1E7FC021" w14:textId="0CCFBD2C" w:rsidR="005A5829" w:rsidRPr="00275521" w:rsidRDefault="005A5829" w:rsidP="008B6633">
            <w:pPr>
              <w:keepNext/>
              <w:keepLines/>
              <w:rPr>
                <w:rFonts w:ascii="Arial Narrow" w:hAnsi="Arial Narrow"/>
                <w:sz w:val="20"/>
                <w:szCs w:val="20"/>
              </w:rPr>
            </w:pPr>
            <w:r w:rsidRPr="00275521">
              <w:rPr>
                <w:rFonts w:ascii="Arial Narrow" w:hAnsi="Arial Narrow"/>
                <w:sz w:val="20"/>
                <w:szCs w:val="20"/>
              </w:rPr>
              <w:t>Published: $</w:t>
            </w:r>
            <w:r w:rsidR="000D63AF" w:rsidRPr="00275521">
              <w:rPr>
                <w:rFonts w:ascii="Arial Narrow" w:hAnsi="Arial Narrow"/>
                <w:sz w:val="20"/>
                <w:szCs w:val="20"/>
              </w:rPr>
              <w:t>67,122.93</w:t>
            </w:r>
          </w:p>
          <w:p w14:paraId="25FA6F35" w14:textId="34513925" w:rsidR="005A5829" w:rsidRPr="00275521" w:rsidRDefault="005A5829" w:rsidP="008B6633">
            <w:pPr>
              <w:keepNext/>
              <w:keepLines/>
              <w:rPr>
                <w:rFonts w:ascii="Arial Narrow" w:hAnsi="Arial Narrow"/>
                <w:sz w:val="20"/>
                <w:szCs w:val="20"/>
              </w:rPr>
            </w:pPr>
            <w:r w:rsidRPr="00275521">
              <w:rPr>
                <w:rFonts w:ascii="Arial Narrow" w:hAnsi="Arial Narrow"/>
                <w:sz w:val="20"/>
                <w:szCs w:val="20"/>
              </w:rPr>
              <w:t xml:space="preserve">Effective: </w:t>
            </w:r>
            <w:r w:rsidRPr="00DB4B97">
              <w:rPr>
                <w:rFonts w:ascii="Arial Narrow" w:hAnsi="Arial Narrow"/>
                <w:sz w:val="20"/>
                <w:szCs w:val="20"/>
              </w:rPr>
              <w:t>$</w:t>
            </w:r>
            <w:r w:rsidR="006C4DC1" w:rsidRPr="006C4DC1">
              <w:rPr>
                <w:rFonts w:ascii="Arial Narrow" w:hAnsi="Arial Narrow"/>
                <w:sz w:val="2"/>
                <w:szCs w:val="20"/>
                <w:highlight w:val="black"/>
              </w:rPr>
              <w:t>redacted content</w:t>
            </w:r>
          </w:p>
        </w:tc>
        <w:tc>
          <w:tcPr>
            <w:tcW w:w="942" w:type="dxa"/>
            <w:tcBorders>
              <w:top w:val="single" w:sz="4" w:space="0" w:color="auto"/>
              <w:left w:val="single" w:sz="4" w:space="0" w:color="auto"/>
              <w:bottom w:val="single" w:sz="4" w:space="0" w:color="auto"/>
              <w:right w:val="single" w:sz="4" w:space="0" w:color="auto"/>
            </w:tcBorders>
            <w:vAlign w:val="center"/>
          </w:tcPr>
          <w:p w14:paraId="13890718"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Bylvay</w:t>
            </w:r>
          </w:p>
        </w:tc>
      </w:tr>
      <w:tr w:rsidR="005A5829" w:rsidRPr="00275521" w14:paraId="0B1DADCC" w14:textId="77777777" w:rsidTr="00C414C4">
        <w:trPr>
          <w:cantSplit/>
          <w:trHeight w:val="419"/>
        </w:trPr>
        <w:tc>
          <w:tcPr>
            <w:tcW w:w="3114" w:type="dxa"/>
            <w:tcBorders>
              <w:top w:val="single" w:sz="4" w:space="0" w:color="auto"/>
              <w:left w:val="single" w:sz="4" w:space="0" w:color="auto"/>
              <w:bottom w:val="single" w:sz="4" w:space="0" w:color="auto"/>
              <w:right w:val="single" w:sz="4" w:space="0" w:color="auto"/>
            </w:tcBorders>
          </w:tcPr>
          <w:p w14:paraId="152BE949" w14:textId="5FF86425" w:rsidR="005A5829" w:rsidRPr="00275521" w:rsidRDefault="005A5829" w:rsidP="008B6633">
            <w:pPr>
              <w:keepNext/>
              <w:keepLines/>
              <w:jc w:val="left"/>
              <w:rPr>
                <w:rFonts w:ascii="Arial Narrow" w:hAnsi="Arial Narrow"/>
                <w:sz w:val="20"/>
                <w:szCs w:val="20"/>
              </w:rPr>
            </w:pPr>
            <w:r w:rsidRPr="00275521">
              <w:rPr>
                <w:rFonts w:ascii="Arial Narrow" w:hAnsi="Arial Narrow"/>
                <w:sz w:val="20"/>
                <w:szCs w:val="20"/>
              </w:rPr>
              <w:t>Odevixibat</w:t>
            </w:r>
            <w:r w:rsidR="008B6633">
              <w:rPr>
                <w:rFonts w:ascii="Arial Narrow" w:hAnsi="Arial Narrow"/>
                <w:sz w:val="20"/>
                <w:szCs w:val="20"/>
              </w:rPr>
              <w:t xml:space="preserve"> </w:t>
            </w:r>
          </w:p>
          <w:p w14:paraId="50A163D2" w14:textId="77777777" w:rsidR="005A5829" w:rsidRPr="00275521" w:rsidRDefault="005A5829" w:rsidP="008B6633">
            <w:pPr>
              <w:keepNext/>
              <w:keepLines/>
              <w:jc w:val="left"/>
              <w:rPr>
                <w:rFonts w:ascii="Arial Narrow" w:hAnsi="Arial Narrow"/>
                <w:sz w:val="20"/>
                <w:szCs w:val="20"/>
              </w:rPr>
            </w:pPr>
            <w:r w:rsidRPr="00275521">
              <w:rPr>
                <w:rFonts w:ascii="Arial Narrow" w:hAnsi="Arial Narrow"/>
                <w:sz w:val="20"/>
                <w:szCs w:val="20"/>
              </w:rPr>
              <w:t>600 micrograms capsules bottle</w:t>
            </w:r>
          </w:p>
        </w:tc>
        <w:tc>
          <w:tcPr>
            <w:tcW w:w="992" w:type="dxa"/>
            <w:tcBorders>
              <w:top w:val="single" w:sz="4" w:space="0" w:color="auto"/>
              <w:left w:val="single" w:sz="4" w:space="0" w:color="auto"/>
              <w:bottom w:val="single" w:sz="4" w:space="0" w:color="auto"/>
              <w:right w:val="single" w:sz="4" w:space="0" w:color="auto"/>
            </w:tcBorders>
            <w:vAlign w:val="center"/>
          </w:tcPr>
          <w:p w14:paraId="5A7F4202"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12</w:t>
            </w:r>
          </w:p>
        </w:tc>
        <w:tc>
          <w:tcPr>
            <w:tcW w:w="1134" w:type="dxa"/>
            <w:vAlign w:val="center"/>
          </w:tcPr>
          <w:p w14:paraId="5F1434F2" w14:textId="77777777" w:rsidR="005A5829" w:rsidRPr="00862021" w:rsidRDefault="005A5829" w:rsidP="008B6633">
            <w:pPr>
              <w:keepNext/>
              <w:keepLines/>
              <w:jc w:val="center"/>
              <w:rPr>
                <w:rFonts w:ascii="Arial Narrow" w:hAnsi="Arial Narrow"/>
                <w:sz w:val="20"/>
                <w:szCs w:val="20"/>
              </w:rPr>
            </w:pPr>
            <w:r w:rsidRPr="00862021">
              <w:rPr>
                <w:rFonts w:ascii="Arial Narrow" w:hAnsi="Arial Narrow"/>
                <w:sz w:val="20"/>
                <w:szCs w:val="20"/>
              </w:rPr>
              <w:t>360</w:t>
            </w:r>
          </w:p>
        </w:tc>
        <w:tc>
          <w:tcPr>
            <w:tcW w:w="851" w:type="dxa"/>
            <w:tcBorders>
              <w:top w:val="single" w:sz="4" w:space="0" w:color="auto"/>
              <w:left w:val="single" w:sz="4" w:space="0" w:color="auto"/>
              <w:bottom w:val="single" w:sz="4" w:space="0" w:color="auto"/>
              <w:right w:val="single" w:sz="4" w:space="0" w:color="auto"/>
            </w:tcBorders>
            <w:vAlign w:val="center"/>
          </w:tcPr>
          <w:p w14:paraId="2540092C"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5</w:t>
            </w:r>
          </w:p>
        </w:tc>
        <w:tc>
          <w:tcPr>
            <w:tcW w:w="1984" w:type="dxa"/>
            <w:tcBorders>
              <w:top w:val="single" w:sz="4" w:space="0" w:color="auto"/>
              <w:left w:val="single" w:sz="4" w:space="0" w:color="auto"/>
              <w:bottom w:val="single" w:sz="4" w:space="0" w:color="auto"/>
              <w:right w:val="single" w:sz="4" w:space="0" w:color="auto"/>
            </w:tcBorders>
          </w:tcPr>
          <w:p w14:paraId="24ACADFC" w14:textId="04600552" w:rsidR="005A5829" w:rsidRPr="00275521" w:rsidRDefault="005A5829" w:rsidP="008B6633">
            <w:pPr>
              <w:keepNext/>
              <w:keepLines/>
              <w:rPr>
                <w:rFonts w:ascii="Arial Narrow" w:hAnsi="Arial Narrow"/>
                <w:sz w:val="20"/>
                <w:szCs w:val="20"/>
              </w:rPr>
            </w:pPr>
            <w:r w:rsidRPr="00275521">
              <w:rPr>
                <w:rFonts w:ascii="Arial Narrow" w:hAnsi="Arial Narrow"/>
                <w:sz w:val="20"/>
                <w:szCs w:val="20"/>
              </w:rPr>
              <w:t>Published:</w:t>
            </w:r>
            <w:r w:rsidR="00C414C4" w:rsidRPr="00275521">
              <w:rPr>
                <w:rFonts w:ascii="Arial Narrow" w:hAnsi="Arial Narrow"/>
                <w:sz w:val="20"/>
                <w:szCs w:val="20"/>
              </w:rPr>
              <w:t xml:space="preserve"> </w:t>
            </w:r>
            <w:r w:rsidRPr="00275521">
              <w:rPr>
                <w:rFonts w:ascii="Arial Narrow" w:hAnsi="Arial Narrow"/>
                <w:sz w:val="20"/>
                <w:szCs w:val="20"/>
              </w:rPr>
              <w:t>$</w:t>
            </w:r>
            <w:r w:rsidR="000D63AF" w:rsidRPr="00275521">
              <w:rPr>
                <w:rFonts w:ascii="Arial Narrow" w:hAnsi="Arial Narrow"/>
                <w:sz w:val="20"/>
                <w:szCs w:val="20"/>
              </w:rPr>
              <w:t>201,042.93</w:t>
            </w:r>
          </w:p>
          <w:p w14:paraId="0F9B5D97" w14:textId="3D48D1B5" w:rsidR="005A5829" w:rsidRPr="00275521" w:rsidRDefault="005A5829" w:rsidP="008B6633">
            <w:pPr>
              <w:keepNext/>
              <w:keepLines/>
              <w:rPr>
                <w:rFonts w:ascii="Arial Narrow" w:hAnsi="Arial Narrow"/>
                <w:sz w:val="20"/>
                <w:szCs w:val="20"/>
              </w:rPr>
            </w:pPr>
            <w:r w:rsidRPr="00275521">
              <w:rPr>
                <w:rFonts w:ascii="Arial Narrow" w:hAnsi="Arial Narrow"/>
                <w:sz w:val="20"/>
                <w:szCs w:val="20"/>
              </w:rPr>
              <w:t>Effective</w:t>
            </w:r>
            <w:r w:rsidRPr="00DB4B97">
              <w:rPr>
                <w:rFonts w:ascii="Arial Narrow" w:hAnsi="Arial Narrow"/>
                <w:sz w:val="20"/>
                <w:szCs w:val="20"/>
              </w:rPr>
              <w:t>: $</w:t>
            </w:r>
            <w:r w:rsidR="006C4DC1" w:rsidRPr="006C4DC1">
              <w:rPr>
                <w:rFonts w:ascii="Arial Narrow" w:hAnsi="Arial Narrow"/>
                <w:sz w:val="2"/>
                <w:szCs w:val="20"/>
                <w:highlight w:val="black"/>
              </w:rPr>
              <w:t>redacted content</w:t>
            </w:r>
          </w:p>
        </w:tc>
        <w:tc>
          <w:tcPr>
            <w:tcW w:w="942" w:type="dxa"/>
            <w:tcBorders>
              <w:top w:val="single" w:sz="4" w:space="0" w:color="auto"/>
              <w:left w:val="single" w:sz="4" w:space="0" w:color="auto"/>
              <w:bottom w:val="single" w:sz="4" w:space="0" w:color="auto"/>
              <w:right w:val="single" w:sz="4" w:space="0" w:color="auto"/>
            </w:tcBorders>
            <w:vAlign w:val="center"/>
          </w:tcPr>
          <w:p w14:paraId="56621071"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Bylvay</w:t>
            </w:r>
          </w:p>
        </w:tc>
      </w:tr>
      <w:tr w:rsidR="005A5829" w:rsidRPr="00275521" w14:paraId="50F2E361" w14:textId="77777777" w:rsidTr="00C414C4">
        <w:trPr>
          <w:cantSplit/>
          <w:trHeight w:val="419"/>
        </w:trPr>
        <w:tc>
          <w:tcPr>
            <w:tcW w:w="3114" w:type="dxa"/>
            <w:tcBorders>
              <w:top w:val="single" w:sz="4" w:space="0" w:color="auto"/>
              <w:left w:val="single" w:sz="4" w:space="0" w:color="auto"/>
              <w:bottom w:val="single" w:sz="4" w:space="0" w:color="auto"/>
              <w:right w:val="single" w:sz="4" w:space="0" w:color="auto"/>
            </w:tcBorders>
          </w:tcPr>
          <w:p w14:paraId="0CA1306C" w14:textId="037692A5" w:rsidR="005A5829" w:rsidRPr="00275521" w:rsidRDefault="005A5829" w:rsidP="008B6633">
            <w:pPr>
              <w:keepNext/>
              <w:keepLines/>
              <w:jc w:val="left"/>
              <w:rPr>
                <w:rFonts w:ascii="Arial Narrow" w:hAnsi="Arial Narrow"/>
                <w:sz w:val="20"/>
                <w:szCs w:val="20"/>
              </w:rPr>
            </w:pPr>
            <w:r w:rsidRPr="00275521">
              <w:rPr>
                <w:rFonts w:ascii="Arial Narrow" w:hAnsi="Arial Narrow"/>
                <w:sz w:val="20"/>
                <w:szCs w:val="20"/>
              </w:rPr>
              <w:t>Odevixibat</w:t>
            </w:r>
            <w:r w:rsidR="008B6633">
              <w:rPr>
                <w:rFonts w:ascii="Arial Narrow" w:hAnsi="Arial Narrow"/>
                <w:sz w:val="20"/>
                <w:szCs w:val="20"/>
              </w:rPr>
              <w:t xml:space="preserve"> </w:t>
            </w:r>
          </w:p>
          <w:p w14:paraId="1ECB5363" w14:textId="77777777" w:rsidR="005A5829" w:rsidRPr="00275521" w:rsidRDefault="005A5829" w:rsidP="008B6633">
            <w:pPr>
              <w:keepNext/>
              <w:keepLines/>
              <w:jc w:val="left"/>
              <w:rPr>
                <w:rFonts w:ascii="Arial Narrow" w:hAnsi="Arial Narrow"/>
                <w:sz w:val="20"/>
                <w:szCs w:val="20"/>
              </w:rPr>
            </w:pPr>
            <w:r w:rsidRPr="00275521">
              <w:rPr>
                <w:rFonts w:ascii="Arial Narrow" w:hAnsi="Arial Narrow"/>
                <w:sz w:val="20"/>
                <w:szCs w:val="20"/>
              </w:rPr>
              <w:t>1200 micrograms capsules bottle</w:t>
            </w:r>
          </w:p>
        </w:tc>
        <w:tc>
          <w:tcPr>
            <w:tcW w:w="992" w:type="dxa"/>
            <w:tcBorders>
              <w:top w:val="single" w:sz="4" w:space="0" w:color="auto"/>
              <w:left w:val="single" w:sz="4" w:space="0" w:color="auto"/>
              <w:bottom w:val="single" w:sz="4" w:space="0" w:color="auto"/>
              <w:right w:val="single" w:sz="4" w:space="0" w:color="auto"/>
            </w:tcBorders>
            <w:vAlign w:val="center"/>
          </w:tcPr>
          <w:p w14:paraId="794AC09F"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6</w:t>
            </w:r>
          </w:p>
        </w:tc>
        <w:tc>
          <w:tcPr>
            <w:tcW w:w="1134" w:type="dxa"/>
            <w:vAlign w:val="center"/>
          </w:tcPr>
          <w:p w14:paraId="43CC94CA" w14:textId="77777777" w:rsidR="005A5829" w:rsidRPr="00862021" w:rsidRDefault="005A5829" w:rsidP="008B6633">
            <w:pPr>
              <w:keepNext/>
              <w:keepLines/>
              <w:jc w:val="center"/>
              <w:rPr>
                <w:rFonts w:ascii="Arial Narrow" w:hAnsi="Arial Narrow"/>
                <w:sz w:val="20"/>
                <w:szCs w:val="20"/>
              </w:rPr>
            </w:pPr>
            <w:r w:rsidRPr="00862021">
              <w:rPr>
                <w:rFonts w:ascii="Arial Narrow" w:hAnsi="Arial Narrow"/>
                <w:sz w:val="20"/>
                <w:szCs w:val="20"/>
              </w:rPr>
              <w:t>180</w:t>
            </w:r>
          </w:p>
        </w:tc>
        <w:tc>
          <w:tcPr>
            <w:tcW w:w="851" w:type="dxa"/>
            <w:tcBorders>
              <w:top w:val="single" w:sz="4" w:space="0" w:color="auto"/>
              <w:left w:val="single" w:sz="4" w:space="0" w:color="auto"/>
              <w:bottom w:val="single" w:sz="4" w:space="0" w:color="auto"/>
              <w:right w:val="single" w:sz="4" w:space="0" w:color="auto"/>
            </w:tcBorders>
            <w:vAlign w:val="center"/>
          </w:tcPr>
          <w:p w14:paraId="1A74DB22"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5</w:t>
            </w:r>
          </w:p>
        </w:tc>
        <w:tc>
          <w:tcPr>
            <w:tcW w:w="1984" w:type="dxa"/>
            <w:tcBorders>
              <w:top w:val="single" w:sz="4" w:space="0" w:color="auto"/>
              <w:left w:val="single" w:sz="4" w:space="0" w:color="auto"/>
              <w:bottom w:val="single" w:sz="4" w:space="0" w:color="auto"/>
              <w:right w:val="single" w:sz="4" w:space="0" w:color="auto"/>
            </w:tcBorders>
          </w:tcPr>
          <w:p w14:paraId="10076159" w14:textId="1842F211" w:rsidR="005A5829" w:rsidRPr="00275521" w:rsidRDefault="005A5829" w:rsidP="008B6633">
            <w:pPr>
              <w:keepNext/>
              <w:keepLines/>
              <w:rPr>
                <w:rFonts w:ascii="Arial Narrow" w:hAnsi="Arial Narrow"/>
                <w:sz w:val="20"/>
                <w:szCs w:val="20"/>
              </w:rPr>
            </w:pPr>
            <w:r w:rsidRPr="00275521">
              <w:rPr>
                <w:rFonts w:ascii="Arial Narrow" w:hAnsi="Arial Narrow"/>
                <w:sz w:val="20"/>
                <w:szCs w:val="20"/>
              </w:rPr>
              <w:t>Published: $</w:t>
            </w:r>
            <w:r w:rsidR="000D63AF" w:rsidRPr="00275521">
              <w:rPr>
                <w:rFonts w:ascii="Arial Narrow" w:hAnsi="Arial Narrow"/>
                <w:sz w:val="20"/>
                <w:szCs w:val="20"/>
              </w:rPr>
              <w:t>201,042.93</w:t>
            </w:r>
          </w:p>
          <w:p w14:paraId="062E5D71" w14:textId="384E98ED" w:rsidR="005A5829" w:rsidRPr="00275521" w:rsidRDefault="005A5829" w:rsidP="008B6633">
            <w:pPr>
              <w:keepNext/>
              <w:keepLines/>
              <w:rPr>
                <w:rFonts w:ascii="Arial Narrow" w:hAnsi="Arial Narrow"/>
                <w:i/>
                <w:iCs/>
                <w:sz w:val="20"/>
                <w:szCs w:val="20"/>
              </w:rPr>
            </w:pPr>
            <w:r w:rsidRPr="00275521">
              <w:rPr>
                <w:rFonts w:ascii="Arial Narrow" w:hAnsi="Arial Narrow"/>
                <w:sz w:val="20"/>
                <w:szCs w:val="20"/>
              </w:rPr>
              <w:t>Effective: $</w:t>
            </w:r>
            <w:r w:rsidR="006C4DC1" w:rsidRPr="006C4DC1">
              <w:rPr>
                <w:rFonts w:ascii="Arial Narrow" w:hAnsi="Arial Narrow"/>
                <w:sz w:val="2"/>
                <w:szCs w:val="20"/>
                <w:highlight w:val="black"/>
              </w:rPr>
              <w:t>redacted content</w:t>
            </w:r>
          </w:p>
        </w:tc>
        <w:tc>
          <w:tcPr>
            <w:tcW w:w="942" w:type="dxa"/>
            <w:tcBorders>
              <w:top w:val="single" w:sz="4" w:space="0" w:color="auto"/>
              <w:left w:val="single" w:sz="4" w:space="0" w:color="auto"/>
              <w:bottom w:val="single" w:sz="4" w:space="0" w:color="auto"/>
              <w:right w:val="single" w:sz="4" w:space="0" w:color="auto"/>
            </w:tcBorders>
            <w:vAlign w:val="center"/>
          </w:tcPr>
          <w:p w14:paraId="3BC35DD1" w14:textId="77777777" w:rsidR="005A5829" w:rsidRPr="00275521" w:rsidRDefault="005A5829" w:rsidP="008B6633">
            <w:pPr>
              <w:keepNext/>
              <w:keepLines/>
              <w:jc w:val="center"/>
              <w:rPr>
                <w:rFonts w:ascii="Arial Narrow" w:hAnsi="Arial Narrow"/>
                <w:sz w:val="20"/>
                <w:szCs w:val="20"/>
              </w:rPr>
            </w:pPr>
            <w:r w:rsidRPr="00275521">
              <w:rPr>
                <w:rFonts w:ascii="Arial Narrow" w:hAnsi="Arial Narrow"/>
                <w:sz w:val="20"/>
                <w:szCs w:val="20"/>
              </w:rPr>
              <w:t>Bylvay</w:t>
            </w:r>
          </w:p>
        </w:tc>
      </w:tr>
    </w:tbl>
    <w:p w14:paraId="6FDA50A8" w14:textId="77777777" w:rsidR="00D31DFD" w:rsidRPr="00275521" w:rsidRDefault="00D31DFD" w:rsidP="008B6633">
      <w:pPr>
        <w:pStyle w:val="TableFigureFooter"/>
        <w:widowControl/>
      </w:pPr>
      <w:r w:rsidRPr="00275521">
        <w:t>Source: Table 1-9, p36 of the submission</w:t>
      </w:r>
    </w:p>
    <w:p w14:paraId="255533B8" w14:textId="77777777" w:rsidR="00D31DFD" w:rsidRPr="00275521" w:rsidRDefault="00D31DFD" w:rsidP="008B6633">
      <w:pPr>
        <w:pStyle w:val="TableFigureFooter"/>
        <w:widowControl/>
        <w:rPr>
          <w:i/>
          <w:iCs/>
          <w:vertAlign w:val="superscript"/>
        </w:rPr>
      </w:pPr>
      <w:r w:rsidRPr="00275521">
        <w:t>Abbreviations: DPMQ = dispensed price per maximum quantity</w:t>
      </w:r>
    </w:p>
    <w:p w14:paraId="1851BFC0" w14:textId="6E07C837" w:rsidR="00E34F94" w:rsidRDefault="00D31DFD" w:rsidP="008B6633">
      <w:pPr>
        <w:pStyle w:val="TableFigureFooter"/>
        <w:widowControl/>
      </w:pPr>
      <w:r w:rsidRPr="00275521">
        <w:rPr>
          <w:vertAlign w:val="superscript"/>
        </w:rPr>
        <w:t>a</w:t>
      </w:r>
      <w:r w:rsidRPr="00275521">
        <w:t xml:space="preserve"> In Table 1-9 of the submission, the maximum quantity of units was shown to be 30, which was the number of units per pack.</w:t>
      </w:r>
      <w:bookmarkEnd w:id="8"/>
    </w:p>
    <w:p w14:paraId="1218DBB2" w14:textId="77777777" w:rsidR="00EB7944" w:rsidRDefault="00EB7944" w:rsidP="008B6633">
      <w:pPr>
        <w:jc w:val="left"/>
        <w:rPr>
          <w:rFonts w:asciiTheme="minorHAnsi" w:hAnsiTheme="minorHAnsi" w:cstheme="minorHAnsi"/>
          <w:b/>
          <w:bCs/>
        </w:rPr>
      </w:pPr>
      <w:r>
        <w:rPr>
          <w:rFonts w:asciiTheme="minorHAnsi" w:hAnsiTheme="minorHAnsi" w:cstheme="minorHAnsi"/>
          <w:b/>
          <w:bCs/>
        </w:rPr>
        <w:br w:type="page"/>
      </w:r>
    </w:p>
    <w:p w14:paraId="292658F0" w14:textId="1A3C3062" w:rsidR="00A45D47" w:rsidRPr="00275521" w:rsidRDefault="00A45D47" w:rsidP="008B6633">
      <w:pPr>
        <w:keepNext/>
        <w:keepLines/>
        <w:rPr>
          <w:rFonts w:asciiTheme="minorHAnsi" w:hAnsiTheme="minorHAnsi" w:cstheme="minorHAnsi"/>
          <w:b/>
          <w:bCs/>
        </w:rPr>
      </w:pPr>
      <w:r w:rsidRPr="00275521">
        <w:rPr>
          <w:rFonts w:asciiTheme="minorHAnsi" w:hAnsiTheme="minorHAnsi" w:cstheme="minorHAnsi"/>
          <w:b/>
          <w:bCs/>
        </w:rPr>
        <w:lastRenderedPageBreak/>
        <w:t xml:space="preserve">Initial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Initial"/>
      </w:tblPr>
      <w:tblGrid>
        <w:gridCol w:w="9017"/>
      </w:tblGrid>
      <w:tr w:rsidR="00113F4F" w:rsidRPr="00275521" w14:paraId="4816C922" w14:textId="77777777">
        <w:trPr>
          <w:cantSplit/>
          <w:trHeight w:val="20"/>
        </w:trPr>
        <w:tc>
          <w:tcPr>
            <w:tcW w:w="5000" w:type="pct"/>
          </w:tcPr>
          <w:p w14:paraId="55B2D15D" w14:textId="77777777" w:rsidR="00113F4F" w:rsidRPr="00275521" w:rsidRDefault="00113F4F" w:rsidP="008B6633">
            <w:pPr>
              <w:pStyle w:val="TableText0"/>
              <w:keepNext w:val="0"/>
            </w:pPr>
            <w:r w:rsidRPr="00275521">
              <w:rPr>
                <w:b/>
              </w:rPr>
              <w:t xml:space="preserve">Category / Program: </w:t>
            </w:r>
            <w:r w:rsidRPr="00275521">
              <w:t>Section 85 – General Schedule</w:t>
            </w:r>
          </w:p>
        </w:tc>
      </w:tr>
      <w:tr w:rsidR="00113F4F" w:rsidRPr="00275521" w14:paraId="31CD2ECF" w14:textId="77777777">
        <w:trPr>
          <w:cantSplit/>
          <w:trHeight w:val="20"/>
        </w:trPr>
        <w:tc>
          <w:tcPr>
            <w:tcW w:w="5000" w:type="pct"/>
          </w:tcPr>
          <w:p w14:paraId="2D2EE9DB" w14:textId="32DAB72B" w:rsidR="00113F4F" w:rsidRPr="00275521" w:rsidRDefault="00113F4F" w:rsidP="008B6633">
            <w:pPr>
              <w:pStyle w:val="TableText0"/>
              <w:keepNext w:val="0"/>
            </w:pPr>
            <w:r w:rsidRPr="00275521">
              <w:rPr>
                <w:b/>
              </w:rPr>
              <w:t>Restriction type:</w:t>
            </w:r>
            <w:r w:rsidR="008B6633">
              <w:rPr>
                <w:b/>
              </w:rPr>
              <w:t xml:space="preserve"> </w:t>
            </w:r>
          </w:p>
          <w:p w14:paraId="7BCE3B7D" w14:textId="0B07C3CC" w:rsidR="00113F4F" w:rsidRPr="00275521" w:rsidRDefault="00113F4F" w:rsidP="008B6633">
            <w:pPr>
              <w:pStyle w:val="TableText0"/>
              <w:keepNext w:val="0"/>
            </w:pPr>
            <w:r w:rsidRPr="00275521">
              <w:fldChar w:fldCharType="begin">
                <w:ffData>
                  <w:name w:val="Check1"/>
                  <w:enabled/>
                  <w:calcOnExit w:val="0"/>
                  <w:checkBox>
                    <w:sizeAuto/>
                    <w:default w:val="1"/>
                  </w:checkBox>
                </w:ffData>
              </w:fldChar>
            </w:r>
            <w:r w:rsidRPr="00275521">
              <w:instrText xml:space="preserve"> FORMCHECKBOX </w:instrText>
            </w:r>
            <w:r w:rsidRPr="00275521">
              <w:fldChar w:fldCharType="separate"/>
            </w:r>
            <w:r w:rsidRPr="00275521">
              <w:fldChar w:fldCharType="end"/>
            </w:r>
            <w:r w:rsidRPr="00275521">
              <w:t>Restricted benefit</w:t>
            </w:r>
            <w:r w:rsidR="008B6633">
              <w:t xml:space="preserve"> </w:t>
            </w:r>
            <w:r w:rsidRPr="00275521">
              <w:br/>
            </w:r>
            <w:r w:rsidRPr="00275521">
              <w:fldChar w:fldCharType="begin">
                <w:ffData>
                  <w:name w:val=""/>
                  <w:enabled/>
                  <w:calcOnExit w:val="0"/>
                  <w:checkBox>
                    <w:sizeAuto/>
                    <w:default w:val="1"/>
                  </w:checkBox>
                </w:ffData>
              </w:fldChar>
            </w:r>
            <w:r w:rsidRPr="00275521">
              <w:instrText xml:space="preserve"> FORMCHECKBOX </w:instrText>
            </w:r>
            <w:r w:rsidRPr="00275521">
              <w:fldChar w:fldCharType="separate"/>
            </w:r>
            <w:r w:rsidRPr="00275521">
              <w:fldChar w:fldCharType="end"/>
            </w:r>
            <w:r w:rsidRPr="00275521">
              <w:t>Authority Required (in writing only via post/HPOS upload or Online PBS Authorities system)</w:t>
            </w:r>
            <w:r w:rsidR="008B6633">
              <w:t xml:space="preserve"> </w:t>
            </w:r>
          </w:p>
        </w:tc>
      </w:tr>
      <w:tr w:rsidR="00113F4F" w:rsidRPr="00275521" w14:paraId="63EDF4E4" w14:textId="77777777">
        <w:trPr>
          <w:cantSplit/>
          <w:trHeight w:val="20"/>
        </w:trPr>
        <w:tc>
          <w:tcPr>
            <w:tcW w:w="5000" w:type="pct"/>
            <w:vAlign w:val="center"/>
            <w:hideMark/>
          </w:tcPr>
          <w:p w14:paraId="2789938B" w14:textId="77777777" w:rsidR="00113F4F" w:rsidRPr="00275521" w:rsidRDefault="00113F4F" w:rsidP="008B6633">
            <w:pPr>
              <w:pStyle w:val="TableText0"/>
              <w:keepNext w:val="0"/>
            </w:pPr>
            <w:r w:rsidRPr="00275521">
              <w:rPr>
                <w:b/>
              </w:rPr>
              <w:t>Indication:</w:t>
            </w:r>
            <w:r w:rsidRPr="00275521">
              <w:t xml:space="preserve"> The treatment of cholestatic pruritus in Alagille syndrome (ALGS)</w:t>
            </w:r>
          </w:p>
        </w:tc>
      </w:tr>
      <w:tr w:rsidR="00113F4F" w:rsidRPr="00275521" w14:paraId="2594B0BE" w14:textId="77777777">
        <w:trPr>
          <w:cantSplit/>
          <w:trHeight w:val="20"/>
        </w:trPr>
        <w:tc>
          <w:tcPr>
            <w:tcW w:w="5000" w:type="pct"/>
            <w:tcBorders>
              <w:bottom w:val="single" w:sz="4" w:space="0" w:color="auto"/>
            </w:tcBorders>
            <w:vAlign w:val="center"/>
            <w:hideMark/>
          </w:tcPr>
          <w:p w14:paraId="3AD8ADEA" w14:textId="77777777" w:rsidR="00113F4F" w:rsidRPr="00275521" w:rsidRDefault="00113F4F" w:rsidP="008B6633">
            <w:pPr>
              <w:pStyle w:val="TableText0"/>
              <w:keepNext w:val="0"/>
            </w:pPr>
            <w:r w:rsidRPr="00275521">
              <w:rPr>
                <w:b/>
              </w:rPr>
              <w:t>Treatment Phase:</w:t>
            </w:r>
            <w:r w:rsidRPr="00275521">
              <w:t xml:space="preserve"> Initial</w:t>
            </w:r>
          </w:p>
        </w:tc>
      </w:tr>
      <w:tr w:rsidR="00113F4F" w:rsidRPr="00275521" w14:paraId="2FFD0D23" w14:textId="77777777">
        <w:trPr>
          <w:cantSplit/>
          <w:trHeight w:val="20"/>
        </w:trPr>
        <w:tc>
          <w:tcPr>
            <w:tcW w:w="5000" w:type="pct"/>
            <w:tcBorders>
              <w:bottom w:val="nil"/>
            </w:tcBorders>
            <w:vAlign w:val="center"/>
            <w:hideMark/>
          </w:tcPr>
          <w:p w14:paraId="544D2E7B" w14:textId="77777777" w:rsidR="00113F4F" w:rsidRPr="00275521" w:rsidRDefault="00113F4F" w:rsidP="008B6633">
            <w:pPr>
              <w:pStyle w:val="TableText0"/>
              <w:rPr>
                <w:b/>
                <w:bCs w:val="0"/>
              </w:rPr>
            </w:pPr>
            <w:r w:rsidRPr="00275521">
              <w:rPr>
                <w:b/>
                <w:bCs w:val="0"/>
              </w:rPr>
              <w:t>Clinical criteria:</w:t>
            </w:r>
          </w:p>
        </w:tc>
      </w:tr>
      <w:tr w:rsidR="00113F4F" w:rsidRPr="00275521" w14:paraId="4EFDFAC3" w14:textId="77777777">
        <w:trPr>
          <w:cantSplit/>
          <w:trHeight w:val="20"/>
        </w:trPr>
        <w:tc>
          <w:tcPr>
            <w:tcW w:w="5000" w:type="pct"/>
            <w:tcBorders>
              <w:top w:val="nil"/>
              <w:bottom w:val="nil"/>
            </w:tcBorders>
            <w:vAlign w:val="center"/>
            <w:hideMark/>
          </w:tcPr>
          <w:p w14:paraId="19EDB323" w14:textId="77777777" w:rsidR="00113F4F" w:rsidRPr="00275521" w:rsidRDefault="00113F4F" w:rsidP="008B6633">
            <w:pPr>
              <w:pStyle w:val="TableText0"/>
            </w:pPr>
            <w:r w:rsidRPr="00275521">
              <w:t>Patient must not have received prior PBS-subsidised treatment with this drug for this condition</w:t>
            </w:r>
          </w:p>
        </w:tc>
      </w:tr>
      <w:tr w:rsidR="00113F4F" w:rsidRPr="00275521" w14:paraId="488C110D" w14:textId="77777777">
        <w:trPr>
          <w:cantSplit/>
          <w:trHeight w:val="20"/>
        </w:trPr>
        <w:tc>
          <w:tcPr>
            <w:tcW w:w="5000" w:type="pct"/>
            <w:tcBorders>
              <w:top w:val="nil"/>
              <w:bottom w:val="nil"/>
            </w:tcBorders>
            <w:vAlign w:val="center"/>
            <w:hideMark/>
          </w:tcPr>
          <w:p w14:paraId="0089FBC3" w14:textId="77777777" w:rsidR="00113F4F" w:rsidRPr="00275521" w:rsidRDefault="00113F4F" w:rsidP="008B6633">
            <w:pPr>
              <w:pStyle w:val="TableText0"/>
            </w:pPr>
            <w:r w:rsidRPr="00275521">
              <w:t>AND</w:t>
            </w:r>
          </w:p>
        </w:tc>
      </w:tr>
      <w:tr w:rsidR="00113F4F" w:rsidRPr="00275521" w14:paraId="2EC12CEB" w14:textId="77777777">
        <w:trPr>
          <w:cantSplit/>
          <w:trHeight w:val="20"/>
        </w:trPr>
        <w:tc>
          <w:tcPr>
            <w:tcW w:w="5000" w:type="pct"/>
            <w:tcBorders>
              <w:top w:val="nil"/>
              <w:bottom w:val="nil"/>
            </w:tcBorders>
            <w:vAlign w:val="center"/>
            <w:hideMark/>
          </w:tcPr>
          <w:p w14:paraId="4076F5D1" w14:textId="77777777" w:rsidR="00113F4F" w:rsidRPr="00275521" w:rsidRDefault="00113F4F" w:rsidP="008B6633">
            <w:pPr>
              <w:pStyle w:val="TableText0"/>
            </w:pPr>
            <w:r w:rsidRPr="00275521">
              <w:t>Patient must have a clinical diagnosis of ALGS</w:t>
            </w:r>
          </w:p>
        </w:tc>
      </w:tr>
      <w:tr w:rsidR="00113F4F" w:rsidRPr="00275521" w14:paraId="40563A8C" w14:textId="77777777">
        <w:trPr>
          <w:cantSplit/>
          <w:trHeight w:val="20"/>
        </w:trPr>
        <w:tc>
          <w:tcPr>
            <w:tcW w:w="5000" w:type="pct"/>
            <w:tcBorders>
              <w:top w:val="nil"/>
              <w:bottom w:val="nil"/>
            </w:tcBorders>
            <w:vAlign w:val="center"/>
            <w:hideMark/>
          </w:tcPr>
          <w:p w14:paraId="43E4EC9E" w14:textId="77777777" w:rsidR="00113F4F" w:rsidRPr="00275521" w:rsidRDefault="00113F4F" w:rsidP="008B6633">
            <w:pPr>
              <w:pStyle w:val="TableText0"/>
            </w:pPr>
            <w:r w:rsidRPr="00275521">
              <w:t>AND</w:t>
            </w:r>
          </w:p>
        </w:tc>
      </w:tr>
      <w:tr w:rsidR="00113F4F" w:rsidRPr="00275521" w14:paraId="6CCE6573" w14:textId="77777777">
        <w:trPr>
          <w:cantSplit/>
          <w:trHeight w:val="20"/>
        </w:trPr>
        <w:tc>
          <w:tcPr>
            <w:tcW w:w="5000" w:type="pct"/>
            <w:tcBorders>
              <w:top w:val="nil"/>
              <w:bottom w:val="nil"/>
            </w:tcBorders>
            <w:vAlign w:val="center"/>
            <w:hideMark/>
          </w:tcPr>
          <w:p w14:paraId="4710DBD5" w14:textId="77777777" w:rsidR="00113F4F" w:rsidRPr="00275521" w:rsidRDefault="00113F4F" w:rsidP="008B6633">
            <w:pPr>
              <w:pStyle w:val="TableText0"/>
            </w:pPr>
            <w:r w:rsidRPr="00275521">
              <w:t>The patient must have elevated serum bile acids at treatment initiation with this drug</w:t>
            </w:r>
          </w:p>
        </w:tc>
      </w:tr>
      <w:tr w:rsidR="00113F4F" w:rsidRPr="00275521" w14:paraId="190D27B3" w14:textId="77777777">
        <w:trPr>
          <w:cantSplit/>
          <w:trHeight w:val="20"/>
        </w:trPr>
        <w:tc>
          <w:tcPr>
            <w:tcW w:w="5000" w:type="pct"/>
            <w:tcBorders>
              <w:top w:val="nil"/>
              <w:bottom w:val="nil"/>
            </w:tcBorders>
            <w:vAlign w:val="center"/>
            <w:hideMark/>
          </w:tcPr>
          <w:p w14:paraId="4516DC45" w14:textId="77777777" w:rsidR="00113F4F" w:rsidRPr="00275521" w:rsidRDefault="00113F4F" w:rsidP="008B6633">
            <w:pPr>
              <w:pStyle w:val="TableText0"/>
              <w:rPr>
                <w:i/>
                <w:iCs/>
              </w:rPr>
            </w:pPr>
            <w:r w:rsidRPr="00275521">
              <w:t>AND</w:t>
            </w:r>
          </w:p>
        </w:tc>
      </w:tr>
      <w:tr w:rsidR="00113F4F" w:rsidRPr="00275521" w14:paraId="502B1749" w14:textId="77777777">
        <w:trPr>
          <w:cantSplit/>
          <w:trHeight w:val="20"/>
        </w:trPr>
        <w:tc>
          <w:tcPr>
            <w:tcW w:w="5000" w:type="pct"/>
            <w:tcBorders>
              <w:top w:val="nil"/>
              <w:bottom w:val="nil"/>
            </w:tcBorders>
            <w:vAlign w:val="center"/>
            <w:hideMark/>
          </w:tcPr>
          <w:p w14:paraId="28B8AF55" w14:textId="77777777" w:rsidR="00113F4F" w:rsidRPr="00275521" w:rsidRDefault="00113F4F" w:rsidP="008B6633">
            <w:pPr>
              <w:pStyle w:val="TableText0"/>
            </w:pPr>
            <w:r w:rsidRPr="00275521">
              <w:t>Patient must be experiencing itch at treatment initiation with this drug, with other factors causing pruritus excluded through both:(i) physical examination and (ii) patient history</w:t>
            </w:r>
          </w:p>
        </w:tc>
      </w:tr>
      <w:tr w:rsidR="00113F4F" w:rsidRPr="00275521" w14:paraId="6623653D" w14:textId="77777777">
        <w:trPr>
          <w:cantSplit/>
          <w:trHeight w:val="20"/>
        </w:trPr>
        <w:tc>
          <w:tcPr>
            <w:tcW w:w="5000" w:type="pct"/>
            <w:tcBorders>
              <w:top w:val="nil"/>
              <w:bottom w:val="nil"/>
            </w:tcBorders>
            <w:vAlign w:val="center"/>
          </w:tcPr>
          <w:p w14:paraId="20292955" w14:textId="77777777" w:rsidR="00113F4F" w:rsidRPr="00275521" w:rsidRDefault="00113F4F" w:rsidP="008B6633">
            <w:pPr>
              <w:pStyle w:val="TableText0"/>
            </w:pPr>
            <w:r w:rsidRPr="00275521">
              <w:t>AND</w:t>
            </w:r>
          </w:p>
        </w:tc>
      </w:tr>
      <w:tr w:rsidR="00113F4F" w:rsidRPr="00275521" w14:paraId="65CB7124" w14:textId="77777777">
        <w:trPr>
          <w:cantSplit/>
          <w:trHeight w:val="20"/>
        </w:trPr>
        <w:tc>
          <w:tcPr>
            <w:tcW w:w="5000" w:type="pct"/>
            <w:tcBorders>
              <w:top w:val="nil"/>
              <w:bottom w:val="single" w:sz="4" w:space="0" w:color="auto"/>
            </w:tcBorders>
            <w:vAlign w:val="center"/>
          </w:tcPr>
          <w:p w14:paraId="76EFBA4F" w14:textId="77777777" w:rsidR="00113F4F" w:rsidRPr="00275521" w:rsidRDefault="00113F4F" w:rsidP="008B6633">
            <w:pPr>
              <w:pStyle w:val="TableText0"/>
            </w:pPr>
            <w:r w:rsidRPr="00275521">
              <w:t>Patient must have had an average pruritus score of ≥2 on the Prucision™ ObsRO Pruritus Scale assessed on three occasions over a one-week period prior to treatment initiation with this drug.</w:t>
            </w:r>
          </w:p>
        </w:tc>
      </w:tr>
      <w:tr w:rsidR="00113F4F" w:rsidRPr="00275521" w14:paraId="1899D517" w14:textId="77777777">
        <w:trPr>
          <w:cantSplit/>
          <w:trHeight w:val="20"/>
        </w:trPr>
        <w:tc>
          <w:tcPr>
            <w:tcW w:w="5000" w:type="pct"/>
            <w:tcBorders>
              <w:bottom w:val="nil"/>
            </w:tcBorders>
            <w:vAlign w:val="center"/>
          </w:tcPr>
          <w:p w14:paraId="48C06970" w14:textId="77777777" w:rsidR="00113F4F" w:rsidRPr="00275521" w:rsidRDefault="00113F4F" w:rsidP="008B6633">
            <w:pPr>
              <w:pStyle w:val="TableText0"/>
              <w:keepNext w:val="0"/>
              <w:rPr>
                <w:b/>
                <w:bCs w:val="0"/>
              </w:rPr>
            </w:pPr>
            <w:r w:rsidRPr="00275521">
              <w:rPr>
                <w:b/>
                <w:bCs w:val="0"/>
              </w:rPr>
              <w:t>Treatment criteria:</w:t>
            </w:r>
          </w:p>
        </w:tc>
      </w:tr>
      <w:tr w:rsidR="00113F4F" w:rsidRPr="00275521" w14:paraId="2762BF15" w14:textId="77777777">
        <w:trPr>
          <w:cantSplit/>
          <w:trHeight w:val="20"/>
        </w:trPr>
        <w:tc>
          <w:tcPr>
            <w:tcW w:w="5000" w:type="pct"/>
            <w:tcBorders>
              <w:top w:val="nil"/>
            </w:tcBorders>
            <w:vAlign w:val="center"/>
          </w:tcPr>
          <w:p w14:paraId="6090A04E" w14:textId="77777777" w:rsidR="00113F4F" w:rsidRPr="00275521" w:rsidRDefault="00113F4F" w:rsidP="008B6633">
            <w:pPr>
              <w:pStyle w:val="TableText0"/>
              <w:keepNext w:val="0"/>
            </w:pPr>
            <w:r w:rsidRPr="00275521">
              <w:t>Must be treated by a specialist experienced in the management of ALGS, who is either a: (i) gastroenterologist, (ii) hepatologist</w:t>
            </w:r>
          </w:p>
        </w:tc>
      </w:tr>
      <w:tr w:rsidR="00113F4F" w:rsidRPr="00275521" w14:paraId="213FCAB4" w14:textId="77777777">
        <w:trPr>
          <w:cantSplit/>
          <w:trHeight w:val="20"/>
        </w:trPr>
        <w:tc>
          <w:tcPr>
            <w:tcW w:w="5000" w:type="pct"/>
            <w:tcBorders>
              <w:bottom w:val="nil"/>
            </w:tcBorders>
            <w:vAlign w:val="center"/>
          </w:tcPr>
          <w:p w14:paraId="12494DF1" w14:textId="77777777" w:rsidR="00113F4F" w:rsidRPr="00275521" w:rsidRDefault="00113F4F" w:rsidP="008B6633">
            <w:pPr>
              <w:pStyle w:val="TableText0"/>
              <w:keepNext w:val="0"/>
              <w:rPr>
                <w:b/>
              </w:rPr>
            </w:pPr>
            <w:r w:rsidRPr="00275521">
              <w:rPr>
                <w:b/>
              </w:rPr>
              <w:t>Population criteria:</w:t>
            </w:r>
          </w:p>
        </w:tc>
      </w:tr>
      <w:tr w:rsidR="00113F4F" w:rsidRPr="00275521" w14:paraId="47C41063" w14:textId="77777777">
        <w:trPr>
          <w:cantSplit/>
          <w:trHeight w:val="20"/>
        </w:trPr>
        <w:tc>
          <w:tcPr>
            <w:tcW w:w="5000" w:type="pct"/>
            <w:tcBorders>
              <w:top w:val="nil"/>
              <w:bottom w:val="single" w:sz="4" w:space="0" w:color="auto"/>
            </w:tcBorders>
            <w:vAlign w:val="center"/>
          </w:tcPr>
          <w:p w14:paraId="27501F0D" w14:textId="77777777" w:rsidR="00113F4F" w:rsidRPr="00275521" w:rsidRDefault="00113F4F" w:rsidP="008B6633">
            <w:pPr>
              <w:pStyle w:val="TableText0"/>
              <w:keepNext w:val="0"/>
              <w:rPr>
                <w:bCs w:val="0"/>
              </w:rPr>
            </w:pPr>
            <w:r w:rsidRPr="00275521">
              <w:rPr>
                <w:bCs w:val="0"/>
              </w:rPr>
              <w:t>Patient must be aged 6 months or older</w:t>
            </w:r>
          </w:p>
        </w:tc>
      </w:tr>
      <w:tr w:rsidR="00113F4F" w:rsidRPr="00275521" w14:paraId="17B8A1BD" w14:textId="77777777">
        <w:trPr>
          <w:cantSplit/>
          <w:trHeight w:val="20"/>
        </w:trPr>
        <w:tc>
          <w:tcPr>
            <w:tcW w:w="5000" w:type="pct"/>
            <w:tcBorders>
              <w:bottom w:val="nil"/>
            </w:tcBorders>
            <w:vAlign w:val="center"/>
          </w:tcPr>
          <w:p w14:paraId="47B57790" w14:textId="77777777" w:rsidR="00113F4F" w:rsidRPr="00275521" w:rsidRDefault="00113F4F" w:rsidP="008B6633">
            <w:pPr>
              <w:pStyle w:val="TableText0"/>
              <w:keepNext w:val="0"/>
              <w:rPr>
                <w:b/>
              </w:rPr>
            </w:pPr>
            <w:r w:rsidRPr="00275521">
              <w:rPr>
                <w:b/>
              </w:rPr>
              <w:t>Prescribing Instructions:</w:t>
            </w:r>
          </w:p>
        </w:tc>
      </w:tr>
      <w:tr w:rsidR="00113F4F" w:rsidRPr="00275521" w14:paraId="1A51CF02" w14:textId="77777777">
        <w:trPr>
          <w:cantSplit/>
          <w:trHeight w:val="20"/>
        </w:trPr>
        <w:tc>
          <w:tcPr>
            <w:tcW w:w="5000" w:type="pct"/>
            <w:tcBorders>
              <w:top w:val="nil"/>
              <w:bottom w:val="single" w:sz="4" w:space="0" w:color="auto"/>
            </w:tcBorders>
            <w:vAlign w:val="center"/>
          </w:tcPr>
          <w:p w14:paraId="21217BA5" w14:textId="77777777" w:rsidR="00113F4F" w:rsidRPr="00275521" w:rsidRDefault="00113F4F" w:rsidP="008B6633">
            <w:pPr>
              <w:pStyle w:val="TableText0"/>
              <w:keepNext w:val="0"/>
              <w:rPr>
                <w:bCs w:val="0"/>
              </w:rPr>
            </w:pPr>
            <w:r w:rsidRPr="00275521">
              <w:rPr>
                <w:bCs w:val="0"/>
              </w:rPr>
              <w:t>The authority application must be made via the Online PBS Authorities System, or in writing via HPOS form upload or mail and must include:</w:t>
            </w:r>
          </w:p>
          <w:p w14:paraId="1C913452" w14:textId="77777777" w:rsidR="00113F4F" w:rsidRPr="00275521" w:rsidRDefault="00113F4F" w:rsidP="008B6633">
            <w:pPr>
              <w:pStyle w:val="TableText0"/>
              <w:keepNext w:val="0"/>
              <w:ind w:left="720"/>
              <w:rPr>
                <w:bCs w:val="0"/>
              </w:rPr>
            </w:pPr>
            <w:r w:rsidRPr="00275521">
              <w:rPr>
                <w:bCs w:val="0"/>
              </w:rPr>
              <w:t>(1)</w:t>
            </w:r>
            <w:r w:rsidRPr="00275521">
              <w:rPr>
                <w:bCs w:val="0"/>
              </w:rPr>
              <w:tab/>
              <w:t>details of the pruritus score using the Prucision™ ObsRO Pruritus scale</w:t>
            </w:r>
          </w:p>
          <w:p w14:paraId="0990FD4B" w14:textId="77777777" w:rsidR="00113F4F" w:rsidRPr="00275521" w:rsidRDefault="00113F4F" w:rsidP="008B6633">
            <w:pPr>
              <w:pStyle w:val="TableText0"/>
              <w:keepNext w:val="0"/>
              <w:ind w:left="720"/>
              <w:rPr>
                <w:b/>
              </w:rPr>
            </w:pPr>
            <w:r w:rsidRPr="00275521">
              <w:rPr>
                <w:bCs w:val="0"/>
              </w:rPr>
              <w:t>(2)</w:t>
            </w:r>
            <w:r w:rsidRPr="00275521">
              <w:rPr>
                <w:bCs w:val="0"/>
              </w:rPr>
              <w:tab/>
              <w:t>details of serum bile acids (date and micromol/L)</w:t>
            </w:r>
          </w:p>
        </w:tc>
      </w:tr>
      <w:tr w:rsidR="00113F4F" w:rsidRPr="00275521" w14:paraId="6287EDC3" w14:textId="77777777">
        <w:trPr>
          <w:cantSplit/>
          <w:trHeight w:val="20"/>
        </w:trPr>
        <w:tc>
          <w:tcPr>
            <w:tcW w:w="5000" w:type="pct"/>
            <w:tcBorders>
              <w:bottom w:val="nil"/>
            </w:tcBorders>
            <w:vAlign w:val="center"/>
          </w:tcPr>
          <w:p w14:paraId="4F7F525F" w14:textId="77777777" w:rsidR="00113F4F" w:rsidRPr="00275521" w:rsidRDefault="00113F4F" w:rsidP="008B6633">
            <w:pPr>
              <w:pStyle w:val="TableText0"/>
              <w:keepNext w:val="0"/>
              <w:rPr>
                <w:b/>
              </w:rPr>
            </w:pPr>
            <w:r w:rsidRPr="00275521">
              <w:rPr>
                <w:b/>
              </w:rPr>
              <w:t>Prescribing Instructions:</w:t>
            </w:r>
          </w:p>
        </w:tc>
      </w:tr>
      <w:tr w:rsidR="00113F4F" w:rsidRPr="00275521" w14:paraId="073D453A" w14:textId="77777777">
        <w:trPr>
          <w:cantSplit/>
          <w:trHeight w:val="20"/>
        </w:trPr>
        <w:tc>
          <w:tcPr>
            <w:tcW w:w="5000" w:type="pct"/>
            <w:tcBorders>
              <w:top w:val="nil"/>
              <w:bottom w:val="single" w:sz="4" w:space="0" w:color="auto"/>
            </w:tcBorders>
            <w:vAlign w:val="center"/>
          </w:tcPr>
          <w:p w14:paraId="13B93739" w14:textId="77777777" w:rsidR="00113F4F" w:rsidRPr="00275521" w:rsidRDefault="00113F4F" w:rsidP="008B6633">
            <w:pPr>
              <w:pStyle w:val="TableText0"/>
              <w:keepNext w:val="0"/>
              <w:rPr>
                <w:bCs w:val="0"/>
              </w:rPr>
            </w:pPr>
            <w:r w:rsidRPr="00275521">
              <w:rPr>
                <w:bCs w:val="0"/>
              </w:rPr>
              <w:t>If the application is submitted through HPOS form upload or mail, it must include:</w:t>
            </w:r>
          </w:p>
          <w:p w14:paraId="43882FF7" w14:textId="77777777" w:rsidR="00113F4F" w:rsidRPr="00275521" w:rsidRDefault="00113F4F" w:rsidP="008B6633">
            <w:pPr>
              <w:pStyle w:val="TableText0"/>
              <w:keepNext w:val="0"/>
              <w:rPr>
                <w:bCs w:val="0"/>
              </w:rPr>
            </w:pPr>
            <w:r w:rsidRPr="00275521">
              <w:rPr>
                <w:bCs w:val="0"/>
              </w:rPr>
              <w:t>(i) details of the proposed prescription; and</w:t>
            </w:r>
          </w:p>
          <w:p w14:paraId="5AA501A7" w14:textId="77777777" w:rsidR="00113F4F" w:rsidRPr="00275521" w:rsidRDefault="00113F4F" w:rsidP="008B6633">
            <w:pPr>
              <w:pStyle w:val="TableText0"/>
              <w:keepNext w:val="0"/>
              <w:rPr>
                <w:b/>
              </w:rPr>
            </w:pPr>
            <w:r w:rsidRPr="00275521">
              <w:rPr>
                <w:bCs w:val="0"/>
              </w:rPr>
              <w:t>(ii) a completed authority application form relevant to the indication and treatment phase (the latest version is located on the website specified in the Administrative Advice).</w:t>
            </w:r>
          </w:p>
        </w:tc>
      </w:tr>
      <w:tr w:rsidR="00113F4F" w:rsidRPr="00275521" w14:paraId="07A56CB0" w14:textId="77777777">
        <w:trPr>
          <w:cantSplit/>
          <w:trHeight w:val="20"/>
        </w:trPr>
        <w:tc>
          <w:tcPr>
            <w:tcW w:w="5000" w:type="pct"/>
            <w:tcBorders>
              <w:bottom w:val="nil"/>
            </w:tcBorders>
            <w:vAlign w:val="center"/>
          </w:tcPr>
          <w:p w14:paraId="54958894" w14:textId="77777777" w:rsidR="00113F4F" w:rsidRPr="00275521" w:rsidRDefault="00113F4F" w:rsidP="008B6633">
            <w:pPr>
              <w:pStyle w:val="TableText0"/>
              <w:keepNext w:val="0"/>
              <w:rPr>
                <w:b/>
              </w:rPr>
            </w:pPr>
            <w:r w:rsidRPr="00275521">
              <w:rPr>
                <w:b/>
              </w:rPr>
              <w:t>Prescribing Instructions:</w:t>
            </w:r>
          </w:p>
        </w:tc>
      </w:tr>
      <w:tr w:rsidR="00113F4F" w:rsidRPr="00275521" w14:paraId="7ACF9DE0" w14:textId="77777777">
        <w:trPr>
          <w:cantSplit/>
          <w:trHeight w:val="20"/>
        </w:trPr>
        <w:tc>
          <w:tcPr>
            <w:tcW w:w="5000" w:type="pct"/>
            <w:tcBorders>
              <w:top w:val="nil"/>
              <w:bottom w:val="single" w:sz="4" w:space="0" w:color="auto"/>
            </w:tcBorders>
            <w:vAlign w:val="center"/>
          </w:tcPr>
          <w:p w14:paraId="70474406" w14:textId="77777777" w:rsidR="00113F4F" w:rsidRPr="00275521" w:rsidRDefault="00113F4F" w:rsidP="008B6633">
            <w:pPr>
              <w:pStyle w:val="TableText0"/>
              <w:keepNext w:val="0"/>
              <w:rPr>
                <w:bCs w:val="0"/>
              </w:rPr>
            </w:pPr>
            <w:r w:rsidRPr="00275521">
              <w:rPr>
                <w:bCs w:val="0"/>
              </w:rPr>
              <w:t>Prescriber must exclude any other causes of pruritus which include any of the following:</w:t>
            </w:r>
          </w:p>
          <w:p w14:paraId="79097AD6" w14:textId="77777777" w:rsidR="00113F4F" w:rsidRPr="00275521" w:rsidRDefault="00113F4F" w:rsidP="008B6633">
            <w:pPr>
              <w:pStyle w:val="TableText0"/>
              <w:keepNext w:val="0"/>
              <w:rPr>
                <w:bCs w:val="0"/>
              </w:rPr>
            </w:pPr>
            <w:r w:rsidRPr="00275521">
              <w:rPr>
                <w:bCs w:val="0"/>
              </w:rPr>
              <w:t>(i) drug related (e.g., opioid-related pruritus)</w:t>
            </w:r>
          </w:p>
          <w:p w14:paraId="7BBA49DE" w14:textId="77777777" w:rsidR="00113F4F" w:rsidRPr="00275521" w:rsidRDefault="00113F4F" w:rsidP="008B6633">
            <w:pPr>
              <w:pStyle w:val="TableText0"/>
              <w:keepNext w:val="0"/>
              <w:rPr>
                <w:bCs w:val="0"/>
              </w:rPr>
            </w:pPr>
            <w:r w:rsidRPr="00275521">
              <w:rPr>
                <w:bCs w:val="0"/>
              </w:rPr>
              <w:t>(ii) drug hypersensitivity or adverse effect; contact dermatitis; allergy</w:t>
            </w:r>
          </w:p>
          <w:p w14:paraId="34B0B9AB" w14:textId="77777777" w:rsidR="00113F4F" w:rsidRPr="00275521" w:rsidRDefault="00113F4F" w:rsidP="008B6633">
            <w:pPr>
              <w:pStyle w:val="TableText0"/>
              <w:keepNext w:val="0"/>
              <w:rPr>
                <w:b/>
              </w:rPr>
            </w:pPr>
            <w:r w:rsidRPr="00275521">
              <w:rPr>
                <w:bCs w:val="0"/>
              </w:rPr>
              <w:t>(iii) differential diagnoses (e.g., xerosis; infestations; iron deficiency; chronic kidney disease; polycythaemia vera/leukemia/lymphoma; hypothyroidism; uncontrolled diabetes, eczema, scabies).</w:t>
            </w:r>
          </w:p>
        </w:tc>
      </w:tr>
      <w:tr w:rsidR="00113F4F" w:rsidRPr="00275521" w14:paraId="37E43B1A" w14:textId="77777777">
        <w:trPr>
          <w:cantSplit/>
          <w:trHeight w:val="20"/>
        </w:trPr>
        <w:tc>
          <w:tcPr>
            <w:tcW w:w="5000" w:type="pct"/>
            <w:tcBorders>
              <w:bottom w:val="nil"/>
            </w:tcBorders>
            <w:vAlign w:val="center"/>
          </w:tcPr>
          <w:p w14:paraId="09E88287" w14:textId="77777777" w:rsidR="00113F4F" w:rsidRPr="00275521" w:rsidRDefault="00113F4F" w:rsidP="008B6633">
            <w:pPr>
              <w:pStyle w:val="TableText0"/>
              <w:keepNext w:val="0"/>
              <w:rPr>
                <w:b/>
              </w:rPr>
            </w:pPr>
            <w:r w:rsidRPr="00275521">
              <w:rPr>
                <w:b/>
              </w:rPr>
              <w:t>Prescribing Instructions:</w:t>
            </w:r>
          </w:p>
        </w:tc>
      </w:tr>
      <w:tr w:rsidR="00113F4F" w:rsidRPr="00275521" w14:paraId="5254232F" w14:textId="77777777">
        <w:trPr>
          <w:cantSplit/>
          <w:trHeight w:val="20"/>
        </w:trPr>
        <w:tc>
          <w:tcPr>
            <w:tcW w:w="5000" w:type="pct"/>
            <w:tcBorders>
              <w:top w:val="nil"/>
              <w:bottom w:val="single" w:sz="4" w:space="0" w:color="auto"/>
            </w:tcBorders>
            <w:vAlign w:val="center"/>
          </w:tcPr>
          <w:p w14:paraId="49BC27EA" w14:textId="77777777" w:rsidR="00113F4F" w:rsidRPr="00275521" w:rsidRDefault="00113F4F" w:rsidP="008B6633">
            <w:pPr>
              <w:pStyle w:val="TableText0"/>
              <w:keepNext w:val="0"/>
              <w:rPr>
                <w:bCs w:val="0"/>
              </w:rPr>
            </w:pPr>
            <w:r w:rsidRPr="00275521">
              <w:rPr>
                <w:bCs w:val="0"/>
              </w:rPr>
              <w:t>At the time of the authority application, the prescriber should request the appropriate strength(s) and quantity based on the patients’ weight, according to the dosing schedule in the TGA approved Product Information to provide sufficient drug for one month’s supply with 5 repeats. A separate authority approval is required for each strength requested</w:t>
            </w:r>
          </w:p>
        </w:tc>
      </w:tr>
      <w:tr w:rsidR="00113F4F" w:rsidRPr="00275521" w14:paraId="44D789CA" w14:textId="77777777">
        <w:trPr>
          <w:cantSplit/>
          <w:trHeight w:val="20"/>
        </w:trPr>
        <w:tc>
          <w:tcPr>
            <w:tcW w:w="5000" w:type="pct"/>
            <w:tcBorders>
              <w:bottom w:val="nil"/>
            </w:tcBorders>
            <w:vAlign w:val="center"/>
          </w:tcPr>
          <w:p w14:paraId="00D6A07D" w14:textId="77777777" w:rsidR="00113F4F" w:rsidRPr="00275521" w:rsidRDefault="00113F4F" w:rsidP="008B6633">
            <w:pPr>
              <w:pStyle w:val="TableText0"/>
              <w:keepNext w:val="0"/>
              <w:rPr>
                <w:b/>
              </w:rPr>
            </w:pPr>
            <w:r w:rsidRPr="00275521">
              <w:rPr>
                <w:b/>
              </w:rPr>
              <w:t>Prescribing Instructions:</w:t>
            </w:r>
          </w:p>
        </w:tc>
      </w:tr>
      <w:tr w:rsidR="00113F4F" w:rsidRPr="00275521" w14:paraId="473A3F01" w14:textId="77777777">
        <w:trPr>
          <w:cantSplit/>
          <w:trHeight w:val="20"/>
        </w:trPr>
        <w:tc>
          <w:tcPr>
            <w:tcW w:w="5000" w:type="pct"/>
            <w:tcBorders>
              <w:top w:val="nil"/>
              <w:bottom w:val="single" w:sz="4" w:space="0" w:color="auto"/>
            </w:tcBorders>
            <w:vAlign w:val="center"/>
          </w:tcPr>
          <w:p w14:paraId="1BCDF4EF" w14:textId="77777777" w:rsidR="00113F4F" w:rsidRPr="00275521" w:rsidRDefault="00113F4F" w:rsidP="008B6633">
            <w:pPr>
              <w:pStyle w:val="TableText0"/>
              <w:keepNext w:val="0"/>
              <w:rPr>
                <w:bCs w:val="0"/>
              </w:rPr>
            </w:pPr>
            <w:r w:rsidRPr="00275521">
              <w:rPr>
                <w:bCs w:val="0"/>
              </w:rPr>
              <w:t>All diagnostic reports/tools must be documented in the patient’s medical records.</w:t>
            </w:r>
          </w:p>
        </w:tc>
      </w:tr>
      <w:tr w:rsidR="00113F4F" w:rsidRPr="00275521" w14:paraId="4A095F34" w14:textId="77777777">
        <w:trPr>
          <w:cantSplit/>
          <w:trHeight w:val="20"/>
        </w:trPr>
        <w:tc>
          <w:tcPr>
            <w:tcW w:w="5000" w:type="pct"/>
            <w:tcBorders>
              <w:bottom w:val="nil"/>
            </w:tcBorders>
            <w:vAlign w:val="center"/>
          </w:tcPr>
          <w:p w14:paraId="208FDC76" w14:textId="77777777" w:rsidR="00113F4F" w:rsidRPr="00275521" w:rsidRDefault="00113F4F" w:rsidP="008B6633">
            <w:pPr>
              <w:pStyle w:val="TableText0"/>
              <w:keepNext w:val="0"/>
              <w:rPr>
                <w:b/>
              </w:rPr>
            </w:pPr>
            <w:r w:rsidRPr="00275521">
              <w:rPr>
                <w:b/>
              </w:rPr>
              <w:t>Prescribing Instructions:</w:t>
            </w:r>
          </w:p>
        </w:tc>
      </w:tr>
      <w:tr w:rsidR="00113F4F" w:rsidRPr="00275521" w14:paraId="6D85195D" w14:textId="77777777">
        <w:trPr>
          <w:cantSplit/>
          <w:trHeight w:val="20"/>
        </w:trPr>
        <w:tc>
          <w:tcPr>
            <w:tcW w:w="5000" w:type="pct"/>
            <w:tcBorders>
              <w:top w:val="nil"/>
            </w:tcBorders>
            <w:vAlign w:val="center"/>
          </w:tcPr>
          <w:p w14:paraId="64961A8A" w14:textId="77777777" w:rsidR="00113F4F" w:rsidRPr="00275521" w:rsidRDefault="00113F4F" w:rsidP="008B6633">
            <w:pPr>
              <w:pStyle w:val="TableText0"/>
              <w:keepNext w:val="0"/>
              <w:rPr>
                <w:bCs w:val="0"/>
              </w:rPr>
            </w:pPr>
            <w:r w:rsidRPr="00275521">
              <w:rPr>
                <w:bCs w:val="0"/>
              </w:rPr>
              <w:t>Eligible patients must not be recommencing treatment directly through this treatment phase</w:t>
            </w:r>
          </w:p>
        </w:tc>
      </w:tr>
      <w:tr w:rsidR="00113F4F" w:rsidRPr="00275521" w14:paraId="5ACFF6A4" w14:textId="77777777">
        <w:trPr>
          <w:cantSplit/>
          <w:trHeight w:val="20"/>
        </w:trPr>
        <w:tc>
          <w:tcPr>
            <w:tcW w:w="5000" w:type="pct"/>
            <w:vAlign w:val="center"/>
          </w:tcPr>
          <w:p w14:paraId="262B00F1" w14:textId="77777777" w:rsidR="00113F4F" w:rsidRPr="00275521" w:rsidRDefault="00113F4F" w:rsidP="008B6633">
            <w:pPr>
              <w:pStyle w:val="TableText0"/>
              <w:keepNext w:val="0"/>
              <w:rPr>
                <w:bCs w:val="0"/>
              </w:rPr>
            </w:pPr>
            <w:r w:rsidRPr="00275521">
              <w:rPr>
                <w:bCs w:val="0"/>
              </w:rPr>
              <w:t xml:space="preserve">Patients who have demonstrated an adequate clinical response and have ceased treatment for reasons other than a lack of response may recommence treatment through the continuing treatment phase. </w:t>
            </w:r>
          </w:p>
        </w:tc>
      </w:tr>
      <w:tr w:rsidR="00113F4F" w:rsidRPr="00275521" w14:paraId="659E7B7B" w14:textId="77777777">
        <w:trPr>
          <w:cantSplit/>
          <w:trHeight w:val="20"/>
        </w:trPr>
        <w:tc>
          <w:tcPr>
            <w:tcW w:w="5000" w:type="pct"/>
            <w:vAlign w:val="center"/>
            <w:hideMark/>
          </w:tcPr>
          <w:p w14:paraId="7735CA4A" w14:textId="77777777" w:rsidR="00113F4F" w:rsidRPr="00275521" w:rsidRDefault="00113F4F" w:rsidP="008B6633">
            <w:pPr>
              <w:pStyle w:val="TableText0"/>
              <w:keepNext w:val="0"/>
            </w:pPr>
            <w:r w:rsidRPr="00275521">
              <w:rPr>
                <w:b/>
              </w:rPr>
              <w:lastRenderedPageBreak/>
              <w:t xml:space="preserve">Administrative Advice: </w:t>
            </w:r>
          </w:p>
        </w:tc>
      </w:tr>
      <w:tr w:rsidR="00113F4F" w:rsidRPr="00275521" w14:paraId="2CE0F985" w14:textId="77777777">
        <w:trPr>
          <w:cantSplit/>
          <w:trHeight w:val="20"/>
        </w:trPr>
        <w:tc>
          <w:tcPr>
            <w:tcW w:w="5000" w:type="pct"/>
            <w:vAlign w:val="bottom"/>
            <w:hideMark/>
          </w:tcPr>
          <w:p w14:paraId="0BF40E9B" w14:textId="77777777" w:rsidR="00113F4F" w:rsidRPr="00275521" w:rsidRDefault="00113F4F" w:rsidP="008B6633">
            <w:pPr>
              <w:keepLines/>
              <w:jc w:val="left"/>
              <w:rPr>
                <w:rFonts w:ascii="Arial Narrow" w:eastAsiaTheme="majorEastAsia" w:hAnsi="Arial Narrow" w:cstheme="majorBidi"/>
                <w:bCs/>
                <w:i/>
                <w:iCs/>
                <w:sz w:val="20"/>
                <w:szCs w:val="20"/>
              </w:rPr>
            </w:pPr>
            <w:r w:rsidRPr="00275521">
              <w:rPr>
                <w:rFonts w:ascii="Arial Narrow" w:eastAsiaTheme="majorEastAsia" w:hAnsi="Arial Narrow" w:cstheme="majorBidi"/>
                <w:bCs/>
                <w:sz w:val="20"/>
                <w:szCs w:val="20"/>
              </w:rPr>
              <w:t>The Prucision™ ObsRO Pruritus Scale is available as a downloadable document at:</w:t>
            </w:r>
            <w:r w:rsidRPr="00275521">
              <w:rPr>
                <w:rFonts w:ascii="Arial Narrow" w:eastAsiaTheme="majorEastAsia" w:hAnsi="Arial Narrow" w:cstheme="majorBidi"/>
                <w:bCs/>
                <w:i/>
                <w:iCs/>
                <w:sz w:val="20"/>
                <w:szCs w:val="20"/>
              </w:rPr>
              <w:t xml:space="preserve"> </w:t>
            </w:r>
            <w:hyperlink r:id="rId11" w:history="1">
              <w:r w:rsidRPr="00275521">
                <w:rPr>
                  <w:rFonts w:ascii="Arial Narrow" w:hAnsi="Arial Narrow"/>
                  <w:color w:val="0000FF"/>
                  <w:sz w:val="20"/>
                  <w:szCs w:val="20"/>
                  <w:u w:val="single"/>
                </w:rPr>
                <w:t xml:space="preserve">Prucision </w:t>
              </w:r>
              <w:r w:rsidRPr="00275521">
                <w:rPr>
                  <w:rFonts w:ascii="Arial Narrow" w:hAnsi="Arial Narrow"/>
                  <w:color w:val="0000FF"/>
                  <w:sz w:val="20"/>
                  <w:szCs w:val="20"/>
                  <w:u w:val="single"/>
                  <w:vertAlign w:val="superscript"/>
                </w:rPr>
                <w:t>TM</w:t>
              </w:r>
              <w:r w:rsidRPr="00275521">
                <w:rPr>
                  <w:rFonts w:ascii="Arial Narrow" w:hAnsi="Arial Narrow"/>
                  <w:color w:val="0000FF"/>
                  <w:sz w:val="20"/>
                  <w:szCs w:val="20"/>
                  <w:u w:val="single"/>
                </w:rPr>
                <w:t xml:space="preserve"> ObsRO Pruritus Scale</w:t>
              </w:r>
            </w:hyperlink>
          </w:p>
        </w:tc>
      </w:tr>
    </w:tbl>
    <w:p w14:paraId="4DD13969" w14:textId="77777777" w:rsidR="00113F4F" w:rsidRPr="00275521" w:rsidRDefault="00113F4F" w:rsidP="008B6633"/>
    <w:p w14:paraId="6E943FAB" w14:textId="06CA3039" w:rsidR="00113F4F" w:rsidRPr="00275521" w:rsidRDefault="00113F4F" w:rsidP="008B6633">
      <w:pPr>
        <w:keepNext/>
        <w:keepLines/>
        <w:rPr>
          <w:rFonts w:asciiTheme="minorHAnsi" w:hAnsiTheme="minorHAnsi" w:cstheme="minorHAnsi"/>
          <w:b/>
          <w:bCs/>
        </w:rPr>
      </w:pPr>
      <w:r w:rsidRPr="00275521">
        <w:rPr>
          <w:rFonts w:asciiTheme="minorHAnsi" w:hAnsiTheme="minorHAnsi" w:cstheme="minorHAnsi"/>
          <w:b/>
          <w:bCs/>
        </w:rPr>
        <w:t>Grandfather</w:t>
      </w:r>
      <w:r>
        <w:rPr>
          <w:rFonts w:asciiTheme="minorHAnsi" w:hAnsiTheme="minorHAnsi" w:cstheme="minorHAnsi"/>
          <w:b/>
          <w:bCs/>
        </w:rPr>
        <w:t xml:space="preserve"> arrangements</w:t>
      </w:r>
      <w:r w:rsidRPr="00275521">
        <w:rPr>
          <w:rFonts w:asciiTheme="minorHAnsi" w:hAnsiTheme="minorHAnsi" w:cstheme="minorHAns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Grandfather arrangements:"/>
      </w:tblPr>
      <w:tblGrid>
        <w:gridCol w:w="9017"/>
      </w:tblGrid>
      <w:tr w:rsidR="00113F4F" w:rsidRPr="00275521" w14:paraId="761B0351" w14:textId="77777777">
        <w:trPr>
          <w:cantSplit/>
          <w:trHeight w:val="20"/>
        </w:trPr>
        <w:tc>
          <w:tcPr>
            <w:tcW w:w="5000" w:type="pct"/>
          </w:tcPr>
          <w:p w14:paraId="485B6ABF" w14:textId="77777777" w:rsidR="00113F4F" w:rsidRPr="00275521" w:rsidRDefault="00113F4F" w:rsidP="008B6633">
            <w:pPr>
              <w:pStyle w:val="TableText0"/>
            </w:pPr>
            <w:r w:rsidRPr="00275521">
              <w:rPr>
                <w:b/>
              </w:rPr>
              <w:t xml:space="preserve">Category / Program: </w:t>
            </w:r>
            <w:r w:rsidRPr="00275521">
              <w:t>Section 85 – General Schedule</w:t>
            </w:r>
          </w:p>
        </w:tc>
      </w:tr>
      <w:tr w:rsidR="00113F4F" w:rsidRPr="00275521" w14:paraId="65FF095F" w14:textId="77777777">
        <w:trPr>
          <w:cantSplit/>
          <w:trHeight w:val="20"/>
        </w:trPr>
        <w:tc>
          <w:tcPr>
            <w:tcW w:w="5000" w:type="pct"/>
          </w:tcPr>
          <w:p w14:paraId="055B23C7" w14:textId="48E8E3FD" w:rsidR="00113F4F" w:rsidRPr="00275521" w:rsidRDefault="00113F4F" w:rsidP="008B6633">
            <w:pPr>
              <w:pStyle w:val="TableText0"/>
            </w:pPr>
            <w:r w:rsidRPr="00275521">
              <w:rPr>
                <w:b/>
              </w:rPr>
              <w:t>Restriction type:</w:t>
            </w:r>
            <w:r w:rsidR="008B6633">
              <w:rPr>
                <w:b/>
              </w:rPr>
              <w:t xml:space="preserve"> </w:t>
            </w:r>
          </w:p>
          <w:p w14:paraId="14784BC2" w14:textId="7CFC5946" w:rsidR="00113F4F" w:rsidRPr="00275521" w:rsidRDefault="00113F4F" w:rsidP="008B6633">
            <w:pPr>
              <w:pStyle w:val="TableText0"/>
            </w:pPr>
            <w:r w:rsidRPr="00275521">
              <w:fldChar w:fldCharType="begin">
                <w:ffData>
                  <w:name w:val="Check1"/>
                  <w:enabled/>
                  <w:calcOnExit w:val="0"/>
                  <w:checkBox>
                    <w:sizeAuto/>
                    <w:default w:val="1"/>
                  </w:checkBox>
                </w:ffData>
              </w:fldChar>
            </w:r>
            <w:r w:rsidRPr="00275521">
              <w:instrText xml:space="preserve"> FORMCHECKBOX </w:instrText>
            </w:r>
            <w:r w:rsidRPr="00275521">
              <w:fldChar w:fldCharType="separate"/>
            </w:r>
            <w:r w:rsidRPr="00275521">
              <w:fldChar w:fldCharType="end"/>
            </w:r>
            <w:r w:rsidRPr="00275521">
              <w:t>Restricted benefit</w:t>
            </w:r>
            <w:r w:rsidR="008B6633">
              <w:t xml:space="preserve"> </w:t>
            </w:r>
            <w:r w:rsidRPr="00275521">
              <w:br/>
            </w:r>
            <w:r w:rsidRPr="00275521">
              <w:fldChar w:fldCharType="begin">
                <w:ffData>
                  <w:name w:val=""/>
                  <w:enabled/>
                  <w:calcOnExit w:val="0"/>
                  <w:checkBox>
                    <w:sizeAuto/>
                    <w:default w:val="1"/>
                  </w:checkBox>
                </w:ffData>
              </w:fldChar>
            </w:r>
            <w:r w:rsidRPr="00275521">
              <w:instrText xml:space="preserve"> FORMCHECKBOX </w:instrText>
            </w:r>
            <w:r w:rsidRPr="00275521">
              <w:fldChar w:fldCharType="separate"/>
            </w:r>
            <w:r w:rsidRPr="00275521">
              <w:fldChar w:fldCharType="end"/>
            </w:r>
            <w:r w:rsidRPr="00275521">
              <w:t>Authority Required (in writing only via post/HPOS upload or Online PBS Authorities system)</w:t>
            </w:r>
            <w:r w:rsidR="008B6633">
              <w:t xml:space="preserve"> </w:t>
            </w:r>
          </w:p>
        </w:tc>
      </w:tr>
      <w:tr w:rsidR="00113F4F" w:rsidRPr="00275521" w14:paraId="11FDFC01" w14:textId="77777777">
        <w:trPr>
          <w:cantSplit/>
          <w:trHeight w:val="20"/>
        </w:trPr>
        <w:tc>
          <w:tcPr>
            <w:tcW w:w="5000" w:type="pct"/>
            <w:vAlign w:val="center"/>
            <w:hideMark/>
          </w:tcPr>
          <w:p w14:paraId="04176EB0" w14:textId="77777777" w:rsidR="00113F4F" w:rsidRPr="00275521" w:rsidRDefault="00113F4F" w:rsidP="008B6633">
            <w:pPr>
              <w:pStyle w:val="TableText0"/>
              <w:keepNext w:val="0"/>
              <w:keepLines w:val="0"/>
            </w:pPr>
            <w:r w:rsidRPr="00275521">
              <w:rPr>
                <w:b/>
              </w:rPr>
              <w:t>Indication:</w:t>
            </w:r>
            <w:r w:rsidRPr="00275521">
              <w:t xml:space="preserve"> The treatment of cholestatic pruritus in Alagille syndrome (ALGS)</w:t>
            </w:r>
          </w:p>
        </w:tc>
      </w:tr>
      <w:tr w:rsidR="00113F4F" w:rsidRPr="00275521" w14:paraId="001728AD" w14:textId="77777777">
        <w:trPr>
          <w:cantSplit/>
          <w:trHeight w:val="20"/>
        </w:trPr>
        <w:tc>
          <w:tcPr>
            <w:tcW w:w="5000" w:type="pct"/>
            <w:tcBorders>
              <w:bottom w:val="single" w:sz="4" w:space="0" w:color="auto"/>
            </w:tcBorders>
            <w:vAlign w:val="center"/>
            <w:hideMark/>
          </w:tcPr>
          <w:p w14:paraId="57B97054" w14:textId="77777777" w:rsidR="00113F4F" w:rsidRPr="00275521" w:rsidRDefault="00113F4F" w:rsidP="008B6633">
            <w:pPr>
              <w:pStyle w:val="TableText0"/>
              <w:keepNext w:val="0"/>
              <w:keepLines w:val="0"/>
            </w:pPr>
            <w:r w:rsidRPr="00275521">
              <w:rPr>
                <w:b/>
              </w:rPr>
              <w:t>Treatment Phase:</w:t>
            </w:r>
            <w:r w:rsidRPr="00275521">
              <w:t xml:space="preserve"> Grandfather</w:t>
            </w:r>
          </w:p>
        </w:tc>
      </w:tr>
      <w:tr w:rsidR="00113F4F" w:rsidRPr="00275521" w14:paraId="364D0D30" w14:textId="77777777">
        <w:trPr>
          <w:cantSplit/>
          <w:trHeight w:val="20"/>
        </w:trPr>
        <w:tc>
          <w:tcPr>
            <w:tcW w:w="5000" w:type="pct"/>
            <w:tcBorders>
              <w:bottom w:val="nil"/>
            </w:tcBorders>
            <w:vAlign w:val="center"/>
            <w:hideMark/>
          </w:tcPr>
          <w:p w14:paraId="13802661" w14:textId="77777777" w:rsidR="00113F4F" w:rsidRPr="00275521" w:rsidRDefault="00113F4F" w:rsidP="008B6633">
            <w:pPr>
              <w:pStyle w:val="TableText0"/>
              <w:keepNext w:val="0"/>
              <w:keepLines w:val="0"/>
              <w:rPr>
                <w:b/>
                <w:bCs w:val="0"/>
              </w:rPr>
            </w:pPr>
            <w:r w:rsidRPr="00275521">
              <w:rPr>
                <w:b/>
                <w:bCs w:val="0"/>
              </w:rPr>
              <w:t>Clinical criteria:</w:t>
            </w:r>
          </w:p>
        </w:tc>
      </w:tr>
      <w:tr w:rsidR="00113F4F" w:rsidRPr="00275521" w14:paraId="23E3985D" w14:textId="77777777">
        <w:trPr>
          <w:cantSplit/>
          <w:trHeight w:val="20"/>
        </w:trPr>
        <w:tc>
          <w:tcPr>
            <w:tcW w:w="5000" w:type="pct"/>
            <w:tcBorders>
              <w:top w:val="nil"/>
              <w:bottom w:val="nil"/>
            </w:tcBorders>
            <w:vAlign w:val="center"/>
            <w:hideMark/>
          </w:tcPr>
          <w:p w14:paraId="44FFC98A" w14:textId="77777777" w:rsidR="00113F4F" w:rsidRPr="00275521" w:rsidRDefault="00113F4F" w:rsidP="008B6633">
            <w:pPr>
              <w:pStyle w:val="TableText0"/>
              <w:keepNext w:val="0"/>
              <w:keepLines w:val="0"/>
            </w:pPr>
            <w:r w:rsidRPr="00275521">
              <w:t>Patient must not have received prior PBS-subsidised treatment with this drug for this condition</w:t>
            </w:r>
          </w:p>
        </w:tc>
      </w:tr>
      <w:tr w:rsidR="00113F4F" w:rsidRPr="00275521" w14:paraId="0727F0C3" w14:textId="77777777">
        <w:trPr>
          <w:cantSplit/>
          <w:trHeight w:val="20"/>
        </w:trPr>
        <w:tc>
          <w:tcPr>
            <w:tcW w:w="5000" w:type="pct"/>
            <w:tcBorders>
              <w:top w:val="nil"/>
              <w:bottom w:val="nil"/>
            </w:tcBorders>
            <w:vAlign w:val="center"/>
            <w:hideMark/>
          </w:tcPr>
          <w:p w14:paraId="6D58EA78" w14:textId="77777777" w:rsidR="00113F4F" w:rsidRPr="00275521" w:rsidRDefault="00113F4F" w:rsidP="008B6633">
            <w:pPr>
              <w:pStyle w:val="TableText0"/>
              <w:keepNext w:val="0"/>
              <w:keepLines w:val="0"/>
            </w:pPr>
            <w:r w:rsidRPr="00275521">
              <w:t>AND</w:t>
            </w:r>
          </w:p>
        </w:tc>
      </w:tr>
      <w:tr w:rsidR="00113F4F" w:rsidRPr="00275521" w14:paraId="5DF554F1" w14:textId="77777777">
        <w:trPr>
          <w:cantSplit/>
          <w:trHeight w:val="20"/>
        </w:trPr>
        <w:tc>
          <w:tcPr>
            <w:tcW w:w="5000" w:type="pct"/>
            <w:tcBorders>
              <w:top w:val="nil"/>
              <w:bottom w:val="nil"/>
            </w:tcBorders>
            <w:vAlign w:val="center"/>
            <w:hideMark/>
          </w:tcPr>
          <w:p w14:paraId="224C235C" w14:textId="77777777" w:rsidR="00113F4F" w:rsidRPr="00275521" w:rsidRDefault="00113F4F" w:rsidP="008B6633">
            <w:pPr>
              <w:pStyle w:val="TableText0"/>
              <w:keepNext w:val="0"/>
              <w:keepLines w:val="0"/>
            </w:pPr>
            <w:r w:rsidRPr="00275521">
              <w:t>Patient must have a clinical diagnosis of ALGS</w:t>
            </w:r>
          </w:p>
        </w:tc>
      </w:tr>
      <w:tr w:rsidR="00113F4F" w:rsidRPr="00275521" w14:paraId="5091843E" w14:textId="77777777">
        <w:trPr>
          <w:cantSplit/>
          <w:trHeight w:val="20"/>
        </w:trPr>
        <w:tc>
          <w:tcPr>
            <w:tcW w:w="5000" w:type="pct"/>
            <w:tcBorders>
              <w:top w:val="nil"/>
              <w:bottom w:val="nil"/>
            </w:tcBorders>
            <w:vAlign w:val="center"/>
            <w:hideMark/>
          </w:tcPr>
          <w:p w14:paraId="27C87732" w14:textId="77777777" w:rsidR="00113F4F" w:rsidRPr="00275521" w:rsidRDefault="00113F4F" w:rsidP="008B6633">
            <w:pPr>
              <w:pStyle w:val="TableText0"/>
              <w:keepNext w:val="0"/>
              <w:keepLines w:val="0"/>
            </w:pPr>
            <w:r w:rsidRPr="00275521">
              <w:t>AND</w:t>
            </w:r>
          </w:p>
        </w:tc>
      </w:tr>
      <w:tr w:rsidR="00113F4F" w:rsidRPr="00275521" w14:paraId="68383932" w14:textId="77777777">
        <w:trPr>
          <w:cantSplit/>
          <w:trHeight w:val="20"/>
        </w:trPr>
        <w:tc>
          <w:tcPr>
            <w:tcW w:w="5000" w:type="pct"/>
            <w:tcBorders>
              <w:top w:val="nil"/>
              <w:bottom w:val="nil"/>
            </w:tcBorders>
            <w:vAlign w:val="center"/>
            <w:hideMark/>
          </w:tcPr>
          <w:p w14:paraId="798B1882" w14:textId="77777777" w:rsidR="00113F4F" w:rsidRPr="00275521" w:rsidRDefault="00113F4F" w:rsidP="008B6633">
            <w:pPr>
              <w:pStyle w:val="TableText0"/>
              <w:keepNext w:val="0"/>
              <w:keepLines w:val="0"/>
            </w:pPr>
            <w:r w:rsidRPr="00275521">
              <w:t>The patient must have elevated serum bile acids at treatment initiation with this drug or maralixibat</w:t>
            </w:r>
          </w:p>
        </w:tc>
      </w:tr>
      <w:tr w:rsidR="00113F4F" w:rsidRPr="00275521" w14:paraId="582CFDD2" w14:textId="77777777">
        <w:trPr>
          <w:cantSplit/>
          <w:trHeight w:val="20"/>
        </w:trPr>
        <w:tc>
          <w:tcPr>
            <w:tcW w:w="5000" w:type="pct"/>
            <w:tcBorders>
              <w:top w:val="nil"/>
              <w:bottom w:val="nil"/>
            </w:tcBorders>
            <w:vAlign w:val="center"/>
            <w:hideMark/>
          </w:tcPr>
          <w:p w14:paraId="4FF72AAD" w14:textId="77777777" w:rsidR="00113F4F" w:rsidRPr="00275521" w:rsidRDefault="00113F4F" w:rsidP="008B6633">
            <w:pPr>
              <w:pStyle w:val="TableText0"/>
              <w:keepNext w:val="0"/>
              <w:keepLines w:val="0"/>
              <w:rPr>
                <w:i/>
                <w:iCs/>
              </w:rPr>
            </w:pPr>
            <w:r w:rsidRPr="00275521">
              <w:t>AND</w:t>
            </w:r>
          </w:p>
        </w:tc>
      </w:tr>
      <w:tr w:rsidR="00113F4F" w:rsidRPr="00275521" w14:paraId="460854EA" w14:textId="77777777">
        <w:trPr>
          <w:cantSplit/>
          <w:trHeight w:val="20"/>
        </w:trPr>
        <w:tc>
          <w:tcPr>
            <w:tcW w:w="5000" w:type="pct"/>
            <w:tcBorders>
              <w:top w:val="nil"/>
              <w:bottom w:val="nil"/>
            </w:tcBorders>
            <w:vAlign w:val="center"/>
            <w:hideMark/>
          </w:tcPr>
          <w:p w14:paraId="51124C5C" w14:textId="77777777" w:rsidR="00113F4F" w:rsidRPr="00275521" w:rsidRDefault="00113F4F" w:rsidP="008B6633">
            <w:pPr>
              <w:pStyle w:val="TableText0"/>
              <w:keepNext w:val="0"/>
              <w:keepLines w:val="0"/>
            </w:pPr>
            <w:r w:rsidRPr="00275521">
              <w:t>Patient must have been experiencing itch at treatment initiation with this drug or maralixibat with other factors causing pruritus excluded through both:(i) physical examination and (ii) patient history</w:t>
            </w:r>
          </w:p>
        </w:tc>
      </w:tr>
      <w:tr w:rsidR="00113F4F" w:rsidRPr="00275521" w14:paraId="687D39E1" w14:textId="77777777">
        <w:trPr>
          <w:cantSplit/>
          <w:trHeight w:val="20"/>
        </w:trPr>
        <w:tc>
          <w:tcPr>
            <w:tcW w:w="5000" w:type="pct"/>
            <w:tcBorders>
              <w:top w:val="nil"/>
              <w:bottom w:val="nil"/>
            </w:tcBorders>
            <w:vAlign w:val="center"/>
          </w:tcPr>
          <w:p w14:paraId="48AE79A3" w14:textId="77777777" w:rsidR="00113F4F" w:rsidRPr="00275521" w:rsidRDefault="00113F4F" w:rsidP="008B6633">
            <w:pPr>
              <w:pStyle w:val="TableText0"/>
              <w:keepNext w:val="0"/>
              <w:keepLines w:val="0"/>
            </w:pPr>
            <w:r w:rsidRPr="00275521">
              <w:t>AND</w:t>
            </w:r>
          </w:p>
        </w:tc>
      </w:tr>
      <w:tr w:rsidR="00113F4F" w:rsidRPr="00275521" w14:paraId="6BF70B09" w14:textId="77777777">
        <w:trPr>
          <w:cantSplit/>
          <w:trHeight w:val="20"/>
        </w:trPr>
        <w:tc>
          <w:tcPr>
            <w:tcW w:w="5000" w:type="pct"/>
            <w:tcBorders>
              <w:top w:val="nil"/>
              <w:bottom w:val="nil"/>
            </w:tcBorders>
            <w:vAlign w:val="center"/>
          </w:tcPr>
          <w:p w14:paraId="27225A83" w14:textId="77777777" w:rsidR="00113F4F" w:rsidRPr="00275521" w:rsidRDefault="00113F4F" w:rsidP="008B6633">
            <w:pPr>
              <w:pStyle w:val="TableText0"/>
              <w:keepNext w:val="0"/>
              <w:keepLines w:val="0"/>
            </w:pPr>
            <w:r w:rsidRPr="00275521">
              <w:t>Patient must have had an average pruritus score of ≥2 on the Prucision™ ObsRO Pruritus Scale prior to initiation of treatment initiation with this drug or maralixibat</w:t>
            </w:r>
          </w:p>
        </w:tc>
      </w:tr>
      <w:tr w:rsidR="00113F4F" w:rsidRPr="00275521" w14:paraId="6A439280" w14:textId="77777777">
        <w:trPr>
          <w:cantSplit/>
          <w:trHeight w:val="20"/>
        </w:trPr>
        <w:tc>
          <w:tcPr>
            <w:tcW w:w="5000" w:type="pct"/>
            <w:tcBorders>
              <w:top w:val="nil"/>
              <w:bottom w:val="nil"/>
            </w:tcBorders>
            <w:vAlign w:val="center"/>
          </w:tcPr>
          <w:p w14:paraId="7F6F41FD" w14:textId="77777777" w:rsidR="00113F4F" w:rsidRPr="00275521" w:rsidRDefault="00113F4F" w:rsidP="008B6633">
            <w:pPr>
              <w:pStyle w:val="TableText0"/>
              <w:keepNext w:val="0"/>
              <w:keepLines w:val="0"/>
            </w:pPr>
            <w:r w:rsidRPr="00275521">
              <w:t>AND</w:t>
            </w:r>
          </w:p>
        </w:tc>
      </w:tr>
      <w:tr w:rsidR="00113F4F" w:rsidRPr="00275521" w14:paraId="790ECAE4" w14:textId="77777777">
        <w:trPr>
          <w:cantSplit/>
          <w:trHeight w:val="20"/>
        </w:trPr>
        <w:tc>
          <w:tcPr>
            <w:tcW w:w="5000" w:type="pct"/>
            <w:tcBorders>
              <w:top w:val="nil"/>
              <w:bottom w:val="single" w:sz="4" w:space="0" w:color="auto"/>
            </w:tcBorders>
            <w:vAlign w:val="center"/>
          </w:tcPr>
          <w:p w14:paraId="3D5821A0" w14:textId="77777777" w:rsidR="00113F4F" w:rsidRPr="00275521" w:rsidRDefault="00113F4F" w:rsidP="008B6633">
            <w:pPr>
              <w:pStyle w:val="TableText0"/>
              <w:keepNext w:val="0"/>
              <w:keepLines w:val="0"/>
            </w:pPr>
            <w:r w:rsidRPr="00275521">
              <w:t>Patient must have demonstrated an adequate clinical response to the most recent course of treatment with this drug or maralixibat</w:t>
            </w:r>
          </w:p>
        </w:tc>
      </w:tr>
      <w:tr w:rsidR="00113F4F" w:rsidRPr="00275521" w14:paraId="29BE78BE" w14:textId="77777777">
        <w:trPr>
          <w:cantSplit/>
          <w:trHeight w:val="20"/>
        </w:trPr>
        <w:tc>
          <w:tcPr>
            <w:tcW w:w="5000" w:type="pct"/>
            <w:tcBorders>
              <w:bottom w:val="nil"/>
            </w:tcBorders>
            <w:vAlign w:val="center"/>
          </w:tcPr>
          <w:p w14:paraId="478A8FE1" w14:textId="77777777" w:rsidR="00113F4F" w:rsidRPr="00275521" w:rsidRDefault="00113F4F" w:rsidP="008B6633">
            <w:pPr>
              <w:pStyle w:val="TableText0"/>
              <w:keepNext w:val="0"/>
              <w:keepLines w:val="0"/>
              <w:rPr>
                <w:b/>
                <w:bCs w:val="0"/>
              </w:rPr>
            </w:pPr>
            <w:r w:rsidRPr="00275521">
              <w:rPr>
                <w:b/>
                <w:bCs w:val="0"/>
              </w:rPr>
              <w:t>Treatment criteria:</w:t>
            </w:r>
          </w:p>
        </w:tc>
      </w:tr>
      <w:tr w:rsidR="00113F4F" w:rsidRPr="00275521" w14:paraId="03428E5B" w14:textId="77777777">
        <w:trPr>
          <w:cantSplit/>
          <w:trHeight w:val="20"/>
        </w:trPr>
        <w:tc>
          <w:tcPr>
            <w:tcW w:w="5000" w:type="pct"/>
            <w:tcBorders>
              <w:top w:val="nil"/>
            </w:tcBorders>
            <w:vAlign w:val="center"/>
          </w:tcPr>
          <w:p w14:paraId="0B2AC7E0" w14:textId="77777777" w:rsidR="00113F4F" w:rsidRPr="00275521" w:rsidRDefault="00113F4F" w:rsidP="008B6633">
            <w:pPr>
              <w:pStyle w:val="TableText0"/>
              <w:keepNext w:val="0"/>
              <w:keepLines w:val="0"/>
            </w:pPr>
            <w:r w:rsidRPr="00275521">
              <w:t>Must be treated by a specialist experienced in the management of ALGS, who is either a: (i) gastroenterologist, (ii) hepatologist</w:t>
            </w:r>
          </w:p>
        </w:tc>
      </w:tr>
      <w:tr w:rsidR="00113F4F" w:rsidRPr="00275521" w14:paraId="01712B3B" w14:textId="77777777">
        <w:trPr>
          <w:cantSplit/>
          <w:trHeight w:val="20"/>
        </w:trPr>
        <w:tc>
          <w:tcPr>
            <w:tcW w:w="5000" w:type="pct"/>
            <w:tcBorders>
              <w:bottom w:val="nil"/>
            </w:tcBorders>
            <w:vAlign w:val="center"/>
          </w:tcPr>
          <w:p w14:paraId="2B5BF275" w14:textId="77777777" w:rsidR="00113F4F" w:rsidRPr="00275521" w:rsidRDefault="00113F4F" w:rsidP="008B6633">
            <w:pPr>
              <w:pStyle w:val="TableText0"/>
              <w:keepNext w:val="0"/>
              <w:keepLines w:val="0"/>
              <w:rPr>
                <w:b/>
              </w:rPr>
            </w:pPr>
            <w:r w:rsidRPr="00275521">
              <w:rPr>
                <w:b/>
              </w:rPr>
              <w:t>Population criteria:</w:t>
            </w:r>
          </w:p>
        </w:tc>
      </w:tr>
      <w:tr w:rsidR="00113F4F" w:rsidRPr="00275521" w14:paraId="68AE1A97" w14:textId="77777777">
        <w:trPr>
          <w:cantSplit/>
          <w:trHeight w:val="20"/>
        </w:trPr>
        <w:tc>
          <w:tcPr>
            <w:tcW w:w="5000" w:type="pct"/>
            <w:tcBorders>
              <w:top w:val="nil"/>
              <w:bottom w:val="single" w:sz="4" w:space="0" w:color="auto"/>
            </w:tcBorders>
            <w:vAlign w:val="center"/>
          </w:tcPr>
          <w:p w14:paraId="6D942DCE" w14:textId="77777777" w:rsidR="00113F4F" w:rsidRPr="00275521" w:rsidRDefault="00113F4F" w:rsidP="008B6633">
            <w:pPr>
              <w:pStyle w:val="TableText0"/>
              <w:keepNext w:val="0"/>
              <w:keepLines w:val="0"/>
              <w:rPr>
                <w:bCs w:val="0"/>
              </w:rPr>
            </w:pPr>
            <w:r w:rsidRPr="00275521">
              <w:rPr>
                <w:bCs w:val="0"/>
              </w:rPr>
              <w:t>Patient must be aged 6 months or older</w:t>
            </w:r>
          </w:p>
        </w:tc>
      </w:tr>
      <w:tr w:rsidR="00113F4F" w:rsidRPr="00275521" w14:paraId="5F160BC7" w14:textId="77777777">
        <w:trPr>
          <w:cantSplit/>
          <w:trHeight w:val="20"/>
        </w:trPr>
        <w:tc>
          <w:tcPr>
            <w:tcW w:w="5000" w:type="pct"/>
            <w:tcBorders>
              <w:bottom w:val="nil"/>
            </w:tcBorders>
            <w:vAlign w:val="center"/>
          </w:tcPr>
          <w:p w14:paraId="7A3F07AA" w14:textId="77777777" w:rsidR="00113F4F" w:rsidRPr="00275521" w:rsidRDefault="00113F4F" w:rsidP="008B6633">
            <w:pPr>
              <w:pStyle w:val="TableText0"/>
              <w:keepNext w:val="0"/>
              <w:keepLines w:val="0"/>
              <w:rPr>
                <w:b/>
              </w:rPr>
            </w:pPr>
            <w:r w:rsidRPr="00275521">
              <w:rPr>
                <w:b/>
              </w:rPr>
              <w:t>Prescribing Instructions:</w:t>
            </w:r>
          </w:p>
        </w:tc>
      </w:tr>
      <w:tr w:rsidR="00113F4F" w:rsidRPr="00275521" w14:paraId="745F73D0" w14:textId="77777777">
        <w:trPr>
          <w:cantSplit/>
          <w:trHeight w:val="20"/>
        </w:trPr>
        <w:tc>
          <w:tcPr>
            <w:tcW w:w="5000" w:type="pct"/>
            <w:tcBorders>
              <w:top w:val="nil"/>
              <w:bottom w:val="single" w:sz="4" w:space="0" w:color="auto"/>
            </w:tcBorders>
            <w:vAlign w:val="center"/>
          </w:tcPr>
          <w:p w14:paraId="6BCEB76B" w14:textId="77777777" w:rsidR="00113F4F" w:rsidRPr="00275521" w:rsidRDefault="00113F4F" w:rsidP="008B6633">
            <w:pPr>
              <w:pStyle w:val="TableText0"/>
              <w:keepNext w:val="0"/>
              <w:keepLines w:val="0"/>
              <w:rPr>
                <w:bCs w:val="0"/>
              </w:rPr>
            </w:pPr>
            <w:r w:rsidRPr="00275521">
              <w:rPr>
                <w:bCs w:val="0"/>
              </w:rPr>
              <w:t>An adequate clinical response under this treatment phase is defined as maintenance of an average ≥1 grade improvement in pruritus score, versus baseline measurement, on the Prucision™ ObsRO Pruritus Scale, assessed on 3 occasions over a one-week period prior to assessment of response</w:t>
            </w:r>
          </w:p>
        </w:tc>
      </w:tr>
      <w:tr w:rsidR="00113F4F" w:rsidRPr="00275521" w14:paraId="28D84456" w14:textId="77777777">
        <w:trPr>
          <w:cantSplit/>
          <w:trHeight w:val="20"/>
        </w:trPr>
        <w:tc>
          <w:tcPr>
            <w:tcW w:w="5000" w:type="pct"/>
            <w:tcBorders>
              <w:top w:val="single" w:sz="4" w:space="0" w:color="auto"/>
              <w:bottom w:val="nil"/>
            </w:tcBorders>
            <w:vAlign w:val="center"/>
          </w:tcPr>
          <w:p w14:paraId="0CEADACB" w14:textId="77777777" w:rsidR="00113F4F" w:rsidRPr="00275521" w:rsidRDefault="00113F4F" w:rsidP="008B6633">
            <w:pPr>
              <w:pStyle w:val="TableText0"/>
              <w:keepNext w:val="0"/>
              <w:keepLines w:val="0"/>
              <w:rPr>
                <w:b/>
              </w:rPr>
            </w:pPr>
            <w:r w:rsidRPr="00275521">
              <w:rPr>
                <w:b/>
              </w:rPr>
              <w:t>Prescribing Instructions:</w:t>
            </w:r>
          </w:p>
        </w:tc>
      </w:tr>
      <w:tr w:rsidR="00113F4F" w:rsidRPr="00275521" w14:paraId="292BD9C4" w14:textId="77777777">
        <w:trPr>
          <w:cantSplit/>
          <w:trHeight w:val="20"/>
        </w:trPr>
        <w:tc>
          <w:tcPr>
            <w:tcW w:w="5000" w:type="pct"/>
            <w:tcBorders>
              <w:top w:val="nil"/>
              <w:bottom w:val="single" w:sz="4" w:space="0" w:color="auto"/>
            </w:tcBorders>
            <w:vAlign w:val="center"/>
          </w:tcPr>
          <w:p w14:paraId="0BC25FA0" w14:textId="77777777" w:rsidR="00113F4F" w:rsidRPr="00275521" w:rsidRDefault="00113F4F" w:rsidP="008B6633">
            <w:pPr>
              <w:pStyle w:val="TableText0"/>
              <w:keepNext w:val="0"/>
              <w:keepLines w:val="0"/>
              <w:rPr>
                <w:bCs w:val="0"/>
              </w:rPr>
            </w:pPr>
            <w:r w:rsidRPr="00275521">
              <w:rPr>
                <w:bCs w:val="0"/>
              </w:rPr>
              <w:t>The authority application must be made via the Online PBS Authorities System, or in writing via HPOS form upload or mail and must include:</w:t>
            </w:r>
          </w:p>
          <w:p w14:paraId="3ADB426F" w14:textId="77777777" w:rsidR="00113F4F" w:rsidRPr="00275521" w:rsidRDefault="00113F4F" w:rsidP="008B6633">
            <w:pPr>
              <w:pStyle w:val="TableText0"/>
              <w:keepNext w:val="0"/>
              <w:keepLines w:val="0"/>
              <w:ind w:left="720"/>
              <w:rPr>
                <w:bCs w:val="0"/>
              </w:rPr>
            </w:pPr>
            <w:r w:rsidRPr="00275521">
              <w:rPr>
                <w:bCs w:val="0"/>
              </w:rPr>
              <w:t>(1)</w:t>
            </w:r>
            <w:r w:rsidRPr="00275521">
              <w:rPr>
                <w:bCs w:val="0"/>
              </w:rPr>
              <w:tab/>
              <w:t>details of the pruritus score using the Prucision™ ObsRO Pruritus scale</w:t>
            </w:r>
          </w:p>
          <w:p w14:paraId="089076D7" w14:textId="77777777" w:rsidR="00113F4F" w:rsidRPr="00275521" w:rsidRDefault="00113F4F" w:rsidP="008B6633">
            <w:pPr>
              <w:pStyle w:val="TableText0"/>
              <w:keepNext w:val="0"/>
              <w:keepLines w:val="0"/>
              <w:ind w:left="720"/>
              <w:rPr>
                <w:b/>
              </w:rPr>
            </w:pPr>
            <w:r w:rsidRPr="00275521">
              <w:rPr>
                <w:bCs w:val="0"/>
              </w:rPr>
              <w:t>(2)</w:t>
            </w:r>
            <w:r w:rsidRPr="00275521">
              <w:rPr>
                <w:bCs w:val="0"/>
              </w:rPr>
              <w:tab/>
              <w:t>details of serum bile acids (date and micromol/L)</w:t>
            </w:r>
          </w:p>
        </w:tc>
      </w:tr>
      <w:tr w:rsidR="00113F4F" w:rsidRPr="00275521" w14:paraId="579D2C3F" w14:textId="77777777">
        <w:trPr>
          <w:cantSplit/>
          <w:trHeight w:val="20"/>
        </w:trPr>
        <w:tc>
          <w:tcPr>
            <w:tcW w:w="5000" w:type="pct"/>
            <w:tcBorders>
              <w:bottom w:val="nil"/>
            </w:tcBorders>
            <w:vAlign w:val="center"/>
          </w:tcPr>
          <w:p w14:paraId="124E0EDF" w14:textId="77777777" w:rsidR="00113F4F" w:rsidRPr="00275521" w:rsidRDefault="00113F4F" w:rsidP="008B6633">
            <w:pPr>
              <w:pStyle w:val="TableText0"/>
              <w:keepNext w:val="0"/>
              <w:keepLines w:val="0"/>
              <w:rPr>
                <w:b/>
              </w:rPr>
            </w:pPr>
            <w:r w:rsidRPr="00275521">
              <w:rPr>
                <w:b/>
              </w:rPr>
              <w:t>Prescribing Instructions:</w:t>
            </w:r>
          </w:p>
        </w:tc>
      </w:tr>
      <w:tr w:rsidR="00113F4F" w:rsidRPr="00275521" w14:paraId="14CDE929" w14:textId="77777777">
        <w:trPr>
          <w:cantSplit/>
          <w:trHeight w:val="20"/>
        </w:trPr>
        <w:tc>
          <w:tcPr>
            <w:tcW w:w="5000" w:type="pct"/>
            <w:tcBorders>
              <w:top w:val="nil"/>
              <w:bottom w:val="single" w:sz="4" w:space="0" w:color="auto"/>
            </w:tcBorders>
            <w:vAlign w:val="center"/>
          </w:tcPr>
          <w:p w14:paraId="43B73F4F" w14:textId="77777777" w:rsidR="00113F4F" w:rsidRPr="00275521" w:rsidRDefault="00113F4F" w:rsidP="008B6633">
            <w:pPr>
              <w:pStyle w:val="TableText0"/>
              <w:keepNext w:val="0"/>
              <w:keepLines w:val="0"/>
              <w:rPr>
                <w:bCs w:val="0"/>
              </w:rPr>
            </w:pPr>
            <w:r w:rsidRPr="00275521">
              <w:rPr>
                <w:bCs w:val="0"/>
              </w:rPr>
              <w:t>If the application is submitted through HPOS form upload or mail, it must include:</w:t>
            </w:r>
          </w:p>
          <w:p w14:paraId="68048C0B" w14:textId="77777777" w:rsidR="00113F4F" w:rsidRPr="00275521" w:rsidRDefault="00113F4F" w:rsidP="008B6633">
            <w:pPr>
              <w:pStyle w:val="TableText0"/>
              <w:keepNext w:val="0"/>
              <w:keepLines w:val="0"/>
              <w:rPr>
                <w:bCs w:val="0"/>
              </w:rPr>
            </w:pPr>
            <w:r w:rsidRPr="00275521">
              <w:rPr>
                <w:bCs w:val="0"/>
              </w:rPr>
              <w:t>(i) details of the proposed prescription; and</w:t>
            </w:r>
          </w:p>
          <w:p w14:paraId="117D73BE" w14:textId="77777777" w:rsidR="00113F4F" w:rsidRPr="00275521" w:rsidRDefault="00113F4F" w:rsidP="008B6633">
            <w:pPr>
              <w:pStyle w:val="TableText0"/>
              <w:keepNext w:val="0"/>
              <w:keepLines w:val="0"/>
              <w:rPr>
                <w:b/>
              </w:rPr>
            </w:pPr>
            <w:r w:rsidRPr="00275521">
              <w:rPr>
                <w:bCs w:val="0"/>
              </w:rPr>
              <w:t>(ii) a completed authority application form relevant to the indication and treatment phase (the latest version is located on the website specified in the Administrative Advice).</w:t>
            </w:r>
          </w:p>
        </w:tc>
      </w:tr>
      <w:tr w:rsidR="00113F4F" w:rsidRPr="00275521" w14:paraId="72D92776" w14:textId="77777777">
        <w:trPr>
          <w:cantSplit/>
          <w:trHeight w:val="20"/>
        </w:trPr>
        <w:tc>
          <w:tcPr>
            <w:tcW w:w="5000" w:type="pct"/>
            <w:tcBorders>
              <w:bottom w:val="nil"/>
            </w:tcBorders>
            <w:vAlign w:val="center"/>
          </w:tcPr>
          <w:p w14:paraId="3A769905" w14:textId="77777777" w:rsidR="00113F4F" w:rsidRPr="00275521" w:rsidRDefault="00113F4F" w:rsidP="008B6633">
            <w:pPr>
              <w:pStyle w:val="TableText0"/>
              <w:keepNext w:val="0"/>
              <w:keepLines w:val="0"/>
              <w:rPr>
                <w:b/>
              </w:rPr>
            </w:pPr>
            <w:r w:rsidRPr="00275521">
              <w:rPr>
                <w:b/>
              </w:rPr>
              <w:t>Prescribing Instructions:</w:t>
            </w:r>
          </w:p>
        </w:tc>
      </w:tr>
      <w:tr w:rsidR="00113F4F" w:rsidRPr="00275521" w14:paraId="6D1F0FEC" w14:textId="77777777">
        <w:trPr>
          <w:cantSplit/>
          <w:trHeight w:val="20"/>
        </w:trPr>
        <w:tc>
          <w:tcPr>
            <w:tcW w:w="5000" w:type="pct"/>
            <w:tcBorders>
              <w:top w:val="nil"/>
              <w:bottom w:val="single" w:sz="4" w:space="0" w:color="auto"/>
            </w:tcBorders>
            <w:vAlign w:val="center"/>
          </w:tcPr>
          <w:p w14:paraId="0FCBC11F" w14:textId="77777777" w:rsidR="00113F4F" w:rsidRPr="00275521" w:rsidRDefault="00113F4F" w:rsidP="008B6633">
            <w:pPr>
              <w:pStyle w:val="TableText0"/>
              <w:keepNext w:val="0"/>
              <w:keepLines w:val="0"/>
              <w:rPr>
                <w:bCs w:val="0"/>
              </w:rPr>
            </w:pPr>
            <w:r w:rsidRPr="00275521">
              <w:rPr>
                <w:bCs w:val="0"/>
              </w:rPr>
              <w:t>Prescriber must exclude any other causes of pruritus which include any of the following:</w:t>
            </w:r>
          </w:p>
          <w:p w14:paraId="16BC816E" w14:textId="77777777" w:rsidR="00113F4F" w:rsidRPr="00275521" w:rsidRDefault="00113F4F" w:rsidP="008B6633">
            <w:pPr>
              <w:pStyle w:val="TableText0"/>
              <w:keepNext w:val="0"/>
              <w:keepLines w:val="0"/>
              <w:rPr>
                <w:bCs w:val="0"/>
              </w:rPr>
            </w:pPr>
            <w:r w:rsidRPr="00275521">
              <w:rPr>
                <w:bCs w:val="0"/>
              </w:rPr>
              <w:t>(i) drug related (e.g., opioid-related pruritus)</w:t>
            </w:r>
          </w:p>
          <w:p w14:paraId="58BE1128" w14:textId="77777777" w:rsidR="00113F4F" w:rsidRPr="00275521" w:rsidRDefault="00113F4F" w:rsidP="008B6633">
            <w:pPr>
              <w:pStyle w:val="TableText0"/>
              <w:keepNext w:val="0"/>
              <w:keepLines w:val="0"/>
              <w:rPr>
                <w:bCs w:val="0"/>
              </w:rPr>
            </w:pPr>
            <w:r w:rsidRPr="00275521">
              <w:rPr>
                <w:bCs w:val="0"/>
              </w:rPr>
              <w:t>(ii) drug hypersensitivity or adverse effect; contact dermatitis; allergy</w:t>
            </w:r>
          </w:p>
          <w:p w14:paraId="0EA50E37" w14:textId="77777777" w:rsidR="00113F4F" w:rsidRPr="00275521" w:rsidRDefault="00113F4F" w:rsidP="008B6633">
            <w:pPr>
              <w:pStyle w:val="TableText0"/>
              <w:keepNext w:val="0"/>
              <w:keepLines w:val="0"/>
              <w:rPr>
                <w:b/>
              </w:rPr>
            </w:pPr>
            <w:r w:rsidRPr="00275521">
              <w:rPr>
                <w:bCs w:val="0"/>
              </w:rPr>
              <w:t>(iii) differential diagnoses (e.g., xerosis; infestations; iron deficiency; chronic kidney disease; polycythaemia vera/leukemia/lymphoma; hypothyroidism; uncontrolled diabetes, eczema, scabies).</w:t>
            </w:r>
          </w:p>
        </w:tc>
      </w:tr>
      <w:tr w:rsidR="00113F4F" w:rsidRPr="00275521" w14:paraId="72128674" w14:textId="77777777">
        <w:trPr>
          <w:cantSplit/>
          <w:trHeight w:val="20"/>
        </w:trPr>
        <w:tc>
          <w:tcPr>
            <w:tcW w:w="5000" w:type="pct"/>
            <w:tcBorders>
              <w:bottom w:val="nil"/>
            </w:tcBorders>
            <w:vAlign w:val="center"/>
          </w:tcPr>
          <w:p w14:paraId="5BB2B690" w14:textId="77777777" w:rsidR="00113F4F" w:rsidRPr="00275521" w:rsidRDefault="00113F4F" w:rsidP="008B6633">
            <w:pPr>
              <w:pStyle w:val="TableText0"/>
              <w:rPr>
                <w:b/>
              </w:rPr>
            </w:pPr>
            <w:r w:rsidRPr="00275521">
              <w:rPr>
                <w:b/>
              </w:rPr>
              <w:lastRenderedPageBreak/>
              <w:t>Prescribing Instructions:</w:t>
            </w:r>
          </w:p>
        </w:tc>
      </w:tr>
      <w:tr w:rsidR="00113F4F" w:rsidRPr="00275521" w14:paraId="2F0EF2F5" w14:textId="77777777">
        <w:trPr>
          <w:cantSplit/>
          <w:trHeight w:val="20"/>
        </w:trPr>
        <w:tc>
          <w:tcPr>
            <w:tcW w:w="5000" w:type="pct"/>
            <w:tcBorders>
              <w:top w:val="nil"/>
              <w:bottom w:val="single" w:sz="4" w:space="0" w:color="auto"/>
            </w:tcBorders>
            <w:vAlign w:val="center"/>
          </w:tcPr>
          <w:p w14:paraId="4BBD0FAB" w14:textId="77777777" w:rsidR="00113F4F" w:rsidRPr="00275521" w:rsidRDefault="00113F4F" w:rsidP="008B6633">
            <w:pPr>
              <w:pStyle w:val="TableText0"/>
              <w:rPr>
                <w:bCs w:val="0"/>
              </w:rPr>
            </w:pPr>
            <w:r w:rsidRPr="00275521">
              <w:rPr>
                <w:bCs w:val="0"/>
              </w:rPr>
              <w:t>At the time of the authority application, the prescriber should request the appropriate strength(s) and quantity based on the patients’ weight, according to the dosing schedule in the TGA approved Product Information to provide sufficient drug for one month’s supply with 5 repeats. A separate authority approval is required for each strength requested</w:t>
            </w:r>
          </w:p>
        </w:tc>
      </w:tr>
      <w:tr w:rsidR="00113F4F" w:rsidRPr="00275521" w14:paraId="5D094F46" w14:textId="77777777">
        <w:trPr>
          <w:cantSplit/>
          <w:trHeight w:val="20"/>
        </w:trPr>
        <w:tc>
          <w:tcPr>
            <w:tcW w:w="5000" w:type="pct"/>
            <w:tcBorders>
              <w:bottom w:val="nil"/>
            </w:tcBorders>
            <w:vAlign w:val="center"/>
          </w:tcPr>
          <w:p w14:paraId="6B8B60B1" w14:textId="77777777" w:rsidR="00113F4F" w:rsidRPr="00275521" w:rsidRDefault="00113F4F" w:rsidP="008B6633">
            <w:pPr>
              <w:pStyle w:val="TableText0"/>
              <w:keepNext w:val="0"/>
              <w:keepLines w:val="0"/>
              <w:rPr>
                <w:b/>
              </w:rPr>
            </w:pPr>
            <w:r w:rsidRPr="00275521">
              <w:rPr>
                <w:b/>
              </w:rPr>
              <w:t>Prescribing Instructions:</w:t>
            </w:r>
          </w:p>
        </w:tc>
      </w:tr>
      <w:tr w:rsidR="00113F4F" w:rsidRPr="00275521" w14:paraId="48E0EAED" w14:textId="77777777">
        <w:trPr>
          <w:cantSplit/>
          <w:trHeight w:val="20"/>
        </w:trPr>
        <w:tc>
          <w:tcPr>
            <w:tcW w:w="5000" w:type="pct"/>
            <w:tcBorders>
              <w:top w:val="nil"/>
              <w:bottom w:val="single" w:sz="4" w:space="0" w:color="auto"/>
            </w:tcBorders>
            <w:vAlign w:val="center"/>
          </w:tcPr>
          <w:p w14:paraId="49331CB3" w14:textId="77777777" w:rsidR="00113F4F" w:rsidRPr="00275521" w:rsidRDefault="00113F4F" w:rsidP="008B6633">
            <w:pPr>
              <w:pStyle w:val="TableText0"/>
              <w:keepNext w:val="0"/>
              <w:keepLines w:val="0"/>
              <w:rPr>
                <w:bCs w:val="0"/>
              </w:rPr>
            </w:pPr>
            <w:r w:rsidRPr="00275521">
              <w:rPr>
                <w:bCs w:val="0"/>
              </w:rPr>
              <w:t>All diagnostic reports/tools must be documented in the patient’s medical records.</w:t>
            </w:r>
          </w:p>
        </w:tc>
      </w:tr>
      <w:tr w:rsidR="00113F4F" w:rsidRPr="00275521" w14:paraId="026668D5" w14:textId="77777777">
        <w:trPr>
          <w:cantSplit/>
          <w:trHeight w:val="20"/>
        </w:trPr>
        <w:tc>
          <w:tcPr>
            <w:tcW w:w="5000" w:type="pct"/>
            <w:tcBorders>
              <w:bottom w:val="nil"/>
            </w:tcBorders>
            <w:vAlign w:val="center"/>
          </w:tcPr>
          <w:p w14:paraId="77A14F26" w14:textId="77777777" w:rsidR="00113F4F" w:rsidRPr="00275521" w:rsidRDefault="00113F4F" w:rsidP="008B6633">
            <w:pPr>
              <w:pStyle w:val="TableText0"/>
              <w:keepNext w:val="0"/>
              <w:keepLines w:val="0"/>
              <w:rPr>
                <w:b/>
              </w:rPr>
            </w:pPr>
            <w:r w:rsidRPr="00275521">
              <w:rPr>
                <w:b/>
              </w:rPr>
              <w:t>Prescribing Instructions:</w:t>
            </w:r>
          </w:p>
        </w:tc>
      </w:tr>
      <w:tr w:rsidR="00113F4F" w:rsidRPr="00275521" w14:paraId="2F572D9D" w14:textId="77777777">
        <w:trPr>
          <w:cantSplit/>
          <w:trHeight w:val="20"/>
        </w:trPr>
        <w:tc>
          <w:tcPr>
            <w:tcW w:w="5000" w:type="pct"/>
            <w:tcBorders>
              <w:top w:val="nil"/>
            </w:tcBorders>
            <w:vAlign w:val="center"/>
          </w:tcPr>
          <w:p w14:paraId="2DD068F4" w14:textId="77777777" w:rsidR="00113F4F" w:rsidRPr="00275521" w:rsidRDefault="00113F4F" w:rsidP="008B6633">
            <w:pPr>
              <w:pStyle w:val="TableText0"/>
              <w:keepNext w:val="0"/>
              <w:keepLines w:val="0"/>
              <w:rPr>
                <w:bCs w:val="0"/>
              </w:rPr>
            </w:pPr>
            <w:r w:rsidRPr="00275521">
              <w:rPr>
                <w:bCs w:val="0"/>
              </w:rPr>
              <w:t>Eligible patients must not be recommencing treatment directly through this treatment phase</w:t>
            </w:r>
          </w:p>
        </w:tc>
      </w:tr>
      <w:tr w:rsidR="00113F4F" w:rsidRPr="00275521" w14:paraId="75E693D9" w14:textId="77777777">
        <w:trPr>
          <w:cantSplit/>
          <w:trHeight w:val="20"/>
        </w:trPr>
        <w:tc>
          <w:tcPr>
            <w:tcW w:w="5000" w:type="pct"/>
            <w:vAlign w:val="center"/>
          </w:tcPr>
          <w:p w14:paraId="3E7DA9C4" w14:textId="77777777" w:rsidR="00113F4F" w:rsidRPr="00275521" w:rsidRDefault="00113F4F" w:rsidP="008B6633">
            <w:pPr>
              <w:pStyle w:val="TableText0"/>
              <w:keepNext w:val="0"/>
              <w:keepLines w:val="0"/>
              <w:rPr>
                <w:bCs w:val="0"/>
              </w:rPr>
            </w:pPr>
            <w:r w:rsidRPr="00275521">
              <w:rPr>
                <w:bCs w:val="0"/>
              </w:rPr>
              <w:t xml:space="preserve">Patients who have demonstrated an adequate clinical response and have ceased treatment for reasons other than a lack of response may recommence treatment through the continuing treatment phase. </w:t>
            </w:r>
          </w:p>
        </w:tc>
      </w:tr>
      <w:tr w:rsidR="00113F4F" w:rsidRPr="00275521" w14:paraId="36618188" w14:textId="77777777">
        <w:trPr>
          <w:cantSplit/>
          <w:trHeight w:val="20"/>
        </w:trPr>
        <w:tc>
          <w:tcPr>
            <w:tcW w:w="5000" w:type="pct"/>
            <w:vAlign w:val="center"/>
            <w:hideMark/>
          </w:tcPr>
          <w:p w14:paraId="29C2EF42" w14:textId="77777777" w:rsidR="00113F4F" w:rsidRPr="00275521" w:rsidRDefault="00113F4F" w:rsidP="008B6633">
            <w:pPr>
              <w:pStyle w:val="TableText0"/>
              <w:keepNext w:val="0"/>
              <w:keepLines w:val="0"/>
            </w:pPr>
            <w:r w:rsidRPr="00275521">
              <w:rPr>
                <w:b/>
              </w:rPr>
              <w:t xml:space="preserve">Administrative Advice: </w:t>
            </w:r>
          </w:p>
        </w:tc>
      </w:tr>
      <w:tr w:rsidR="00113F4F" w:rsidRPr="00275521" w14:paraId="512C2C47" w14:textId="77777777">
        <w:trPr>
          <w:cantSplit/>
          <w:trHeight w:val="20"/>
        </w:trPr>
        <w:tc>
          <w:tcPr>
            <w:tcW w:w="5000" w:type="pct"/>
            <w:vAlign w:val="center"/>
            <w:hideMark/>
          </w:tcPr>
          <w:p w14:paraId="55B30DFB" w14:textId="44ED2FCA" w:rsidR="00113F4F" w:rsidRPr="00275521" w:rsidRDefault="00113F4F" w:rsidP="008B6633">
            <w:pPr>
              <w:rPr>
                <w:rFonts w:ascii="Arial Narrow" w:eastAsiaTheme="majorEastAsia" w:hAnsi="Arial Narrow" w:cstheme="majorBidi"/>
                <w:bCs/>
                <w:i/>
                <w:iCs/>
                <w:sz w:val="20"/>
                <w:szCs w:val="20"/>
              </w:rPr>
            </w:pPr>
            <w:r w:rsidRPr="00275521">
              <w:rPr>
                <w:rFonts w:ascii="Arial Narrow" w:eastAsiaTheme="majorEastAsia" w:hAnsi="Arial Narrow" w:cstheme="majorBidi"/>
                <w:bCs/>
                <w:sz w:val="20"/>
                <w:szCs w:val="20"/>
              </w:rPr>
              <w:t>The Prucision™ ObsRO Pruritus Scale is available as a downloadable document at:</w:t>
            </w:r>
            <w:r w:rsidR="008B6633">
              <w:rPr>
                <w:rFonts w:ascii="Arial Narrow" w:eastAsiaTheme="majorEastAsia" w:hAnsi="Arial Narrow" w:cstheme="majorBidi"/>
                <w:bCs/>
                <w:i/>
                <w:iCs/>
                <w:sz w:val="20"/>
                <w:szCs w:val="20"/>
              </w:rPr>
              <w:t xml:space="preserve"> </w:t>
            </w:r>
            <w:hyperlink r:id="rId12" w:history="1">
              <w:r w:rsidRPr="00275521">
                <w:rPr>
                  <w:rFonts w:ascii="Arial Narrow" w:hAnsi="Arial Narrow"/>
                  <w:color w:val="0000FF"/>
                  <w:sz w:val="20"/>
                  <w:szCs w:val="20"/>
                  <w:u w:val="single"/>
                </w:rPr>
                <w:t xml:space="preserve">Prucision </w:t>
              </w:r>
              <w:r w:rsidRPr="00275521">
                <w:rPr>
                  <w:rFonts w:ascii="Arial Narrow" w:hAnsi="Arial Narrow"/>
                  <w:color w:val="0000FF"/>
                  <w:sz w:val="20"/>
                  <w:szCs w:val="20"/>
                  <w:u w:val="single"/>
                  <w:vertAlign w:val="superscript"/>
                </w:rPr>
                <w:t>TM</w:t>
              </w:r>
              <w:r w:rsidRPr="00275521">
                <w:rPr>
                  <w:rFonts w:ascii="Arial Narrow" w:hAnsi="Arial Narrow"/>
                  <w:color w:val="0000FF"/>
                  <w:sz w:val="20"/>
                  <w:szCs w:val="20"/>
                  <w:u w:val="single"/>
                </w:rPr>
                <w:t xml:space="preserve"> ObsRO Pruritus Scale</w:t>
              </w:r>
            </w:hyperlink>
          </w:p>
        </w:tc>
      </w:tr>
    </w:tbl>
    <w:p w14:paraId="26AB6E52" w14:textId="77777777" w:rsidR="00113F4F" w:rsidRPr="00275521" w:rsidRDefault="00113F4F" w:rsidP="008B6633"/>
    <w:p w14:paraId="19B4010E" w14:textId="662CD237" w:rsidR="00113F4F" w:rsidRPr="00275521" w:rsidRDefault="00113F4F" w:rsidP="008B6633">
      <w:pPr>
        <w:rPr>
          <w:rFonts w:asciiTheme="minorHAnsi" w:hAnsiTheme="minorHAnsi" w:cstheme="minorHAnsi"/>
          <w:b/>
          <w:bCs/>
        </w:rPr>
      </w:pPr>
      <w:r w:rsidRPr="00275521">
        <w:rPr>
          <w:rFonts w:asciiTheme="minorHAnsi" w:hAnsiTheme="minorHAnsi" w:cstheme="minorHAnsi"/>
          <w:b/>
          <w:bCs/>
        </w:rPr>
        <w:t>Continuing: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Continuing:"/>
      </w:tblPr>
      <w:tblGrid>
        <w:gridCol w:w="9017"/>
      </w:tblGrid>
      <w:tr w:rsidR="00113F4F" w:rsidRPr="00275521" w14:paraId="750FDD25" w14:textId="77777777">
        <w:trPr>
          <w:cantSplit/>
          <w:trHeight w:val="20"/>
        </w:trPr>
        <w:tc>
          <w:tcPr>
            <w:tcW w:w="5000" w:type="pct"/>
          </w:tcPr>
          <w:p w14:paraId="29993195" w14:textId="77777777" w:rsidR="00113F4F" w:rsidRPr="00275521" w:rsidRDefault="00113F4F" w:rsidP="008B6633">
            <w:pPr>
              <w:pStyle w:val="TableText0"/>
              <w:keepNext w:val="0"/>
              <w:keepLines w:val="0"/>
            </w:pPr>
            <w:r w:rsidRPr="00275521">
              <w:rPr>
                <w:b/>
              </w:rPr>
              <w:t xml:space="preserve">Category / Program: </w:t>
            </w:r>
            <w:r w:rsidRPr="00275521">
              <w:t>Section 85 – General Schedule</w:t>
            </w:r>
          </w:p>
        </w:tc>
      </w:tr>
      <w:tr w:rsidR="00113F4F" w:rsidRPr="00275521" w14:paraId="6D4E062D" w14:textId="77777777">
        <w:trPr>
          <w:cantSplit/>
          <w:trHeight w:val="20"/>
        </w:trPr>
        <w:tc>
          <w:tcPr>
            <w:tcW w:w="5000" w:type="pct"/>
          </w:tcPr>
          <w:p w14:paraId="7CA3C13C" w14:textId="2C043DD8" w:rsidR="00113F4F" w:rsidRPr="00275521" w:rsidRDefault="00113F4F" w:rsidP="008B6633">
            <w:pPr>
              <w:pStyle w:val="TableText0"/>
              <w:keepNext w:val="0"/>
              <w:keepLines w:val="0"/>
            </w:pPr>
            <w:r w:rsidRPr="00275521">
              <w:rPr>
                <w:b/>
              </w:rPr>
              <w:t>Restriction type:</w:t>
            </w:r>
            <w:r w:rsidR="008B6633">
              <w:rPr>
                <w:b/>
              </w:rPr>
              <w:t xml:space="preserve"> </w:t>
            </w:r>
          </w:p>
          <w:p w14:paraId="3139111C" w14:textId="639D6C18" w:rsidR="00113F4F" w:rsidRPr="00275521" w:rsidRDefault="00113F4F" w:rsidP="008B6633">
            <w:pPr>
              <w:pStyle w:val="TableText0"/>
              <w:keepNext w:val="0"/>
              <w:keepLines w:val="0"/>
            </w:pPr>
            <w:r w:rsidRPr="00275521">
              <w:fldChar w:fldCharType="begin">
                <w:ffData>
                  <w:name w:val="Check1"/>
                  <w:enabled/>
                  <w:calcOnExit w:val="0"/>
                  <w:checkBox>
                    <w:sizeAuto/>
                    <w:default w:val="1"/>
                  </w:checkBox>
                </w:ffData>
              </w:fldChar>
            </w:r>
            <w:r w:rsidRPr="00275521">
              <w:instrText xml:space="preserve"> FORMCHECKBOX </w:instrText>
            </w:r>
            <w:r w:rsidRPr="00275521">
              <w:fldChar w:fldCharType="separate"/>
            </w:r>
            <w:r w:rsidRPr="00275521">
              <w:fldChar w:fldCharType="end"/>
            </w:r>
            <w:r w:rsidRPr="00275521">
              <w:t>Restricted benefit</w:t>
            </w:r>
            <w:r w:rsidR="008B6633">
              <w:t xml:space="preserve"> </w:t>
            </w:r>
          </w:p>
          <w:p w14:paraId="755231D1" w14:textId="77777777" w:rsidR="00113F4F" w:rsidRPr="00275521" w:rsidRDefault="00113F4F" w:rsidP="008B6633">
            <w:pPr>
              <w:pStyle w:val="TableText0"/>
              <w:keepNext w:val="0"/>
              <w:keepLines w:val="0"/>
            </w:pPr>
            <w:r w:rsidRPr="00275521">
              <w:fldChar w:fldCharType="begin">
                <w:ffData>
                  <w:name w:val="Check3"/>
                  <w:enabled/>
                  <w:calcOnExit w:val="0"/>
                  <w:checkBox>
                    <w:sizeAuto/>
                    <w:default w:val="1"/>
                  </w:checkBox>
                </w:ffData>
              </w:fldChar>
            </w:r>
            <w:r w:rsidRPr="00275521">
              <w:instrText xml:space="preserve"> FORMCHECKBOX </w:instrText>
            </w:r>
            <w:r w:rsidRPr="00275521">
              <w:fldChar w:fldCharType="separate"/>
            </w:r>
            <w:r w:rsidRPr="00275521">
              <w:fldChar w:fldCharType="end"/>
            </w:r>
            <w:r w:rsidRPr="00275521">
              <w:t>Authority Required (telephone/online PBS Authorities system)</w:t>
            </w:r>
          </w:p>
        </w:tc>
      </w:tr>
      <w:tr w:rsidR="00113F4F" w:rsidRPr="00275521" w14:paraId="42335D02" w14:textId="77777777">
        <w:trPr>
          <w:cantSplit/>
          <w:trHeight w:val="20"/>
        </w:trPr>
        <w:tc>
          <w:tcPr>
            <w:tcW w:w="5000" w:type="pct"/>
            <w:vAlign w:val="center"/>
            <w:hideMark/>
          </w:tcPr>
          <w:p w14:paraId="654FD1E0" w14:textId="77777777" w:rsidR="00113F4F" w:rsidRPr="00275521" w:rsidRDefault="00113F4F" w:rsidP="008B6633">
            <w:pPr>
              <w:pStyle w:val="TableText0"/>
              <w:keepNext w:val="0"/>
              <w:keepLines w:val="0"/>
            </w:pPr>
            <w:r w:rsidRPr="00275521">
              <w:rPr>
                <w:b/>
              </w:rPr>
              <w:t>Indication:</w:t>
            </w:r>
            <w:r w:rsidRPr="00275521">
              <w:t xml:space="preserve"> The treatment of cholestatic pruritus in Alagille syndrome (ALGS)</w:t>
            </w:r>
          </w:p>
        </w:tc>
      </w:tr>
      <w:tr w:rsidR="00113F4F" w:rsidRPr="00275521" w14:paraId="2DE8E410" w14:textId="77777777">
        <w:trPr>
          <w:cantSplit/>
          <w:trHeight w:val="20"/>
        </w:trPr>
        <w:tc>
          <w:tcPr>
            <w:tcW w:w="5000" w:type="pct"/>
            <w:tcBorders>
              <w:bottom w:val="single" w:sz="4" w:space="0" w:color="auto"/>
            </w:tcBorders>
            <w:vAlign w:val="center"/>
            <w:hideMark/>
          </w:tcPr>
          <w:p w14:paraId="4783FF60" w14:textId="77777777" w:rsidR="00113F4F" w:rsidRPr="00275521" w:rsidRDefault="00113F4F" w:rsidP="008B6633">
            <w:pPr>
              <w:pStyle w:val="TableText0"/>
              <w:keepNext w:val="0"/>
              <w:keepLines w:val="0"/>
            </w:pPr>
            <w:r w:rsidRPr="00275521">
              <w:rPr>
                <w:b/>
              </w:rPr>
              <w:t>Treatment Phase:</w:t>
            </w:r>
            <w:r w:rsidRPr="00275521">
              <w:t xml:space="preserve"> Continuing</w:t>
            </w:r>
          </w:p>
        </w:tc>
      </w:tr>
      <w:tr w:rsidR="00113F4F" w:rsidRPr="00275521" w14:paraId="47534C37" w14:textId="77777777">
        <w:trPr>
          <w:cantSplit/>
          <w:trHeight w:val="20"/>
        </w:trPr>
        <w:tc>
          <w:tcPr>
            <w:tcW w:w="5000" w:type="pct"/>
            <w:tcBorders>
              <w:bottom w:val="nil"/>
            </w:tcBorders>
            <w:vAlign w:val="center"/>
            <w:hideMark/>
          </w:tcPr>
          <w:p w14:paraId="5A81F9A6" w14:textId="77777777" w:rsidR="00113F4F" w:rsidRPr="00275521" w:rsidRDefault="00113F4F" w:rsidP="008B6633">
            <w:pPr>
              <w:pStyle w:val="TableText0"/>
              <w:keepNext w:val="0"/>
              <w:keepLines w:val="0"/>
              <w:rPr>
                <w:b/>
                <w:bCs w:val="0"/>
              </w:rPr>
            </w:pPr>
            <w:r w:rsidRPr="00275521">
              <w:rPr>
                <w:b/>
                <w:bCs w:val="0"/>
              </w:rPr>
              <w:t>Clinical criteria:</w:t>
            </w:r>
          </w:p>
        </w:tc>
      </w:tr>
      <w:tr w:rsidR="00113F4F" w:rsidRPr="00275521" w14:paraId="48465F80" w14:textId="77777777">
        <w:trPr>
          <w:cantSplit/>
          <w:trHeight w:val="20"/>
        </w:trPr>
        <w:tc>
          <w:tcPr>
            <w:tcW w:w="5000" w:type="pct"/>
            <w:tcBorders>
              <w:top w:val="nil"/>
              <w:bottom w:val="nil"/>
            </w:tcBorders>
            <w:vAlign w:val="center"/>
            <w:hideMark/>
          </w:tcPr>
          <w:p w14:paraId="619FBDEF" w14:textId="77777777" w:rsidR="00113F4F" w:rsidRPr="00275521" w:rsidRDefault="00113F4F" w:rsidP="008B6633">
            <w:pPr>
              <w:pStyle w:val="TableText0"/>
              <w:keepNext w:val="0"/>
              <w:keepLines w:val="0"/>
            </w:pPr>
            <w:r w:rsidRPr="00275521">
              <w:t>Patient must have previously received PBS-subsidised treatment with this drug for this condition</w:t>
            </w:r>
          </w:p>
        </w:tc>
      </w:tr>
      <w:tr w:rsidR="00113F4F" w:rsidRPr="00275521" w14:paraId="4E1C1A13" w14:textId="77777777">
        <w:trPr>
          <w:cantSplit/>
          <w:trHeight w:val="20"/>
        </w:trPr>
        <w:tc>
          <w:tcPr>
            <w:tcW w:w="5000" w:type="pct"/>
            <w:tcBorders>
              <w:top w:val="nil"/>
              <w:bottom w:val="nil"/>
            </w:tcBorders>
            <w:vAlign w:val="center"/>
            <w:hideMark/>
          </w:tcPr>
          <w:p w14:paraId="4ECA9DFF" w14:textId="77777777" w:rsidR="00113F4F" w:rsidRPr="00275521" w:rsidRDefault="00113F4F" w:rsidP="008B6633">
            <w:pPr>
              <w:pStyle w:val="TableText0"/>
              <w:keepNext w:val="0"/>
              <w:keepLines w:val="0"/>
            </w:pPr>
            <w:r w:rsidRPr="00275521">
              <w:t>AND</w:t>
            </w:r>
          </w:p>
        </w:tc>
      </w:tr>
      <w:tr w:rsidR="00113F4F" w:rsidRPr="00275521" w14:paraId="3EECEECA" w14:textId="77777777">
        <w:trPr>
          <w:cantSplit/>
          <w:trHeight w:val="20"/>
        </w:trPr>
        <w:tc>
          <w:tcPr>
            <w:tcW w:w="5000" w:type="pct"/>
            <w:tcBorders>
              <w:top w:val="nil"/>
              <w:bottom w:val="nil"/>
            </w:tcBorders>
            <w:vAlign w:val="center"/>
            <w:hideMark/>
          </w:tcPr>
          <w:p w14:paraId="27212DF6" w14:textId="77777777" w:rsidR="00113F4F" w:rsidRPr="00275521" w:rsidRDefault="00113F4F" w:rsidP="008B6633">
            <w:pPr>
              <w:pStyle w:val="TableText0"/>
              <w:keepNext w:val="0"/>
              <w:keepLines w:val="0"/>
            </w:pPr>
            <w:r w:rsidRPr="00275521">
              <w:t>Patient must have demonstrated an adequate clinical response to the most recent course of treatment</w:t>
            </w:r>
          </w:p>
        </w:tc>
      </w:tr>
      <w:tr w:rsidR="00113F4F" w:rsidRPr="00275521" w14:paraId="44CBEC40" w14:textId="77777777">
        <w:trPr>
          <w:cantSplit/>
          <w:trHeight w:val="20"/>
        </w:trPr>
        <w:tc>
          <w:tcPr>
            <w:tcW w:w="5000" w:type="pct"/>
            <w:tcBorders>
              <w:bottom w:val="nil"/>
            </w:tcBorders>
            <w:vAlign w:val="center"/>
          </w:tcPr>
          <w:p w14:paraId="22918C9B" w14:textId="77777777" w:rsidR="00113F4F" w:rsidRPr="00275521" w:rsidRDefault="00113F4F" w:rsidP="008B6633">
            <w:pPr>
              <w:pStyle w:val="TableText0"/>
              <w:keepNext w:val="0"/>
              <w:keepLines w:val="0"/>
              <w:rPr>
                <w:b/>
                <w:bCs w:val="0"/>
              </w:rPr>
            </w:pPr>
            <w:r w:rsidRPr="00275521">
              <w:rPr>
                <w:b/>
                <w:bCs w:val="0"/>
              </w:rPr>
              <w:t>Treatment criteria:</w:t>
            </w:r>
          </w:p>
        </w:tc>
      </w:tr>
      <w:tr w:rsidR="00113F4F" w:rsidRPr="00275521" w14:paraId="6E4CA665" w14:textId="77777777">
        <w:trPr>
          <w:cantSplit/>
          <w:trHeight w:val="20"/>
        </w:trPr>
        <w:tc>
          <w:tcPr>
            <w:tcW w:w="5000" w:type="pct"/>
            <w:tcBorders>
              <w:top w:val="nil"/>
              <w:bottom w:val="nil"/>
            </w:tcBorders>
            <w:vAlign w:val="center"/>
          </w:tcPr>
          <w:p w14:paraId="5E333A33" w14:textId="77777777" w:rsidR="00113F4F" w:rsidRPr="00275521" w:rsidRDefault="00113F4F" w:rsidP="008B6633">
            <w:pPr>
              <w:pStyle w:val="TableText0"/>
              <w:keepNext w:val="0"/>
              <w:keepLines w:val="0"/>
            </w:pPr>
            <w:r w:rsidRPr="00275521">
              <w:t>Must be treated by a specialist experienced in the management of ALGS, who is either a: (i) gastroenterologist, (ii) hepatologist</w:t>
            </w:r>
          </w:p>
        </w:tc>
      </w:tr>
      <w:tr w:rsidR="00113F4F" w:rsidRPr="00275521" w14:paraId="2786E889" w14:textId="77777777">
        <w:trPr>
          <w:cantSplit/>
          <w:trHeight w:val="20"/>
        </w:trPr>
        <w:tc>
          <w:tcPr>
            <w:tcW w:w="5000" w:type="pct"/>
            <w:tcBorders>
              <w:top w:val="nil"/>
              <w:bottom w:val="nil"/>
            </w:tcBorders>
            <w:vAlign w:val="center"/>
          </w:tcPr>
          <w:p w14:paraId="0D9851CD" w14:textId="77777777" w:rsidR="00113F4F" w:rsidRPr="00275521" w:rsidRDefault="00113F4F" w:rsidP="008B6633">
            <w:pPr>
              <w:pStyle w:val="TableText0"/>
              <w:keepNext w:val="0"/>
              <w:keepLines w:val="0"/>
            </w:pPr>
            <w:r w:rsidRPr="00275521">
              <w:t>OR</w:t>
            </w:r>
          </w:p>
        </w:tc>
      </w:tr>
      <w:tr w:rsidR="00113F4F" w:rsidRPr="00275521" w14:paraId="226353ED" w14:textId="77777777">
        <w:trPr>
          <w:cantSplit/>
          <w:trHeight w:val="20"/>
        </w:trPr>
        <w:tc>
          <w:tcPr>
            <w:tcW w:w="5000" w:type="pct"/>
            <w:tcBorders>
              <w:top w:val="nil"/>
            </w:tcBorders>
            <w:vAlign w:val="center"/>
          </w:tcPr>
          <w:p w14:paraId="7D93990C" w14:textId="77777777" w:rsidR="00113F4F" w:rsidRPr="00275521" w:rsidRDefault="00113F4F" w:rsidP="008B6633">
            <w:pPr>
              <w:pStyle w:val="TableText0"/>
              <w:keepNext w:val="0"/>
              <w:keepLines w:val="0"/>
            </w:pPr>
            <w:r w:rsidRPr="00275521">
              <w:t>Must be treated by a medical practitioner under the supervision of a specialist experienced in the management of ALGS</w:t>
            </w:r>
          </w:p>
        </w:tc>
      </w:tr>
      <w:tr w:rsidR="00113F4F" w:rsidRPr="00275521" w14:paraId="69470EB4" w14:textId="77777777">
        <w:trPr>
          <w:cantSplit/>
          <w:trHeight w:val="20"/>
        </w:trPr>
        <w:tc>
          <w:tcPr>
            <w:tcW w:w="5000" w:type="pct"/>
            <w:tcBorders>
              <w:bottom w:val="nil"/>
            </w:tcBorders>
            <w:vAlign w:val="center"/>
          </w:tcPr>
          <w:p w14:paraId="57977A98" w14:textId="77777777" w:rsidR="00113F4F" w:rsidRPr="00275521" w:rsidRDefault="00113F4F" w:rsidP="008B6633">
            <w:pPr>
              <w:pStyle w:val="TableText0"/>
              <w:keepNext w:val="0"/>
              <w:keepLines w:val="0"/>
              <w:rPr>
                <w:b/>
              </w:rPr>
            </w:pPr>
            <w:r w:rsidRPr="00275521">
              <w:rPr>
                <w:b/>
              </w:rPr>
              <w:t>Population criteria:</w:t>
            </w:r>
          </w:p>
        </w:tc>
      </w:tr>
      <w:tr w:rsidR="00113F4F" w:rsidRPr="00275521" w14:paraId="76AB184E" w14:textId="77777777">
        <w:trPr>
          <w:cantSplit/>
          <w:trHeight w:val="20"/>
        </w:trPr>
        <w:tc>
          <w:tcPr>
            <w:tcW w:w="5000" w:type="pct"/>
            <w:tcBorders>
              <w:top w:val="nil"/>
              <w:bottom w:val="single" w:sz="4" w:space="0" w:color="auto"/>
            </w:tcBorders>
            <w:vAlign w:val="center"/>
          </w:tcPr>
          <w:p w14:paraId="660C0866" w14:textId="77777777" w:rsidR="00113F4F" w:rsidRPr="00275521" w:rsidRDefault="00113F4F" w:rsidP="008B6633">
            <w:pPr>
              <w:pStyle w:val="TableText0"/>
              <w:keepNext w:val="0"/>
              <w:keepLines w:val="0"/>
              <w:rPr>
                <w:bCs w:val="0"/>
              </w:rPr>
            </w:pPr>
            <w:r w:rsidRPr="00275521">
              <w:rPr>
                <w:bCs w:val="0"/>
              </w:rPr>
              <w:t>Patient must be aged 6 months or older</w:t>
            </w:r>
          </w:p>
        </w:tc>
      </w:tr>
      <w:tr w:rsidR="00113F4F" w:rsidRPr="00275521" w14:paraId="7E42362D" w14:textId="77777777">
        <w:trPr>
          <w:cantSplit/>
          <w:trHeight w:val="20"/>
        </w:trPr>
        <w:tc>
          <w:tcPr>
            <w:tcW w:w="5000" w:type="pct"/>
            <w:tcBorders>
              <w:bottom w:val="nil"/>
            </w:tcBorders>
            <w:vAlign w:val="center"/>
          </w:tcPr>
          <w:p w14:paraId="1CD04DB7" w14:textId="77777777" w:rsidR="00113F4F" w:rsidRPr="00275521" w:rsidRDefault="00113F4F" w:rsidP="008B6633">
            <w:pPr>
              <w:pStyle w:val="TableText0"/>
              <w:keepNext w:val="0"/>
              <w:keepLines w:val="0"/>
              <w:rPr>
                <w:b/>
              </w:rPr>
            </w:pPr>
            <w:r w:rsidRPr="00275521">
              <w:rPr>
                <w:b/>
              </w:rPr>
              <w:t>Prescribing Instructions:</w:t>
            </w:r>
          </w:p>
        </w:tc>
      </w:tr>
      <w:tr w:rsidR="00113F4F" w:rsidRPr="00275521" w14:paraId="2B375799" w14:textId="77777777">
        <w:trPr>
          <w:cantSplit/>
          <w:trHeight w:val="20"/>
        </w:trPr>
        <w:tc>
          <w:tcPr>
            <w:tcW w:w="5000" w:type="pct"/>
            <w:tcBorders>
              <w:top w:val="nil"/>
              <w:bottom w:val="single" w:sz="4" w:space="0" w:color="auto"/>
            </w:tcBorders>
            <w:vAlign w:val="center"/>
          </w:tcPr>
          <w:p w14:paraId="4D254E3D" w14:textId="77777777" w:rsidR="00113F4F" w:rsidRPr="00275521" w:rsidRDefault="00113F4F" w:rsidP="008B6633">
            <w:pPr>
              <w:pStyle w:val="TableText0"/>
              <w:keepNext w:val="0"/>
              <w:keepLines w:val="0"/>
              <w:rPr>
                <w:b/>
              </w:rPr>
            </w:pPr>
            <w:r w:rsidRPr="00275521">
              <w:rPr>
                <w:bCs w:val="0"/>
              </w:rPr>
              <w:t>An adequate clinical response under this treatment phase is defined as an average ≥1 grade improvement in pruritus score, versus baseline measurement, on the Prucision™ ObsRO Pruritus Scale, assessed on 3 occasions over a one-week period prior to assessment of response.</w:t>
            </w:r>
          </w:p>
        </w:tc>
      </w:tr>
      <w:tr w:rsidR="00113F4F" w:rsidRPr="00275521" w14:paraId="767D5B9F" w14:textId="77777777">
        <w:trPr>
          <w:cantSplit/>
          <w:trHeight w:val="20"/>
        </w:trPr>
        <w:tc>
          <w:tcPr>
            <w:tcW w:w="5000" w:type="pct"/>
            <w:tcBorders>
              <w:bottom w:val="nil"/>
            </w:tcBorders>
            <w:vAlign w:val="center"/>
          </w:tcPr>
          <w:p w14:paraId="05284F78" w14:textId="77777777" w:rsidR="00113F4F" w:rsidRPr="00275521" w:rsidRDefault="00113F4F" w:rsidP="008B6633">
            <w:pPr>
              <w:pStyle w:val="TableText0"/>
              <w:keepNext w:val="0"/>
              <w:keepLines w:val="0"/>
              <w:rPr>
                <w:b/>
              </w:rPr>
            </w:pPr>
            <w:r w:rsidRPr="00275521">
              <w:rPr>
                <w:b/>
              </w:rPr>
              <w:t>Prescribing Instructions:</w:t>
            </w:r>
          </w:p>
        </w:tc>
      </w:tr>
      <w:tr w:rsidR="00113F4F" w:rsidRPr="00275521" w14:paraId="69744468" w14:textId="77777777">
        <w:trPr>
          <w:cantSplit/>
          <w:trHeight w:val="20"/>
        </w:trPr>
        <w:tc>
          <w:tcPr>
            <w:tcW w:w="5000" w:type="pct"/>
            <w:tcBorders>
              <w:top w:val="nil"/>
              <w:bottom w:val="single" w:sz="4" w:space="0" w:color="auto"/>
            </w:tcBorders>
            <w:vAlign w:val="center"/>
          </w:tcPr>
          <w:p w14:paraId="4230E955" w14:textId="77777777" w:rsidR="00113F4F" w:rsidRPr="00275521" w:rsidRDefault="00113F4F" w:rsidP="008B6633">
            <w:pPr>
              <w:pStyle w:val="TableText0"/>
              <w:keepNext w:val="0"/>
              <w:keepLines w:val="0"/>
              <w:rPr>
                <w:b/>
              </w:rPr>
            </w:pPr>
            <w:r w:rsidRPr="00275521">
              <w:rPr>
                <w:bCs w:val="0"/>
              </w:rPr>
              <w:t>Dose reduction to 40 µg/kg/day may be considered if tolerability issues occur in the absence of other causes. Once tolerability issues stabilize, increase to 120 µg/kg/day</w:t>
            </w:r>
          </w:p>
        </w:tc>
      </w:tr>
      <w:tr w:rsidR="00113F4F" w:rsidRPr="00275521" w14:paraId="105E43AA" w14:textId="77777777">
        <w:trPr>
          <w:cantSplit/>
          <w:trHeight w:val="20"/>
        </w:trPr>
        <w:tc>
          <w:tcPr>
            <w:tcW w:w="5000" w:type="pct"/>
            <w:vAlign w:val="center"/>
            <w:hideMark/>
          </w:tcPr>
          <w:p w14:paraId="2C714484" w14:textId="77777777" w:rsidR="00113F4F" w:rsidRPr="00275521" w:rsidRDefault="00113F4F" w:rsidP="008B6633">
            <w:pPr>
              <w:pStyle w:val="TableText0"/>
              <w:keepNext w:val="0"/>
              <w:keepLines w:val="0"/>
            </w:pPr>
            <w:r w:rsidRPr="00275521">
              <w:rPr>
                <w:b/>
              </w:rPr>
              <w:t xml:space="preserve">Administrative Advice: </w:t>
            </w:r>
          </w:p>
        </w:tc>
      </w:tr>
      <w:tr w:rsidR="00113F4F" w:rsidRPr="00275521" w14:paraId="1021AEB9" w14:textId="77777777">
        <w:trPr>
          <w:cantSplit/>
          <w:trHeight w:val="20"/>
        </w:trPr>
        <w:tc>
          <w:tcPr>
            <w:tcW w:w="5000" w:type="pct"/>
            <w:vAlign w:val="center"/>
            <w:hideMark/>
          </w:tcPr>
          <w:p w14:paraId="0B567DB8" w14:textId="67AA8F99" w:rsidR="00113F4F" w:rsidRPr="00275521" w:rsidRDefault="00113F4F" w:rsidP="008B6633">
            <w:pPr>
              <w:rPr>
                <w:rFonts w:ascii="Arial Narrow" w:eastAsiaTheme="majorEastAsia" w:hAnsi="Arial Narrow" w:cstheme="majorBidi"/>
                <w:bCs/>
                <w:i/>
                <w:iCs/>
                <w:sz w:val="20"/>
                <w:szCs w:val="20"/>
              </w:rPr>
            </w:pPr>
            <w:r w:rsidRPr="00275521">
              <w:rPr>
                <w:rFonts w:ascii="Arial Narrow" w:eastAsiaTheme="majorEastAsia" w:hAnsi="Arial Narrow" w:cstheme="majorBidi"/>
                <w:bCs/>
                <w:sz w:val="20"/>
                <w:szCs w:val="20"/>
              </w:rPr>
              <w:t>The Prucision™ ObsRO Pruritus Scale is available as a downloadable document at:</w:t>
            </w:r>
            <w:r w:rsidR="008B6633">
              <w:rPr>
                <w:rFonts w:ascii="Arial Narrow" w:eastAsiaTheme="majorEastAsia" w:hAnsi="Arial Narrow" w:cstheme="majorBidi"/>
                <w:bCs/>
                <w:i/>
                <w:iCs/>
                <w:sz w:val="20"/>
                <w:szCs w:val="20"/>
              </w:rPr>
              <w:t xml:space="preserve"> </w:t>
            </w:r>
            <w:hyperlink r:id="rId13" w:history="1">
              <w:r w:rsidRPr="00275521">
                <w:rPr>
                  <w:rFonts w:ascii="Arial Narrow" w:hAnsi="Arial Narrow"/>
                  <w:color w:val="0000FF"/>
                  <w:sz w:val="20"/>
                  <w:szCs w:val="20"/>
                  <w:u w:val="single"/>
                </w:rPr>
                <w:t xml:space="preserve">Prucision </w:t>
              </w:r>
              <w:r w:rsidRPr="00275521">
                <w:rPr>
                  <w:rFonts w:ascii="Arial Narrow" w:hAnsi="Arial Narrow"/>
                  <w:color w:val="0000FF"/>
                  <w:sz w:val="20"/>
                  <w:szCs w:val="20"/>
                  <w:u w:val="single"/>
                  <w:vertAlign w:val="superscript"/>
                </w:rPr>
                <w:t>TM</w:t>
              </w:r>
              <w:r w:rsidRPr="00275521">
                <w:rPr>
                  <w:rFonts w:ascii="Arial Narrow" w:hAnsi="Arial Narrow"/>
                  <w:color w:val="0000FF"/>
                  <w:sz w:val="20"/>
                  <w:szCs w:val="20"/>
                  <w:u w:val="single"/>
                </w:rPr>
                <w:t xml:space="preserve"> ObsRO Pruritus Scale</w:t>
              </w:r>
            </w:hyperlink>
          </w:p>
        </w:tc>
      </w:tr>
      <w:tr w:rsidR="00113F4F" w:rsidRPr="00275521" w14:paraId="54B16F21" w14:textId="77777777">
        <w:trPr>
          <w:cantSplit/>
          <w:trHeight w:val="20"/>
        </w:trPr>
        <w:tc>
          <w:tcPr>
            <w:tcW w:w="5000" w:type="pct"/>
            <w:vAlign w:val="center"/>
          </w:tcPr>
          <w:p w14:paraId="7738AF7E" w14:textId="77777777" w:rsidR="00113F4F" w:rsidRPr="00275521" w:rsidRDefault="00113F4F" w:rsidP="008B6633">
            <w:pPr>
              <w:rPr>
                <w:rFonts w:ascii="Arial Narrow" w:eastAsiaTheme="majorEastAsia" w:hAnsi="Arial Narrow" w:cstheme="majorBidi"/>
                <w:b/>
                <w:sz w:val="20"/>
                <w:szCs w:val="20"/>
              </w:rPr>
            </w:pPr>
            <w:r w:rsidRPr="00275521">
              <w:rPr>
                <w:rFonts w:ascii="Arial Narrow" w:eastAsiaTheme="majorEastAsia" w:hAnsi="Arial Narrow" w:cstheme="majorBidi"/>
                <w:b/>
                <w:sz w:val="20"/>
                <w:szCs w:val="20"/>
              </w:rPr>
              <w:t>Administrative Advice:</w:t>
            </w:r>
          </w:p>
        </w:tc>
      </w:tr>
      <w:tr w:rsidR="00113F4F" w:rsidRPr="00275521" w14:paraId="679A938F" w14:textId="77777777">
        <w:trPr>
          <w:cantSplit/>
          <w:trHeight w:val="20"/>
        </w:trPr>
        <w:tc>
          <w:tcPr>
            <w:tcW w:w="5000" w:type="pct"/>
            <w:vAlign w:val="center"/>
          </w:tcPr>
          <w:p w14:paraId="360136A8" w14:textId="77777777" w:rsidR="00113F4F" w:rsidRPr="00275521" w:rsidRDefault="00113F4F" w:rsidP="008B6633">
            <w:pPr>
              <w:rPr>
                <w:rFonts w:ascii="Arial Narrow" w:eastAsiaTheme="majorEastAsia" w:hAnsi="Arial Narrow" w:cstheme="majorBidi"/>
                <w:bCs/>
                <w:sz w:val="20"/>
                <w:szCs w:val="20"/>
              </w:rPr>
            </w:pPr>
            <w:r w:rsidRPr="00275521">
              <w:rPr>
                <w:rFonts w:ascii="Arial Narrow" w:eastAsiaTheme="majorEastAsia" w:hAnsi="Arial Narrow" w:cstheme="majorBidi"/>
                <w:bCs/>
                <w:sz w:val="20"/>
                <w:szCs w:val="20"/>
              </w:rPr>
              <w:t xml:space="preserve">Patients who have demonstrated an adequate clinical response and have ceased treatment for reasons other than a lack of response may recommence treatment through the continuing treatment phase. </w:t>
            </w:r>
          </w:p>
        </w:tc>
      </w:tr>
    </w:tbl>
    <w:p w14:paraId="64130623" w14:textId="77777777" w:rsidR="00F66C8F" w:rsidRDefault="00F66C8F" w:rsidP="008B6633">
      <w:pPr>
        <w:pStyle w:val="3-BodyText"/>
        <w:numPr>
          <w:ilvl w:val="0"/>
          <w:numId w:val="0"/>
        </w:numPr>
        <w:ind w:left="720"/>
      </w:pPr>
    </w:p>
    <w:p w14:paraId="3C81F95E" w14:textId="38112D73" w:rsidR="00FC6439" w:rsidRPr="000866B7" w:rsidRDefault="00732F23" w:rsidP="008B6633">
      <w:pPr>
        <w:pStyle w:val="3-BodyText"/>
      </w:pPr>
      <w:r w:rsidRPr="006B6F0E">
        <w:t>The proposed effective</w:t>
      </w:r>
      <w:r w:rsidR="00DB1636" w:rsidRPr="006B6F0E">
        <w:t xml:space="preserve"> </w:t>
      </w:r>
      <w:r w:rsidRPr="006B6F0E">
        <w:t xml:space="preserve">pricing was the same </w:t>
      </w:r>
      <w:r w:rsidR="00DB1636" w:rsidRPr="006B6F0E">
        <w:t xml:space="preserve">as </w:t>
      </w:r>
      <w:r w:rsidR="00E2013F" w:rsidRPr="006B6F0E">
        <w:t xml:space="preserve">the approved effective price </w:t>
      </w:r>
      <w:r w:rsidRPr="006B6F0E">
        <w:t>for PFIC</w:t>
      </w:r>
      <w:r w:rsidR="006641FE" w:rsidRPr="006B6F0E">
        <w:t xml:space="preserve"> (</w:t>
      </w:r>
      <w:r w:rsidR="000E7C7C" w:rsidRPr="006B6F0E">
        <w:t xml:space="preserve">approved ex- manufacturer price </w:t>
      </w:r>
      <w:r w:rsidR="00AF4555" w:rsidRPr="006B6F0E">
        <w:t xml:space="preserve">per 30 capsule pack </w:t>
      </w:r>
      <w:r w:rsidR="006641FE" w:rsidRPr="006B6F0E">
        <w:t>$</w:t>
      </w:r>
      <w:r w:rsidR="006C4DC1" w:rsidRPr="006C4DC1">
        <w:rPr>
          <w:sz w:val="2"/>
          <w:highlight w:val="black"/>
        </w:rPr>
        <w:t>redacted content</w:t>
      </w:r>
      <w:r w:rsidR="000E7C7C" w:rsidRPr="006B6F0E">
        <w:t xml:space="preserve"> for 200 mcg</w:t>
      </w:r>
      <w:r w:rsidR="00AF4555" w:rsidRPr="006B6F0E">
        <w:t>, $</w:t>
      </w:r>
      <w:r w:rsidR="006C4DC1" w:rsidRPr="006C4DC1">
        <w:rPr>
          <w:sz w:val="2"/>
          <w:highlight w:val="black"/>
        </w:rPr>
        <w:t>redacted content</w:t>
      </w:r>
      <w:r w:rsidR="00AF4555" w:rsidRPr="006B6F0E">
        <w:t xml:space="preserve"> for 400 mcg, $</w:t>
      </w:r>
      <w:r w:rsidR="006C4DC1" w:rsidRPr="006C4DC1">
        <w:rPr>
          <w:sz w:val="2"/>
          <w:highlight w:val="black"/>
        </w:rPr>
        <w:t>redacted content</w:t>
      </w:r>
      <w:r w:rsidR="009E03DE" w:rsidRPr="006B6F0E">
        <w:t xml:space="preserve"> for 600 mcg and $</w:t>
      </w:r>
      <w:r w:rsidR="006C4DC1" w:rsidRPr="006C4DC1">
        <w:rPr>
          <w:sz w:val="2"/>
          <w:highlight w:val="black"/>
        </w:rPr>
        <w:t>redacted content</w:t>
      </w:r>
      <w:r w:rsidR="009E03DE" w:rsidRPr="006B6F0E">
        <w:t xml:space="preserve"> for 1,200 mcg</w:t>
      </w:r>
      <w:r w:rsidR="00EB6880">
        <w:t>)</w:t>
      </w:r>
      <w:r w:rsidRPr="006B6F0E">
        <w:t xml:space="preserve">. However, the recommended odevixibat dosage for patients with ALGS is 120 µg/kg/day </w:t>
      </w:r>
      <w:r w:rsidR="00103763" w:rsidRPr="006B6F0E">
        <w:t>(with de</w:t>
      </w:r>
      <w:r w:rsidR="0046164D">
        <w:t>-</w:t>
      </w:r>
      <w:r w:rsidR="00103763" w:rsidRPr="006B6F0E">
        <w:t xml:space="preserve">escalation to 40 µg/kg/day if </w:t>
      </w:r>
      <w:r w:rsidR="00103763" w:rsidRPr="006B6F0E">
        <w:lastRenderedPageBreak/>
        <w:t xml:space="preserve">tolerability issues) </w:t>
      </w:r>
      <w:r w:rsidRPr="006B6F0E">
        <w:t>compared to 40 µg/kg/day (with escalation to 120 µg/kg/day in the case of inadequate response) for patients with PFIC.</w:t>
      </w:r>
      <w:r w:rsidR="006B6F0E" w:rsidRPr="006B6F0E">
        <w:t xml:space="preserve"> </w:t>
      </w:r>
      <w:r w:rsidR="00FC6439" w:rsidRPr="006B6F0E">
        <w:t xml:space="preserve">The ESC considered that the restrictions </w:t>
      </w:r>
      <w:r w:rsidR="006B6F0E" w:rsidRPr="006B6F0E">
        <w:t>s</w:t>
      </w:r>
      <w:r w:rsidR="00FC6439" w:rsidRPr="006B6F0E">
        <w:t xml:space="preserve">hould allow patients who demonstrate an adequate clinical response </w:t>
      </w:r>
      <w:r w:rsidR="000866B7" w:rsidRPr="006B6F0E">
        <w:t>(</w:t>
      </w:r>
      <w:r w:rsidR="00FC6439" w:rsidRPr="006B6F0E">
        <w:t>via ObsRO score</w:t>
      </w:r>
      <w:r w:rsidR="000866B7" w:rsidRPr="006B6F0E">
        <w:t>)</w:t>
      </w:r>
      <w:r w:rsidR="00FC6439" w:rsidRPr="006B6F0E">
        <w:t xml:space="preserve"> at a dose lower than 120mcg/kg/day to continue treatment at that lower dose.</w:t>
      </w:r>
      <w:r w:rsidR="00FC6439" w:rsidRPr="000866B7">
        <w:t xml:space="preserve"> </w:t>
      </w:r>
    </w:p>
    <w:p w14:paraId="5919973D" w14:textId="77777777" w:rsidR="000D63AF" w:rsidRPr="00385A6B" w:rsidRDefault="006D4A23" w:rsidP="008B6633">
      <w:pPr>
        <w:pStyle w:val="3-BodyText"/>
        <w:spacing w:before="160" w:after="160"/>
        <w:rPr>
          <w:rFonts w:cstheme="minorHAnsi"/>
        </w:rPr>
      </w:pPr>
      <w:r w:rsidRPr="00385A6B">
        <w:rPr>
          <w:rFonts w:cstheme="minorHAnsi"/>
        </w:rPr>
        <w:t xml:space="preserve">The requested listing for initial treatment for ALGS, with five repeats, differed to the odevixibat initial listing for the treatment of PFIC with two repeats, suggesting a </w:t>
      </w:r>
      <w:r w:rsidR="008D015D" w:rsidRPr="00385A6B">
        <w:rPr>
          <w:rFonts w:cstheme="minorHAnsi"/>
        </w:rPr>
        <w:t>three-month</w:t>
      </w:r>
      <w:r w:rsidRPr="00385A6B">
        <w:rPr>
          <w:rFonts w:cstheme="minorHAnsi"/>
        </w:rPr>
        <w:t xml:space="preserve"> initial course of treatment</w:t>
      </w:r>
      <w:r w:rsidR="00C24963" w:rsidRPr="00385A6B">
        <w:rPr>
          <w:rFonts w:cstheme="minorHAnsi"/>
        </w:rPr>
        <w:t xml:space="preserve"> for PFIC</w:t>
      </w:r>
      <w:r w:rsidR="000D63AF" w:rsidRPr="00385A6B">
        <w:rPr>
          <w:rFonts w:cstheme="minorHAnsi"/>
        </w:rPr>
        <w:t>.</w:t>
      </w:r>
    </w:p>
    <w:p w14:paraId="48027B3A" w14:textId="2088FD51" w:rsidR="00D31DFD" w:rsidRPr="00575BA6" w:rsidRDefault="00726200" w:rsidP="008B6633">
      <w:pPr>
        <w:pStyle w:val="3-BodyText"/>
        <w:rPr>
          <w:rFonts w:cstheme="minorHAnsi"/>
          <w:bCs/>
          <w:szCs w:val="32"/>
        </w:rPr>
      </w:pPr>
      <w:r w:rsidRPr="008201F0">
        <w:t>The proposed restriction did not require genetic testing as a requirement for initial treatment. This was inconsistent with the clinical management algorithm, and the inclusion criteria for ASSERT which required a genetically confirmed diagnosis</w:t>
      </w:r>
      <w:r w:rsidRPr="008201F0">
        <w:rPr>
          <w:bCs/>
          <w:szCs w:val="32"/>
        </w:rPr>
        <w:t>.</w:t>
      </w:r>
      <w:r w:rsidR="00EF6D98" w:rsidRPr="008201F0">
        <w:rPr>
          <w:bCs/>
          <w:szCs w:val="32"/>
        </w:rPr>
        <w:t xml:space="preserve"> </w:t>
      </w:r>
      <w:r w:rsidR="00E0558B" w:rsidRPr="008201F0">
        <w:rPr>
          <w:bCs/>
          <w:szCs w:val="32"/>
        </w:rPr>
        <w:t>T</w:t>
      </w:r>
      <w:r w:rsidR="00EF6D98" w:rsidRPr="008201F0">
        <w:rPr>
          <w:bCs/>
          <w:szCs w:val="32"/>
        </w:rPr>
        <w:t xml:space="preserve">he ESC considered that </w:t>
      </w:r>
      <w:r w:rsidR="00F22B1D" w:rsidRPr="00575BA6">
        <w:rPr>
          <w:bCs/>
          <w:szCs w:val="32"/>
        </w:rPr>
        <w:t xml:space="preserve">confirmed </w:t>
      </w:r>
      <w:r w:rsidR="00F22B1D" w:rsidRPr="00575BA6">
        <w:rPr>
          <w:rFonts w:cstheme="minorHAnsi"/>
          <w:bCs/>
          <w:szCs w:val="32"/>
        </w:rPr>
        <w:t xml:space="preserve">genetic test results should not be a prerequisite for treatment as </w:t>
      </w:r>
      <w:r w:rsidR="002361D8" w:rsidRPr="00575BA6">
        <w:rPr>
          <w:rFonts w:cstheme="minorHAnsi"/>
          <w:bCs/>
          <w:szCs w:val="32"/>
        </w:rPr>
        <w:t xml:space="preserve">obtaining results </w:t>
      </w:r>
      <w:r w:rsidR="009A345F" w:rsidRPr="00575BA6">
        <w:rPr>
          <w:rFonts w:cstheme="minorHAnsi"/>
          <w:bCs/>
          <w:szCs w:val="32"/>
        </w:rPr>
        <w:t xml:space="preserve">in Australia can </w:t>
      </w:r>
      <w:r w:rsidR="00F22B1D" w:rsidRPr="00575BA6">
        <w:rPr>
          <w:rFonts w:cstheme="minorHAnsi"/>
          <w:bCs/>
          <w:szCs w:val="32"/>
        </w:rPr>
        <w:t xml:space="preserve">take </w:t>
      </w:r>
      <w:r w:rsidR="002361D8" w:rsidRPr="00575BA6">
        <w:rPr>
          <w:rFonts w:cstheme="minorHAnsi"/>
          <w:bCs/>
          <w:szCs w:val="32"/>
        </w:rPr>
        <w:t xml:space="preserve">several </w:t>
      </w:r>
      <w:r w:rsidR="00F22B1D" w:rsidRPr="00575BA6">
        <w:rPr>
          <w:rFonts w:cstheme="minorHAnsi"/>
          <w:bCs/>
          <w:szCs w:val="32"/>
        </w:rPr>
        <w:t>months.</w:t>
      </w:r>
      <w:r w:rsidR="009619D7">
        <w:rPr>
          <w:rFonts w:cstheme="minorHAnsi"/>
          <w:bCs/>
          <w:szCs w:val="32"/>
        </w:rPr>
        <w:t xml:space="preserve"> The PBAC</w:t>
      </w:r>
      <w:r w:rsidR="00644C87">
        <w:rPr>
          <w:rFonts w:cstheme="minorHAnsi"/>
          <w:bCs/>
          <w:szCs w:val="32"/>
        </w:rPr>
        <w:t xml:space="preserve"> considered </w:t>
      </w:r>
      <w:r w:rsidR="009619D7">
        <w:rPr>
          <w:rFonts w:cstheme="minorHAnsi"/>
          <w:bCs/>
          <w:szCs w:val="32"/>
        </w:rPr>
        <w:t xml:space="preserve">that genetic test results are not required </w:t>
      </w:r>
      <w:r w:rsidR="00644C87">
        <w:rPr>
          <w:rFonts w:cstheme="minorHAnsi"/>
          <w:bCs/>
          <w:szCs w:val="32"/>
        </w:rPr>
        <w:t xml:space="preserve">for the initial restriction criteria. </w:t>
      </w:r>
    </w:p>
    <w:p w14:paraId="08F5567C" w14:textId="3D8C0F88" w:rsidR="00053734" w:rsidRPr="00575BA6" w:rsidRDefault="000D63AF" w:rsidP="008B6633">
      <w:pPr>
        <w:pStyle w:val="3-BodyText"/>
        <w:spacing w:before="160" w:after="160"/>
        <w:rPr>
          <w:rFonts w:cstheme="minorHAnsi"/>
        </w:rPr>
      </w:pPr>
      <w:r w:rsidRPr="00575BA6">
        <w:rPr>
          <w:rFonts w:cstheme="minorHAnsi"/>
        </w:rPr>
        <w:t xml:space="preserve">The requested listing for initial treatment </w:t>
      </w:r>
      <w:r w:rsidR="00766C42" w:rsidRPr="00575BA6">
        <w:rPr>
          <w:rFonts w:cstheme="minorHAnsi"/>
        </w:rPr>
        <w:t>include</w:t>
      </w:r>
      <w:r w:rsidR="000613CC" w:rsidRPr="00575BA6">
        <w:rPr>
          <w:rFonts w:cstheme="minorHAnsi"/>
        </w:rPr>
        <w:t>d</w:t>
      </w:r>
      <w:r w:rsidR="00766C42" w:rsidRPr="00575BA6">
        <w:rPr>
          <w:rFonts w:cstheme="minorHAnsi"/>
        </w:rPr>
        <w:t xml:space="preserve"> a clinical criteri</w:t>
      </w:r>
      <w:r w:rsidR="00DA262E">
        <w:rPr>
          <w:rFonts w:cstheme="minorHAnsi"/>
        </w:rPr>
        <w:t>on</w:t>
      </w:r>
      <w:r w:rsidR="00766C42" w:rsidRPr="00575BA6">
        <w:rPr>
          <w:rFonts w:cstheme="minorHAnsi"/>
        </w:rPr>
        <w:t xml:space="preserve"> of elevated serum bile acids (sBA</w:t>
      </w:r>
      <w:r w:rsidR="00F44734" w:rsidRPr="00575BA6">
        <w:rPr>
          <w:rFonts w:cstheme="minorHAnsi"/>
        </w:rPr>
        <w:t>s</w:t>
      </w:r>
      <w:r w:rsidR="00766C42" w:rsidRPr="00575BA6">
        <w:rPr>
          <w:rFonts w:cstheme="minorHAnsi"/>
        </w:rPr>
        <w:t>)</w:t>
      </w:r>
      <w:r w:rsidR="00FA21ED" w:rsidRPr="00575BA6">
        <w:rPr>
          <w:rFonts w:cstheme="minorHAnsi"/>
        </w:rPr>
        <w:t>,</w:t>
      </w:r>
      <w:r w:rsidR="00766C42" w:rsidRPr="00575BA6">
        <w:rPr>
          <w:rFonts w:cstheme="minorHAnsi"/>
        </w:rPr>
        <w:t xml:space="preserve"> with no minimal level of elevation specified. This was </w:t>
      </w:r>
      <w:bookmarkStart w:id="9" w:name="_Hlk219872779"/>
      <w:r w:rsidR="00766C42" w:rsidRPr="00575BA6">
        <w:rPr>
          <w:rFonts w:cstheme="minorHAnsi"/>
        </w:rPr>
        <w:t>consistent with the odevixibat initial listing for the treatment of PFIC</w:t>
      </w:r>
      <w:bookmarkEnd w:id="9"/>
      <w:r w:rsidR="00766C42" w:rsidRPr="00575BA6">
        <w:rPr>
          <w:rFonts w:cstheme="minorHAnsi"/>
        </w:rPr>
        <w:t>.</w:t>
      </w:r>
      <w:r w:rsidR="00A93086" w:rsidRPr="00575BA6">
        <w:rPr>
          <w:rFonts w:cstheme="minorHAnsi"/>
        </w:rPr>
        <w:t xml:space="preserve"> The </w:t>
      </w:r>
      <w:r w:rsidR="00936F72" w:rsidRPr="001A7E26">
        <w:rPr>
          <w:bCs/>
        </w:rPr>
        <w:t xml:space="preserve">Pre-Sub-Committee Response’ </w:t>
      </w:r>
      <w:r w:rsidR="00936F72">
        <w:rPr>
          <w:bCs/>
        </w:rPr>
        <w:t>(</w:t>
      </w:r>
      <w:r w:rsidR="00A93086" w:rsidRPr="00575BA6">
        <w:rPr>
          <w:rFonts w:cstheme="minorHAnsi"/>
        </w:rPr>
        <w:t>PSCR</w:t>
      </w:r>
      <w:r w:rsidR="00936F72">
        <w:rPr>
          <w:rFonts w:cstheme="minorHAnsi"/>
        </w:rPr>
        <w:t>)</w:t>
      </w:r>
      <w:r w:rsidR="00A93086" w:rsidRPr="00575BA6">
        <w:rPr>
          <w:rFonts w:cstheme="minorHAnsi"/>
        </w:rPr>
        <w:t xml:space="preserve"> </w:t>
      </w:r>
      <w:r w:rsidR="00DD3846" w:rsidRPr="00575BA6">
        <w:rPr>
          <w:rFonts w:cstheme="minorHAnsi"/>
        </w:rPr>
        <w:t>considered that</w:t>
      </w:r>
      <w:r w:rsidR="009C46B9" w:rsidRPr="00575BA6">
        <w:rPr>
          <w:rFonts w:cstheme="minorHAnsi"/>
        </w:rPr>
        <w:t xml:space="preserve"> </w:t>
      </w:r>
      <w:r w:rsidR="00DD3846" w:rsidRPr="00575BA6">
        <w:rPr>
          <w:rFonts w:cstheme="minorHAnsi"/>
        </w:rPr>
        <w:t>(</w:t>
      </w:r>
      <w:r w:rsidR="0098299E" w:rsidRPr="00575BA6">
        <w:rPr>
          <w:rFonts w:cstheme="minorHAnsi"/>
        </w:rPr>
        <w:t>a</w:t>
      </w:r>
      <w:r w:rsidR="00A355FA" w:rsidRPr="00575BA6">
        <w:rPr>
          <w:rFonts w:cstheme="minorHAnsi"/>
        </w:rPr>
        <w:t>s accepted with PFIC listing</w:t>
      </w:r>
      <w:r w:rsidR="00DD3846" w:rsidRPr="00575BA6">
        <w:rPr>
          <w:rFonts w:cstheme="minorHAnsi"/>
        </w:rPr>
        <w:t>)</w:t>
      </w:r>
      <w:r w:rsidR="00A355FA" w:rsidRPr="00575BA6">
        <w:rPr>
          <w:rFonts w:cstheme="minorHAnsi"/>
        </w:rPr>
        <w:t xml:space="preserve">, </w:t>
      </w:r>
      <w:r w:rsidR="00DD3846" w:rsidRPr="00575BA6">
        <w:rPr>
          <w:rFonts w:cstheme="minorHAnsi"/>
        </w:rPr>
        <w:t>“</w:t>
      </w:r>
      <w:r w:rsidR="00A355FA" w:rsidRPr="00575BA6">
        <w:rPr>
          <w:rFonts w:cstheme="minorHAnsi"/>
        </w:rPr>
        <w:t>elevated SBAs with significant pruritus appropriately defined the eligible patient population”</w:t>
      </w:r>
      <w:r w:rsidR="00E01248" w:rsidRPr="00575BA6">
        <w:rPr>
          <w:rFonts w:cstheme="minorHAnsi"/>
        </w:rPr>
        <w:t xml:space="preserve">. </w:t>
      </w:r>
      <w:r w:rsidR="00DD3846" w:rsidRPr="00575BA6">
        <w:rPr>
          <w:rFonts w:cstheme="minorHAnsi"/>
        </w:rPr>
        <w:t xml:space="preserve">Further, the PSCR (table 1) noted </w:t>
      </w:r>
      <w:r w:rsidR="004C1B5B" w:rsidRPr="00575BA6">
        <w:rPr>
          <w:rFonts w:cstheme="minorHAnsi"/>
        </w:rPr>
        <w:t>“the goal of therapy is relief of pruritus and therefore SBA measure are not appropriate measures to assess efficacy”.</w:t>
      </w:r>
    </w:p>
    <w:p w14:paraId="7A7D91BF" w14:textId="63DADD67" w:rsidR="00180B33" w:rsidRPr="00385A6B" w:rsidRDefault="00985A05" w:rsidP="008B6633">
      <w:pPr>
        <w:pStyle w:val="3-BodyText"/>
        <w:spacing w:before="160" w:after="160"/>
        <w:rPr>
          <w:rFonts w:cstheme="minorHAnsi"/>
        </w:rPr>
      </w:pPr>
      <w:r w:rsidRPr="00385A6B">
        <w:rPr>
          <w:rFonts w:cstheme="minorHAnsi"/>
          <w:bCs/>
          <w:szCs w:val="32"/>
        </w:rPr>
        <w:t>The requested listing for initial treatment did not exclude patients with prior LT</w:t>
      </w:r>
      <w:r w:rsidR="00AF745F" w:rsidRPr="00385A6B">
        <w:rPr>
          <w:rFonts w:cstheme="minorHAnsi"/>
          <w:bCs/>
          <w:szCs w:val="32"/>
        </w:rPr>
        <w:t>, consistent with the odevixibat listing for the treatment of PFIC</w:t>
      </w:r>
      <w:r w:rsidRPr="00385A6B">
        <w:rPr>
          <w:rFonts w:cstheme="minorHAnsi"/>
          <w:bCs/>
          <w:szCs w:val="32"/>
        </w:rPr>
        <w:t xml:space="preserve">. </w:t>
      </w:r>
      <w:r w:rsidR="00AF745F" w:rsidRPr="00385A6B">
        <w:rPr>
          <w:rFonts w:cstheme="minorHAnsi"/>
          <w:bCs/>
          <w:szCs w:val="32"/>
        </w:rPr>
        <w:t>However, t</w:t>
      </w:r>
      <w:r w:rsidRPr="00385A6B">
        <w:rPr>
          <w:rFonts w:cstheme="minorHAnsi"/>
          <w:bCs/>
          <w:szCs w:val="32"/>
        </w:rPr>
        <w:t xml:space="preserve">his was inconsistent with </w:t>
      </w:r>
      <w:r w:rsidR="008319E4" w:rsidRPr="00385A6B">
        <w:rPr>
          <w:rFonts w:cstheme="minorHAnsi"/>
          <w:bCs/>
          <w:szCs w:val="32"/>
        </w:rPr>
        <w:t xml:space="preserve">the </w:t>
      </w:r>
      <w:r w:rsidRPr="00385A6B">
        <w:rPr>
          <w:rFonts w:cstheme="minorHAnsi"/>
          <w:bCs/>
          <w:szCs w:val="32"/>
        </w:rPr>
        <w:t>clinical trial</w:t>
      </w:r>
      <w:r w:rsidR="008319E4" w:rsidRPr="00385A6B">
        <w:rPr>
          <w:rFonts w:cstheme="minorHAnsi"/>
          <w:bCs/>
          <w:szCs w:val="32"/>
        </w:rPr>
        <w:t xml:space="preserve"> evidence from ASSERT</w:t>
      </w:r>
      <w:r w:rsidRPr="00385A6B">
        <w:rPr>
          <w:rFonts w:cstheme="minorHAnsi"/>
          <w:bCs/>
          <w:szCs w:val="32"/>
        </w:rPr>
        <w:t>, in which p</w:t>
      </w:r>
      <w:r w:rsidR="00053734" w:rsidRPr="00385A6B">
        <w:rPr>
          <w:rFonts w:cstheme="minorHAnsi"/>
          <w:bCs/>
          <w:szCs w:val="32"/>
        </w:rPr>
        <w:t>atients were excluded</w:t>
      </w:r>
      <w:r w:rsidR="008319E4" w:rsidRPr="00385A6B">
        <w:rPr>
          <w:rFonts w:cstheme="minorHAnsi"/>
          <w:bCs/>
          <w:szCs w:val="32"/>
        </w:rPr>
        <w:t xml:space="preserve"> </w:t>
      </w:r>
      <w:r w:rsidR="00053734" w:rsidRPr="00385A6B">
        <w:rPr>
          <w:rFonts w:cstheme="minorHAnsi"/>
          <w:bCs/>
          <w:szCs w:val="32"/>
        </w:rPr>
        <w:t>if they had</w:t>
      </w:r>
      <w:r w:rsidRPr="00385A6B">
        <w:rPr>
          <w:rFonts w:cstheme="minorHAnsi"/>
          <w:bCs/>
          <w:szCs w:val="32"/>
        </w:rPr>
        <w:t xml:space="preserve"> SBD within six months prior to screening or prior LT or planned LT within six months of randomisation.</w:t>
      </w:r>
    </w:p>
    <w:p w14:paraId="5761C450" w14:textId="519D82CC" w:rsidR="001256E6" w:rsidRDefault="00726200" w:rsidP="008B6633">
      <w:pPr>
        <w:pStyle w:val="3-BodyText"/>
        <w:spacing w:before="160" w:after="160"/>
        <w:rPr>
          <w:rFonts w:cstheme="minorHAnsi"/>
        </w:rPr>
      </w:pPr>
      <w:bookmarkStart w:id="10" w:name="_Ref222744473"/>
      <w:r w:rsidRPr="00385A6B">
        <w:rPr>
          <w:rFonts w:cstheme="minorHAnsi"/>
        </w:rPr>
        <w:t xml:space="preserve">An adequate clinical response was defined as an average ≥1 grade improvement in the observer-reported outcome (ObsRO) pruritus scratching scale, versus baseline measurement, assessed on </w:t>
      </w:r>
      <w:r w:rsidR="00987EBC" w:rsidRPr="00385A6B">
        <w:rPr>
          <w:rFonts w:cstheme="minorHAnsi"/>
        </w:rPr>
        <w:t>three</w:t>
      </w:r>
      <w:r w:rsidRPr="00385A6B">
        <w:rPr>
          <w:rFonts w:cstheme="minorHAnsi"/>
        </w:rPr>
        <w:t xml:space="preserve"> occasions over a one-week period prior to assessment of response. The ObsRO Pruritus (scratching) </w:t>
      </w:r>
      <w:r w:rsidR="00A114ED">
        <w:rPr>
          <w:rFonts w:cstheme="minorHAnsi"/>
        </w:rPr>
        <w:t>s</w:t>
      </w:r>
      <w:r w:rsidRPr="00385A6B">
        <w:rPr>
          <w:rFonts w:cstheme="minorHAnsi"/>
        </w:rPr>
        <w:t xml:space="preserve">cale has been previously considered by the PBAC for the odevixibat submission for the treatment of PFIC. The PBAC </w:t>
      </w:r>
      <w:r w:rsidR="00904F3F">
        <w:rPr>
          <w:rFonts w:cstheme="minorHAnsi"/>
        </w:rPr>
        <w:t xml:space="preserve">previously </w:t>
      </w:r>
      <w:r w:rsidRPr="00385A6B">
        <w:rPr>
          <w:rFonts w:cstheme="minorHAnsi"/>
        </w:rPr>
        <w:t>noted that “the clinical experts considered that the ObsRO Pruritus Scale was an appropriate tool to measure response to treatment.” (paragraph 13.2, odevixibat Public Summary Document [PSD], March 2025 PBAC Meeting with Addendum July 2025).</w:t>
      </w:r>
      <w:bookmarkEnd w:id="10"/>
      <w:r w:rsidR="001256E6">
        <w:rPr>
          <w:rFonts w:cstheme="minorHAnsi"/>
        </w:rPr>
        <w:t xml:space="preserve"> </w:t>
      </w:r>
      <w:r w:rsidR="008536BD">
        <w:rPr>
          <w:rFonts w:cstheme="minorHAnsi"/>
        </w:rPr>
        <w:t xml:space="preserve">The PBAC </w:t>
      </w:r>
      <w:r w:rsidR="001B35D2">
        <w:rPr>
          <w:rFonts w:cstheme="minorHAnsi"/>
        </w:rPr>
        <w:t>reiterated</w:t>
      </w:r>
      <w:r w:rsidR="001D2889">
        <w:rPr>
          <w:rFonts w:cstheme="minorHAnsi"/>
        </w:rPr>
        <w:t xml:space="preserve"> </w:t>
      </w:r>
      <w:r w:rsidR="00A42BB7">
        <w:rPr>
          <w:rFonts w:cstheme="minorHAnsi"/>
        </w:rPr>
        <w:t>i</w:t>
      </w:r>
      <w:r w:rsidR="008536BD">
        <w:rPr>
          <w:rFonts w:cstheme="minorHAnsi"/>
        </w:rPr>
        <w:t xml:space="preserve">ts previous concern </w:t>
      </w:r>
      <w:r w:rsidR="001D2889">
        <w:rPr>
          <w:rFonts w:cstheme="minorHAnsi"/>
        </w:rPr>
        <w:t>regarding the validation of the ObsRO (</w:t>
      </w:r>
      <w:r w:rsidR="00A42BB7">
        <w:rPr>
          <w:rFonts w:cstheme="minorHAnsi"/>
        </w:rPr>
        <w:t xml:space="preserve">paragraph 7.8, </w:t>
      </w:r>
      <w:r w:rsidR="009A5290">
        <w:rPr>
          <w:rFonts w:cstheme="minorHAnsi"/>
        </w:rPr>
        <w:t>odevixibat</w:t>
      </w:r>
      <w:r w:rsidR="00A42BB7">
        <w:rPr>
          <w:rFonts w:cstheme="minorHAnsi"/>
        </w:rPr>
        <w:t xml:space="preserve"> PSD, July 2024 PBAC meeting). </w:t>
      </w:r>
    </w:p>
    <w:p w14:paraId="32F7EFDF" w14:textId="2D514A5D" w:rsidR="00F03FBE" w:rsidRPr="00EA03E0" w:rsidRDefault="00CA278A" w:rsidP="008B6633">
      <w:pPr>
        <w:pStyle w:val="3-BodyText"/>
        <w:rPr>
          <w:snapToGrid w:val="0"/>
        </w:rPr>
      </w:pPr>
      <w:r w:rsidRPr="008F5F30">
        <w:rPr>
          <w:snapToGrid w:val="0"/>
        </w:rPr>
        <w:t xml:space="preserve">The </w:t>
      </w:r>
      <w:r w:rsidR="00575BA6">
        <w:rPr>
          <w:snapToGrid w:val="0"/>
        </w:rPr>
        <w:t>S</w:t>
      </w:r>
      <w:r w:rsidR="00C0257A">
        <w:rPr>
          <w:snapToGrid w:val="0"/>
        </w:rPr>
        <w:t>ecretariat noted that</w:t>
      </w:r>
      <w:r w:rsidRPr="008F5F30">
        <w:rPr>
          <w:snapToGrid w:val="0"/>
        </w:rPr>
        <w:t xml:space="preserve"> assessment of response </w:t>
      </w:r>
      <w:r w:rsidR="00195F65">
        <w:rPr>
          <w:snapToGrid w:val="0"/>
        </w:rPr>
        <w:t>wa</w:t>
      </w:r>
      <w:r w:rsidRPr="008F5F30">
        <w:rPr>
          <w:snapToGrid w:val="0"/>
        </w:rPr>
        <w:t>s required only for the first continuing prescription when a patient transitions from initial to continuing treatment</w:t>
      </w:r>
      <w:r w:rsidR="00EA03E0">
        <w:rPr>
          <w:snapToGrid w:val="0"/>
        </w:rPr>
        <w:t>,</w:t>
      </w:r>
      <w:r w:rsidRPr="008F5F30">
        <w:rPr>
          <w:snapToGrid w:val="0"/>
        </w:rPr>
        <w:t xml:space="preserve"> </w:t>
      </w:r>
      <w:r w:rsidR="00195F65">
        <w:rPr>
          <w:snapToGrid w:val="0"/>
        </w:rPr>
        <w:t>but was not specified</w:t>
      </w:r>
      <w:r w:rsidRPr="008F5F30">
        <w:rPr>
          <w:snapToGrid w:val="0"/>
        </w:rPr>
        <w:t xml:space="preserve"> for each subsequent continuing script.</w:t>
      </w:r>
    </w:p>
    <w:p w14:paraId="664DFF45" w14:textId="15182148" w:rsidR="00726200" w:rsidRPr="001256E6" w:rsidRDefault="001256E6" w:rsidP="00936F72">
      <w:pPr>
        <w:ind w:firstLine="720"/>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385A6B" w:rsidDel="00195452" w:rsidRDefault="00203181" w:rsidP="008B6633">
      <w:pPr>
        <w:pStyle w:val="2-SectionHeading"/>
        <w:spacing w:before="160" w:after="160"/>
        <w:rPr>
          <w:rFonts w:cstheme="minorHAnsi"/>
        </w:rPr>
      </w:pPr>
      <w:bookmarkStart w:id="11" w:name="_Toc219900839"/>
      <w:r w:rsidRPr="00385A6B" w:rsidDel="00195452">
        <w:rPr>
          <w:rFonts w:cstheme="minorHAnsi"/>
        </w:rPr>
        <w:lastRenderedPageBreak/>
        <w:t xml:space="preserve">Population and </w:t>
      </w:r>
      <w:r w:rsidR="008E0D3C" w:rsidRPr="00385A6B" w:rsidDel="00195452">
        <w:rPr>
          <w:rFonts w:cstheme="minorHAnsi"/>
        </w:rPr>
        <w:t>d</w:t>
      </w:r>
      <w:r w:rsidRPr="00385A6B" w:rsidDel="00195452">
        <w:rPr>
          <w:rFonts w:cstheme="minorHAnsi"/>
        </w:rPr>
        <w:t>isease</w:t>
      </w:r>
      <w:bookmarkEnd w:id="11"/>
    </w:p>
    <w:p w14:paraId="59F7291A" w14:textId="3A78433A" w:rsidR="008E638F" w:rsidRPr="00575BA6" w:rsidRDefault="008E638F" w:rsidP="008B6633">
      <w:pPr>
        <w:pStyle w:val="3-BodyText"/>
        <w:spacing w:before="160" w:after="160"/>
        <w:rPr>
          <w:rFonts w:cstheme="minorHAnsi"/>
        </w:rPr>
      </w:pPr>
      <w:r w:rsidRPr="00575BA6">
        <w:rPr>
          <w:rFonts w:cstheme="minorHAnsi"/>
        </w:rPr>
        <w:t>ALGS is a rare autosomal dominant</w:t>
      </w:r>
      <w:r w:rsidR="00EE48A5" w:rsidRPr="00575BA6">
        <w:rPr>
          <w:rFonts w:cstheme="minorHAnsi"/>
        </w:rPr>
        <w:t xml:space="preserve"> </w:t>
      </w:r>
      <w:r w:rsidRPr="00575BA6">
        <w:rPr>
          <w:rFonts w:cstheme="minorHAnsi"/>
        </w:rPr>
        <w:t>disorder caused by defects in the Notch signalling pathway, primarily characterised by hepatic involvement manifesting as cholestasis (reduced flow of bile from the liver) with variable extrahepatic clinical features.</w:t>
      </w:r>
      <w:r w:rsidR="00E95015" w:rsidRPr="00575BA6">
        <w:rPr>
          <w:rFonts w:cstheme="minorHAnsi"/>
        </w:rPr>
        <w:t xml:space="preserve"> H</w:t>
      </w:r>
      <w:r w:rsidRPr="00575BA6">
        <w:rPr>
          <w:rFonts w:cstheme="minorHAnsi"/>
        </w:rPr>
        <w:t xml:space="preserve">epatic manifestations range from mild cholestasis to progressive liver failure and usually include severe pruritus. </w:t>
      </w:r>
      <w:r w:rsidR="00182B61" w:rsidRPr="00575BA6">
        <w:rPr>
          <w:rFonts w:cstheme="minorHAnsi"/>
        </w:rPr>
        <w:t>Extrahepatic</w:t>
      </w:r>
      <w:r w:rsidR="00931175" w:rsidRPr="00575BA6">
        <w:rPr>
          <w:rFonts w:cstheme="minorHAnsi"/>
        </w:rPr>
        <w:t xml:space="preserve"> features</w:t>
      </w:r>
      <w:r w:rsidR="008319E4" w:rsidRPr="00575BA6">
        <w:rPr>
          <w:rFonts w:cstheme="minorHAnsi"/>
        </w:rPr>
        <w:t xml:space="preserve"> are highly variable and </w:t>
      </w:r>
      <w:r w:rsidR="00931175" w:rsidRPr="00575BA6">
        <w:rPr>
          <w:rFonts w:cstheme="minorHAnsi"/>
        </w:rPr>
        <w:t>include</w:t>
      </w:r>
      <w:r w:rsidR="00182B61" w:rsidRPr="00575BA6">
        <w:rPr>
          <w:rFonts w:cstheme="minorHAnsi"/>
        </w:rPr>
        <w:t xml:space="preserve"> </w:t>
      </w:r>
      <w:r w:rsidRPr="00575BA6">
        <w:rPr>
          <w:rFonts w:cstheme="minorHAnsi"/>
        </w:rPr>
        <w:t xml:space="preserve">cardiac defects, renal abnormalities, skeletal malformations, vascular </w:t>
      </w:r>
      <w:r w:rsidR="009D476F" w:rsidRPr="00575BA6">
        <w:rPr>
          <w:rFonts w:cstheme="minorHAnsi"/>
        </w:rPr>
        <w:t>abnormalities,</w:t>
      </w:r>
      <w:r w:rsidRPr="00575BA6">
        <w:rPr>
          <w:rFonts w:cstheme="minorHAnsi"/>
        </w:rPr>
        <w:t xml:space="preserve"> and ophthalmologic manifestations.</w:t>
      </w:r>
      <w:r w:rsidR="00F062E2" w:rsidRPr="00575BA6">
        <w:rPr>
          <w:rFonts w:cstheme="minorHAnsi"/>
        </w:rPr>
        <w:t xml:space="preserve"> </w:t>
      </w:r>
      <w:r w:rsidR="001E45AA" w:rsidRPr="00575BA6">
        <w:rPr>
          <w:rFonts w:cstheme="minorHAnsi"/>
        </w:rPr>
        <w:t xml:space="preserve">The ESC noted odevixibat does not impact on extrahepatic features of AGLS. </w:t>
      </w:r>
      <w:r w:rsidR="00F062E2" w:rsidRPr="00575BA6">
        <w:rPr>
          <w:rFonts w:cstheme="minorHAnsi"/>
        </w:rPr>
        <w:t xml:space="preserve">The submission emphasised the significant morbidity associated with pruritus, </w:t>
      </w:r>
      <w:r w:rsidR="00F55E94" w:rsidRPr="00575BA6">
        <w:rPr>
          <w:rFonts w:cstheme="minorHAnsi"/>
        </w:rPr>
        <w:t>including</w:t>
      </w:r>
      <w:r w:rsidR="00F062E2" w:rsidRPr="00575BA6">
        <w:rPr>
          <w:rFonts w:cstheme="minorHAnsi"/>
        </w:rPr>
        <w:t xml:space="preserve"> skin lesions, pruritic self-mutilation, scarring, sleep disruption, chronic debilitating fatigue</w:t>
      </w:r>
      <w:r w:rsidR="0059521B" w:rsidRPr="00575BA6">
        <w:rPr>
          <w:rFonts w:cstheme="minorHAnsi"/>
        </w:rPr>
        <w:t>,</w:t>
      </w:r>
      <w:r w:rsidR="00F062E2" w:rsidRPr="00575BA6">
        <w:rPr>
          <w:rFonts w:cstheme="minorHAnsi"/>
        </w:rPr>
        <w:t xml:space="preserve"> and a negative impact on physical and psychosocial health.</w:t>
      </w:r>
      <w:r w:rsidR="00902187" w:rsidRPr="00575BA6">
        <w:rPr>
          <w:rFonts w:cstheme="minorHAnsi"/>
        </w:rPr>
        <w:t xml:space="preserve"> </w:t>
      </w:r>
    </w:p>
    <w:p w14:paraId="57A708E3" w14:textId="1A04E981" w:rsidR="008E638F" w:rsidRPr="00385A6B" w:rsidRDefault="008E638F" w:rsidP="008B6633">
      <w:pPr>
        <w:pStyle w:val="3-BodyText"/>
        <w:spacing w:before="160" w:after="160"/>
        <w:rPr>
          <w:rFonts w:cstheme="minorHAnsi"/>
        </w:rPr>
      </w:pPr>
      <w:r w:rsidRPr="00385A6B">
        <w:rPr>
          <w:rFonts w:cstheme="minorHAnsi"/>
        </w:rPr>
        <w:t>In ALGS, disrupted Notch signalling is associated with abnormal development of intrahepatic bile ducts</w:t>
      </w:r>
      <w:r w:rsidR="001D3C50" w:rsidRPr="00385A6B">
        <w:rPr>
          <w:rFonts w:cstheme="minorHAnsi"/>
        </w:rPr>
        <w:t>,</w:t>
      </w:r>
      <w:r w:rsidRPr="00385A6B">
        <w:rPr>
          <w:rFonts w:cstheme="minorHAnsi"/>
        </w:rPr>
        <w:t xml:space="preserve"> result</w:t>
      </w:r>
      <w:r w:rsidR="008B114A" w:rsidRPr="00385A6B">
        <w:rPr>
          <w:rFonts w:cstheme="minorHAnsi"/>
        </w:rPr>
        <w:t>ing</w:t>
      </w:r>
      <w:r w:rsidRPr="00385A6B">
        <w:rPr>
          <w:rFonts w:cstheme="minorHAnsi"/>
        </w:rPr>
        <w:t xml:space="preserve"> </w:t>
      </w:r>
      <w:r w:rsidR="00876A7B" w:rsidRPr="00385A6B">
        <w:rPr>
          <w:rFonts w:cstheme="minorHAnsi"/>
        </w:rPr>
        <w:t>in malformed</w:t>
      </w:r>
      <w:r w:rsidR="00C00EF3" w:rsidRPr="00385A6B">
        <w:rPr>
          <w:rFonts w:cstheme="minorHAnsi"/>
        </w:rPr>
        <w:t xml:space="preserve"> and </w:t>
      </w:r>
      <w:r w:rsidR="00876A7B" w:rsidRPr="00385A6B">
        <w:rPr>
          <w:rFonts w:cstheme="minorHAnsi"/>
        </w:rPr>
        <w:t xml:space="preserve">narrowed or </w:t>
      </w:r>
      <w:r w:rsidR="00C00EF3" w:rsidRPr="00385A6B">
        <w:rPr>
          <w:rFonts w:cstheme="minorHAnsi"/>
        </w:rPr>
        <w:t xml:space="preserve">a </w:t>
      </w:r>
      <w:r w:rsidR="00696F7F" w:rsidRPr="00385A6B">
        <w:rPr>
          <w:rFonts w:cstheme="minorHAnsi"/>
        </w:rPr>
        <w:t xml:space="preserve">paucity of bile ducts and </w:t>
      </w:r>
      <w:r w:rsidRPr="00385A6B">
        <w:rPr>
          <w:rFonts w:cstheme="minorHAnsi"/>
        </w:rPr>
        <w:t xml:space="preserve">chronic cholestasis in the majority of patients. </w:t>
      </w:r>
      <w:r w:rsidR="00C40835" w:rsidRPr="00385A6B">
        <w:rPr>
          <w:rFonts w:cstheme="minorHAnsi"/>
        </w:rPr>
        <w:t>P</w:t>
      </w:r>
      <w:r w:rsidRPr="00385A6B">
        <w:rPr>
          <w:rFonts w:cstheme="minorHAnsi"/>
        </w:rPr>
        <w:t>aucity of bile ducts</w:t>
      </w:r>
      <w:r w:rsidR="00C40835" w:rsidRPr="00385A6B">
        <w:rPr>
          <w:rFonts w:cstheme="minorHAnsi"/>
        </w:rPr>
        <w:t xml:space="preserve"> often</w:t>
      </w:r>
      <w:r w:rsidRPr="00385A6B">
        <w:rPr>
          <w:rFonts w:cstheme="minorHAnsi"/>
        </w:rPr>
        <w:t xml:space="preserve"> appears to be progressive, observed in 60% of biopsies from patients aged less than 6 months</w:t>
      </w:r>
      <w:r w:rsidR="008303EA" w:rsidRPr="00385A6B">
        <w:rPr>
          <w:rFonts w:cstheme="minorHAnsi"/>
        </w:rPr>
        <w:t>,</w:t>
      </w:r>
      <w:r w:rsidRPr="00385A6B">
        <w:rPr>
          <w:rFonts w:cstheme="minorHAnsi"/>
        </w:rPr>
        <w:t xml:space="preserve"> and </w:t>
      </w:r>
      <w:r w:rsidR="008303EA" w:rsidRPr="00385A6B">
        <w:rPr>
          <w:rFonts w:cstheme="minorHAnsi"/>
        </w:rPr>
        <w:t xml:space="preserve">~95% </w:t>
      </w:r>
      <w:r w:rsidRPr="00385A6B">
        <w:rPr>
          <w:rFonts w:cstheme="minorHAnsi"/>
        </w:rPr>
        <w:t>those aged 6 months and older</w:t>
      </w:r>
      <w:r w:rsidR="00F062E2" w:rsidRPr="00385A6B">
        <w:rPr>
          <w:rStyle w:val="FootnoteReference"/>
          <w:rFonts w:cstheme="minorHAnsi"/>
        </w:rPr>
        <w:footnoteReference w:id="1"/>
      </w:r>
      <w:r w:rsidRPr="00385A6B">
        <w:rPr>
          <w:rFonts w:cstheme="minorHAnsi"/>
        </w:rPr>
        <w:t xml:space="preserve">. </w:t>
      </w:r>
      <w:r w:rsidR="00786DBB">
        <w:rPr>
          <w:rFonts w:cstheme="minorHAnsi"/>
        </w:rPr>
        <w:t>The evaluation</w:t>
      </w:r>
      <w:r w:rsidR="00F062E2" w:rsidRPr="00385A6B">
        <w:rPr>
          <w:rFonts w:cstheme="minorHAnsi"/>
        </w:rPr>
        <w:t xml:space="preserve"> </w:t>
      </w:r>
      <w:r w:rsidRPr="00385A6B">
        <w:rPr>
          <w:rFonts w:cstheme="minorHAnsi"/>
        </w:rPr>
        <w:t>note</w:t>
      </w:r>
      <w:r w:rsidR="00F062E2" w:rsidRPr="00385A6B">
        <w:rPr>
          <w:rFonts w:cstheme="minorHAnsi"/>
        </w:rPr>
        <w:t>d</w:t>
      </w:r>
      <w:r w:rsidRPr="00385A6B">
        <w:rPr>
          <w:rFonts w:cstheme="minorHAnsi"/>
        </w:rPr>
        <w:t xml:space="preserve"> that progression may not occur </w:t>
      </w:r>
      <w:r w:rsidR="000A0884" w:rsidRPr="00385A6B">
        <w:rPr>
          <w:rFonts w:cstheme="minorHAnsi"/>
        </w:rPr>
        <w:t>in all cases</w:t>
      </w:r>
      <w:r w:rsidR="00D753B8" w:rsidRPr="00385A6B">
        <w:rPr>
          <w:rFonts w:cstheme="minorHAnsi"/>
        </w:rPr>
        <w:t xml:space="preserve">. </w:t>
      </w:r>
      <w:r w:rsidR="00285518" w:rsidRPr="00385A6B">
        <w:rPr>
          <w:rFonts w:cstheme="minorHAnsi"/>
        </w:rPr>
        <w:t>Infants with ALGS and substantial cholestasis may have either spontaneous improvement, progression to end-stage liver disease</w:t>
      </w:r>
      <w:r w:rsidR="00AC0C9C" w:rsidRPr="00385A6B">
        <w:rPr>
          <w:rFonts w:cstheme="minorHAnsi"/>
        </w:rPr>
        <w:t>,</w:t>
      </w:r>
      <w:r w:rsidR="00285518" w:rsidRPr="00385A6B">
        <w:rPr>
          <w:rFonts w:cstheme="minorHAnsi"/>
        </w:rPr>
        <w:t xml:space="preserve"> or persistent symptomatic cholestasis. Mouzaki 2016</w:t>
      </w:r>
      <w:r w:rsidR="00285518" w:rsidRPr="00385A6B">
        <w:rPr>
          <w:rStyle w:val="FootnoteReference"/>
          <w:rFonts w:cstheme="minorHAnsi"/>
        </w:rPr>
        <w:footnoteReference w:id="2"/>
      </w:r>
      <w:r w:rsidR="00285518" w:rsidRPr="00385A6B">
        <w:rPr>
          <w:rFonts w:cstheme="minorHAnsi"/>
        </w:rPr>
        <w:t xml:space="preserve"> reports that the potential to have mild hepatic outcome</w:t>
      </w:r>
      <w:r w:rsidR="004E6849" w:rsidRPr="00385A6B">
        <w:rPr>
          <w:rFonts w:cstheme="minorHAnsi"/>
        </w:rPr>
        <w:t>s</w:t>
      </w:r>
      <w:r w:rsidR="00285518" w:rsidRPr="00385A6B">
        <w:rPr>
          <w:rFonts w:cstheme="minorHAnsi"/>
        </w:rPr>
        <w:t xml:space="preserve"> later in life despite cholestasis during the first few years of life should be considered in decision-making regarding evaluation for LT or surgery for the treatment of pruritus. </w:t>
      </w:r>
      <w:r w:rsidR="00F67326" w:rsidRPr="00385A6B">
        <w:rPr>
          <w:rFonts w:cstheme="minorHAnsi"/>
        </w:rPr>
        <w:t>N</w:t>
      </w:r>
      <w:r w:rsidRPr="00385A6B">
        <w:rPr>
          <w:rFonts w:cstheme="minorHAnsi"/>
        </w:rPr>
        <w:t>o well validated prognostic marker</w:t>
      </w:r>
      <w:r w:rsidR="00F67326" w:rsidRPr="00385A6B">
        <w:rPr>
          <w:rFonts w:cstheme="minorHAnsi"/>
        </w:rPr>
        <w:t xml:space="preserve"> is</w:t>
      </w:r>
      <w:r w:rsidRPr="00385A6B">
        <w:rPr>
          <w:rFonts w:cstheme="minorHAnsi"/>
        </w:rPr>
        <w:t xml:space="preserve"> described in the literature which could effectively predict which patients will develop chronic liver failure, </w:t>
      </w:r>
      <w:r w:rsidR="00CC53AC" w:rsidRPr="00385A6B">
        <w:rPr>
          <w:rFonts w:cstheme="minorHAnsi"/>
        </w:rPr>
        <w:t>versus</w:t>
      </w:r>
      <w:r w:rsidRPr="00385A6B">
        <w:rPr>
          <w:rFonts w:cstheme="minorHAnsi"/>
        </w:rPr>
        <w:t xml:space="preserve"> an indolent course. </w:t>
      </w:r>
      <w:r w:rsidR="009635D9" w:rsidRPr="00385A6B">
        <w:rPr>
          <w:rFonts w:cstheme="minorHAnsi"/>
        </w:rPr>
        <w:t>Similarly</w:t>
      </w:r>
      <w:r w:rsidRPr="00385A6B">
        <w:rPr>
          <w:rFonts w:cstheme="minorHAnsi"/>
        </w:rPr>
        <w:t xml:space="preserve">, no genotypic, histological, or radiological predictive markers have been developed </w:t>
      </w:r>
      <w:r w:rsidR="006C7F49" w:rsidRPr="00385A6B">
        <w:rPr>
          <w:rFonts w:cstheme="minorHAnsi"/>
        </w:rPr>
        <w:t xml:space="preserve">to </w:t>
      </w:r>
      <w:r w:rsidRPr="00385A6B">
        <w:rPr>
          <w:rFonts w:cstheme="minorHAnsi"/>
        </w:rPr>
        <w:t>confidently predict the severity of liver disease.</w:t>
      </w:r>
      <w:r w:rsidR="00E4626F" w:rsidRPr="00385A6B">
        <w:rPr>
          <w:rFonts w:cstheme="minorHAnsi"/>
        </w:rPr>
        <w:t xml:space="preserve"> </w:t>
      </w:r>
    </w:p>
    <w:p w14:paraId="2E3E0B2C" w14:textId="77777777" w:rsidR="001D2F51" w:rsidRPr="00385A6B" w:rsidRDefault="001D2F51" w:rsidP="008B6633">
      <w:pPr>
        <w:pStyle w:val="3-BodyText"/>
        <w:spacing w:before="160" w:after="160"/>
        <w:rPr>
          <w:rFonts w:cstheme="minorHAnsi"/>
        </w:rPr>
      </w:pPr>
      <w:bookmarkStart w:id="12" w:name="_Ref219759385"/>
      <w:r w:rsidRPr="00385A6B">
        <w:rPr>
          <w:rFonts w:cstheme="minorHAnsi"/>
        </w:rPr>
        <w:t>Mutations in two genes associated with Notch signalling pathways are known to cause ALGS: JAG1 (encoding the jagged canonical Notch ligand 1, or Jagged1) in the majority (&gt;90%</w:t>
      </w:r>
      <w:r w:rsidRPr="00385A6B">
        <w:rPr>
          <w:rStyle w:val="FootnoteReference"/>
          <w:rFonts w:cstheme="minorHAnsi"/>
        </w:rPr>
        <w:footnoteReference w:id="3"/>
      </w:r>
      <w:r w:rsidRPr="00385A6B">
        <w:rPr>
          <w:rFonts w:cstheme="minorHAnsi"/>
        </w:rPr>
        <w:t xml:space="preserve">) of ALGS cases; and NOTCH2 (encoding the Notch2 receptor) being second most common (5%). Jagged1 and Notch2 are both single-pass transmembrane proteins; direct communication between the two proteins occurs via interaction of the extracellular domain of JAG1 (ligand) with NOTCH2 (receptor). </w:t>
      </w:r>
    </w:p>
    <w:p w14:paraId="20258660" w14:textId="4A797802" w:rsidR="000E02FB" w:rsidRPr="00385A6B" w:rsidRDefault="001B0193" w:rsidP="008B6633">
      <w:pPr>
        <w:pStyle w:val="3-BodyText"/>
        <w:spacing w:before="160" w:after="160"/>
        <w:rPr>
          <w:rFonts w:cstheme="minorHAnsi"/>
          <w:szCs w:val="24"/>
        </w:rPr>
      </w:pPr>
      <w:r w:rsidRPr="00385A6B">
        <w:rPr>
          <w:rFonts w:cstheme="minorHAnsi"/>
        </w:rPr>
        <w:t xml:space="preserve">Diagnosis </w:t>
      </w:r>
      <w:r w:rsidR="00644164" w:rsidRPr="00385A6B">
        <w:rPr>
          <w:rFonts w:cstheme="minorHAnsi"/>
        </w:rPr>
        <w:t xml:space="preserve">of ALGS </w:t>
      </w:r>
      <w:r w:rsidRPr="00385A6B">
        <w:rPr>
          <w:rFonts w:cstheme="minorHAnsi"/>
        </w:rPr>
        <w:t xml:space="preserve">is </w:t>
      </w:r>
      <w:r w:rsidR="00644164" w:rsidRPr="00385A6B">
        <w:rPr>
          <w:rFonts w:cstheme="minorHAnsi"/>
        </w:rPr>
        <w:t xml:space="preserve">supported </w:t>
      </w:r>
      <w:r w:rsidRPr="00385A6B">
        <w:rPr>
          <w:rFonts w:cstheme="minorHAnsi"/>
        </w:rPr>
        <w:t xml:space="preserve">by genetic </w:t>
      </w:r>
      <w:r w:rsidR="001D6B3B" w:rsidRPr="00385A6B">
        <w:rPr>
          <w:rFonts w:cstheme="minorHAnsi"/>
        </w:rPr>
        <w:t>testing for</w:t>
      </w:r>
      <w:r w:rsidRPr="00385A6B">
        <w:rPr>
          <w:rFonts w:cstheme="minorHAnsi"/>
        </w:rPr>
        <w:t xml:space="preserve"> mutations in JAG1 or NOTCH2. However, a small portion of patients fulfilling the classic</w:t>
      </w:r>
      <w:r w:rsidR="00110614" w:rsidRPr="00385A6B">
        <w:rPr>
          <w:rFonts w:cstheme="minorHAnsi"/>
        </w:rPr>
        <w:t xml:space="preserve"> clinical</w:t>
      </w:r>
      <w:r w:rsidRPr="00385A6B">
        <w:rPr>
          <w:rFonts w:cstheme="minorHAnsi"/>
        </w:rPr>
        <w:t xml:space="preserve"> criteria for ALGS do </w:t>
      </w:r>
      <w:r w:rsidRPr="00385A6B">
        <w:rPr>
          <w:rFonts w:cstheme="minorHAnsi"/>
        </w:rPr>
        <w:lastRenderedPageBreak/>
        <w:t>not appear to have either a mutation or deletion involving JAG1 or NOTCH2</w:t>
      </w:r>
      <w:r w:rsidRPr="00385A6B">
        <w:rPr>
          <w:rStyle w:val="FootnoteReference"/>
          <w:rFonts w:cstheme="minorHAnsi"/>
        </w:rPr>
        <w:footnoteReference w:id="4"/>
      </w:r>
      <w:r w:rsidR="00CF627F" w:rsidRPr="00385A6B">
        <w:rPr>
          <w:rFonts w:cstheme="minorHAnsi"/>
        </w:rPr>
        <w:t xml:space="preserve">, and conversely, the presence of </w:t>
      </w:r>
      <w:r w:rsidR="003C341D" w:rsidRPr="00385A6B">
        <w:rPr>
          <w:rFonts w:cstheme="minorHAnsi"/>
        </w:rPr>
        <w:t>mutations in these genes often doesn’t result in clinical presentation of ALGS</w:t>
      </w:r>
      <w:r w:rsidRPr="00385A6B">
        <w:rPr>
          <w:rFonts w:cstheme="minorHAnsi"/>
        </w:rPr>
        <w:t xml:space="preserve">. </w:t>
      </w:r>
      <w:r w:rsidR="003C341D" w:rsidRPr="00385A6B">
        <w:rPr>
          <w:rFonts w:cstheme="minorHAnsi"/>
        </w:rPr>
        <w:t>A study by Kamath 2003</w:t>
      </w:r>
      <w:r w:rsidR="003C341D" w:rsidRPr="00385A6B">
        <w:rPr>
          <w:rStyle w:val="FootnoteReference"/>
          <w:rFonts w:cstheme="minorHAnsi"/>
        </w:rPr>
        <w:footnoteReference w:id="5"/>
      </w:r>
      <w:r w:rsidR="003C341D" w:rsidRPr="00385A6B">
        <w:rPr>
          <w:rFonts w:cstheme="minorHAnsi"/>
        </w:rPr>
        <w:t xml:space="preserve"> of 53 mutation positive relatives aged 5 to 66 years of 34 ALGS probands (mean age 14 years) found that only eleven of 53 (21%) mutation positive relatives had clinical features that would have led to a diagnosis of ALGS. </w:t>
      </w:r>
      <w:r w:rsidRPr="00385A6B" w:rsidDel="00180B33">
        <w:rPr>
          <w:rFonts w:cstheme="minorHAnsi"/>
        </w:rPr>
        <w:t xml:space="preserve">The submission claimed results from genetic evaluations in Australia can take two to six months, and that </w:t>
      </w:r>
      <w:r w:rsidR="002346FC" w:rsidRPr="00385A6B">
        <w:rPr>
          <w:rFonts w:cstheme="minorHAnsi"/>
        </w:rPr>
        <w:t>‘</w:t>
      </w:r>
      <w:r w:rsidRPr="00385A6B" w:rsidDel="00180B33">
        <w:rPr>
          <w:rFonts w:cstheme="minorHAnsi"/>
        </w:rPr>
        <w:t>haematologist</w:t>
      </w:r>
      <w:r w:rsidR="002346FC" w:rsidRPr="00385A6B">
        <w:rPr>
          <w:rFonts w:cstheme="minorHAnsi"/>
        </w:rPr>
        <w:t>’</w:t>
      </w:r>
      <w:r w:rsidRPr="00385A6B" w:rsidDel="00180B33">
        <w:rPr>
          <w:rFonts w:cstheme="minorHAnsi"/>
        </w:rPr>
        <w:t xml:space="preserve"> </w:t>
      </w:r>
      <w:r w:rsidR="00BD32C4" w:rsidRPr="00385A6B">
        <w:rPr>
          <w:rFonts w:cstheme="minorHAnsi"/>
        </w:rPr>
        <w:t xml:space="preserve">[or hepatologist] </w:t>
      </w:r>
      <w:r w:rsidRPr="00385A6B" w:rsidDel="00180B33">
        <w:rPr>
          <w:rFonts w:cstheme="minorHAnsi"/>
        </w:rPr>
        <w:t>advisors at a recent</w:t>
      </w:r>
      <w:r w:rsidR="008B6633">
        <w:rPr>
          <w:rFonts w:cstheme="minorHAnsi"/>
        </w:rPr>
        <w:t xml:space="preserve"> </w:t>
      </w:r>
      <w:r w:rsidRPr="00385A6B" w:rsidDel="00180B33">
        <w:rPr>
          <w:rFonts w:cstheme="minorHAnsi"/>
        </w:rPr>
        <w:t xml:space="preserve">advisory board concurred that whilst they always perform such </w:t>
      </w:r>
      <w:r w:rsidR="00E307BE" w:rsidRPr="00385A6B" w:rsidDel="00180B33">
        <w:rPr>
          <w:rFonts w:cstheme="minorHAnsi"/>
        </w:rPr>
        <w:t xml:space="preserve">genetic </w:t>
      </w:r>
      <w:r w:rsidRPr="00385A6B" w:rsidDel="00180B33">
        <w:rPr>
          <w:rFonts w:cstheme="minorHAnsi"/>
        </w:rPr>
        <w:t>tests as they are informative</w:t>
      </w:r>
      <w:r w:rsidR="007727A5" w:rsidRPr="00385A6B" w:rsidDel="00180B33">
        <w:rPr>
          <w:rFonts w:cstheme="minorHAnsi"/>
        </w:rPr>
        <w:t xml:space="preserve"> (</w:t>
      </w:r>
      <w:r w:rsidRPr="00385A6B" w:rsidDel="00180B33">
        <w:rPr>
          <w:rFonts w:cstheme="minorHAnsi"/>
        </w:rPr>
        <w:t>especially in relation to undiagnosed family members</w:t>
      </w:r>
      <w:r w:rsidR="007727A5" w:rsidRPr="00385A6B" w:rsidDel="00180B33">
        <w:rPr>
          <w:rFonts w:cstheme="minorHAnsi"/>
        </w:rPr>
        <w:t>)</w:t>
      </w:r>
      <w:r w:rsidRPr="00385A6B" w:rsidDel="00180B33">
        <w:rPr>
          <w:rFonts w:cstheme="minorHAnsi"/>
        </w:rPr>
        <w:t>, they do not wait for results</w:t>
      </w:r>
      <w:r w:rsidR="00DC2F35" w:rsidRPr="00385A6B" w:rsidDel="00180B33">
        <w:rPr>
          <w:rFonts w:cstheme="minorHAnsi"/>
        </w:rPr>
        <w:t xml:space="preserve"> for diagnosis or </w:t>
      </w:r>
      <w:r w:rsidR="00DD5D79" w:rsidRPr="00385A6B" w:rsidDel="00180B33">
        <w:rPr>
          <w:rFonts w:cstheme="minorHAnsi"/>
        </w:rPr>
        <w:t xml:space="preserve">commencement of </w:t>
      </w:r>
      <w:r w:rsidR="00DC2F35" w:rsidRPr="00385A6B" w:rsidDel="00180B33">
        <w:rPr>
          <w:rFonts w:cstheme="minorHAnsi"/>
        </w:rPr>
        <w:t>treatment</w:t>
      </w:r>
      <w:r w:rsidRPr="00385A6B" w:rsidDel="00180B33">
        <w:rPr>
          <w:rFonts w:cstheme="minorHAnsi"/>
        </w:rPr>
        <w:t>.</w:t>
      </w:r>
      <w:r w:rsidR="00975CBC" w:rsidRPr="00385A6B">
        <w:rPr>
          <w:rFonts w:cstheme="minorHAnsi"/>
        </w:rPr>
        <w:t xml:space="preserve"> </w:t>
      </w:r>
      <w:r w:rsidR="00E00262" w:rsidRPr="00385A6B">
        <w:rPr>
          <w:rFonts w:cstheme="minorHAnsi"/>
        </w:rPr>
        <w:t>The submission did not provide any evidence regarding the overall reliability of diagnosis of ALGS or the diagnostic test methods used.</w:t>
      </w:r>
      <w:bookmarkEnd w:id="12"/>
      <w:r w:rsidR="00E00262" w:rsidRPr="00385A6B">
        <w:rPr>
          <w:rFonts w:cstheme="minorHAnsi"/>
        </w:rPr>
        <w:t xml:space="preserve"> </w:t>
      </w:r>
    </w:p>
    <w:p w14:paraId="5E5E92C7" w14:textId="0F7969E3" w:rsidR="001B0193" w:rsidRPr="00CD0B07" w:rsidRDefault="0033370B" w:rsidP="008B6633">
      <w:pPr>
        <w:pStyle w:val="3-BodyText"/>
        <w:spacing w:before="160" w:after="160"/>
        <w:rPr>
          <w:rFonts w:cstheme="minorHAnsi"/>
        </w:rPr>
      </w:pPr>
      <w:r w:rsidRPr="00385A6B">
        <w:rPr>
          <w:rFonts w:cstheme="minorHAnsi"/>
        </w:rPr>
        <w:t xml:space="preserve">The submission claimed that in Australia, the diagnosis of ALGS in children is typically made by paediatric hepatologists, particularly when children present with cholestasis. </w:t>
      </w:r>
      <w:r w:rsidR="008259A6" w:rsidRPr="00CD0B07">
        <w:rPr>
          <w:rFonts w:cstheme="minorHAnsi"/>
        </w:rPr>
        <w:t>The submission stated that d</w:t>
      </w:r>
      <w:r w:rsidRPr="00CD0B07">
        <w:rPr>
          <w:rFonts w:cstheme="minorHAnsi"/>
        </w:rPr>
        <w:t xml:space="preserve">iagnoses in adults are considerably less </w:t>
      </w:r>
      <w:r w:rsidR="004D10E6" w:rsidRPr="00CD0B07">
        <w:rPr>
          <w:rFonts w:cstheme="minorHAnsi"/>
        </w:rPr>
        <w:t>frequent and</w:t>
      </w:r>
      <w:r w:rsidR="008D015D" w:rsidRPr="00CD0B07">
        <w:rPr>
          <w:rFonts w:cstheme="minorHAnsi"/>
        </w:rPr>
        <w:t xml:space="preserve"> </w:t>
      </w:r>
      <w:r w:rsidRPr="00CD0B07">
        <w:rPr>
          <w:rFonts w:cstheme="minorHAnsi"/>
        </w:rPr>
        <w:t xml:space="preserve">generally </w:t>
      </w:r>
      <w:r w:rsidR="00EE0A76" w:rsidRPr="00CD0B07">
        <w:rPr>
          <w:rFonts w:cstheme="minorHAnsi"/>
        </w:rPr>
        <w:t xml:space="preserve">occur when patients </w:t>
      </w:r>
      <w:r w:rsidRPr="00CD0B07">
        <w:rPr>
          <w:rFonts w:cstheme="minorHAnsi"/>
        </w:rPr>
        <w:t xml:space="preserve">present to </w:t>
      </w:r>
      <w:r w:rsidR="002346FC" w:rsidRPr="00CD0B07">
        <w:rPr>
          <w:rFonts w:cstheme="minorHAnsi"/>
        </w:rPr>
        <w:t>‘</w:t>
      </w:r>
      <w:r w:rsidRPr="00CD0B07">
        <w:rPr>
          <w:rFonts w:cstheme="minorHAnsi"/>
        </w:rPr>
        <w:t>haematologists</w:t>
      </w:r>
      <w:r w:rsidR="002346FC" w:rsidRPr="00CD0B07">
        <w:rPr>
          <w:rFonts w:cstheme="minorHAnsi"/>
        </w:rPr>
        <w:t>’</w:t>
      </w:r>
      <w:r w:rsidRPr="00CD0B07">
        <w:rPr>
          <w:rFonts w:cstheme="minorHAnsi"/>
        </w:rPr>
        <w:t xml:space="preserve"> </w:t>
      </w:r>
      <w:r w:rsidR="00BD32C4" w:rsidRPr="00CD0B07">
        <w:rPr>
          <w:rFonts w:cstheme="minorHAnsi"/>
        </w:rPr>
        <w:t xml:space="preserve">[or hepatologists] </w:t>
      </w:r>
      <w:r w:rsidRPr="00CD0B07">
        <w:rPr>
          <w:rFonts w:cstheme="minorHAnsi"/>
        </w:rPr>
        <w:t xml:space="preserve">with hepatic symptoms. </w:t>
      </w:r>
      <w:r w:rsidR="00F2769B" w:rsidRPr="00CD0B07">
        <w:rPr>
          <w:rFonts w:cstheme="minorHAnsi"/>
        </w:rPr>
        <w:t xml:space="preserve">The </w:t>
      </w:r>
      <w:r w:rsidR="00A02FEF">
        <w:rPr>
          <w:rFonts w:cstheme="minorHAnsi"/>
        </w:rPr>
        <w:t>PBAC</w:t>
      </w:r>
      <w:r w:rsidR="008B6633">
        <w:rPr>
          <w:rFonts w:cstheme="minorHAnsi"/>
        </w:rPr>
        <w:t xml:space="preserve"> </w:t>
      </w:r>
      <w:r w:rsidR="00F2769B" w:rsidRPr="00CD0B07">
        <w:rPr>
          <w:rFonts w:cstheme="minorHAnsi"/>
        </w:rPr>
        <w:t xml:space="preserve">noted that AGLS may </w:t>
      </w:r>
      <w:r w:rsidR="00A02FEF">
        <w:rPr>
          <w:rFonts w:cstheme="minorHAnsi"/>
        </w:rPr>
        <w:t xml:space="preserve">occasionally </w:t>
      </w:r>
      <w:r w:rsidR="00F2769B" w:rsidRPr="00CD0B07">
        <w:rPr>
          <w:rFonts w:cstheme="minorHAnsi"/>
        </w:rPr>
        <w:t>be identified in adulthood in some individuals who are completely asymptomatic.</w:t>
      </w:r>
    </w:p>
    <w:p w14:paraId="7B4A5AB4" w14:textId="259E0EA7" w:rsidR="00465D8E" w:rsidRPr="00CD0B07" w:rsidRDefault="009A1D0E" w:rsidP="008B6633">
      <w:pPr>
        <w:pStyle w:val="3-BodyText"/>
        <w:spacing w:before="160" w:after="160"/>
        <w:rPr>
          <w:rFonts w:cstheme="minorHAnsi"/>
        </w:rPr>
      </w:pPr>
      <w:r w:rsidRPr="00CD0B07">
        <w:rPr>
          <w:rFonts w:cstheme="minorHAnsi"/>
        </w:rPr>
        <w:t xml:space="preserve">The </w:t>
      </w:r>
      <w:r w:rsidR="00BD32C4" w:rsidRPr="00CD0B07">
        <w:rPr>
          <w:rFonts w:cstheme="minorHAnsi"/>
        </w:rPr>
        <w:t xml:space="preserve">Global ALagille Alliance (GALA) </w:t>
      </w:r>
      <w:r w:rsidRPr="00CD0B07">
        <w:rPr>
          <w:rFonts w:cstheme="minorHAnsi"/>
        </w:rPr>
        <w:t>study</w:t>
      </w:r>
      <w:r w:rsidR="00EE48A5" w:rsidRPr="00CD0B07">
        <w:rPr>
          <w:rFonts w:cstheme="minorHAnsi"/>
        </w:rPr>
        <w:t xml:space="preserve"> (Vandriel 2022); a retrospective review of 1,433 patients with ALGS </w:t>
      </w:r>
      <w:r w:rsidR="001B0E9A" w:rsidRPr="00CD0B07">
        <w:rPr>
          <w:rFonts w:cstheme="minorHAnsi"/>
        </w:rPr>
        <w:t>across</w:t>
      </w:r>
      <w:r w:rsidR="0053772E" w:rsidRPr="00CD0B07">
        <w:rPr>
          <w:rFonts w:cstheme="minorHAnsi"/>
        </w:rPr>
        <w:t xml:space="preserve"> </w:t>
      </w:r>
      <w:r w:rsidR="00EE48A5" w:rsidRPr="00CD0B07">
        <w:rPr>
          <w:rFonts w:cstheme="minorHAnsi"/>
        </w:rPr>
        <w:t>67 paediatric centres from 29 countries</w:t>
      </w:r>
      <w:r w:rsidR="00465D8E" w:rsidRPr="00CD0B07">
        <w:rPr>
          <w:rFonts w:cstheme="minorHAnsi"/>
        </w:rPr>
        <w:t xml:space="preserve"> represents the largest and most recent analysis of ALGS natural history</w:t>
      </w:r>
      <w:r w:rsidR="002754B6" w:rsidRPr="00CD0B07">
        <w:rPr>
          <w:rFonts w:cstheme="minorHAnsi"/>
        </w:rPr>
        <w:t>, report</w:t>
      </w:r>
      <w:r w:rsidR="00465D8E" w:rsidRPr="00CD0B07">
        <w:rPr>
          <w:rFonts w:cstheme="minorHAnsi"/>
        </w:rPr>
        <w:t>ing:</w:t>
      </w:r>
    </w:p>
    <w:p w14:paraId="547C4F1C" w14:textId="7CFD20FC" w:rsidR="003F740C" w:rsidRPr="00CD0B07" w:rsidRDefault="001B0E9A" w:rsidP="008B6633">
      <w:pPr>
        <w:pStyle w:val="ListParagraph"/>
      </w:pPr>
      <w:r w:rsidRPr="00CD0B07">
        <w:t>M</w:t>
      </w:r>
      <w:r w:rsidR="00BD32C4" w:rsidRPr="00CD0B07">
        <w:t>edian age of diagnosis was 4.1 years (IQR 1.5 – 8.3) (Vandriel 2022</w:t>
      </w:r>
      <w:r w:rsidR="00BD32C4" w:rsidRPr="00CD0B07">
        <w:rPr>
          <w:rStyle w:val="FootnoteReference"/>
          <w:rFonts w:cstheme="minorHAnsi"/>
        </w:rPr>
        <w:footnoteReference w:id="6"/>
      </w:r>
      <w:r w:rsidR="00BD32C4" w:rsidRPr="00CD0B07">
        <w:t xml:space="preserve">). </w:t>
      </w:r>
    </w:p>
    <w:p w14:paraId="1F06BDFC" w14:textId="5F3CD247" w:rsidR="00BD32C4" w:rsidRPr="00CD0B07" w:rsidRDefault="003F37D7" w:rsidP="008B6633">
      <w:pPr>
        <w:pStyle w:val="ListParagraph"/>
      </w:pPr>
      <w:r w:rsidRPr="00CD0B07">
        <w:t>L</w:t>
      </w:r>
      <w:r w:rsidR="00EE48A5" w:rsidRPr="00CD0B07">
        <w:t>iver involvement was observed in 95% (n=1321/1387) of children</w:t>
      </w:r>
      <w:r w:rsidR="00540877" w:rsidRPr="00CD0B07">
        <w:t>,</w:t>
      </w:r>
      <w:r w:rsidR="00EE48A5" w:rsidRPr="00CD0B07">
        <w:t xml:space="preserve"> and 85% (n=1184/1387) presented with neonatal cholestasis. Pruritus was reported in 74% (n=761/1028)</w:t>
      </w:r>
      <w:r w:rsidR="00AB5951" w:rsidRPr="00CD0B07">
        <w:t xml:space="preserve">, with </w:t>
      </w:r>
      <w:r w:rsidR="00EE48A5" w:rsidRPr="00CD0B07">
        <w:t xml:space="preserve">median age of </w:t>
      </w:r>
      <w:r w:rsidR="00AB5951" w:rsidRPr="00CD0B07">
        <w:t xml:space="preserve">onset at </w:t>
      </w:r>
      <w:r w:rsidR="00EE48A5" w:rsidRPr="00CD0B07">
        <w:t>12 months.</w:t>
      </w:r>
      <w:r w:rsidR="000647B1" w:rsidRPr="00CD0B07">
        <w:t xml:space="preserve"> </w:t>
      </w:r>
      <w:r w:rsidR="0053027E" w:rsidRPr="00CD0B07">
        <w:t>The Sponsor’s advisory board survey indicated that the age of diagnosis is unclear, as it depends on the presenting features.</w:t>
      </w:r>
    </w:p>
    <w:p w14:paraId="423B481A" w14:textId="6A409F2E" w:rsidR="003515C3" w:rsidRPr="00CD0B07" w:rsidRDefault="001B0E9A" w:rsidP="008B6633">
      <w:pPr>
        <w:pStyle w:val="ListParagraph"/>
      </w:pPr>
      <w:r w:rsidRPr="00CD0B07">
        <w:t>O</w:t>
      </w:r>
      <w:r w:rsidR="00EF251D" w:rsidRPr="00CD0B07">
        <w:t>verall survival at</w:t>
      </w:r>
      <w:r w:rsidR="00EE48A5" w:rsidRPr="00CD0B07">
        <w:t xml:space="preserve"> 5, 10 and 18-years was 92.8%, 91.2%, and 88.1%, respectively. </w:t>
      </w:r>
    </w:p>
    <w:p w14:paraId="2428ACDE" w14:textId="25E64A43" w:rsidR="003515C3" w:rsidRPr="00CD0B07" w:rsidRDefault="001B0E9A" w:rsidP="008B6633">
      <w:pPr>
        <w:pStyle w:val="ListParagraph"/>
      </w:pPr>
      <w:r w:rsidRPr="00CD0B07">
        <w:t>M</w:t>
      </w:r>
      <w:r w:rsidR="00EE48A5" w:rsidRPr="00CD0B07">
        <w:t>edian age of death was 2.6 years (1.2 – 4.7), due to</w:t>
      </w:r>
      <w:r w:rsidR="00EF251D" w:rsidRPr="00CD0B07">
        <w:t xml:space="preserve"> liver and cardiac complications (22% and 18%, respectively), multi-organ failure (15%), and non-cardiac vascular complications (15%).</w:t>
      </w:r>
      <w:r w:rsidR="00EE48A5" w:rsidRPr="00CD0B07">
        <w:t xml:space="preserve"> </w:t>
      </w:r>
    </w:p>
    <w:p w14:paraId="0A05EBDC" w14:textId="390F89DD" w:rsidR="00EE48A5" w:rsidRPr="00CD0B07" w:rsidRDefault="00EE48A5" w:rsidP="008B6633">
      <w:pPr>
        <w:pStyle w:val="ListParagraph"/>
      </w:pPr>
      <w:r w:rsidRPr="00CD0B07">
        <w:lastRenderedPageBreak/>
        <w:t xml:space="preserve">Native liver survival (defined as either LT or death) in patients with a history of neonatal cholestasis at 5, 10 and 18-years </w:t>
      </w:r>
      <w:r w:rsidR="00191D62" w:rsidRPr="00CD0B07">
        <w:t xml:space="preserve">was </w:t>
      </w:r>
      <w:r w:rsidRPr="00CD0B07">
        <w:t>66.8%, 54.4% and 40.3%, respectively.</w:t>
      </w:r>
    </w:p>
    <w:p w14:paraId="5C95B9A8" w14:textId="0EBBBBC4" w:rsidR="0031775D" w:rsidRPr="00385A6B" w:rsidRDefault="0031775D" w:rsidP="008B6633">
      <w:pPr>
        <w:pStyle w:val="3-BodyText"/>
        <w:spacing w:before="160" w:after="160"/>
        <w:rPr>
          <w:rFonts w:cstheme="minorHAnsi"/>
        </w:rPr>
      </w:pPr>
      <w:r w:rsidRPr="00385A6B">
        <w:rPr>
          <w:rFonts w:cstheme="minorHAnsi"/>
        </w:rPr>
        <w:t>There is scarce epidemiology data on ALGS. The submission claimed many sources give a figure of 1/70,000 births which goes back to a large study from Victoria, Australia (Danks 1977) of 790,385 children born in Victoria during 1963-1974. The Alagille Syndrome Alliance (ALGSA)</w:t>
      </w:r>
      <w:r w:rsidR="003515C3">
        <w:rPr>
          <w:rFonts w:cstheme="minorHAnsi"/>
        </w:rPr>
        <w:t xml:space="preserve"> </w:t>
      </w:r>
      <w:r w:rsidRPr="00385A6B">
        <w:rPr>
          <w:rFonts w:cstheme="minorHAnsi"/>
        </w:rPr>
        <w:t>reports the current estimated incidence of ALGS is between 1/30,000 and 1/70,000 with no difference in gender.</w:t>
      </w:r>
    </w:p>
    <w:p w14:paraId="7FD8B4D8" w14:textId="6E926468" w:rsidR="0033370B" w:rsidRPr="00385A6B" w:rsidRDefault="0033370B" w:rsidP="008B6633">
      <w:pPr>
        <w:pStyle w:val="3-BodyText"/>
        <w:spacing w:before="160" w:after="160"/>
        <w:rPr>
          <w:rFonts w:cstheme="minorHAnsi"/>
        </w:rPr>
      </w:pPr>
      <w:r w:rsidRPr="00385A6B">
        <w:rPr>
          <w:rFonts w:cstheme="minorHAnsi"/>
        </w:rPr>
        <w:t>Odevixibat is a reversible, potent, selective inhibitor of the</w:t>
      </w:r>
      <w:r w:rsidR="000B62C7" w:rsidRPr="00385A6B">
        <w:rPr>
          <w:rFonts w:cstheme="minorHAnsi"/>
        </w:rPr>
        <w:t xml:space="preserve"> ileal bile acid transporter</w:t>
      </w:r>
      <w:r w:rsidRPr="00385A6B">
        <w:rPr>
          <w:rFonts w:cstheme="minorHAnsi"/>
        </w:rPr>
        <w:t xml:space="preserve"> </w:t>
      </w:r>
      <w:r w:rsidR="000B62C7" w:rsidRPr="00385A6B">
        <w:rPr>
          <w:rFonts w:cstheme="minorHAnsi"/>
        </w:rPr>
        <w:t>(</w:t>
      </w:r>
      <w:r w:rsidRPr="00385A6B">
        <w:rPr>
          <w:rFonts w:cstheme="minorHAnsi"/>
        </w:rPr>
        <w:t>IBAT</w:t>
      </w:r>
      <w:r w:rsidR="000B62C7" w:rsidRPr="00385A6B">
        <w:rPr>
          <w:rFonts w:cstheme="minorHAnsi"/>
        </w:rPr>
        <w:t>)</w:t>
      </w:r>
      <w:r w:rsidRPr="00385A6B">
        <w:rPr>
          <w:rFonts w:cstheme="minorHAnsi"/>
        </w:rPr>
        <w:t>, also identified as the apical sodium-dependent bile acid transporter (ASBT). Odevixibat acts locally in the distal ileum to decrease the reuptake of bile acids and increase the clearance of bile acids through the colon, reducing the concentration of bile acids in the serum.</w:t>
      </w:r>
    </w:p>
    <w:p w14:paraId="0250778A" w14:textId="08267E51" w:rsidR="000F0964" w:rsidRPr="00385A6B" w:rsidRDefault="000F0964" w:rsidP="008B6633">
      <w:pPr>
        <w:pStyle w:val="3-BodyText"/>
        <w:spacing w:before="160" w:after="160"/>
        <w:rPr>
          <w:rFonts w:cstheme="minorHAnsi"/>
        </w:rPr>
      </w:pPr>
      <w:r w:rsidRPr="00385A6B">
        <w:rPr>
          <w:rFonts w:cstheme="minorHAnsi"/>
        </w:rPr>
        <w:t>The submission noted that the European Association for the Study of the Liver (EASL) guidelines</w:t>
      </w:r>
      <w:r w:rsidR="00191D62" w:rsidRPr="00385A6B">
        <w:rPr>
          <w:rStyle w:val="FootnoteReference"/>
          <w:rFonts w:cstheme="minorHAnsi"/>
        </w:rPr>
        <w:footnoteReference w:id="7"/>
      </w:r>
      <w:r w:rsidRPr="00385A6B">
        <w:rPr>
          <w:rFonts w:cstheme="minorHAnsi"/>
        </w:rPr>
        <w:t xml:space="preserve"> recommend that, when available, IBAT inhibitor treatment should be offered to </w:t>
      </w:r>
      <w:r w:rsidR="00756ED6" w:rsidRPr="00385A6B">
        <w:rPr>
          <w:rFonts w:cstheme="minorHAnsi"/>
        </w:rPr>
        <w:t xml:space="preserve">ALGS </w:t>
      </w:r>
      <w:r w:rsidRPr="00385A6B">
        <w:rPr>
          <w:rFonts w:cstheme="minorHAnsi"/>
        </w:rPr>
        <w:t>patients with cholestatic pruritus.</w:t>
      </w:r>
    </w:p>
    <w:p w14:paraId="0AE5ED52" w14:textId="0D453788" w:rsidR="00836AAA" w:rsidRDefault="000F0964" w:rsidP="008B6633">
      <w:pPr>
        <w:pStyle w:val="3-BodyText"/>
        <w:spacing w:before="160" w:after="160"/>
        <w:rPr>
          <w:rFonts w:cstheme="minorHAnsi"/>
        </w:rPr>
      </w:pPr>
      <w:bookmarkStart w:id="13" w:name="_Ref219214680"/>
      <w:r w:rsidRPr="00385A6B">
        <w:rPr>
          <w:rFonts w:cstheme="minorHAnsi"/>
        </w:rPr>
        <w:t>Odevixibat will not replace any TGA approved and/or PBS</w:t>
      </w:r>
      <w:r w:rsidR="003A4927">
        <w:rPr>
          <w:rFonts w:cstheme="minorHAnsi"/>
        </w:rPr>
        <w:t>-</w:t>
      </w:r>
      <w:r w:rsidRPr="00385A6B">
        <w:rPr>
          <w:rFonts w:cstheme="minorHAnsi"/>
        </w:rPr>
        <w:t xml:space="preserve">listed medicines. The submission’s proposed clinical algorithm includes odevixibat as an additional first-line treatment for ALGS, either with or without medicines commonly used off-label such as ursodeoxycholic acid </w:t>
      </w:r>
      <w:r w:rsidR="00B37188">
        <w:rPr>
          <w:rFonts w:cstheme="minorHAnsi"/>
        </w:rPr>
        <w:t>(</w:t>
      </w:r>
      <w:r w:rsidRPr="00385A6B">
        <w:rPr>
          <w:rFonts w:cstheme="minorHAnsi"/>
        </w:rPr>
        <w:t>UDCA</w:t>
      </w:r>
      <w:r w:rsidR="00B37188">
        <w:rPr>
          <w:rFonts w:cstheme="minorHAnsi"/>
        </w:rPr>
        <w:t>)</w:t>
      </w:r>
      <w:r w:rsidRPr="00385A6B">
        <w:rPr>
          <w:rFonts w:cstheme="minorHAnsi"/>
        </w:rPr>
        <w:t xml:space="preserve"> and rifampicin. </w:t>
      </w:r>
      <w:r w:rsidR="002A1B98" w:rsidRPr="00385A6B">
        <w:rPr>
          <w:rFonts w:cstheme="minorHAnsi"/>
        </w:rPr>
        <w:t>The submission claimed o</w:t>
      </w:r>
      <w:r w:rsidRPr="00385A6B">
        <w:rPr>
          <w:rFonts w:cstheme="minorHAnsi"/>
        </w:rPr>
        <w:t>devixibat will not replace surgical procedures</w:t>
      </w:r>
      <w:r w:rsidR="002942B7" w:rsidRPr="00385A6B">
        <w:rPr>
          <w:rFonts w:cstheme="minorHAnsi"/>
        </w:rPr>
        <w:t>,</w:t>
      </w:r>
      <w:r w:rsidRPr="00385A6B">
        <w:rPr>
          <w:rFonts w:cstheme="minorHAnsi"/>
        </w:rPr>
        <w:t xml:space="preserve"> according to the proposed clinical algorithm. The submission </w:t>
      </w:r>
      <w:r w:rsidR="002A1B98" w:rsidRPr="00385A6B">
        <w:rPr>
          <w:rFonts w:cstheme="minorHAnsi"/>
        </w:rPr>
        <w:t xml:space="preserve">however </w:t>
      </w:r>
      <w:r w:rsidRPr="00385A6B">
        <w:rPr>
          <w:rFonts w:cstheme="minorHAnsi"/>
        </w:rPr>
        <w:t>claimed that treatment with odevixibat is expected to potentially delay or prevent LT in patients who might otherwise progress to cirrhosis or end stage liver disease. However, the incidence of SBD or LT was not an outcome in the odevixibat ASSERT trial or its extension study, ASSERT-EXT.</w:t>
      </w:r>
      <w:bookmarkEnd w:id="13"/>
      <w:r w:rsidR="008B6633">
        <w:rPr>
          <w:rFonts w:cstheme="minorHAnsi"/>
        </w:rPr>
        <w:t xml:space="preserve"> </w:t>
      </w:r>
    </w:p>
    <w:p w14:paraId="3C33EE60" w14:textId="56260035" w:rsidR="000F0964" w:rsidRPr="00836AAA" w:rsidRDefault="00836AAA" w:rsidP="005E2DA2">
      <w:pPr>
        <w:ind w:firstLine="720"/>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385A6B" w:rsidRDefault="00B50DB8" w:rsidP="008B6633">
      <w:pPr>
        <w:pStyle w:val="2-SectionHeading"/>
        <w:spacing w:before="160" w:after="160"/>
        <w:rPr>
          <w:rFonts w:cstheme="minorHAnsi"/>
        </w:rPr>
      </w:pPr>
      <w:bookmarkStart w:id="14" w:name="_Toc219900840"/>
      <w:r w:rsidRPr="00385A6B">
        <w:rPr>
          <w:rFonts w:cstheme="minorHAnsi"/>
        </w:rPr>
        <w:t>Comparator</w:t>
      </w:r>
      <w:bookmarkEnd w:id="14"/>
    </w:p>
    <w:p w14:paraId="68B7C54C" w14:textId="433F846B" w:rsidR="00883C2B" w:rsidRPr="00385A6B" w:rsidRDefault="00ED5BD4" w:rsidP="008B6633">
      <w:pPr>
        <w:pStyle w:val="3-BodyText"/>
        <w:spacing w:before="160" w:after="160"/>
        <w:rPr>
          <w:rFonts w:cstheme="minorHAnsi"/>
        </w:rPr>
      </w:pPr>
      <w:bookmarkStart w:id="15" w:name="_Ref227052234"/>
      <w:r w:rsidRPr="00385A6B">
        <w:rPr>
          <w:rFonts w:cstheme="minorHAnsi"/>
        </w:rPr>
        <w:t xml:space="preserve">The submission nominated </w:t>
      </w:r>
      <w:r w:rsidR="00E5694B" w:rsidRPr="00385A6B">
        <w:rPr>
          <w:rFonts w:cstheme="minorHAnsi"/>
        </w:rPr>
        <w:t>SoC</w:t>
      </w:r>
      <w:r w:rsidRPr="00385A6B">
        <w:rPr>
          <w:rFonts w:cstheme="minorHAnsi"/>
        </w:rPr>
        <w:t xml:space="preserve"> as the comparator</w:t>
      </w:r>
      <w:r w:rsidR="00E5694B" w:rsidRPr="00385A6B">
        <w:rPr>
          <w:rFonts w:cstheme="minorHAnsi"/>
        </w:rPr>
        <w:t>, including medicines used off-label</w:t>
      </w:r>
      <w:r w:rsidR="00662226" w:rsidRPr="00385A6B">
        <w:rPr>
          <w:rFonts w:cstheme="minorHAnsi"/>
        </w:rPr>
        <w:t xml:space="preserve"> (UDCA, rifampicin and cholestyramine) and</w:t>
      </w:r>
      <w:r w:rsidR="00E5694B" w:rsidRPr="00385A6B">
        <w:rPr>
          <w:rFonts w:cstheme="minorHAnsi"/>
        </w:rPr>
        <w:t xml:space="preserve"> surgical procedures</w:t>
      </w:r>
      <w:r w:rsidR="00662226" w:rsidRPr="00385A6B">
        <w:rPr>
          <w:rFonts w:cstheme="minorHAnsi"/>
        </w:rPr>
        <w:t xml:space="preserve"> (</w:t>
      </w:r>
      <w:r w:rsidR="00E5694B" w:rsidRPr="00385A6B">
        <w:rPr>
          <w:rFonts w:cstheme="minorHAnsi"/>
        </w:rPr>
        <w:t>SBD and LT</w:t>
      </w:r>
      <w:r w:rsidR="00662226" w:rsidRPr="00385A6B">
        <w:rPr>
          <w:rFonts w:cstheme="minorHAnsi"/>
        </w:rPr>
        <w:t>)</w:t>
      </w:r>
      <w:r w:rsidR="0025532C" w:rsidRPr="00385A6B">
        <w:rPr>
          <w:rFonts w:cstheme="minorHAnsi"/>
        </w:rPr>
        <w:t xml:space="preserve">, which are also proposed to be used alongside odevixibat in Australian clinical practice (see paragraph </w:t>
      </w:r>
      <w:r w:rsidR="0025532C" w:rsidRPr="00385A6B">
        <w:rPr>
          <w:rFonts w:cstheme="minorHAnsi"/>
        </w:rPr>
        <w:fldChar w:fldCharType="begin"/>
      </w:r>
      <w:r w:rsidR="0025532C" w:rsidRPr="00385A6B">
        <w:rPr>
          <w:rFonts w:cstheme="minorHAnsi"/>
        </w:rPr>
        <w:instrText xml:space="preserve"> REF _Ref219214680 \r \h </w:instrText>
      </w:r>
      <w:r w:rsidR="00DC5486" w:rsidRPr="00385A6B">
        <w:rPr>
          <w:rFonts w:cstheme="minorHAnsi"/>
        </w:rPr>
        <w:instrText xml:space="preserve"> \* MERGEFORMAT </w:instrText>
      </w:r>
      <w:r w:rsidR="0025532C" w:rsidRPr="00385A6B">
        <w:rPr>
          <w:rFonts w:cstheme="minorHAnsi"/>
        </w:rPr>
      </w:r>
      <w:r w:rsidR="0025532C" w:rsidRPr="00385A6B">
        <w:rPr>
          <w:rFonts w:cstheme="minorHAnsi"/>
        </w:rPr>
        <w:fldChar w:fldCharType="separate"/>
      </w:r>
      <w:r w:rsidR="0060088A">
        <w:rPr>
          <w:rFonts w:cstheme="minorHAnsi"/>
        </w:rPr>
        <w:t>4.10</w:t>
      </w:r>
      <w:r w:rsidR="0025532C" w:rsidRPr="00385A6B">
        <w:rPr>
          <w:rFonts w:cstheme="minorHAnsi"/>
        </w:rPr>
        <w:fldChar w:fldCharType="end"/>
      </w:r>
      <w:r w:rsidR="0025532C" w:rsidRPr="00385A6B">
        <w:rPr>
          <w:rFonts w:cstheme="minorHAnsi"/>
        </w:rPr>
        <w:t>)</w:t>
      </w:r>
      <w:r w:rsidRPr="00385A6B">
        <w:rPr>
          <w:rFonts w:cstheme="minorHAnsi"/>
        </w:rPr>
        <w:t xml:space="preserve">. </w:t>
      </w:r>
      <w:r w:rsidR="00CA521E" w:rsidRPr="006212EC">
        <w:t xml:space="preserve">The </w:t>
      </w:r>
      <w:r w:rsidR="00CA521E">
        <w:t xml:space="preserve">evaluation noted that </w:t>
      </w:r>
      <w:r w:rsidR="00C03E35">
        <w:t xml:space="preserve">this was similar to the </w:t>
      </w:r>
      <w:r w:rsidR="00CA521E" w:rsidRPr="006212EC">
        <w:t xml:space="preserve">nominated SoC comparator in the PFIC submission </w:t>
      </w:r>
      <w:r w:rsidR="00055D1D">
        <w:t>(</w:t>
      </w:r>
      <w:r w:rsidR="000B4953">
        <w:t>i.e.</w:t>
      </w:r>
      <w:r w:rsidR="00055D1D">
        <w:t xml:space="preserve"> </w:t>
      </w:r>
      <w:r w:rsidR="00CA521E" w:rsidRPr="006212EC">
        <w:t>off-label UDCA and rifampicin</w:t>
      </w:r>
      <w:r w:rsidR="00055D1D">
        <w:t>, and</w:t>
      </w:r>
      <w:r w:rsidR="00CA521E" w:rsidRPr="006212EC">
        <w:t xml:space="preserve"> LT and SBD</w:t>
      </w:r>
      <w:r w:rsidR="00055D1D">
        <w:t>)</w:t>
      </w:r>
      <w:r w:rsidR="00CA521E">
        <w:rPr>
          <w:rFonts w:cstheme="minorHAnsi"/>
        </w:rPr>
        <w:t xml:space="preserve">. </w:t>
      </w:r>
      <w:r w:rsidR="00883C2B" w:rsidRPr="00385A6B">
        <w:rPr>
          <w:rFonts w:cstheme="minorHAnsi"/>
        </w:rPr>
        <w:t xml:space="preserve">The </w:t>
      </w:r>
      <w:r w:rsidR="00091BDF">
        <w:rPr>
          <w:rFonts w:cstheme="minorHAnsi"/>
        </w:rPr>
        <w:t xml:space="preserve">evaluation considered that the </w:t>
      </w:r>
      <w:r w:rsidR="00883C2B" w:rsidRPr="00385A6B">
        <w:rPr>
          <w:rFonts w:cstheme="minorHAnsi"/>
        </w:rPr>
        <w:t>nominated comparator of SoC was reasonable</w:t>
      </w:r>
      <w:r w:rsidR="00651815" w:rsidRPr="00385A6B">
        <w:rPr>
          <w:rFonts w:cstheme="minorHAnsi"/>
        </w:rPr>
        <w:t>, however</w:t>
      </w:r>
      <w:r w:rsidR="00E67F79" w:rsidRPr="00385A6B">
        <w:rPr>
          <w:rFonts w:cstheme="minorHAnsi"/>
        </w:rPr>
        <w:t>,</w:t>
      </w:r>
      <w:r w:rsidR="00651815" w:rsidRPr="00385A6B">
        <w:rPr>
          <w:rFonts w:cstheme="minorHAnsi"/>
        </w:rPr>
        <w:t xml:space="preserve"> the comparative clinical evidence did not include patients </w:t>
      </w:r>
      <w:r w:rsidR="00E67F79" w:rsidRPr="00385A6B">
        <w:rPr>
          <w:rFonts w:cstheme="minorHAnsi"/>
        </w:rPr>
        <w:t>with</w:t>
      </w:r>
      <w:r w:rsidR="00651815" w:rsidRPr="00385A6B">
        <w:rPr>
          <w:rFonts w:cstheme="minorHAnsi"/>
        </w:rPr>
        <w:t xml:space="preserve"> </w:t>
      </w:r>
      <w:r w:rsidR="001C74CE">
        <w:rPr>
          <w:rFonts w:cstheme="minorHAnsi"/>
        </w:rPr>
        <w:t xml:space="preserve">SBD or </w:t>
      </w:r>
      <w:r w:rsidR="00E67F79" w:rsidRPr="00385A6B">
        <w:rPr>
          <w:rFonts w:cstheme="minorHAnsi"/>
        </w:rPr>
        <w:t>previous or planned LT</w:t>
      </w:r>
      <w:r w:rsidR="008545F4" w:rsidRPr="00385A6B">
        <w:rPr>
          <w:rFonts w:cstheme="minorHAnsi"/>
        </w:rPr>
        <w:t>. Also, c</w:t>
      </w:r>
      <w:r w:rsidR="00E67F79" w:rsidRPr="00385A6B">
        <w:rPr>
          <w:rFonts w:cstheme="minorHAnsi"/>
        </w:rPr>
        <w:t xml:space="preserve">holestyramine was not permitted as an off-label </w:t>
      </w:r>
      <w:r w:rsidR="00E67F79" w:rsidRPr="00385A6B">
        <w:rPr>
          <w:rFonts w:cstheme="minorHAnsi"/>
        </w:rPr>
        <w:lastRenderedPageBreak/>
        <w:t>medication in ASSERT</w:t>
      </w:r>
      <w:r w:rsidR="008545F4" w:rsidRPr="00385A6B">
        <w:rPr>
          <w:rFonts w:cstheme="minorHAnsi"/>
        </w:rPr>
        <w:t xml:space="preserve"> and ASSERT-EXT, though EASL clinical practice guidelines note marginal efficacy in ALGS</w:t>
      </w:r>
      <w:r w:rsidR="008545F4" w:rsidRPr="00385A6B">
        <w:rPr>
          <w:rStyle w:val="FootnoteReference"/>
          <w:rFonts w:cstheme="minorHAnsi"/>
        </w:rPr>
        <w:footnoteReference w:id="8"/>
      </w:r>
      <w:r w:rsidR="008545F4" w:rsidRPr="00385A6B">
        <w:rPr>
          <w:rFonts w:cstheme="minorHAnsi"/>
        </w:rPr>
        <w:t xml:space="preserve">. Medications including UDCA, rifampicin, </w:t>
      </w:r>
      <w:r w:rsidR="009D476F" w:rsidRPr="00385A6B">
        <w:rPr>
          <w:rFonts w:cstheme="minorHAnsi"/>
        </w:rPr>
        <w:t>antihistamines,</w:t>
      </w:r>
      <w:r w:rsidR="008545F4" w:rsidRPr="00385A6B">
        <w:rPr>
          <w:rFonts w:cstheme="minorHAnsi"/>
        </w:rPr>
        <w:t xml:space="preserve"> and topical treatments were permitted in ASSERT.</w:t>
      </w:r>
      <w:bookmarkEnd w:id="15"/>
    </w:p>
    <w:p w14:paraId="05FE22AC" w14:textId="4F20A5E8" w:rsidR="00E5694B" w:rsidRPr="00385A6B" w:rsidRDefault="00E5694B" w:rsidP="008B6633">
      <w:pPr>
        <w:pStyle w:val="3-BodyText"/>
        <w:spacing w:before="160" w:after="160"/>
        <w:rPr>
          <w:rFonts w:cstheme="minorHAnsi"/>
        </w:rPr>
      </w:pPr>
      <w:r w:rsidRPr="00385A6B">
        <w:rPr>
          <w:rFonts w:cstheme="minorHAnsi"/>
        </w:rPr>
        <w:t>LT is an effective treatment option for ALGS and is required by many patients experiencing disease progression despite treatment. The primary indications of LT in ALGS are multifactorial but can be broadly classified as end-stage liver disease (owing to progressive cholestasis or portal hypertension) or intractable pruritus.</w:t>
      </w:r>
      <w:r w:rsidR="00F74791" w:rsidRPr="00385A6B">
        <w:rPr>
          <w:rFonts w:cstheme="minorHAnsi"/>
        </w:rPr>
        <w:t xml:space="preserve"> The 2025 Australia and New Zealand Liver and Intestinal Transplant Registry (ANZLITR 2025) reported </w:t>
      </w:r>
      <w:r w:rsidR="00136713">
        <w:rPr>
          <w:rFonts w:cstheme="minorHAnsi"/>
        </w:rPr>
        <w:t xml:space="preserve">that in </w:t>
      </w:r>
      <w:r w:rsidR="00F74791" w:rsidRPr="00385A6B">
        <w:rPr>
          <w:rFonts w:cstheme="minorHAnsi"/>
        </w:rPr>
        <w:t xml:space="preserve">1,168 paediatric patients who underwent their first LT in Australia or New Zealand up to December 2023, the primary diagnosis was ALGS in 44 (3.8%) </w:t>
      </w:r>
      <w:r w:rsidR="008E429C" w:rsidRPr="00385A6B">
        <w:rPr>
          <w:rFonts w:cstheme="minorHAnsi"/>
        </w:rPr>
        <w:t>patients,</w:t>
      </w:r>
      <w:r w:rsidR="00F74791" w:rsidRPr="00385A6B">
        <w:rPr>
          <w:rFonts w:cstheme="minorHAnsi"/>
        </w:rPr>
        <w:t xml:space="preserve"> and one additional patient had ALGS as a secondary diagnosis. ALGS was also a primary diagnosis in 11 of 6,135 adults that underwent first LT (0.2%).</w:t>
      </w:r>
    </w:p>
    <w:p w14:paraId="4C07548C" w14:textId="62D5D1AC" w:rsidR="00F74791" w:rsidRPr="00385A6B" w:rsidRDefault="00F74791" w:rsidP="008B6633">
      <w:pPr>
        <w:pStyle w:val="3-BodyText"/>
      </w:pPr>
      <w:r w:rsidRPr="00385A6B">
        <w:t xml:space="preserve">The submission stated it should be recognised that LT is a complicated surgery associated with significant risks including infection and rejection and is not always curative. ANZLITR 2025 reported a 1-year and 5-year post LT survival rate of 91.0% </w:t>
      </w:r>
      <w:r w:rsidR="008545F4" w:rsidRPr="00385A6B">
        <w:t xml:space="preserve">at both timepoints </w:t>
      </w:r>
      <w:r w:rsidRPr="00385A6B">
        <w:t>for ALGS patients (N=44).</w:t>
      </w:r>
      <w:r w:rsidR="00D5502F" w:rsidRPr="00385A6B">
        <w:t xml:space="preserve"> Though patients with previous LT were excluded from ASSERT, there have been </w:t>
      </w:r>
      <w:r w:rsidR="00434AE5" w:rsidRPr="00385A6B">
        <w:t>case series of IBAT inhibitors (including odevixibat)</w:t>
      </w:r>
      <w:r w:rsidR="00D5502F" w:rsidRPr="00385A6B">
        <w:t xml:space="preserve"> </w:t>
      </w:r>
      <w:r w:rsidR="00434AE5" w:rsidRPr="00385A6B">
        <w:t xml:space="preserve">in patients after LT. </w:t>
      </w:r>
    </w:p>
    <w:p w14:paraId="2EEF2CB5" w14:textId="46CE16DD" w:rsidR="00883C2B" w:rsidRPr="00385A6B" w:rsidRDefault="00883C2B" w:rsidP="008B6633">
      <w:pPr>
        <w:pStyle w:val="3-BodyText"/>
      </w:pPr>
      <w:r w:rsidRPr="00385A6B">
        <w:t>The submission claimed that Australian clinical experts reported SBD is rarely practiced in Australian patients with ALGS, owing to poor acceptance of such a procedure in a very young patient group.</w:t>
      </w:r>
      <w:r w:rsidR="00542C30" w:rsidRPr="00385A6B">
        <w:t xml:space="preserve"> In the GALA study, SBD was reported in 5% (n=56/1184) of children with ALGS, at a median age of 2.4 years (IQR 1.9 – 4.4; n=53).</w:t>
      </w:r>
    </w:p>
    <w:p w14:paraId="7A3A86F8" w14:textId="6F124C45" w:rsidR="00836AAA" w:rsidRDefault="00FC6488" w:rsidP="008B6633">
      <w:pPr>
        <w:pStyle w:val="3-BodyText"/>
      </w:pPr>
      <w:r w:rsidRPr="00385A6B">
        <w:t>Maralixibat is an IBAT inhibitor approved by the FDA in September 2021 for use in the treatment of cholestatic pruritus in ALGS patients aged ≥1 year old. Maralixibat was later granted marketing authorisation by the European Commission in December 2022. To the Sponsor’s knowledge, maralixibat has not been submitted to the TGA for evaluation and as such is not considered as a near market comparator in this submission.</w:t>
      </w:r>
      <w:r w:rsidR="00332721" w:rsidRPr="00385A6B">
        <w:t xml:space="preserve"> The evaluation noted </w:t>
      </w:r>
      <w:r w:rsidR="00BB4869" w:rsidRPr="00385A6B">
        <w:t xml:space="preserve">that </w:t>
      </w:r>
      <w:r w:rsidR="00332721" w:rsidRPr="00385A6B">
        <w:t xml:space="preserve">maralixibat is referred to in the proposed </w:t>
      </w:r>
      <w:r w:rsidR="00BB4869" w:rsidRPr="00385A6B">
        <w:t>grandfather</w:t>
      </w:r>
      <w:r w:rsidR="00332721" w:rsidRPr="00385A6B">
        <w:t xml:space="preserve"> restriction.</w:t>
      </w:r>
      <w:r w:rsidR="008B6633">
        <w:t xml:space="preserve"> </w:t>
      </w:r>
    </w:p>
    <w:p w14:paraId="2470C87C" w14:textId="3E76F09E" w:rsidR="00FC6488" w:rsidRPr="00385A6B" w:rsidRDefault="00836AAA" w:rsidP="00936F72">
      <w:pPr>
        <w:pStyle w:val="3-BodyText"/>
        <w:numPr>
          <w:ilvl w:val="0"/>
          <w:numId w:val="0"/>
        </w:numPr>
        <w:ind w:firstLine="720"/>
        <w:rPr>
          <w:rFonts w:cstheme="minorHAnsi"/>
        </w:rPr>
      </w:pPr>
      <w:r w:rsidRPr="00C33D30">
        <w:rPr>
          <w:i/>
        </w:rPr>
        <w:t>For more detail on PBAC’s view, see section 7 PBAC outcome.</w:t>
      </w:r>
    </w:p>
    <w:p w14:paraId="7F9C27C8" w14:textId="77777777" w:rsidR="00223D5A" w:rsidRPr="0046164D" w:rsidRDefault="00223D5A" w:rsidP="008B6633">
      <w:pPr>
        <w:pStyle w:val="2-SectionHeading"/>
        <w:numPr>
          <w:ilvl w:val="0"/>
          <w:numId w:val="1"/>
        </w:numPr>
        <w:spacing w:before="160" w:after="160"/>
        <w:rPr>
          <w:rFonts w:cstheme="minorHAnsi"/>
        </w:rPr>
      </w:pPr>
      <w:bookmarkStart w:id="16" w:name="_Toc219900841"/>
      <w:bookmarkStart w:id="17" w:name="_Toc22897640"/>
      <w:r w:rsidRPr="0046164D">
        <w:rPr>
          <w:rFonts w:cstheme="minorHAnsi"/>
        </w:rPr>
        <w:t>Consideration of the evidence</w:t>
      </w:r>
      <w:bookmarkEnd w:id="16"/>
    </w:p>
    <w:p w14:paraId="497EF23D" w14:textId="77777777" w:rsidR="00BC4120" w:rsidRPr="0046164D" w:rsidRDefault="00BC4120" w:rsidP="008B6633">
      <w:pPr>
        <w:pStyle w:val="4-SubsectionHeading"/>
      </w:pPr>
      <w:bookmarkStart w:id="18" w:name="_Hlk76375935"/>
      <w:bookmarkStart w:id="19" w:name="_Toc219900842"/>
      <w:r w:rsidRPr="0046164D">
        <w:t>Sponsor hearing</w:t>
      </w:r>
    </w:p>
    <w:p w14:paraId="644B8AC6" w14:textId="6BD2475B" w:rsidR="00824AFD" w:rsidRPr="0046164D" w:rsidRDefault="008C0E16" w:rsidP="008B6633">
      <w:pPr>
        <w:numPr>
          <w:ilvl w:val="1"/>
          <w:numId w:val="1"/>
        </w:numPr>
        <w:spacing w:after="120"/>
        <w:rPr>
          <w:rFonts w:asciiTheme="minorHAnsi" w:hAnsiTheme="minorHAnsi"/>
          <w:bCs/>
          <w:snapToGrid w:val="0"/>
        </w:rPr>
      </w:pPr>
      <w:bookmarkStart w:id="20" w:name="_Hlk76382586"/>
      <w:r w:rsidRPr="0046164D">
        <w:rPr>
          <w:rFonts w:asciiTheme="minorHAnsi" w:hAnsiTheme="minorHAnsi"/>
          <w:bCs/>
          <w:snapToGrid w:val="0"/>
        </w:rPr>
        <w:t xml:space="preserve">There was no hearing for this item. </w:t>
      </w:r>
    </w:p>
    <w:bookmarkEnd w:id="20"/>
    <w:p w14:paraId="70DDA73B" w14:textId="510E4D2A" w:rsidR="00BC4120" w:rsidRPr="0046164D" w:rsidRDefault="00BC4120" w:rsidP="008B6633">
      <w:pPr>
        <w:pStyle w:val="4-SubsectionHeading"/>
      </w:pPr>
      <w:r w:rsidRPr="0046164D">
        <w:lastRenderedPageBreak/>
        <w:t>Consumer input</w:t>
      </w:r>
    </w:p>
    <w:p w14:paraId="0F6CEDF4" w14:textId="50EA9E5F" w:rsidR="00985B9B" w:rsidRPr="004B15E3" w:rsidRDefault="00985B9B" w:rsidP="008B6633">
      <w:pPr>
        <w:pStyle w:val="3-BodyText"/>
        <w:rPr>
          <w:rFonts w:eastAsia="Times New Roman" w:cs="Arial"/>
          <w:bCs/>
          <w:iCs/>
          <w:snapToGrid w:val="0"/>
          <w:szCs w:val="24"/>
        </w:rPr>
      </w:pPr>
      <w:bookmarkStart w:id="21" w:name="_Hlk76382618"/>
      <w:r w:rsidRPr="0046164D">
        <w:rPr>
          <w:snapToGrid w:val="0"/>
        </w:rPr>
        <w:t>The</w:t>
      </w:r>
      <w:r w:rsidRPr="004B15E3">
        <w:rPr>
          <w:snapToGrid w:val="0"/>
        </w:rPr>
        <w:t xml:space="preserve"> PBAC noted and welcomed input from health professionals (4), medical organisation</w:t>
      </w:r>
      <w:r w:rsidR="00974FAB" w:rsidRPr="004B15E3">
        <w:rPr>
          <w:snapToGrid w:val="0"/>
        </w:rPr>
        <w:t>s</w:t>
      </w:r>
      <w:r w:rsidRPr="004B15E3">
        <w:rPr>
          <w:snapToGrid w:val="0"/>
        </w:rPr>
        <w:t xml:space="preserve"> (</w:t>
      </w:r>
      <w:r w:rsidR="00974FAB" w:rsidRPr="004B15E3">
        <w:rPr>
          <w:snapToGrid w:val="0"/>
        </w:rPr>
        <w:t>1</w:t>
      </w:r>
      <w:r w:rsidRPr="004B15E3">
        <w:rPr>
          <w:snapToGrid w:val="0"/>
        </w:rPr>
        <w:t>) and consumer organisation</w:t>
      </w:r>
      <w:r w:rsidR="00974FAB" w:rsidRPr="004B15E3">
        <w:rPr>
          <w:snapToGrid w:val="0"/>
        </w:rPr>
        <w:t>s</w:t>
      </w:r>
      <w:r w:rsidRPr="004B15E3">
        <w:rPr>
          <w:snapToGrid w:val="0"/>
        </w:rPr>
        <w:t xml:space="preserve"> (</w:t>
      </w:r>
      <w:r w:rsidR="00974FAB" w:rsidRPr="004B15E3">
        <w:rPr>
          <w:snapToGrid w:val="0"/>
        </w:rPr>
        <w:t>1</w:t>
      </w:r>
      <w:r w:rsidRPr="004B15E3">
        <w:rPr>
          <w:snapToGrid w:val="0"/>
        </w:rPr>
        <w:t>) via the Office of Health Technology Assessment Consultation Hub</w:t>
      </w:r>
      <w:r w:rsidR="003D5029" w:rsidRPr="004B15E3">
        <w:rPr>
          <w:snapToGrid w:val="0"/>
        </w:rPr>
        <w:t>, d</w:t>
      </w:r>
      <w:r w:rsidRPr="004B15E3">
        <w:rPr>
          <w:snapToGrid w:val="0"/>
        </w:rPr>
        <w:t>escrib</w:t>
      </w:r>
      <w:r w:rsidR="003D5029" w:rsidRPr="004B15E3">
        <w:rPr>
          <w:snapToGrid w:val="0"/>
        </w:rPr>
        <w:t>ing</w:t>
      </w:r>
      <w:r w:rsidRPr="004B15E3">
        <w:rPr>
          <w:snapToGrid w:val="0"/>
        </w:rPr>
        <w:t xml:space="preserve"> the burden of cholestatic pruritus in </w:t>
      </w:r>
      <w:r w:rsidR="00974FAB" w:rsidRPr="004B15E3">
        <w:rPr>
          <w:snapToGrid w:val="0"/>
        </w:rPr>
        <w:t>ALGS</w:t>
      </w:r>
      <w:r w:rsidRPr="004B15E3">
        <w:rPr>
          <w:snapToGrid w:val="0"/>
        </w:rPr>
        <w:t xml:space="preserve">, emphasising that persistent, severe itch can dominate daily life, impair sleep, schooling, development, family functioning and mental health, and is a common reason children are listed for liver transplantation despite not yet having liver failure. </w:t>
      </w:r>
      <w:r w:rsidR="003D5029" w:rsidRPr="004B15E3">
        <w:rPr>
          <w:snapToGrid w:val="0"/>
        </w:rPr>
        <w:t xml:space="preserve">Input </w:t>
      </w:r>
      <w:r w:rsidR="00136713">
        <w:rPr>
          <w:snapToGrid w:val="0"/>
        </w:rPr>
        <w:t>from</w:t>
      </w:r>
      <w:r w:rsidR="00136713" w:rsidRPr="004B15E3">
        <w:rPr>
          <w:snapToGrid w:val="0"/>
        </w:rPr>
        <w:t xml:space="preserve"> </w:t>
      </w:r>
      <w:r w:rsidR="006F155D" w:rsidRPr="004B15E3">
        <w:rPr>
          <w:snapToGrid w:val="0"/>
        </w:rPr>
        <w:t>h</w:t>
      </w:r>
      <w:r w:rsidR="003D5029" w:rsidRPr="004B15E3">
        <w:rPr>
          <w:snapToGrid w:val="0"/>
        </w:rPr>
        <w:t xml:space="preserve">ealthcare professionals </w:t>
      </w:r>
      <w:r w:rsidR="00D8165C" w:rsidRPr="004B15E3">
        <w:rPr>
          <w:snapToGrid w:val="0"/>
        </w:rPr>
        <w:t>considered</w:t>
      </w:r>
      <w:r w:rsidR="008B6633">
        <w:rPr>
          <w:snapToGrid w:val="0"/>
        </w:rPr>
        <w:t xml:space="preserve"> </w:t>
      </w:r>
      <w:r w:rsidR="00D8165C" w:rsidRPr="004B15E3">
        <w:rPr>
          <w:snapToGrid w:val="0"/>
        </w:rPr>
        <w:t>that current</w:t>
      </w:r>
      <w:r w:rsidR="003D5029" w:rsidRPr="004B15E3">
        <w:rPr>
          <w:snapToGrid w:val="0"/>
        </w:rPr>
        <w:t xml:space="preserve"> </w:t>
      </w:r>
      <w:r w:rsidR="00D8165C" w:rsidRPr="004B15E3">
        <w:rPr>
          <w:snapToGrid w:val="0"/>
        </w:rPr>
        <w:t xml:space="preserve">therapies are ineffective, and that odevixibat is </w:t>
      </w:r>
      <w:r w:rsidR="00B007D3">
        <w:rPr>
          <w:snapToGrid w:val="0"/>
        </w:rPr>
        <w:t>“</w:t>
      </w:r>
      <w:r w:rsidR="00D8165C" w:rsidRPr="004B15E3">
        <w:rPr>
          <w:snapToGrid w:val="0"/>
        </w:rPr>
        <w:t>game-changing”, with the potential to improve long-term NLS, profound effects of pruritis</w:t>
      </w:r>
      <w:r w:rsidR="00685272">
        <w:rPr>
          <w:snapToGrid w:val="0"/>
        </w:rPr>
        <w:t xml:space="preserve"> and the </w:t>
      </w:r>
      <w:r w:rsidR="00D8165C" w:rsidRPr="004B15E3">
        <w:rPr>
          <w:snapToGrid w:val="0"/>
        </w:rPr>
        <w:t xml:space="preserve">equity gap in </w:t>
      </w:r>
      <w:r w:rsidR="00AF6349">
        <w:rPr>
          <w:snapToGrid w:val="0"/>
        </w:rPr>
        <w:t xml:space="preserve">access to </w:t>
      </w:r>
      <w:r w:rsidR="00D8165C" w:rsidRPr="004B15E3">
        <w:rPr>
          <w:snapToGrid w:val="0"/>
        </w:rPr>
        <w:t>therap</w:t>
      </w:r>
      <w:r w:rsidR="00AF6349">
        <w:rPr>
          <w:snapToGrid w:val="0"/>
        </w:rPr>
        <w:t>ies</w:t>
      </w:r>
      <w:r w:rsidR="00D8165C" w:rsidRPr="004B15E3">
        <w:rPr>
          <w:snapToGrid w:val="0"/>
        </w:rPr>
        <w:t xml:space="preserve"> between adults and children</w:t>
      </w:r>
      <w:r w:rsidR="002675B3" w:rsidRPr="004B15E3">
        <w:rPr>
          <w:snapToGrid w:val="0"/>
        </w:rPr>
        <w:t>.</w:t>
      </w:r>
    </w:p>
    <w:p w14:paraId="0F946B3D" w14:textId="279962F5" w:rsidR="00824AFD" w:rsidRDefault="00985B9B" w:rsidP="008B6633">
      <w:pPr>
        <w:pStyle w:val="3-BodyText"/>
        <w:rPr>
          <w:rFonts w:eastAsia="Times New Roman" w:cs="Arial"/>
          <w:bCs/>
          <w:iCs/>
          <w:snapToGrid w:val="0"/>
          <w:szCs w:val="24"/>
        </w:rPr>
      </w:pPr>
      <w:r w:rsidRPr="00985B9B">
        <w:rPr>
          <w:rFonts w:eastAsia="Times New Roman" w:cs="Arial"/>
          <w:bCs/>
          <w:iCs/>
          <w:snapToGrid w:val="0"/>
          <w:szCs w:val="24"/>
        </w:rPr>
        <w:t xml:space="preserve">The PBAC noted advice from the National Paediatric Medicines Forum </w:t>
      </w:r>
      <w:r w:rsidR="00C96309">
        <w:rPr>
          <w:rFonts w:eastAsia="Times New Roman" w:cs="Arial"/>
          <w:bCs/>
          <w:iCs/>
          <w:snapToGrid w:val="0"/>
          <w:szCs w:val="24"/>
        </w:rPr>
        <w:t xml:space="preserve">(NPMF) </w:t>
      </w:r>
      <w:r w:rsidR="00D730AC">
        <w:rPr>
          <w:rFonts w:eastAsia="Times New Roman" w:cs="Arial"/>
          <w:bCs/>
          <w:iCs/>
          <w:snapToGrid w:val="0"/>
          <w:szCs w:val="24"/>
        </w:rPr>
        <w:t xml:space="preserve">which </w:t>
      </w:r>
      <w:r w:rsidR="00C405EA">
        <w:rPr>
          <w:rFonts w:eastAsia="Times New Roman" w:cs="Arial"/>
          <w:bCs/>
          <w:iCs/>
          <w:snapToGrid w:val="0"/>
          <w:szCs w:val="24"/>
        </w:rPr>
        <w:t xml:space="preserve">highlighted the </w:t>
      </w:r>
      <w:r w:rsidR="00D730AC" w:rsidRPr="00985B9B">
        <w:rPr>
          <w:rFonts w:eastAsia="Times New Roman" w:cs="Arial"/>
          <w:bCs/>
          <w:iCs/>
          <w:snapToGrid w:val="0"/>
          <w:szCs w:val="24"/>
        </w:rPr>
        <w:t xml:space="preserve">significant unmet need, and early evidence supporting odevixibat’s benefit in reducing pruritus and </w:t>
      </w:r>
      <w:r w:rsidR="00C405EA">
        <w:rPr>
          <w:rFonts w:eastAsia="Times New Roman" w:cs="Arial"/>
          <w:bCs/>
          <w:iCs/>
          <w:snapToGrid w:val="0"/>
          <w:szCs w:val="24"/>
        </w:rPr>
        <w:t>SBAs</w:t>
      </w:r>
      <w:r w:rsidRPr="00985B9B">
        <w:rPr>
          <w:rFonts w:eastAsia="Times New Roman" w:cs="Arial"/>
          <w:bCs/>
          <w:iCs/>
          <w:snapToGrid w:val="0"/>
          <w:szCs w:val="24"/>
        </w:rPr>
        <w:t xml:space="preserve">. The </w:t>
      </w:r>
      <w:r w:rsidR="00C96309">
        <w:rPr>
          <w:rFonts w:eastAsia="Times New Roman" w:cs="Arial"/>
          <w:bCs/>
          <w:iCs/>
          <w:snapToGrid w:val="0"/>
          <w:szCs w:val="24"/>
        </w:rPr>
        <w:t>NPMF</w:t>
      </w:r>
      <w:r w:rsidRPr="00985B9B">
        <w:rPr>
          <w:rFonts w:eastAsia="Times New Roman" w:cs="Arial"/>
          <w:bCs/>
          <w:iCs/>
          <w:snapToGrid w:val="0"/>
          <w:szCs w:val="24"/>
        </w:rPr>
        <w:t xml:space="preserve"> advised that existing treatments for cholestatic pruritus offer minimal benefit, and that odevixibat has the potential to avoid liver transplantation in children where refractory pruritus</w:t>
      </w:r>
      <w:r w:rsidR="00026A3D">
        <w:rPr>
          <w:rFonts w:eastAsia="Times New Roman" w:cs="Arial"/>
          <w:bCs/>
          <w:iCs/>
          <w:snapToGrid w:val="0"/>
          <w:szCs w:val="24"/>
        </w:rPr>
        <w:t xml:space="preserve"> </w:t>
      </w:r>
      <w:r w:rsidRPr="00985B9B">
        <w:rPr>
          <w:rFonts w:eastAsia="Times New Roman" w:cs="Arial"/>
          <w:bCs/>
          <w:iCs/>
          <w:snapToGrid w:val="0"/>
          <w:szCs w:val="24"/>
        </w:rPr>
        <w:t>is the primary reason for transplant listing. The PBAC also noted the Liver Foundation’s view that relieving severe itch would allow children with ALGS to better engage in normal life, and that access would reduce the burden on families.</w:t>
      </w:r>
      <w:r w:rsidR="00824AFD" w:rsidRPr="00824AFD">
        <w:rPr>
          <w:rFonts w:eastAsia="Times New Roman" w:cs="Arial"/>
          <w:bCs/>
          <w:iCs/>
          <w:snapToGrid w:val="0"/>
          <w:szCs w:val="24"/>
        </w:rPr>
        <w:t xml:space="preserve"> </w:t>
      </w:r>
      <w:r w:rsidR="00207F6B">
        <w:rPr>
          <w:rFonts w:eastAsia="Times New Roman" w:cs="Arial"/>
          <w:bCs/>
          <w:iCs/>
          <w:snapToGrid w:val="0"/>
          <w:szCs w:val="24"/>
        </w:rPr>
        <w:t>Input</w:t>
      </w:r>
      <w:r w:rsidR="00824AFD" w:rsidRPr="00985B9B">
        <w:rPr>
          <w:rFonts w:eastAsia="Times New Roman" w:cs="Arial"/>
          <w:bCs/>
          <w:iCs/>
          <w:snapToGrid w:val="0"/>
          <w:szCs w:val="24"/>
        </w:rPr>
        <w:t xml:space="preserve"> </w:t>
      </w:r>
      <w:r w:rsidR="00207F6B">
        <w:rPr>
          <w:rFonts w:eastAsia="Times New Roman" w:cs="Arial"/>
          <w:bCs/>
          <w:iCs/>
          <w:snapToGrid w:val="0"/>
          <w:szCs w:val="24"/>
        </w:rPr>
        <w:t>suggested</w:t>
      </w:r>
      <w:r w:rsidR="00824AFD" w:rsidRPr="00985B9B">
        <w:rPr>
          <w:rFonts w:eastAsia="Times New Roman" w:cs="Arial"/>
          <w:bCs/>
          <w:iCs/>
          <w:snapToGrid w:val="0"/>
          <w:szCs w:val="24"/>
        </w:rPr>
        <w:t xml:space="preserve"> that access to odevixibat would offer meaningful relief and improve quality of life for both patients and carers. </w:t>
      </w:r>
    </w:p>
    <w:p w14:paraId="6018750E" w14:textId="73DCDA98" w:rsidR="00FA73A3" w:rsidRPr="00985B9B" w:rsidRDefault="00FA73A3" w:rsidP="008B6633">
      <w:pPr>
        <w:pStyle w:val="3-BodyText"/>
        <w:rPr>
          <w:rFonts w:eastAsia="Times New Roman" w:cs="Arial"/>
          <w:bCs/>
          <w:iCs/>
          <w:snapToGrid w:val="0"/>
          <w:szCs w:val="24"/>
        </w:rPr>
      </w:pPr>
      <w:r>
        <w:rPr>
          <w:rFonts w:eastAsia="Times New Roman" w:cs="Arial"/>
          <w:bCs/>
          <w:iCs/>
          <w:snapToGrid w:val="0"/>
          <w:szCs w:val="24"/>
        </w:rPr>
        <w:t xml:space="preserve">The PBAC considered that input was informative to understanding </w:t>
      </w:r>
      <w:r w:rsidR="0037726B">
        <w:rPr>
          <w:rFonts w:eastAsia="Times New Roman" w:cs="Arial"/>
          <w:bCs/>
          <w:iCs/>
          <w:snapToGrid w:val="0"/>
          <w:szCs w:val="24"/>
        </w:rPr>
        <w:t xml:space="preserve">the natural history of disease and progression. </w:t>
      </w:r>
    </w:p>
    <w:bookmarkEnd w:id="18"/>
    <w:bookmarkEnd w:id="21"/>
    <w:p w14:paraId="609C0765" w14:textId="73DBCFBA" w:rsidR="00B60939" w:rsidRPr="00275521" w:rsidRDefault="00B60939" w:rsidP="008B6633">
      <w:pPr>
        <w:pStyle w:val="4-SubsectionHeading"/>
      </w:pPr>
      <w:r w:rsidRPr="00275521">
        <w:t xml:space="preserve">Clinical </w:t>
      </w:r>
      <w:r w:rsidR="00D5243B" w:rsidRPr="00275521">
        <w:t>studies/</w:t>
      </w:r>
      <w:r w:rsidRPr="00275521">
        <w:t>trials</w:t>
      </w:r>
      <w:bookmarkEnd w:id="17"/>
      <w:bookmarkEnd w:id="19"/>
    </w:p>
    <w:p w14:paraId="32A6B518" w14:textId="30B61D5E" w:rsidR="00542C30" w:rsidRPr="00275521" w:rsidRDefault="00542C30" w:rsidP="008B6633">
      <w:pPr>
        <w:pStyle w:val="3-BodyText"/>
        <w:spacing w:before="160" w:after="160"/>
        <w:rPr>
          <w:rFonts w:cstheme="minorHAnsi"/>
        </w:rPr>
      </w:pPr>
      <w:r w:rsidRPr="00275521">
        <w:rPr>
          <w:rFonts w:cstheme="minorHAnsi"/>
        </w:rPr>
        <w:t xml:space="preserve">The submission was based on one head-to-head Phase 3 randomised trial, ASSERT, comparing odevixibat to placebo, in addition to the 72-week open-label extension study (ASSERT-EXT). The submission also presented a pooled analysis of ASSERT and ASSERT-EXT data. </w:t>
      </w:r>
    </w:p>
    <w:p w14:paraId="2B59ABAC" w14:textId="6279B6B9" w:rsidR="00862502" w:rsidRPr="00275521" w:rsidRDefault="00A73134" w:rsidP="008B6633">
      <w:pPr>
        <w:pStyle w:val="3-BodyText"/>
        <w:spacing w:before="160" w:after="160"/>
        <w:rPr>
          <w:rFonts w:cstheme="minorHAnsi"/>
        </w:rPr>
      </w:pPr>
      <w:r w:rsidRPr="00275521">
        <w:rPr>
          <w:rFonts w:cstheme="minorHAnsi"/>
        </w:rPr>
        <w:t xml:space="preserve">Details of the </w:t>
      </w:r>
      <w:r w:rsidR="00542C30" w:rsidRPr="00275521">
        <w:rPr>
          <w:rFonts w:cstheme="minorHAnsi"/>
        </w:rPr>
        <w:t xml:space="preserve">trial and extension study </w:t>
      </w:r>
      <w:r w:rsidRPr="00275521">
        <w:rPr>
          <w:rFonts w:cstheme="minorHAnsi"/>
        </w:rPr>
        <w:t xml:space="preserve">presented in the submission are provided in </w:t>
      </w:r>
      <w:r w:rsidR="00696EF9" w:rsidRPr="00275521">
        <w:rPr>
          <w:rFonts w:cstheme="minorHAnsi"/>
        </w:rPr>
        <w:fldChar w:fldCharType="begin"/>
      </w:r>
      <w:r w:rsidR="00696EF9" w:rsidRPr="00275521">
        <w:rPr>
          <w:rFonts w:cstheme="minorHAnsi"/>
        </w:rPr>
        <w:instrText xml:space="preserve"> REF _Ref104803956 \h </w:instrText>
      </w:r>
      <w:r w:rsidR="00DC5486" w:rsidRPr="00275521">
        <w:rPr>
          <w:rFonts w:cstheme="minorHAnsi"/>
        </w:rPr>
        <w:instrText xml:space="preserve"> \* MERGEFORMAT </w:instrText>
      </w:r>
      <w:r w:rsidR="00696EF9" w:rsidRPr="00275521">
        <w:rPr>
          <w:rFonts w:cstheme="minorHAnsi"/>
        </w:rPr>
      </w:r>
      <w:r w:rsidR="00696EF9" w:rsidRPr="00275521">
        <w:rPr>
          <w:rFonts w:cstheme="minorHAnsi"/>
        </w:rPr>
        <w:fldChar w:fldCharType="separate"/>
      </w:r>
      <w:r w:rsidR="0060088A" w:rsidRPr="0060088A">
        <w:rPr>
          <w:rFonts w:cstheme="minorHAnsi"/>
        </w:rPr>
        <w:t>Table 2</w:t>
      </w:r>
      <w:r w:rsidR="00696EF9" w:rsidRPr="00275521">
        <w:rPr>
          <w:rFonts w:cstheme="minorHAnsi"/>
        </w:rPr>
        <w:fldChar w:fldCharType="end"/>
      </w:r>
      <w:r w:rsidRPr="00275521">
        <w:rPr>
          <w:rFonts w:cstheme="minorHAnsi"/>
        </w:rPr>
        <w:t>.</w:t>
      </w:r>
      <w:r w:rsidR="004935BA">
        <w:rPr>
          <w:rFonts w:cstheme="minorHAnsi"/>
        </w:rPr>
        <w:t xml:space="preserve"> </w:t>
      </w:r>
    </w:p>
    <w:p w14:paraId="7DE3A286" w14:textId="2D56CF45" w:rsidR="008E0D3C" w:rsidRPr="00275521" w:rsidRDefault="00696EF9" w:rsidP="008B6633">
      <w:pPr>
        <w:pStyle w:val="TableFigureHeading"/>
        <w:rPr>
          <w:rStyle w:val="CommentReference"/>
          <w:b/>
          <w:szCs w:val="24"/>
        </w:rPr>
      </w:pPr>
      <w:bookmarkStart w:id="22" w:name="_Ref104803956"/>
      <w:r w:rsidRPr="00275521">
        <w:lastRenderedPageBreak/>
        <w:t xml:space="preserve">Table </w:t>
      </w:r>
      <w:fldSimple w:instr=" SEQ Table \* ARABIC ">
        <w:r w:rsidR="0060088A">
          <w:rPr>
            <w:noProof/>
          </w:rPr>
          <w:t>2</w:t>
        </w:r>
      </w:fldSimple>
      <w:bookmarkEnd w:id="22"/>
      <w:r w:rsidRPr="00275521">
        <w:t>:</w:t>
      </w:r>
      <w:r w:rsidR="00BC591F" w:rsidRPr="00275521">
        <w:rPr>
          <w:rStyle w:val="CommentReference"/>
          <w:b/>
          <w:szCs w:val="24"/>
        </w:rPr>
        <w:t xml:space="preserve"> </w:t>
      </w:r>
      <w:r w:rsidR="008E0D3C" w:rsidRPr="00275521">
        <w:rPr>
          <w:rStyle w:val="CommentReference"/>
          <w:b/>
          <w:szCs w:val="24"/>
        </w:rPr>
        <w:t>Trials</w:t>
      </w:r>
      <w:r w:rsidR="00D5243B" w:rsidRPr="00275521">
        <w:rPr>
          <w:rStyle w:val="CommentReference"/>
          <w:b/>
          <w:szCs w:val="24"/>
        </w:rPr>
        <w:t>/studies</w:t>
      </w:r>
      <w:r w:rsidR="008E0D3C" w:rsidRPr="00275521">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studies and associated reports presented in the submission"/>
      </w:tblPr>
      <w:tblGrid>
        <w:gridCol w:w="1435"/>
        <w:gridCol w:w="5459"/>
        <w:gridCol w:w="2123"/>
      </w:tblGrid>
      <w:tr w:rsidR="00757E71" w:rsidRPr="00275521" w14:paraId="752C9D2C" w14:textId="77777777">
        <w:trPr>
          <w:tblHeader/>
        </w:trPr>
        <w:tc>
          <w:tcPr>
            <w:tcW w:w="796" w:type="pct"/>
            <w:vAlign w:val="center"/>
          </w:tcPr>
          <w:p w14:paraId="3994477A" w14:textId="77777777" w:rsidR="00542C30" w:rsidRPr="00385A6B" w:rsidRDefault="00542C30" w:rsidP="008B6633">
            <w:pPr>
              <w:pStyle w:val="Tabletext"/>
              <w:rPr>
                <w:b/>
                <w:bCs/>
              </w:rPr>
            </w:pPr>
            <w:r w:rsidRPr="00385A6B">
              <w:rPr>
                <w:b/>
                <w:bCs/>
              </w:rPr>
              <w:t>Trial ID</w:t>
            </w:r>
          </w:p>
        </w:tc>
        <w:tc>
          <w:tcPr>
            <w:tcW w:w="3027" w:type="pct"/>
            <w:vAlign w:val="center"/>
          </w:tcPr>
          <w:p w14:paraId="0886ED17" w14:textId="77777777" w:rsidR="00542C30" w:rsidRPr="00385A6B" w:rsidRDefault="00542C30" w:rsidP="008B6633">
            <w:pPr>
              <w:pStyle w:val="In-tableHeading"/>
              <w:rPr>
                <w:lang w:val="en-AU"/>
              </w:rPr>
            </w:pPr>
            <w:r w:rsidRPr="00385A6B">
              <w:rPr>
                <w:lang w:val="en-AU"/>
              </w:rPr>
              <w:t>Protocol title/ Publication title</w:t>
            </w:r>
          </w:p>
        </w:tc>
        <w:tc>
          <w:tcPr>
            <w:tcW w:w="1177" w:type="pct"/>
            <w:vAlign w:val="center"/>
          </w:tcPr>
          <w:p w14:paraId="3B422FB2" w14:textId="77777777" w:rsidR="00542C30" w:rsidRPr="00385A6B" w:rsidRDefault="00542C30" w:rsidP="008B6633">
            <w:pPr>
              <w:pStyle w:val="In-tableHeading"/>
              <w:rPr>
                <w:lang w:val="en-AU"/>
              </w:rPr>
            </w:pPr>
            <w:r w:rsidRPr="00385A6B">
              <w:rPr>
                <w:lang w:val="en-AU"/>
              </w:rPr>
              <w:t>Publication citation</w:t>
            </w:r>
          </w:p>
        </w:tc>
      </w:tr>
      <w:tr w:rsidR="00757E71" w:rsidRPr="00275521" w14:paraId="0DF3ABCB" w14:textId="77777777">
        <w:tc>
          <w:tcPr>
            <w:tcW w:w="796" w:type="pct"/>
            <w:tcBorders>
              <w:bottom w:val="nil"/>
            </w:tcBorders>
            <w:vAlign w:val="center"/>
          </w:tcPr>
          <w:p w14:paraId="4B969533" w14:textId="77777777" w:rsidR="00542C30" w:rsidRPr="00385A6B" w:rsidRDefault="00542C30" w:rsidP="008B6633">
            <w:pPr>
              <w:pStyle w:val="TableText0"/>
            </w:pPr>
            <w:r w:rsidRPr="00385A6B">
              <w:t>ASSERT</w:t>
            </w:r>
          </w:p>
          <w:p w14:paraId="6AE694E0" w14:textId="77777777" w:rsidR="00542C30" w:rsidRPr="00385A6B" w:rsidRDefault="00542C30" w:rsidP="008B6633">
            <w:pPr>
              <w:pStyle w:val="TableText0"/>
            </w:pPr>
            <w:r w:rsidRPr="00385A6B">
              <w:t>NCT04674761</w:t>
            </w:r>
          </w:p>
        </w:tc>
        <w:tc>
          <w:tcPr>
            <w:tcW w:w="3027" w:type="pct"/>
            <w:tcBorders>
              <w:bottom w:val="nil"/>
            </w:tcBorders>
          </w:tcPr>
          <w:p w14:paraId="2AEA3CED" w14:textId="77777777" w:rsidR="00542C30" w:rsidRPr="00385A6B" w:rsidRDefault="00542C30" w:rsidP="008B6633">
            <w:pPr>
              <w:pStyle w:val="TableText0"/>
            </w:pPr>
            <w:r w:rsidRPr="00385A6B">
              <w:t>Clinical Study Report (A4250-012)</w:t>
            </w:r>
          </w:p>
        </w:tc>
        <w:tc>
          <w:tcPr>
            <w:tcW w:w="1177" w:type="pct"/>
            <w:tcBorders>
              <w:bottom w:val="nil"/>
            </w:tcBorders>
          </w:tcPr>
          <w:p w14:paraId="77302B22" w14:textId="77777777" w:rsidR="00542C30" w:rsidRPr="00385A6B" w:rsidRDefault="00542C30" w:rsidP="008B6633">
            <w:pPr>
              <w:pStyle w:val="TableText0"/>
            </w:pPr>
            <w:r w:rsidRPr="00385A6B">
              <w:t>Clinical Study Report</w:t>
            </w:r>
          </w:p>
        </w:tc>
      </w:tr>
      <w:tr w:rsidR="00757E71" w:rsidRPr="00275521" w14:paraId="11DBD71B" w14:textId="77777777">
        <w:tc>
          <w:tcPr>
            <w:tcW w:w="796" w:type="pct"/>
            <w:tcBorders>
              <w:top w:val="nil"/>
              <w:bottom w:val="nil"/>
            </w:tcBorders>
            <w:vAlign w:val="center"/>
          </w:tcPr>
          <w:p w14:paraId="581248B6" w14:textId="77777777" w:rsidR="00542C30" w:rsidRPr="00385A6B" w:rsidRDefault="00542C30" w:rsidP="008B6633">
            <w:pPr>
              <w:pStyle w:val="TableText0"/>
            </w:pPr>
          </w:p>
        </w:tc>
        <w:tc>
          <w:tcPr>
            <w:tcW w:w="3027" w:type="pct"/>
            <w:tcBorders>
              <w:top w:val="nil"/>
              <w:bottom w:val="nil"/>
            </w:tcBorders>
          </w:tcPr>
          <w:p w14:paraId="507C5046" w14:textId="192884D8" w:rsidR="00542C30" w:rsidRPr="00385A6B" w:rsidRDefault="00542C30" w:rsidP="008B6633">
            <w:pPr>
              <w:pStyle w:val="TableText0"/>
            </w:pPr>
            <w:r w:rsidRPr="00385A6B">
              <w:t>Ovchinsky N, et al.</w:t>
            </w:r>
            <w:r w:rsidR="008B6633">
              <w:t xml:space="preserve"> </w:t>
            </w:r>
            <w:r w:rsidRPr="00385A6B">
              <w:t>Efficacy and safety of odevixibat in patients with Alagille syndrome (ASSERT): a phase 3, double-blind, randomised, placebo-controlled trial. (2024)</w:t>
            </w:r>
          </w:p>
        </w:tc>
        <w:tc>
          <w:tcPr>
            <w:tcW w:w="1177" w:type="pct"/>
            <w:tcBorders>
              <w:top w:val="nil"/>
              <w:bottom w:val="nil"/>
            </w:tcBorders>
          </w:tcPr>
          <w:p w14:paraId="4C206552" w14:textId="77777777" w:rsidR="00542C30" w:rsidRPr="00385A6B" w:rsidRDefault="00542C30" w:rsidP="008B6633">
            <w:pPr>
              <w:pStyle w:val="TableText0"/>
            </w:pPr>
            <w:r w:rsidRPr="00385A6B">
              <w:t>Lancet Gastroenterol Hepatol. 2024 Jul;9(7):632-645</w:t>
            </w:r>
          </w:p>
        </w:tc>
      </w:tr>
      <w:tr w:rsidR="00757E71" w:rsidRPr="00275521" w14:paraId="7EB57050" w14:textId="77777777">
        <w:tc>
          <w:tcPr>
            <w:tcW w:w="796" w:type="pct"/>
            <w:tcBorders>
              <w:top w:val="nil"/>
              <w:bottom w:val="nil"/>
            </w:tcBorders>
            <w:vAlign w:val="center"/>
          </w:tcPr>
          <w:p w14:paraId="39D7D1E5" w14:textId="77777777" w:rsidR="00542C30" w:rsidRPr="00385A6B" w:rsidRDefault="00542C30" w:rsidP="008B6633">
            <w:pPr>
              <w:pStyle w:val="TableText0"/>
            </w:pPr>
          </w:p>
        </w:tc>
        <w:tc>
          <w:tcPr>
            <w:tcW w:w="3027" w:type="pct"/>
            <w:tcBorders>
              <w:top w:val="nil"/>
              <w:bottom w:val="nil"/>
            </w:tcBorders>
          </w:tcPr>
          <w:p w14:paraId="279C02AD" w14:textId="555098EF" w:rsidR="00542C30" w:rsidRPr="00385A6B" w:rsidRDefault="00542C30" w:rsidP="008B6633">
            <w:pPr>
              <w:pStyle w:val="TableText0"/>
            </w:pPr>
            <w:r w:rsidRPr="00385A6B">
              <w:t>Ovchinsky, N, et al.</w:t>
            </w:r>
            <w:r w:rsidR="008B6633">
              <w:t xml:space="preserve"> </w:t>
            </w:r>
            <w:r w:rsidRPr="00385A6B">
              <w:t>Efficacy and Safety Outcomes with Odevixibat Treatment: Pooled Data from the Phase 3 ASSERT and ASSERT-EXT Studies in Patients with Alagille Syndrome. (2023)</w:t>
            </w:r>
          </w:p>
        </w:tc>
        <w:tc>
          <w:tcPr>
            <w:tcW w:w="1177" w:type="pct"/>
            <w:tcBorders>
              <w:top w:val="nil"/>
              <w:bottom w:val="nil"/>
            </w:tcBorders>
          </w:tcPr>
          <w:p w14:paraId="271F8170" w14:textId="77777777" w:rsidR="00542C30" w:rsidRPr="00385A6B" w:rsidRDefault="00542C30" w:rsidP="008B6633">
            <w:pPr>
              <w:pStyle w:val="TableText0"/>
            </w:pPr>
            <w:r w:rsidRPr="00385A6B">
              <w:t>Journal of hepatology. 2023. 78: S965–S966.</w:t>
            </w:r>
          </w:p>
        </w:tc>
      </w:tr>
      <w:tr w:rsidR="00757E71" w:rsidRPr="00275521" w14:paraId="21EC5EE6" w14:textId="77777777">
        <w:tc>
          <w:tcPr>
            <w:tcW w:w="796" w:type="pct"/>
            <w:tcBorders>
              <w:top w:val="nil"/>
              <w:bottom w:val="nil"/>
            </w:tcBorders>
            <w:vAlign w:val="center"/>
          </w:tcPr>
          <w:p w14:paraId="11A2A9F9" w14:textId="77777777" w:rsidR="00542C30" w:rsidRPr="00385A6B" w:rsidRDefault="00542C30" w:rsidP="008B6633">
            <w:pPr>
              <w:pStyle w:val="TableText0"/>
            </w:pPr>
          </w:p>
        </w:tc>
        <w:tc>
          <w:tcPr>
            <w:tcW w:w="3027" w:type="pct"/>
            <w:tcBorders>
              <w:top w:val="nil"/>
              <w:bottom w:val="nil"/>
            </w:tcBorders>
          </w:tcPr>
          <w:p w14:paraId="285F6124" w14:textId="19F400E8" w:rsidR="00542C30" w:rsidRPr="00385A6B" w:rsidRDefault="00542C30" w:rsidP="008B6633">
            <w:pPr>
              <w:pStyle w:val="TableText0"/>
            </w:pPr>
            <w:r w:rsidRPr="00385A6B">
              <w:t>Ovchinsky, N, et al.</w:t>
            </w:r>
            <w:r w:rsidR="008B6633">
              <w:t xml:space="preserve"> </w:t>
            </w:r>
            <w:r w:rsidRPr="00385A6B">
              <w:t xml:space="preserve">Fat-soluble vitamin levels in patients with </w:t>
            </w:r>
            <w:r w:rsidR="005C519F" w:rsidRPr="00385A6B">
              <w:t>Alagille</w:t>
            </w:r>
            <w:r w:rsidRPr="00385A6B">
              <w:t xml:space="preserve"> syndrome treated with odevixibat in the phase 3 assert study (2023)</w:t>
            </w:r>
          </w:p>
        </w:tc>
        <w:tc>
          <w:tcPr>
            <w:tcW w:w="1177" w:type="pct"/>
            <w:tcBorders>
              <w:top w:val="nil"/>
              <w:bottom w:val="nil"/>
            </w:tcBorders>
          </w:tcPr>
          <w:p w14:paraId="6E1E77F2" w14:textId="77777777" w:rsidR="00542C30" w:rsidRPr="00385A6B" w:rsidRDefault="00542C30" w:rsidP="008B6633">
            <w:pPr>
              <w:pStyle w:val="TableText0"/>
            </w:pPr>
            <w:r w:rsidRPr="00385A6B">
              <w:t>The Liver Meeting AASLD. Poster 4615-C</w:t>
            </w:r>
          </w:p>
        </w:tc>
      </w:tr>
      <w:tr w:rsidR="00757E71" w:rsidRPr="00275521" w14:paraId="1D6FB7BA" w14:textId="77777777">
        <w:tc>
          <w:tcPr>
            <w:tcW w:w="796" w:type="pct"/>
            <w:tcBorders>
              <w:top w:val="nil"/>
              <w:bottom w:val="nil"/>
            </w:tcBorders>
            <w:vAlign w:val="center"/>
          </w:tcPr>
          <w:p w14:paraId="04016B42" w14:textId="77777777" w:rsidR="00542C30" w:rsidRPr="00385A6B" w:rsidRDefault="00542C30" w:rsidP="008B6633">
            <w:pPr>
              <w:pStyle w:val="TableText0"/>
            </w:pPr>
          </w:p>
        </w:tc>
        <w:tc>
          <w:tcPr>
            <w:tcW w:w="3027" w:type="pct"/>
            <w:tcBorders>
              <w:top w:val="nil"/>
              <w:bottom w:val="nil"/>
            </w:tcBorders>
          </w:tcPr>
          <w:p w14:paraId="457C8450" w14:textId="0CF67005" w:rsidR="00542C30" w:rsidRPr="00385A6B" w:rsidRDefault="00542C30" w:rsidP="008B6633">
            <w:pPr>
              <w:pStyle w:val="TableText0"/>
            </w:pPr>
            <w:r w:rsidRPr="00385A6B">
              <w:t>Ovchinsky, N, et al.</w:t>
            </w:r>
            <w:r w:rsidR="008B6633">
              <w:t xml:space="preserve"> </w:t>
            </w:r>
            <w:r w:rsidRPr="00385A6B">
              <w:t xml:space="preserve">Changes in hepatic parameters in patients with </w:t>
            </w:r>
            <w:r w:rsidR="005C519F" w:rsidRPr="00385A6B">
              <w:t>Alagille</w:t>
            </w:r>
            <w:r w:rsidRPr="00385A6B">
              <w:t xml:space="preserve"> syndrome treated with odevixibat: pooled data from the phase 3 ASSERT and ASSERT-EXT studies. (2023)</w:t>
            </w:r>
          </w:p>
        </w:tc>
        <w:tc>
          <w:tcPr>
            <w:tcW w:w="1177" w:type="pct"/>
            <w:tcBorders>
              <w:top w:val="nil"/>
              <w:bottom w:val="nil"/>
            </w:tcBorders>
          </w:tcPr>
          <w:p w14:paraId="54ECD9E3" w14:textId="77777777" w:rsidR="00542C30" w:rsidRPr="00385A6B" w:rsidRDefault="00542C30" w:rsidP="008B6633">
            <w:pPr>
              <w:pStyle w:val="TableText0"/>
            </w:pPr>
            <w:r w:rsidRPr="00385A6B">
              <w:t>Journal of pediatric gastroenterology and nutrition. 2023b. 77(1), S256</w:t>
            </w:r>
            <w:r w:rsidRPr="00385A6B">
              <w:rPr>
                <w:rFonts w:ascii="Cambria Math" w:hAnsi="Cambria Math" w:cs="Cambria Math"/>
              </w:rPr>
              <w:t>‐</w:t>
            </w:r>
            <w:r w:rsidRPr="00385A6B">
              <w:t>S257</w:t>
            </w:r>
          </w:p>
        </w:tc>
      </w:tr>
      <w:tr w:rsidR="00757E71" w:rsidRPr="00275521" w14:paraId="0207A7B3" w14:textId="77777777">
        <w:tc>
          <w:tcPr>
            <w:tcW w:w="796" w:type="pct"/>
            <w:tcBorders>
              <w:bottom w:val="nil"/>
            </w:tcBorders>
            <w:vAlign w:val="center"/>
          </w:tcPr>
          <w:p w14:paraId="61E82160" w14:textId="77777777" w:rsidR="00542C30" w:rsidRPr="00385A6B" w:rsidRDefault="00542C30" w:rsidP="008B6633">
            <w:pPr>
              <w:pStyle w:val="TableText0"/>
            </w:pPr>
            <w:r w:rsidRPr="00385A6B">
              <w:t>ASSERT-EXT</w:t>
            </w:r>
          </w:p>
          <w:p w14:paraId="215552AB" w14:textId="77777777" w:rsidR="00542C30" w:rsidRPr="00385A6B" w:rsidRDefault="00542C30" w:rsidP="008B6633">
            <w:pPr>
              <w:pStyle w:val="TableText0"/>
            </w:pPr>
            <w:r w:rsidRPr="00385A6B">
              <w:t>NCT05035030</w:t>
            </w:r>
          </w:p>
        </w:tc>
        <w:tc>
          <w:tcPr>
            <w:tcW w:w="3027" w:type="pct"/>
            <w:tcBorders>
              <w:bottom w:val="nil"/>
            </w:tcBorders>
          </w:tcPr>
          <w:p w14:paraId="61512816" w14:textId="77777777" w:rsidR="00542C30" w:rsidRPr="00385A6B" w:rsidRDefault="00542C30" w:rsidP="008B6633">
            <w:pPr>
              <w:pStyle w:val="TableText0"/>
            </w:pPr>
            <w:r w:rsidRPr="00385A6B">
              <w:t>Clinical Study Report (A4250-015)</w:t>
            </w:r>
          </w:p>
        </w:tc>
        <w:tc>
          <w:tcPr>
            <w:tcW w:w="1177" w:type="pct"/>
            <w:tcBorders>
              <w:bottom w:val="nil"/>
            </w:tcBorders>
          </w:tcPr>
          <w:p w14:paraId="017BB627" w14:textId="77777777" w:rsidR="00542C30" w:rsidRPr="00385A6B" w:rsidRDefault="00542C30" w:rsidP="008B6633">
            <w:pPr>
              <w:pStyle w:val="TableText0"/>
            </w:pPr>
            <w:r w:rsidRPr="00385A6B">
              <w:t>Clinical Study Report</w:t>
            </w:r>
          </w:p>
        </w:tc>
      </w:tr>
      <w:tr w:rsidR="009D476F" w:rsidRPr="00275521" w14:paraId="4C68C7AA" w14:textId="77777777">
        <w:tc>
          <w:tcPr>
            <w:tcW w:w="796" w:type="pct"/>
            <w:tcBorders>
              <w:top w:val="nil"/>
              <w:bottom w:val="single" w:sz="4" w:space="0" w:color="auto"/>
            </w:tcBorders>
            <w:vAlign w:val="center"/>
          </w:tcPr>
          <w:p w14:paraId="7AB933F9" w14:textId="77777777" w:rsidR="00542C30" w:rsidRPr="00385A6B" w:rsidRDefault="00542C30" w:rsidP="008B6633">
            <w:pPr>
              <w:pStyle w:val="TableText0"/>
            </w:pPr>
          </w:p>
        </w:tc>
        <w:tc>
          <w:tcPr>
            <w:tcW w:w="3027" w:type="pct"/>
            <w:tcBorders>
              <w:top w:val="nil"/>
              <w:bottom w:val="single" w:sz="4" w:space="0" w:color="auto"/>
            </w:tcBorders>
          </w:tcPr>
          <w:p w14:paraId="2E0BDAC5" w14:textId="1EA4CA1D" w:rsidR="00542C30" w:rsidRPr="00385A6B" w:rsidRDefault="00542C30" w:rsidP="008B6633">
            <w:pPr>
              <w:pStyle w:val="TableText0"/>
            </w:pPr>
            <w:r w:rsidRPr="00385A6B">
              <w:t>Ovchinsky, N, et al.</w:t>
            </w:r>
            <w:r w:rsidR="008B6633">
              <w:t xml:space="preserve"> </w:t>
            </w:r>
            <w:r w:rsidRPr="00385A6B">
              <w:t>Poster 2599: ASSERT-EXT: final data from an open-label, phase 3 study of odevixibat in patients with Alagille syndrome. (2024)</w:t>
            </w:r>
          </w:p>
        </w:tc>
        <w:tc>
          <w:tcPr>
            <w:tcW w:w="1177" w:type="pct"/>
            <w:tcBorders>
              <w:top w:val="nil"/>
              <w:bottom w:val="single" w:sz="4" w:space="0" w:color="auto"/>
            </w:tcBorders>
          </w:tcPr>
          <w:p w14:paraId="17D473BD" w14:textId="77777777" w:rsidR="00542C30" w:rsidRPr="00385A6B" w:rsidRDefault="00542C30" w:rsidP="008B6633">
            <w:pPr>
              <w:pStyle w:val="TableText0"/>
            </w:pPr>
            <w:r w:rsidRPr="00385A6B">
              <w:t>2024b. The Liver Meeting, San Diego, California, Nov 15-19, 2024.</w:t>
            </w:r>
          </w:p>
        </w:tc>
      </w:tr>
    </w:tbl>
    <w:p w14:paraId="6AC0B2D3" w14:textId="77777777" w:rsidR="00542C30" w:rsidRPr="00275521" w:rsidRDefault="00542C30" w:rsidP="008B6633">
      <w:pPr>
        <w:pStyle w:val="FooterTableFigure"/>
        <w:spacing w:after="0"/>
        <w:rPr>
          <w:sz w:val="20"/>
        </w:rPr>
      </w:pPr>
      <w:r w:rsidRPr="00275521">
        <w:t>Source: Table 2-3, p45 of the submission.</w:t>
      </w:r>
    </w:p>
    <w:p w14:paraId="1DD06D7D" w14:textId="237DA039" w:rsidR="007F1017" w:rsidRPr="00275521" w:rsidRDefault="008F120A" w:rsidP="008B6633">
      <w:pPr>
        <w:pStyle w:val="3-BodyText"/>
        <w:spacing w:before="160"/>
        <w:rPr>
          <w:color w:val="0066FF"/>
        </w:rPr>
      </w:pPr>
      <w:r w:rsidRPr="00275521">
        <w:t>The key features of the direct randomised trial</w:t>
      </w:r>
      <w:r w:rsidR="00542C30" w:rsidRPr="00275521">
        <w:t xml:space="preserve"> and extension study </w:t>
      </w:r>
      <w:r w:rsidRPr="00275521">
        <w:t>are summarised in</w:t>
      </w:r>
      <w:r w:rsidR="00D6076E" w:rsidRPr="00275521">
        <w:t xml:space="preserve"> </w:t>
      </w:r>
      <w:r w:rsidR="00D6076E" w:rsidRPr="00275521">
        <w:fldChar w:fldCharType="begin"/>
      </w:r>
      <w:r w:rsidR="00D6076E" w:rsidRPr="00275521">
        <w:instrText xml:space="preserve"> REF _Ref104804098 \h  \* MERGEFORMAT </w:instrText>
      </w:r>
      <w:r w:rsidR="00D6076E" w:rsidRPr="00275521">
        <w:fldChar w:fldCharType="separate"/>
      </w:r>
      <w:r w:rsidR="0060088A" w:rsidRPr="0060088A">
        <w:t>Table 3</w:t>
      </w:r>
      <w:r w:rsidR="00D6076E" w:rsidRPr="00275521">
        <w:fldChar w:fldCharType="end"/>
      </w:r>
      <w:r w:rsidRPr="00275521">
        <w:t>.</w:t>
      </w:r>
      <w:r w:rsidR="00BC591F" w:rsidRPr="00275521">
        <w:t xml:space="preserve"> </w:t>
      </w:r>
    </w:p>
    <w:p w14:paraId="355E2F15" w14:textId="1ECBCBEB" w:rsidR="007F1017" w:rsidRPr="00275521" w:rsidRDefault="00696EF9" w:rsidP="008B6633">
      <w:pPr>
        <w:pStyle w:val="Caption"/>
        <w:spacing w:before="160"/>
        <w:rPr>
          <w:rStyle w:val="CommentReference"/>
          <w:rFonts w:eastAsiaTheme="majorEastAsia" w:cstheme="majorBidi"/>
          <w:b/>
          <w:szCs w:val="24"/>
        </w:rPr>
      </w:pPr>
      <w:bookmarkStart w:id="23" w:name="_Ref104804098"/>
      <w:r w:rsidRPr="00275521">
        <w:rPr>
          <w:rStyle w:val="CommentReference"/>
          <w:rFonts w:eastAsiaTheme="majorEastAsia" w:cstheme="majorBidi"/>
          <w:b/>
          <w:szCs w:val="24"/>
        </w:rPr>
        <w:t xml:space="preserve">Table </w:t>
      </w:r>
      <w:r w:rsidRPr="00275521">
        <w:rPr>
          <w:rStyle w:val="CommentReference"/>
          <w:rFonts w:eastAsiaTheme="majorEastAsia" w:cstheme="majorBidi"/>
          <w:b/>
          <w:szCs w:val="24"/>
        </w:rPr>
        <w:fldChar w:fldCharType="begin"/>
      </w:r>
      <w:r w:rsidRPr="00275521">
        <w:rPr>
          <w:rStyle w:val="CommentReference"/>
          <w:rFonts w:eastAsiaTheme="majorEastAsia" w:cstheme="majorBidi"/>
          <w:b/>
          <w:szCs w:val="24"/>
        </w:rPr>
        <w:instrText xml:space="preserve"> SEQ Table \* ARABIC </w:instrText>
      </w:r>
      <w:r w:rsidRPr="00275521">
        <w:rPr>
          <w:rStyle w:val="CommentReference"/>
          <w:rFonts w:eastAsiaTheme="majorEastAsia" w:cstheme="majorBidi"/>
          <w:b/>
          <w:szCs w:val="24"/>
        </w:rPr>
        <w:fldChar w:fldCharType="separate"/>
      </w:r>
      <w:r w:rsidR="0060088A">
        <w:rPr>
          <w:rStyle w:val="CommentReference"/>
          <w:rFonts w:eastAsiaTheme="majorEastAsia" w:cstheme="majorBidi"/>
          <w:b/>
          <w:noProof/>
          <w:szCs w:val="24"/>
        </w:rPr>
        <w:t>3</w:t>
      </w:r>
      <w:r w:rsidRPr="00275521">
        <w:rPr>
          <w:rStyle w:val="CommentReference"/>
          <w:rFonts w:eastAsiaTheme="majorEastAsia" w:cstheme="majorBidi"/>
          <w:b/>
          <w:szCs w:val="24"/>
        </w:rPr>
        <w:fldChar w:fldCharType="end"/>
      </w:r>
      <w:bookmarkEnd w:id="23"/>
      <w:r w:rsidR="00D6076E" w:rsidRPr="00275521">
        <w:rPr>
          <w:rStyle w:val="CommentReference"/>
          <w:rFonts w:eastAsiaTheme="majorEastAsia" w:cstheme="majorBidi"/>
          <w:b/>
          <w:szCs w:val="24"/>
        </w:rPr>
        <w:t xml:space="preserve">: </w:t>
      </w:r>
      <w:r w:rsidR="007F1017" w:rsidRPr="00275521">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131"/>
        <w:gridCol w:w="1275"/>
        <w:gridCol w:w="1131"/>
        <w:gridCol w:w="714"/>
        <w:gridCol w:w="1951"/>
        <w:gridCol w:w="1448"/>
        <w:gridCol w:w="1367"/>
      </w:tblGrid>
      <w:tr w:rsidR="00325B30" w:rsidRPr="00275521" w14:paraId="53DD7CC6" w14:textId="77777777" w:rsidTr="00CA5BB8">
        <w:trPr>
          <w:cantSplit/>
          <w:tblHeader/>
        </w:trPr>
        <w:tc>
          <w:tcPr>
            <w:tcW w:w="627" w:type="pct"/>
            <w:vAlign w:val="center"/>
          </w:tcPr>
          <w:p w14:paraId="794116BC" w14:textId="71D0F917" w:rsidR="007F1017" w:rsidRPr="00275521" w:rsidRDefault="007F1017" w:rsidP="008B6633">
            <w:pPr>
              <w:pStyle w:val="In-tableHeading"/>
              <w:rPr>
                <w:lang w:val="en-AU"/>
              </w:rPr>
            </w:pPr>
            <w:r w:rsidRPr="00275521">
              <w:rPr>
                <w:lang w:val="en-AU"/>
              </w:rPr>
              <w:t>Trial</w:t>
            </w:r>
            <w:r w:rsidR="0055041D" w:rsidRPr="00275521">
              <w:rPr>
                <w:lang w:val="en-AU"/>
              </w:rPr>
              <w:t>/Study</w:t>
            </w:r>
          </w:p>
        </w:tc>
        <w:tc>
          <w:tcPr>
            <w:tcW w:w="707" w:type="pct"/>
            <w:vAlign w:val="center"/>
          </w:tcPr>
          <w:p w14:paraId="51122FE5" w14:textId="77777777" w:rsidR="007F1017" w:rsidRPr="00275521" w:rsidRDefault="007F1017" w:rsidP="008B6633">
            <w:pPr>
              <w:pStyle w:val="In-tableHeading"/>
              <w:rPr>
                <w:lang w:val="en-AU"/>
              </w:rPr>
            </w:pPr>
            <w:r w:rsidRPr="00275521">
              <w:rPr>
                <w:lang w:val="en-AU"/>
              </w:rPr>
              <w:t>N</w:t>
            </w:r>
          </w:p>
        </w:tc>
        <w:tc>
          <w:tcPr>
            <w:tcW w:w="627" w:type="pct"/>
            <w:vAlign w:val="center"/>
          </w:tcPr>
          <w:p w14:paraId="41C438EF" w14:textId="77777777" w:rsidR="007F1017" w:rsidRPr="00275521" w:rsidRDefault="007F1017" w:rsidP="008B6633">
            <w:pPr>
              <w:pStyle w:val="In-tableHeading"/>
              <w:rPr>
                <w:lang w:val="en-AU"/>
              </w:rPr>
            </w:pPr>
            <w:r w:rsidRPr="00275521">
              <w:rPr>
                <w:lang w:val="en-AU"/>
              </w:rPr>
              <w:t>Design/ duration</w:t>
            </w:r>
          </w:p>
        </w:tc>
        <w:tc>
          <w:tcPr>
            <w:tcW w:w="396" w:type="pct"/>
            <w:vAlign w:val="center"/>
          </w:tcPr>
          <w:p w14:paraId="1FC91360" w14:textId="77777777" w:rsidR="007F1017" w:rsidRPr="00275521" w:rsidRDefault="007F1017" w:rsidP="008B6633">
            <w:pPr>
              <w:pStyle w:val="In-tableHeading"/>
              <w:rPr>
                <w:lang w:val="en-AU"/>
              </w:rPr>
            </w:pPr>
            <w:r w:rsidRPr="00275521">
              <w:rPr>
                <w:lang w:val="en-AU"/>
              </w:rPr>
              <w:t>Risk of bias</w:t>
            </w:r>
          </w:p>
        </w:tc>
        <w:tc>
          <w:tcPr>
            <w:tcW w:w="1082" w:type="pct"/>
            <w:vAlign w:val="center"/>
          </w:tcPr>
          <w:p w14:paraId="7FF90896" w14:textId="77777777" w:rsidR="007F1017" w:rsidRPr="00275521" w:rsidRDefault="007F1017" w:rsidP="008B6633">
            <w:pPr>
              <w:pStyle w:val="In-tableHeading"/>
              <w:rPr>
                <w:lang w:val="en-AU"/>
              </w:rPr>
            </w:pPr>
            <w:r w:rsidRPr="00275521">
              <w:rPr>
                <w:lang w:val="en-AU"/>
              </w:rPr>
              <w:t>Patient population</w:t>
            </w:r>
          </w:p>
        </w:tc>
        <w:tc>
          <w:tcPr>
            <w:tcW w:w="803" w:type="pct"/>
            <w:vAlign w:val="center"/>
          </w:tcPr>
          <w:p w14:paraId="0FCB63F9" w14:textId="77777777" w:rsidR="007F1017" w:rsidRPr="00275521" w:rsidRDefault="007F1017" w:rsidP="008B6633">
            <w:pPr>
              <w:pStyle w:val="In-tableHeading"/>
              <w:rPr>
                <w:lang w:val="en-AU"/>
              </w:rPr>
            </w:pPr>
            <w:r w:rsidRPr="00275521">
              <w:rPr>
                <w:lang w:val="en-AU"/>
              </w:rPr>
              <w:t>Outcome(s)</w:t>
            </w:r>
          </w:p>
        </w:tc>
        <w:tc>
          <w:tcPr>
            <w:tcW w:w="758" w:type="pct"/>
            <w:vAlign w:val="center"/>
          </w:tcPr>
          <w:p w14:paraId="08C6F624" w14:textId="77777777" w:rsidR="007F1017" w:rsidRPr="00275521" w:rsidRDefault="007F1017" w:rsidP="008B6633">
            <w:pPr>
              <w:pStyle w:val="In-tableHeading"/>
              <w:rPr>
                <w:lang w:val="en-AU"/>
              </w:rPr>
            </w:pPr>
            <w:r w:rsidRPr="00275521">
              <w:rPr>
                <w:lang w:val="en-AU"/>
              </w:rPr>
              <w:t>Use in modelled evaluation</w:t>
            </w:r>
          </w:p>
        </w:tc>
      </w:tr>
      <w:tr w:rsidR="00325B30" w:rsidRPr="00275521" w14:paraId="4EE88DCB" w14:textId="77777777" w:rsidTr="00757BE5">
        <w:trPr>
          <w:cantSplit/>
        </w:trPr>
        <w:tc>
          <w:tcPr>
            <w:tcW w:w="627" w:type="pct"/>
            <w:vAlign w:val="center"/>
          </w:tcPr>
          <w:p w14:paraId="6EE77D33" w14:textId="43DB0118" w:rsidR="007F1017" w:rsidRPr="00275521" w:rsidRDefault="00542C30" w:rsidP="008B6633">
            <w:pPr>
              <w:pStyle w:val="TableText0"/>
            </w:pPr>
            <w:r w:rsidRPr="00275521">
              <w:t>ASSERT</w:t>
            </w:r>
          </w:p>
        </w:tc>
        <w:tc>
          <w:tcPr>
            <w:tcW w:w="707" w:type="pct"/>
            <w:vAlign w:val="center"/>
          </w:tcPr>
          <w:p w14:paraId="70CCBD32" w14:textId="39BAA061" w:rsidR="007F1017" w:rsidRPr="00275521" w:rsidRDefault="00E02C19" w:rsidP="008B6633">
            <w:pPr>
              <w:pStyle w:val="TableText0"/>
            </w:pPr>
            <w:r w:rsidRPr="00275521">
              <w:t>ODX = 35</w:t>
            </w:r>
          </w:p>
          <w:p w14:paraId="41BB0E41" w14:textId="5EABF7DC" w:rsidR="00E02C19" w:rsidRPr="00275521" w:rsidRDefault="00E02C19" w:rsidP="008B6633">
            <w:pPr>
              <w:pStyle w:val="TableText0"/>
            </w:pPr>
            <w:r w:rsidRPr="00275521">
              <w:t>Placebo = 17</w:t>
            </w:r>
          </w:p>
        </w:tc>
        <w:tc>
          <w:tcPr>
            <w:tcW w:w="627" w:type="pct"/>
            <w:vAlign w:val="center"/>
          </w:tcPr>
          <w:p w14:paraId="75D924A9" w14:textId="77777777" w:rsidR="007F1017" w:rsidRPr="00275521" w:rsidRDefault="00E02C19" w:rsidP="008B6633">
            <w:pPr>
              <w:pStyle w:val="TableText0"/>
              <w:jc w:val="center"/>
            </w:pPr>
            <w:r w:rsidRPr="00275521">
              <w:t>R,DB, MC</w:t>
            </w:r>
          </w:p>
          <w:p w14:paraId="744D08AC" w14:textId="5E5266BE" w:rsidR="00E02C19" w:rsidRPr="00275521" w:rsidRDefault="00E02C19" w:rsidP="008B6633">
            <w:pPr>
              <w:pStyle w:val="TableText0"/>
              <w:jc w:val="center"/>
            </w:pPr>
            <w:r w:rsidRPr="00275521">
              <w:t>24 weeks</w:t>
            </w:r>
          </w:p>
        </w:tc>
        <w:tc>
          <w:tcPr>
            <w:tcW w:w="396" w:type="pct"/>
            <w:vAlign w:val="center"/>
          </w:tcPr>
          <w:p w14:paraId="4A529D74" w14:textId="0D71CE6F" w:rsidR="007F1017" w:rsidRPr="00275521" w:rsidRDefault="00E02C19" w:rsidP="008B6633">
            <w:pPr>
              <w:pStyle w:val="TableText0"/>
              <w:jc w:val="center"/>
            </w:pPr>
            <w:r w:rsidRPr="00275521">
              <w:t>Low</w:t>
            </w:r>
          </w:p>
        </w:tc>
        <w:tc>
          <w:tcPr>
            <w:tcW w:w="1082" w:type="pct"/>
            <w:vAlign w:val="center"/>
          </w:tcPr>
          <w:p w14:paraId="5E6F456D" w14:textId="5C153943" w:rsidR="00E02C19" w:rsidRPr="00275521" w:rsidRDefault="00CA5BB8" w:rsidP="008B6633">
            <w:pPr>
              <w:pStyle w:val="TableText0"/>
            </w:pPr>
            <w:r w:rsidRPr="00275521">
              <w:t xml:space="preserve">Genetically confirmed </w:t>
            </w:r>
            <w:r w:rsidR="00E02C19" w:rsidRPr="00275521">
              <w:t>ALGS (any age) with significant pruritus and elevated sBA</w:t>
            </w:r>
          </w:p>
        </w:tc>
        <w:tc>
          <w:tcPr>
            <w:tcW w:w="803" w:type="pct"/>
            <w:vAlign w:val="center"/>
          </w:tcPr>
          <w:p w14:paraId="6DC76214" w14:textId="02A7D1FC" w:rsidR="007F1017" w:rsidRPr="00275521" w:rsidRDefault="00CA5BB8" w:rsidP="008B6633">
            <w:pPr>
              <w:pStyle w:val="TableText0"/>
            </w:pPr>
            <w:r w:rsidRPr="00275521">
              <w:t>Pruritus score</w:t>
            </w:r>
            <w:r w:rsidRPr="00275521">
              <w:rPr>
                <w:vertAlign w:val="superscript"/>
              </w:rPr>
              <w:t>a</w:t>
            </w:r>
            <w:r w:rsidR="00893C3C" w:rsidRPr="00275521">
              <w:t xml:space="preserve"> (primary)</w:t>
            </w:r>
            <w:r w:rsidRPr="00275521">
              <w:t xml:space="preserve">, sBA levels, sleep parameters, </w:t>
            </w:r>
            <w:r w:rsidR="00AC4733" w:rsidRPr="00275521">
              <w:t xml:space="preserve">growth parameters, </w:t>
            </w:r>
            <w:r w:rsidRPr="00275521">
              <w:t>QoL, Safety</w:t>
            </w:r>
          </w:p>
        </w:tc>
        <w:tc>
          <w:tcPr>
            <w:tcW w:w="758" w:type="pct"/>
            <w:vAlign w:val="center"/>
          </w:tcPr>
          <w:p w14:paraId="150A804C" w14:textId="4CBD4476" w:rsidR="007F1017" w:rsidRPr="00275521" w:rsidRDefault="00CA5BB8" w:rsidP="008B6633">
            <w:pPr>
              <w:pStyle w:val="TableText0"/>
            </w:pPr>
            <w:r w:rsidRPr="00275521">
              <w:t>Treatment response rate, responder/non-responder utility</w:t>
            </w:r>
          </w:p>
        </w:tc>
      </w:tr>
      <w:tr w:rsidR="00325B30" w:rsidRPr="00275521" w14:paraId="13A6895C" w14:textId="77777777" w:rsidTr="00757BE5">
        <w:trPr>
          <w:cantSplit/>
        </w:trPr>
        <w:tc>
          <w:tcPr>
            <w:tcW w:w="627" w:type="pct"/>
            <w:vAlign w:val="center"/>
          </w:tcPr>
          <w:p w14:paraId="4A9488B3" w14:textId="435CFA0C" w:rsidR="007F1017" w:rsidRPr="00275521" w:rsidRDefault="00542C30" w:rsidP="008B6633">
            <w:pPr>
              <w:pStyle w:val="TableText0"/>
            </w:pPr>
            <w:r w:rsidRPr="00275521">
              <w:t>ASSERT-EXT</w:t>
            </w:r>
          </w:p>
        </w:tc>
        <w:tc>
          <w:tcPr>
            <w:tcW w:w="707" w:type="pct"/>
            <w:vAlign w:val="center"/>
          </w:tcPr>
          <w:p w14:paraId="28EC9392" w14:textId="77777777" w:rsidR="007F1017" w:rsidRPr="00275521" w:rsidRDefault="00E02C19" w:rsidP="008B6633">
            <w:pPr>
              <w:pStyle w:val="TableText0"/>
            </w:pPr>
            <w:r w:rsidRPr="00275521">
              <w:t>ODX/ODX = 33</w:t>
            </w:r>
          </w:p>
          <w:p w14:paraId="3F4D20B5" w14:textId="37B1D1D8" w:rsidR="00E02C19" w:rsidRPr="00275521" w:rsidRDefault="00E02C19" w:rsidP="008B6633">
            <w:pPr>
              <w:pStyle w:val="TableText0"/>
            </w:pPr>
            <w:r w:rsidRPr="00275521">
              <w:t>PBO/ODX = 17</w:t>
            </w:r>
          </w:p>
        </w:tc>
        <w:tc>
          <w:tcPr>
            <w:tcW w:w="627" w:type="pct"/>
            <w:vAlign w:val="center"/>
          </w:tcPr>
          <w:p w14:paraId="65971814" w14:textId="77777777" w:rsidR="007F1017" w:rsidRPr="00275521" w:rsidRDefault="00E02C19" w:rsidP="008B6633">
            <w:pPr>
              <w:pStyle w:val="TableText0"/>
              <w:jc w:val="center"/>
            </w:pPr>
            <w:r w:rsidRPr="00275521">
              <w:t>SA, OL</w:t>
            </w:r>
          </w:p>
          <w:p w14:paraId="68D92FE7" w14:textId="29ECF403" w:rsidR="00E02C19" w:rsidRPr="00275521" w:rsidRDefault="00E02C19" w:rsidP="008B6633">
            <w:pPr>
              <w:pStyle w:val="TableText0"/>
              <w:jc w:val="center"/>
            </w:pPr>
            <w:r w:rsidRPr="00275521">
              <w:t>72 weeks</w:t>
            </w:r>
          </w:p>
        </w:tc>
        <w:tc>
          <w:tcPr>
            <w:tcW w:w="396" w:type="pct"/>
            <w:vAlign w:val="center"/>
          </w:tcPr>
          <w:p w14:paraId="6F0F93F8" w14:textId="76EA9BC8" w:rsidR="007F1017" w:rsidRPr="00275521" w:rsidRDefault="00E02C19" w:rsidP="008B6633">
            <w:pPr>
              <w:pStyle w:val="TableText0"/>
              <w:jc w:val="center"/>
            </w:pPr>
            <w:r w:rsidRPr="00275521">
              <w:t>High</w:t>
            </w:r>
          </w:p>
        </w:tc>
        <w:tc>
          <w:tcPr>
            <w:tcW w:w="1082" w:type="pct"/>
            <w:vAlign w:val="center"/>
          </w:tcPr>
          <w:p w14:paraId="43AC963E" w14:textId="12770DAA" w:rsidR="007F1017" w:rsidRPr="00275521" w:rsidRDefault="00E02C19" w:rsidP="008B6633">
            <w:pPr>
              <w:pStyle w:val="TableText0"/>
              <w:rPr>
                <w:vertAlign w:val="superscript"/>
              </w:rPr>
            </w:pPr>
            <w:r w:rsidRPr="00275521">
              <w:t>Patients rolled over from ASSERT</w:t>
            </w:r>
            <w:r w:rsidR="007200C7" w:rsidRPr="00275521">
              <w:t xml:space="preserve"> </w:t>
            </w:r>
            <w:r w:rsidR="007200C7" w:rsidRPr="00275521">
              <w:rPr>
                <w:vertAlign w:val="superscript"/>
              </w:rPr>
              <w:t>b</w:t>
            </w:r>
          </w:p>
        </w:tc>
        <w:tc>
          <w:tcPr>
            <w:tcW w:w="803" w:type="pct"/>
            <w:vAlign w:val="center"/>
          </w:tcPr>
          <w:p w14:paraId="4F0C99D2" w14:textId="6FA11CB4" w:rsidR="007F1017" w:rsidRPr="00275521" w:rsidRDefault="00CA5BB8" w:rsidP="008B6633">
            <w:pPr>
              <w:pStyle w:val="TableText0"/>
            </w:pPr>
            <w:r w:rsidRPr="00275521">
              <w:t>Pruritus score</w:t>
            </w:r>
            <w:r w:rsidRPr="00275521">
              <w:rPr>
                <w:vertAlign w:val="superscript"/>
              </w:rPr>
              <w:t>a</w:t>
            </w:r>
            <w:r w:rsidR="00AC4733" w:rsidRPr="00275521">
              <w:rPr>
                <w:vertAlign w:val="superscript"/>
              </w:rPr>
              <w:t xml:space="preserve"> </w:t>
            </w:r>
            <w:r w:rsidR="00AC4733" w:rsidRPr="00275521">
              <w:t>(primary)</w:t>
            </w:r>
            <w:r w:rsidRPr="00275521">
              <w:t>, sBA levels, sleep parameters, QoL, Safety</w:t>
            </w:r>
          </w:p>
        </w:tc>
        <w:tc>
          <w:tcPr>
            <w:tcW w:w="758" w:type="pct"/>
            <w:vAlign w:val="center"/>
          </w:tcPr>
          <w:p w14:paraId="3175EA34" w14:textId="301D2728" w:rsidR="007F1017" w:rsidRPr="00275521" w:rsidRDefault="00CA5BB8" w:rsidP="008B6633">
            <w:pPr>
              <w:pStyle w:val="TableText0"/>
            </w:pPr>
            <w:r w:rsidRPr="00275521">
              <w:t xml:space="preserve">Discontinuation </w:t>
            </w:r>
          </w:p>
        </w:tc>
      </w:tr>
    </w:tbl>
    <w:p w14:paraId="560080D2" w14:textId="4F0CF5E5" w:rsidR="00045017" w:rsidRPr="00275521" w:rsidRDefault="00045017" w:rsidP="008B6633">
      <w:pPr>
        <w:pStyle w:val="FooterTableFigure"/>
        <w:keepNext/>
      </w:pPr>
      <w:r w:rsidRPr="00275521">
        <w:t xml:space="preserve">Source: </w:t>
      </w:r>
      <w:r w:rsidR="00CA5BB8" w:rsidRPr="00275521">
        <w:t>Compiled from Section 2 of the submission</w:t>
      </w:r>
    </w:p>
    <w:p w14:paraId="1095487C" w14:textId="3A14C060" w:rsidR="00620C25" w:rsidRPr="00275521" w:rsidRDefault="00CA5BB8" w:rsidP="008B6633">
      <w:pPr>
        <w:pStyle w:val="FooterTableFigure"/>
        <w:keepNext/>
      </w:pPr>
      <w:r w:rsidRPr="00275521">
        <w:t xml:space="preserve">Abbreviations: </w:t>
      </w:r>
      <w:r w:rsidR="00620C25" w:rsidRPr="00275521">
        <w:t xml:space="preserve">DB = double blind; MC = multi-centre; </w:t>
      </w:r>
      <w:r w:rsidR="009E6C04" w:rsidRPr="00275521">
        <w:t>ODX</w:t>
      </w:r>
      <w:r w:rsidR="00B54A64" w:rsidRPr="00275521">
        <w:t xml:space="preserve"> = odevixibat; </w:t>
      </w:r>
      <w:r w:rsidR="00620C25" w:rsidRPr="00275521">
        <w:t>OL = open label;</w:t>
      </w:r>
      <w:r w:rsidR="00DA031A" w:rsidRPr="00275521">
        <w:t xml:space="preserve"> PBO</w:t>
      </w:r>
      <w:r w:rsidR="00B54A64" w:rsidRPr="00275521">
        <w:t xml:space="preserve"> = placebo;</w:t>
      </w:r>
      <w:r w:rsidR="00620C25" w:rsidRPr="00275521">
        <w:t xml:space="preserve"> </w:t>
      </w:r>
      <w:r w:rsidRPr="00275521">
        <w:t xml:space="preserve">QoL = quality of life; </w:t>
      </w:r>
      <w:r w:rsidR="00620C25" w:rsidRPr="00275521">
        <w:t>R = randomised</w:t>
      </w:r>
      <w:r w:rsidRPr="00275521">
        <w:t>; SA = single arm; sBA = serum bile acids</w:t>
      </w:r>
    </w:p>
    <w:p w14:paraId="3C7D606B" w14:textId="3FF66AAC" w:rsidR="00CA5BB8" w:rsidRPr="00275521" w:rsidRDefault="00CA5BB8" w:rsidP="008B6633">
      <w:pPr>
        <w:pStyle w:val="FooterTableFigure"/>
        <w:keepNext/>
      </w:pPr>
      <w:r w:rsidRPr="00275521">
        <w:rPr>
          <w:vertAlign w:val="superscript"/>
        </w:rPr>
        <w:t xml:space="preserve">a </w:t>
      </w:r>
      <w:r w:rsidRPr="00275521">
        <w:t xml:space="preserve">Change from baseline in average AM and PM scratching severity (pruritus) scores as measured by the </w:t>
      </w:r>
      <w:r w:rsidR="0055041D" w:rsidRPr="00275521">
        <w:t>o</w:t>
      </w:r>
      <w:r w:rsidR="000647B1" w:rsidRPr="00275521">
        <w:t>bserver-reported outcomes (</w:t>
      </w:r>
      <w:r w:rsidRPr="00275521">
        <w:t>ObsRO</w:t>
      </w:r>
      <w:r w:rsidR="000647B1" w:rsidRPr="00275521">
        <w:t>)</w:t>
      </w:r>
      <w:r w:rsidRPr="00275521">
        <w:t xml:space="preserve"> caregiver instrument</w:t>
      </w:r>
    </w:p>
    <w:p w14:paraId="05FA51C4" w14:textId="4BEF8A83" w:rsidR="007200C7" w:rsidRPr="00275521" w:rsidRDefault="007200C7" w:rsidP="008B6633">
      <w:pPr>
        <w:pStyle w:val="FooterTableFigure"/>
        <w:keepNext/>
        <w:spacing w:before="160"/>
        <w:rPr>
          <w:sz w:val="20"/>
        </w:rPr>
      </w:pPr>
      <w:r w:rsidRPr="00275521">
        <w:rPr>
          <w:vertAlign w:val="superscript"/>
        </w:rPr>
        <w:t xml:space="preserve">b </w:t>
      </w:r>
      <w:r w:rsidRPr="00275521">
        <w:t>ASSERT-EXT (N=50) recruited patients who rolled over from ASSERT, both odevixibat-treated patients (defined as the ODX/ODX group, N=33) and placebo (PBO) patients (defined as the PBO/ODX, group, N=17).</w:t>
      </w:r>
    </w:p>
    <w:p w14:paraId="4B83BBF3" w14:textId="732B7885" w:rsidR="00045017" w:rsidRPr="00385A6B" w:rsidRDefault="00C819E2" w:rsidP="008B6633">
      <w:pPr>
        <w:pStyle w:val="3-BodyText"/>
        <w:spacing w:before="160" w:after="160"/>
        <w:rPr>
          <w:rFonts w:cstheme="minorHAnsi"/>
          <w:color w:val="000000" w:themeColor="text1"/>
        </w:rPr>
      </w:pPr>
      <w:r w:rsidRPr="00385A6B">
        <w:rPr>
          <w:rFonts w:cstheme="minorHAnsi"/>
          <w:color w:val="000000" w:themeColor="text1"/>
        </w:rPr>
        <w:t>ASSERT provided information regarding the comparative efficacy of odevixibat with the nominated comparator of SoC</w:t>
      </w:r>
      <w:r w:rsidR="0065115D" w:rsidRPr="00385A6B">
        <w:rPr>
          <w:rFonts w:cstheme="minorHAnsi"/>
          <w:color w:val="000000" w:themeColor="text1"/>
        </w:rPr>
        <w:t xml:space="preserve"> over 24 weeks</w:t>
      </w:r>
      <w:r w:rsidRPr="00385A6B">
        <w:rPr>
          <w:rFonts w:cstheme="minorHAnsi"/>
          <w:color w:val="000000" w:themeColor="text1"/>
        </w:rPr>
        <w:t xml:space="preserve">. </w:t>
      </w:r>
    </w:p>
    <w:p w14:paraId="1F4E30DD" w14:textId="09C14035" w:rsidR="00A723AE" w:rsidRPr="00385A6B" w:rsidRDefault="00946BD7" w:rsidP="008B6633">
      <w:pPr>
        <w:pStyle w:val="3-BodyText"/>
        <w:spacing w:before="160" w:after="160"/>
        <w:rPr>
          <w:rFonts w:cstheme="minorHAnsi"/>
          <w:color w:val="000000" w:themeColor="text1"/>
        </w:rPr>
      </w:pPr>
      <w:r>
        <w:rPr>
          <w:rFonts w:cstheme="minorHAnsi"/>
          <w:color w:val="000000" w:themeColor="text1"/>
        </w:rPr>
        <w:t xml:space="preserve">The evaluation considered </w:t>
      </w:r>
      <w:r w:rsidR="0065115D" w:rsidRPr="00385A6B">
        <w:rPr>
          <w:rFonts w:cstheme="minorHAnsi"/>
          <w:color w:val="000000" w:themeColor="text1"/>
        </w:rPr>
        <w:t xml:space="preserve">ASSERT </w:t>
      </w:r>
      <w:r>
        <w:rPr>
          <w:rFonts w:cstheme="minorHAnsi"/>
          <w:color w:val="000000" w:themeColor="text1"/>
        </w:rPr>
        <w:t>had</w:t>
      </w:r>
      <w:r w:rsidR="0065115D" w:rsidRPr="00385A6B">
        <w:rPr>
          <w:rFonts w:cstheme="minorHAnsi"/>
          <w:color w:val="000000" w:themeColor="text1"/>
        </w:rPr>
        <w:t xml:space="preserve"> a low risk of bias overall, however the </w:t>
      </w:r>
      <w:r w:rsidR="000B62C7" w:rsidRPr="00385A6B">
        <w:rPr>
          <w:rFonts w:cstheme="minorHAnsi"/>
          <w:color w:val="000000" w:themeColor="text1"/>
        </w:rPr>
        <w:t>reliability</w:t>
      </w:r>
      <w:r w:rsidR="0065115D" w:rsidRPr="00385A6B">
        <w:rPr>
          <w:rFonts w:cstheme="minorHAnsi"/>
          <w:color w:val="000000" w:themeColor="text1"/>
        </w:rPr>
        <w:t xml:space="preserve"> of the observer-reported outcome (ObsRO) pruritus </w:t>
      </w:r>
      <w:r w:rsidR="000647B1" w:rsidRPr="00385A6B">
        <w:rPr>
          <w:rFonts w:cstheme="minorHAnsi"/>
          <w:color w:val="000000" w:themeColor="text1"/>
        </w:rPr>
        <w:t xml:space="preserve">scratching severity score, which was </w:t>
      </w:r>
      <w:r w:rsidR="0065115D" w:rsidRPr="00385A6B">
        <w:rPr>
          <w:rFonts w:cstheme="minorHAnsi"/>
          <w:color w:val="000000" w:themeColor="text1"/>
        </w:rPr>
        <w:t xml:space="preserve">used to measure the primary outcome was uncertain. </w:t>
      </w:r>
      <w:r w:rsidR="00A723AE" w:rsidRPr="00385A6B">
        <w:rPr>
          <w:rFonts w:cstheme="minorHAnsi"/>
          <w:color w:val="000000" w:themeColor="text1"/>
        </w:rPr>
        <w:t xml:space="preserve">The submission claimed </w:t>
      </w:r>
      <w:r w:rsidR="00A723AE" w:rsidRPr="00385A6B">
        <w:rPr>
          <w:rFonts w:cstheme="minorHAnsi"/>
          <w:color w:val="000000" w:themeColor="text1"/>
        </w:rPr>
        <w:lastRenderedPageBreak/>
        <w:t>that the assessment of reliability, validity, and sensitivity to change were established through the analysis of the final data from ASSERT</w:t>
      </w:r>
      <w:r w:rsidR="003E6BDA">
        <w:rPr>
          <w:rFonts w:cstheme="minorHAnsi"/>
          <w:color w:val="000000" w:themeColor="text1"/>
        </w:rPr>
        <w:t xml:space="preserve">. </w:t>
      </w:r>
    </w:p>
    <w:p w14:paraId="2C3B36EB" w14:textId="53958B49" w:rsidR="0065115D" w:rsidRPr="00385A6B" w:rsidRDefault="00A723AE" w:rsidP="008B6633">
      <w:pPr>
        <w:pStyle w:val="3-BodyText"/>
        <w:spacing w:before="160" w:after="160"/>
        <w:rPr>
          <w:rFonts w:cstheme="minorHAnsi"/>
          <w:color w:val="000000" w:themeColor="text1"/>
        </w:rPr>
      </w:pPr>
      <w:bookmarkStart w:id="24" w:name="_Ref219286376"/>
      <w:r w:rsidRPr="00385A6B">
        <w:rPr>
          <w:rFonts w:cstheme="minorHAnsi"/>
          <w:color w:val="000000" w:themeColor="text1"/>
        </w:rPr>
        <w:t xml:space="preserve">In addition, </w:t>
      </w:r>
      <w:r w:rsidR="009916ED">
        <w:rPr>
          <w:rFonts w:cstheme="minorHAnsi"/>
          <w:color w:val="000000" w:themeColor="text1"/>
        </w:rPr>
        <w:t xml:space="preserve">the evaluation considered </w:t>
      </w:r>
      <w:r w:rsidRPr="00385A6B">
        <w:rPr>
          <w:rFonts w:cstheme="minorHAnsi"/>
          <w:color w:val="000000" w:themeColor="text1"/>
        </w:rPr>
        <w:t>i</w:t>
      </w:r>
      <w:r w:rsidR="0065115D" w:rsidRPr="00385A6B">
        <w:rPr>
          <w:rFonts w:cstheme="minorHAnsi"/>
          <w:color w:val="000000" w:themeColor="text1"/>
        </w:rPr>
        <w:t>t may not be reasonable to have used data from ASSERT to validate results from the same trial. The same concern was noted in regard to the July 2024 PFIC submission, in which the ESC noted it was not appropriate that the data from PEDFIC 1 (the key trial) be used to validate results from the same trial with no independent validation (paragraph 6.22, odevixibat PSD, July 2024 PBAC Meeting).</w:t>
      </w:r>
      <w:bookmarkEnd w:id="24"/>
    </w:p>
    <w:p w14:paraId="2140B7F4" w14:textId="75B0CC60" w:rsidR="0065115D" w:rsidRPr="00385A6B" w:rsidRDefault="0065115D" w:rsidP="008B6633">
      <w:pPr>
        <w:pStyle w:val="3-BodyText"/>
        <w:spacing w:before="160" w:after="160"/>
        <w:rPr>
          <w:rFonts w:cstheme="minorHAnsi"/>
          <w:color w:val="000000" w:themeColor="text1"/>
        </w:rPr>
      </w:pPr>
      <w:r w:rsidRPr="00385A6B">
        <w:rPr>
          <w:rFonts w:cstheme="minorHAnsi"/>
          <w:color w:val="000000" w:themeColor="text1"/>
        </w:rPr>
        <w:t xml:space="preserve">The PBAC previously noted concern that the ObsRO Pruritus </w:t>
      </w:r>
      <w:r w:rsidR="005A5D0C" w:rsidRPr="00385A6B">
        <w:rPr>
          <w:rFonts w:cstheme="minorHAnsi"/>
          <w:color w:val="000000" w:themeColor="text1"/>
        </w:rPr>
        <w:t xml:space="preserve">(scratching) </w:t>
      </w:r>
      <w:r w:rsidRPr="00385A6B">
        <w:rPr>
          <w:rFonts w:cstheme="minorHAnsi"/>
          <w:color w:val="000000" w:themeColor="text1"/>
        </w:rPr>
        <w:t xml:space="preserve">Scale was highly variable and may not provide a meaningful measure, particularly in terms of assessment of response for continuing therapy (paragraph 11.1, odevixibat PSD, </w:t>
      </w:r>
      <w:r w:rsidR="006214A8" w:rsidRPr="00385A6B">
        <w:rPr>
          <w:rFonts w:cstheme="minorHAnsi"/>
          <w:color w:val="000000" w:themeColor="text1"/>
        </w:rPr>
        <w:t>March 2025 PBAC Meeting with Addendum July 2025</w:t>
      </w:r>
      <w:r w:rsidRPr="00385A6B">
        <w:rPr>
          <w:rFonts w:cstheme="minorHAnsi"/>
          <w:color w:val="000000" w:themeColor="text1"/>
        </w:rPr>
        <w:t>).</w:t>
      </w:r>
    </w:p>
    <w:p w14:paraId="016D9A83" w14:textId="767E4C77" w:rsidR="00A723AE" w:rsidRPr="00385A6B" w:rsidRDefault="00B359AC" w:rsidP="008B6633">
      <w:pPr>
        <w:pStyle w:val="3-BodyText"/>
        <w:spacing w:before="160" w:after="160"/>
        <w:rPr>
          <w:rFonts w:cstheme="minorHAnsi"/>
          <w:color w:val="000000" w:themeColor="text1"/>
        </w:rPr>
      </w:pPr>
      <w:r w:rsidRPr="00385A6B">
        <w:rPr>
          <w:rFonts w:cstheme="minorHAnsi"/>
          <w:color w:val="000000" w:themeColor="text1"/>
        </w:rPr>
        <w:t xml:space="preserve">ASSERT-EXT was a single arm, open-label study and was considered at high risk of bias. </w:t>
      </w:r>
      <w:r w:rsidR="00A723AE" w:rsidRPr="00385A6B">
        <w:rPr>
          <w:rFonts w:cstheme="minorHAnsi"/>
          <w:color w:val="000000" w:themeColor="text1"/>
        </w:rPr>
        <w:t xml:space="preserve">Of the 17 patients treated with placebo </w:t>
      </w:r>
      <w:r w:rsidR="00136713">
        <w:rPr>
          <w:rFonts w:cstheme="minorHAnsi"/>
          <w:color w:val="000000" w:themeColor="text1"/>
        </w:rPr>
        <w:t>who</w:t>
      </w:r>
      <w:r w:rsidR="00136713" w:rsidRPr="00385A6B">
        <w:rPr>
          <w:rFonts w:cstheme="minorHAnsi"/>
          <w:color w:val="000000" w:themeColor="text1"/>
        </w:rPr>
        <w:t xml:space="preserve"> </w:t>
      </w:r>
      <w:r w:rsidR="00A723AE" w:rsidRPr="00385A6B">
        <w:rPr>
          <w:rFonts w:cstheme="minorHAnsi"/>
          <w:color w:val="000000" w:themeColor="text1"/>
        </w:rPr>
        <w:t>rolled over into ASSERT-EXT (</w:t>
      </w:r>
      <w:r w:rsidR="000B62C7" w:rsidRPr="00385A6B">
        <w:rPr>
          <w:rFonts w:cstheme="minorHAnsi"/>
          <w:color w:val="000000" w:themeColor="text1"/>
        </w:rPr>
        <w:t xml:space="preserve">defined as the </w:t>
      </w:r>
      <w:r w:rsidR="00A723AE" w:rsidRPr="00385A6B">
        <w:rPr>
          <w:rFonts w:cstheme="minorHAnsi"/>
          <w:color w:val="000000" w:themeColor="text1"/>
        </w:rPr>
        <w:t xml:space="preserve">PBO/ODX group), </w:t>
      </w:r>
      <w:r w:rsidR="00B12109" w:rsidRPr="00385A6B">
        <w:rPr>
          <w:rFonts w:cstheme="minorHAnsi"/>
          <w:color w:val="000000" w:themeColor="text1"/>
        </w:rPr>
        <w:t>four</w:t>
      </w:r>
      <w:r w:rsidR="00A723AE" w:rsidRPr="00385A6B">
        <w:rPr>
          <w:rFonts w:cstheme="minorHAnsi"/>
          <w:color w:val="000000" w:themeColor="text1"/>
        </w:rPr>
        <w:t xml:space="preserve"> (23.5%) discontinued early from the extension study. In comparison, 6.1% (2/33) of patients </w:t>
      </w:r>
      <w:r w:rsidR="007D29AD" w:rsidRPr="00385A6B">
        <w:rPr>
          <w:rFonts w:cstheme="minorHAnsi"/>
          <w:color w:val="000000" w:themeColor="text1"/>
        </w:rPr>
        <w:t xml:space="preserve">treated with </w:t>
      </w:r>
      <w:r w:rsidR="00A723AE" w:rsidRPr="00385A6B">
        <w:rPr>
          <w:rFonts w:cstheme="minorHAnsi"/>
          <w:color w:val="000000" w:themeColor="text1"/>
        </w:rPr>
        <w:t>odevixibat in ASSERT (</w:t>
      </w:r>
      <w:r w:rsidR="000B62C7" w:rsidRPr="00385A6B">
        <w:rPr>
          <w:rFonts w:cstheme="minorHAnsi"/>
          <w:color w:val="000000" w:themeColor="text1"/>
        </w:rPr>
        <w:t xml:space="preserve">defined as the </w:t>
      </w:r>
      <w:r w:rsidR="00A723AE" w:rsidRPr="00385A6B">
        <w:rPr>
          <w:rFonts w:cstheme="minorHAnsi"/>
          <w:color w:val="000000" w:themeColor="text1"/>
        </w:rPr>
        <w:t xml:space="preserve">ODX/ODX group) discontinued early from the extension study. Reasons for early treatment discontinuation included </w:t>
      </w:r>
      <w:r w:rsidR="00F01EC5" w:rsidRPr="00385A6B">
        <w:rPr>
          <w:rFonts w:cstheme="minorHAnsi"/>
          <w:color w:val="000000" w:themeColor="text1"/>
        </w:rPr>
        <w:t xml:space="preserve">adverse event (n=1), withdrawal of consent (n=1), </w:t>
      </w:r>
      <w:r w:rsidR="00A723AE" w:rsidRPr="00385A6B">
        <w:rPr>
          <w:rFonts w:cstheme="minorHAnsi"/>
          <w:color w:val="000000" w:themeColor="text1"/>
        </w:rPr>
        <w:t>caregiver did not think the study medication was working</w:t>
      </w:r>
      <w:r w:rsidR="00F01EC5" w:rsidRPr="00385A6B">
        <w:rPr>
          <w:rFonts w:cstheme="minorHAnsi"/>
          <w:color w:val="000000" w:themeColor="text1"/>
        </w:rPr>
        <w:t xml:space="preserve"> (n=1)</w:t>
      </w:r>
      <w:r w:rsidR="00A723AE" w:rsidRPr="00385A6B">
        <w:rPr>
          <w:rFonts w:cstheme="minorHAnsi"/>
          <w:color w:val="000000" w:themeColor="text1"/>
        </w:rPr>
        <w:t>; switched medications</w:t>
      </w:r>
      <w:r w:rsidR="00F01EC5" w:rsidRPr="00385A6B">
        <w:rPr>
          <w:rFonts w:cstheme="minorHAnsi"/>
          <w:color w:val="000000" w:themeColor="text1"/>
        </w:rPr>
        <w:t xml:space="preserve"> (n=1)</w:t>
      </w:r>
      <w:r w:rsidR="00A723AE" w:rsidRPr="00385A6B">
        <w:rPr>
          <w:rFonts w:cstheme="minorHAnsi"/>
          <w:color w:val="000000" w:themeColor="text1"/>
        </w:rPr>
        <w:t xml:space="preserve">; </w:t>
      </w:r>
      <w:r w:rsidR="00F01EC5" w:rsidRPr="00385A6B">
        <w:rPr>
          <w:rFonts w:cstheme="minorHAnsi"/>
          <w:color w:val="000000" w:themeColor="text1"/>
        </w:rPr>
        <w:t>underwent</w:t>
      </w:r>
      <w:r w:rsidR="00A723AE" w:rsidRPr="00385A6B">
        <w:rPr>
          <w:rFonts w:cstheme="minorHAnsi"/>
          <w:color w:val="000000" w:themeColor="text1"/>
        </w:rPr>
        <w:t xml:space="preserve"> </w:t>
      </w:r>
      <w:r w:rsidR="00F01EC5" w:rsidRPr="00385A6B">
        <w:rPr>
          <w:rFonts w:cstheme="minorHAnsi"/>
          <w:color w:val="000000" w:themeColor="text1"/>
        </w:rPr>
        <w:t>LT (n=1)</w:t>
      </w:r>
      <w:r w:rsidR="00A723AE" w:rsidRPr="00385A6B">
        <w:rPr>
          <w:rFonts w:cstheme="minorHAnsi"/>
          <w:color w:val="000000" w:themeColor="text1"/>
        </w:rPr>
        <w:t xml:space="preserve">; and </w:t>
      </w:r>
      <w:r w:rsidR="00F01EC5" w:rsidRPr="00385A6B">
        <w:rPr>
          <w:rFonts w:cstheme="minorHAnsi"/>
          <w:color w:val="000000" w:themeColor="text1"/>
        </w:rPr>
        <w:t>one</w:t>
      </w:r>
      <w:r w:rsidR="00A723AE" w:rsidRPr="00385A6B">
        <w:rPr>
          <w:rFonts w:cstheme="minorHAnsi"/>
          <w:color w:val="000000" w:themeColor="text1"/>
        </w:rPr>
        <w:t xml:space="preserve"> patient whose family withdrew consent due to patient’s itchiness.</w:t>
      </w:r>
    </w:p>
    <w:p w14:paraId="4A4FE085" w14:textId="1C5613CC" w:rsidR="00B60939" w:rsidRPr="00385A6B" w:rsidRDefault="00B60939" w:rsidP="008B6633">
      <w:pPr>
        <w:pStyle w:val="4-SubsectionHeading"/>
        <w:rPr>
          <w:iCs/>
        </w:rPr>
      </w:pPr>
      <w:bookmarkStart w:id="25" w:name="_Toc22897641"/>
      <w:bookmarkStart w:id="26" w:name="_Toc219900843"/>
      <w:r w:rsidRPr="00385A6B">
        <w:t>Comparative effectiveness</w:t>
      </w:r>
      <w:bookmarkEnd w:id="25"/>
      <w:bookmarkEnd w:id="26"/>
    </w:p>
    <w:p w14:paraId="01ED5DEA" w14:textId="77D782C3" w:rsidR="004949E1" w:rsidRPr="00385A6B" w:rsidRDefault="00BE1CD1" w:rsidP="008B6633">
      <w:pPr>
        <w:pStyle w:val="5-SubsectionSubheading"/>
        <w:spacing w:before="160" w:after="160"/>
        <w:rPr>
          <w:rFonts w:cstheme="minorHAnsi"/>
        </w:rPr>
      </w:pPr>
      <w:bookmarkStart w:id="27" w:name="_Toc219900844"/>
      <w:r w:rsidRPr="00385A6B">
        <w:rPr>
          <w:rFonts w:cstheme="minorHAnsi"/>
        </w:rPr>
        <w:t xml:space="preserve">Change in </w:t>
      </w:r>
      <w:r w:rsidR="00DB725E" w:rsidRPr="00385A6B">
        <w:rPr>
          <w:rFonts w:cstheme="minorHAnsi"/>
        </w:rPr>
        <w:t xml:space="preserve">pruritus </w:t>
      </w:r>
      <w:r w:rsidRPr="00385A6B">
        <w:rPr>
          <w:rFonts w:cstheme="minorHAnsi"/>
        </w:rPr>
        <w:t>s</w:t>
      </w:r>
      <w:r w:rsidR="004949E1" w:rsidRPr="00385A6B">
        <w:rPr>
          <w:rFonts w:cstheme="minorHAnsi"/>
        </w:rPr>
        <w:t xml:space="preserve">cratching severity score </w:t>
      </w:r>
      <w:r w:rsidRPr="00385A6B">
        <w:rPr>
          <w:rFonts w:cstheme="minorHAnsi"/>
        </w:rPr>
        <w:t>(</w:t>
      </w:r>
      <w:r w:rsidR="004949E1" w:rsidRPr="00385A6B">
        <w:rPr>
          <w:rFonts w:cstheme="minorHAnsi"/>
        </w:rPr>
        <w:t>ObsRO instrument</w:t>
      </w:r>
      <w:r w:rsidRPr="00385A6B">
        <w:rPr>
          <w:rFonts w:cstheme="minorHAnsi"/>
        </w:rPr>
        <w:t>)</w:t>
      </w:r>
      <w:bookmarkEnd w:id="27"/>
    </w:p>
    <w:p w14:paraId="045C21A4" w14:textId="6AD4D1C1" w:rsidR="00AD4622" w:rsidRPr="00385A6B" w:rsidRDefault="00AD4622" w:rsidP="008B6633">
      <w:pPr>
        <w:pStyle w:val="3-BodyText"/>
        <w:spacing w:before="160" w:after="160"/>
        <w:rPr>
          <w:rFonts w:cstheme="minorHAnsi"/>
          <w:color w:val="000000" w:themeColor="text1"/>
        </w:rPr>
      </w:pPr>
      <w:r w:rsidRPr="00385A6B">
        <w:rPr>
          <w:rFonts w:cstheme="minorHAnsi"/>
          <w:color w:val="000000" w:themeColor="text1"/>
        </w:rPr>
        <w:t xml:space="preserve">Results for the </w:t>
      </w:r>
      <w:r w:rsidR="002409E1" w:rsidRPr="00385A6B">
        <w:rPr>
          <w:rFonts w:cstheme="minorHAnsi"/>
          <w:color w:val="000000" w:themeColor="text1"/>
        </w:rPr>
        <w:t xml:space="preserve">ASSERT </w:t>
      </w:r>
      <w:r w:rsidRPr="00385A6B">
        <w:rPr>
          <w:rFonts w:cstheme="minorHAnsi"/>
          <w:color w:val="000000" w:themeColor="text1"/>
        </w:rPr>
        <w:t xml:space="preserve">primary endpoint, the mean change in ObsRO pruritus </w:t>
      </w:r>
      <w:r w:rsidR="004949E1" w:rsidRPr="00385A6B">
        <w:rPr>
          <w:rFonts w:cstheme="minorHAnsi"/>
          <w:color w:val="000000" w:themeColor="text1"/>
        </w:rPr>
        <w:t xml:space="preserve">scratching severity </w:t>
      </w:r>
      <w:r w:rsidRPr="00385A6B">
        <w:rPr>
          <w:rFonts w:cstheme="minorHAnsi"/>
          <w:color w:val="000000" w:themeColor="text1"/>
        </w:rPr>
        <w:t xml:space="preserve">scores from baseline over the 24-week treatment period is shown in </w:t>
      </w:r>
      <w:r w:rsidRPr="00385A6B">
        <w:rPr>
          <w:rFonts w:cstheme="minorHAnsi"/>
          <w:color w:val="000000" w:themeColor="text1"/>
        </w:rPr>
        <w:fldChar w:fldCharType="begin"/>
      </w:r>
      <w:r w:rsidRPr="00385A6B">
        <w:rPr>
          <w:rFonts w:cstheme="minorHAnsi"/>
          <w:color w:val="000000" w:themeColor="text1"/>
        </w:rPr>
        <w:instrText xml:space="preserve"> REF _Ref218693994 \h </w:instrText>
      </w:r>
      <w:r w:rsidR="00465340" w:rsidRPr="00385A6B">
        <w:rPr>
          <w:rFonts w:cstheme="minorHAnsi"/>
          <w:color w:val="000000" w:themeColor="text1"/>
        </w:rPr>
        <w:instrText xml:space="preserve"> \* MERGEFORMAT </w:instrText>
      </w:r>
      <w:r w:rsidRPr="00385A6B">
        <w:rPr>
          <w:rFonts w:cstheme="minorHAnsi"/>
          <w:color w:val="000000" w:themeColor="text1"/>
        </w:rPr>
      </w:r>
      <w:r w:rsidRPr="00385A6B">
        <w:rPr>
          <w:rFonts w:cstheme="minorHAnsi"/>
          <w:color w:val="000000" w:themeColor="text1"/>
        </w:rPr>
        <w:fldChar w:fldCharType="separate"/>
      </w:r>
      <w:r w:rsidR="0060088A" w:rsidRPr="0060088A">
        <w:rPr>
          <w:rFonts w:cstheme="minorHAnsi"/>
        </w:rPr>
        <w:t>Table 4</w:t>
      </w:r>
      <w:r w:rsidRPr="00385A6B">
        <w:rPr>
          <w:rFonts w:cstheme="minorHAnsi"/>
          <w:color w:val="000000" w:themeColor="text1"/>
        </w:rPr>
        <w:fldChar w:fldCharType="end"/>
      </w:r>
      <w:r w:rsidRPr="00385A6B">
        <w:rPr>
          <w:rFonts w:cstheme="minorHAnsi"/>
          <w:color w:val="000000" w:themeColor="text1"/>
        </w:rPr>
        <w:t xml:space="preserve">. The proposed </w:t>
      </w:r>
      <w:r w:rsidR="00B77052" w:rsidRPr="0088729F">
        <w:rPr>
          <w:rFonts w:cstheme="minorHAnsi"/>
        </w:rPr>
        <w:t>minimal clinically important difference (MCID</w:t>
      </w:r>
      <w:r w:rsidR="00B77052">
        <w:rPr>
          <w:rFonts w:cstheme="minorHAnsi"/>
          <w:color w:val="000000" w:themeColor="text1"/>
        </w:rPr>
        <w:t xml:space="preserve">) </w:t>
      </w:r>
      <w:r w:rsidRPr="00385A6B">
        <w:rPr>
          <w:rFonts w:cstheme="minorHAnsi"/>
          <w:color w:val="000000" w:themeColor="text1"/>
        </w:rPr>
        <w:t xml:space="preserve">for change in the ObsRO scratching severity score in ALGS </w:t>
      </w:r>
      <w:r w:rsidR="002376F2">
        <w:rPr>
          <w:rFonts w:cstheme="minorHAnsi"/>
          <w:color w:val="000000" w:themeColor="text1"/>
        </w:rPr>
        <w:t>was</w:t>
      </w:r>
      <w:r w:rsidRPr="00385A6B">
        <w:rPr>
          <w:rFonts w:cstheme="minorHAnsi"/>
          <w:color w:val="000000" w:themeColor="text1"/>
        </w:rPr>
        <w:t xml:space="preserve"> defined as a decrease between 1.0 and 1.5 points.</w:t>
      </w:r>
    </w:p>
    <w:p w14:paraId="3F196A44" w14:textId="431A36DF" w:rsidR="00960506" w:rsidRPr="00883497" w:rsidRDefault="00960506" w:rsidP="008B6633">
      <w:pPr>
        <w:pStyle w:val="3-BodyText"/>
        <w:spacing w:before="160" w:after="160"/>
        <w:rPr>
          <w:rFonts w:cstheme="minorHAnsi"/>
        </w:rPr>
      </w:pPr>
      <w:bookmarkStart w:id="28" w:name="_Ref222744631"/>
      <w:r w:rsidRPr="00883497">
        <w:rPr>
          <w:rFonts w:cstheme="minorHAnsi"/>
        </w:rPr>
        <w:t xml:space="preserve">Based on the mixed-effect model for repeated measures (MMRM), the least square (LS) mean change from baseline to Weeks 21-24 in the ObsRO pruritus scratching severity score was </w:t>
      </w:r>
      <w:r w:rsidRPr="00883497">
        <w:rPr>
          <w:rFonts w:cstheme="minorHAnsi"/>
        </w:rPr>
        <w:noBreakHyphen/>
        <w:t>1.69 and -0.80 in the odevixibat and placebo groups,</w:t>
      </w:r>
      <w:r w:rsidR="00467D20" w:rsidRPr="00883497">
        <w:rPr>
          <w:rFonts w:cstheme="minorHAnsi"/>
        </w:rPr>
        <w:t xml:space="preserve"> </w:t>
      </w:r>
      <w:r w:rsidRPr="00883497">
        <w:rPr>
          <w:rFonts w:cstheme="minorHAnsi"/>
        </w:rPr>
        <w:t xml:space="preserve">respectively. The LS mean difference of -0.88 (95% CI: -1.44, -0.33) between the groups was statistically significant (two-sided p = 0.00242). The submission did not </w:t>
      </w:r>
      <w:r w:rsidR="003E5F51" w:rsidRPr="00883497">
        <w:rPr>
          <w:rFonts w:cstheme="minorHAnsi"/>
        </w:rPr>
        <w:t xml:space="preserve">specify </w:t>
      </w:r>
      <w:r w:rsidRPr="00883497">
        <w:rPr>
          <w:rFonts w:cstheme="minorHAnsi"/>
        </w:rPr>
        <w:t xml:space="preserve">a between-group MCID. Therefore, while statistically significant, </w:t>
      </w:r>
      <w:r w:rsidR="00A90372" w:rsidRPr="00883497">
        <w:rPr>
          <w:rFonts w:cstheme="minorHAnsi"/>
        </w:rPr>
        <w:t>the evaluation considered it</w:t>
      </w:r>
      <w:r w:rsidRPr="00883497">
        <w:rPr>
          <w:rFonts w:cstheme="minorHAnsi"/>
        </w:rPr>
        <w:t xml:space="preserve"> difficult to determine whether there was a clinically meaningful difference in scratching between the groups. </w:t>
      </w:r>
      <w:r w:rsidR="00007CE1" w:rsidRPr="00883497">
        <w:rPr>
          <w:rFonts w:cstheme="minorHAnsi"/>
        </w:rPr>
        <w:t xml:space="preserve">The PSCR </w:t>
      </w:r>
      <w:r w:rsidR="00057386" w:rsidRPr="00883497">
        <w:rPr>
          <w:rFonts w:cstheme="minorHAnsi"/>
        </w:rPr>
        <w:t>argued that</w:t>
      </w:r>
      <w:r w:rsidR="00136713">
        <w:rPr>
          <w:rFonts w:cstheme="minorHAnsi"/>
        </w:rPr>
        <w:t>,</w:t>
      </w:r>
      <w:r w:rsidR="00057386" w:rsidRPr="00883497">
        <w:rPr>
          <w:rFonts w:cstheme="minorHAnsi"/>
        </w:rPr>
        <w:t xml:space="preserve"> although </w:t>
      </w:r>
      <w:r w:rsidR="00901E36" w:rsidRPr="00883497">
        <w:rPr>
          <w:rFonts w:cstheme="minorHAnsi"/>
        </w:rPr>
        <w:t>no</w:t>
      </w:r>
      <w:r w:rsidR="00007CE1" w:rsidRPr="00883497">
        <w:rPr>
          <w:rFonts w:cstheme="minorHAnsi"/>
        </w:rPr>
        <w:t xml:space="preserve"> between-group MCID was formally established, the proposed within-patient MCID reflects clinically meaningful improvemen</w:t>
      </w:r>
      <w:r w:rsidR="00A528C4" w:rsidRPr="00883497">
        <w:rPr>
          <w:rFonts w:cstheme="minorHAnsi"/>
        </w:rPr>
        <w:t>t</w:t>
      </w:r>
      <w:r w:rsidR="00007CE1" w:rsidRPr="00883497">
        <w:rPr>
          <w:rFonts w:cstheme="minorHAnsi"/>
        </w:rPr>
        <w:t xml:space="preserve">. </w:t>
      </w:r>
      <w:r w:rsidR="00336DB8" w:rsidRPr="00883497">
        <w:rPr>
          <w:rFonts w:cstheme="minorHAnsi"/>
        </w:rPr>
        <w:t xml:space="preserve">The </w:t>
      </w:r>
      <w:r w:rsidR="00C70D6C">
        <w:rPr>
          <w:rFonts w:cstheme="minorHAnsi"/>
        </w:rPr>
        <w:t>PBAC</w:t>
      </w:r>
      <w:r w:rsidR="00C70D6C" w:rsidRPr="00883497">
        <w:rPr>
          <w:rFonts w:cstheme="minorHAnsi"/>
        </w:rPr>
        <w:t xml:space="preserve"> </w:t>
      </w:r>
      <w:r w:rsidR="00336DB8" w:rsidRPr="00883497">
        <w:rPr>
          <w:rFonts w:cstheme="minorHAnsi"/>
        </w:rPr>
        <w:t xml:space="preserve">considered </w:t>
      </w:r>
      <w:r w:rsidR="00850591" w:rsidRPr="00883497">
        <w:rPr>
          <w:rFonts w:cstheme="minorHAnsi"/>
        </w:rPr>
        <w:t>that</w:t>
      </w:r>
      <w:r w:rsidR="00136713">
        <w:rPr>
          <w:rFonts w:cstheme="minorHAnsi"/>
        </w:rPr>
        <w:t>, although</w:t>
      </w:r>
      <w:r w:rsidR="00850591" w:rsidRPr="00883497">
        <w:rPr>
          <w:rFonts w:cstheme="minorHAnsi"/>
        </w:rPr>
        <w:t xml:space="preserve"> the </w:t>
      </w:r>
      <w:r w:rsidR="003E5F51" w:rsidRPr="00883497">
        <w:rPr>
          <w:rFonts w:cstheme="minorHAnsi"/>
        </w:rPr>
        <w:lastRenderedPageBreak/>
        <w:t>betwee</w:t>
      </w:r>
      <w:r w:rsidR="00007CE1" w:rsidRPr="00883497">
        <w:rPr>
          <w:rFonts w:cstheme="minorHAnsi"/>
        </w:rPr>
        <w:t>n</w:t>
      </w:r>
      <w:r w:rsidR="003E5F51" w:rsidRPr="00883497">
        <w:rPr>
          <w:rFonts w:cstheme="minorHAnsi"/>
        </w:rPr>
        <w:t xml:space="preserve"> group </w:t>
      </w:r>
      <w:r w:rsidR="002C47B0" w:rsidRPr="00883497">
        <w:rPr>
          <w:rFonts w:cstheme="minorHAnsi"/>
        </w:rPr>
        <w:t xml:space="preserve">LS mean difference </w:t>
      </w:r>
      <w:r w:rsidR="00FD05AA" w:rsidRPr="00883497">
        <w:rPr>
          <w:rFonts w:cstheme="minorHAnsi"/>
        </w:rPr>
        <w:t>(</w:t>
      </w:r>
      <w:r w:rsidR="002C47B0" w:rsidRPr="00883497">
        <w:rPr>
          <w:rFonts w:cstheme="minorHAnsi"/>
        </w:rPr>
        <w:t>-0.88</w:t>
      </w:r>
      <w:r w:rsidR="00FD05AA" w:rsidRPr="00883497">
        <w:rPr>
          <w:rFonts w:cstheme="minorHAnsi"/>
        </w:rPr>
        <w:t>)</w:t>
      </w:r>
      <w:r w:rsidR="002C47B0" w:rsidRPr="00883497">
        <w:rPr>
          <w:rFonts w:cstheme="minorHAnsi"/>
        </w:rPr>
        <w:t xml:space="preserve"> </w:t>
      </w:r>
      <w:r w:rsidR="001535A2" w:rsidRPr="00883497">
        <w:rPr>
          <w:rFonts w:cstheme="minorHAnsi"/>
        </w:rPr>
        <w:t>did</w:t>
      </w:r>
      <w:r w:rsidR="00FD05AA" w:rsidRPr="00883497">
        <w:rPr>
          <w:rFonts w:cstheme="minorHAnsi"/>
        </w:rPr>
        <w:t xml:space="preserve"> not</w:t>
      </w:r>
      <w:r w:rsidR="002C47B0" w:rsidRPr="00883497">
        <w:rPr>
          <w:rFonts w:cstheme="minorHAnsi"/>
        </w:rPr>
        <w:t xml:space="preserve"> meet the within-</w:t>
      </w:r>
      <w:r w:rsidR="001535A2" w:rsidRPr="00883497">
        <w:rPr>
          <w:rFonts w:cstheme="minorHAnsi"/>
        </w:rPr>
        <w:t>individual MCID</w:t>
      </w:r>
      <w:r w:rsidR="00136713">
        <w:rPr>
          <w:rFonts w:cstheme="minorHAnsi"/>
        </w:rPr>
        <w:t>, it still likely represented a clinically important difference</w:t>
      </w:r>
      <w:r w:rsidR="001535A2" w:rsidRPr="00883497">
        <w:rPr>
          <w:rFonts w:cstheme="minorHAnsi"/>
        </w:rPr>
        <w:t>.</w:t>
      </w:r>
      <w:bookmarkEnd w:id="28"/>
      <w:r w:rsidR="001535A2" w:rsidRPr="00883497">
        <w:rPr>
          <w:rFonts w:cstheme="minorHAnsi"/>
        </w:rPr>
        <w:t xml:space="preserve"> </w:t>
      </w:r>
    </w:p>
    <w:p w14:paraId="4D0E960F" w14:textId="5D339504" w:rsidR="00960506" w:rsidRPr="00385A6B" w:rsidRDefault="00960506" w:rsidP="008B6633">
      <w:pPr>
        <w:pStyle w:val="3-BodyText"/>
        <w:spacing w:before="160" w:after="160"/>
        <w:rPr>
          <w:rFonts w:cstheme="minorHAnsi"/>
        </w:rPr>
      </w:pPr>
      <w:r w:rsidRPr="00385A6B">
        <w:rPr>
          <w:rFonts w:cstheme="minorHAnsi"/>
        </w:rPr>
        <w:t xml:space="preserve">The mean change in the ObsRO pruritus scratching score from </w:t>
      </w:r>
      <w:r w:rsidR="00501AC8" w:rsidRPr="00385A6B">
        <w:rPr>
          <w:rFonts w:cstheme="minorHAnsi"/>
        </w:rPr>
        <w:t xml:space="preserve">the </w:t>
      </w:r>
      <w:r w:rsidRPr="00385A6B">
        <w:rPr>
          <w:rFonts w:cstheme="minorHAnsi"/>
        </w:rPr>
        <w:t xml:space="preserve">ASSERT baseline to the end of the ASSERT-EXT treatment period is shown in </w:t>
      </w:r>
      <w:r w:rsidRPr="00385A6B">
        <w:rPr>
          <w:rFonts w:cstheme="minorHAnsi"/>
        </w:rPr>
        <w:fldChar w:fldCharType="begin"/>
      </w:r>
      <w:r w:rsidRPr="00385A6B">
        <w:rPr>
          <w:rFonts w:cstheme="minorHAnsi"/>
        </w:rPr>
        <w:instrText xml:space="preserve"> REF _Ref219638587 \h </w:instrText>
      </w:r>
      <w:r w:rsidR="004D5268" w:rsidRPr="00385A6B">
        <w:rPr>
          <w:rFonts w:cstheme="minorHAnsi"/>
        </w:rPr>
        <w:instrText xml:space="preserve"> \* MERGEFORMAT </w:instrText>
      </w:r>
      <w:r w:rsidRPr="00385A6B">
        <w:rPr>
          <w:rFonts w:cstheme="minorHAnsi"/>
        </w:rPr>
      </w:r>
      <w:r w:rsidRPr="00385A6B">
        <w:rPr>
          <w:rFonts w:cstheme="minorHAnsi"/>
        </w:rPr>
        <w:fldChar w:fldCharType="separate"/>
      </w:r>
      <w:r w:rsidR="0060088A" w:rsidRPr="0060088A">
        <w:rPr>
          <w:rFonts w:cstheme="minorHAnsi"/>
        </w:rPr>
        <w:t>Figure 1</w:t>
      </w:r>
      <w:r w:rsidRPr="00385A6B">
        <w:rPr>
          <w:rFonts w:cstheme="minorHAnsi"/>
        </w:rPr>
        <w:fldChar w:fldCharType="end"/>
      </w:r>
      <w:r w:rsidRPr="00385A6B">
        <w:rPr>
          <w:rFonts w:cstheme="minorHAnsi"/>
        </w:rPr>
        <w:t xml:space="preserve">. </w:t>
      </w:r>
    </w:p>
    <w:p w14:paraId="312F0965" w14:textId="0F3D0B68" w:rsidR="005D26B4" w:rsidRPr="00275521" w:rsidRDefault="00D6076E" w:rsidP="008B6633">
      <w:pPr>
        <w:pStyle w:val="TableFigureHeading"/>
        <w:keepLines/>
        <w:spacing w:before="160"/>
        <w:rPr>
          <w:rStyle w:val="CommentReference"/>
          <w:b/>
          <w:szCs w:val="24"/>
        </w:rPr>
      </w:pPr>
      <w:bookmarkStart w:id="29" w:name="_Ref218693994"/>
      <w:r w:rsidRPr="00275521">
        <w:t xml:space="preserve">Table </w:t>
      </w:r>
      <w:fldSimple w:instr=" SEQ Table \* ARABIC ">
        <w:r w:rsidR="0060088A">
          <w:rPr>
            <w:noProof/>
          </w:rPr>
          <w:t>4</w:t>
        </w:r>
      </w:fldSimple>
      <w:bookmarkEnd w:id="29"/>
      <w:r w:rsidRPr="00275521">
        <w:t>:</w:t>
      </w:r>
      <w:r w:rsidR="005D26B4" w:rsidRPr="00275521">
        <w:rPr>
          <w:rStyle w:val="CommentReference"/>
          <w:b/>
          <w:szCs w:val="24"/>
        </w:rPr>
        <w:t xml:space="preserve"> </w:t>
      </w:r>
      <w:r w:rsidR="006236BA" w:rsidRPr="00275521">
        <w:rPr>
          <w:rStyle w:val="CommentReference"/>
          <w:b/>
          <w:szCs w:val="24"/>
        </w:rPr>
        <w:t>P</w:t>
      </w:r>
      <w:r w:rsidR="00AD4622" w:rsidRPr="00275521">
        <w:rPr>
          <w:rStyle w:val="CommentReference"/>
          <w:b/>
          <w:szCs w:val="24"/>
        </w:rPr>
        <w:t xml:space="preserve">ruritus </w:t>
      </w:r>
      <w:r w:rsidR="00CE74BB" w:rsidRPr="00275521">
        <w:rPr>
          <w:rStyle w:val="CommentReference"/>
          <w:b/>
          <w:szCs w:val="24"/>
        </w:rPr>
        <w:t xml:space="preserve">scratching </w:t>
      </w:r>
      <w:r w:rsidR="00AD4622" w:rsidRPr="00275521">
        <w:rPr>
          <w:rStyle w:val="CommentReference"/>
          <w:b/>
          <w:szCs w:val="24"/>
        </w:rPr>
        <w:t>score (</w:t>
      </w:r>
      <w:r w:rsidR="006236BA" w:rsidRPr="00275521">
        <w:rPr>
          <w:rStyle w:val="CommentReference"/>
          <w:b/>
          <w:szCs w:val="24"/>
        </w:rPr>
        <w:t xml:space="preserve">ObsRO, </w:t>
      </w:r>
      <w:r w:rsidR="00543EC6" w:rsidRPr="00275521">
        <w:rPr>
          <w:rStyle w:val="CommentReference"/>
          <w:b/>
          <w:szCs w:val="24"/>
        </w:rPr>
        <w:t xml:space="preserve">morning </w:t>
      </w:r>
      <w:r w:rsidR="00AD4622" w:rsidRPr="00275521">
        <w:rPr>
          <w:rStyle w:val="CommentReference"/>
          <w:b/>
          <w:szCs w:val="24"/>
        </w:rPr>
        <w:t xml:space="preserve">and </w:t>
      </w:r>
      <w:r w:rsidR="00543EC6" w:rsidRPr="00275521">
        <w:rPr>
          <w:rStyle w:val="CommentReference"/>
          <w:b/>
          <w:szCs w:val="24"/>
        </w:rPr>
        <w:t xml:space="preserve">evening </w:t>
      </w:r>
      <w:r w:rsidR="00AD4622" w:rsidRPr="00275521">
        <w:rPr>
          <w:rStyle w:val="CommentReference"/>
          <w:b/>
          <w:szCs w:val="24"/>
        </w:rPr>
        <w:t>combined)</w:t>
      </w:r>
      <w:r w:rsidR="00625AAD" w:rsidRPr="00275521">
        <w:rPr>
          <w:rStyle w:val="CommentReference"/>
          <w:b/>
          <w:szCs w:val="24"/>
        </w:rPr>
        <w:t xml:space="preserve">: </w:t>
      </w:r>
      <w:r w:rsidR="00BB1677" w:rsidRPr="00275521">
        <w:rPr>
          <w:rStyle w:val="CommentReference"/>
          <w:b/>
          <w:szCs w:val="24"/>
        </w:rPr>
        <w:t>B</w:t>
      </w:r>
      <w:r w:rsidR="00AD4622" w:rsidRPr="00275521">
        <w:rPr>
          <w:rStyle w:val="CommentReference"/>
          <w:b/>
          <w:szCs w:val="24"/>
        </w:rPr>
        <w:t>aseline</w:t>
      </w:r>
      <w:r w:rsidR="00625AAD" w:rsidRPr="00275521">
        <w:rPr>
          <w:rStyle w:val="CommentReference"/>
          <w:b/>
          <w:szCs w:val="24"/>
        </w:rPr>
        <w:t xml:space="preserve">, </w:t>
      </w:r>
      <w:r w:rsidR="00BB1677" w:rsidRPr="00275521">
        <w:rPr>
          <w:rStyle w:val="CommentReference"/>
          <w:b/>
          <w:szCs w:val="24"/>
        </w:rPr>
        <w:t>W</w:t>
      </w:r>
      <w:r w:rsidR="00625AAD" w:rsidRPr="00275521">
        <w:rPr>
          <w:rStyle w:val="CommentReference"/>
          <w:b/>
          <w:szCs w:val="24"/>
        </w:rPr>
        <w:t xml:space="preserve">eeks 21-24, and </w:t>
      </w:r>
      <w:r w:rsidR="00BB1677" w:rsidRPr="00275521">
        <w:rPr>
          <w:rStyle w:val="CommentReference"/>
          <w:b/>
          <w:szCs w:val="24"/>
        </w:rPr>
        <w:t>C</w:t>
      </w:r>
      <w:r w:rsidR="00625AAD" w:rsidRPr="00275521">
        <w:rPr>
          <w:rStyle w:val="CommentReference"/>
          <w:b/>
          <w:szCs w:val="24"/>
        </w:rPr>
        <w:t xml:space="preserve">hange </w:t>
      </w:r>
      <w:r w:rsidR="00960506" w:rsidRPr="00275521">
        <w:rPr>
          <w:rStyle w:val="CommentReference"/>
          <w:b/>
          <w:szCs w:val="24"/>
        </w:rPr>
        <w:t>at Weeks 2</w:t>
      </w:r>
      <w:r w:rsidR="00826BA1" w:rsidRPr="00275521">
        <w:rPr>
          <w:rStyle w:val="CommentReference"/>
          <w:b/>
          <w:szCs w:val="24"/>
        </w:rPr>
        <w:t>1</w:t>
      </w:r>
      <w:r w:rsidR="00960506" w:rsidRPr="00275521">
        <w:rPr>
          <w:rStyle w:val="CommentReference"/>
          <w:b/>
          <w:szCs w:val="24"/>
        </w:rPr>
        <w:t xml:space="preserve">-24 </w:t>
      </w:r>
      <w:r w:rsidR="00AD4622" w:rsidRPr="00275521">
        <w:rPr>
          <w:rStyle w:val="CommentReference"/>
          <w:b/>
          <w:szCs w:val="24"/>
        </w:rPr>
        <w:t>– ASSERT FAS</w:t>
      </w:r>
    </w:p>
    <w:tbl>
      <w:tblPr>
        <w:tblStyle w:val="TableElegan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Pruritus scratching score (ObsRO, morning and evening combined): Baseline, Weeks 21-24, and Change at Weeks 21-24 – ASSERT FAS"/>
      </w:tblPr>
      <w:tblGrid>
        <w:gridCol w:w="4770"/>
        <w:gridCol w:w="2123"/>
        <w:gridCol w:w="2124"/>
      </w:tblGrid>
      <w:tr w:rsidR="00AB6980" w:rsidRPr="00275521" w14:paraId="69627264" w14:textId="77777777" w:rsidTr="008E721A">
        <w:trPr>
          <w:cnfStyle w:val="100000000000" w:firstRow="1" w:lastRow="0" w:firstColumn="0" w:lastColumn="0" w:oddVBand="0" w:evenVBand="0" w:oddHBand="0" w:evenHBand="0" w:firstRowFirstColumn="0" w:firstRowLastColumn="0" w:lastRowFirstColumn="0" w:lastRowLastColumn="0"/>
          <w:tblHeader/>
        </w:trPr>
        <w:tc>
          <w:tcPr>
            <w:tcW w:w="2645" w:type="pct"/>
            <w:vAlign w:val="bottom"/>
          </w:tcPr>
          <w:p w14:paraId="7067C8C2" w14:textId="77777777" w:rsidR="008E721A" w:rsidRPr="00275521" w:rsidRDefault="008E721A" w:rsidP="008B6633">
            <w:pPr>
              <w:keepNext/>
              <w:keepLines/>
              <w:rPr>
                <w:rFonts w:ascii="Arial Narrow" w:hAnsi="Arial Narrow"/>
                <w:b/>
                <w:bCs/>
                <w:sz w:val="20"/>
                <w:szCs w:val="20"/>
              </w:rPr>
            </w:pPr>
          </w:p>
        </w:tc>
        <w:tc>
          <w:tcPr>
            <w:tcW w:w="2355" w:type="pct"/>
            <w:gridSpan w:val="2"/>
            <w:vAlign w:val="center"/>
          </w:tcPr>
          <w:p w14:paraId="4D0C3BE4" w14:textId="00A79656" w:rsidR="008E721A" w:rsidRPr="00275521" w:rsidRDefault="00A90CF7" w:rsidP="008B6633">
            <w:pPr>
              <w:keepNext/>
              <w:keepLines/>
              <w:jc w:val="center"/>
              <w:rPr>
                <w:rFonts w:ascii="Arial Narrow" w:hAnsi="Arial Narrow"/>
                <w:b/>
                <w:bCs/>
                <w:sz w:val="20"/>
                <w:szCs w:val="20"/>
              </w:rPr>
            </w:pPr>
            <w:r w:rsidRPr="00275521">
              <w:rPr>
                <w:rFonts w:ascii="Arial Narrow" w:hAnsi="Arial Narrow"/>
                <w:b/>
                <w:bCs/>
                <w:sz w:val="20"/>
                <w:szCs w:val="20"/>
              </w:rPr>
              <w:t>O</w:t>
            </w:r>
            <w:r w:rsidR="001F4C7D" w:rsidRPr="00275521">
              <w:rPr>
                <w:rFonts w:ascii="Arial Narrow" w:hAnsi="Arial Narrow"/>
                <w:b/>
                <w:bCs/>
                <w:caps w:val="0"/>
                <w:sz w:val="20"/>
                <w:szCs w:val="20"/>
              </w:rPr>
              <w:t xml:space="preserve">bsRO </w:t>
            </w:r>
            <w:r w:rsidR="00C76B53" w:rsidRPr="00275521">
              <w:rPr>
                <w:rFonts w:ascii="Arial Narrow" w:hAnsi="Arial Narrow"/>
                <w:b/>
                <w:bCs/>
                <w:caps w:val="0"/>
                <w:sz w:val="20"/>
                <w:szCs w:val="20"/>
              </w:rPr>
              <w:t xml:space="preserve">pruritus </w:t>
            </w:r>
            <w:r w:rsidR="00CE74BB" w:rsidRPr="00275521">
              <w:rPr>
                <w:rFonts w:ascii="Arial Narrow" w:hAnsi="Arial Narrow"/>
                <w:b/>
                <w:bCs/>
                <w:caps w:val="0"/>
                <w:sz w:val="20"/>
                <w:szCs w:val="20"/>
              </w:rPr>
              <w:t xml:space="preserve">(scratching) </w:t>
            </w:r>
            <w:r w:rsidR="001F4C7D" w:rsidRPr="00275521">
              <w:rPr>
                <w:rFonts w:ascii="Arial Narrow" w:hAnsi="Arial Narrow"/>
                <w:b/>
                <w:bCs/>
                <w:caps w:val="0"/>
                <w:sz w:val="20"/>
                <w:szCs w:val="20"/>
              </w:rPr>
              <w:t>score</w:t>
            </w:r>
          </w:p>
        </w:tc>
      </w:tr>
      <w:tr w:rsidR="00291E26" w:rsidRPr="00275521" w14:paraId="6587811E" w14:textId="77777777">
        <w:trPr>
          <w:cnfStyle w:val="100000000000" w:firstRow="1" w:lastRow="0" w:firstColumn="0" w:lastColumn="0" w:oddVBand="0" w:evenVBand="0" w:oddHBand="0" w:evenHBand="0" w:firstRowFirstColumn="0" w:firstRowLastColumn="0" w:lastRowFirstColumn="0" w:lastRowLastColumn="0"/>
          <w:tblHeader/>
        </w:trPr>
        <w:tc>
          <w:tcPr>
            <w:tcW w:w="2645" w:type="pct"/>
            <w:vAlign w:val="bottom"/>
          </w:tcPr>
          <w:p w14:paraId="653429CF" w14:textId="77777777" w:rsidR="00AD4622" w:rsidRPr="00275521" w:rsidRDefault="00AD4622" w:rsidP="008B6633">
            <w:pPr>
              <w:keepNext/>
              <w:keepLines/>
              <w:rPr>
                <w:rFonts w:ascii="Arial Narrow" w:hAnsi="Arial Narrow"/>
                <w:b/>
                <w:bCs/>
                <w:sz w:val="20"/>
                <w:szCs w:val="20"/>
              </w:rPr>
            </w:pPr>
            <w:r w:rsidRPr="00275521">
              <w:rPr>
                <w:rFonts w:ascii="Arial Narrow" w:hAnsi="Arial Narrow"/>
                <w:b/>
                <w:bCs/>
                <w:caps w:val="0"/>
                <w:sz w:val="20"/>
                <w:szCs w:val="20"/>
              </w:rPr>
              <w:t>Visit Statistic</w:t>
            </w:r>
          </w:p>
        </w:tc>
        <w:tc>
          <w:tcPr>
            <w:tcW w:w="1177" w:type="pct"/>
            <w:vAlign w:val="center"/>
          </w:tcPr>
          <w:p w14:paraId="1D34C683" w14:textId="32EF8977" w:rsidR="00AD4622" w:rsidRPr="00275521" w:rsidRDefault="00AD4622" w:rsidP="008B6633">
            <w:pPr>
              <w:keepNext/>
              <w:keepLines/>
              <w:jc w:val="center"/>
              <w:rPr>
                <w:rFonts w:ascii="Arial Narrow" w:hAnsi="Arial Narrow"/>
                <w:b/>
                <w:bCs/>
                <w:sz w:val="20"/>
                <w:szCs w:val="20"/>
              </w:rPr>
            </w:pPr>
            <w:r w:rsidRPr="00275521">
              <w:rPr>
                <w:rFonts w:ascii="Arial Narrow" w:hAnsi="Arial Narrow"/>
                <w:b/>
                <w:bCs/>
                <w:caps w:val="0"/>
                <w:sz w:val="20"/>
                <w:szCs w:val="20"/>
              </w:rPr>
              <w:t>Placebo (</w:t>
            </w:r>
            <w:r w:rsidR="00EC69AC" w:rsidRPr="00275521">
              <w:rPr>
                <w:rFonts w:ascii="Arial Narrow" w:hAnsi="Arial Narrow"/>
                <w:b/>
                <w:bCs/>
                <w:caps w:val="0"/>
                <w:sz w:val="20"/>
                <w:szCs w:val="20"/>
              </w:rPr>
              <w:t>N</w:t>
            </w:r>
            <w:r w:rsidRPr="00275521">
              <w:rPr>
                <w:rFonts w:ascii="Arial Narrow" w:hAnsi="Arial Narrow"/>
                <w:b/>
                <w:bCs/>
                <w:caps w:val="0"/>
                <w:sz w:val="20"/>
                <w:szCs w:val="20"/>
              </w:rPr>
              <w:t>=17)</w:t>
            </w:r>
          </w:p>
        </w:tc>
        <w:tc>
          <w:tcPr>
            <w:tcW w:w="1178" w:type="pct"/>
            <w:vAlign w:val="center"/>
          </w:tcPr>
          <w:p w14:paraId="0CB0610A" w14:textId="2A7979B1" w:rsidR="00AD4622" w:rsidRPr="00275521" w:rsidRDefault="00AD4622" w:rsidP="008B6633">
            <w:pPr>
              <w:keepNext/>
              <w:keepLines/>
              <w:jc w:val="center"/>
              <w:rPr>
                <w:rFonts w:ascii="Arial Narrow" w:hAnsi="Arial Narrow"/>
                <w:b/>
                <w:bCs/>
                <w:sz w:val="20"/>
                <w:szCs w:val="20"/>
              </w:rPr>
            </w:pPr>
            <w:r w:rsidRPr="00275521">
              <w:rPr>
                <w:rFonts w:ascii="Arial Narrow" w:hAnsi="Arial Narrow"/>
                <w:b/>
                <w:bCs/>
                <w:caps w:val="0"/>
                <w:sz w:val="20"/>
                <w:szCs w:val="20"/>
              </w:rPr>
              <w:t>Odevixibat (</w:t>
            </w:r>
            <w:r w:rsidR="00EC69AC" w:rsidRPr="00275521">
              <w:rPr>
                <w:rFonts w:ascii="Arial Narrow" w:hAnsi="Arial Narrow"/>
                <w:b/>
                <w:bCs/>
                <w:caps w:val="0"/>
                <w:sz w:val="20"/>
                <w:szCs w:val="20"/>
              </w:rPr>
              <w:t>N</w:t>
            </w:r>
            <w:r w:rsidRPr="00275521">
              <w:rPr>
                <w:rFonts w:ascii="Arial Narrow" w:hAnsi="Arial Narrow"/>
                <w:b/>
                <w:bCs/>
                <w:caps w:val="0"/>
                <w:sz w:val="20"/>
                <w:szCs w:val="20"/>
              </w:rPr>
              <w:t>=35)</w:t>
            </w:r>
          </w:p>
        </w:tc>
      </w:tr>
      <w:tr w:rsidR="00311DF9" w:rsidRPr="00275521" w14:paraId="0444240B" w14:textId="77777777">
        <w:tc>
          <w:tcPr>
            <w:tcW w:w="5000" w:type="pct"/>
            <w:gridSpan w:val="3"/>
            <w:vAlign w:val="center"/>
          </w:tcPr>
          <w:p w14:paraId="1A71367D" w14:textId="77777777" w:rsidR="00AD4622" w:rsidRPr="00275521" w:rsidRDefault="00AD4622" w:rsidP="008B6633">
            <w:pPr>
              <w:keepNext/>
              <w:keepLines/>
              <w:jc w:val="left"/>
              <w:rPr>
                <w:rFonts w:ascii="Arial Narrow" w:hAnsi="Arial Narrow"/>
                <w:sz w:val="20"/>
                <w:szCs w:val="20"/>
              </w:rPr>
            </w:pPr>
            <w:r w:rsidRPr="00275521">
              <w:rPr>
                <w:rFonts w:ascii="Arial Narrow" w:hAnsi="Arial Narrow"/>
                <w:sz w:val="20"/>
                <w:szCs w:val="20"/>
              </w:rPr>
              <w:t>Baseline</w:t>
            </w:r>
          </w:p>
        </w:tc>
      </w:tr>
      <w:tr w:rsidR="00291E26" w:rsidRPr="00275521" w14:paraId="53161E0A" w14:textId="77777777">
        <w:tc>
          <w:tcPr>
            <w:tcW w:w="2645" w:type="pct"/>
          </w:tcPr>
          <w:p w14:paraId="45276A2D"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n</w:t>
            </w:r>
          </w:p>
        </w:tc>
        <w:tc>
          <w:tcPr>
            <w:tcW w:w="1177" w:type="pct"/>
            <w:vAlign w:val="center"/>
          </w:tcPr>
          <w:p w14:paraId="14211252"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17</w:t>
            </w:r>
          </w:p>
        </w:tc>
        <w:tc>
          <w:tcPr>
            <w:tcW w:w="1178" w:type="pct"/>
            <w:vAlign w:val="center"/>
          </w:tcPr>
          <w:p w14:paraId="53C8A2B0"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35</w:t>
            </w:r>
          </w:p>
        </w:tc>
      </w:tr>
      <w:tr w:rsidR="00291E26" w:rsidRPr="00275521" w14:paraId="67C2C6B7" w14:textId="77777777">
        <w:tc>
          <w:tcPr>
            <w:tcW w:w="2645" w:type="pct"/>
          </w:tcPr>
          <w:p w14:paraId="128B5940"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Mean (SD)</w:t>
            </w:r>
          </w:p>
        </w:tc>
        <w:tc>
          <w:tcPr>
            <w:tcW w:w="1177" w:type="pct"/>
            <w:vAlign w:val="center"/>
          </w:tcPr>
          <w:p w14:paraId="06EBAA25"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3.01 (0.64)</w:t>
            </w:r>
          </w:p>
        </w:tc>
        <w:tc>
          <w:tcPr>
            <w:tcW w:w="1178" w:type="pct"/>
            <w:vAlign w:val="center"/>
          </w:tcPr>
          <w:p w14:paraId="19EB0245"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2.80 (0.52)</w:t>
            </w:r>
          </w:p>
        </w:tc>
      </w:tr>
      <w:tr w:rsidR="00291E26" w:rsidRPr="00275521" w14:paraId="528316F4" w14:textId="77777777">
        <w:tc>
          <w:tcPr>
            <w:tcW w:w="2645" w:type="pct"/>
          </w:tcPr>
          <w:p w14:paraId="364E366B"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 xml:space="preserve">Median </w:t>
            </w:r>
          </w:p>
        </w:tc>
        <w:tc>
          <w:tcPr>
            <w:tcW w:w="1177" w:type="pct"/>
            <w:vAlign w:val="center"/>
          </w:tcPr>
          <w:p w14:paraId="718A7BD6" w14:textId="77777777" w:rsidR="00AD4622" w:rsidRPr="00275521" w:rsidRDefault="00AD4622" w:rsidP="008B6633">
            <w:pPr>
              <w:keepNext/>
              <w:keepLines/>
              <w:jc w:val="center"/>
              <w:rPr>
                <w:rFonts w:ascii="Arial Narrow" w:hAnsi="Arial Narrow"/>
                <w:sz w:val="20"/>
                <w:szCs w:val="20"/>
              </w:rPr>
            </w:pPr>
            <w:r w:rsidRPr="00CF35E8">
              <w:rPr>
                <w:rFonts w:ascii="Arial Narrow" w:hAnsi="Arial Narrow"/>
                <w:sz w:val="20"/>
                <w:szCs w:val="20"/>
              </w:rPr>
              <w:t>3.18</w:t>
            </w:r>
            <w:r w:rsidRPr="00275521">
              <w:rPr>
                <w:rFonts w:ascii="Arial Narrow" w:hAnsi="Arial Narrow"/>
                <w:sz w:val="20"/>
                <w:szCs w:val="20"/>
              </w:rPr>
              <w:t xml:space="preserve"> </w:t>
            </w:r>
          </w:p>
        </w:tc>
        <w:tc>
          <w:tcPr>
            <w:tcW w:w="1178" w:type="pct"/>
            <w:vAlign w:val="center"/>
          </w:tcPr>
          <w:p w14:paraId="68BDC031" w14:textId="77777777" w:rsidR="00AD4622" w:rsidRPr="00275521" w:rsidRDefault="00AD4622" w:rsidP="008B6633">
            <w:pPr>
              <w:keepNext/>
              <w:keepLines/>
              <w:jc w:val="center"/>
              <w:rPr>
                <w:rFonts w:ascii="Arial Narrow" w:hAnsi="Arial Narrow"/>
                <w:sz w:val="20"/>
                <w:szCs w:val="20"/>
              </w:rPr>
            </w:pPr>
            <w:r w:rsidRPr="00CF35E8">
              <w:rPr>
                <w:rFonts w:ascii="Arial Narrow" w:hAnsi="Arial Narrow"/>
                <w:sz w:val="20"/>
                <w:szCs w:val="20"/>
              </w:rPr>
              <w:t>2.71</w:t>
            </w:r>
            <w:r w:rsidRPr="00275521">
              <w:rPr>
                <w:rFonts w:ascii="Arial Narrow" w:hAnsi="Arial Narrow"/>
                <w:sz w:val="20"/>
                <w:szCs w:val="20"/>
              </w:rPr>
              <w:t xml:space="preserve"> </w:t>
            </w:r>
          </w:p>
        </w:tc>
      </w:tr>
      <w:tr w:rsidR="00291E26" w:rsidRPr="00275521" w14:paraId="77D78758" w14:textId="77777777">
        <w:tc>
          <w:tcPr>
            <w:tcW w:w="2645" w:type="pct"/>
          </w:tcPr>
          <w:p w14:paraId="0A1471D9"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Minimum, maximum</w:t>
            </w:r>
          </w:p>
        </w:tc>
        <w:tc>
          <w:tcPr>
            <w:tcW w:w="1177" w:type="pct"/>
            <w:vAlign w:val="center"/>
          </w:tcPr>
          <w:p w14:paraId="4D605830" w14:textId="77777777" w:rsidR="00AD4622" w:rsidRPr="00275521" w:rsidRDefault="00AD4622" w:rsidP="008B6633">
            <w:pPr>
              <w:keepNext/>
              <w:keepLines/>
              <w:jc w:val="center"/>
              <w:rPr>
                <w:rFonts w:ascii="Arial Narrow" w:hAnsi="Arial Narrow"/>
                <w:i/>
                <w:iCs/>
                <w:sz w:val="20"/>
                <w:szCs w:val="20"/>
              </w:rPr>
            </w:pPr>
            <w:r w:rsidRPr="00275521">
              <w:rPr>
                <w:rFonts w:ascii="Arial Narrow" w:hAnsi="Arial Narrow"/>
                <w:sz w:val="20"/>
                <w:szCs w:val="20"/>
              </w:rPr>
              <w:t>2.1, 4.0</w:t>
            </w:r>
          </w:p>
        </w:tc>
        <w:tc>
          <w:tcPr>
            <w:tcW w:w="1178" w:type="pct"/>
            <w:vAlign w:val="center"/>
          </w:tcPr>
          <w:p w14:paraId="042418C9" w14:textId="77777777" w:rsidR="00AD4622" w:rsidRPr="00275521" w:rsidRDefault="00AD4622" w:rsidP="008B6633">
            <w:pPr>
              <w:keepNext/>
              <w:keepLines/>
              <w:jc w:val="center"/>
              <w:rPr>
                <w:rFonts w:ascii="Arial Narrow" w:hAnsi="Arial Narrow"/>
                <w:i/>
                <w:iCs/>
                <w:sz w:val="20"/>
                <w:szCs w:val="20"/>
              </w:rPr>
            </w:pPr>
            <w:r w:rsidRPr="00275521">
              <w:rPr>
                <w:rFonts w:ascii="Arial Narrow" w:hAnsi="Arial Narrow"/>
                <w:sz w:val="20"/>
                <w:szCs w:val="20"/>
              </w:rPr>
              <w:t>1.9, 4.0</w:t>
            </w:r>
          </w:p>
        </w:tc>
      </w:tr>
      <w:tr w:rsidR="00311DF9" w:rsidRPr="00275521" w14:paraId="4783AE2E" w14:textId="77777777">
        <w:tc>
          <w:tcPr>
            <w:tcW w:w="5000" w:type="pct"/>
            <w:gridSpan w:val="3"/>
            <w:vAlign w:val="center"/>
          </w:tcPr>
          <w:p w14:paraId="2270413E" w14:textId="77777777" w:rsidR="00AD4622" w:rsidRPr="00275521" w:rsidRDefault="00AD4622" w:rsidP="008B6633">
            <w:pPr>
              <w:keepNext/>
              <w:keepLines/>
              <w:jc w:val="left"/>
              <w:rPr>
                <w:rFonts w:ascii="Arial Narrow" w:hAnsi="Arial Narrow"/>
                <w:sz w:val="20"/>
                <w:szCs w:val="20"/>
              </w:rPr>
            </w:pPr>
            <w:r w:rsidRPr="00275521">
              <w:rPr>
                <w:rFonts w:ascii="Arial Narrow" w:hAnsi="Arial Narrow"/>
                <w:sz w:val="20"/>
                <w:szCs w:val="20"/>
              </w:rPr>
              <w:t>Average of Weeks 21-24</w:t>
            </w:r>
          </w:p>
        </w:tc>
      </w:tr>
      <w:tr w:rsidR="00291E26" w:rsidRPr="00275521" w14:paraId="76FA3828" w14:textId="77777777">
        <w:tc>
          <w:tcPr>
            <w:tcW w:w="2645" w:type="pct"/>
          </w:tcPr>
          <w:p w14:paraId="21BDFF91"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n</w:t>
            </w:r>
          </w:p>
        </w:tc>
        <w:tc>
          <w:tcPr>
            <w:tcW w:w="1177" w:type="pct"/>
            <w:vAlign w:val="center"/>
          </w:tcPr>
          <w:p w14:paraId="110223E3"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16</w:t>
            </w:r>
          </w:p>
        </w:tc>
        <w:tc>
          <w:tcPr>
            <w:tcW w:w="1178" w:type="pct"/>
            <w:vAlign w:val="center"/>
          </w:tcPr>
          <w:p w14:paraId="1A277683"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34</w:t>
            </w:r>
          </w:p>
        </w:tc>
      </w:tr>
      <w:tr w:rsidR="00291E26" w:rsidRPr="00275521" w14:paraId="0F0CBF53" w14:textId="77777777">
        <w:tc>
          <w:tcPr>
            <w:tcW w:w="2645" w:type="pct"/>
          </w:tcPr>
          <w:p w14:paraId="78495C0D"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Mean (SD)</w:t>
            </w:r>
          </w:p>
        </w:tc>
        <w:tc>
          <w:tcPr>
            <w:tcW w:w="1177" w:type="pct"/>
            <w:vAlign w:val="center"/>
          </w:tcPr>
          <w:p w14:paraId="315D52F0"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2.18 (0.98)</w:t>
            </w:r>
          </w:p>
        </w:tc>
        <w:tc>
          <w:tcPr>
            <w:tcW w:w="1178" w:type="pct"/>
            <w:vAlign w:val="center"/>
          </w:tcPr>
          <w:p w14:paraId="64439089"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1.14 (0.91)</w:t>
            </w:r>
          </w:p>
        </w:tc>
      </w:tr>
      <w:tr w:rsidR="00291E26" w:rsidRPr="00275521" w14:paraId="63A10795" w14:textId="77777777">
        <w:tc>
          <w:tcPr>
            <w:tcW w:w="2645" w:type="pct"/>
          </w:tcPr>
          <w:p w14:paraId="771487AD"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 xml:space="preserve">Median </w:t>
            </w:r>
          </w:p>
        </w:tc>
        <w:tc>
          <w:tcPr>
            <w:tcW w:w="1177" w:type="pct"/>
            <w:vAlign w:val="center"/>
          </w:tcPr>
          <w:p w14:paraId="69A5DE59" w14:textId="77777777" w:rsidR="00AD4622" w:rsidRPr="00275521" w:rsidRDefault="00AD4622" w:rsidP="008B6633">
            <w:pPr>
              <w:keepNext/>
              <w:keepLines/>
              <w:jc w:val="center"/>
              <w:rPr>
                <w:rFonts w:ascii="Arial Narrow" w:hAnsi="Arial Narrow"/>
                <w:sz w:val="20"/>
                <w:szCs w:val="20"/>
              </w:rPr>
            </w:pPr>
            <w:r w:rsidRPr="00CF35E8">
              <w:rPr>
                <w:rFonts w:ascii="Arial Narrow" w:hAnsi="Arial Narrow"/>
                <w:sz w:val="20"/>
                <w:szCs w:val="20"/>
              </w:rPr>
              <w:t>2.17</w:t>
            </w:r>
            <w:r w:rsidRPr="00275521">
              <w:rPr>
                <w:rFonts w:ascii="Arial Narrow" w:hAnsi="Arial Narrow"/>
                <w:sz w:val="20"/>
                <w:szCs w:val="20"/>
              </w:rPr>
              <w:t xml:space="preserve"> </w:t>
            </w:r>
          </w:p>
        </w:tc>
        <w:tc>
          <w:tcPr>
            <w:tcW w:w="1178" w:type="pct"/>
            <w:vAlign w:val="center"/>
          </w:tcPr>
          <w:p w14:paraId="1B4FE8C1" w14:textId="77777777" w:rsidR="00AD4622" w:rsidRPr="00275521" w:rsidRDefault="00AD4622" w:rsidP="008B6633">
            <w:pPr>
              <w:keepNext/>
              <w:keepLines/>
              <w:jc w:val="center"/>
              <w:rPr>
                <w:rFonts w:ascii="Arial Narrow" w:hAnsi="Arial Narrow"/>
                <w:sz w:val="20"/>
                <w:szCs w:val="20"/>
              </w:rPr>
            </w:pPr>
            <w:r w:rsidRPr="00CF35E8">
              <w:rPr>
                <w:rFonts w:ascii="Arial Narrow" w:hAnsi="Arial Narrow"/>
                <w:sz w:val="20"/>
                <w:szCs w:val="20"/>
              </w:rPr>
              <w:t>0.99</w:t>
            </w:r>
            <w:r w:rsidRPr="00275521">
              <w:rPr>
                <w:rFonts w:ascii="Arial Narrow" w:hAnsi="Arial Narrow"/>
                <w:sz w:val="20"/>
                <w:szCs w:val="20"/>
              </w:rPr>
              <w:t xml:space="preserve"> </w:t>
            </w:r>
          </w:p>
        </w:tc>
      </w:tr>
      <w:tr w:rsidR="00291E26" w:rsidRPr="00275521" w14:paraId="28865C8A" w14:textId="77777777">
        <w:tc>
          <w:tcPr>
            <w:tcW w:w="2645" w:type="pct"/>
          </w:tcPr>
          <w:p w14:paraId="33ACC64E"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Minimum, maximum</w:t>
            </w:r>
          </w:p>
        </w:tc>
        <w:tc>
          <w:tcPr>
            <w:tcW w:w="1177" w:type="pct"/>
            <w:vAlign w:val="center"/>
          </w:tcPr>
          <w:p w14:paraId="06407CC0" w14:textId="77777777" w:rsidR="00AD4622" w:rsidRPr="00275521" w:rsidRDefault="00AD4622" w:rsidP="008B6633">
            <w:pPr>
              <w:keepNext/>
              <w:keepLines/>
              <w:jc w:val="center"/>
              <w:rPr>
                <w:rFonts w:ascii="Arial Narrow" w:hAnsi="Arial Narrow"/>
                <w:i/>
                <w:iCs/>
                <w:sz w:val="20"/>
                <w:szCs w:val="20"/>
              </w:rPr>
            </w:pPr>
            <w:r w:rsidRPr="00275521">
              <w:rPr>
                <w:rFonts w:ascii="Arial Narrow" w:hAnsi="Arial Narrow"/>
                <w:sz w:val="20"/>
                <w:szCs w:val="20"/>
              </w:rPr>
              <w:t>0.7, 4.0</w:t>
            </w:r>
          </w:p>
        </w:tc>
        <w:tc>
          <w:tcPr>
            <w:tcW w:w="1178" w:type="pct"/>
            <w:vAlign w:val="center"/>
          </w:tcPr>
          <w:p w14:paraId="72FE8021" w14:textId="77777777" w:rsidR="00AD4622" w:rsidRPr="00275521" w:rsidRDefault="00AD4622" w:rsidP="008B6633">
            <w:pPr>
              <w:keepNext/>
              <w:keepLines/>
              <w:jc w:val="center"/>
              <w:rPr>
                <w:rFonts w:ascii="Arial Narrow" w:hAnsi="Arial Narrow"/>
                <w:i/>
                <w:iCs/>
                <w:sz w:val="20"/>
                <w:szCs w:val="20"/>
              </w:rPr>
            </w:pPr>
            <w:r w:rsidRPr="00275521">
              <w:rPr>
                <w:rFonts w:ascii="Arial Narrow" w:hAnsi="Arial Narrow"/>
                <w:sz w:val="20"/>
                <w:szCs w:val="20"/>
              </w:rPr>
              <w:t>0.0, 3.0</w:t>
            </w:r>
          </w:p>
        </w:tc>
      </w:tr>
      <w:tr w:rsidR="00311DF9" w:rsidRPr="00275521" w14:paraId="13C997B0" w14:textId="77777777">
        <w:tc>
          <w:tcPr>
            <w:tcW w:w="5000" w:type="pct"/>
            <w:gridSpan w:val="3"/>
            <w:vAlign w:val="bottom"/>
          </w:tcPr>
          <w:p w14:paraId="4598D8FF" w14:textId="77777777" w:rsidR="00AD4622" w:rsidRPr="00275521" w:rsidRDefault="00AD4622" w:rsidP="008B6633">
            <w:pPr>
              <w:keepNext/>
              <w:keepLines/>
              <w:jc w:val="left"/>
              <w:rPr>
                <w:rFonts w:ascii="Arial Narrow" w:hAnsi="Arial Narrow"/>
                <w:sz w:val="20"/>
                <w:szCs w:val="20"/>
              </w:rPr>
            </w:pPr>
            <w:r w:rsidRPr="00275521">
              <w:rPr>
                <w:rFonts w:ascii="Arial Narrow" w:hAnsi="Arial Narrow"/>
                <w:sz w:val="20"/>
                <w:szCs w:val="20"/>
              </w:rPr>
              <w:t>Change from Baseline to Month 6 (Weeks 21-24)</w:t>
            </w:r>
          </w:p>
        </w:tc>
      </w:tr>
      <w:tr w:rsidR="00291E26" w:rsidRPr="00275521" w14:paraId="5B909834" w14:textId="77777777">
        <w:tc>
          <w:tcPr>
            <w:tcW w:w="2645" w:type="pct"/>
          </w:tcPr>
          <w:p w14:paraId="37CD07BD"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n</w:t>
            </w:r>
          </w:p>
        </w:tc>
        <w:tc>
          <w:tcPr>
            <w:tcW w:w="1177" w:type="pct"/>
            <w:vAlign w:val="center"/>
          </w:tcPr>
          <w:p w14:paraId="4FAEBE78"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16</w:t>
            </w:r>
          </w:p>
        </w:tc>
        <w:tc>
          <w:tcPr>
            <w:tcW w:w="1178" w:type="pct"/>
            <w:vAlign w:val="center"/>
          </w:tcPr>
          <w:p w14:paraId="7DCDCF24"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34</w:t>
            </w:r>
          </w:p>
        </w:tc>
      </w:tr>
      <w:tr w:rsidR="00291E26" w:rsidRPr="00275521" w14:paraId="7B9D6283" w14:textId="77777777">
        <w:tc>
          <w:tcPr>
            <w:tcW w:w="2645" w:type="pct"/>
          </w:tcPr>
          <w:p w14:paraId="552BF41B"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Mean (SD)</w:t>
            </w:r>
          </w:p>
        </w:tc>
        <w:tc>
          <w:tcPr>
            <w:tcW w:w="1177" w:type="pct"/>
            <w:vAlign w:val="center"/>
          </w:tcPr>
          <w:p w14:paraId="12409B42"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-0.76 (0.82)</w:t>
            </w:r>
          </w:p>
        </w:tc>
        <w:tc>
          <w:tcPr>
            <w:tcW w:w="1178" w:type="pct"/>
            <w:vAlign w:val="center"/>
          </w:tcPr>
          <w:p w14:paraId="5390F896"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-1.66 (0.97)</w:t>
            </w:r>
          </w:p>
        </w:tc>
      </w:tr>
      <w:tr w:rsidR="00291E26" w:rsidRPr="00275521" w14:paraId="198827A6" w14:textId="77777777">
        <w:tc>
          <w:tcPr>
            <w:tcW w:w="2645" w:type="pct"/>
          </w:tcPr>
          <w:p w14:paraId="5FD93B7E"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 xml:space="preserve">Median </w:t>
            </w:r>
          </w:p>
        </w:tc>
        <w:tc>
          <w:tcPr>
            <w:tcW w:w="1177" w:type="pct"/>
            <w:vAlign w:val="center"/>
          </w:tcPr>
          <w:p w14:paraId="2BCC2D03" w14:textId="77777777" w:rsidR="00AD4622" w:rsidRPr="00CF35E8" w:rsidRDefault="00AD4622" w:rsidP="008B6633">
            <w:pPr>
              <w:keepNext/>
              <w:keepLines/>
              <w:jc w:val="center"/>
              <w:rPr>
                <w:rFonts w:ascii="Arial Narrow" w:hAnsi="Arial Narrow"/>
                <w:sz w:val="20"/>
                <w:szCs w:val="20"/>
              </w:rPr>
            </w:pPr>
            <w:r w:rsidRPr="00CF35E8">
              <w:rPr>
                <w:rFonts w:ascii="Arial Narrow" w:hAnsi="Arial Narrow"/>
                <w:sz w:val="20"/>
                <w:szCs w:val="20"/>
              </w:rPr>
              <w:t xml:space="preserve">-0.65 </w:t>
            </w:r>
          </w:p>
        </w:tc>
        <w:tc>
          <w:tcPr>
            <w:tcW w:w="1178" w:type="pct"/>
            <w:vAlign w:val="center"/>
          </w:tcPr>
          <w:p w14:paraId="52E79691" w14:textId="77777777" w:rsidR="00AD4622" w:rsidRPr="00CF35E8" w:rsidRDefault="00AD4622" w:rsidP="008B6633">
            <w:pPr>
              <w:keepNext/>
              <w:keepLines/>
              <w:jc w:val="center"/>
              <w:rPr>
                <w:rFonts w:ascii="Arial Narrow" w:hAnsi="Arial Narrow"/>
                <w:sz w:val="20"/>
                <w:szCs w:val="20"/>
              </w:rPr>
            </w:pPr>
            <w:r w:rsidRPr="00CF35E8">
              <w:rPr>
                <w:rFonts w:ascii="Arial Narrow" w:hAnsi="Arial Narrow"/>
                <w:sz w:val="20"/>
                <w:szCs w:val="20"/>
              </w:rPr>
              <w:t xml:space="preserve">-1.59 </w:t>
            </w:r>
          </w:p>
        </w:tc>
      </w:tr>
      <w:tr w:rsidR="00291E26" w:rsidRPr="00275521" w14:paraId="778BC684" w14:textId="77777777">
        <w:tc>
          <w:tcPr>
            <w:tcW w:w="2645" w:type="pct"/>
          </w:tcPr>
          <w:p w14:paraId="1765BF28" w14:textId="77777777" w:rsidR="00AD4622" w:rsidRPr="00275521" w:rsidRDefault="00AD4622" w:rsidP="008B6633">
            <w:pPr>
              <w:keepNext/>
              <w:keepLines/>
              <w:ind w:left="174"/>
              <w:rPr>
                <w:rFonts w:ascii="Arial Narrow" w:hAnsi="Arial Narrow"/>
                <w:sz w:val="20"/>
                <w:szCs w:val="20"/>
              </w:rPr>
            </w:pPr>
            <w:r w:rsidRPr="00275521">
              <w:rPr>
                <w:rFonts w:ascii="Arial Narrow" w:hAnsi="Arial Narrow"/>
                <w:sz w:val="20"/>
                <w:szCs w:val="20"/>
              </w:rPr>
              <w:t>Minimum, maximum</w:t>
            </w:r>
          </w:p>
        </w:tc>
        <w:tc>
          <w:tcPr>
            <w:tcW w:w="1177" w:type="pct"/>
            <w:vAlign w:val="center"/>
          </w:tcPr>
          <w:p w14:paraId="35632FAF" w14:textId="77777777" w:rsidR="00AD4622" w:rsidRPr="00CF35E8" w:rsidRDefault="00AD4622" w:rsidP="008B6633">
            <w:pPr>
              <w:keepNext/>
              <w:keepLines/>
              <w:jc w:val="center"/>
              <w:rPr>
                <w:rFonts w:ascii="Arial Narrow" w:hAnsi="Arial Narrow"/>
                <w:sz w:val="20"/>
                <w:szCs w:val="20"/>
              </w:rPr>
            </w:pPr>
            <w:r w:rsidRPr="00CF35E8">
              <w:rPr>
                <w:rFonts w:ascii="Arial Narrow" w:hAnsi="Arial Narrow"/>
                <w:sz w:val="20"/>
                <w:szCs w:val="20"/>
              </w:rPr>
              <w:t>-2.3, 0.7</w:t>
            </w:r>
          </w:p>
        </w:tc>
        <w:tc>
          <w:tcPr>
            <w:tcW w:w="1178" w:type="pct"/>
            <w:vAlign w:val="center"/>
          </w:tcPr>
          <w:p w14:paraId="3929115C" w14:textId="77777777" w:rsidR="00AD4622" w:rsidRPr="00CF35E8" w:rsidRDefault="00AD4622" w:rsidP="008B6633">
            <w:pPr>
              <w:keepNext/>
              <w:keepLines/>
              <w:jc w:val="center"/>
              <w:rPr>
                <w:rFonts w:ascii="Arial Narrow" w:hAnsi="Arial Narrow"/>
                <w:sz w:val="20"/>
                <w:szCs w:val="20"/>
              </w:rPr>
            </w:pPr>
            <w:r w:rsidRPr="00CF35E8">
              <w:rPr>
                <w:rFonts w:ascii="Arial Narrow" w:hAnsi="Arial Narrow"/>
                <w:sz w:val="20"/>
                <w:szCs w:val="20"/>
              </w:rPr>
              <w:t>-3.3, 0.7</w:t>
            </w:r>
          </w:p>
        </w:tc>
      </w:tr>
      <w:tr w:rsidR="00291E26" w:rsidRPr="00275521" w14:paraId="07F63AB6" w14:textId="77777777">
        <w:trPr>
          <w:trHeight w:val="469"/>
        </w:trPr>
        <w:tc>
          <w:tcPr>
            <w:tcW w:w="2645" w:type="pct"/>
          </w:tcPr>
          <w:p w14:paraId="484BBCD3" w14:textId="77777777" w:rsidR="00AD4622" w:rsidRPr="00275521" w:rsidRDefault="00AD4622" w:rsidP="008B6633">
            <w:pPr>
              <w:keepNext/>
              <w:keepLines/>
              <w:ind w:left="32"/>
              <w:rPr>
                <w:rFonts w:ascii="Arial Narrow" w:hAnsi="Arial Narrow"/>
                <w:sz w:val="20"/>
                <w:szCs w:val="20"/>
              </w:rPr>
            </w:pPr>
            <w:r w:rsidRPr="00275521">
              <w:rPr>
                <w:rFonts w:ascii="Arial Narrow" w:hAnsi="Arial Narrow"/>
                <w:sz w:val="20"/>
                <w:szCs w:val="20"/>
              </w:rPr>
              <w:t xml:space="preserve">LS Mean (SE) </w:t>
            </w:r>
            <w:r w:rsidRPr="00275521">
              <w:rPr>
                <w:rFonts w:ascii="Arial Narrow" w:hAnsi="Arial Narrow"/>
                <w:sz w:val="20"/>
                <w:szCs w:val="20"/>
                <w:vertAlign w:val="superscript"/>
              </w:rPr>
              <w:t>a</w:t>
            </w:r>
          </w:p>
        </w:tc>
        <w:tc>
          <w:tcPr>
            <w:tcW w:w="1177" w:type="pct"/>
            <w:vAlign w:val="center"/>
          </w:tcPr>
          <w:p w14:paraId="1C97C2B2"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-0.80 (0.23)</w:t>
            </w:r>
          </w:p>
          <w:p w14:paraId="0514EA8E"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95% CI (-1.27, -0.33)</w:t>
            </w:r>
          </w:p>
        </w:tc>
        <w:tc>
          <w:tcPr>
            <w:tcW w:w="1178" w:type="pct"/>
            <w:vAlign w:val="center"/>
          </w:tcPr>
          <w:p w14:paraId="0E76EC6E"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-1.69 (0.17)</w:t>
            </w:r>
          </w:p>
          <w:p w14:paraId="0358FD33" w14:textId="77777777" w:rsidR="00AD4622" w:rsidRPr="00275521" w:rsidRDefault="00AD4622" w:rsidP="008B6633">
            <w:pPr>
              <w:keepNext/>
              <w:keepLines/>
              <w:jc w:val="center"/>
              <w:rPr>
                <w:rFonts w:ascii="Arial Narrow" w:hAnsi="Arial Narrow"/>
                <w:sz w:val="20"/>
                <w:szCs w:val="20"/>
              </w:rPr>
            </w:pPr>
            <w:r w:rsidRPr="00275521">
              <w:rPr>
                <w:rFonts w:ascii="Arial Narrow" w:hAnsi="Arial Narrow"/>
                <w:sz w:val="20"/>
                <w:szCs w:val="20"/>
              </w:rPr>
              <w:t>95% CI (-2.04, -1.34)</w:t>
            </w:r>
          </w:p>
        </w:tc>
      </w:tr>
      <w:tr w:rsidR="00AB6980" w:rsidRPr="00275521" w14:paraId="40601C85" w14:textId="77777777">
        <w:tc>
          <w:tcPr>
            <w:tcW w:w="2645" w:type="pct"/>
          </w:tcPr>
          <w:p w14:paraId="0C371FE7" w14:textId="77777777" w:rsidR="00AD4622" w:rsidRPr="00275521" w:rsidRDefault="00AD4622" w:rsidP="008B6633">
            <w:pPr>
              <w:keepNext/>
              <w:keepLines/>
              <w:ind w:left="32"/>
              <w:rPr>
                <w:rFonts w:ascii="Arial Narrow" w:hAnsi="Arial Narrow"/>
                <w:b/>
                <w:bCs/>
                <w:sz w:val="20"/>
                <w:szCs w:val="20"/>
                <w:vertAlign w:val="superscript"/>
              </w:rPr>
            </w:pPr>
            <w:r w:rsidRPr="00275521">
              <w:rPr>
                <w:rFonts w:ascii="Arial Narrow" w:hAnsi="Arial Narrow"/>
                <w:b/>
                <w:bCs/>
                <w:sz w:val="20"/>
                <w:szCs w:val="20"/>
              </w:rPr>
              <w:t xml:space="preserve">LS Mean Difference (SE) (odevixibat-placebo) </w:t>
            </w:r>
            <w:r w:rsidRPr="00275521">
              <w:rPr>
                <w:rFonts w:ascii="Arial Narrow" w:hAnsi="Arial Narrow"/>
                <w:b/>
                <w:bCs/>
                <w:sz w:val="20"/>
                <w:szCs w:val="20"/>
                <w:vertAlign w:val="superscript"/>
              </w:rPr>
              <w:t>a</w:t>
            </w:r>
          </w:p>
        </w:tc>
        <w:tc>
          <w:tcPr>
            <w:tcW w:w="2355" w:type="pct"/>
            <w:gridSpan w:val="2"/>
            <w:vAlign w:val="center"/>
          </w:tcPr>
          <w:p w14:paraId="39CF94D8" w14:textId="77777777" w:rsidR="00AD4622" w:rsidRPr="00275521" w:rsidRDefault="00AD4622" w:rsidP="008B6633">
            <w:pPr>
              <w:keepNext/>
              <w:keepLines/>
              <w:jc w:val="center"/>
              <w:rPr>
                <w:rFonts w:ascii="Arial Narrow" w:hAnsi="Arial Narrow"/>
                <w:b/>
                <w:bCs/>
                <w:sz w:val="20"/>
                <w:szCs w:val="20"/>
              </w:rPr>
            </w:pPr>
            <w:r w:rsidRPr="00275521">
              <w:rPr>
                <w:rFonts w:ascii="Arial Narrow" w:hAnsi="Arial Narrow"/>
                <w:b/>
                <w:bCs/>
                <w:sz w:val="20"/>
                <w:szCs w:val="20"/>
              </w:rPr>
              <w:t>-0.88 (0.28)</w:t>
            </w:r>
          </w:p>
          <w:p w14:paraId="6B8DF796" w14:textId="77777777" w:rsidR="00AD4622" w:rsidRPr="00275521" w:rsidRDefault="00AD4622" w:rsidP="008B6633">
            <w:pPr>
              <w:keepNext/>
              <w:keepLines/>
              <w:jc w:val="center"/>
              <w:rPr>
                <w:rFonts w:ascii="Arial Narrow" w:hAnsi="Arial Narrow"/>
                <w:b/>
                <w:bCs/>
                <w:sz w:val="20"/>
                <w:szCs w:val="20"/>
                <w:vertAlign w:val="superscript"/>
              </w:rPr>
            </w:pPr>
            <w:r w:rsidRPr="00275521">
              <w:rPr>
                <w:rFonts w:ascii="Arial Narrow" w:hAnsi="Arial Narrow"/>
                <w:b/>
                <w:bCs/>
                <w:sz w:val="20"/>
                <w:szCs w:val="20"/>
              </w:rPr>
              <w:t xml:space="preserve">95% CI (-1.44, -0.33), p=0.00242 </w:t>
            </w:r>
            <w:r w:rsidRPr="00275521">
              <w:rPr>
                <w:rFonts w:ascii="Arial Narrow" w:hAnsi="Arial Narrow"/>
                <w:b/>
                <w:bCs/>
                <w:sz w:val="20"/>
                <w:szCs w:val="20"/>
                <w:vertAlign w:val="superscript"/>
              </w:rPr>
              <w:t>b</w:t>
            </w:r>
          </w:p>
        </w:tc>
      </w:tr>
    </w:tbl>
    <w:p w14:paraId="7F4840A1" w14:textId="4BE436A9" w:rsidR="00AD4622" w:rsidRPr="00275521" w:rsidRDefault="00AD4622" w:rsidP="008B6633">
      <w:pPr>
        <w:pStyle w:val="TableFigureFooter"/>
        <w:widowControl/>
      </w:pPr>
      <w:r w:rsidRPr="00275521">
        <w:t>Source: Table 2-20, p69 of the submission, Table 23, ASSERT CSR</w:t>
      </w:r>
      <w:r w:rsidR="00122DB2" w:rsidRPr="00275521">
        <w:t xml:space="preserve"> </w:t>
      </w:r>
    </w:p>
    <w:p w14:paraId="0067032C" w14:textId="532376FC" w:rsidR="00AD4622" w:rsidRPr="00275521" w:rsidRDefault="00AD4622" w:rsidP="008B6633">
      <w:pPr>
        <w:pStyle w:val="TableFigureFooter"/>
        <w:widowControl/>
      </w:pPr>
      <w:r w:rsidRPr="00275521">
        <w:t>CI = confidence interval; FAS = full analysis set; LS = least square; MMRM = mixed-effect model for repeated measures;</w:t>
      </w:r>
    </w:p>
    <w:p w14:paraId="5F9F5E81" w14:textId="77777777" w:rsidR="00543EC6" w:rsidRPr="00275521" w:rsidRDefault="00AD4622" w:rsidP="008B6633">
      <w:pPr>
        <w:pStyle w:val="TableFigureFooter"/>
        <w:widowControl/>
      </w:pPr>
      <w:r w:rsidRPr="00275521">
        <w:t>ObsRO = observer-reported outcomes; SD = standard deviation; SE = standard error of the mean.</w:t>
      </w:r>
    </w:p>
    <w:p w14:paraId="0AF17220" w14:textId="7953F07E" w:rsidR="00AD4622" w:rsidRPr="00275521" w:rsidRDefault="00AD4622" w:rsidP="008B6633">
      <w:pPr>
        <w:pStyle w:val="TableFigureFooter"/>
        <w:widowControl/>
      </w:pPr>
      <w:r w:rsidRPr="00275521">
        <w:rPr>
          <w:vertAlign w:val="superscript"/>
        </w:rPr>
        <w:t>a</w:t>
      </w:r>
      <w:r w:rsidRPr="00275521">
        <w:t xml:space="preserve"> The analysis is based on a MMRM using a restricted maximum likelihood with baseline score as a covariate, and baseline age stratification, baseline direct bilirubin, treatment group, time (in months), and treatment-by-time interaction as fixed effects. Unstructured covariance matrix is used in the analysis. The Kenward-Roger approximation is used to estimate denominator degrees of freedom.</w:t>
      </w:r>
    </w:p>
    <w:p w14:paraId="6BB3DF82" w14:textId="77777777" w:rsidR="00AD4622" w:rsidRDefault="00AD4622" w:rsidP="008B6633">
      <w:pPr>
        <w:pStyle w:val="TableFigureFooter"/>
        <w:widowControl/>
      </w:pPr>
      <w:r w:rsidRPr="00275521">
        <w:rPr>
          <w:vertAlign w:val="superscript"/>
        </w:rPr>
        <w:t xml:space="preserve">b </w:t>
      </w:r>
      <w:r w:rsidRPr="00275521">
        <w:t>2-sided p-value is presented.</w:t>
      </w:r>
    </w:p>
    <w:p w14:paraId="245A0CC6" w14:textId="77777777" w:rsidR="009D51E3" w:rsidRPr="009D51E3" w:rsidRDefault="009D51E3" w:rsidP="008B6633">
      <w:pPr>
        <w:pStyle w:val="3-BodyText"/>
        <w:numPr>
          <w:ilvl w:val="0"/>
          <w:numId w:val="0"/>
        </w:numPr>
        <w:ind w:left="720" w:hanging="720"/>
        <w:rPr>
          <w:sz w:val="2"/>
          <w:szCs w:val="2"/>
        </w:rPr>
      </w:pPr>
    </w:p>
    <w:p w14:paraId="004EC6A2" w14:textId="2B725175" w:rsidR="00092F71" w:rsidRPr="00275521" w:rsidRDefault="00092F71" w:rsidP="008B6633">
      <w:pPr>
        <w:pStyle w:val="Caption"/>
        <w:spacing w:before="160"/>
      </w:pPr>
      <w:bookmarkStart w:id="30" w:name="_Ref219638587"/>
      <w:r w:rsidRPr="00275521">
        <w:lastRenderedPageBreak/>
        <w:t xml:space="preserve">Figure </w:t>
      </w:r>
      <w:fldSimple w:instr=" SEQ Figure \* ARABIC ">
        <w:r w:rsidR="0060088A">
          <w:rPr>
            <w:noProof/>
          </w:rPr>
          <w:t>1</w:t>
        </w:r>
      </w:fldSimple>
      <w:bookmarkEnd w:id="30"/>
      <w:r w:rsidRPr="00275521">
        <w:t xml:space="preserve">: Mean change in pruritus scratching score (ObsRO) from </w:t>
      </w:r>
      <w:r w:rsidR="00034E87" w:rsidRPr="00275521">
        <w:t>ASSERT baseline (</w:t>
      </w:r>
      <w:r w:rsidRPr="00275521">
        <w:t>Baseline 1</w:t>
      </w:r>
      <w:r w:rsidR="00034E87" w:rsidRPr="00275521">
        <w:t>)</w:t>
      </w:r>
      <w:r w:rsidRPr="00275521">
        <w:t xml:space="preserve"> during ASSERT and ASSERT-EXT (FAS)</w:t>
      </w:r>
    </w:p>
    <w:p w14:paraId="0177233F" w14:textId="77777777" w:rsidR="00092F71" w:rsidRPr="00275521" w:rsidRDefault="00092F71" w:rsidP="008B6633">
      <w:pPr>
        <w:keepNext/>
        <w:keepLines/>
      </w:pPr>
      <w:r w:rsidRPr="00275521">
        <w:rPr>
          <w:noProof/>
        </w:rPr>
        <w:drawing>
          <wp:inline distT="0" distB="0" distL="0" distR="0" wp14:anchorId="08296087" wp14:editId="33579C92">
            <wp:extent cx="5732145" cy="2480083"/>
            <wp:effectExtent l="0" t="0" r="1905" b="0"/>
            <wp:docPr id="19859030" name="Picture 36" descr="Figure 1: Mean change in pruritus scratching score (ObsRO) from ASSERT baseline (Baseline 1) during ASSERT and ASSERT-EXT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030" name="Picture 36" descr="Figure 1: Mean change in pruritus scratching score (ObsRO) from ASSERT baseline (Baseline 1) during ASSERT and ASSERT-EXT (FAS)"/>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a:fillRect/>
                    </a:stretch>
                  </pic:blipFill>
                  <pic:spPr bwMode="auto">
                    <a:xfrm>
                      <a:off x="0" y="0"/>
                      <a:ext cx="5732145" cy="2480083"/>
                    </a:xfrm>
                    <a:prstGeom prst="rect">
                      <a:avLst/>
                    </a:prstGeom>
                    <a:noFill/>
                    <a:ln>
                      <a:noFill/>
                    </a:ln>
                    <a:extLst>
                      <a:ext uri="{53640926-AAD7-44D8-BBD7-CCE9431645EC}">
                        <a14:shadowObscured xmlns:a14="http://schemas.microsoft.com/office/drawing/2010/main"/>
                      </a:ext>
                    </a:extLst>
                  </pic:spPr>
                </pic:pic>
              </a:graphicData>
            </a:graphic>
          </wp:inline>
        </w:drawing>
      </w:r>
    </w:p>
    <w:p w14:paraId="528FEA0C" w14:textId="77777777" w:rsidR="00092F71" w:rsidRPr="00275521" w:rsidRDefault="00092F71" w:rsidP="008B6633">
      <w:pPr>
        <w:pStyle w:val="TableFigureFooter"/>
        <w:widowControl/>
      </w:pPr>
      <w:r w:rsidRPr="00275521">
        <w:t>Source: Figure 2-9, p71 of the submission</w:t>
      </w:r>
    </w:p>
    <w:p w14:paraId="7612B71B" w14:textId="77777777" w:rsidR="00092F71" w:rsidRPr="00275521" w:rsidRDefault="00092F71" w:rsidP="008B6633">
      <w:pPr>
        <w:pStyle w:val="TableFigureFooter"/>
        <w:widowControl/>
      </w:pPr>
      <w:r w:rsidRPr="00275521">
        <w:t>Abbreviations: BL = baseline; FAS = full analysis set; ODX/ODX = received odevixibat in ASSERT and ASSERT-EXT; PBO/ODX = received placebo in ASSERT and odevixibat in ASSERT-EXT; wk = week.</w:t>
      </w:r>
    </w:p>
    <w:p w14:paraId="648AAFA4" w14:textId="07989743" w:rsidR="00092F71" w:rsidRPr="00275521" w:rsidRDefault="00092F71" w:rsidP="008B6633">
      <w:pPr>
        <w:pStyle w:val="TableFigureFooter"/>
        <w:widowControl/>
      </w:pPr>
      <w:r w:rsidRPr="00275521">
        <w:t xml:space="preserve">Dashed pink line indicates period of placebo administration in ASSERT. Error bars represent standard deviations (SDs). Values shown for ASSERT time points represent data from all ASSERT patients with available data at the indicated time point (odevixibat, n=35; placebo, n=17); values shown for ASSERT-EXT time points represent only the patients in ASSERT-EXT with available data at the indicated time point (ODX/ODX, n=33; PBO/ODX, n=17). Pruritus scores range from 0 to 4; higher scores indicate worse symptoms. </w:t>
      </w:r>
    </w:p>
    <w:p w14:paraId="740B48C1" w14:textId="4CAF86E4" w:rsidR="00092F71" w:rsidRPr="00275521" w:rsidRDefault="00092F71" w:rsidP="008B6633">
      <w:pPr>
        <w:pStyle w:val="5-SubsectionSubheading"/>
        <w:spacing w:before="160" w:after="160"/>
        <w:rPr>
          <w:rFonts w:cstheme="minorHAnsi"/>
        </w:rPr>
      </w:pPr>
      <w:bookmarkStart w:id="31" w:name="_Toc219900845"/>
      <w:r w:rsidRPr="00275521">
        <w:rPr>
          <w:rFonts w:cstheme="minorHAnsi"/>
        </w:rPr>
        <w:t xml:space="preserve">Proportion of patients </w:t>
      </w:r>
      <w:r w:rsidR="00805BC9" w:rsidRPr="00275521">
        <w:rPr>
          <w:rFonts w:cstheme="minorHAnsi"/>
        </w:rPr>
        <w:t>with</w:t>
      </w:r>
      <w:r w:rsidRPr="00275521">
        <w:rPr>
          <w:rFonts w:cstheme="minorHAnsi"/>
        </w:rPr>
        <w:t xml:space="preserve"> a clinically meaningful decrease in </w:t>
      </w:r>
      <w:r w:rsidR="007B3780" w:rsidRPr="00275521">
        <w:rPr>
          <w:rFonts w:cstheme="minorHAnsi"/>
        </w:rPr>
        <w:t xml:space="preserve">the ObsRO </w:t>
      </w:r>
      <w:r w:rsidRPr="00275521">
        <w:rPr>
          <w:rFonts w:cstheme="minorHAnsi"/>
        </w:rPr>
        <w:t xml:space="preserve">pruritus </w:t>
      </w:r>
      <w:r w:rsidR="007B3780" w:rsidRPr="00275521">
        <w:rPr>
          <w:rFonts w:cstheme="minorHAnsi"/>
        </w:rPr>
        <w:t>scratching severity score</w:t>
      </w:r>
      <w:r w:rsidR="009D2479" w:rsidRPr="00275521">
        <w:rPr>
          <w:rFonts w:cstheme="minorHAnsi"/>
        </w:rPr>
        <w:t xml:space="preserve"> (pruritus responders)</w:t>
      </w:r>
      <w:bookmarkEnd w:id="31"/>
    </w:p>
    <w:p w14:paraId="013DA0DA" w14:textId="7B011138" w:rsidR="007B3780" w:rsidRPr="00385A6B" w:rsidRDefault="007B3780" w:rsidP="008B6633">
      <w:pPr>
        <w:pStyle w:val="3-BodyText"/>
        <w:spacing w:before="160" w:after="160"/>
        <w:rPr>
          <w:rFonts w:cstheme="minorHAnsi"/>
        </w:rPr>
      </w:pPr>
      <w:r w:rsidRPr="00385A6B">
        <w:rPr>
          <w:rFonts w:cstheme="minorHAnsi"/>
        </w:rPr>
        <w:t>The proportion of pruritus responders (≥1.0 or ≥1.5-point reduction in ObsRO pruritus score from baseline) was a secondary outcome of ASSERT and ASSERT-</w:t>
      </w:r>
      <w:r w:rsidR="00D92B36" w:rsidRPr="00385A6B">
        <w:rPr>
          <w:rFonts w:cstheme="minorHAnsi"/>
        </w:rPr>
        <w:t>EXT and</w:t>
      </w:r>
      <w:r w:rsidRPr="00385A6B">
        <w:rPr>
          <w:rFonts w:cstheme="minorHAnsi"/>
        </w:rPr>
        <w:t xml:space="preserve"> is shown in </w:t>
      </w:r>
      <w:r w:rsidRPr="00385A6B">
        <w:rPr>
          <w:rFonts w:cstheme="minorHAnsi"/>
        </w:rPr>
        <w:fldChar w:fldCharType="begin"/>
      </w:r>
      <w:r w:rsidRPr="00385A6B">
        <w:rPr>
          <w:rFonts w:cstheme="minorHAnsi"/>
        </w:rPr>
        <w:instrText xml:space="preserve"> REF _Ref218698826 \h </w:instrText>
      </w:r>
      <w:r w:rsidR="00D92B36" w:rsidRPr="00385A6B">
        <w:rPr>
          <w:rFonts w:cstheme="minorHAnsi"/>
        </w:rPr>
        <w:instrText xml:space="preserve"> \* MERGEFORMAT </w:instrText>
      </w:r>
      <w:r w:rsidRPr="00385A6B">
        <w:rPr>
          <w:rFonts w:cstheme="minorHAnsi"/>
        </w:rPr>
      </w:r>
      <w:r w:rsidRPr="00385A6B">
        <w:rPr>
          <w:rFonts w:cstheme="minorHAnsi"/>
        </w:rPr>
        <w:fldChar w:fldCharType="separate"/>
      </w:r>
      <w:r w:rsidR="0060088A" w:rsidRPr="0060088A">
        <w:rPr>
          <w:rFonts w:cstheme="minorHAnsi"/>
        </w:rPr>
        <w:t>Table 5</w:t>
      </w:r>
      <w:r w:rsidRPr="00385A6B">
        <w:rPr>
          <w:rFonts w:cstheme="minorHAnsi"/>
        </w:rPr>
        <w:fldChar w:fldCharType="end"/>
      </w:r>
      <w:r w:rsidRPr="00385A6B">
        <w:rPr>
          <w:rFonts w:cstheme="minorHAnsi"/>
        </w:rPr>
        <w:t>.</w:t>
      </w:r>
    </w:p>
    <w:p w14:paraId="031F57C2" w14:textId="1022C490" w:rsidR="00543EC6" w:rsidRPr="00385A6B" w:rsidRDefault="00543EC6" w:rsidP="008B6633">
      <w:pPr>
        <w:pStyle w:val="3-BodyText"/>
        <w:spacing w:before="160" w:after="160"/>
        <w:rPr>
          <w:rFonts w:cstheme="minorHAnsi"/>
        </w:rPr>
      </w:pPr>
      <w:bookmarkStart w:id="32" w:name="_Ref227050366"/>
      <w:r w:rsidRPr="00385A6B">
        <w:rPr>
          <w:rFonts w:cstheme="minorHAnsi"/>
        </w:rPr>
        <w:t xml:space="preserve">The submission claimed that there was a statistically significant greater proportion of pruritus responders with a ≥1.5-point drop in pruritus from baseline for patients who received odevixibat compared with those who received placebo at both Weeks 9–12 (difference 54.1%, odds ratio [OR] 23.97, p &lt;0.05) and Weeks 21–24 (difference 36.7%, OR 5.15, p &lt;0.03). However, the </w:t>
      </w:r>
      <w:r w:rsidR="004673B8">
        <w:rPr>
          <w:rFonts w:cstheme="minorHAnsi"/>
        </w:rPr>
        <w:t xml:space="preserve">evaluation noted that the </w:t>
      </w:r>
      <w:r w:rsidRPr="00385A6B">
        <w:rPr>
          <w:rFonts w:cstheme="minorHAnsi"/>
        </w:rPr>
        <w:t>difference in the proportion of pruritus responders (≥1.0 or ≥1.5-point reduction in ObsRO) was a secondary outcome of ASSERT and was not adjusted for multiplicity.</w:t>
      </w:r>
      <w:bookmarkEnd w:id="32"/>
    </w:p>
    <w:p w14:paraId="11095B3B" w14:textId="44F2EE3A" w:rsidR="00543EC6" w:rsidRPr="00385A6B" w:rsidRDefault="00543EC6" w:rsidP="008B6633">
      <w:pPr>
        <w:pStyle w:val="3-BodyText"/>
        <w:spacing w:before="160" w:after="160"/>
        <w:rPr>
          <w:rFonts w:cstheme="minorHAnsi"/>
        </w:rPr>
      </w:pPr>
      <w:r w:rsidRPr="00385A6B">
        <w:rPr>
          <w:rFonts w:cstheme="minorHAnsi"/>
        </w:rPr>
        <w:t xml:space="preserve">The submission claimed that some odevixibat-treated patients from ASSERT, with </w:t>
      </w:r>
      <w:r w:rsidR="004B67EA" w:rsidRPr="00385A6B">
        <w:rPr>
          <w:rFonts w:cstheme="minorHAnsi"/>
        </w:rPr>
        <w:t xml:space="preserve">improvements in </w:t>
      </w:r>
      <w:r w:rsidRPr="00385A6B">
        <w:rPr>
          <w:rFonts w:cstheme="minorHAnsi"/>
        </w:rPr>
        <w:t>scratching scores</w:t>
      </w:r>
      <w:r w:rsidR="00D2171A" w:rsidRPr="00385A6B">
        <w:rPr>
          <w:rFonts w:cstheme="minorHAnsi"/>
        </w:rPr>
        <w:t xml:space="preserve"> of</w:t>
      </w:r>
      <w:r w:rsidRPr="00385A6B">
        <w:rPr>
          <w:rFonts w:cstheme="minorHAnsi"/>
        </w:rPr>
        <w:t xml:space="preserve"> &gt;1.5 or &gt;1.0 at the start of ASSERT-EXT</w:t>
      </w:r>
      <w:r w:rsidR="00D2171A" w:rsidRPr="00385A6B">
        <w:rPr>
          <w:rFonts w:cstheme="minorHAnsi"/>
        </w:rPr>
        <w:t xml:space="preserve"> (from ASSERT baseline)</w:t>
      </w:r>
      <w:r w:rsidRPr="00385A6B">
        <w:rPr>
          <w:rFonts w:cstheme="minorHAnsi"/>
        </w:rPr>
        <w:t>, showed further improvement with long-term odevixibat treatment.</w:t>
      </w:r>
    </w:p>
    <w:p w14:paraId="29C645A7" w14:textId="77777777" w:rsidR="00543EC6" w:rsidRPr="00385A6B" w:rsidRDefault="00543EC6" w:rsidP="008B6633">
      <w:pPr>
        <w:pStyle w:val="3-BodyText"/>
        <w:spacing w:before="160" w:after="160"/>
        <w:rPr>
          <w:rFonts w:cstheme="minorHAnsi"/>
        </w:rPr>
      </w:pPr>
      <w:r w:rsidRPr="00385A6B">
        <w:rPr>
          <w:rFonts w:cstheme="minorHAnsi"/>
        </w:rPr>
        <w:t>The ASSERT-EXT clinical study report (CSR) stated that, based on the ASSERT baseline, for those patients who received odevixibat in both studies (i.e. ODX/ODX group) following 48 weeks of treatment (ASSERT-EXT Weeks 21-24), 21 (70.0%) of 30 patients had a ≥1.5-point reduction in scratching severity score as did 22 (73.3%) of 30 patients after 96 weeks (ASSERT-EXT Weeks 69-72).</w:t>
      </w:r>
    </w:p>
    <w:p w14:paraId="3450815F" w14:textId="248E8790" w:rsidR="007B3780" w:rsidRPr="00275521" w:rsidRDefault="007B3780" w:rsidP="008B6633">
      <w:pPr>
        <w:pStyle w:val="Caption"/>
        <w:rPr>
          <w:i/>
          <w:iCs/>
        </w:rPr>
      </w:pPr>
      <w:bookmarkStart w:id="33" w:name="_Ref218698826"/>
      <w:r w:rsidRPr="00275521">
        <w:lastRenderedPageBreak/>
        <w:t xml:space="preserve">Table </w:t>
      </w:r>
      <w:fldSimple w:instr=" SEQ Table \* ARABIC ">
        <w:r w:rsidR="0060088A">
          <w:rPr>
            <w:noProof/>
          </w:rPr>
          <w:t>5</w:t>
        </w:r>
      </w:fldSimple>
      <w:bookmarkEnd w:id="33"/>
      <w:r w:rsidRPr="00275521">
        <w:t>: Proportion of pruritus responders (≥1.0 or ≥1.5-point reduction in ObsRO pruritus score from baseline) – ASSERT and ASSERT-EXT (</w:t>
      </w:r>
      <w:r w:rsidR="009039CB" w:rsidRPr="00275521">
        <w:t>average of morning</w:t>
      </w:r>
      <w:r w:rsidRPr="00275521">
        <w:t xml:space="preserve"> and </w:t>
      </w:r>
      <w:r w:rsidR="009039CB" w:rsidRPr="00275521">
        <w:t>evening</w:t>
      </w:r>
      <w:r w:rsidRPr="00275521">
        <w:t xml:space="preserve"> </w:t>
      </w:r>
      <w:r w:rsidR="00336664" w:rsidRPr="00275521">
        <w:t>s</w:t>
      </w:r>
      <w:r w:rsidRPr="00275521">
        <w:t>cores)</w:t>
      </w:r>
    </w:p>
    <w:tbl>
      <w:tblPr>
        <w:tblStyle w:val="Grid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Proportion of pruritus responders (≥1.0 or ≥1.5-point reduction in ObsRO pruritus score from baseline) – ASSERT and ASSERT-EXT (average of morning and evening scores)"/>
      </w:tblPr>
      <w:tblGrid>
        <w:gridCol w:w="2972"/>
        <w:gridCol w:w="1772"/>
        <w:gridCol w:w="1772"/>
        <w:gridCol w:w="2501"/>
      </w:tblGrid>
      <w:tr w:rsidR="00E01248" w:rsidRPr="00275521" w14:paraId="1380ECCA" w14:textId="77777777" w:rsidTr="00D83CA1">
        <w:trPr>
          <w:cnfStyle w:val="100000000000" w:firstRow="1" w:lastRow="0" w:firstColumn="0" w:lastColumn="0" w:oddVBand="0" w:evenVBand="0" w:oddHBand="0" w:evenHBand="0" w:firstRowFirstColumn="0" w:firstRowLastColumn="0" w:lastRowFirstColumn="0" w:lastRowLastColumn="0"/>
          <w:trHeight w:val="43"/>
          <w:tblHead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bottom"/>
            <w:hideMark/>
          </w:tcPr>
          <w:p w14:paraId="0F7FD981" w14:textId="77777777" w:rsidR="007B3780" w:rsidRPr="00275521" w:rsidRDefault="007B3780" w:rsidP="008B6633">
            <w:pPr>
              <w:keepNext/>
              <w:rPr>
                <w:rFonts w:ascii="Arial Narrow" w:hAnsi="Arial Narrow"/>
                <w:color w:val="auto"/>
                <w:sz w:val="20"/>
                <w:szCs w:val="20"/>
              </w:rPr>
            </w:pPr>
            <w:r w:rsidRPr="00275521">
              <w:rPr>
                <w:rFonts w:ascii="Arial Narrow" w:hAnsi="Arial Narrow"/>
                <w:color w:val="auto"/>
                <w:sz w:val="20"/>
                <w:szCs w:val="20"/>
              </w:rPr>
              <w:t>Visit, Statistic</w:t>
            </w:r>
          </w:p>
        </w:tc>
        <w:tc>
          <w:tcPr>
            <w:tcW w:w="1772" w:type="dxa"/>
            <w:shd w:val="clear" w:color="auto" w:fill="auto"/>
            <w:vAlign w:val="center"/>
            <w:hideMark/>
          </w:tcPr>
          <w:p w14:paraId="2EEE9869" w14:textId="7BC2EF28" w:rsidR="007B3780" w:rsidRPr="00275521" w:rsidRDefault="007B3780" w:rsidP="008B6633">
            <w:pPr>
              <w:keepN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rPr>
            </w:pPr>
            <w:r w:rsidRPr="00275521">
              <w:rPr>
                <w:rFonts w:ascii="Arial Narrow" w:hAnsi="Arial Narrow"/>
                <w:color w:val="auto"/>
                <w:sz w:val="20"/>
                <w:szCs w:val="20"/>
              </w:rPr>
              <w:t>%</w:t>
            </w:r>
            <w:r w:rsidR="00805BC9" w:rsidRPr="00275521">
              <w:rPr>
                <w:rFonts w:ascii="Arial Narrow" w:hAnsi="Arial Narrow"/>
                <w:color w:val="auto"/>
                <w:sz w:val="20"/>
                <w:szCs w:val="20"/>
              </w:rPr>
              <w:t xml:space="preserve"> (n/N)</w:t>
            </w:r>
          </w:p>
        </w:tc>
        <w:tc>
          <w:tcPr>
            <w:tcW w:w="1772" w:type="dxa"/>
            <w:shd w:val="clear" w:color="auto" w:fill="auto"/>
            <w:vAlign w:val="center"/>
            <w:hideMark/>
          </w:tcPr>
          <w:p w14:paraId="16719A10" w14:textId="3CC8D623" w:rsidR="007B3780" w:rsidRPr="00275521" w:rsidRDefault="007B3780" w:rsidP="008B6633">
            <w:pPr>
              <w:keepN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rPr>
            </w:pPr>
            <w:r w:rsidRPr="00275521">
              <w:rPr>
                <w:rFonts w:ascii="Arial Narrow" w:hAnsi="Arial Narrow"/>
                <w:color w:val="auto"/>
                <w:sz w:val="20"/>
                <w:szCs w:val="20"/>
              </w:rPr>
              <w:t>%</w:t>
            </w:r>
            <w:r w:rsidR="00805BC9" w:rsidRPr="00275521">
              <w:rPr>
                <w:rFonts w:ascii="Arial Narrow" w:hAnsi="Arial Narrow"/>
                <w:color w:val="auto"/>
                <w:sz w:val="20"/>
                <w:szCs w:val="20"/>
              </w:rPr>
              <w:t xml:space="preserve"> (n/N)</w:t>
            </w:r>
          </w:p>
        </w:tc>
        <w:tc>
          <w:tcPr>
            <w:tcW w:w="2501" w:type="dxa"/>
            <w:shd w:val="clear" w:color="auto" w:fill="auto"/>
            <w:vAlign w:val="center"/>
          </w:tcPr>
          <w:p w14:paraId="1F301ACD" w14:textId="7FCBD25B" w:rsidR="007B3780" w:rsidRPr="00275521" w:rsidRDefault="00200AC1" w:rsidP="008B6633">
            <w:pPr>
              <w:keepNext/>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0"/>
                <w:szCs w:val="20"/>
              </w:rPr>
            </w:pPr>
            <w:r w:rsidRPr="00275521">
              <w:rPr>
                <w:rFonts w:ascii="Arial Narrow" w:hAnsi="Arial Narrow"/>
                <w:color w:val="auto"/>
                <w:sz w:val="20"/>
                <w:szCs w:val="20"/>
              </w:rPr>
              <w:t>% difference</w:t>
            </w:r>
          </w:p>
        </w:tc>
      </w:tr>
      <w:tr w:rsidR="009D476F" w:rsidRPr="00275521" w14:paraId="1BEF6230" w14:textId="77777777" w:rsidTr="00D83C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5408AB57" w14:textId="77777777" w:rsidR="007B3780" w:rsidRPr="00275521" w:rsidRDefault="007B3780" w:rsidP="008B6633">
            <w:pPr>
              <w:keepNext/>
              <w:jc w:val="left"/>
              <w:rPr>
                <w:rFonts w:ascii="Arial Narrow" w:hAnsi="Arial Narrow"/>
                <w:sz w:val="20"/>
                <w:szCs w:val="20"/>
              </w:rPr>
            </w:pPr>
            <w:r w:rsidRPr="00275521">
              <w:rPr>
                <w:rFonts w:ascii="Arial Narrow" w:hAnsi="Arial Narrow"/>
                <w:sz w:val="20"/>
                <w:szCs w:val="20"/>
              </w:rPr>
              <w:t>ASSERT</w:t>
            </w:r>
          </w:p>
        </w:tc>
        <w:tc>
          <w:tcPr>
            <w:tcW w:w="1772" w:type="dxa"/>
            <w:shd w:val="clear" w:color="auto" w:fill="auto"/>
            <w:vAlign w:val="center"/>
          </w:tcPr>
          <w:p w14:paraId="6BA21E04" w14:textId="0DE4AC39" w:rsidR="007B3780" w:rsidRPr="00275521" w:rsidRDefault="00543EC6"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275521">
              <w:rPr>
                <w:rFonts w:ascii="Arial Narrow" w:hAnsi="Arial Narrow"/>
                <w:b/>
                <w:bCs/>
                <w:sz w:val="20"/>
                <w:szCs w:val="20"/>
              </w:rPr>
              <w:t>Placebo (N=17)</w:t>
            </w:r>
          </w:p>
        </w:tc>
        <w:tc>
          <w:tcPr>
            <w:tcW w:w="1772" w:type="dxa"/>
            <w:shd w:val="clear" w:color="auto" w:fill="auto"/>
            <w:vAlign w:val="center"/>
          </w:tcPr>
          <w:p w14:paraId="4566717E" w14:textId="270901FF" w:rsidR="007B3780" w:rsidRPr="00275521" w:rsidRDefault="00543EC6"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275521">
              <w:rPr>
                <w:rFonts w:ascii="Arial Narrow" w:hAnsi="Arial Narrow"/>
                <w:b/>
                <w:bCs/>
                <w:sz w:val="20"/>
                <w:szCs w:val="20"/>
              </w:rPr>
              <w:t>Odevixibat (N=35)</w:t>
            </w:r>
          </w:p>
        </w:tc>
        <w:tc>
          <w:tcPr>
            <w:tcW w:w="2501" w:type="dxa"/>
            <w:shd w:val="clear" w:color="auto" w:fill="auto"/>
            <w:vAlign w:val="center"/>
          </w:tcPr>
          <w:p w14:paraId="061CDA4D"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r>
      <w:tr w:rsidR="00291E26" w:rsidRPr="00275521" w14:paraId="46A23F73" w14:textId="77777777" w:rsidTr="00543EC6">
        <w:trPr>
          <w:trHeight w:val="283"/>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49969757" w14:textId="77777777" w:rsidR="007B3780" w:rsidRPr="00275521" w:rsidRDefault="007B3780" w:rsidP="008B6633">
            <w:pPr>
              <w:keepNext/>
              <w:jc w:val="left"/>
              <w:rPr>
                <w:rFonts w:ascii="Arial Narrow" w:hAnsi="Arial Narrow"/>
                <w:b w:val="0"/>
                <w:bCs w:val="0"/>
                <w:sz w:val="20"/>
                <w:szCs w:val="20"/>
              </w:rPr>
            </w:pPr>
            <w:r w:rsidRPr="00275521">
              <w:rPr>
                <w:rFonts w:ascii="Arial Narrow" w:hAnsi="Arial Narrow"/>
                <w:b w:val="0"/>
                <w:bCs w:val="0"/>
                <w:sz w:val="20"/>
                <w:szCs w:val="20"/>
              </w:rPr>
              <w:t>≥1.0 point drop from ASSERT baseline to Week 9-12</w:t>
            </w:r>
          </w:p>
        </w:tc>
        <w:tc>
          <w:tcPr>
            <w:tcW w:w="1772" w:type="dxa"/>
            <w:vAlign w:val="center"/>
          </w:tcPr>
          <w:p w14:paraId="3138BE85"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 xml:space="preserve">35.3 </w:t>
            </w:r>
            <w:r w:rsidRPr="00BA02C0">
              <w:rPr>
                <w:rFonts w:ascii="Arial Narrow" w:hAnsi="Arial Narrow"/>
                <w:sz w:val="20"/>
                <w:szCs w:val="20"/>
              </w:rPr>
              <w:t>(6/17)</w:t>
            </w:r>
          </w:p>
        </w:tc>
        <w:tc>
          <w:tcPr>
            <w:tcW w:w="1772" w:type="dxa"/>
            <w:vAlign w:val="center"/>
          </w:tcPr>
          <w:p w14:paraId="68F1CCF4"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 xml:space="preserve">74.3 </w:t>
            </w:r>
            <w:r w:rsidRPr="00BA02C0">
              <w:rPr>
                <w:rFonts w:ascii="Arial Narrow" w:hAnsi="Arial Narrow"/>
                <w:sz w:val="20"/>
                <w:szCs w:val="20"/>
              </w:rPr>
              <w:t>(26/35)</w:t>
            </w:r>
          </w:p>
        </w:tc>
        <w:tc>
          <w:tcPr>
            <w:tcW w:w="2501" w:type="dxa"/>
            <w:vAlign w:val="center"/>
          </w:tcPr>
          <w:p w14:paraId="1F50A846"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39.0</w:t>
            </w:r>
          </w:p>
          <w:p w14:paraId="74545407"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OR 5.27 (95% CI 1.28, 21.31)</w:t>
            </w:r>
          </w:p>
          <w:p w14:paraId="62287F23"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p&lt;0.01</w:t>
            </w:r>
          </w:p>
        </w:tc>
      </w:tr>
      <w:tr w:rsidR="009D476F" w:rsidRPr="00275521" w14:paraId="7B0B414B" w14:textId="77777777" w:rsidTr="00D83C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hideMark/>
          </w:tcPr>
          <w:p w14:paraId="59690188" w14:textId="77777777" w:rsidR="007B3780" w:rsidRPr="00275521" w:rsidRDefault="007B3780" w:rsidP="008B6633">
            <w:pPr>
              <w:keepNext/>
              <w:jc w:val="left"/>
              <w:rPr>
                <w:rFonts w:ascii="Arial Narrow" w:hAnsi="Arial Narrow"/>
                <w:b w:val="0"/>
                <w:bCs w:val="0"/>
                <w:sz w:val="20"/>
                <w:szCs w:val="20"/>
              </w:rPr>
            </w:pPr>
            <w:r w:rsidRPr="00275521">
              <w:rPr>
                <w:rFonts w:ascii="Arial Narrow" w:hAnsi="Arial Narrow"/>
                <w:b w:val="0"/>
                <w:bCs w:val="0"/>
                <w:sz w:val="20"/>
                <w:szCs w:val="20"/>
              </w:rPr>
              <w:t>≥1.0 point drop from ASSERT baseline to Week 21-24</w:t>
            </w:r>
          </w:p>
        </w:tc>
        <w:tc>
          <w:tcPr>
            <w:tcW w:w="1772" w:type="dxa"/>
            <w:shd w:val="clear" w:color="auto" w:fill="auto"/>
            <w:vAlign w:val="center"/>
          </w:tcPr>
          <w:p w14:paraId="2C6CA7AF"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 xml:space="preserve">35.3 </w:t>
            </w:r>
            <w:r w:rsidRPr="00BA02C0">
              <w:rPr>
                <w:rFonts w:ascii="Arial Narrow" w:hAnsi="Arial Narrow"/>
                <w:sz w:val="20"/>
                <w:szCs w:val="20"/>
              </w:rPr>
              <w:t>(6/17)</w:t>
            </w:r>
          </w:p>
        </w:tc>
        <w:tc>
          <w:tcPr>
            <w:tcW w:w="1772" w:type="dxa"/>
            <w:shd w:val="clear" w:color="auto" w:fill="auto"/>
            <w:vAlign w:val="center"/>
          </w:tcPr>
          <w:p w14:paraId="5F699FEA"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 xml:space="preserve">80.0 </w:t>
            </w:r>
            <w:r w:rsidRPr="00BA02C0">
              <w:rPr>
                <w:rFonts w:ascii="Arial Narrow" w:hAnsi="Arial Narrow"/>
                <w:sz w:val="20"/>
                <w:szCs w:val="20"/>
              </w:rPr>
              <w:t>(28/35)</w:t>
            </w:r>
          </w:p>
        </w:tc>
        <w:tc>
          <w:tcPr>
            <w:tcW w:w="2501" w:type="dxa"/>
            <w:shd w:val="clear" w:color="auto" w:fill="auto"/>
            <w:vAlign w:val="center"/>
          </w:tcPr>
          <w:p w14:paraId="7228CED0"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44.7</w:t>
            </w:r>
          </w:p>
          <w:p w14:paraId="2292F69A"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OR 8.31 (95% CI 1.82, 44.48) p&lt;0.01</w:t>
            </w:r>
          </w:p>
        </w:tc>
      </w:tr>
      <w:tr w:rsidR="00291E26" w:rsidRPr="00275521" w14:paraId="11E7881F" w14:textId="77777777" w:rsidTr="00543EC6">
        <w:trPr>
          <w:trHeight w:val="283"/>
        </w:trPr>
        <w:tc>
          <w:tcPr>
            <w:cnfStyle w:val="001000000000" w:firstRow="0" w:lastRow="0" w:firstColumn="1" w:lastColumn="0" w:oddVBand="0" w:evenVBand="0" w:oddHBand="0" w:evenHBand="0" w:firstRowFirstColumn="0" w:firstRowLastColumn="0" w:lastRowFirstColumn="0" w:lastRowLastColumn="0"/>
            <w:tcW w:w="2972" w:type="dxa"/>
            <w:vAlign w:val="center"/>
            <w:hideMark/>
          </w:tcPr>
          <w:p w14:paraId="79D4C1CB" w14:textId="77777777" w:rsidR="007B3780" w:rsidRPr="00275521" w:rsidRDefault="007B3780" w:rsidP="008B6633">
            <w:pPr>
              <w:keepNext/>
              <w:jc w:val="left"/>
              <w:rPr>
                <w:rFonts w:ascii="Arial Narrow" w:hAnsi="Arial Narrow"/>
                <w:b w:val="0"/>
                <w:bCs w:val="0"/>
                <w:sz w:val="20"/>
                <w:szCs w:val="20"/>
              </w:rPr>
            </w:pPr>
            <w:r w:rsidRPr="00275521">
              <w:rPr>
                <w:rFonts w:ascii="Arial Narrow" w:hAnsi="Arial Narrow"/>
                <w:b w:val="0"/>
                <w:bCs w:val="0"/>
                <w:sz w:val="20"/>
                <w:szCs w:val="20"/>
              </w:rPr>
              <w:t>≥1.5 point drop from ASSERT baseline to Week 9-12</w:t>
            </w:r>
          </w:p>
        </w:tc>
        <w:tc>
          <w:tcPr>
            <w:tcW w:w="1772" w:type="dxa"/>
            <w:vAlign w:val="center"/>
          </w:tcPr>
          <w:p w14:paraId="721B8A25"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 xml:space="preserve">5.9 </w:t>
            </w:r>
            <w:r w:rsidRPr="00BA02C0">
              <w:rPr>
                <w:rFonts w:ascii="Arial Narrow" w:hAnsi="Arial Narrow"/>
                <w:sz w:val="20"/>
                <w:szCs w:val="20"/>
              </w:rPr>
              <w:t>(1/17)</w:t>
            </w:r>
          </w:p>
        </w:tc>
        <w:tc>
          <w:tcPr>
            <w:tcW w:w="1772" w:type="dxa"/>
            <w:vAlign w:val="center"/>
          </w:tcPr>
          <w:p w14:paraId="258FA1F5"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 xml:space="preserve">60.0 </w:t>
            </w:r>
            <w:r w:rsidRPr="00BA02C0">
              <w:rPr>
                <w:rFonts w:ascii="Arial Narrow" w:hAnsi="Arial Narrow"/>
                <w:sz w:val="20"/>
                <w:szCs w:val="20"/>
              </w:rPr>
              <w:t>(21/35)</w:t>
            </w:r>
          </w:p>
        </w:tc>
        <w:tc>
          <w:tcPr>
            <w:tcW w:w="2501" w:type="dxa"/>
            <w:vAlign w:val="center"/>
          </w:tcPr>
          <w:p w14:paraId="1244F8DE"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54.1</w:t>
            </w:r>
          </w:p>
          <w:p w14:paraId="7B0C0D59"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OR 23.97 (2.80, 996.25)</w:t>
            </w:r>
          </w:p>
          <w:p w14:paraId="18691216"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p&lt;0.01</w:t>
            </w:r>
          </w:p>
        </w:tc>
      </w:tr>
      <w:tr w:rsidR="009D476F" w:rsidRPr="00275521" w14:paraId="7C2D7B34" w14:textId="77777777" w:rsidTr="00D83C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7A5DD497" w14:textId="77777777" w:rsidR="007B3780" w:rsidRPr="00275521" w:rsidRDefault="007B3780" w:rsidP="008B6633">
            <w:pPr>
              <w:keepNext/>
              <w:jc w:val="left"/>
              <w:rPr>
                <w:rFonts w:ascii="Arial Narrow" w:hAnsi="Arial Narrow"/>
                <w:b w:val="0"/>
                <w:bCs w:val="0"/>
                <w:sz w:val="20"/>
                <w:szCs w:val="20"/>
              </w:rPr>
            </w:pPr>
            <w:r w:rsidRPr="00275521">
              <w:rPr>
                <w:rFonts w:ascii="Arial Narrow" w:hAnsi="Arial Narrow"/>
                <w:b w:val="0"/>
                <w:bCs w:val="0"/>
                <w:sz w:val="20"/>
                <w:szCs w:val="20"/>
              </w:rPr>
              <w:t>≥1.5 point drop from ASSERT baseline to Week 21-24</w:t>
            </w:r>
          </w:p>
        </w:tc>
        <w:tc>
          <w:tcPr>
            <w:tcW w:w="1772" w:type="dxa"/>
            <w:shd w:val="clear" w:color="auto" w:fill="auto"/>
            <w:vAlign w:val="center"/>
          </w:tcPr>
          <w:p w14:paraId="7CB1A20F"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 xml:space="preserve">17.6 </w:t>
            </w:r>
            <w:r w:rsidRPr="00BA02C0">
              <w:rPr>
                <w:rFonts w:ascii="Arial Narrow" w:hAnsi="Arial Narrow"/>
                <w:sz w:val="20"/>
                <w:szCs w:val="20"/>
              </w:rPr>
              <w:t>(3/17)</w:t>
            </w:r>
          </w:p>
        </w:tc>
        <w:tc>
          <w:tcPr>
            <w:tcW w:w="1772" w:type="dxa"/>
            <w:shd w:val="clear" w:color="auto" w:fill="auto"/>
            <w:vAlign w:val="center"/>
          </w:tcPr>
          <w:p w14:paraId="45A3075E"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 xml:space="preserve">54.3 </w:t>
            </w:r>
            <w:r w:rsidRPr="00BA02C0">
              <w:rPr>
                <w:rFonts w:ascii="Arial Narrow" w:hAnsi="Arial Narrow"/>
                <w:sz w:val="20"/>
                <w:szCs w:val="20"/>
              </w:rPr>
              <w:t>(19/35)</w:t>
            </w:r>
          </w:p>
        </w:tc>
        <w:tc>
          <w:tcPr>
            <w:tcW w:w="2501" w:type="dxa"/>
            <w:shd w:val="clear" w:color="auto" w:fill="auto"/>
            <w:vAlign w:val="center"/>
          </w:tcPr>
          <w:p w14:paraId="1A5E8CF9"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36.7</w:t>
            </w:r>
          </w:p>
          <w:p w14:paraId="3852EE8B"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OR 5.15 (95% 1.17, 34.16)</w:t>
            </w:r>
          </w:p>
          <w:p w14:paraId="60962C47"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p&lt;0.03</w:t>
            </w:r>
          </w:p>
        </w:tc>
      </w:tr>
      <w:tr w:rsidR="00291E26" w:rsidRPr="00275521" w14:paraId="68DABF1C" w14:textId="77777777" w:rsidTr="00543EC6">
        <w:trPr>
          <w:trHeight w:val="283"/>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77DC6ACE" w14:textId="77777777" w:rsidR="007B3780" w:rsidRPr="00275521" w:rsidRDefault="007B3780" w:rsidP="008B6633">
            <w:pPr>
              <w:keepNext/>
              <w:jc w:val="left"/>
              <w:rPr>
                <w:rFonts w:ascii="Arial Narrow" w:hAnsi="Arial Narrow"/>
                <w:sz w:val="20"/>
                <w:szCs w:val="20"/>
              </w:rPr>
            </w:pPr>
            <w:r w:rsidRPr="00275521">
              <w:rPr>
                <w:rFonts w:ascii="Arial Narrow" w:hAnsi="Arial Narrow"/>
                <w:sz w:val="20"/>
                <w:szCs w:val="20"/>
              </w:rPr>
              <w:t>ASSERT-EXT</w:t>
            </w:r>
          </w:p>
        </w:tc>
        <w:tc>
          <w:tcPr>
            <w:tcW w:w="1772" w:type="dxa"/>
            <w:vAlign w:val="center"/>
          </w:tcPr>
          <w:p w14:paraId="5DFA56D9"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275521">
              <w:rPr>
                <w:rFonts w:ascii="Arial Narrow" w:hAnsi="Arial Narrow"/>
                <w:b/>
                <w:bCs/>
                <w:sz w:val="20"/>
                <w:szCs w:val="20"/>
              </w:rPr>
              <w:t>PBO/ODX (n=17)</w:t>
            </w:r>
          </w:p>
        </w:tc>
        <w:tc>
          <w:tcPr>
            <w:tcW w:w="1772" w:type="dxa"/>
            <w:vAlign w:val="center"/>
          </w:tcPr>
          <w:p w14:paraId="67E29FF7"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275521">
              <w:rPr>
                <w:rFonts w:ascii="Arial Narrow" w:hAnsi="Arial Narrow"/>
                <w:b/>
                <w:bCs/>
                <w:sz w:val="20"/>
                <w:szCs w:val="20"/>
              </w:rPr>
              <w:t>ODX/ODX (n=33)</w:t>
            </w:r>
          </w:p>
        </w:tc>
        <w:tc>
          <w:tcPr>
            <w:tcW w:w="2501" w:type="dxa"/>
            <w:vAlign w:val="center"/>
          </w:tcPr>
          <w:p w14:paraId="7C1FBE76"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r>
      <w:tr w:rsidR="009D476F" w:rsidRPr="00275521" w14:paraId="1D32ABA7" w14:textId="77777777" w:rsidTr="00D83C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2AE273F5" w14:textId="77777777" w:rsidR="007B3780" w:rsidRPr="00275521" w:rsidRDefault="007B3780" w:rsidP="008B6633">
            <w:pPr>
              <w:keepNext/>
              <w:jc w:val="left"/>
              <w:rPr>
                <w:rFonts w:ascii="Arial Narrow" w:hAnsi="Arial Narrow"/>
                <w:sz w:val="20"/>
                <w:szCs w:val="20"/>
              </w:rPr>
            </w:pPr>
            <w:r w:rsidRPr="00275521">
              <w:rPr>
                <w:rFonts w:ascii="Arial Narrow" w:hAnsi="Arial Narrow"/>
                <w:b w:val="0"/>
                <w:bCs w:val="0"/>
                <w:sz w:val="20"/>
                <w:szCs w:val="20"/>
              </w:rPr>
              <w:t>≥1.0 point drop from ASSERT-EXT baseline to Week 21-24</w:t>
            </w:r>
          </w:p>
        </w:tc>
        <w:tc>
          <w:tcPr>
            <w:tcW w:w="1772" w:type="dxa"/>
            <w:shd w:val="clear" w:color="auto" w:fill="auto"/>
            <w:vAlign w:val="center"/>
          </w:tcPr>
          <w:p w14:paraId="4C874F3A"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50.0 (8/16)</w:t>
            </w:r>
          </w:p>
        </w:tc>
        <w:tc>
          <w:tcPr>
            <w:tcW w:w="1772" w:type="dxa"/>
            <w:shd w:val="clear" w:color="auto" w:fill="auto"/>
            <w:vAlign w:val="center"/>
          </w:tcPr>
          <w:p w14:paraId="7DF73A02"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16.7 (5/30)</w:t>
            </w:r>
          </w:p>
        </w:tc>
        <w:tc>
          <w:tcPr>
            <w:tcW w:w="2501" w:type="dxa"/>
            <w:shd w:val="clear" w:color="auto" w:fill="auto"/>
            <w:vAlign w:val="center"/>
          </w:tcPr>
          <w:p w14:paraId="10796C0B"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w:t>
            </w:r>
          </w:p>
        </w:tc>
      </w:tr>
      <w:tr w:rsidR="00291E26" w:rsidRPr="00275521" w14:paraId="12708E55" w14:textId="77777777" w:rsidTr="00543EC6">
        <w:trPr>
          <w:trHeight w:val="283"/>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BEFEE59" w14:textId="77777777" w:rsidR="007B3780" w:rsidRPr="00275521" w:rsidRDefault="007B3780" w:rsidP="008B6633">
            <w:pPr>
              <w:keepNext/>
              <w:jc w:val="left"/>
              <w:rPr>
                <w:rFonts w:ascii="Arial Narrow" w:hAnsi="Arial Narrow"/>
                <w:sz w:val="20"/>
                <w:szCs w:val="20"/>
              </w:rPr>
            </w:pPr>
            <w:r w:rsidRPr="00275521">
              <w:rPr>
                <w:rFonts w:ascii="Arial Narrow" w:hAnsi="Arial Narrow"/>
                <w:b w:val="0"/>
                <w:bCs w:val="0"/>
                <w:sz w:val="20"/>
                <w:szCs w:val="20"/>
              </w:rPr>
              <w:t>≥1.0 point drop from ASSERT-EXT baseline to Week 45-48</w:t>
            </w:r>
          </w:p>
        </w:tc>
        <w:tc>
          <w:tcPr>
            <w:tcW w:w="1772" w:type="dxa"/>
            <w:vAlign w:val="center"/>
          </w:tcPr>
          <w:p w14:paraId="7E97AD83"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75.0 (9/12)</w:t>
            </w:r>
          </w:p>
        </w:tc>
        <w:tc>
          <w:tcPr>
            <w:tcW w:w="1772" w:type="dxa"/>
            <w:vAlign w:val="center"/>
          </w:tcPr>
          <w:p w14:paraId="1BE86AFC"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16.7 (5/30)</w:t>
            </w:r>
          </w:p>
        </w:tc>
        <w:tc>
          <w:tcPr>
            <w:tcW w:w="2501" w:type="dxa"/>
            <w:vAlign w:val="center"/>
          </w:tcPr>
          <w:p w14:paraId="3E5D0AB5"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w:t>
            </w:r>
          </w:p>
        </w:tc>
      </w:tr>
      <w:tr w:rsidR="009D476F" w:rsidRPr="00275521" w14:paraId="6FEDD694" w14:textId="77777777" w:rsidTr="00D83C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03111EC9" w14:textId="77777777" w:rsidR="007B3780" w:rsidRPr="00275521" w:rsidRDefault="007B3780" w:rsidP="008B6633">
            <w:pPr>
              <w:keepNext/>
              <w:jc w:val="left"/>
              <w:rPr>
                <w:rFonts w:ascii="Arial Narrow" w:hAnsi="Arial Narrow"/>
                <w:sz w:val="20"/>
                <w:szCs w:val="20"/>
              </w:rPr>
            </w:pPr>
            <w:r w:rsidRPr="00275521">
              <w:rPr>
                <w:rFonts w:ascii="Arial Narrow" w:hAnsi="Arial Narrow"/>
                <w:b w:val="0"/>
                <w:bCs w:val="0"/>
                <w:sz w:val="20"/>
                <w:szCs w:val="20"/>
              </w:rPr>
              <w:t>≥1.0 point drop from ASSERT-EXT baseline to Week 69-72</w:t>
            </w:r>
          </w:p>
        </w:tc>
        <w:tc>
          <w:tcPr>
            <w:tcW w:w="1772" w:type="dxa"/>
            <w:shd w:val="clear" w:color="auto" w:fill="auto"/>
            <w:vAlign w:val="center"/>
          </w:tcPr>
          <w:p w14:paraId="42D6B892"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76.9 (10/13)</w:t>
            </w:r>
          </w:p>
        </w:tc>
        <w:tc>
          <w:tcPr>
            <w:tcW w:w="1772" w:type="dxa"/>
            <w:shd w:val="clear" w:color="auto" w:fill="auto"/>
            <w:vAlign w:val="center"/>
          </w:tcPr>
          <w:p w14:paraId="427391AF"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23.3 (7/30)</w:t>
            </w:r>
          </w:p>
        </w:tc>
        <w:tc>
          <w:tcPr>
            <w:tcW w:w="2501" w:type="dxa"/>
            <w:shd w:val="clear" w:color="auto" w:fill="auto"/>
            <w:vAlign w:val="center"/>
          </w:tcPr>
          <w:p w14:paraId="66A8AC7B"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w:t>
            </w:r>
          </w:p>
        </w:tc>
      </w:tr>
      <w:tr w:rsidR="00291E26" w:rsidRPr="00275521" w14:paraId="5D7299B6" w14:textId="77777777" w:rsidTr="00543EC6">
        <w:trPr>
          <w:trHeight w:val="283"/>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124DDB30" w14:textId="77777777" w:rsidR="007B3780" w:rsidRPr="00275521" w:rsidRDefault="007B3780" w:rsidP="008B6633">
            <w:pPr>
              <w:keepNext/>
              <w:jc w:val="left"/>
              <w:rPr>
                <w:rFonts w:ascii="Arial Narrow" w:hAnsi="Arial Narrow"/>
                <w:sz w:val="20"/>
                <w:szCs w:val="20"/>
              </w:rPr>
            </w:pPr>
            <w:r w:rsidRPr="00275521">
              <w:rPr>
                <w:rFonts w:ascii="Arial Narrow" w:hAnsi="Arial Narrow"/>
                <w:b w:val="0"/>
                <w:bCs w:val="0"/>
                <w:sz w:val="20"/>
                <w:szCs w:val="20"/>
              </w:rPr>
              <w:t>≥1.5 point drop from ASSERT-EXT baseline to Week 21-24</w:t>
            </w:r>
          </w:p>
        </w:tc>
        <w:tc>
          <w:tcPr>
            <w:tcW w:w="1772" w:type="dxa"/>
            <w:vAlign w:val="center"/>
          </w:tcPr>
          <w:p w14:paraId="4FDE77CF"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43.8 (7/16)</w:t>
            </w:r>
          </w:p>
        </w:tc>
        <w:tc>
          <w:tcPr>
            <w:tcW w:w="1772" w:type="dxa"/>
            <w:vAlign w:val="center"/>
          </w:tcPr>
          <w:p w14:paraId="24A722F5"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10 (3/30)</w:t>
            </w:r>
          </w:p>
        </w:tc>
        <w:tc>
          <w:tcPr>
            <w:tcW w:w="2501" w:type="dxa"/>
            <w:vAlign w:val="center"/>
          </w:tcPr>
          <w:p w14:paraId="3AF4D3EA"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w:t>
            </w:r>
          </w:p>
        </w:tc>
      </w:tr>
      <w:tr w:rsidR="009D476F" w:rsidRPr="00275521" w14:paraId="6FF7C813" w14:textId="77777777" w:rsidTr="00D83CA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vAlign w:val="center"/>
          </w:tcPr>
          <w:p w14:paraId="107FD5EE" w14:textId="77777777" w:rsidR="007B3780" w:rsidRPr="00275521" w:rsidRDefault="007B3780" w:rsidP="008B6633">
            <w:pPr>
              <w:keepNext/>
              <w:jc w:val="left"/>
              <w:rPr>
                <w:rFonts w:ascii="Arial Narrow" w:hAnsi="Arial Narrow"/>
                <w:sz w:val="20"/>
                <w:szCs w:val="20"/>
              </w:rPr>
            </w:pPr>
            <w:r w:rsidRPr="00275521">
              <w:rPr>
                <w:rFonts w:ascii="Arial Narrow" w:hAnsi="Arial Narrow"/>
                <w:b w:val="0"/>
                <w:bCs w:val="0"/>
                <w:sz w:val="20"/>
                <w:szCs w:val="20"/>
              </w:rPr>
              <w:t>≥1.5 point drop from ASSERT-EXT baseline to Week 45-48</w:t>
            </w:r>
          </w:p>
        </w:tc>
        <w:tc>
          <w:tcPr>
            <w:tcW w:w="1772" w:type="dxa"/>
            <w:shd w:val="clear" w:color="auto" w:fill="auto"/>
            <w:vAlign w:val="center"/>
          </w:tcPr>
          <w:p w14:paraId="133EB3C7"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50.0 (6/12)</w:t>
            </w:r>
          </w:p>
        </w:tc>
        <w:tc>
          <w:tcPr>
            <w:tcW w:w="1772" w:type="dxa"/>
            <w:shd w:val="clear" w:color="auto" w:fill="auto"/>
            <w:vAlign w:val="center"/>
          </w:tcPr>
          <w:p w14:paraId="67838220"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10 (3/30)</w:t>
            </w:r>
          </w:p>
        </w:tc>
        <w:tc>
          <w:tcPr>
            <w:tcW w:w="2501" w:type="dxa"/>
            <w:shd w:val="clear" w:color="auto" w:fill="auto"/>
            <w:vAlign w:val="center"/>
          </w:tcPr>
          <w:p w14:paraId="3B24059A" w14:textId="77777777" w:rsidR="007B3780" w:rsidRPr="00275521" w:rsidRDefault="007B3780" w:rsidP="008B6633">
            <w:pPr>
              <w:keepNext/>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w:t>
            </w:r>
          </w:p>
        </w:tc>
      </w:tr>
      <w:tr w:rsidR="00291E26" w:rsidRPr="00275521" w14:paraId="439239E4" w14:textId="77777777" w:rsidTr="00543EC6">
        <w:trPr>
          <w:trHeight w:val="283"/>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0FC366A9" w14:textId="77777777" w:rsidR="007B3780" w:rsidRPr="00275521" w:rsidRDefault="007B3780" w:rsidP="008B6633">
            <w:pPr>
              <w:keepNext/>
              <w:jc w:val="left"/>
              <w:rPr>
                <w:rFonts w:ascii="Arial Narrow" w:hAnsi="Arial Narrow"/>
                <w:sz w:val="20"/>
                <w:szCs w:val="20"/>
              </w:rPr>
            </w:pPr>
            <w:r w:rsidRPr="00275521">
              <w:rPr>
                <w:rFonts w:ascii="Arial Narrow" w:hAnsi="Arial Narrow"/>
                <w:b w:val="0"/>
                <w:bCs w:val="0"/>
                <w:sz w:val="20"/>
                <w:szCs w:val="20"/>
              </w:rPr>
              <w:t>≥1.5 point drop from ASSERT-EXT baseline to Week 69-72</w:t>
            </w:r>
          </w:p>
        </w:tc>
        <w:tc>
          <w:tcPr>
            <w:tcW w:w="1772" w:type="dxa"/>
            <w:vAlign w:val="center"/>
          </w:tcPr>
          <w:p w14:paraId="56460848"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53.8 (7/13)</w:t>
            </w:r>
          </w:p>
        </w:tc>
        <w:tc>
          <w:tcPr>
            <w:tcW w:w="1772" w:type="dxa"/>
            <w:vAlign w:val="center"/>
          </w:tcPr>
          <w:p w14:paraId="57B89669"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10 (3/30)</w:t>
            </w:r>
          </w:p>
        </w:tc>
        <w:tc>
          <w:tcPr>
            <w:tcW w:w="2501" w:type="dxa"/>
            <w:vAlign w:val="center"/>
          </w:tcPr>
          <w:p w14:paraId="5F6F1555" w14:textId="77777777" w:rsidR="007B3780" w:rsidRPr="00275521" w:rsidRDefault="007B3780" w:rsidP="008B6633">
            <w:pPr>
              <w:keepNext/>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75521">
              <w:rPr>
                <w:rFonts w:ascii="Arial Narrow" w:hAnsi="Arial Narrow"/>
                <w:sz w:val="20"/>
                <w:szCs w:val="20"/>
              </w:rPr>
              <w:t>-</w:t>
            </w:r>
          </w:p>
        </w:tc>
      </w:tr>
    </w:tbl>
    <w:p w14:paraId="5BC3BBC4" w14:textId="0AEF50AA" w:rsidR="007B3780" w:rsidRPr="00275521" w:rsidRDefault="007B3780" w:rsidP="008B6633">
      <w:pPr>
        <w:pStyle w:val="TableFigureFooter"/>
        <w:widowControl/>
        <w:rPr>
          <w:i/>
          <w:iCs/>
        </w:rPr>
      </w:pPr>
      <w:r w:rsidRPr="00275521">
        <w:t>Source: Table 2-27, p78</w:t>
      </w:r>
      <w:r w:rsidR="008B6633">
        <w:t xml:space="preserve"> </w:t>
      </w:r>
      <w:r w:rsidRPr="00275521">
        <w:t>and Figure 2-16, p79 of the submission, Table 14.2.11.1.1 and 14.2.11.1.2 of ASSERT CSR.</w:t>
      </w:r>
    </w:p>
    <w:p w14:paraId="7F07232B" w14:textId="77777777" w:rsidR="007B3780" w:rsidRPr="00275521" w:rsidRDefault="007B3780" w:rsidP="008B6633">
      <w:pPr>
        <w:pStyle w:val="TableFigureFooter"/>
        <w:widowControl/>
      </w:pPr>
      <w:r w:rsidRPr="00275521">
        <w:t xml:space="preserve">p = p-value; OR = odds ratio; PRO = patient-reported outcome; SD = standard deviation. </w:t>
      </w:r>
    </w:p>
    <w:p w14:paraId="4FDD2813" w14:textId="0DA320C5" w:rsidR="007B3780" w:rsidRPr="00275521" w:rsidRDefault="007B3780" w:rsidP="008B6633">
      <w:pPr>
        <w:pStyle w:val="TableFigureFooter"/>
        <w:widowControl/>
      </w:pPr>
      <w:r w:rsidRPr="00275521">
        <w:t xml:space="preserve">Notes: Two-sided p-values are presented. Bold represents statistical significance at p&lt;0.05 level. </w:t>
      </w:r>
    </w:p>
    <w:p w14:paraId="04982797" w14:textId="462CE5A1" w:rsidR="007B3780" w:rsidRPr="00385A6B" w:rsidRDefault="007B3780" w:rsidP="008B6633">
      <w:pPr>
        <w:pStyle w:val="3-BodyText"/>
        <w:spacing w:before="160"/>
      </w:pPr>
      <w:r w:rsidRPr="00385A6B">
        <w:t>The submission also presented a post-hoc pooled analysis of ASSERT and ASSERT-EXT showing the proportion of patients who achieved a ≥</w:t>
      </w:r>
      <w:proofErr w:type="gramStart"/>
      <w:r w:rsidRPr="00385A6B">
        <w:t>1.0 point</w:t>
      </w:r>
      <w:proofErr w:type="gramEnd"/>
      <w:r w:rsidRPr="00385A6B">
        <w:t xml:space="preserve"> pruritus reduction in morning pruritus scores from </w:t>
      </w:r>
      <w:r w:rsidR="00034E87" w:rsidRPr="00385A6B">
        <w:t xml:space="preserve">ASSERT </w:t>
      </w:r>
      <w:r w:rsidRPr="00385A6B">
        <w:t xml:space="preserve">baseline </w:t>
      </w:r>
      <w:r w:rsidR="00034E87" w:rsidRPr="00385A6B">
        <w:t xml:space="preserve">(Baseline </w:t>
      </w:r>
      <w:r w:rsidRPr="00385A6B">
        <w:t>1</w:t>
      </w:r>
      <w:r w:rsidR="00034E87" w:rsidRPr="00385A6B">
        <w:t>)</w:t>
      </w:r>
      <w:r w:rsidRPr="00385A6B">
        <w:t xml:space="preserve"> to week 24, 48 and 72 (</w:t>
      </w:r>
      <w:r w:rsidR="00CD29D1" w:rsidRPr="00385A6B">
        <w:fldChar w:fldCharType="begin"/>
      </w:r>
      <w:r w:rsidR="00CD29D1" w:rsidRPr="00385A6B">
        <w:instrText xml:space="preserve"> REF _Ref218777037 \h </w:instrText>
      </w:r>
      <w:r w:rsidR="00465340" w:rsidRPr="00385A6B">
        <w:instrText xml:space="preserve"> \* MERGEFORMAT </w:instrText>
      </w:r>
      <w:r w:rsidR="00CD29D1" w:rsidRPr="00385A6B">
        <w:fldChar w:fldCharType="separate"/>
      </w:r>
      <w:r w:rsidR="0060088A" w:rsidRPr="00275521">
        <w:t xml:space="preserve">Table </w:t>
      </w:r>
      <w:r w:rsidR="0060088A">
        <w:t>6</w:t>
      </w:r>
      <w:r w:rsidR="00CD29D1" w:rsidRPr="00385A6B">
        <w:fldChar w:fldCharType="end"/>
      </w:r>
      <w:r w:rsidRPr="00385A6B">
        <w:t xml:space="preserve">). The pooled patient numbers and morning pruritus scores could not be verified from the CSR. </w:t>
      </w:r>
      <w:r w:rsidR="00A052F2">
        <w:t xml:space="preserve">the evaluation </w:t>
      </w:r>
      <w:r w:rsidRPr="00385A6B">
        <w:t xml:space="preserve">also noted that use of only the </w:t>
      </w:r>
      <w:r w:rsidR="00805BC9" w:rsidRPr="00385A6B">
        <w:t>morning</w:t>
      </w:r>
      <w:r w:rsidRPr="00385A6B">
        <w:t xml:space="preserve"> pruritus scores differed to the primary outcome reported in ASSERT, in which the </w:t>
      </w:r>
      <w:r w:rsidR="00805BC9" w:rsidRPr="00385A6B">
        <w:t>morning</w:t>
      </w:r>
      <w:r w:rsidRPr="00385A6B">
        <w:t xml:space="preserve"> and </w:t>
      </w:r>
      <w:r w:rsidR="00805BC9" w:rsidRPr="00385A6B">
        <w:t>evening</w:t>
      </w:r>
      <w:r w:rsidRPr="00385A6B">
        <w:t xml:space="preserve"> scores were combined.</w:t>
      </w:r>
    </w:p>
    <w:p w14:paraId="5C336E79" w14:textId="037767C0" w:rsidR="007B3780" w:rsidRPr="00275521" w:rsidRDefault="007B3780" w:rsidP="008B6633">
      <w:pPr>
        <w:pStyle w:val="Caption"/>
      </w:pPr>
      <w:bookmarkStart w:id="34" w:name="_Ref218777037"/>
      <w:r w:rsidRPr="00275521">
        <w:t xml:space="preserve">Table </w:t>
      </w:r>
      <w:fldSimple w:instr=" SEQ Table \* ARABIC ">
        <w:r w:rsidR="0060088A">
          <w:rPr>
            <w:noProof/>
          </w:rPr>
          <w:t>6</w:t>
        </w:r>
      </w:fldSimple>
      <w:bookmarkEnd w:id="34"/>
      <w:r w:rsidRPr="00275521">
        <w:t xml:space="preserve">: Proportion of pruritus responders (≥1.0 point reduction in morning pruritus score from </w:t>
      </w:r>
      <w:r w:rsidR="00034E87" w:rsidRPr="00275521">
        <w:t xml:space="preserve">ASSERT </w:t>
      </w:r>
      <w:r w:rsidRPr="00275521">
        <w:t xml:space="preserve">baseline </w:t>
      </w:r>
      <w:r w:rsidR="00034E87" w:rsidRPr="00275521">
        <w:t xml:space="preserve">(Baseline </w:t>
      </w:r>
      <w:r w:rsidRPr="00275521">
        <w:t>1)</w:t>
      </w:r>
      <w:r w:rsidR="00034E87" w:rsidRPr="00275521">
        <w:t>)</w:t>
      </w:r>
      <w:r w:rsidRPr="00275521">
        <w:t xml:space="preserve"> – ASSERT and ASSERT-EXT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roportion of pruritus responders (≥1.0 point reduction in morning pruritus score from ASSERT baseline (Baseline 1)) – ASSERT and ASSERT-EXT"/>
      </w:tblPr>
      <w:tblGrid>
        <w:gridCol w:w="2256"/>
        <w:gridCol w:w="3316"/>
        <w:gridCol w:w="3445"/>
      </w:tblGrid>
      <w:tr w:rsidR="00325B30" w:rsidRPr="00275521" w14:paraId="585D2C24" w14:textId="77777777">
        <w:trPr>
          <w:trHeight w:val="43"/>
        </w:trPr>
        <w:tc>
          <w:tcPr>
            <w:tcW w:w="2122" w:type="dxa"/>
            <w:noWrap/>
            <w:vAlign w:val="center"/>
            <w:hideMark/>
          </w:tcPr>
          <w:p w14:paraId="3C21EEA6" w14:textId="77777777" w:rsidR="007B3780" w:rsidRPr="00275521" w:rsidRDefault="007B3780" w:rsidP="008B6633">
            <w:pPr>
              <w:keepNext/>
              <w:keepLines/>
              <w:rPr>
                <w:rFonts w:ascii="Arial Narrow" w:hAnsi="Arial Narrow"/>
                <w:b/>
                <w:bCs/>
                <w:sz w:val="20"/>
                <w:szCs w:val="20"/>
              </w:rPr>
            </w:pPr>
            <w:r w:rsidRPr="00275521">
              <w:rPr>
                <w:rFonts w:ascii="Arial Narrow" w:hAnsi="Arial Narrow"/>
                <w:b/>
                <w:bCs/>
                <w:sz w:val="20"/>
                <w:szCs w:val="20"/>
              </w:rPr>
              <w:t>Treatment</w:t>
            </w:r>
          </w:p>
        </w:tc>
        <w:tc>
          <w:tcPr>
            <w:tcW w:w="3118" w:type="dxa"/>
            <w:noWrap/>
            <w:vAlign w:val="center"/>
            <w:hideMark/>
          </w:tcPr>
          <w:p w14:paraId="7CCD3636" w14:textId="77777777" w:rsidR="007B3780" w:rsidRPr="00275521" w:rsidRDefault="007B3780" w:rsidP="008B6633">
            <w:pPr>
              <w:keepNext/>
              <w:keepLines/>
              <w:jc w:val="center"/>
              <w:rPr>
                <w:rFonts w:ascii="Arial Narrow" w:hAnsi="Arial Narrow"/>
                <w:b/>
                <w:bCs/>
                <w:sz w:val="20"/>
                <w:szCs w:val="20"/>
              </w:rPr>
            </w:pPr>
            <w:r w:rsidRPr="00275521">
              <w:rPr>
                <w:rFonts w:ascii="Arial Narrow" w:hAnsi="Arial Narrow"/>
                <w:b/>
                <w:bCs/>
                <w:sz w:val="20"/>
                <w:szCs w:val="20"/>
              </w:rPr>
              <w:t>Odevixibat; n/N (%)</w:t>
            </w:r>
          </w:p>
        </w:tc>
        <w:tc>
          <w:tcPr>
            <w:tcW w:w="3239" w:type="dxa"/>
            <w:noWrap/>
            <w:vAlign w:val="center"/>
            <w:hideMark/>
          </w:tcPr>
          <w:p w14:paraId="67A5A2A3" w14:textId="77777777" w:rsidR="007B3780" w:rsidRPr="00275521" w:rsidRDefault="007B3780" w:rsidP="008B6633">
            <w:pPr>
              <w:keepNext/>
              <w:keepLines/>
              <w:jc w:val="center"/>
              <w:rPr>
                <w:rFonts w:ascii="Arial Narrow" w:hAnsi="Arial Narrow"/>
                <w:b/>
                <w:bCs/>
                <w:sz w:val="20"/>
                <w:szCs w:val="20"/>
              </w:rPr>
            </w:pPr>
            <w:r w:rsidRPr="00275521">
              <w:rPr>
                <w:rFonts w:ascii="Arial Narrow" w:hAnsi="Arial Narrow"/>
                <w:b/>
                <w:bCs/>
                <w:sz w:val="20"/>
                <w:szCs w:val="20"/>
              </w:rPr>
              <w:t>Placebo (SoC); n/N (%)</w:t>
            </w:r>
          </w:p>
        </w:tc>
      </w:tr>
      <w:tr w:rsidR="00325B30" w:rsidRPr="00275521" w14:paraId="0A656FBE" w14:textId="77777777">
        <w:trPr>
          <w:trHeight w:val="43"/>
        </w:trPr>
        <w:tc>
          <w:tcPr>
            <w:tcW w:w="2122" w:type="dxa"/>
            <w:noWrap/>
            <w:vAlign w:val="center"/>
            <w:hideMark/>
          </w:tcPr>
          <w:p w14:paraId="0973549F" w14:textId="77777777" w:rsidR="007B3780" w:rsidRPr="00275521" w:rsidRDefault="007B3780" w:rsidP="008B6633">
            <w:pPr>
              <w:keepNext/>
              <w:keepLines/>
              <w:rPr>
                <w:rFonts w:ascii="Arial Narrow" w:hAnsi="Arial Narrow"/>
                <w:i/>
                <w:iCs/>
                <w:sz w:val="20"/>
                <w:szCs w:val="20"/>
              </w:rPr>
            </w:pPr>
            <w:r w:rsidRPr="00275521">
              <w:rPr>
                <w:rFonts w:ascii="Arial Narrow" w:hAnsi="Arial Narrow"/>
                <w:sz w:val="20"/>
                <w:szCs w:val="20"/>
              </w:rPr>
              <w:t>Week 24</w:t>
            </w:r>
          </w:p>
        </w:tc>
        <w:tc>
          <w:tcPr>
            <w:tcW w:w="3118" w:type="dxa"/>
            <w:noWrap/>
            <w:vAlign w:val="center"/>
            <w:hideMark/>
          </w:tcPr>
          <w:p w14:paraId="28820EB0" w14:textId="77777777" w:rsidR="007B3780" w:rsidRPr="00275521" w:rsidRDefault="007B3780" w:rsidP="008B6633">
            <w:pPr>
              <w:keepNext/>
              <w:keepLines/>
              <w:jc w:val="center"/>
              <w:rPr>
                <w:rFonts w:ascii="Arial Narrow" w:hAnsi="Arial Narrow"/>
                <w:sz w:val="20"/>
                <w:szCs w:val="20"/>
              </w:rPr>
            </w:pPr>
            <w:r w:rsidRPr="00275521">
              <w:rPr>
                <w:rFonts w:ascii="Arial Narrow" w:hAnsi="Arial Narrow"/>
                <w:sz w:val="20"/>
                <w:szCs w:val="20"/>
              </w:rPr>
              <w:t>28/34 (82.4)</w:t>
            </w:r>
          </w:p>
        </w:tc>
        <w:tc>
          <w:tcPr>
            <w:tcW w:w="3239" w:type="dxa"/>
            <w:noWrap/>
            <w:vAlign w:val="center"/>
            <w:hideMark/>
          </w:tcPr>
          <w:p w14:paraId="207A2EE3" w14:textId="77777777" w:rsidR="007B3780" w:rsidRPr="00275521" w:rsidRDefault="007B3780" w:rsidP="008B6633">
            <w:pPr>
              <w:keepNext/>
              <w:keepLines/>
              <w:jc w:val="center"/>
              <w:rPr>
                <w:rFonts w:ascii="Arial Narrow" w:hAnsi="Arial Narrow"/>
                <w:sz w:val="20"/>
                <w:szCs w:val="20"/>
              </w:rPr>
            </w:pPr>
            <w:r w:rsidRPr="00275521">
              <w:rPr>
                <w:rFonts w:ascii="Arial Narrow" w:hAnsi="Arial Narrow"/>
                <w:sz w:val="20"/>
                <w:szCs w:val="20"/>
              </w:rPr>
              <w:t>6/15 (40.0)</w:t>
            </w:r>
          </w:p>
        </w:tc>
      </w:tr>
      <w:tr w:rsidR="00325B30" w:rsidRPr="00275521" w14:paraId="5A161841" w14:textId="77777777">
        <w:trPr>
          <w:trHeight w:val="43"/>
        </w:trPr>
        <w:tc>
          <w:tcPr>
            <w:tcW w:w="2122" w:type="dxa"/>
            <w:noWrap/>
            <w:vAlign w:val="center"/>
            <w:hideMark/>
          </w:tcPr>
          <w:p w14:paraId="707C851E" w14:textId="77777777" w:rsidR="007B3780" w:rsidRPr="00275521" w:rsidRDefault="007B3780" w:rsidP="008B6633">
            <w:pPr>
              <w:keepNext/>
              <w:keepLines/>
              <w:rPr>
                <w:rFonts w:ascii="Arial Narrow" w:hAnsi="Arial Narrow"/>
                <w:i/>
                <w:iCs/>
                <w:sz w:val="20"/>
                <w:szCs w:val="20"/>
              </w:rPr>
            </w:pPr>
            <w:r w:rsidRPr="00275521">
              <w:rPr>
                <w:rFonts w:ascii="Arial Narrow" w:hAnsi="Arial Narrow"/>
                <w:sz w:val="20"/>
                <w:szCs w:val="20"/>
              </w:rPr>
              <w:t>Week 48</w:t>
            </w:r>
          </w:p>
        </w:tc>
        <w:tc>
          <w:tcPr>
            <w:tcW w:w="3118" w:type="dxa"/>
            <w:noWrap/>
            <w:vAlign w:val="center"/>
            <w:hideMark/>
          </w:tcPr>
          <w:p w14:paraId="740BB978" w14:textId="77777777" w:rsidR="007B3780" w:rsidRPr="00275521" w:rsidRDefault="007B3780" w:rsidP="008B6633">
            <w:pPr>
              <w:keepNext/>
              <w:keepLines/>
              <w:jc w:val="center"/>
              <w:rPr>
                <w:rFonts w:ascii="Arial Narrow" w:hAnsi="Arial Narrow"/>
                <w:sz w:val="20"/>
                <w:szCs w:val="20"/>
              </w:rPr>
            </w:pPr>
            <w:r w:rsidRPr="00275521">
              <w:rPr>
                <w:rFonts w:ascii="Arial Narrow" w:hAnsi="Arial Narrow"/>
                <w:sz w:val="20"/>
                <w:szCs w:val="20"/>
              </w:rPr>
              <w:t>23/26 (88.5)</w:t>
            </w:r>
          </w:p>
        </w:tc>
        <w:tc>
          <w:tcPr>
            <w:tcW w:w="3239" w:type="dxa"/>
            <w:noWrap/>
            <w:vAlign w:val="center"/>
            <w:hideMark/>
          </w:tcPr>
          <w:p w14:paraId="00D72E41" w14:textId="77777777" w:rsidR="007B3780" w:rsidRPr="00275521" w:rsidRDefault="007B3780" w:rsidP="008B6633">
            <w:pPr>
              <w:keepNext/>
              <w:keepLines/>
              <w:jc w:val="center"/>
              <w:rPr>
                <w:rFonts w:ascii="Arial Narrow" w:hAnsi="Arial Narrow"/>
                <w:sz w:val="20"/>
                <w:szCs w:val="20"/>
              </w:rPr>
            </w:pPr>
            <w:r w:rsidRPr="00275521">
              <w:rPr>
                <w:rFonts w:ascii="Arial Narrow" w:hAnsi="Arial Narrow"/>
                <w:sz w:val="20"/>
                <w:szCs w:val="20"/>
              </w:rPr>
              <w:t>-</w:t>
            </w:r>
          </w:p>
        </w:tc>
      </w:tr>
      <w:tr w:rsidR="00325B30" w:rsidRPr="00275521" w14:paraId="74332FAF" w14:textId="77777777">
        <w:trPr>
          <w:trHeight w:val="43"/>
        </w:trPr>
        <w:tc>
          <w:tcPr>
            <w:tcW w:w="2122" w:type="dxa"/>
            <w:noWrap/>
            <w:vAlign w:val="center"/>
            <w:hideMark/>
          </w:tcPr>
          <w:p w14:paraId="1CAD48A3" w14:textId="77777777" w:rsidR="007B3780" w:rsidRPr="00275521" w:rsidRDefault="007B3780" w:rsidP="008B6633">
            <w:pPr>
              <w:keepNext/>
              <w:keepLines/>
              <w:rPr>
                <w:rFonts w:ascii="Arial Narrow" w:hAnsi="Arial Narrow"/>
                <w:i/>
                <w:iCs/>
                <w:sz w:val="20"/>
                <w:szCs w:val="20"/>
              </w:rPr>
            </w:pPr>
            <w:r w:rsidRPr="00275521">
              <w:rPr>
                <w:rFonts w:ascii="Arial Narrow" w:hAnsi="Arial Narrow"/>
                <w:sz w:val="20"/>
                <w:szCs w:val="20"/>
              </w:rPr>
              <w:t>Week 72</w:t>
            </w:r>
          </w:p>
        </w:tc>
        <w:tc>
          <w:tcPr>
            <w:tcW w:w="3118" w:type="dxa"/>
            <w:noWrap/>
            <w:vAlign w:val="center"/>
            <w:hideMark/>
          </w:tcPr>
          <w:p w14:paraId="3EC85E0C" w14:textId="77777777" w:rsidR="007B3780" w:rsidRPr="00275521" w:rsidRDefault="007B3780" w:rsidP="008B6633">
            <w:pPr>
              <w:keepNext/>
              <w:keepLines/>
              <w:jc w:val="center"/>
              <w:rPr>
                <w:rFonts w:ascii="Arial Narrow" w:hAnsi="Arial Narrow"/>
                <w:sz w:val="20"/>
                <w:szCs w:val="20"/>
              </w:rPr>
            </w:pPr>
            <w:r w:rsidRPr="00275521">
              <w:rPr>
                <w:rFonts w:ascii="Arial Narrow" w:hAnsi="Arial Narrow"/>
                <w:sz w:val="20"/>
                <w:szCs w:val="20"/>
              </w:rPr>
              <w:t>28/31 (90.3)</w:t>
            </w:r>
          </w:p>
        </w:tc>
        <w:tc>
          <w:tcPr>
            <w:tcW w:w="3239" w:type="dxa"/>
            <w:noWrap/>
            <w:vAlign w:val="center"/>
            <w:hideMark/>
          </w:tcPr>
          <w:p w14:paraId="27CCBB1E" w14:textId="77777777" w:rsidR="007B3780" w:rsidRPr="00275521" w:rsidRDefault="007B3780" w:rsidP="008B6633">
            <w:pPr>
              <w:keepNext/>
              <w:keepLines/>
              <w:jc w:val="center"/>
              <w:rPr>
                <w:rFonts w:ascii="Arial Narrow" w:hAnsi="Arial Narrow"/>
                <w:sz w:val="20"/>
                <w:szCs w:val="20"/>
              </w:rPr>
            </w:pPr>
            <w:r w:rsidRPr="00275521">
              <w:rPr>
                <w:rFonts w:ascii="Arial Narrow" w:hAnsi="Arial Narrow"/>
                <w:sz w:val="20"/>
                <w:szCs w:val="20"/>
              </w:rPr>
              <w:t>-</w:t>
            </w:r>
          </w:p>
        </w:tc>
      </w:tr>
    </w:tbl>
    <w:p w14:paraId="6AB938D8" w14:textId="77777777" w:rsidR="007B3780" w:rsidRPr="00275521" w:rsidRDefault="007B3780" w:rsidP="008B6633">
      <w:pPr>
        <w:pStyle w:val="TableFigureFooter"/>
        <w:widowControl/>
      </w:pPr>
      <w:r w:rsidRPr="00275521">
        <w:t>Source: Table 2-28, p79 of the submission</w:t>
      </w:r>
    </w:p>
    <w:p w14:paraId="5EC6A270" w14:textId="77777777" w:rsidR="007B3780" w:rsidRPr="00275521" w:rsidRDefault="007B3780" w:rsidP="008B6633">
      <w:pPr>
        <w:pStyle w:val="TableFigureFooter"/>
        <w:widowControl/>
      </w:pPr>
      <w:r w:rsidRPr="00275521">
        <w:t>Abbreviations: n = number of patients with event; N = total number of patients in group; SoC = standard of care</w:t>
      </w:r>
    </w:p>
    <w:p w14:paraId="05529914" w14:textId="437236F1" w:rsidR="007B3780" w:rsidRPr="00385A6B" w:rsidRDefault="007B3780" w:rsidP="008B6633">
      <w:pPr>
        <w:pStyle w:val="3-BodyText"/>
        <w:spacing w:before="160"/>
      </w:pPr>
      <w:r w:rsidRPr="00385A6B">
        <w:t xml:space="preserve">The Week 24 pooled pruritus response (82.4%) was applied in the submission’s economic model, whilst the Week 48 pooled response (88.5%) was applied in the submission’s financial estimates. </w:t>
      </w:r>
      <w:r w:rsidR="00A052F2">
        <w:t>The evaluation considered i</w:t>
      </w:r>
      <w:r w:rsidRPr="00385A6B">
        <w:t xml:space="preserve">t may not be reasonable </w:t>
      </w:r>
      <w:r w:rsidRPr="00385A6B">
        <w:lastRenderedPageBreak/>
        <w:t>for differing response rates to be applied in the economic and financial models, both of which were higher than rates reported in the odevixibat arm in ASSERT (80%) and in patients that commenced odevixibat (PBO/ODX) in ASSERT-EXT (50%) (</w:t>
      </w:r>
      <w:r w:rsidRPr="00385A6B">
        <w:fldChar w:fldCharType="begin"/>
      </w:r>
      <w:r w:rsidRPr="00385A6B">
        <w:instrText xml:space="preserve"> REF _Ref218698826 \h  \* MERGEFORMAT </w:instrText>
      </w:r>
      <w:r w:rsidRPr="00385A6B">
        <w:fldChar w:fldCharType="separate"/>
      </w:r>
      <w:r w:rsidR="0060088A" w:rsidRPr="00275521">
        <w:t xml:space="preserve">Table </w:t>
      </w:r>
      <w:r w:rsidR="0060088A">
        <w:t>5</w:t>
      </w:r>
      <w:r w:rsidRPr="00385A6B">
        <w:fldChar w:fldCharType="end"/>
      </w:r>
      <w:r w:rsidRPr="00385A6B">
        <w:t>).</w:t>
      </w:r>
    </w:p>
    <w:p w14:paraId="5AE51735" w14:textId="5FE3E180" w:rsidR="007B3780" w:rsidRPr="00385A6B" w:rsidRDefault="00805BC9" w:rsidP="008B6633">
      <w:pPr>
        <w:pStyle w:val="5-SubsectionSubheading"/>
        <w:spacing w:before="160"/>
      </w:pPr>
      <w:bookmarkStart w:id="35" w:name="_Toc219900846"/>
      <w:r w:rsidRPr="00385A6B">
        <w:t>Change in sBA levels</w:t>
      </w:r>
      <w:bookmarkEnd w:id="35"/>
    </w:p>
    <w:p w14:paraId="43711452" w14:textId="50C3B2E1" w:rsidR="002409E1" w:rsidRPr="00385A6B" w:rsidRDefault="002409E1" w:rsidP="008B6633">
      <w:pPr>
        <w:pStyle w:val="3-BodyText"/>
        <w:spacing w:before="160"/>
      </w:pPr>
      <w:r w:rsidRPr="00385A6B">
        <w:t xml:space="preserve">Change in baseline in </w:t>
      </w:r>
      <w:r w:rsidR="00092F71" w:rsidRPr="00385A6B">
        <w:t>serum bile acid (</w:t>
      </w:r>
      <w:r w:rsidRPr="00385A6B">
        <w:t>sBA</w:t>
      </w:r>
      <w:r w:rsidR="00092F71" w:rsidRPr="00385A6B">
        <w:t>)</w:t>
      </w:r>
      <w:r w:rsidRPr="00385A6B">
        <w:t xml:space="preserve"> levels over 24 weeks in ASSERT is shown in </w:t>
      </w:r>
      <w:r w:rsidR="00B12109" w:rsidRPr="00385A6B">
        <w:fldChar w:fldCharType="begin"/>
      </w:r>
      <w:r w:rsidR="00B12109" w:rsidRPr="00385A6B">
        <w:instrText xml:space="preserve"> REF _Ref219173825 \h </w:instrText>
      </w:r>
      <w:r w:rsidR="00385A6B" w:rsidRPr="00385A6B">
        <w:instrText xml:space="preserve"> \* MERGEFORMAT </w:instrText>
      </w:r>
      <w:r w:rsidR="00B12109" w:rsidRPr="00385A6B">
        <w:fldChar w:fldCharType="separate"/>
      </w:r>
      <w:r w:rsidR="0060088A" w:rsidRPr="00275521">
        <w:t xml:space="preserve">Table </w:t>
      </w:r>
      <w:r w:rsidR="0060088A">
        <w:rPr>
          <w:noProof/>
        </w:rPr>
        <w:t>7</w:t>
      </w:r>
      <w:r w:rsidR="00B12109" w:rsidRPr="00385A6B">
        <w:fldChar w:fldCharType="end"/>
      </w:r>
      <w:r w:rsidR="00B12109" w:rsidRPr="00385A6B">
        <w:t>.</w:t>
      </w:r>
    </w:p>
    <w:p w14:paraId="7D581179" w14:textId="77777777" w:rsidR="00960506" w:rsidRPr="00385A6B" w:rsidRDefault="00960506" w:rsidP="008B6633">
      <w:pPr>
        <w:pStyle w:val="3-BodyText"/>
      </w:pPr>
      <w:r w:rsidRPr="00385A6B">
        <w:t>The LS mean changes from baseline to Weeks 20–24 in sBA levels were -90.35 and +22.39 µmol/L in the odevixibat and placebo groups respectively, and the LS mean difference of -112.74 (95% CI: -178.78, -46.69) µmol/L between the groups was statistically significant (p=0.001).</w:t>
      </w:r>
    </w:p>
    <w:p w14:paraId="1F5C18CC" w14:textId="17DAE079" w:rsidR="00960506" w:rsidRPr="00385A6B" w:rsidRDefault="00960506" w:rsidP="008B6633">
      <w:pPr>
        <w:pStyle w:val="3-BodyText"/>
        <w:spacing w:before="160"/>
      </w:pPr>
      <w:r w:rsidRPr="00385A6B">
        <w:t xml:space="preserve">Change from </w:t>
      </w:r>
      <w:r w:rsidR="00034E87" w:rsidRPr="00385A6B">
        <w:t>ASSERT baseline (</w:t>
      </w:r>
      <w:r w:rsidRPr="00385A6B">
        <w:t xml:space="preserve">Baseline 1) in sBA levels over ASSERT and ASSERT-EXT is shown in </w:t>
      </w:r>
      <w:r w:rsidRPr="00385A6B">
        <w:fldChar w:fldCharType="begin"/>
      </w:r>
      <w:r w:rsidRPr="00385A6B">
        <w:instrText xml:space="preserve"> REF _Ref218695011 \h </w:instrText>
      </w:r>
      <w:r w:rsidR="00385A6B" w:rsidRPr="00385A6B">
        <w:instrText xml:space="preserve"> \* MERGEFORMAT </w:instrText>
      </w:r>
      <w:r w:rsidRPr="00385A6B">
        <w:fldChar w:fldCharType="separate"/>
      </w:r>
      <w:r w:rsidR="0060088A" w:rsidRPr="00275521">
        <w:t xml:space="preserve">Figure </w:t>
      </w:r>
      <w:r w:rsidR="0060088A">
        <w:rPr>
          <w:noProof/>
        </w:rPr>
        <w:t>2</w:t>
      </w:r>
      <w:r w:rsidRPr="00385A6B">
        <w:fldChar w:fldCharType="end"/>
      </w:r>
      <w:r w:rsidRPr="00385A6B">
        <w:t>.</w:t>
      </w:r>
    </w:p>
    <w:p w14:paraId="0F02972F" w14:textId="1C1B81B8" w:rsidR="002409E1" w:rsidRPr="00275521" w:rsidRDefault="002409E1" w:rsidP="008B6633">
      <w:pPr>
        <w:pStyle w:val="Caption"/>
        <w:spacing w:before="160"/>
      </w:pPr>
      <w:bookmarkStart w:id="36" w:name="_Ref219173825"/>
      <w:r w:rsidRPr="00275521">
        <w:t xml:space="preserve">Table </w:t>
      </w:r>
      <w:fldSimple w:instr=" SEQ Table \* ARABIC ">
        <w:r w:rsidR="0060088A">
          <w:rPr>
            <w:noProof/>
          </w:rPr>
          <w:t>7</w:t>
        </w:r>
      </w:fldSimple>
      <w:bookmarkEnd w:id="36"/>
      <w:r w:rsidRPr="00275521">
        <w:t xml:space="preserve">: </w:t>
      </w:r>
      <w:r w:rsidR="00802F3D" w:rsidRPr="00275521">
        <w:rPr>
          <w:szCs w:val="20"/>
        </w:rPr>
        <w:t>Serum bile acid</w:t>
      </w:r>
      <w:r w:rsidR="00F1499B" w:rsidRPr="00275521">
        <w:rPr>
          <w:szCs w:val="20"/>
        </w:rPr>
        <w:t xml:space="preserve"> (</w:t>
      </w:r>
      <w:r w:rsidRPr="00275521">
        <w:t>sBA</w:t>
      </w:r>
      <w:r w:rsidR="00F1499B" w:rsidRPr="00275521">
        <w:t>)</w:t>
      </w:r>
      <w:r w:rsidRPr="00275521">
        <w:t xml:space="preserve"> levels</w:t>
      </w:r>
      <w:r w:rsidR="009039CB" w:rsidRPr="00275521">
        <w:t xml:space="preserve">: Baseline, Weeks 20-24, and </w:t>
      </w:r>
      <w:r w:rsidR="0025354D" w:rsidRPr="00275521">
        <w:t>C</w:t>
      </w:r>
      <w:r w:rsidR="009039CB" w:rsidRPr="00275521">
        <w:t xml:space="preserve">hange </w:t>
      </w:r>
      <w:r w:rsidRPr="00275521">
        <w:t>at Weeks 20–24 – ASSERT FAS</w:t>
      </w:r>
    </w:p>
    <w:tbl>
      <w:tblPr>
        <w:tblStyle w:val="TableElegan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ble 7: Serum bile acid (sBA) levels: Baseline, Weeks 20-24, and Change at Weeks 20–24 – ASSERT FAS"/>
      </w:tblPr>
      <w:tblGrid>
        <w:gridCol w:w="4130"/>
        <w:gridCol w:w="2442"/>
        <w:gridCol w:w="2445"/>
      </w:tblGrid>
      <w:tr w:rsidR="00AB6980" w:rsidRPr="00275521" w14:paraId="77001E8C" w14:textId="77777777">
        <w:trPr>
          <w:cnfStyle w:val="100000000000" w:firstRow="1" w:lastRow="0" w:firstColumn="0" w:lastColumn="0" w:oddVBand="0" w:evenVBand="0" w:oddHBand="0" w:evenHBand="0" w:firstRowFirstColumn="0" w:firstRowLastColumn="0" w:lastRowFirstColumn="0" w:lastRowLastColumn="0"/>
          <w:tblHeader/>
        </w:trPr>
        <w:tc>
          <w:tcPr>
            <w:tcW w:w="2290" w:type="pct"/>
            <w:vMerge w:val="restart"/>
            <w:vAlign w:val="bottom"/>
          </w:tcPr>
          <w:p w14:paraId="04E78E6B" w14:textId="77777777" w:rsidR="002409E1" w:rsidRPr="00275521" w:rsidRDefault="002409E1" w:rsidP="008B6633">
            <w:pPr>
              <w:keepNext/>
              <w:keepLines/>
              <w:rPr>
                <w:rFonts w:ascii="Arial Narrow" w:hAnsi="Arial Narrow"/>
                <w:b/>
                <w:bCs/>
                <w:sz w:val="20"/>
                <w:szCs w:val="20"/>
              </w:rPr>
            </w:pPr>
            <w:r w:rsidRPr="00275521">
              <w:rPr>
                <w:rFonts w:ascii="Arial Narrow" w:hAnsi="Arial Narrow"/>
                <w:b/>
                <w:bCs/>
                <w:caps w:val="0"/>
                <w:sz w:val="20"/>
                <w:szCs w:val="20"/>
              </w:rPr>
              <w:t>Visit Statistic</w:t>
            </w:r>
          </w:p>
        </w:tc>
        <w:tc>
          <w:tcPr>
            <w:tcW w:w="2710" w:type="pct"/>
            <w:gridSpan w:val="2"/>
            <w:vAlign w:val="bottom"/>
          </w:tcPr>
          <w:p w14:paraId="424F4B14" w14:textId="77777777" w:rsidR="002409E1" w:rsidRPr="00275521" w:rsidRDefault="002409E1" w:rsidP="008B6633">
            <w:pPr>
              <w:keepNext/>
              <w:keepLines/>
              <w:jc w:val="center"/>
              <w:rPr>
                <w:rFonts w:ascii="Arial Narrow" w:hAnsi="Arial Narrow"/>
                <w:b/>
                <w:bCs/>
                <w:sz w:val="20"/>
                <w:szCs w:val="20"/>
              </w:rPr>
            </w:pPr>
            <w:r w:rsidRPr="00275521">
              <w:rPr>
                <w:rFonts w:ascii="Arial Narrow" w:hAnsi="Arial Narrow"/>
                <w:b/>
                <w:bCs/>
                <w:caps w:val="0"/>
                <w:sz w:val="20"/>
                <w:szCs w:val="20"/>
              </w:rPr>
              <w:t>Serum bile acids (µmol/l)</w:t>
            </w:r>
          </w:p>
        </w:tc>
      </w:tr>
      <w:tr w:rsidR="00291E26" w:rsidRPr="00275521" w14:paraId="2403337A" w14:textId="77777777">
        <w:trPr>
          <w:cnfStyle w:val="100000000000" w:firstRow="1" w:lastRow="0" w:firstColumn="0" w:lastColumn="0" w:oddVBand="0" w:evenVBand="0" w:oddHBand="0" w:evenHBand="0" w:firstRowFirstColumn="0" w:firstRowLastColumn="0" w:lastRowFirstColumn="0" w:lastRowLastColumn="0"/>
          <w:tblHeader/>
        </w:trPr>
        <w:tc>
          <w:tcPr>
            <w:tcW w:w="2290" w:type="pct"/>
            <w:vMerge/>
            <w:vAlign w:val="bottom"/>
          </w:tcPr>
          <w:p w14:paraId="5AA0CA5B" w14:textId="77777777" w:rsidR="002409E1" w:rsidRPr="00275521" w:rsidRDefault="002409E1" w:rsidP="008B6633">
            <w:pPr>
              <w:keepNext/>
              <w:keepLines/>
              <w:rPr>
                <w:rFonts w:ascii="Arial Narrow" w:hAnsi="Arial Narrow"/>
                <w:b/>
                <w:bCs/>
                <w:sz w:val="20"/>
                <w:szCs w:val="20"/>
              </w:rPr>
            </w:pPr>
          </w:p>
        </w:tc>
        <w:tc>
          <w:tcPr>
            <w:tcW w:w="1354" w:type="pct"/>
            <w:vAlign w:val="bottom"/>
          </w:tcPr>
          <w:p w14:paraId="657FFBAB" w14:textId="77777777" w:rsidR="002409E1" w:rsidRPr="00275521" w:rsidRDefault="002409E1" w:rsidP="008B6633">
            <w:pPr>
              <w:keepNext/>
              <w:keepLines/>
              <w:jc w:val="center"/>
              <w:rPr>
                <w:rFonts w:ascii="Arial Narrow" w:hAnsi="Arial Narrow"/>
                <w:b/>
                <w:bCs/>
                <w:sz w:val="20"/>
                <w:szCs w:val="20"/>
              </w:rPr>
            </w:pPr>
            <w:r w:rsidRPr="00275521">
              <w:rPr>
                <w:rFonts w:ascii="Arial Narrow" w:hAnsi="Arial Narrow"/>
                <w:b/>
                <w:bCs/>
                <w:caps w:val="0"/>
                <w:sz w:val="20"/>
                <w:szCs w:val="20"/>
              </w:rPr>
              <w:t>Placebo (N=17)</w:t>
            </w:r>
          </w:p>
        </w:tc>
        <w:tc>
          <w:tcPr>
            <w:tcW w:w="1356" w:type="pct"/>
          </w:tcPr>
          <w:p w14:paraId="79E6BD90" w14:textId="77777777" w:rsidR="002409E1" w:rsidRPr="00275521" w:rsidRDefault="002409E1" w:rsidP="008B6633">
            <w:pPr>
              <w:keepNext/>
              <w:keepLines/>
              <w:jc w:val="center"/>
              <w:rPr>
                <w:rFonts w:ascii="Arial Narrow" w:hAnsi="Arial Narrow"/>
                <w:b/>
                <w:bCs/>
                <w:sz w:val="20"/>
                <w:szCs w:val="20"/>
              </w:rPr>
            </w:pPr>
            <w:r w:rsidRPr="00275521">
              <w:rPr>
                <w:rFonts w:ascii="Arial Narrow" w:hAnsi="Arial Narrow"/>
                <w:b/>
                <w:bCs/>
                <w:caps w:val="0"/>
                <w:sz w:val="20"/>
                <w:szCs w:val="20"/>
              </w:rPr>
              <w:t>Odevixibat (N=35)</w:t>
            </w:r>
          </w:p>
        </w:tc>
      </w:tr>
      <w:tr w:rsidR="00311DF9" w:rsidRPr="00275521" w14:paraId="416DC009" w14:textId="77777777">
        <w:tc>
          <w:tcPr>
            <w:tcW w:w="5000" w:type="pct"/>
            <w:gridSpan w:val="3"/>
            <w:vAlign w:val="center"/>
          </w:tcPr>
          <w:p w14:paraId="29DA9408" w14:textId="77777777" w:rsidR="002409E1" w:rsidRPr="00275521" w:rsidRDefault="002409E1" w:rsidP="008B6633">
            <w:pPr>
              <w:keepNext/>
              <w:keepLines/>
              <w:jc w:val="left"/>
              <w:rPr>
                <w:rFonts w:ascii="Arial Narrow" w:hAnsi="Arial Narrow"/>
                <w:sz w:val="20"/>
                <w:szCs w:val="20"/>
              </w:rPr>
            </w:pPr>
            <w:r w:rsidRPr="00275521">
              <w:rPr>
                <w:rFonts w:ascii="Arial Narrow" w:hAnsi="Arial Narrow"/>
                <w:sz w:val="20"/>
                <w:szCs w:val="20"/>
              </w:rPr>
              <w:t>Baseline</w:t>
            </w:r>
          </w:p>
        </w:tc>
      </w:tr>
      <w:tr w:rsidR="00291E26" w:rsidRPr="00275521" w14:paraId="533CF858" w14:textId="77777777">
        <w:tc>
          <w:tcPr>
            <w:tcW w:w="2290" w:type="pct"/>
          </w:tcPr>
          <w:p w14:paraId="2A6CFDE6"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n</w:t>
            </w:r>
          </w:p>
        </w:tc>
        <w:tc>
          <w:tcPr>
            <w:tcW w:w="1354" w:type="pct"/>
          </w:tcPr>
          <w:p w14:paraId="32553839"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17</w:t>
            </w:r>
          </w:p>
        </w:tc>
        <w:tc>
          <w:tcPr>
            <w:tcW w:w="1356" w:type="pct"/>
          </w:tcPr>
          <w:p w14:paraId="0A5AAA1E"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35</w:t>
            </w:r>
          </w:p>
        </w:tc>
      </w:tr>
      <w:tr w:rsidR="00291E26" w:rsidRPr="00275521" w14:paraId="36B707A1" w14:textId="77777777">
        <w:tc>
          <w:tcPr>
            <w:tcW w:w="2290" w:type="pct"/>
          </w:tcPr>
          <w:p w14:paraId="651031B1"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Mean (SD)</w:t>
            </w:r>
          </w:p>
        </w:tc>
        <w:tc>
          <w:tcPr>
            <w:tcW w:w="1354" w:type="pct"/>
          </w:tcPr>
          <w:p w14:paraId="394F3874"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246.1 (120.53)</w:t>
            </w:r>
          </w:p>
        </w:tc>
        <w:tc>
          <w:tcPr>
            <w:tcW w:w="1356" w:type="pct"/>
          </w:tcPr>
          <w:p w14:paraId="2F359C39"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237.4 (114.88)</w:t>
            </w:r>
          </w:p>
        </w:tc>
      </w:tr>
      <w:tr w:rsidR="00291E26" w:rsidRPr="00275521" w14:paraId="562D0815" w14:textId="77777777">
        <w:tc>
          <w:tcPr>
            <w:tcW w:w="2290" w:type="pct"/>
          </w:tcPr>
          <w:p w14:paraId="26AC8BEC"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Median (min, max)</w:t>
            </w:r>
          </w:p>
        </w:tc>
        <w:tc>
          <w:tcPr>
            <w:tcW w:w="1354" w:type="pct"/>
          </w:tcPr>
          <w:p w14:paraId="4480ADCF" w14:textId="77777777" w:rsidR="002409E1" w:rsidRPr="00275521" w:rsidRDefault="002409E1" w:rsidP="008B6633">
            <w:pPr>
              <w:keepNext/>
              <w:keepLines/>
              <w:jc w:val="center"/>
              <w:rPr>
                <w:rFonts w:ascii="Arial Narrow" w:hAnsi="Arial Narrow"/>
                <w:i/>
                <w:iCs/>
                <w:sz w:val="20"/>
                <w:szCs w:val="20"/>
              </w:rPr>
            </w:pPr>
            <w:r w:rsidRPr="00275521">
              <w:rPr>
                <w:rFonts w:ascii="Arial Narrow" w:hAnsi="Arial Narrow"/>
                <w:i/>
                <w:iCs/>
                <w:sz w:val="20"/>
                <w:szCs w:val="20"/>
              </w:rPr>
              <w:t xml:space="preserve">232.0 </w:t>
            </w:r>
          </w:p>
        </w:tc>
        <w:tc>
          <w:tcPr>
            <w:tcW w:w="1356" w:type="pct"/>
          </w:tcPr>
          <w:p w14:paraId="1798A635" w14:textId="77777777" w:rsidR="002409E1" w:rsidRPr="00275521" w:rsidRDefault="002409E1" w:rsidP="008B6633">
            <w:pPr>
              <w:keepNext/>
              <w:keepLines/>
              <w:jc w:val="center"/>
              <w:rPr>
                <w:rFonts w:ascii="Arial Narrow" w:hAnsi="Arial Narrow"/>
                <w:i/>
                <w:iCs/>
                <w:sz w:val="20"/>
                <w:szCs w:val="20"/>
              </w:rPr>
            </w:pPr>
            <w:r w:rsidRPr="00275521">
              <w:rPr>
                <w:rFonts w:ascii="Arial Narrow" w:hAnsi="Arial Narrow"/>
                <w:i/>
                <w:iCs/>
                <w:sz w:val="20"/>
                <w:szCs w:val="20"/>
              </w:rPr>
              <w:t>210.5</w:t>
            </w:r>
          </w:p>
        </w:tc>
      </w:tr>
      <w:tr w:rsidR="00291E26" w:rsidRPr="00275521" w14:paraId="2E9F7A88" w14:textId="77777777">
        <w:tc>
          <w:tcPr>
            <w:tcW w:w="2290" w:type="pct"/>
          </w:tcPr>
          <w:p w14:paraId="189BFCC0"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Minimum, maximum</w:t>
            </w:r>
          </w:p>
        </w:tc>
        <w:tc>
          <w:tcPr>
            <w:tcW w:w="1354" w:type="pct"/>
          </w:tcPr>
          <w:p w14:paraId="333C138A"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56, 428</w:t>
            </w:r>
          </w:p>
        </w:tc>
        <w:tc>
          <w:tcPr>
            <w:tcW w:w="1356" w:type="pct"/>
          </w:tcPr>
          <w:p w14:paraId="22C65B0B"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96, 510</w:t>
            </w:r>
          </w:p>
        </w:tc>
      </w:tr>
      <w:tr w:rsidR="00311DF9" w:rsidRPr="00275521" w14:paraId="40AF9887" w14:textId="77777777">
        <w:tc>
          <w:tcPr>
            <w:tcW w:w="5000" w:type="pct"/>
            <w:gridSpan w:val="3"/>
            <w:vAlign w:val="center"/>
          </w:tcPr>
          <w:p w14:paraId="372C7C76" w14:textId="77777777" w:rsidR="002409E1" w:rsidRPr="00275521" w:rsidRDefault="002409E1" w:rsidP="008B6633">
            <w:pPr>
              <w:keepNext/>
              <w:keepLines/>
              <w:jc w:val="left"/>
              <w:rPr>
                <w:rFonts w:ascii="Arial Narrow" w:hAnsi="Arial Narrow"/>
                <w:sz w:val="20"/>
                <w:szCs w:val="20"/>
              </w:rPr>
            </w:pPr>
            <w:r w:rsidRPr="00275521">
              <w:rPr>
                <w:rFonts w:ascii="Arial Narrow" w:hAnsi="Arial Narrow"/>
                <w:sz w:val="20"/>
                <w:szCs w:val="20"/>
              </w:rPr>
              <w:t>Average of Weeks 20 and 24</w:t>
            </w:r>
          </w:p>
        </w:tc>
      </w:tr>
      <w:tr w:rsidR="00291E26" w:rsidRPr="00275521" w14:paraId="4FAC7149" w14:textId="77777777">
        <w:tc>
          <w:tcPr>
            <w:tcW w:w="2290" w:type="pct"/>
          </w:tcPr>
          <w:p w14:paraId="2B7B4ED5"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n</w:t>
            </w:r>
          </w:p>
        </w:tc>
        <w:tc>
          <w:tcPr>
            <w:tcW w:w="1354" w:type="pct"/>
          </w:tcPr>
          <w:p w14:paraId="348C0869"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17</w:t>
            </w:r>
          </w:p>
        </w:tc>
        <w:tc>
          <w:tcPr>
            <w:tcW w:w="1356" w:type="pct"/>
          </w:tcPr>
          <w:p w14:paraId="7B2B8579"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35</w:t>
            </w:r>
          </w:p>
        </w:tc>
      </w:tr>
      <w:tr w:rsidR="00291E26" w:rsidRPr="00275521" w14:paraId="40F76A5A" w14:textId="77777777">
        <w:tc>
          <w:tcPr>
            <w:tcW w:w="2290" w:type="pct"/>
          </w:tcPr>
          <w:p w14:paraId="2582E0F4"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Mean (SD)</w:t>
            </w:r>
          </w:p>
        </w:tc>
        <w:tc>
          <w:tcPr>
            <w:tcW w:w="1354" w:type="pct"/>
          </w:tcPr>
          <w:p w14:paraId="28FCA58B"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270.7 (166.93)</w:t>
            </w:r>
          </w:p>
        </w:tc>
        <w:tc>
          <w:tcPr>
            <w:tcW w:w="1356" w:type="pct"/>
          </w:tcPr>
          <w:p w14:paraId="7F67821C"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149.0 (102.30)</w:t>
            </w:r>
          </w:p>
        </w:tc>
      </w:tr>
      <w:tr w:rsidR="00291E26" w:rsidRPr="00275521" w14:paraId="3FFD71DA" w14:textId="77777777">
        <w:tc>
          <w:tcPr>
            <w:tcW w:w="2290" w:type="pct"/>
          </w:tcPr>
          <w:p w14:paraId="6EB7D409"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Median</w:t>
            </w:r>
          </w:p>
        </w:tc>
        <w:tc>
          <w:tcPr>
            <w:tcW w:w="1354" w:type="pct"/>
          </w:tcPr>
          <w:p w14:paraId="1D4E5934" w14:textId="77777777" w:rsidR="002409E1" w:rsidRPr="00275521" w:rsidRDefault="002409E1" w:rsidP="008B6633">
            <w:pPr>
              <w:keepNext/>
              <w:keepLines/>
              <w:jc w:val="center"/>
              <w:rPr>
                <w:rFonts w:ascii="Arial Narrow" w:hAnsi="Arial Narrow"/>
                <w:i/>
                <w:iCs/>
                <w:sz w:val="20"/>
                <w:szCs w:val="20"/>
              </w:rPr>
            </w:pPr>
            <w:r w:rsidRPr="00275521">
              <w:rPr>
                <w:rFonts w:ascii="Arial Narrow" w:hAnsi="Arial Narrow"/>
                <w:i/>
                <w:iCs/>
                <w:sz w:val="20"/>
                <w:szCs w:val="20"/>
              </w:rPr>
              <w:t>261.0</w:t>
            </w:r>
          </w:p>
        </w:tc>
        <w:tc>
          <w:tcPr>
            <w:tcW w:w="1356" w:type="pct"/>
          </w:tcPr>
          <w:p w14:paraId="61C0E426" w14:textId="77777777" w:rsidR="002409E1" w:rsidRPr="00275521" w:rsidRDefault="002409E1" w:rsidP="008B6633">
            <w:pPr>
              <w:keepNext/>
              <w:keepLines/>
              <w:jc w:val="center"/>
              <w:rPr>
                <w:rFonts w:ascii="Arial Narrow" w:hAnsi="Arial Narrow"/>
                <w:i/>
                <w:iCs/>
                <w:sz w:val="20"/>
                <w:szCs w:val="20"/>
              </w:rPr>
            </w:pPr>
            <w:r w:rsidRPr="00275521">
              <w:rPr>
                <w:rFonts w:ascii="Arial Narrow" w:hAnsi="Arial Narrow"/>
                <w:i/>
                <w:iCs/>
                <w:sz w:val="20"/>
                <w:szCs w:val="20"/>
              </w:rPr>
              <w:t>126.0</w:t>
            </w:r>
          </w:p>
        </w:tc>
      </w:tr>
      <w:tr w:rsidR="00291E26" w:rsidRPr="00275521" w14:paraId="59773612" w14:textId="77777777">
        <w:tc>
          <w:tcPr>
            <w:tcW w:w="2290" w:type="pct"/>
          </w:tcPr>
          <w:p w14:paraId="79058F2F"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Minimum, maximum</w:t>
            </w:r>
          </w:p>
        </w:tc>
        <w:tc>
          <w:tcPr>
            <w:tcW w:w="1354" w:type="pct"/>
          </w:tcPr>
          <w:p w14:paraId="6552F9DB"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42, 647</w:t>
            </w:r>
          </w:p>
        </w:tc>
        <w:tc>
          <w:tcPr>
            <w:tcW w:w="1356" w:type="pct"/>
          </w:tcPr>
          <w:p w14:paraId="3B482318"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26, 377</w:t>
            </w:r>
          </w:p>
        </w:tc>
      </w:tr>
      <w:tr w:rsidR="00311DF9" w:rsidRPr="00275521" w14:paraId="4AB2D4E4" w14:textId="77777777">
        <w:tc>
          <w:tcPr>
            <w:tcW w:w="5000" w:type="pct"/>
            <w:gridSpan w:val="3"/>
            <w:vAlign w:val="bottom"/>
          </w:tcPr>
          <w:p w14:paraId="4D622F06" w14:textId="77777777" w:rsidR="002409E1" w:rsidRPr="00275521" w:rsidRDefault="002409E1" w:rsidP="008B6633">
            <w:pPr>
              <w:keepNext/>
              <w:keepLines/>
              <w:jc w:val="left"/>
              <w:rPr>
                <w:rFonts w:ascii="Arial Narrow" w:hAnsi="Arial Narrow"/>
                <w:sz w:val="20"/>
                <w:szCs w:val="20"/>
              </w:rPr>
            </w:pPr>
            <w:r w:rsidRPr="00275521">
              <w:rPr>
                <w:rFonts w:ascii="Arial Narrow" w:hAnsi="Arial Narrow"/>
                <w:sz w:val="20"/>
                <w:szCs w:val="20"/>
              </w:rPr>
              <w:t>Change from Baseline to Weeks 20 and 24</w:t>
            </w:r>
          </w:p>
        </w:tc>
      </w:tr>
      <w:tr w:rsidR="00291E26" w:rsidRPr="00275521" w14:paraId="100EA102" w14:textId="77777777">
        <w:tc>
          <w:tcPr>
            <w:tcW w:w="2290" w:type="pct"/>
          </w:tcPr>
          <w:p w14:paraId="499E1541"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n</w:t>
            </w:r>
          </w:p>
        </w:tc>
        <w:tc>
          <w:tcPr>
            <w:tcW w:w="1354" w:type="pct"/>
          </w:tcPr>
          <w:p w14:paraId="50A24411"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17</w:t>
            </w:r>
          </w:p>
        </w:tc>
        <w:tc>
          <w:tcPr>
            <w:tcW w:w="1356" w:type="pct"/>
          </w:tcPr>
          <w:p w14:paraId="7C1A17C3"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35</w:t>
            </w:r>
          </w:p>
        </w:tc>
      </w:tr>
      <w:tr w:rsidR="00291E26" w:rsidRPr="00275521" w14:paraId="235D2384" w14:textId="77777777">
        <w:tc>
          <w:tcPr>
            <w:tcW w:w="2290" w:type="pct"/>
          </w:tcPr>
          <w:p w14:paraId="1C43854C"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Mean (SD)</w:t>
            </w:r>
          </w:p>
        </w:tc>
        <w:tc>
          <w:tcPr>
            <w:tcW w:w="1354" w:type="pct"/>
          </w:tcPr>
          <w:p w14:paraId="655D7798"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24.6 (131.63)</w:t>
            </w:r>
          </w:p>
        </w:tc>
        <w:tc>
          <w:tcPr>
            <w:tcW w:w="1356" w:type="pct"/>
          </w:tcPr>
          <w:p w14:paraId="4DC1EAE5"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-88.4 (120.27)</w:t>
            </w:r>
          </w:p>
        </w:tc>
      </w:tr>
      <w:tr w:rsidR="00291E26" w:rsidRPr="00275521" w14:paraId="17B97272" w14:textId="77777777">
        <w:tc>
          <w:tcPr>
            <w:tcW w:w="2290" w:type="pct"/>
          </w:tcPr>
          <w:p w14:paraId="47284E01"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Median</w:t>
            </w:r>
          </w:p>
        </w:tc>
        <w:tc>
          <w:tcPr>
            <w:tcW w:w="1354" w:type="pct"/>
          </w:tcPr>
          <w:p w14:paraId="7045480A" w14:textId="77777777" w:rsidR="002409E1" w:rsidRPr="00275521" w:rsidRDefault="002409E1" w:rsidP="008B6633">
            <w:pPr>
              <w:keepNext/>
              <w:keepLines/>
              <w:jc w:val="center"/>
              <w:rPr>
                <w:rFonts w:ascii="Arial Narrow" w:hAnsi="Arial Narrow"/>
                <w:i/>
                <w:iCs/>
                <w:sz w:val="20"/>
                <w:szCs w:val="20"/>
              </w:rPr>
            </w:pPr>
            <w:r w:rsidRPr="00275521">
              <w:rPr>
                <w:rFonts w:ascii="Arial Narrow" w:hAnsi="Arial Narrow"/>
                <w:i/>
                <w:iCs/>
                <w:sz w:val="20"/>
                <w:szCs w:val="20"/>
              </w:rPr>
              <w:t>17.5</w:t>
            </w:r>
          </w:p>
        </w:tc>
        <w:tc>
          <w:tcPr>
            <w:tcW w:w="1356" w:type="pct"/>
          </w:tcPr>
          <w:p w14:paraId="2CE99302" w14:textId="77777777" w:rsidR="002409E1" w:rsidRPr="00275521" w:rsidRDefault="002409E1" w:rsidP="008B6633">
            <w:pPr>
              <w:keepNext/>
              <w:keepLines/>
              <w:jc w:val="center"/>
              <w:rPr>
                <w:rFonts w:ascii="Arial Narrow" w:hAnsi="Arial Narrow"/>
                <w:i/>
                <w:iCs/>
                <w:sz w:val="20"/>
                <w:szCs w:val="20"/>
              </w:rPr>
            </w:pPr>
            <w:r w:rsidRPr="00275521">
              <w:rPr>
                <w:rFonts w:ascii="Arial Narrow" w:hAnsi="Arial Narrow"/>
                <w:i/>
                <w:iCs/>
                <w:sz w:val="20"/>
                <w:szCs w:val="20"/>
              </w:rPr>
              <w:t>-91.0</w:t>
            </w:r>
          </w:p>
        </w:tc>
      </w:tr>
      <w:tr w:rsidR="00291E26" w:rsidRPr="00275521" w14:paraId="59F5ADA6" w14:textId="77777777">
        <w:tc>
          <w:tcPr>
            <w:tcW w:w="2290" w:type="pct"/>
          </w:tcPr>
          <w:p w14:paraId="4068342A" w14:textId="77777777" w:rsidR="002409E1" w:rsidRPr="00275521" w:rsidRDefault="002409E1" w:rsidP="008B6633">
            <w:pPr>
              <w:keepNext/>
              <w:keepLines/>
              <w:ind w:left="174"/>
              <w:rPr>
                <w:rFonts w:ascii="Arial Narrow" w:hAnsi="Arial Narrow"/>
                <w:sz w:val="20"/>
                <w:szCs w:val="20"/>
              </w:rPr>
            </w:pPr>
            <w:r w:rsidRPr="00275521">
              <w:rPr>
                <w:rFonts w:ascii="Arial Narrow" w:hAnsi="Arial Narrow"/>
                <w:sz w:val="20"/>
                <w:szCs w:val="20"/>
              </w:rPr>
              <w:t>Minimum, maximum</w:t>
            </w:r>
          </w:p>
        </w:tc>
        <w:tc>
          <w:tcPr>
            <w:tcW w:w="1354" w:type="pct"/>
          </w:tcPr>
          <w:p w14:paraId="78A6044C"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-246, 291</w:t>
            </w:r>
          </w:p>
        </w:tc>
        <w:tc>
          <w:tcPr>
            <w:tcW w:w="1356" w:type="pct"/>
          </w:tcPr>
          <w:p w14:paraId="13FFDE09"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-350, 252</w:t>
            </w:r>
          </w:p>
        </w:tc>
      </w:tr>
      <w:tr w:rsidR="00291E26" w:rsidRPr="00275521" w14:paraId="75C78243" w14:textId="77777777">
        <w:trPr>
          <w:trHeight w:val="469"/>
        </w:trPr>
        <w:tc>
          <w:tcPr>
            <w:tcW w:w="2290" w:type="pct"/>
          </w:tcPr>
          <w:p w14:paraId="4113A3DA" w14:textId="77777777" w:rsidR="002409E1" w:rsidRPr="00275521" w:rsidRDefault="002409E1" w:rsidP="008B6633">
            <w:pPr>
              <w:keepNext/>
              <w:keepLines/>
              <w:rPr>
                <w:rFonts w:ascii="Arial Narrow" w:hAnsi="Arial Narrow"/>
                <w:sz w:val="20"/>
                <w:szCs w:val="20"/>
              </w:rPr>
            </w:pPr>
            <w:r w:rsidRPr="00275521">
              <w:rPr>
                <w:rFonts w:ascii="Arial Narrow" w:hAnsi="Arial Narrow"/>
                <w:sz w:val="20"/>
                <w:szCs w:val="20"/>
              </w:rPr>
              <w:t>LS Mean (SE)</w:t>
            </w:r>
            <w:r w:rsidRPr="00275521">
              <w:rPr>
                <w:rFonts w:ascii="Arial Narrow" w:hAnsi="Arial Narrow"/>
                <w:sz w:val="20"/>
                <w:szCs w:val="20"/>
                <w:vertAlign w:val="superscript"/>
              </w:rPr>
              <w:t>a</w:t>
            </w:r>
          </w:p>
        </w:tc>
        <w:tc>
          <w:tcPr>
            <w:tcW w:w="1354" w:type="pct"/>
          </w:tcPr>
          <w:p w14:paraId="2981C746"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22.39 (28.463)</w:t>
            </w:r>
          </w:p>
          <w:p w14:paraId="72C6A38A"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95% CI (-34.75, 79.52)</w:t>
            </w:r>
          </w:p>
        </w:tc>
        <w:tc>
          <w:tcPr>
            <w:tcW w:w="1356" w:type="pct"/>
          </w:tcPr>
          <w:p w14:paraId="497CE08A"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-90.35 (21.336)</w:t>
            </w:r>
          </w:p>
          <w:p w14:paraId="56BEEE44" w14:textId="77777777" w:rsidR="002409E1" w:rsidRPr="00275521" w:rsidRDefault="002409E1" w:rsidP="008B6633">
            <w:pPr>
              <w:keepNext/>
              <w:keepLines/>
              <w:jc w:val="center"/>
              <w:rPr>
                <w:rFonts w:ascii="Arial Narrow" w:hAnsi="Arial Narrow"/>
                <w:sz w:val="20"/>
                <w:szCs w:val="20"/>
              </w:rPr>
            </w:pPr>
            <w:r w:rsidRPr="00275521">
              <w:rPr>
                <w:rFonts w:ascii="Arial Narrow" w:hAnsi="Arial Narrow"/>
                <w:sz w:val="20"/>
                <w:szCs w:val="20"/>
              </w:rPr>
              <w:t>95% CI (-133.14, -47.56)</w:t>
            </w:r>
          </w:p>
        </w:tc>
      </w:tr>
      <w:tr w:rsidR="008D1288" w:rsidRPr="00275521" w14:paraId="24E59D40" w14:textId="77777777" w:rsidTr="003C48C0">
        <w:trPr>
          <w:trHeight w:val="425"/>
        </w:trPr>
        <w:tc>
          <w:tcPr>
            <w:tcW w:w="2290" w:type="pct"/>
          </w:tcPr>
          <w:p w14:paraId="01DD4333" w14:textId="77777777" w:rsidR="002409E1" w:rsidRPr="00275521" w:rsidRDefault="002409E1" w:rsidP="008B6633">
            <w:pPr>
              <w:keepNext/>
              <w:keepLines/>
              <w:rPr>
                <w:rFonts w:ascii="Arial Narrow" w:hAnsi="Arial Narrow"/>
                <w:b/>
                <w:bCs/>
                <w:sz w:val="20"/>
                <w:szCs w:val="20"/>
              </w:rPr>
            </w:pPr>
            <w:r w:rsidRPr="00275521">
              <w:rPr>
                <w:rFonts w:ascii="Arial Narrow" w:hAnsi="Arial Narrow"/>
                <w:b/>
                <w:bCs/>
                <w:sz w:val="20"/>
                <w:szCs w:val="20"/>
              </w:rPr>
              <w:t>LS mean difference (SE) (odevixibat-placebo)</w:t>
            </w:r>
          </w:p>
          <w:p w14:paraId="20679C93" w14:textId="77777777" w:rsidR="002409E1" w:rsidRPr="00275521" w:rsidRDefault="002409E1" w:rsidP="008B6633">
            <w:pPr>
              <w:keepNext/>
              <w:keepLines/>
              <w:rPr>
                <w:rFonts w:ascii="Arial Narrow" w:hAnsi="Arial Narrow"/>
                <w:b/>
                <w:bCs/>
                <w:sz w:val="20"/>
                <w:szCs w:val="20"/>
              </w:rPr>
            </w:pPr>
          </w:p>
        </w:tc>
        <w:tc>
          <w:tcPr>
            <w:tcW w:w="2710" w:type="pct"/>
            <w:gridSpan w:val="2"/>
          </w:tcPr>
          <w:p w14:paraId="41EE6ADA" w14:textId="77777777" w:rsidR="002409E1" w:rsidRPr="00275521" w:rsidRDefault="002409E1" w:rsidP="008B6633">
            <w:pPr>
              <w:keepNext/>
              <w:keepLines/>
              <w:jc w:val="center"/>
              <w:rPr>
                <w:rFonts w:ascii="Arial Narrow" w:hAnsi="Arial Narrow"/>
                <w:b/>
                <w:bCs/>
                <w:sz w:val="20"/>
                <w:szCs w:val="20"/>
              </w:rPr>
            </w:pPr>
            <w:r w:rsidRPr="00275521">
              <w:rPr>
                <w:rFonts w:ascii="Arial Narrow" w:hAnsi="Arial Narrow"/>
                <w:b/>
                <w:bCs/>
                <w:sz w:val="20"/>
                <w:szCs w:val="20"/>
              </w:rPr>
              <w:t>-112.74 (32.864)</w:t>
            </w:r>
          </w:p>
          <w:p w14:paraId="1ADCD50A" w14:textId="7F5777F8" w:rsidR="002409E1" w:rsidRPr="00275521" w:rsidRDefault="002409E1" w:rsidP="008B6633">
            <w:pPr>
              <w:keepNext/>
              <w:keepLines/>
              <w:jc w:val="center"/>
              <w:rPr>
                <w:rFonts w:ascii="Arial Narrow" w:hAnsi="Arial Narrow"/>
                <w:b/>
                <w:bCs/>
                <w:sz w:val="20"/>
                <w:szCs w:val="20"/>
              </w:rPr>
            </w:pPr>
            <w:r w:rsidRPr="00275521">
              <w:rPr>
                <w:rFonts w:ascii="Arial Narrow" w:hAnsi="Arial Narrow"/>
                <w:b/>
                <w:bCs/>
                <w:sz w:val="20"/>
                <w:szCs w:val="20"/>
              </w:rPr>
              <w:t>95% CI (-178.78, -46.69)</w:t>
            </w:r>
            <w:r w:rsidR="00843527">
              <w:rPr>
                <w:rFonts w:ascii="Arial Narrow" w:hAnsi="Arial Narrow"/>
                <w:b/>
                <w:bCs/>
                <w:sz w:val="20"/>
                <w:szCs w:val="20"/>
              </w:rPr>
              <w:t xml:space="preserve">, </w:t>
            </w:r>
            <w:r w:rsidRPr="00275521">
              <w:rPr>
                <w:rFonts w:ascii="Arial Narrow" w:hAnsi="Arial Narrow"/>
                <w:b/>
                <w:bCs/>
                <w:sz w:val="20"/>
                <w:szCs w:val="20"/>
              </w:rPr>
              <w:t>p = 0.001</w:t>
            </w:r>
          </w:p>
        </w:tc>
      </w:tr>
    </w:tbl>
    <w:p w14:paraId="3B4AC1CD" w14:textId="77777777" w:rsidR="002409E1" w:rsidRPr="00275521" w:rsidRDefault="002409E1" w:rsidP="008B6633">
      <w:pPr>
        <w:pStyle w:val="TableFigureFooter"/>
        <w:widowControl/>
      </w:pPr>
      <w:r w:rsidRPr="00275521">
        <w:t>Source: Table 2-22, pp72-73 of the submission, ASSERT CSR Table 25</w:t>
      </w:r>
    </w:p>
    <w:p w14:paraId="3DF9ACC4" w14:textId="77777777" w:rsidR="002409E1" w:rsidRPr="00275521" w:rsidRDefault="002409E1" w:rsidP="008B6633">
      <w:pPr>
        <w:pStyle w:val="TableFigureFooter"/>
        <w:widowControl/>
      </w:pPr>
      <w:r w:rsidRPr="00275521">
        <w:t>Italicised text reflects values extracted from the CSR during evaluation.</w:t>
      </w:r>
    </w:p>
    <w:p w14:paraId="6564CD0B" w14:textId="1EAEC058" w:rsidR="009039CB" w:rsidRPr="00275521" w:rsidRDefault="002409E1" w:rsidP="008B6633">
      <w:pPr>
        <w:pStyle w:val="TableFigureFooter"/>
        <w:widowControl/>
      </w:pPr>
      <w:r w:rsidRPr="00275521">
        <w:t xml:space="preserve">CI = confidence interval; </w:t>
      </w:r>
      <w:r w:rsidR="0083482D" w:rsidRPr="00275521">
        <w:t xml:space="preserve">FAS = full analysis set; </w:t>
      </w:r>
      <w:r w:rsidRPr="00275521">
        <w:t xml:space="preserve">L = litre; LS = least square; n = number of patients; </w:t>
      </w:r>
      <w:r w:rsidR="001967C0" w:rsidRPr="00275521">
        <w:t xml:space="preserve">N = </w:t>
      </w:r>
      <w:r w:rsidR="00EC69AC" w:rsidRPr="00275521">
        <w:t xml:space="preserve">total </w:t>
      </w:r>
      <w:r w:rsidR="001967C0" w:rsidRPr="00275521">
        <w:t xml:space="preserve">number of patients in group; </w:t>
      </w:r>
      <w:r w:rsidRPr="00275521">
        <w:t xml:space="preserve">SE = standard error; </w:t>
      </w:r>
      <w:r w:rsidR="00C77117" w:rsidRPr="00275521">
        <w:t>µ</w:t>
      </w:r>
      <w:r w:rsidRPr="00275521">
        <w:t>moL = micromole.</w:t>
      </w:r>
      <w:r w:rsidR="009039CB" w:rsidRPr="00275521">
        <w:t xml:space="preserve"> </w:t>
      </w:r>
    </w:p>
    <w:p w14:paraId="509F0793" w14:textId="664AE764" w:rsidR="002409E1" w:rsidRDefault="009039CB" w:rsidP="008B6633">
      <w:pPr>
        <w:pStyle w:val="TableFigureFooter"/>
        <w:widowControl/>
      </w:pPr>
      <w:r w:rsidRPr="00275521">
        <w:rPr>
          <w:vertAlign w:val="superscript"/>
        </w:rPr>
        <w:t>a</w:t>
      </w:r>
      <w:r w:rsidRPr="00275521">
        <w:t xml:space="preserve"> The analysis is based on a MMRM using a restricted maximum likelihood with baseline score as a covariate, and baseline age stratification, baseline direct bilirubin, treatment group, time (in months), and treatment-by-time interaction as fixed effects. Unstructured covariance matrix is used in the analysis. The Kenward-Roger approximation is used to estimate denominator degrees of freedom.</w:t>
      </w:r>
    </w:p>
    <w:p w14:paraId="7D0741C8" w14:textId="77777777" w:rsidR="00843527" w:rsidRPr="00843527" w:rsidRDefault="00843527" w:rsidP="008B6633">
      <w:pPr>
        <w:pStyle w:val="3-BodyText"/>
        <w:numPr>
          <w:ilvl w:val="0"/>
          <w:numId w:val="0"/>
        </w:numPr>
        <w:ind w:left="720" w:hanging="720"/>
        <w:rPr>
          <w:sz w:val="2"/>
          <w:szCs w:val="2"/>
        </w:rPr>
      </w:pPr>
    </w:p>
    <w:p w14:paraId="07F19AA0" w14:textId="79EADF22" w:rsidR="002409E1" w:rsidRPr="00275521" w:rsidRDefault="002409E1" w:rsidP="008B6633">
      <w:pPr>
        <w:pStyle w:val="Caption"/>
        <w:spacing w:before="160"/>
      </w:pPr>
      <w:bookmarkStart w:id="37" w:name="_Ref218695011"/>
      <w:r w:rsidRPr="00275521">
        <w:lastRenderedPageBreak/>
        <w:t xml:space="preserve">Figure </w:t>
      </w:r>
      <w:fldSimple w:instr=" SEQ Figure \* ARABIC ">
        <w:r w:rsidR="0060088A">
          <w:rPr>
            <w:noProof/>
          </w:rPr>
          <w:t>2</w:t>
        </w:r>
      </w:fldSimple>
      <w:bookmarkEnd w:id="37"/>
      <w:r w:rsidRPr="00275521">
        <w:t>: Mean change in sBA from Baseline 1 during ASSERT and ASSERT-EXT (</w:t>
      </w:r>
      <w:r w:rsidR="0083482D" w:rsidRPr="00275521">
        <w:t>FAS)</w:t>
      </w:r>
    </w:p>
    <w:p w14:paraId="3849F6FB" w14:textId="0894C4B1" w:rsidR="0083482D" w:rsidRPr="00275521" w:rsidRDefault="0083482D" w:rsidP="008B6633">
      <w:pPr>
        <w:keepNext/>
        <w:keepLines/>
      </w:pPr>
      <w:r w:rsidRPr="00275521">
        <w:rPr>
          <w:noProof/>
        </w:rPr>
        <w:drawing>
          <wp:inline distT="0" distB="0" distL="0" distR="0" wp14:anchorId="4E4A750B" wp14:editId="7ED9B3DF">
            <wp:extent cx="5732145" cy="2752725"/>
            <wp:effectExtent l="0" t="0" r="1905" b="9525"/>
            <wp:docPr id="2066701804" name="Picture 3" descr="Figure 2: Mean change in sBA from Baseline 1 during ASSERT and ASSERT-EXT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01804" name="Picture 3" descr="Figure 2: Mean change in sBA from Baseline 1 during ASSERT and ASSERT-EXT (FAS)"/>
                    <pic:cNvPicPr/>
                  </pic:nvPicPr>
                  <pic:blipFill rotWithShape="1">
                    <a:blip r:embed="rId15">
                      <a:extLst>
                        <a:ext uri="{28A0092B-C50C-407E-A947-70E740481C1C}">
                          <a14:useLocalDpi xmlns:a14="http://schemas.microsoft.com/office/drawing/2010/main" val="0"/>
                        </a:ext>
                      </a:extLst>
                    </a:blip>
                    <a:srcRect/>
                    <a:stretch>
                      <a:fillRect/>
                    </a:stretch>
                  </pic:blipFill>
                  <pic:spPr bwMode="auto">
                    <a:xfrm>
                      <a:off x="0" y="0"/>
                      <a:ext cx="5732145" cy="2752725"/>
                    </a:xfrm>
                    <a:prstGeom prst="rect">
                      <a:avLst/>
                    </a:prstGeom>
                    <a:ln>
                      <a:noFill/>
                    </a:ln>
                    <a:extLst>
                      <a:ext uri="{53640926-AAD7-44D8-BBD7-CCE9431645EC}">
                        <a14:shadowObscured xmlns:a14="http://schemas.microsoft.com/office/drawing/2010/main"/>
                      </a:ext>
                    </a:extLst>
                  </pic:spPr>
                </pic:pic>
              </a:graphicData>
            </a:graphic>
          </wp:inline>
        </w:drawing>
      </w:r>
    </w:p>
    <w:p w14:paraId="32EF7C7A" w14:textId="77777777" w:rsidR="0083482D" w:rsidRPr="00275521" w:rsidRDefault="0083482D" w:rsidP="008B6633">
      <w:pPr>
        <w:pStyle w:val="TableFigureFooter"/>
        <w:widowControl/>
      </w:pPr>
      <w:r w:rsidRPr="00275521">
        <w:t>Source: Figure 2-13, p75 of the submission</w:t>
      </w:r>
    </w:p>
    <w:p w14:paraId="288712E3" w14:textId="11A0BFAA" w:rsidR="0083482D" w:rsidRPr="00275521" w:rsidRDefault="0083482D" w:rsidP="008B6633">
      <w:pPr>
        <w:pStyle w:val="TableFigureFooter"/>
        <w:widowControl/>
      </w:pPr>
      <w:r w:rsidRPr="00275521">
        <w:t xml:space="preserve">BL = baseline; L = litre; ODX/ODX received odevixibat in ASSERT and ASSERT-EXT; PBO/ODX received placebo in ASSERT and odevixibat in ASSERT-EXT; sBA = serum bile acids; SE = standard error; </w:t>
      </w:r>
      <w:r w:rsidR="00C77117" w:rsidRPr="00275521">
        <w:t>µ</w:t>
      </w:r>
      <w:r w:rsidRPr="00275521">
        <w:t>moL = micromole; wk = week</w:t>
      </w:r>
    </w:p>
    <w:p w14:paraId="60EC5BA4" w14:textId="77777777" w:rsidR="0083482D" w:rsidRPr="00275521" w:rsidRDefault="0083482D" w:rsidP="008B6633">
      <w:pPr>
        <w:pStyle w:val="TableFigureFooter"/>
        <w:widowControl/>
      </w:pPr>
      <w:r w:rsidRPr="00275521">
        <w:t xml:space="preserve">Note: Dashed pink line indicates period of placebo administration in ASSERT. </w:t>
      </w:r>
    </w:p>
    <w:p w14:paraId="66847FDD" w14:textId="77777777" w:rsidR="0083482D" w:rsidRPr="00275521" w:rsidRDefault="0083482D" w:rsidP="008B6633">
      <w:pPr>
        <w:pStyle w:val="TableFigureFooter"/>
        <w:widowControl/>
      </w:pPr>
      <w:r w:rsidRPr="00275521">
        <w:t xml:space="preserve">Note: Error bars represent standard deviations (SDs). </w:t>
      </w:r>
    </w:p>
    <w:p w14:paraId="3BD94D58" w14:textId="6F3CA8C8" w:rsidR="0083482D" w:rsidRPr="00275521" w:rsidRDefault="0083482D" w:rsidP="008B6633">
      <w:pPr>
        <w:pStyle w:val="TableFigureFooter"/>
        <w:widowControl/>
      </w:pPr>
      <w:r w:rsidRPr="00275521">
        <w:t xml:space="preserve">Note: Values shown for ASSERT time points represent data from all ASSERT patients with available data at the indicated time point (odevixibat, n=35; placebo, n=17); values shown for ASSERT-EXT time points represent only the patients in ASSERT-EXT with available data at the indicated time point (ODX/ODX, n=33; PBO/ODX, n=17). </w:t>
      </w:r>
    </w:p>
    <w:p w14:paraId="093EB932" w14:textId="5E57D4A5" w:rsidR="002409E1" w:rsidRPr="00385A6B" w:rsidRDefault="0083482D" w:rsidP="008B6633">
      <w:pPr>
        <w:pStyle w:val="3-BodyText"/>
        <w:spacing w:before="160" w:after="160"/>
      </w:pPr>
      <w:r w:rsidRPr="00385A6B">
        <w:t>For ODX/ODX patients, the submission claimed that further reductions in sBA levels were observed in ASSERT-EXT with continued treatment. At Week 24</w:t>
      </w:r>
      <w:r w:rsidR="0080074A" w:rsidRPr="00385A6B">
        <w:t xml:space="preserve"> of </w:t>
      </w:r>
      <w:r w:rsidR="000E1371" w:rsidRPr="00385A6B">
        <w:t>ASSERT-EXT</w:t>
      </w:r>
      <w:r w:rsidRPr="00385A6B">
        <w:t xml:space="preserve">, mean changes from the ASSERT-EXT baseline in sBA levels were -32.7 (SD 88.72) µmol/L and at Week 72, were -36.0 (SD 90.76) µmol/L. The overall mean change from ASSERT baseline </w:t>
      </w:r>
      <w:r w:rsidR="006A5506" w:rsidRPr="00385A6B">
        <w:t xml:space="preserve">to </w:t>
      </w:r>
      <w:r w:rsidRPr="00385A6B">
        <w:t>72 weeks</w:t>
      </w:r>
      <w:r w:rsidR="004915CE" w:rsidRPr="00385A6B">
        <w:t xml:space="preserve"> ASSERT-EXT (or </w:t>
      </w:r>
      <w:r w:rsidR="007A52EE" w:rsidRPr="00385A6B">
        <w:t>92-96 weeks from ASSERT baseline)</w:t>
      </w:r>
      <w:r w:rsidRPr="00385A6B">
        <w:t xml:space="preserve"> was -124 µmol/L for ODX/ODX patients</w:t>
      </w:r>
      <w:r w:rsidR="009D476F" w:rsidRPr="00385A6B">
        <w:t xml:space="preserve">. </w:t>
      </w:r>
    </w:p>
    <w:p w14:paraId="64E4B34F" w14:textId="682979E8" w:rsidR="0083482D" w:rsidRPr="00385A6B" w:rsidRDefault="0083482D" w:rsidP="008B6633">
      <w:pPr>
        <w:pStyle w:val="3-BodyText"/>
        <w:spacing w:before="160" w:after="160"/>
      </w:pPr>
      <w:r w:rsidRPr="00385A6B">
        <w:t>For patients who received placebo in ASSERT, a reduction in sBA levels was observed after the initiation of treatment with odevixibat</w:t>
      </w:r>
      <w:r w:rsidR="00B22C39" w:rsidRPr="00385A6B">
        <w:t xml:space="preserve"> in ASSERT-EXT</w:t>
      </w:r>
      <w:r w:rsidRPr="00385A6B">
        <w:t xml:space="preserve">. By Week 4 of </w:t>
      </w:r>
      <w:r w:rsidR="00B22C39" w:rsidRPr="00385A6B">
        <w:t xml:space="preserve">odevixibat </w:t>
      </w:r>
      <w:r w:rsidRPr="00385A6B">
        <w:t>treatment, the mean change in sBA was -140.5 (SD 92.66) µmol/L. At Week 24</w:t>
      </w:r>
      <w:r w:rsidR="00EF6B0F" w:rsidRPr="00385A6B">
        <w:t xml:space="preserve"> of ASSERT-EXT</w:t>
      </w:r>
      <w:r w:rsidRPr="00385A6B">
        <w:t xml:space="preserve">, </w:t>
      </w:r>
      <w:r w:rsidR="00EF6B0F" w:rsidRPr="00385A6B">
        <w:t xml:space="preserve">the </w:t>
      </w:r>
      <w:r w:rsidRPr="00385A6B">
        <w:t xml:space="preserve">mean change from </w:t>
      </w:r>
      <w:r w:rsidR="00EF6B0F" w:rsidRPr="00385A6B">
        <w:t xml:space="preserve">ASSERT-EXT </w:t>
      </w:r>
      <w:r w:rsidRPr="00385A6B">
        <w:t>baseline in sBA levels was -123.6 (SD 94.95) µmol/L and at Week 48 was -145.8 (SD 91.49) µmol/L. The reduction in sBA was sustained at Week 72, with mean change from ASEERT-EXT baseline of -138.6 (SD 101.17) µmol/L.</w:t>
      </w:r>
      <w:r w:rsidR="00C51817" w:rsidRPr="00385A6B">
        <w:t xml:space="preserve"> </w:t>
      </w:r>
    </w:p>
    <w:p w14:paraId="30AA1ACF" w14:textId="7B5741B6" w:rsidR="009039CB" w:rsidRPr="00385A6B" w:rsidRDefault="009039CB" w:rsidP="008B6633">
      <w:pPr>
        <w:pStyle w:val="3-BodyText"/>
        <w:spacing w:before="160" w:after="160"/>
      </w:pPr>
      <w:r w:rsidRPr="00385A6B">
        <w:t xml:space="preserve">The submission did not propose a MCID for changes in sBA levels. However, the submission claimed that </w:t>
      </w:r>
      <w:r w:rsidRPr="00385A6B">
        <w:rPr>
          <w:color w:val="000000" w:themeColor="text1"/>
        </w:rPr>
        <w:t>data from the GALA study provides evidence of sBA being an independent predictive factor for native liver survival in children with ALGS (Perez 2025)</w:t>
      </w:r>
      <w:r w:rsidRPr="00385A6B">
        <w:rPr>
          <w:rStyle w:val="FootnoteReference"/>
          <w:color w:val="000000" w:themeColor="text1"/>
        </w:rPr>
        <w:footnoteReference w:id="9"/>
      </w:r>
      <w:r w:rsidRPr="00385A6B">
        <w:rPr>
          <w:color w:val="000000" w:themeColor="text1"/>
        </w:rPr>
        <w:t xml:space="preserve">. Perez 2025 assessed a prognostic threshold of sBA 102 μmol/L for native liver </w:t>
      </w:r>
      <w:r w:rsidRPr="00385A6B">
        <w:rPr>
          <w:color w:val="000000" w:themeColor="text1"/>
        </w:rPr>
        <w:lastRenderedPageBreak/>
        <w:t>survival (NLS</w:t>
      </w:r>
      <w:r w:rsidR="00D92B36" w:rsidRPr="00385A6B">
        <w:rPr>
          <w:color w:val="000000" w:themeColor="text1"/>
        </w:rPr>
        <w:t>) and</w:t>
      </w:r>
      <w:r w:rsidRPr="00385A6B">
        <w:rPr>
          <w:color w:val="000000" w:themeColor="text1"/>
        </w:rPr>
        <w:t xml:space="preserve"> found sBA below 102 μmol/L was a significant predictor of outcomes (NLS: HR = 3.78, 95% CI 2.39–5.99, p &lt; 0.001;</w:t>
      </w:r>
      <w:r w:rsidR="00E50CBC">
        <w:rPr>
          <w:color w:val="000000" w:themeColor="text1"/>
        </w:rPr>
        <w:t xml:space="preserve"> event-free survival</w:t>
      </w:r>
      <w:r w:rsidRPr="00385A6B">
        <w:rPr>
          <w:color w:val="000000" w:themeColor="text1"/>
        </w:rPr>
        <w:t xml:space="preserve"> </w:t>
      </w:r>
      <w:r w:rsidR="00E50CBC">
        <w:rPr>
          <w:color w:val="000000" w:themeColor="text1"/>
        </w:rPr>
        <w:t>[</w:t>
      </w:r>
      <w:r w:rsidRPr="00385A6B">
        <w:rPr>
          <w:color w:val="000000" w:themeColor="text1"/>
        </w:rPr>
        <w:t>EFS</w:t>
      </w:r>
      <w:r w:rsidR="00E50CBC">
        <w:rPr>
          <w:color w:val="000000" w:themeColor="text1"/>
        </w:rPr>
        <w:t>]</w:t>
      </w:r>
      <w:r w:rsidRPr="00385A6B">
        <w:rPr>
          <w:color w:val="000000" w:themeColor="text1"/>
        </w:rPr>
        <w:t>: HR = 3.44, 95% CI 2.35–5.04, p &lt; 0.001). The authors note</w:t>
      </w:r>
      <w:r w:rsidR="00FE054A" w:rsidRPr="00385A6B">
        <w:rPr>
          <w:color w:val="000000" w:themeColor="text1"/>
        </w:rPr>
        <w:t>d</w:t>
      </w:r>
      <w:r w:rsidRPr="00385A6B">
        <w:rPr>
          <w:color w:val="000000" w:themeColor="text1"/>
        </w:rPr>
        <w:t xml:space="preserve"> that the patients studied did not receive IBAT inhibition, however the data suggests that lowering sBA may improve important clinical outcomes.</w:t>
      </w:r>
      <w:r w:rsidR="00FE054A" w:rsidRPr="00385A6B">
        <w:rPr>
          <w:color w:val="000000" w:themeColor="text1"/>
        </w:rPr>
        <w:t xml:space="preserve"> In the PFIC odevixibat clinical trial PEDFIC 1, sBA response was defined as a ≥70% reduction in fasting sBA concentration from baseline to the end of treatment or reaching a level ≤70 µmol/L.</w:t>
      </w:r>
    </w:p>
    <w:p w14:paraId="3360DFAF" w14:textId="13519A53" w:rsidR="0083482D" w:rsidRPr="00385A6B" w:rsidRDefault="0083482D" w:rsidP="008B6633">
      <w:pPr>
        <w:pStyle w:val="3-BodyText"/>
        <w:spacing w:before="160" w:after="160"/>
      </w:pPr>
      <w:r w:rsidRPr="00385A6B">
        <w:t>For context, changes in mean sBA levels</w:t>
      </w:r>
      <w:r w:rsidR="000B62C7" w:rsidRPr="00385A6B">
        <w:t xml:space="preserve"> observed</w:t>
      </w:r>
      <w:r w:rsidRPr="00385A6B">
        <w:t xml:space="preserve"> in the ASSERT/ASSERT-EXT and PEDFIC 1/PEDFIC 2 were compared. The PEDFIC 1 trial and its associated extension study</w:t>
      </w:r>
      <w:r w:rsidR="00AD1255" w:rsidRPr="00385A6B">
        <w:t>,</w:t>
      </w:r>
      <w:r w:rsidRPr="00385A6B">
        <w:t xml:space="preserve"> PEDFIC 2</w:t>
      </w:r>
      <w:r w:rsidR="00AF3E87">
        <w:t>,</w:t>
      </w:r>
      <w:r w:rsidRPr="00385A6B">
        <w:t xml:space="preserve"> were presented in the July 2024 odevixibat submission for the treatment of patients with PFIC. All PFIC patients in PEDFIC 2 were treated with odevixibat 120 </w:t>
      </w:r>
      <w:r w:rsidR="00CB7608" w:rsidRPr="00385A6B">
        <w:t>µg</w:t>
      </w:r>
      <w:r w:rsidRPr="00385A6B">
        <w:t xml:space="preserve">/kg/day. Prior to commencing treatment with odevixibat, baseline sBA levels were 237.4 µmol/L and 248.11 µmol/L in the odevixibat arm of ASSERT (N=35) and the odevixibat arm of PEDFIC 1 (N=37), respectively. </w:t>
      </w:r>
      <w:r w:rsidR="00017E98" w:rsidRPr="00385A6B">
        <w:t xml:space="preserve">Following approximately 96 weeks of treatment (i.e. </w:t>
      </w:r>
      <w:r w:rsidRPr="00385A6B">
        <w:t>Week 72</w:t>
      </w:r>
      <w:r w:rsidR="00017E98" w:rsidRPr="00385A6B">
        <w:t xml:space="preserve"> of ASSERT-EXT</w:t>
      </w:r>
      <w:r w:rsidRPr="00385A6B">
        <w:t xml:space="preserve"> </w:t>
      </w:r>
      <w:r w:rsidR="00017E98" w:rsidRPr="00385A6B">
        <w:t xml:space="preserve">and the </w:t>
      </w:r>
      <w:r w:rsidRPr="00385A6B">
        <w:t>Week 70/72 average for PEDFIC 2), the mean change in sBA levels was -124 µmol/L</w:t>
      </w:r>
      <w:r w:rsidR="00017E98" w:rsidRPr="00385A6B">
        <w:t xml:space="preserve"> (</w:t>
      </w:r>
      <w:r w:rsidR="00017E98" w:rsidRPr="00385A6B">
        <w:fldChar w:fldCharType="begin"/>
      </w:r>
      <w:r w:rsidR="00017E98" w:rsidRPr="00385A6B">
        <w:instrText xml:space="preserve"> REF _Ref218695011 \h  \* MERGEFORMAT </w:instrText>
      </w:r>
      <w:r w:rsidR="00017E98" w:rsidRPr="00385A6B">
        <w:fldChar w:fldCharType="separate"/>
      </w:r>
      <w:r w:rsidR="0060088A" w:rsidRPr="00275521">
        <w:t xml:space="preserve">Figure </w:t>
      </w:r>
      <w:r w:rsidR="0060088A">
        <w:t>2</w:t>
      </w:r>
      <w:r w:rsidR="00017E98" w:rsidRPr="00385A6B">
        <w:fldChar w:fldCharType="end"/>
      </w:r>
      <w:r w:rsidR="00017E98" w:rsidRPr="00385A6B">
        <w:t>)</w:t>
      </w:r>
      <w:r w:rsidRPr="00385A6B">
        <w:t xml:space="preserve"> and </w:t>
      </w:r>
      <w:r w:rsidR="000B62C7" w:rsidRPr="00385A6B">
        <w:noBreakHyphen/>
      </w:r>
      <w:r w:rsidRPr="00385A6B">
        <w:t xml:space="preserve">139.84 µmol/L for the </w:t>
      </w:r>
      <w:r w:rsidR="00E95F46" w:rsidRPr="00385A6B">
        <w:t>ALGS and PFIC patients</w:t>
      </w:r>
      <w:r w:rsidRPr="00385A6B">
        <w:t xml:space="preserve">, respectively. </w:t>
      </w:r>
      <w:r w:rsidR="000B62C7" w:rsidRPr="00385A6B">
        <w:t>With acknowledgment of</w:t>
      </w:r>
      <w:r w:rsidRPr="00385A6B">
        <w:t xml:space="preserve"> </w:t>
      </w:r>
      <w:r w:rsidR="00E95F46" w:rsidRPr="00385A6B">
        <w:t xml:space="preserve">patient and trial </w:t>
      </w:r>
      <w:r w:rsidRPr="00385A6B">
        <w:t xml:space="preserve">heterogeneity, there </w:t>
      </w:r>
      <w:r w:rsidR="000B62C7" w:rsidRPr="00385A6B">
        <w:t>was</w:t>
      </w:r>
      <w:r w:rsidRPr="00385A6B">
        <w:t xml:space="preserve"> </w:t>
      </w:r>
      <w:r w:rsidR="00E95F46" w:rsidRPr="00385A6B">
        <w:t xml:space="preserve">a </w:t>
      </w:r>
      <w:r w:rsidRPr="00385A6B">
        <w:t xml:space="preserve">similar </w:t>
      </w:r>
      <w:r w:rsidR="000B62C7" w:rsidRPr="00385A6B">
        <w:t>degree</w:t>
      </w:r>
      <w:r w:rsidRPr="00385A6B">
        <w:t xml:space="preserve"> of sBA reduction observed with odevixibat treatment</w:t>
      </w:r>
      <w:r w:rsidR="00E95F46" w:rsidRPr="00385A6B">
        <w:t xml:space="preserve"> across ALGS and PFIC patients. A comparison of pruritus outcomes was not feasible due to differences in how pruritus outcomes were reported.</w:t>
      </w:r>
    </w:p>
    <w:p w14:paraId="426EDBB2" w14:textId="37EF3C82" w:rsidR="00017E98" w:rsidRPr="00385A6B" w:rsidRDefault="00017E98" w:rsidP="008B6633">
      <w:pPr>
        <w:pStyle w:val="5-SubsectionSubheading"/>
        <w:spacing w:before="160" w:after="160"/>
      </w:pPr>
      <w:bookmarkStart w:id="38" w:name="_Toc219900847"/>
      <w:r w:rsidRPr="00385A6B">
        <w:t>Quality of Life</w:t>
      </w:r>
      <w:bookmarkEnd w:id="38"/>
    </w:p>
    <w:p w14:paraId="7D421AE1" w14:textId="0AB72E2A" w:rsidR="00537FE6" w:rsidRPr="00385A6B" w:rsidRDefault="00537FE6" w:rsidP="008B6633">
      <w:pPr>
        <w:pStyle w:val="3-BodyText"/>
        <w:spacing w:before="160" w:after="160"/>
      </w:pPr>
      <w:r w:rsidRPr="00385A6B">
        <w:t>The Paediatric Quality of Life Inventory (PedsQL) was used to measure quality of life (QoL) in ASSERT and ASSERT-EXT, however, only results from ASSERT were presented in the submission. The specific instrument used was not specified in the submission. However, the</w:t>
      </w:r>
      <w:r w:rsidR="00265F0A">
        <w:t xml:space="preserve"> evaluation noted that the</w:t>
      </w:r>
      <w:r w:rsidRPr="00385A6B">
        <w:t xml:space="preserve"> PedsQL 4.0 Generic Core Scales instrument is the last version of PedsQL and contain 23-items, consisting of: physical functioning (8 items), emotional functioning (5 items), social functioning (5 items), and school functioning (5 items). Likert scores for each question are linearly transformed to a 0–100 scale in which high score means better condition. Change in the total score of the PedsQL is shown in </w:t>
      </w:r>
      <w:r w:rsidRPr="00385A6B">
        <w:fldChar w:fldCharType="begin"/>
      </w:r>
      <w:r w:rsidRPr="00385A6B">
        <w:instrText xml:space="preserve"> REF _Ref218701285 \h </w:instrText>
      </w:r>
      <w:r w:rsidR="00385A6B" w:rsidRPr="00385A6B">
        <w:instrText xml:space="preserve"> \* MERGEFORMAT </w:instrText>
      </w:r>
      <w:r w:rsidRPr="00385A6B">
        <w:fldChar w:fldCharType="separate"/>
      </w:r>
      <w:r w:rsidR="0060088A" w:rsidRPr="00275521">
        <w:t xml:space="preserve">Table </w:t>
      </w:r>
      <w:r w:rsidR="0060088A">
        <w:rPr>
          <w:noProof/>
        </w:rPr>
        <w:t>8</w:t>
      </w:r>
      <w:r w:rsidRPr="00385A6B">
        <w:fldChar w:fldCharType="end"/>
      </w:r>
      <w:r w:rsidRPr="00385A6B">
        <w:t>.</w:t>
      </w:r>
    </w:p>
    <w:p w14:paraId="29254D18" w14:textId="44BD6344" w:rsidR="00537FE6" w:rsidRPr="00275521" w:rsidRDefault="00537FE6" w:rsidP="008B6633">
      <w:pPr>
        <w:pStyle w:val="Caption"/>
      </w:pPr>
      <w:bookmarkStart w:id="39" w:name="_Ref218701285"/>
      <w:r w:rsidRPr="00275521">
        <w:lastRenderedPageBreak/>
        <w:t xml:space="preserve">Table </w:t>
      </w:r>
      <w:fldSimple w:instr=" SEQ Table \* ARABIC ">
        <w:r w:rsidR="0060088A">
          <w:rPr>
            <w:noProof/>
          </w:rPr>
          <w:t>8</w:t>
        </w:r>
      </w:fldSimple>
      <w:bookmarkEnd w:id="39"/>
      <w:r w:rsidRPr="00275521">
        <w:t>: Paediatric Quality of Life Inventory (Full Analysis Set)</w:t>
      </w:r>
      <w:r w:rsidR="00E3627B" w:rsidRPr="00275521">
        <w:t>: Baseline, Week 24, and Change</w:t>
      </w:r>
      <w:r w:rsidRPr="00275521">
        <w:t xml:space="preserve"> </w:t>
      </w:r>
      <w:r w:rsidR="00826BA1" w:rsidRPr="00275521">
        <w:t>at Week 24</w:t>
      </w:r>
      <w:r w:rsidRPr="00275521">
        <w:t>– ASSERT</w:t>
      </w:r>
    </w:p>
    <w:tbl>
      <w:tblPr>
        <w:tblStyle w:val="GridTable4-Accent2"/>
        <w:tblW w:w="5000" w:type="pct"/>
        <w:tblLook w:val="04A0" w:firstRow="1" w:lastRow="0" w:firstColumn="1" w:lastColumn="0" w:noHBand="0" w:noVBand="1"/>
        <w:tblCaption w:val="Table 8: Paediatric Quality of Life Inventory (Full Analysis Set): Baseline, Week 24, and Change at Week 24– ASSERT"/>
      </w:tblPr>
      <w:tblGrid>
        <w:gridCol w:w="4531"/>
        <w:gridCol w:w="2268"/>
        <w:gridCol w:w="2218"/>
      </w:tblGrid>
      <w:tr w:rsidR="00AB6980" w:rsidRPr="00275521" w14:paraId="0BC71141" w14:textId="77777777" w:rsidTr="005525E3">
        <w:trPr>
          <w:cnfStyle w:val="100000000000" w:firstRow="1" w:lastRow="0" w:firstColumn="0" w:lastColumn="0" w:oddVBand="0" w:evenVBand="0" w:oddHBand="0" w:evenHBand="0" w:firstRowFirstColumn="0" w:firstRowLastColumn="0" w:lastRowFirstColumn="0" w:lastRowLastColumn="0"/>
          <w:trHeight w:val="303"/>
          <w:tblHead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vAlign w:val="bottom"/>
          </w:tcPr>
          <w:p w14:paraId="05FC15B6" w14:textId="77777777" w:rsidR="00F86CBA" w:rsidRPr="00275521" w:rsidRDefault="00F86CBA" w:rsidP="008B6633">
            <w:pPr>
              <w:pStyle w:val="Tabletext"/>
              <w:keepNext/>
              <w:keepLines/>
            </w:pPr>
          </w:p>
        </w:tc>
        <w:tc>
          <w:tcPr>
            <w:tcW w:w="44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84049" w14:textId="1C7A994B" w:rsidR="00F86CBA" w:rsidRPr="00275521" w:rsidRDefault="00F86CBA" w:rsidP="008B6633">
            <w:pPr>
              <w:pStyle w:val="Tabletext"/>
              <w:keepNext/>
              <w:keepLines/>
              <w:jc w:val="center"/>
              <w:cnfStyle w:val="100000000000" w:firstRow="1" w:lastRow="0" w:firstColumn="0" w:lastColumn="0" w:oddVBand="0" w:evenVBand="0" w:oddHBand="0" w:evenHBand="0" w:firstRowFirstColumn="0" w:firstRowLastColumn="0" w:lastRowFirstColumn="0" w:lastRowLastColumn="0"/>
              <w:rPr>
                <w:highlight w:val="cyan"/>
              </w:rPr>
            </w:pPr>
            <w:r w:rsidRPr="00275521">
              <w:rPr>
                <w:color w:val="auto"/>
              </w:rPr>
              <w:t>PedsQL score</w:t>
            </w:r>
          </w:p>
        </w:tc>
      </w:tr>
      <w:tr w:rsidR="00757E71" w:rsidRPr="00275521" w14:paraId="37707352" w14:textId="77777777" w:rsidTr="00A229DB">
        <w:trPr>
          <w:cnfStyle w:val="100000000000" w:firstRow="1" w:lastRow="0" w:firstColumn="0" w:lastColumn="0" w:oddVBand="0" w:evenVBand="0" w:oddHBand="0" w:evenHBand="0" w:firstRowFirstColumn="0" w:firstRowLastColumn="0" w:lastRowFirstColumn="0" w:lastRowLastColumn="0"/>
          <w:trHeight w:val="303"/>
          <w:tblHeader/>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FE6706" w14:textId="77777777" w:rsidR="00537FE6" w:rsidRPr="00275521" w:rsidRDefault="00537FE6" w:rsidP="008B6633">
            <w:pPr>
              <w:pStyle w:val="Tabletext"/>
              <w:keepNext/>
              <w:keepLines/>
              <w:rPr>
                <w:color w:val="auto"/>
              </w:rPr>
            </w:pPr>
            <w:r w:rsidRPr="00275521">
              <w:rPr>
                <w:color w:val="auto"/>
              </w:rPr>
              <w:t>Visit, Statistic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332E3" w14:textId="5DB3F2B8" w:rsidR="00537FE6" w:rsidRPr="00275521" w:rsidRDefault="00537FE6" w:rsidP="008B6633">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rPr>
            </w:pPr>
            <w:r w:rsidRPr="00275521">
              <w:rPr>
                <w:color w:val="auto"/>
              </w:rPr>
              <w:t>Placebo (</w:t>
            </w:r>
            <w:r w:rsidR="003C48C0" w:rsidRPr="00275521">
              <w:rPr>
                <w:color w:val="auto"/>
              </w:rPr>
              <w:t>N</w:t>
            </w:r>
            <w:r w:rsidRPr="00275521">
              <w:rPr>
                <w:color w:val="auto"/>
              </w:rPr>
              <w:t>=17)</w:t>
            </w:r>
          </w:p>
        </w:tc>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402E8" w14:textId="5B736225" w:rsidR="00537FE6" w:rsidRPr="00A229DB" w:rsidRDefault="00537FE6" w:rsidP="008B6633">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rPr>
            </w:pPr>
            <w:r w:rsidRPr="00A229DB">
              <w:rPr>
                <w:color w:val="auto"/>
              </w:rPr>
              <w:t>Odevixibat (</w:t>
            </w:r>
            <w:r w:rsidR="003C48C0" w:rsidRPr="00A229DB">
              <w:rPr>
                <w:color w:val="auto"/>
              </w:rPr>
              <w:t>N</w:t>
            </w:r>
            <w:r w:rsidRPr="00A229DB">
              <w:rPr>
                <w:color w:val="auto"/>
              </w:rPr>
              <w:t>=35)</w:t>
            </w:r>
          </w:p>
        </w:tc>
      </w:tr>
      <w:tr w:rsidR="009D476F" w:rsidRPr="00275521" w14:paraId="5FF20B28" w14:textId="77777777" w:rsidTr="00A2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4DFFC" w14:textId="77777777" w:rsidR="00537FE6" w:rsidRPr="00275521" w:rsidRDefault="00537FE6" w:rsidP="008B6633">
            <w:pPr>
              <w:pStyle w:val="Tabletext"/>
              <w:keepNext/>
              <w:keepLines/>
              <w:rPr>
                <w:b w:val="0"/>
                <w:bCs w:val="0"/>
              </w:rPr>
            </w:pPr>
            <w:r w:rsidRPr="00275521">
              <w:rPr>
                <w:b w:val="0"/>
                <w:bCs w:val="0"/>
              </w:rPr>
              <w:t>Baseline: Mean (SD)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0611C687" w14:textId="77777777" w:rsidR="00537FE6" w:rsidRPr="00275521" w:rsidRDefault="00537FE6"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67.1 (13.5)</w:t>
            </w:r>
          </w:p>
          <w:p w14:paraId="72F9E5CF" w14:textId="4A09188C" w:rsidR="00537FE6" w:rsidRPr="00275521" w:rsidRDefault="00537FE6"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N=11</w:t>
            </w:r>
          </w:p>
        </w:tc>
        <w:tc>
          <w:tcPr>
            <w:tcW w:w="221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77F21BF3" w14:textId="77777777" w:rsidR="00537FE6" w:rsidRPr="00A229DB" w:rsidRDefault="00537FE6"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A229DB">
              <w:t>67.8 (16.3)</w:t>
            </w:r>
          </w:p>
          <w:p w14:paraId="1E272CE5" w14:textId="3CE4F3C4" w:rsidR="00537FE6" w:rsidRPr="00A229DB" w:rsidRDefault="00537FE6"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A229DB">
              <w:t>N=30</w:t>
            </w:r>
          </w:p>
        </w:tc>
      </w:tr>
      <w:tr w:rsidR="00D03F8A" w:rsidRPr="00275521" w14:paraId="17301E92" w14:textId="77777777" w:rsidTr="00537FE6">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vAlign w:val="center"/>
            <w:hideMark/>
          </w:tcPr>
          <w:p w14:paraId="63A2DFAF" w14:textId="77777777" w:rsidR="00537FE6" w:rsidRPr="00275521" w:rsidRDefault="00537FE6" w:rsidP="008B6633">
            <w:pPr>
              <w:pStyle w:val="Tabletext"/>
              <w:keepNext/>
              <w:keepLines/>
              <w:rPr>
                <w:b w:val="0"/>
                <w:bCs w:val="0"/>
              </w:rPr>
            </w:pPr>
            <w:r w:rsidRPr="00275521">
              <w:rPr>
                <w:b w:val="0"/>
                <w:bCs w:val="0"/>
              </w:rPr>
              <w:t>Week 24: Mean (SD)</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A6C3AD3" w14:textId="77777777" w:rsidR="00537FE6" w:rsidRPr="00275521" w:rsidRDefault="00537FE6"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76.6 (10.6)</w:t>
            </w:r>
          </w:p>
          <w:p w14:paraId="2519B354" w14:textId="636F275F" w:rsidR="00537FE6" w:rsidRPr="00275521" w:rsidRDefault="00537FE6"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N=11</w:t>
            </w:r>
          </w:p>
        </w:tc>
        <w:tc>
          <w:tcPr>
            <w:tcW w:w="22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6016EF6" w14:textId="77777777" w:rsidR="00537FE6" w:rsidRPr="00A229DB" w:rsidRDefault="00537FE6"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A229DB">
              <w:t>80.5 (14.7)</w:t>
            </w:r>
          </w:p>
          <w:p w14:paraId="600ABE37" w14:textId="36E0CD5D" w:rsidR="00537FE6" w:rsidRPr="00A229DB" w:rsidRDefault="00537FE6"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A229DB">
              <w:t>N=30</w:t>
            </w:r>
          </w:p>
        </w:tc>
      </w:tr>
      <w:tr w:rsidR="00291E26" w:rsidRPr="00275521" w14:paraId="390E23AA" w14:textId="77777777" w:rsidTr="0055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1191AB" w14:textId="77777777" w:rsidR="00537FE6" w:rsidRPr="00A229DB" w:rsidRDefault="00537FE6" w:rsidP="008B6633">
            <w:pPr>
              <w:pStyle w:val="Tabletext"/>
              <w:keepNext/>
              <w:keepLines/>
            </w:pPr>
            <w:r w:rsidRPr="00A229DB">
              <w:t>Change from Baseline to Week 24</w:t>
            </w:r>
          </w:p>
        </w:tc>
      </w:tr>
      <w:tr w:rsidR="00D03F8A" w:rsidRPr="00275521" w14:paraId="618D2EE5" w14:textId="77777777" w:rsidTr="00537FE6">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vAlign w:val="center"/>
            <w:hideMark/>
          </w:tcPr>
          <w:p w14:paraId="6E7B02BA" w14:textId="77777777" w:rsidR="00537FE6" w:rsidRPr="00275521" w:rsidRDefault="00537FE6" w:rsidP="008B6633">
            <w:pPr>
              <w:pStyle w:val="Tabletext"/>
              <w:keepNext/>
              <w:keepLines/>
              <w:rPr>
                <w:b w:val="0"/>
                <w:bCs w:val="0"/>
              </w:rPr>
            </w:pPr>
            <w:r w:rsidRPr="00275521">
              <w:rPr>
                <w:b w:val="0"/>
                <w:bCs w:val="0"/>
              </w:rPr>
              <w:t>Mean (SD)</w:t>
            </w:r>
          </w:p>
        </w:tc>
        <w:tc>
          <w:tcPr>
            <w:tcW w:w="22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0248ED6" w14:textId="77777777" w:rsidR="00537FE6" w:rsidRPr="00275521" w:rsidRDefault="00537FE6"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9.5 (9.3)</w:t>
            </w:r>
          </w:p>
          <w:p w14:paraId="15886590" w14:textId="6EF18166" w:rsidR="00537FE6" w:rsidRPr="00275521" w:rsidRDefault="00537FE6"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N=11</w:t>
            </w:r>
          </w:p>
        </w:tc>
        <w:tc>
          <w:tcPr>
            <w:tcW w:w="22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CACF32C" w14:textId="77777777" w:rsidR="00537FE6" w:rsidRPr="00A229DB" w:rsidRDefault="00537FE6"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A229DB">
              <w:t>12.8 (17.8)</w:t>
            </w:r>
          </w:p>
          <w:p w14:paraId="01F9A720" w14:textId="4A3D2FB2" w:rsidR="00537FE6" w:rsidRPr="00A229DB" w:rsidRDefault="00537FE6"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A229DB">
              <w:t>N=28</w:t>
            </w:r>
          </w:p>
        </w:tc>
      </w:tr>
      <w:tr w:rsidR="009D476F" w:rsidRPr="00275521" w14:paraId="6934FFF5" w14:textId="77777777" w:rsidTr="00A22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CF0D9" w14:textId="77777777" w:rsidR="00537FE6" w:rsidRPr="00275521" w:rsidRDefault="00537FE6" w:rsidP="008B6633">
            <w:pPr>
              <w:pStyle w:val="Tabletext"/>
              <w:keepNext/>
              <w:keepLines/>
              <w:rPr>
                <w:b w:val="0"/>
                <w:bCs w:val="0"/>
              </w:rPr>
            </w:pPr>
            <w:r w:rsidRPr="00275521">
              <w:rPr>
                <w:b w:val="0"/>
                <w:bCs w:val="0"/>
              </w:rPr>
              <w:t>LS mean (SE)</w:t>
            </w:r>
            <w:r w:rsidRPr="00275521">
              <w:rPr>
                <w:b w:val="0"/>
                <w:bCs w:val="0"/>
                <w:vertAlign w:val="superscript"/>
              </w:rPr>
              <w:t xml:space="preserve"> 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22C05D4C" w14:textId="77777777" w:rsidR="00537FE6" w:rsidRPr="00275521" w:rsidRDefault="00537FE6"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10.7 (4.0)</w:t>
            </w:r>
          </w:p>
          <w:p w14:paraId="48C7E362" w14:textId="77777777" w:rsidR="00537FE6" w:rsidRPr="00275521" w:rsidRDefault="00537FE6"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95% CI: 2.7, 18.8</w:t>
            </w:r>
          </w:p>
        </w:tc>
        <w:tc>
          <w:tcPr>
            <w:tcW w:w="2218"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376B065C" w14:textId="77777777" w:rsidR="00537FE6" w:rsidRPr="00A229DB" w:rsidRDefault="00537FE6"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A229DB">
              <w:t>13.5 (2.5)</w:t>
            </w:r>
          </w:p>
          <w:p w14:paraId="1FDFD682" w14:textId="77777777" w:rsidR="00537FE6" w:rsidRPr="00A229DB" w:rsidRDefault="00537FE6"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A229DB">
              <w:t>95% CI: 8.3, 18.7</w:t>
            </w:r>
          </w:p>
        </w:tc>
      </w:tr>
      <w:tr w:rsidR="00AB6980" w:rsidRPr="00275521" w14:paraId="66307299" w14:textId="77777777" w:rsidTr="00537FE6">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vAlign w:val="center"/>
            <w:hideMark/>
          </w:tcPr>
          <w:p w14:paraId="314C45D4" w14:textId="484668E1" w:rsidR="00537FE6" w:rsidRPr="00275521" w:rsidRDefault="00537FE6" w:rsidP="008B6633">
            <w:pPr>
              <w:pStyle w:val="Tabletext"/>
              <w:keepNext/>
              <w:keepLines/>
              <w:rPr>
                <w:b w:val="0"/>
                <w:bCs w:val="0"/>
              </w:rPr>
            </w:pPr>
            <w:r w:rsidRPr="00275521">
              <w:rPr>
                <w:b w:val="0"/>
                <w:bCs w:val="0"/>
              </w:rPr>
              <w:t>LS mean difference (SE) (odevixibat-placebo)</w:t>
            </w:r>
            <w:r w:rsidRPr="00275521">
              <w:rPr>
                <w:b w:val="0"/>
                <w:bCs w:val="0"/>
                <w:vertAlign w:val="superscript"/>
              </w:rPr>
              <w:t>a</w:t>
            </w:r>
          </w:p>
        </w:tc>
        <w:tc>
          <w:tcPr>
            <w:tcW w:w="44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61F981A" w14:textId="77777777" w:rsidR="00537FE6" w:rsidRPr="00275521" w:rsidRDefault="00537FE6"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2.8 (4.5)</w:t>
            </w:r>
          </w:p>
          <w:p w14:paraId="47BE2F7C" w14:textId="0B321688" w:rsidR="00537FE6" w:rsidRPr="00B65E18" w:rsidRDefault="00537FE6"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rPr>
                <w:vertAlign w:val="superscript"/>
              </w:rPr>
            </w:pPr>
            <w:r w:rsidRPr="00275521">
              <w:t xml:space="preserve">95% CI: -6.3, 11.9, p=0.54 </w:t>
            </w:r>
            <w:r w:rsidRPr="00275521">
              <w:rPr>
                <w:vertAlign w:val="superscript"/>
              </w:rPr>
              <w:t>b</w:t>
            </w:r>
            <w:r w:rsidR="00B65E18">
              <w:rPr>
                <w:vertAlign w:val="superscript"/>
              </w:rPr>
              <w:t xml:space="preserve"> </w:t>
            </w:r>
            <w:r w:rsidR="00B65E18">
              <w:rPr>
                <w:i/>
                <w:iCs/>
              </w:rPr>
              <w:t>,</w:t>
            </w:r>
            <w:r w:rsidRPr="00275521">
              <w:rPr>
                <w:i/>
                <w:iCs/>
              </w:rPr>
              <w:t>One-sided p-value = 0.269</w:t>
            </w:r>
          </w:p>
        </w:tc>
      </w:tr>
    </w:tbl>
    <w:p w14:paraId="6BA94D84" w14:textId="77777777" w:rsidR="00537FE6" w:rsidRPr="00275521" w:rsidRDefault="00537FE6" w:rsidP="008B6633">
      <w:pPr>
        <w:pStyle w:val="TableFigureFooter"/>
        <w:widowControl/>
      </w:pPr>
      <w:r w:rsidRPr="00275521">
        <w:t>Source: Table 2-31, p82 of the submission</w:t>
      </w:r>
    </w:p>
    <w:p w14:paraId="590FBD68" w14:textId="77777777" w:rsidR="00537FE6" w:rsidRPr="00275521" w:rsidRDefault="00537FE6" w:rsidP="008B6633">
      <w:pPr>
        <w:pStyle w:val="TableFigureFooter"/>
        <w:widowControl/>
      </w:pPr>
      <w:r w:rsidRPr="00275521">
        <w:t>Abbreviations: CI, confidence interval; LS, least square; SD, standard deviation; SE, standard error of the mean.</w:t>
      </w:r>
    </w:p>
    <w:p w14:paraId="4BE233BE" w14:textId="77777777" w:rsidR="00537FE6" w:rsidRPr="00275521" w:rsidRDefault="00537FE6" w:rsidP="008B6633">
      <w:pPr>
        <w:pStyle w:val="TableFigureFooter"/>
        <w:widowControl/>
      </w:pPr>
      <w:r w:rsidRPr="00275521">
        <w:t>Note: Higher scores represent better quality of life. Data are based on parent report.</w:t>
      </w:r>
    </w:p>
    <w:p w14:paraId="3FE7EE9E" w14:textId="77777777" w:rsidR="00537FE6" w:rsidRPr="00275521" w:rsidRDefault="00537FE6" w:rsidP="008B6633">
      <w:pPr>
        <w:pStyle w:val="TableFigureFooter"/>
        <w:widowControl/>
      </w:pPr>
      <w:r w:rsidRPr="00275521">
        <w:rPr>
          <w:vertAlign w:val="superscript"/>
        </w:rPr>
        <w:t>a</w:t>
      </w:r>
      <w:r w:rsidRPr="00275521">
        <w:t xml:space="preserve"> The analysis was based on an analysis of covariance (ANCOVA) model at each visit with baseline score as a covariate, and treatment group and age category (&lt;5, 5–7, 8–12, 13–18) as fixed effects.</w:t>
      </w:r>
    </w:p>
    <w:p w14:paraId="3FBA0122" w14:textId="77777777" w:rsidR="00537FE6" w:rsidRPr="00275521" w:rsidRDefault="00537FE6" w:rsidP="008B6633">
      <w:pPr>
        <w:pStyle w:val="TableFigureFooter"/>
        <w:widowControl/>
      </w:pPr>
      <w:r w:rsidRPr="00275521">
        <w:rPr>
          <w:vertAlign w:val="superscript"/>
        </w:rPr>
        <w:t xml:space="preserve">b </w:t>
      </w:r>
      <w:r w:rsidRPr="00275521">
        <w:t xml:space="preserve">The p-value reported in the submission (0.54) differed from Table 31 in the CSR (0.2691). </w:t>
      </w:r>
    </w:p>
    <w:p w14:paraId="1C3D1E52" w14:textId="7A55024E" w:rsidR="00EB7944" w:rsidRDefault="00537FE6" w:rsidP="008B6633">
      <w:pPr>
        <w:pStyle w:val="3-BodyText"/>
        <w:spacing w:before="160"/>
      </w:pPr>
      <w:r w:rsidRPr="00385A6B">
        <w:t xml:space="preserve">The LS mean changes to Week 24 were 13.50 and 10.72 for the odevixibat and placebo groups, respectively. The LS mean difference between groups of 2.78 (95% CI: 6.31, 11.87) was not </w:t>
      </w:r>
      <w:r w:rsidR="00D22A2F" w:rsidRPr="00385A6B">
        <w:t xml:space="preserve">statistically </w:t>
      </w:r>
      <w:r w:rsidRPr="00385A6B">
        <w:t xml:space="preserve">significant (one-sided p = 0.2691). PedsQL results from ASSERT were used to </w:t>
      </w:r>
      <w:r w:rsidR="00465FD2" w:rsidRPr="00385A6B">
        <w:t>derive</w:t>
      </w:r>
      <w:r w:rsidRPr="00385A6B">
        <w:t xml:space="preserve"> health-state utility values in the submission’s economic model</w:t>
      </w:r>
      <w:r w:rsidR="00D00B5F" w:rsidRPr="00385A6B">
        <w:t>.</w:t>
      </w:r>
    </w:p>
    <w:p w14:paraId="2A466D76" w14:textId="77777777" w:rsidR="00EB7944" w:rsidRDefault="00EB7944" w:rsidP="008B6633">
      <w:pPr>
        <w:jc w:val="left"/>
        <w:rPr>
          <w:rFonts w:asciiTheme="minorHAnsi" w:eastAsiaTheme="minorHAnsi" w:hAnsiTheme="minorHAnsi" w:cstheme="minorBidi"/>
          <w:szCs w:val="22"/>
        </w:rPr>
      </w:pPr>
      <w:r>
        <w:br w:type="page"/>
      </w:r>
    </w:p>
    <w:p w14:paraId="198866AE" w14:textId="749B5B99" w:rsidR="008A61F0" w:rsidRPr="00275521" w:rsidRDefault="008A61F0" w:rsidP="008B6633">
      <w:pPr>
        <w:pStyle w:val="5-SubsectionSubheading"/>
        <w:spacing w:before="160" w:after="160"/>
      </w:pPr>
      <w:bookmarkStart w:id="40" w:name="_Toc219900848"/>
      <w:r w:rsidRPr="00275521">
        <w:lastRenderedPageBreak/>
        <w:t xml:space="preserve">Sleep </w:t>
      </w:r>
      <w:r w:rsidR="00BE1CD1" w:rsidRPr="00275521">
        <w:t>and</w:t>
      </w:r>
      <w:r w:rsidRPr="00275521">
        <w:t xml:space="preserve"> </w:t>
      </w:r>
      <w:r w:rsidR="00BE1CD1" w:rsidRPr="00275521">
        <w:t>g</w:t>
      </w:r>
      <w:r w:rsidRPr="00275521">
        <w:t xml:space="preserve">rowth </w:t>
      </w:r>
      <w:r w:rsidR="00BE1CD1" w:rsidRPr="00275521">
        <w:t>parameters</w:t>
      </w:r>
      <w:bookmarkEnd w:id="40"/>
    </w:p>
    <w:p w14:paraId="370221B8" w14:textId="398CB8FD" w:rsidR="006875BB" w:rsidRPr="00275521" w:rsidRDefault="008A61F0" w:rsidP="008B6633">
      <w:pPr>
        <w:pStyle w:val="3-BodyText"/>
        <w:spacing w:before="160" w:after="160"/>
      </w:pPr>
      <w:r w:rsidRPr="00275521">
        <w:t>Changes in sleep parameters from baseline to Weeks 20-24 in ASSERT</w:t>
      </w:r>
      <w:r w:rsidR="00E3627B" w:rsidRPr="00275521">
        <w:t xml:space="preserve"> </w:t>
      </w:r>
      <w:r w:rsidR="00F32453" w:rsidRPr="00275521">
        <w:t xml:space="preserve">are </w:t>
      </w:r>
      <w:r w:rsidRPr="00275521">
        <w:t xml:space="preserve">shown in </w:t>
      </w:r>
      <w:r w:rsidRPr="00275521">
        <w:fldChar w:fldCharType="begin"/>
      </w:r>
      <w:r w:rsidRPr="00275521">
        <w:instrText xml:space="preserve"> REF _Ref219481269 \h </w:instrText>
      </w:r>
      <w:r w:rsidR="006875BB" w:rsidRPr="00275521">
        <w:instrText xml:space="preserve"> \* MERGEFORMAT </w:instrText>
      </w:r>
      <w:r w:rsidRPr="00275521">
        <w:fldChar w:fldCharType="separate"/>
      </w:r>
      <w:r w:rsidR="0060088A" w:rsidRPr="00275521">
        <w:t xml:space="preserve">Table </w:t>
      </w:r>
      <w:r w:rsidR="0060088A">
        <w:t>9</w:t>
      </w:r>
      <w:r w:rsidRPr="00275521">
        <w:fldChar w:fldCharType="end"/>
      </w:r>
      <w:r w:rsidRPr="00275521">
        <w:t>.</w:t>
      </w:r>
    </w:p>
    <w:p w14:paraId="0F2602AC" w14:textId="5C087F7A" w:rsidR="008A61F0" w:rsidRPr="00275521" w:rsidRDefault="008A61F0" w:rsidP="008B6633">
      <w:pPr>
        <w:pStyle w:val="Caption"/>
      </w:pPr>
      <w:bookmarkStart w:id="41" w:name="_Ref219481269"/>
      <w:r w:rsidRPr="00275521">
        <w:t xml:space="preserve">Table </w:t>
      </w:r>
      <w:fldSimple w:instr=" SEQ Table \* ARABIC ">
        <w:r w:rsidR="0060088A">
          <w:rPr>
            <w:noProof/>
          </w:rPr>
          <w:t>9</w:t>
        </w:r>
      </w:fldSimple>
      <w:bookmarkEnd w:id="41"/>
      <w:r w:rsidRPr="00275521">
        <w:t>: Change from baseline in sleep parameter</w:t>
      </w:r>
      <w:r w:rsidR="00E3627B" w:rsidRPr="00275521">
        <w:t xml:space="preserve"> items </w:t>
      </w:r>
      <w:r w:rsidRPr="00275521">
        <w:t>(ObsRO) at Weeks 21–24 (Full Analysis Set) – ASSERT</w:t>
      </w:r>
    </w:p>
    <w:tbl>
      <w:tblPr>
        <w:tblStyle w:val="GridTable4-Accent2"/>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Table 9: Change from baseline in sleep parameter items (ObsRO) at Weeks 21–24 (Full Analysis Set) – ASSERT"/>
      </w:tblPr>
      <w:tblGrid>
        <w:gridCol w:w="3397"/>
        <w:gridCol w:w="1701"/>
        <w:gridCol w:w="1843"/>
        <w:gridCol w:w="2076"/>
      </w:tblGrid>
      <w:tr w:rsidR="00D03F8A" w:rsidRPr="00275521" w14:paraId="232DB5B1" w14:textId="77777777" w:rsidTr="00EB7944">
        <w:trPr>
          <w:cnfStyle w:val="100000000000" w:firstRow="1" w:lastRow="0" w:firstColumn="0" w:lastColumn="0" w:oddVBand="0" w:evenVBand="0" w:oddHBand="0" w:evenHBand="0" w:firstRowFirstColumn="0" w:firstRowLastColumn="0" w:lastRowFirstColumn="0" w:lastRowLastColumn="0"/>
          <w:trHeight w:val="279"/>
          <w:tblHeader/>
        </w:trPr>
        <w:tc>
          <w:tcPr>
            <w:cnfStyle w:val="001000000000" w:firstRow="0" w:lastRow="0" w:firstColumn="1" w:lastColumn="0" w:oddVBand="0" w:evenVBand="0" w:oddHBand="0" w:evenHBand="0" w:firstRowFirstColumn="0" w:firstRowLastColumn="0" w:lastRowFirstColumn="0" w:lastRowLastColumn="0"/>
            <w:tcW w:w="33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6DBD75E" w14:textId="77777777" w:rsidR="008A61F0" w:rsidRPr="00275521" w:rsidRDefault="008A61F0" w:rsidP="008B6633">
            <w:pPr>
              <w:pStyle w:val="Tabletext"/>
              <w:keepNext/>
              <w:keepLines/>
              <w:rPr>
                <w:color w:val="auto"/>
              </w:rPr>
            </w:pPr>
            <w:r w:rsidRPr="00275521">
              <w:rPr>
                <w:color w:val="auto"/>
              </w:rPr>
              <w:t>Sleep parameter</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E22B49" w14:textId="21DA21DD" w:rsidR="008A61F0" w:rsidRPr="00275521" w:rsidRDefault="008A61F0" w:rsidP="008B6633">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rPr>
            </w:pPr>
            <w:r w:rsidRPr="00275521">
              <w:rPr>
                <w:color w:val="auto"/>
              </w:rPr>
              <w:t>LS mean change</w:t>
            </w:r>
            <w:r w:rsidR="006875BB" w:rsidRPr="00275521">
              <w:rPr>
                <w:color w:val="auto"/>
              </w:rPr>
              <w:t xml:space="preserve"> </w:t>
            </w:r>
            <w:r w:rsidRPr="00275521">
              <w:rPr>
                <w:color w:val="auto"/>
              </w:rPr>
              <w:t>(SE)</w:t>
            </w:r>
          </w:p>
        </w:tc>
        <w:tc>
          <w:tcPr>
            <w:tcW w:w="2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35CD8" w14:textId="684AA478" w:rsidR="008A61F0" w:rsidRPr="00275521" w:rsidRDefault="008A61F0" w:rsidP="008B6633">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vertAlign w:val="superscript"/>
              </w:rPr>
            </w:pPr>
            <w:r w:rsidRPr="00275521">
              <w:rPr>
                <w:color w:val="auto"/>
              </w:rPr>
              <w:t>LS difference (95% CI)</w:t>
            </w:r>
          </w:p>
        </w:tc>
      </w:tr>
      <w:tr w:rsidR="00792603" w:rsidRPr="00275521" w14:paraId="53468FCE" w14:textId="77777777" w:rsidTr="00EB7944">
        <w:trPr>
          <w:cnfStyle w:val="100000000000" w:firstRow="1" w:lastRow="0" w:firstColumn="0" w:lastColumn="0" w:oddVBand="0" w:evenVBand="0" w:oddHBand="0" w:evenHBand="0" w:firstRowFirstColumn="0" w:firstRowLastColumn="0" w:lastRowFirstColumn="0" w:lastRowLastColumn="0"/>
          <w:trHeight w:val="123"/>
          <w:tblHeader/>
        </w:trPr>
        <w:tc>
          <w:tcPr>
            <w:cnfStyle w:val="001000000000" w:firstRow="0" w:lastRow="0" w:firstColumn="1" w:lastColumn="0" w:oddVBand="0" w:evenVBand="0" w:oddHBand="0" w:evenHBand="0" w:firstRowFirstColumn="0" w:firstRowLastColumn="0" w:lastRowFirstColumn="0" w:lastRowLastColumn="0"/>
            <w:tcW w:w="33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A01E72" w14:textId="77777777" w:rsidR="008A61F0" w:rsidRPr="00275521" w:rsidRDefault="008A61F0" w:rsidP="008B6633">
            <w:pPr>
              <w:pStyle w:val="Tabletext"/>
              <w:keepNext/>
              <w:keepLines/>
              <w:rPr>
                <w:color w:val="auto"/>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CB868" w14:textId="77777777" w:rsidR="008A61F0" w:rsidRPr="00275521" w:rsidRDefault="008A61F0" w:rsidP="008B6633">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vertAlign w:val="superscript"/>
              </w:rPr>
            </w:pPr>
            <w:r w:rsidRPr="00275521">
              <w:rPr>
                <w:color w:val="auto"/>
              </w:rPr>
              <w:t xml:space="preserve">Placebo (N=17) </w:t>
            </w:r>
            <w:r w:rsidRPr="00275521">
              <w:rPr>
                <w:color w:val="auto"/>
                <w:vertAlign w:val="superscript"/>
              </w:rPr>
              <w: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B4214" w14:textId="77777777" w:rsidR="008A61F0" w:rsidRPr="00275521" w:rsidRDefault="008A61F0" w:rsidP="008B6633">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vertAlign w:val="superscript"/>
              </w:rPr>
            </w:pPr>
            <w:r w:rsidRPr="00275521">
              <w:rPr>
                <w:color w:val="auto"/>
              </w:rPr>
              <w:t xml:space="preserve">Odevixibat (N=35) </w:t>
            </w:r>
            <w:r w:rsidRPr="00275521">
              <w:rPr>
                <w:color w:val="auto"/>
                <w:vertAlign w:val="superscript"/>
              </w:rPr>
              <w:t>a</w:t>
            </w:r>
          </w:p>
        </w:tc>
        <w:tc>
          <w:tcPr>
            <w:tcW w:w="20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2BA01" w14:textId="77777777" w:rsidR="008A61F0" w:rsidRPr="00275521" w:rsidRDefault="008A61F0" w:rsidP="008B6633">
            <w:pPr>
              <w:pStyle w:val="Tabletext"/>
              <w:keepNext/>
              <w:keepLines/>
              <w:jc w:val="center"/>
              <w:cnfStyle w:val="100000000000" w:firstRow="1" w:lastRow="0" w:firstColumn="0" w:lastColumn="0" w:oddVBand="0" w:evenVBand="0" w:oddHBand="0" w:evenHBand="0" w:firstRowFirstColumn="0" w:firstRowLastColumn="0" w:lastRowFirstColumn="0" w:lastRowLastColumn="0"/>
              <w:rPr>
                <w:color w:val="auto"/>
              </w:rPr>
            </w:pPr>
          </w:p>
        </w:tc>
      </w:tr>
      <w:tr w:rsidR="00792603" w:rsidRPr="00275521" w14:paraId="26ED8A88" w14:textId="77777777" w:rsidTr="00EB79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7AAB3" w14:textId="77777777" w:rsidR="008A61F0" w:rsidRPr="00275521" w:rsidRDefault="008A61F0" w:rsidP="008B6633">
            <w:pPr>
              <w:pStyle w:val="Tabletext"/>
              <w:keepNext/>
              <w:keepLines/>
              <w:rPr>
                <w:b w:val="0"/>
                <w:bCs w:val="0"/>
              </w:rPr>
            </w:pPr>
            <w:r w:rsidRPr="00275521">
              <w:rPr>
                <w:b w:val="0"/>
                <w:bCs w:val="0"/>
              </w:rPr>
              <w:t>Proportion days with help falling asleep,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222C7F34"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-10.1 (9.2)</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2018B021"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-43.4 (6.7)</w:t>
            </w:r>
          </w:p>
        </w:tc>
        <w:tc>
          <w:tcPr>
            <w:tcW w:w="2076"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6E29AB57"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-33.4 (-54.9, -11.9)</w:t>
            </w:r>
          </w:p>
          <w:p w14:paraId="4F9F2223"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p=0.003</w:t>
            </w:r>
          </w:p>
        </w:tc>
      </w:tr>
      <w:tr w:rsidR="00AB6980" w:rsidRPr="00275521" w14:paraId="2A3DC5F9" w14:textId="77777777" w:rsidTr="00EB7944">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tcBorders>
            <w:vAlign w:val="center"/>
            <w:hideMark/>
          </w:tcPr>
          <w:p w14:paraId="01E859E1" w14:textId="77777777" w:rsidR="008A61F0" w:rsidRPr="00275521" w:rsidRDefault="008A61F0" w:rsidP="008B6633">
            <w:pPr>
              <w:pStyle w:val="Tabletext"/>
              <w:keepNext/>
              <w:keepLines/>
              <w:rPr>
                <w:b w:val="0"/>
                <w:bCs w:val="0"/>
              </w:rPr>
            </w:pPr>
            <w:r w:rsidRPr="00275521">
              <w:rPr>
                <w:b w:val="0"/>
                <w:bCs w:val="0"/>
              </w:rPr>
              <w:t>Proportion days with soothing, %</w:t>
            </w:r>
          </w:p>
        </w:tc>
        <w:tc>
          <w:tcPr>
            <w:tcW w:w="1701" w:type="dxa"/>
            <w:tcBorders>
              <w:top w:val="single" w:sz="4" w:space="0" w:color="auto"/>
            </w:tcBorders>
            <w:tcMar>
              <w:top w:w="0" w:type="dxa"/>
              <w:left w:w="57" w:type="dxa"/>
              <w:bottom w:w="0" w:type="dxa"/>
              <w:right w:w="57" w:type="dxa"/>
            </w:tcMar>
            <w:vAlign w:val="center"/>
            <w:hideMark/>
          </w:tcPr>
          <w:p w14:paraId="49CCB161"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-6.3 (7.9)</w:t>
            </w:r>
          </w:p>
        </w:tc>
        <w:tc>
          <w:tcPr>
            <w:tcW w:w="1843" w:type="dxa"/>
            <w:tcBorders>
              <w:top w:val="single" w:sz="4" w:space="0" w:color="auto"/>
            </w:tcBorders>
            <w:tcMar>
              <w:top w:w="0" w:type="dxa"/>
              <w:left w:w="57" w:type="dxa"/>
              <w:bottom w:w="0" w:type="dxa"/>
              <w:right w:w="57" w:type="dxa"/>
            </w:tcMar>
            <w:vAlign w:val="center"/>
            <w:hideMark/>
          </w:tcPr>
          <w:p w14:paraId="4CBDA943"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-46.7 (5.8)</w:t>
            </w:r>
          </w:p>
        </w:tc>
        <w:tc>
          <w:tcPr>
            <w:tcW w:w="2076" w:type="dxa"/>
            <w:tcBorders>
              <w:top w:val="single" w:sz="4" w:space="0" w:color="auto"/>
            </w:tcBorders>
            <w:tcMar>
              <w:top w:w="0" w:type="dxa"/>
              <w:left w:w="57" w:type="dxa"/>
              <w:bottom w:w="0" w:type="dxa"/>
              <w:right w:w="57" w:type="dxa"/>
            </w:tcMar>
            <w:vAlign w:val="center"/>
            <w:hideMark/>
          </w:tcPr>
          <w:p w14:paraId="231343B6"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-40.4 (-58.8, -22.0)</w:t>
            </w:r>
          </w:p>
          <w:p w14:paraId="351964D3"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p&lt;0.001</w:t>
            </w:r>
          </w:p>
        </w:tc>
      </w:tr>
      <w:tr w:rsidR="00792603" w:rsidRPr="00275521" w14:paraId="536B131D" w14:textId="77777777" w:rsidTr="0055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hideMark/>
          </w:tcPr>
          <w:p w14:paraId="1EE0BAB3" w14:textId="77777777" w:rsidR="008A61F0" w:rsidRPr="00275521" w:rsidRDefault="008A61F0" w:rsidP="008B6633">
            <w:pPr>
              <w:pStyle w:val="Tabletext"/>
              <w:keepNext/>
              <w:keepLines/>
              <w:rPr>
                <w:b w:val="0"/>
                <w:bCs w:val="0"/>
              </w:rPr>
            </w:pPr>
            <w:r w:rsidRPr="00275521">
              <w:rPr>
                <w:b w:val="0"/>
                <w:bCs w:val="0"/>
              </w:rPr>
              <w:t>Proportion days sleeping with caregiver, %</w:t>
            </w:r>
          </w:p>
        </w:tc>
        <w:tc>
          <w:tcPr>
            <w:tcW w:w="1701" w:type="dxa"/>
            <w:shd w:val="clear" w:color="auto" w:fill="auto"/>
            <w:tcMar>
              <w:top w:w="0" w:type="dxa"/>
              <w:left w:w="57" w:type="dxa"/>
              <w:bottom w:w="0" w:type="dxa"/>
              <w:right w:w="57" w:type="dxa"/>
            </w:tcMar>
            <w:vAlign w:val="center"/>
            <w:hideMark/>
          </w:tcPr>
          <w:p w14:paraId="2E672551"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-8.3 (7.2)</w:t>
            </w:r>
          </w:p>
        </w:tc>
        <w:tc>
          <w:tcPr>
            <w:tcW w:w="1843" w:type="dxa"/>
            <w:shd w:val="clear" w:color="auto" w:fill="auto"/>
            <w:tcMar>
              <w:top w:w="0" w:type="dxa"/>
              <w:left w:w="57" w:type="dxa"/>
              <w:bottom w:w="0" w:type="dxa"/>
              <w:right w:w="57" w:type="dxa"/>
            </w:tcMar>
            <w:vAlign w:val="center"/>
            <w:hideMark/>
          </w:tcPr>
          <w:p w14:paraId="460F686C"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-34.5 (5.4)</w:t>
            </w:r>
          </w:p>
        </w:tc>
        <w:tc>
          <w:tcPr>
            <w:tcW w:w="2076" w:type="dxa"/>
            <w:shd w:val="clear" w:color="auto" w:fill="auto"/>
            <w:tcMar>
              <w:top w:w="0" w:type="dxa"/>
              <w:left w:w="57" w:type="dxa"/>
              <w:bottom w:w="0" w:type="dxa"/>
              <w:right w:w="57" w:type="dxa"/>
            </w:tcMar>
            <w:vAlign w:val="center"/>
            <w:hideMark/>
          </w:tcPr>
          <w:p w14:paraId="5825C276"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-26.3 (-43.3, -9.2)</w:t>
            </w:r>
          </w:p>
          <w:p w14:paraId="3BA210CB"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p=0.0034</w:t>
            </w:r>
          </w:p>
        </w:tc>
      </w:tr>
      <w:tr w:rsidR="00AB6980" w:rsidRPr="00275521" w14:paraId="34133ECC" w14:textId="77777777">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4DC9116E" w14:textId="72F62B75" w:rsidR="008A61F0" w:rsidRPr="00275521" w:rsidRDefault="008A61F0" w:rsidP="008B6633">
            <w:pPr>
              <w:pStyle w:val="Tabletext"/>
              <w:keepNext/>
              <w:keepLines/>
              <w:rPr>
                <w:b w:val="0"/>
                <w:bCs w:val="0"/>
                <w:vertAlign w:val="superscript"/>
              </w:rPr>
            </w:pPr>
            <w:r w:rsidRPr="00275521">
              <w:rPr>
                <w:b w:val="0"/>
                <w:bCs w:val="0"/>
              </w:rPr>
              <w:t>Tiredness</w:t>
            </w:r>
            <w:r w:rsidR="00AC4733" w:rsidRPr="00275521">
              <w:rPr>
                <w:b w:val="0"/>
                <w:bCs w:val="0"/>
              </w:rPr>
              <w:t xml:space="preserve"> </w:t>
            </w:r>
            <w:r w:rsidR="00AC4733" w:rsidRPr="00275521">
              <w:rPr>
                <w:b w:val="0"/>
                <w:bCs w:val="0"/>
                <w:vertAlign w:val="superscript"/>
              </w:rPr>
              <w:t>b</w:t>
            </w:r>
          </w:p>
        </w:tc>
        <w:tc>
          <w:tcPr>
            <w:tcW w:w="1701" w:type="dxa"/>
            <w:tcMar>
              <w:top w:w="0" w:type="dxa"/>
              <w:left w:w="57" w:type="dxa"/>
              <w:bottom w:w="0" w:type="dxa"/>
              <w:right w:w="57" w:type="dxa"/>
            </w:tcMar>
            <w:vAlign w:val="center"/>
            <w:hideMark/>
          </w:tcPr>
          <w:p w14:paraId="35AE9742"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-0.5 (0.2)</w:t>
            </w:r>
          </w:p>
        </w:tc>
        <w:tc>
          <w:tcPr>
            <w:tcW w:w="1843" w:type="dxa"/>
            <w:tcMar>
              <w:top w:w="0" w:type="dxa"/>
              <w:left w:w="57" w:type="dxa"/>
              <w:bottom w:w="0" w:type="dxa"/>
              <w:right w:w="57" w:type="dxa"/>
            </w:tcMar>
            <w:vAlign w:val="center"/>
            <w:hideMark/>
          </w:tcPr>
          <w:p w14:paraId="05ED80D8"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-1.1 (0.2)</w:t>
            </w:r>
          </w:p>
        </w:tc>
        <w:tc>
          <w:tcPr>
            <w:tcW w:w="2076" w:type="dxa"/>
            <w:tcMar>
              <w:top w:w="0" w:type="dxa"/>
              <w:left w:w="57" w:type="dxa"/>
              <w:bottom w:w="0" w:type="dxa"/>
              <w:right w:w="57" w:type="dxa"/>
            </w:tcMar>
            <w:vAlign w:val="center"/>
            <w:hideMark/>
          </w:tcPr>
          <w:p w14:paraId="037484FC"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-0.6 (-1.1, -0.1)</w:t>
            </w:r>
          </w:p>
          <w:p w14:paraId="281E78F6"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p=0.012</w:t>
            </w:r>
          </w:p>
        </w:tc>
      </w:tr>
      <w:tr w:rsidR="00792603" w:rsidRPr="00275521" w14:paraId="09D97299" w14:textId="77777777" w:rsidTr="0055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hideMark/>
          </w:tcPr>
          <w:p w14:paraId="615CF23F" w14:textId="77777777" w:rsidR="008A61F0" w:rsidRPr="00275521" w:rsidRDefault="008A61F0" w:rsidP="008B6633">
            <w:pPr>
              <w:pStyle w:val="Tabletext"/>
              <w:keepNext/>
              <w:keepLines/>
              <w:rPr>
                <w:b w:val="0"/>
                <w:bCs w:val="0"/>
              </w:rPr>
            </w:pPr>
            <w:r w:rsidRPr="00275521">
              <w:rPr>
                <w:b w:val="0"/>
                <w:bCs w:val="0"/>
              </w:rPr>
              <w:t>Proportion days seeing blood, %</w:t>
            </w:r>
          </w:p>
        </w:tc>
        <w:tc>
          <w:tcPr>
            <w:tcW w:w="1701" w:type="dxa"/>
            <w:shd w:val="clear" w:color="auto" w:fill="auto"/>
            <w:tcMar>
              <w:top w:w="0" w:type="dxa"/>
              <w:left w:w="57" w:type="dxa"/>
              <w:bottom w:w="0" w:type="dxa"/>
              <w:right w:w="57" w:type="dxa"/>
            </w:tcMar>
            <w:vAlign w:val="center"/>
            <w:hideMark/>
          </w:tcPr>
          <w:p w14:paraId="45C6486F"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-19.0 (6.0)</w:t>
            </w:r>
          </w:p>
        </w:tc>
        <w:tc>
          <w:tcPr>
            <w:tcW w:w="1843" w:type="dxa"/>
            <w:shd w:val="clear" w:color="auto" w:fill="auto"/>
            <w:tcMar>
              <w:top w:w="0" w:type="dxa"/>
              <w:left w:w="57" w:type="dxa"/>
              <w:bottom w:w="0" w:type="dxa"/>
              <w:right w:w="57" w:type="dxa"/>
            </w:tcMar>
            <w:vAlign w:val="center"/>
            <w:hideMark/>
          </w:tcPr>
          <w:p w14:paraId="62D5933A"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-28.0 (4.5)</w:t>
            </w:r>
          </w:p>
        </w:tc>
        <w:tc>
          <w:tcPr>
            <w:tcW w:w="2076" w:type="dxa"/>
            <w:shd w:val="clear" w:color="auto" w:fill="auto"/>
            <w:tcMar>
              <w:top w:w="0" w:type="dxa"/>
              <w:left w:w="57" w:type="dxa"/>
              <w:bottom w:w="0" w:type="dxa"/>
              <w:right w:w="57" w:type="dxa"/>
            </w:tcMar>
            <w:vAlign w:val="center"/>
            <w:hideMark/>
          </w:tcPr>
          <w:p w14:paraId="367E0E29"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-9.0 (-23.3, 5.4)</w:t>
            </w:r>
          </w:p>
          <w:p w14:paraId="1CF1F890"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p=0.215</w:t>
            </w:r>
          </w:p>
        </w:tc>
      </w:tr>
      <w:tr w:rsidR="00AB6980" w:rsidRPr="00275521" w14:paraId="292BF55B" w14:textId="77777777">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760E1997" w14:textId="77777777" w:rsidR="008A61F0" w:rsidRPr="00275521" w:rsidRDefault="008A61F0" w:rsidP="008B6633">
            <w:pPr>
              <w:pStyle w:val="Tabletext"/>
              <w:keepNext/>
              <w:keepLines/>
              <w:rPr>
                <w:b w:val="0"/>
                <w:bCs w:val="0"/>
              </w:rPr>
            </w:pPr>
            <w:r w:rsidRPr="00275521">
              <w:rPr>
                <w:b w:val="0"/>
                <w:bCs w:val="0"/>
              </w:rPr>
              <w:t>Number of awakenings</w:t>
            </w:r>
          </w:p>
        </w:tc>
        <w:tc>
          <w:tcPr>
            <w:tcW w:w="1701" w:type="dxa"/>
            <w:tcMar>
              <w:top w:w="0" w:type="dxa"/>
              <w:left w:w="57" w:type="dxa"/>
              <w:bottom w:w="0" w:type="dxa"/>
              <w:right w:w="57" w:type="dxa"/>
            </w:tcMar>
            <w:vAlign w:val="center"/>
            <w:hideMark/>
          </w:tcPr>
          <w:p w14:paraId="15F8B709"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0.2 (1.3)</w:t>
            </w:r>
          </w:p>
        </w:tc>
        <w:tc>
          <w:tcPr>
            <w:tcW w:w="1843" w:type="dxa"/>
            <w:tcMar>
              <w:top w:w="0" w:type="dxa"/>
              <w:left w:w="57" w:type="dxa"/>
              <w:bottom w:w="0" w:type="dxa"/>
              <w:right w:w="57" w:type="dxa"/>
            </w:tcMar>
            <w:vAlign w:val="center"/>
            <w:hideMark/>
          </w:tcPr>
          <w:p w14:paraId="01928D72"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-2.7 (0.9)</w:t>
            </w:r>
          </w:p>
        </w:tc>
        <w:tc>
          <w:tcPr>
            <w:tcW w:w="2076" w:type="dxa"/>
            <w:tcMar>
              <w:top w:w="0" w:type="dxa"/>
              <w:left w:w="57" w:type="dxa"/>
              <w:bottom w:w="0" w:type="dxa"/>
              <w:right w:w="57" w:type="dxa"/>
            </w:tcMar>
            <w:vAlign w:val="center"/>
            <w:hideMark/>
          </w:tcPr>
          <w:p w14:paraId="6E48F23A"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-2.9 (-6.1, 0.3)</w:t>
            </w:r>
          </w:p>
          <w:p w14:paraId="7F819487" w14:textId="77777777" w:rsidR="008A61F0" w:rsidRPr="00275521" w:rsidRDefault="008A61F0" w:rsidP="008B6633">
            <w:pPr>
              <w:pStyle w:val="Tabletext"/>
              <w:keepNext/>
              <w:keepLines/>
              <w:jc w:val="center"/>
              <w:cnfStyle w:val="000000000000" w:firstRow="0" w:lastRow="0" w:firstColumn="0" w:lastColumn="0" w:oddVBand="0" w:evenVBand="0" w:oddHBand="0" w:evenHBand="0" w:firstRowFirstColumn="0" w:firstRowLastColumn="0" w:lastRowFirstColumn="0" w:lastRowLastColumn="0"/>
            </w:pPr>
            <w:r w:rsidRPr="00275521">
              <w:t>p=0.078</w:t>
            </w:r>
          </w:p>
        </w:tc>
      </w:tr>
      <w:tr w:rsidR="00792603" w:rsidRPr="00275521" w14:paraId="0036BDD0" w14:textId="77777777" w:rsidTr="00552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vAlign w:val="center"/>
            <w:hideMark/>
          </w:tcPr>
          <w:p w14:paraId="167076B5" w14:textId="77777777" w:rsidR="008A61F0" w:rsidRPr="00275521" w:rsidRDefault="008A61F0" w:rsidP="008B6633">
            <w:pPr>
              <w:pStyle w:val="Tabletext"/>
              <w:keepNext/>
              <w:keepLines/>
              <w:rPr>
                <w:b w:val="0"/>
                <w:bCs w:val="0"/>
              </w:rPr>
            </w:pPr>
            <w:r w:rsidRPr="00275521">
              <w:rPr>
                <w:b w:val="0"/>
                <w:bCs w:val="0"/>
              </w:rPr>
              <w:t>Proportion days taking medication to induce sleep, %</w:t>
            </w:r>
          </w:p>
        </w:tc>
        <w:tc>
          <w:tcPr>
            <w:tcW w:w="1701" w:type="dxa"/>
            <w:shd w:val="clear" w:color="auto" w:fill="auto"/>
            <w:tcMar>
              <w:top w:w="0" w:type="dxa"/>
              <w:left w:w="57" w:type="dxa"/>
              <w:bottom w:w="0" w:type="dxa"/>
              <w:right w:w="57" w:type="dxa"/>
            </w:tcMar>
            <w:vAlign w:val="center"/>
            <w:hideMark/>
          </w:tcPr>
          <w:p w14:paraId="7386BEA4"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4.3 (5.8)</w:t>
            </w:r>
          </w:p>
        </w:tc>
        <w:tc>
          <w:tcPr>
            <w:tcW w:w="1843" w:type="dxa"/>
            <w:shd w:val="clear" w:color="auto" w:fill="auto"/>
            <w:tcMar>
              <w:top w:w="0" w:type="dxa"/>
              <w:left w:w="57" w:type="dxa"/>
              <w:bottom w:w="0" w:type="dxa"/>
              <w:right w:w="57" w:type="dxa"/>
            </w:tcMar>
            <w:vAlign w:val="center"/>
            <w:hideMark/>
          </w:tcPr>
          <w:p w14:paraId="134C7EF6"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-2.8 (4.3)</w:t>
            </w:r>
          </w:p>
        </w:tc>
        <w:tc>
          <w:tcPr>
            <w:tcW w:w="2076" w:type="dxa"/>
            <w:shd w:val="clear" w:color="auto" w:fill="auto"/>
            <w:tcMar>
              <w:top w:w="0" w:type="dxa"/>
              <w:left w:w="57" w:type="dxa"/>
              <w:bottom w:w="0" w:type="dxa"/>
              <w:right w:w="57" w:type="dxa"/>
            </w:tcMar>
            <w:vAlign w:val="center"/>
            <w:hideMark/>
          </w:tcPr>
          <w:p w14:paraId="78AF4DB3"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-7.1 (-21.0, 6.7)</w:t>
            </w:r>
          </w:p>
          <w:p w14:paraId="7844BDEA" w14:textId="77777777" w:rsidR="008A61F0" w:rsidRPr="00275521" w:rsidRDefault="008A61F0" w:rsidP="008B6633">
            <w:pPr>
              <w:pStyle w:val="Tabletext"/>
              <w:keepNext/>
              <w:keepLines/>
              <w:jc w:val="center"/>
              <w:cnfStyle w:val="000000100000" w:firstRow="0" w:lastRow="0" w:firstColumn="0" w:lastColumn="0" w:oddVBand="0" w:evenVBand="0" w:oddHBand="1" w:evenHBand="0" w:firstRowFirstColumn="0" w:firstRowLastColumn="0" w:lastRowFirstColumn="0" w:lastRowLastColumn="0"/>
            </w:pPr>
            <w:r w:rsidRPr="00275521">
              <w:t>p=0.306</w:t>
            </w:r>
          </w:p>
        </w:tc>
      </w:tr>
    </w:tbl>
    <w:p w14:paraId="3971E5F3" w14:textId="77777777" w:rsidR="008A61F0" w:rsidRPr="004750F9" w:rsidRDefault="008A61F0" w:rsidP="008B6633">
      <w:pPr>
        <w:pStyle w:val="TableFigureFooter"/>
        <w:widowControl/>
      </w:pPr>
      <w:r w:rsidRPr="004750F9">
        <w:t>Source: Table 2-29, p80 of the submission</w:t>
      </w:r>
    </w:p>
    <w:p w14:paraId="618F6228" w14:textId="5507E6FB" w:rsidR="008A61F0" w:rsidRPr="00275521" w:rsidRDefault="008A61F0" w:rsidP="008B6633">
      <w:pPr>
        <w:pStyle w:val="TableFigureFooter"/>
        <w:widowControl/>
      </w:pPr>
      <w:r w:rsidRPr="00275521">
        <w:t>CI, confidence interval; MMRM, mixed-effect model for repeated measures; ObsRO, observer-reported outcome; SE, standard error.</w:t>
      </w:r>
    </w:p>
    <w:p w14:paraId="2FB716A1" w14:textId="77777777" w:rsidR="00AC4733" w:rsidRPr="00275521" w:rsidRDefault="008A61F0" w:rsidP="008B6633">
      <w:pPr>
        <w:pStyle w:val="TableFigureFooter"/>
        <w:widowControl/>
      </w:pPr>
      <w:r w:rsidRPr="00275521">
        <w:rPr>
          <w:vertAlign w:val="superscript"/>
        </w:rPr>
        <w:t xml:space="preserve">a </w:t>
      </w:r>
      <w:r w:rsidRPr="00275521">
        <w:t>At Weeks 21-24, the number of placebo respondents was n=16, and the number of odevixibat respondents was n=33 (Table 12.2.12.1 ASSERT CSR).</w:t>
      </w:r>
    </w:p>
    <w:p w14:paraId="54B5924A" w14:textId="5E33E64A" w:rsidR="008A61F0" w:rsidRPr="00275521" w:rsidRDefault="00AC4733" w:rsidP="008B6633">
      <w:pPr>
        <w:pStyle w:val="TableFigureFooter"/>
        <w:widowControl/>
      </w:pPr>
      <w:r w:rsidRPr="00275521">
        <w:rPr>
          <w:vertAlign w:val="superscript"/>
        </w:rPr>
        <w:t>b</w:t>
      </w:r>
      <w:r w:rsidRPr="00275521">
        <w:t xml:space="preserve"> Tiredness was measured with the ObsRO item “How tired did your child seem to be today?”, with caregiver response options of 0 = not tired at all, 1 = a little tired; 2 = medium tired; 3 = very tired; 4 = very, very tired.</w:t>
      </w:r>
    </w:p>
    <w:p w14:paraId="7C083E07" w14:textId="21F8A6B5" w:rsidR="008A61F0" w:rsidRPr="00385A6B" w:rsidRDefault="008A61F0" w:rsidP="008B6633">
      <w:pPr>
        <w:pStyle w:val="3-BodyText"/>
        <w:spacing w:before="160"/>
        <w:rPr>
          <w:rFonts w:cstheme="minorHAnsi"/>
        </w:rPr>
      </w:pPr>
      <w:r w:rsidRPr="00385A6B">
        <w:rPr>
          <w:rFonts w:cstheme="minorHAnsi"/>
        </w:rPr>
        <w:t xml:space="preserve">The submission claimed that from baseline to Weeks 21–24, </w:t>
      </w:r>
      <w:r w:rsidR="00E37611" w:rsidRPr="00385A6B">
        <w:rPr>
          <w:rFonts w:cstheme="minorHAnsi"/>
        </w:rPr>
        <w:t xml:space="preserve">the </w:t>
      </w:r>
      <w:r w:rsidRPr="00385A6B">
        <w:rPr>
          <w:rFonts w:cstheme="minorHAnsi"/>
        </w:rPr>
        <w:t xml:space="preserve">LS mean change was significantly greater with odevixibat versus placebo for </w:t>
      </w:r>
      <w:r w:rsidR="00C67F4F" w:rsidRPr="00385A6B">
        <w:rPr>
          <w:rFonts w:cstheme="minorHAnsi"/>
        </w:rPr>
        <w:t xml:space="preserve">several sleep parameters: </w:t>
      </w:r>
      <w:r w:rsidRPr="00385A6B">
        <w:rPr>
          <w:rFonts w:cstheme="minorHAnsi"/>
        </w:rPr>
        <w:t>proportion of days needing help falling asleep (</w:t>
      </w:r>
      <w:r w:rsidR="00BE1CD1" w:rsidRPr="00385A6B">
        <w:rPr>
          <w:rFonts w:cstheme="minorHAnsi"/>
        </w:rPr>
        <w:t xml:space="preserve">odevixibat −43% vs placebo −10%; </w:t>
      </w:r>
      <w:r w:rsidRPr="00385A6B">
        <w:rPr>
          <w:rFonts w:cstheme="minorHAnsi"/>
        </w:rPr>
        <w:t>LS difference −33%)</w:t>
      </w:r>
      <w:r w:rsidR="00C67F4F" w:rsidRPr="00385A6B">
        <w:rPr>
          <w:rFonts w:cstheme="minorHAnsi"/>
        </w:rPr>
        <w:t>;</w:t>
      </w:r>
      <w:r w:rsidRPr="00385A6B">
        <w:rPr>
          <w:rFonts w:cstheme="minorHAnsi"/>
        </w:rPr>
        <w:t xml:space="preserve"> proportion of days sleeping with a caregiver (</w:t>
      </w:r>
      <w:r w:rsidR="00BE1CD1" w:rsidRPr="00385A6B">
        <w:rPr>
          <w:rFonts w:cstheme="minorHAnsi"/>
        </w:rPr>
        <w:t xml:space="preserve">odevixibat −35% vs placebo −8%; </w:t>
      </w:r>
      <w:r w:rsidRPr="00385A6B">
        <w:rPr>
          <w:rFonts w:cstheme="minorHAnsi"/>
        </w:rPr>
        <w:t>LS difference −26%)</w:t>
      </w:r>
      <w:r w:rsidR="000D5A4A" w:rsidRPr="00385A6B">
        <w:rPr>
          <w:rFonts w:cstheme="minorHAnsi"/>
        </w:rPr>
        <w:t>;</w:t>
      </w:r>
      <w:r w:rsidRPr="00385A6B">
        <w:rPr>
          <w:rFonts w:cstheme="minorHAnsi"/>
        </w:rPr>
        <w:t xml:space="preserve"> proportion of days needing soothing (</w:t>
      </w:r>
      <w:r w:rsidR="00BE1CD1" w:rsidRPr="00385A6B">
        <w:rPr>
          <w:rFonts w:cstheme="minorHAnsi"/>
        </w:rPr>
        <w:t xml:space="preserve">odevixibat −47% vs placebo −6%; </w:t>
      </w:r>
      <w:r w:rsidRPr="00385A6B">
        <w:rPr>
          <w:rFonts w:cstheme="minorHAnsi"/>
        </w:rPr>
        <w:t>LS difference −40%)</w:t>
      </w:r>
      <w:r w:rsidR="000D5A4A" w:rsidRPr="00385A6B">
        <w:rPr>
          <w:rFonts w:cstheme="minorHAnsi"/>
        </w:rPr>
        <w:t>;</w:t>
      </w:r>
      <w:r w:rsidRPr="00385A6B">
        <w:rPr>
          <w:rFonts w:cstheme="minorHAnsi"/>
        </w:rPr>
        <w:t xml:space="preserve"> and daytime tiredness score (</w:t>
      </w:r>
      <w:r w:rsidR="00BE1CD1" w:rsidRPr="00385A6B">
        <w:rPr>
          <w:rFonts w:cstheme="minorHAnsi"/>
        </w:rPr>
        <w:t xml:space="preserve">odevixibat −1.1 points vs placebo −0.5; </w:t>
      </w:r>
      <w:r w:rsidRPr="00385A6B">
        <w:rPr>
          <w:rFonts w:cstheme="minorHAnsi"/>
        </w:rPr>
        <w:t>LS difference −0.6 [95% CI: −1.1 to −0.1]).</w:t>
      </w:r>
      <w:r w:rsidR="00474C77" w:rsidRPr="00385A6B">
        <w:rPr>
          <w:rFonts w:cstheme="minorHAnsi"/>
        </w:rPr>
        <w:t xml:space="preserve"> </w:t>
      </w:r>
      <w:r w:rsidR="005A5D0C" w:rsidRPr="00385A6B">
        <w:rPr>
          <w:rFonts w:cstheme="minorHAnsi"/>
        </w:rPr>
        <w:t xml:space="preserve">However, </w:t>
      </w:r>
      <w:r w:rsidR="001E3C6D">
        <w:rPr>
          <w:rFonts w:cstheme="minorHAnsi"/>
        </w:rPr>
        <w:t xml:space="preserve">the evaluation considered that </w:t>
      </w:r>
      <w:r w:rsidR="005A5D0C" w:rsidRPr="00385A6B">
        <w:rPr>
          <w:rFonts w:cstheme="minorHAnsi"/>
        </w:rPr>
        <w:t>as c</w:t>
      </w:r>
      <w:r w:rsidR="00E3627B" w:rsidRPr="00385A6B">
        <w:rPr>
          <w:rFonts w:cstheme="minorHAnsi"/>
        </w:rPr>
        <w:t>hanges in sleep parameter outcomes were not adjusted for multiplicity</w:t>
      </w:r>
      <w:r w:rsidR="005A5D0C" w:rsidRPr="00385A6B">
        <w:rPr>
          <w:rFonts w:cstheme="minorHAnsi"/>
        </w:rPr>
        <w:t>, there was an increased risk of Type I error</w:t>
      </w:r>
      <w:r w:rsidR="00E3627B" w:rsidRPr="00385A6B">
        <w:rPr>
          <w:rFonts w:cstheme="minorHAnsi"/>
        </w:rPr>
        <w:t>.</w:t>
      </w:r>
      <w:bookmarkStart w:id="42" w:name="_Ref219643319"/>
      <w:r w:rsidR="005A5D0C" w:rsidRPr="00385A6B">
        <w:rPr>
          <w:rFonts w:cstheme="minorHAnsi"/>
        </w:rPr>
        <w:t xml:space="preserve"> In addition, a</w:t>
      </w:r>
      <w:r w:rsidRPr="00385A6B">
        <w:rPr>
          <w:rFonts w:cstheme="minorHAnsi"/>
        </w:rPr>
        <w:t xml:space="preserve"> higher proportion of patients in the placebo arm were aged &lt;2 years (29.4%, 5/17) compared with the odevixibat group (8.6%, 3/35)</w:t>
      </w:r>
      <w:r w:rsidR="005A5D0C" w:rsidRPr="00385A6B">
        <w:rPr>
          <w:rFonts w:cstheme="minorHAnsi"/>
        </w:rPr>
        <w:t>, and</w:t>
      </w:r>
      <w:r w:rsidRPr="00385A6B">
        <w:rPr>
          <w:rFonts w:cstheme="minorHAnsi"/>
        </w:rPr>
        <w:t xml:space="preserve"> </w:t>
      </w:r>
      <w:r w:rsidR="001E3C6D">
        <w:rPr>
          <w:rFonts w:cstheme="minorHAnsi"/>
        </w:rPr>
        <w:t xml:space="preserve">the evaluation considered </w:t>
      </w:r>
      <w:r w:rsidR="005A5D0C" w:rsidRPr="00385A6B">
        <w:rPr>
          <w:rFonts w:cstheme="minorHAnsi"/>
        </w:rPr>
        <w:t>i</w:t>
      </w:r>
      <w:r w:rsidRPr="00385A6B">
        <w:rPr>
          <w:rFonts w:cstheme="minorHAnsi"/>
        </w:rPr>
        <w:t>t uncertain whether this could potentially confound differences in sleep parameter outcomes.</w:t>
      </w:r>
      <w:bookmarkEnd w:id="42"/>
    </w:p>
    <w:p w14:paraId="5C6A0175" w14:textId="2FF57423" w:rsidR="00474C77" w:rsidRPr="00385A6B" w:rsidRDefault="00BE1CD1" w:rsidP="008B6633">
      <w:pPr>
        <w:pStyle w:val="3-BodyText"/>
        <w:spacing w:before="160"/>
        <w:rPr>
          <w:rFonts w:cstheme="minorHAnsi"/>
        </w:rPr>
      </w:pPr>
      <w:r w:rsidRPr="00385A6B">
        <w:rPr>
          <w:rFonts w:cstheme="minorHAnsi"/>
        </w:rPr>
        <w:t xml:space="preserve">Changes in growth parameters were an exploratory outcome of ASSERT. </w:t>
      </w:r>
      <w:r w:rsidR="00474C77" w:rsidRPr="00385A6B">
        <w:rPr>
          <w:rFonts w:cstheme="minorHAnsi"/>
        </w:rPr>
        <w:t xml:space="preserve">After 24 weeks of treatment, small </w:t>
      </w:r>
      <w:r w:rsidR="006B64D6" w:rsidRPr="00385A6B">
        <w:rPr>
          <w:rFonts w:cstheme="minorHAnsi"/>
        </w:rPr>
        <w:t xml:space="preserve">LS </w:t>
      </w:r>
      <w:r w:rsidR="00474C77" w:rsidRPr="00385A6B">
        <w:rPr>
          <w:rFonts w:cstheme="minorHAnsi"/>
        </w:rPr>
        <w:t xml:space="preserve">mean changes </w:t>
      </w:r>
      <w:r w:rsidR="006B64D6" w:rsidRPr="00385A6B">
        <w:rPr>
          <w:rFonts w:cstheme="minorHAnsi"/>
        </w:rPr>
        <w:t xml:space="preserve">baseline to Week 24 </w:t>
      </w:r>
      <w:r w:rsidR="00474C77" w:rsidRPr="00385A6B">
        <w:rPr>
          <w:rFonts w:cstheme="minorHAnsi"/>
        </w:rPr>
        <w:t xml:space="preserve">were noted in height </w:t>
      </w:r>
      <w:r w:rsidR="008A12C3" w:rsidRPr="00385A6B">
        <w:rPr>
          <w:rFonts w:cstheme="minorHAnsi"/>
        </w:rPr>
        <w:t xml:space="preserve">(0.12 odevixibat </w:t>
      </w:r>
      <w:r w:rsidR="00994EE1" w:rsidRPr="00385A6B">
        <w:rPr>
          <w:rFonts w:cstheme="minorHAnsi"/>
        </w:rPr>
        <w:t>vs</w:t>
      </w:r>
      <w:r w:rsidR="008A12C3" w:rsidRPr="00385A6B">
        <w:rPr>
          <w:rFonts w:cstheme="minorHAnsi"/>
        </w:rPr>
        <w:t xml:space="preserve"> -0.15 placebo; difference 0.27 (95% CI: 0.00, 0.54)) </w:t>
      </w:r>
      <w:r w:rsidR="00474C77" w:rsidRPr="00385A6B">
        <w:rPr>
          <w:rFonts w:cstheme="minorHAnsi"/>
        </w:rPr>
        <w:t>and weight</w:t>
      </w:r>
      <w:r w:rsidR="003344F7" w:rsidRPr="00385A6B">
        <w:rPr>
          <w:rFonts w:cstheme="minorHAnsi"/>
        </w:rPr>
        <w:t xml:space="preserve"> (0.05 odevixibat </w:t>
      </w:r>
      <w:r w:rsidR="00994EE1" w:rsidRPr="00385A6B">
        <w:rPr>
          <w:rFonts w:cstheme="minorHAnsi"/>
        </w:rPr>
        <w:t>vs</w:t>
      </w:r>
      <w:r w:rsidR="003344F7" w:rsidRPr="00385A6B">
        <w:rPr>
          <w:rFonts w:cstheme="minorHAnsi"/>
        </w:rPr>
        <w:t xml:space="preserve"> 0.23 placebo; difference -0.28 (95% CI: -0.53, -0.04))</w:t>
      </w:r>
      <w:r w:rsidR="00474C77" w:rsidRPr="00385A6B">
        <w:rPr>
          <w:rFonts w:cstheme="minorHAnsi"/>
        </w:rPr>
        <w:t xml:space="preserve"> z-scores in both treatment groups.</w:t>
      </w:r>
      <w:r w:rsidRPr="00385A6B">
        <w:rPr>
          <w:rFonts w:cstheme="minorHAnsi"/>
        </w:rPr>
        <w:t xml:space="preserve"> The </w:t>
      </w:r>
      <w:r w:rsidR="00BC376E" w:rsidRPr="00385A6B">
        <w:rPr>
          <w:rFonts w:cstheme="minorHAnsi"/>
        </w:rPr>
        <w:t xml:space="preserve">submission noted the </w:t>
      </w:r>
      <w:r w:rsidRPr="00385A6B">
        <w:rPr>
          <w:rFonts w:cstheme="minorHAnsi"/>
        </w:rPr>
        <w:t>imbalance across age groups at baseline</w:t>
      </w:r>
      <w:r w:rsidR="00E3627B" w:rsidRPr="00385A6B">
        <w:rPr>
          <w:rFonts w:cstheme="minorHAnsi"/>
        </w:rPr>
        <w:t xml:space="preserve"> (</w:t>
      </w:r>
      <w:r w:rsidR="00BC376E" w:rsidRPr="00385A6B">
        <w:rPr>
          <w:rFonts w:cstheme="minorHAnsi"/>
        </w:rPr>
        <w:t xml:space="preserve">paragraph </w:t>
      </w:r>
      <w:r w:rsidR="00BC376E" w:rsidRPr="00385A6B">
        <w:rPr>
          <w:rFonts w:cstheme="minorHAnsi"/>
        </w:rPr>
        <w:fldChar w:fldCharType="begin"/>
      </w:r>
      <w:r w:rsidR="00BC376E" w:rsidRPr="00385A6B">
        <w:rPr>
          <w:rFonts w:cstheme="minorHAnsi"/>
        </w:rPr>
        <w:instrText xml:space="preserve"> REF _Ref219643319 \r \h  \* MERGEFORMAT </w:instrText>
      </w:r>
      <w:r w:rsidR="00BC376E" w:rsidRPr="00385A6B">
        <w:rPr>
          <w:rFonts w:cstheme="minorHAnsi"/>
        </w:rPr>
      </w:r>
      <w:r w:rsidR="00BC376E" w:rsidRPr="00385A6B">
        <w:rPr>
          <w:rFonts w:cstheme="minorHAnsi"/>
        </w:rPr>
        <w:fldChar w:fldCharType="separate"/>
      </w:r>
      <w:r w:rsidR="0060088A">
        <w:rPr>
          <w:rFonts w:cstheme="minorHAnsi"/>
        </w:rPr>
        <w:t>6.29</w:t>
      </w:r>
      <w:r w:rsidR="00BC376E" w:rsidRPr="00385A6B">
        <w:rPr>
          <w:rFonts w:cstheme="minorHAnsi"/>
        </w:rPr>
        <w:fldChar w:fldCharType="end"/>
      </w:r>
      <w:r w:rsidR="00BC376E" w:rsidRPr="00385A6B">
        <w:rPr>
          <w:rFonts w:cstheme="minorHAnsi"/>
        </w:rPr>
        <w:t>)</w:t>
      </w:r>
      <w:r w:rsidRPr="00385A6B">
        <w:rPr>
          <w:rFonts w:cstheme="minorHAnsi"/>
        </w:rPr>
        <w:t xml:space="preserve"> </w:t>
      </w:r>
      <w:r w:rsidR="00BC376E" w:rsidRPr="00385A6B">
        <w:rPr>
          <w:rFonts w:cstheme="minorHAnsi"/>
        </w:rPr>
        <w:t xml:space="preserve">which </w:t>
      </w:r>
      <w:r w:rsidRPr="00385A6B">
        <w:rPr>
          <w:rFonts w:cstheme="minorHAnsi"/>
        </w:rPr>
        <w:t>may confound measurement of growth parameters.</w:t>
      </w:r>
    </w:p>
    <w:p w14:paraId="1C04B3F9" w14:textId="3A004206" w:rsidR="005E037E" w:rsidRPr="00387C32" w:rsidRDefault="005E037E" w:rsidP="008B6633">
      <w:pPr>
        <w:pStyle w:val="3-BodyText"/>
        <w:spacing w:before="160"/>
        <w:rPr>
          <w:rFonts w:cstheme="minorHAnsi"/>
        </w:rPr>
      </w:pPr>
      <w:r w:rsidRPr="00387C32">
        <w:rPr>
          <w:rFonts w:cstheme="minorHAnsi"/>
        </w:rPr>
        <w:lastRenderedPageBreak/>
        <w:t xml:space="preserve">The PBAC recalled that </w:t>
      </w:r>
      <w:r w:rsidR="008C4FF5">
        <w:rPr>
          <w:rFonts w:cstheme="minorHAnsi"/>
        </w:rPr>
        <w:t xml:space="preserve">some </w:t>
      </w:r>
      <w:r w:rsidR="00227D89">
        <w:rPr>
          <w:rFonts w:cstheme="minorHAnsi"/>
        </w:rPr>
        <w:t xml:space="preserve">limited </w:t>
      </w:r>
      <w:r w:rsidR="008019C2" w:rsidRPr="00387C32">
        <w:rPr>
          <w:rFonts w:cstheme="minorHAnsi"/>
        </w:rPr>
        <w:t xml:space="preserve">evidence </w:t>
      </w:r>
      <w:r w:rsidR="008E08C3" w:rsidRPr="00387C32">
        <w:rPr>
          <w:rFonts w:cstheme="minorHAnsi"/>
        </w:rPr>
        <w:t>of benefit for odevi</w:t>
      </w:r>
      <w:r w:rsidR="00A25F8A" w:rsidRPr="00387C32">
        <w:rPr>
          <w:rFonts w:cstheme="minorHAnsi"/>
        </w:rPr>
        <w:t xml:space="preserve">xibat for </w:t>
      </w:r>
      <w:r w:rsidR="00A155B1" w:rsidRPr="00387C32">
        <w:rPr>
          <w:rFonts w:cstheme="minorHAnsi"/>
        </w:rPr>
        <w:t>EFS</w:t>
      </w:r>
      <w:r w:rsidR="00434619" w:rsidRPr="00387C32">
        <w:rPr>
          <w:rFonts w:cstheme="minorHAnsi"/>
        </w:rPr>
        <w:t xml:space="preserve"> (</w:t>
      </w:r>
      <w:r w:rsidR="008E08C3" w:rsidRPr="00387C32">
        <w:rPr>
          <w:rFonts w:cstheme="minorHAnsi"/>
        </w:rPr>
        <w:t>time to first surgical biliary diversion, liver transplant or death)</w:t>
      </w:r>
      <w:r w:rsidR="005C36A5" w:rsidRPr="00387C32">
        <w:rPr>
          <w:rFonts w:cstheme="minorHAnsi"/>
        </w:rPr>
        <w:t xml:space="preserve">, </w:t>
      </w:r>
      <w:r w:rsidR="008E08C3" w:rsidRPr="00387C32">
        <w:rPr>
          <w:rFonts w:cstheme="minorHAnsi"/>
        </w:rPr>
        <w:t xml:space="preserve">was </w:t>
      </w:r>
      <w:r w:rsidR="00A25F8A" w:rsidRPr="00387C32">
        <w:rPr>
          <w:rFonts w:cstheme="minorHAnsi"/>
        </w:rPr>
        <w:t xml:space="preserve">presented for PFIC (see </w:t>
      </w:r>
      <w:r w:rsidR="0091408F" w:rsidRPr="00387C32">
        <w:rPr>
          <w:rFonts w:cstheme="minorHAnsi"/>
        </w:rPr>
        <w:t xml:space="preserve">table </w:t>
      </w:r>
      <w:r w:rsidR="00B85C91" w:rsidRPr="00387C32">
        <w:rPr>
          <w:rFonts w:cstheme="minorHAnsi"/>
        </w:rPr>
        <w:t>8</w:t>
      </w:r>
      <w:r w:rsidR="0091408F" w:rsidRPr="00387C32">
        <w:rPr>
          <w:rFonts w:cstheme="minorHAnsi"/>
        </w:rPr>
        <w:t xml:space="preserve">, </w:t>
      </w:r>
      <w:r w:rsidR="007A7057" w:rsidRPr="00387C32">
        <w:rPr>
          <w:rFonts w:cstheme="minorHAnsi"/>
        </w:rPr>
        <w:t>odevixibat PSD, July 2025 PBAC meeting)</w:t>
      </w:r>
      <w:r w:rsidR="00FA03DE" w:rsidRPr="00387C32">
        <w:rPr>
          <w:rFonts w:cstheme="minorHAnsi"/>
        </w:rPr>
        <w:t>,</w:t>
      </w:r>
      <w:r w:rsidR="007A7057" w:rsidRPr="00387C32">
        <w:rPr>
          <w:rFonts w:cstheme="minorHAnsi"/>
        </w:rPr>
        <w:t xml:space="preserve"> but </w:t>
      </w:r>
      <w:r w:rsidR="00FA03DE" w:rsidRPr="00387C32">
        <w:rPr>
          <w:rFonts w:cstheme="minorHAnsi"/>
        </w:rPr>
        <w:t xml:space="preserve">noted that </w:t>
      </w:r>
      <w:r w:rsidR="007A7057" w:rsidRPr="00387C32">
        <w:rPr>
          <w:rFonts w:cstheme="minorHAnsi"/>
        </w:rPr>
        <w:t xml:space="preserve">no such evidence was presented for ALGS. </w:t>
      </w:r>
    </w:p>
    <w:p w14:paraId="1452C351" w14:textId="0D19F1B0" w:rsidR="00B60939" w:rsidRPr="00385A6B" w:rsidRDefault="00B60939" w:rsidP="008B6633">
      <w:pPr>
        <w:pStyle w:val="4-SubsectionHeading"/>
        <w:rPr>
          <w:iCs/>
        </w:rPr>
      </w:pPr>
      <w:bookmarkStart w:id="43" w:name="_Toc22897642"/>
      <w:bookmarkStart w:id="44" w:name="_Toc219900849"/>
      <w:r w:rsidRPr="00385A6B">
        <w:t>Comparative harms</w:t>
      </w:r>
      <w:bookmarkEnd w:id="43"/>
      <w:bookmarkEnd w:id="44"/>
    </w:p>
    <w:p w14:paraId="2DAF16D1" w14:textId="5063B0C3" w:rsidR="00B60939" w:rsidRPr="00385A6B" w:rsidRDefault="003B5A81" w:rsidP="008B6633">
      <w:pPr>
        <w:pStyle w:val="3-BodyText"/>
        <w:spacing w:before="160"/>
        <w:rPr>
          <w:rFonts w:cstheme="minorHAnsi"/>
          <w:color w:val="000000" w:themeColor="text1"/>
        </w:rPr>
      </w:pPr>
      <w:r w:rsidRPr="00385A6B">
        <w:rPr>
          <w:rFonts w:cstheme="minorHAnsi"/>
          <w:color w:val="000000" w:themeColor="text1"/>
        </w:rPr>
        <w:t xml:space="preserve">A summary of </w:t>
      </w:r>
      <w:r w:rsidR="0024281C" w:rsidRPr="00385A6B">
        <w:rPr>
          <w:rFonts w:cstheme="minorHAnsi"/>
          <w:color w:val="000000" w:themeColor="text1"/>
        </w:rPr>
        <w:t>treatment emergent adverse events (</w:t>
      </w:r>
      <w:r w:rsidRPr="00385A6B">
        <w:rPr>
          <w:rFonts w:cstheme="minorHAnsi"/>
          <w:color w:val="000000" w:themeColor="text1"/>
        </w:rPr>
        <w:t>TEAEs</w:t>
      </w:r>
      <w:r w:rsidR="0024281C" w:rsidRPr="00385A6B">
        <w:rPr>
          <w:rFonts w:cstheme="minorHAnsi"/>
          <w:color w:val="000000" w:themeColor="text1"/>
        </w:rPr>
        <w:t>)</w:t>
      </w:r>
      <w:r w:rsidRPr="00385A6B">
        <w:rPr>
          <w:rFonts w:cstheme="minorHAnsi"/>
          <w:color w:val="000000" w:themeColor="text1"/>
        </w:rPr>
        <w:t xml:space="preserve"> reported in ASSERT </w:t>
      </w:r>
      <w:r w:rsidR="007C5160" w:rsidRPr="00385A6B">
        <w:rPr>
          <w:rFonts w:cstheme="minorHAnsi"/>
          <w:color w:val="000000" w:themeColor="text1"/>
        </w:rPr>
        <w:t xml:space="preserve">and ASSERT-EXT </w:t>
      </w:r>
      <w:r w:rsidRPr="00385A6B">
        <w:rPr>
          <w:rFonts w:cstheme="minorHAnsi"/>
          <w:color w:val="000000" w:themeColor="text1"/>
        </w:rPr>
        <w:t xml:space="preserve">is shown in </w:t>
      </w:r>
      <w:r w:rsidRPr="00385A6B">
        <w:rPr>
          <w:rFonts w:cstheme="minorHAnsi"/>
          <w:color w:val="000000" w:themeColor="text1"/>
        </w:rPr>
        <w:fldChar w:fldCharType="begin"/>
      </w:r>
      <w:r w:rsidRPr="00385A6B">
        <w:rPr>
          <w:rFonts w:cstheme="minorHAnsi"/>
          <w:color w:val="000000" w:themeColor="text1"/>
        </w:rPr>
        <w:instrText xml:space="preserve"> REF _Ref218700490 \h </w:instrText>
      </w:r>
      <w:r w:rsidR="00AB6139" w:rsidRPr="00385A6B">
        <w:rPr>
          <w:rFonts w:cstheme="minorHAnsi"/>
          <w:color w:val="000000" w:themeColor="text1"/>
        </w:rPr>
        <w:instrText xml:space="preserve"> \* MERGEFORMAT </w:instrText>
      </w:r>
      <w:r w:rsidRPr="00385A6B">
        <w:rPr>
          <w:rFonts w:cstheme="minorHAnsi"/>
          <w:color w:val="000000" w:themeColor="text1"/>
        </w:rPr>
      </w:r>
      <w:r w:rsidRPr="00385A6B">
        <w:rPr>
          <w:rFonts w:cstheme="minorHAnsi"/>
          <w:color w:val="000000" w:themeColor="text1"/>
        </w:rPr>
        <w:fldChar w:fldCharType="separate"/>
      </w:r>
      <w:r w:rsidR="0060088A" w:rsidRPr="0060088A">
        <w:rPr>
          <w:rFonts w:cstheme="minorHAnsi"/>
        </w:rPr>
        <w:t>Table 10</w:t>
      </w:r>
      <w:r w:rsidRPr="00385A6B">
        <w:rPr>
          <w:rFonts w:cstheme="minorHAnsi"/>
          <w:color w:val="000000" w:themeColor="text1"/>
        </w:rPr>
        <w:fldChar w:fldCharType="end"/>
      </w:r>
      <w:r w:rsidRPr="00385A6B">
        <w:rPr>
          <w:rFonts w:cstheme="minorHAnsi"/>
          <w:color w:val="000000" w:themeColor="text1"/>
        </w:rPr>
        <w:t>.</w:t>
      </w:r>
    </w:p>
    <w:p w14:paraId="310B2246" w14:textId="7966A66D" w:rsidR="00B60939" w:rsidRPr="00275521" w:rsidRDefault="00D6076E" w:rsidP="008B6633">
      <w:pPr>
        <w:pStyle w:val="TableFigureHeading"/>
        <w:rPr>
          <w:rStyle w:val="CommentReference"/>
          <w:b/>
          <w:szCs w:val="24"/>
        </w:rPr>
      </w:pPr>
      <w:bookmarkStart w:id="45" w:name="_Ref218700490"/>
      <w:r w:rsidRPr="00275521">
        <w:lastRenderedPageBreak/>
        <w:t xml:space="preserve">Table </w:t>
      </w:r>
      <w:fldSimple w:instr=" SEQ Table \* ARABIC ">
        <w:r w:rsidR="0060088A">
          <w:rPr>
            <w:noProof/>
          </w:rPr>
          <w:t>10</w:t>
        </w:r>
      </w:fldSimple>
      <w:bookmarkEnd w:id="45"/>
      <w:r w:rsidRPr="00275521">
        <w:t xml:space="preserve">: </w:t>
      </w:r>
      <w:r w:rsidR="005D26B4" w:rsidRPr="00275521">
        <w:rPr>
          <w:rStyle w:val="CommentReference"/>
          <w:b/>
          <w:szCs w:val="24"/>
        </w:rPr>
        <w:t xml:space="preserve">Summary of key adverse events </w:t>
      </w:r>
      <w:r w:rsidR="00675EE8" w:rsidRPr="00275521">
        <w:rPr>
          <w:rStyle w:val="CommentReference"/>
          <w:b/>
          <w:szCs w:val="24"/>
        </w:rPr>
        <w:t>–</w:t>
      </w:r>
      <w:r w:rsidR="0024281C" w:rsidRPr="00275521">
        <w:rPr>
          <w:rStyle w:val="CommentReference"/>
          <w:b/>
          <w:szCs w:val="24"/>
        </w:rPr>
        <w:t xml:space="preserve"> </w:t>
      </w:r>
      <w:r w:rsidR="003B5A81" w:rsidRPr="00275521">
        <w:rPr>
          <w:rStyle w:val="CommentReference"/>
          <w:b/>
          <w:szCs w:val="24"/>
        </w:rPr>
        <w:t>ASSERT</w:t>
      </w:r>
      <w:r w:rsidR="00675EE8" w:rsidRPr="00275521">
        <w:rPr>
          <w:rStyle w:val="CommentReference"/>
          <w:b/>
          <w:szCs w:val="24"/>
        </w:rPr>
        <w:t xml:space="preserve"> and ASSERT-EXT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ummary of key adverse events – ASSERT and ASSERT-EXT"/>
      </w:tblPr>
      <w:tblGrid>
        <w:gridCol w:w="2830"/>
        <w:gridCol w:w="1767"/>
        <w:gridCol w:w="2121"/>
        <w:gridCol w:w="2299"/>
      </w:tblGrid>
      <w:tr w:rsidR="00AB6980" w:rsidRPr="00275521" w14:paraId="28EC5DFA" w14:textId="48ACC2D3" w:rsidTr="00684F7A">
        <w:trPr>
          <w:trHeight w:val="327"/>
        </w:trPr>
        <w:tc>
          <w:tcPr>
            <w:tcW w:w="1569" w:type="pct"/>
            <w:vMerge w:val="restart"/>
            <w:vAlign w:val="center"/>
          </w:tcPr>
          <w:p w14:paraId="72DD2549" w14:textId="3A53B0A2" w:rsidR="00684F7A" w:rsidRPr="00275521" w:rsidRDefault="00684F7A" w:rsidP="008B6633">
            <w:pPr>
              <w:pStyle w:val="TableText0"/>
              <w:jc w:val="center"/>
              <w:rPr>
                <w:b/>
                <w:bCs w:val="0"/>
              </w:rPr>
            </w:pPr>
          </w:p>
        </w:tc>
        <w:tc>
          <w:tcPr>
            <w:tcW w:w="3431" w:type="pct"/>
            <w:gridSpan w:val="3"/>
            <w:vAlign w:val="center"/>
          </w:tcPr>
          <w:p w14:paraId="26BAEDD9" w14:textId="77777777" w:rsidR="00684F7A" w:rsidRPr="00275521" w:rsidRDefault="00684F7A" w:rsidP="008B6633">
            <w:pPr>
              <w:pStyle w:val="TableText0"/>
              <w:jc w:val="center"/>
              <w:rPr>
                <w:b/>
                <w:bCs w:val="0"/>
              </w:rPr>
            </w:pPr>
            <w:r w:rsidRPr="00275521">
              <w:rPr>
                <w:b/>
                <w:bCs w:val="0"/>
              </w:rPr>
              <w:t>ASSERT</w:t>
            </w:r>
          </w:p>
        </w:tc>
      </w:tr>
      <w:tr w:rsidR="00AB6980" w:rsidRPr="00275521" w14:paraId="0D04F42D" w14:textId="77777777" w:rsidTr="00684F7A">
        <w:trPr>
          <w:trHeight w:val="327"/>
        </w:trPr>
        <w:tc>
          <w:tcPr>
            <w:tcW w:w="1569" w:type="pct"/>
            <w:vMerge/>
          </w:tcPr>
          <w:p w14:paraId="0EDE0E6C" w14:textId="77777777" w:rsidR="00684F7A" w:rsidRPr="00275521" w:rsidRDefault="00684F7A" w:rsidP="008B6633">
            <w:pPr>
              <w:pStyle w:val="TableText0"/>
            </w:pPr>
          </w:p>
        </w:tc>
        <w:tc>
          <w:tcPr>
            <w:tcW w:w="980" w:type="pct"/>
            <w:vAlign w:val="center"/>
          </w:tcPr>
          <w:p w14:paraId="77DC0D76" w14:textId="77777777" w:rsidR="00684F7A" w:rsidRPr="00275521" w:rsidRDefault="00684F7A" w:rsidP="008B6633">
            <w:pPr>
              <w:pStyle w:val="TableText0"/>
              <w:jc w:val="center"/>
              <w:rPr>
                <w:b/>
                <w:bCs w:val="0"/>
              </w:rPr>
            </w:pPr>
            <w:r w:rsidRPr="00275521">
              <w:rPr>
                <w:b/>
                <w:bCs w:val="0"/>
              </w:rPr>
              <w:t>Placebo (N=17)</w:t>
            </w:r>
          </w:p>
          <w:p w14:paraId="4FFD6BF7" w14:textId="799D1C10" w:rsidR="00684F7A" w:rsidRPr="00275521" w:rsidRDefault="00684F7A" w:rsidP="008B6633">
            <w:pPr>
              <w:pStyle w:val="TableText0"/>
              <w:jc w:val="center"/>
              <w:rPr>
                <w:b/>
                <w:bCs w:val="0"/>
              </w:rPr>
            </w:pPr>
            <w:r w:rsidRPr="00275521">
              <w:rPr>
                <w:b/>
                <w:bCs w:val="0"/>
              </w:rPr>
              <w:t>n (%); E</w:t>
            </w:r>
          </w:p>
        </w:tc>
        <w:tc>
          <w:tcPr>
            <w:tcW w:w="1176" w:type="pct"/>
            <w:vAlign w:val="center"/>
          </w:tcPr>
          <w:p w14:paraId="4823C590" w14:textId="77777777" w:rsidR="00684F7A" w:rsidRPr="00275521" w:rsidRDefault="00684F7A" w:rsidP="008B6633">
            <w:pPr>
              <w:pStyle w:val="TableText0"/>
              <w:jc w:val="center"/>
              <w:rPr>
                <w:b/>
                <w:bCs w:val="0"/>
              </w:rPr>
            </w:pPr>
            <w:r w:rsidRPr="00275521">
              <w:rPr>
                <w:b/>
                <w:bCs w:val="0"/>
              </w:rPr>
              <w:t>Odevixibat (N=35)</w:t>
            </w:r>
          </w:p>
          <w:p w14:paraId="1F5EEF32" w14:textId="04AB02BC" w:rsidR="00684F7A" w:rsidRPr="00275521" w:rsidRDefault="00684F7A" w:rsidP="008B6633">
            <w:pPr>
              <w:pStyle w:val="TableText0"/>
              <w:jc w:val="center"/>
              <w:rPr>
                <w:b/>
                <w:bCs w:val="0"/>
              </w:rPr>
            </w:pPr>
            <w:r w:rsidRPr="00275521">
              <w:rPr>
                <w:b/>
                <w:bCs w:val="0"/>
              </w:rPr>
              <w:t>n (%); E</w:t>
            </w:r>
          </w:p>
        </w:tc>
        <w:tc>
          <w:tcPr>
            <w:tcW w:w="1275" w:type="pct"/>
            <w:vAlign w:val="center"/>
          </w:tcPr>
          <w:p w14:paraId="180B0864" w14:textId="77777777" w:rsidR="00684F7A" w:rsidRPr="00275521" w:rsidRDefault="00684F7A" w:rsidP="008B6633">
            <w:pPr>
              <w:pStyle w:val="TableText0"/>
              <w:jc w:val="center"/>
              <w:rPr>
                <w:b/>
                <w:bCs w:val="0"/>
              </w:rPr>
            </w:pPr>
            <w:r w:rsidRPr="00275521">
              <w:rPr>
                <w:b/>
                <w:bCs w:val="0"/>
              </w:rPr>
              <w:t xml:space="preserve">RD (95% CI) </w:t>
            </w:r>
          </w:p>
          <w:p w14:paraId="7A4D92C8" w14:textId="77777777" w:rsidR="00684F7A" w:rsidRPr="005F7DAE" w:rsidRDefault="00684F7A" w:rsidP="008B6633">
            <w:pPr>
              <w:pStyle w:val="TableText0"/>
              <w:jc w:val="center"/>
              <w:rPr>
                <w:b/>
                <w:vertAlign w:val="superscript"/>
              </w:rPr>
            </w:pPr>
            <w:r w:rsidRPr="00275521">
              <w:rPr>
                <w:b/>
                <w:bCs w:val="0"/>
              </w:rPr>
              <w:t xml:space="preserve">Difference in % patients with an AE </w:t>
            </w:r>
            <w:r w:rsidRPr="00275521">
              <w:rPr>
                <w:b/>
                <w:bCs w:val="0"/>
                <w:vertAlign w:val="superscript"/>
              </w:rPr>
              <w:t>a</w:t>
            </w:r>
          </w:p>
        </w:tc>
      </w:tr>
      <w:tr w:rsidR="00AB6980" w:rsidRPr="00275521" w14:paraId="7EF6C861" w14:textId="77777777" w:rsidTr="00684F7A">
        <w:tc>
          <w:tcPr>
            <w:tcW w:w="1569" w:type="pct"/>
            <w:vAlign w:val="center"/>
            <w:hideMark/>
          </w:tcPr>
          <w:p w14:paraId="12181D05" w14:textId="77777777" w:rsidR="00675EE8" w:rsidRPr="00275521" w:rsidRDefault="00675EE8" w:rsidP="008B6633">
            <w:pPr>
              <w:pStyle w:val="TableText0"/>
            </w:pPr>
            <w:r w:rsidRPr="00275521">
              <w:t>TEAE</w:t>
            </w:r>
          </w:p>
        </w:tc>
        <w:tc>
          <w:tcPr>
            <w:tcW w:w="980" w:type="pct"/>
            <w:vAlign w:val="center"/>
            <w:hideMark/>
          </w:tcPr>
          <w:p w14:paraId="421E04E9" w14:textId="4832BDE3" w:rsidR="00675EE8" w:rsidRPr="00275521" w:rsidRDefault="00675EE8" w:rsidP="008B6633">
            <w:pPr>
              <w:pStyle w:val="TableText0"/>
              <w:jc w:val="center"/>
            </w:pPr>
            <w:r w:rsidRPr="00275521">
              <w:t>12 (70.6); 42</w:t>
            </w:r>
          </w:p>
        </w:tc>
        <w:tc>
          <w:tcPr>
            <w:tcW w:w="1176" w:type="pct"/>
            <w:vAlign w:val="center"/>
            <w:hideMark/>
          </w:tcPr>
          <w:p w14:paraId="14AF2C0C" w14:textId="518BDA18" w:rsidR="00675EE8" w:rsidRPr="00275521" w:rsidRDefault="00675EE8" w:rsidP="008B6633">
            <w:pPr>
              <w:pStyle w:val="TableText0"/>
              <w:jc w:val="center"/>
            </w:pPr>
            <w:r w:rsidRPr="00275521">
              <w:t>26 (74.3); 104</w:t>
            </w:r>
          </w:p>
        </w:tc>
        <w:tc>
          <w:tcPr>
            <w:tcW w:w="1275" w:type="pct"/>
            <w:tcBorders>
              <w:top w:val="single" w:sz="4" w:space="0" w:color="auto"/>
              <w:left w:val="single" w:sz="4" w:space="0" w:color="auto"/>
              <w:bottom w:val="single" w:sz="4" w:space="0" w:color="auto"/>
              <w:right w:val="single" w:sz="4" w:space="0" w:color="auto"/>
            </w:tcBorders>
            <w:vAlign w:val="bottom"/>
          </w:tcPr>
          <w:p w14:paraId="1F399430" w14:textId="77777777" w:rsidR="00675EE8" w:rsidRPr="00275521" w:rsidRDefault="00675EE8" w:rsidP="008B6633">
            <w:pPr>
              <w:pStyle w:val="TableText0"/>
              <w:jc w:val="center"/>
            </w:pPr>
            <w:r w:rsidRPr="005F7DAE">
              <w:t>3.7 (-22.4, 29.8)</w:t>
            </w:r>
          </w:p>
        </w:tc>
      </w:tr>
      <w:tr w:rsidR="00AB6980" w:rsidRPr="00275521" w14:paraId="132C92C0" w14:textId="77777777" w:rsidTr="00684F7A">
        <w:tc>
          <w:tcPr>
            <w:tcW w:w="1569" w:type="pct"/>
            <w:vAlign w:val="center"/>
            <w:hideMark/>
          </w:tcPr>
          <w:p w14:paraId="5C72345D" w14:textId="77777777" w:rsidR="00675EE8" w:rsidRPr="00275521" w:rsidRDefault="00675EE8" w:rsidP="008B6633">
            <w:pPr>
              <w:pStyle w:val="TableText0"/>
            </w:pPr>
            <w:r w:rsidRPr="00275521">
              <w:t>Drug-related TEAE</w:t>
            </w:r>
          </w:p>
        </w:tc>
        <w:tc>
          <w:tcPr>
            <w:tcW w:w="980" w:type="pct"/>
            <w:vAlign w:val="center"/>
            <w:hideMark/>
          </w:tcPr>
          <w:p w14:paraId="244FA8D5" w14:textId="77777777" w:rsidR="00675EE8" w:rsidRPr="00275521" w:rsidRDefault="00675EE8" w:rsidP="008B6633">
            <w:pPr>
              <w:pStyle w:val="TableText0"/>
              <w:jc w:val="center"/>
            </w:pPr>
            <w:r w:rsidRPr="00275521">
              <w:t>3 (17.6) / 4</w:t>
            </w:r>
          </w:p>
        </w:tc>
        <w:tc>
          <w:tcPr>
            <w:tcW w:w="1176" w:type="pct"/>
            <w:vAlign w:val="center"/>
            <w:hideMark/>
          </w:tcPr>
          <w:p w14:paraId="1F0CAD13" w14:textId="48DE65B6" w:rsidR="00675EE8" w:rsidRPr="00275521" w:rsidRDefault="00675EE8" w:rsidP="008B6633">
            <w:pPr>
              <w:pStyle w:val="TableText0"/>
              <w:jc w:val="center"/>
            </w:pPr>
            <w:r w:rsidRPr="00275521">
              <w:t>8 (22.9); 17</w:t>
            </w:r>
          </w:p>
        </w:tc>
        <w:tc>
          <w:tcPr>
            <w:tcW w:w="1275" w:type="pct"/>
            <w:tcBorders>
              <w:top w:val="nil"/>
              <w:left w:val="single" w:sz="4" w:space="0" w:color="auto"/>
              <w:bottom w:val="single" w:sz="4" w:space="0" w:color="auto"/>
              <w:right w:val="single" w:sz="4" w:space="0" w:color="auto"/>
            </w:tcBorders>
            <w:vAlign w:val="bottom"/>
          </w:tcPr>
          <w:p w14:paraId="4458867F" w14:textId="77777777" w:rsidR="00675EE8" w:rsidRPr="00275521" w:rsidRDefault="00675EE8" w:rsidP="008B6633">
            <w:pPr>
              <w:pStyle w:val="TableText0"/>
              <w:jc w:val="center"/>
            </w:pPr>
            <w:r w:rsidRPr="005F7DAE">
              <w:t>5.2 (-17.6, 28.1)</w:t>
            </w:r>
          </w:p>
        </w:tc>
      </w:tr>
      <w:tr w:rsidR="00311DF9" w:rsidRPr="00275521" w14:paraId="07D0781F" w14:textId="77777777">
        <w:tc>
          <w:tcPr>
            <w:tcW w:w="5000" w:type="pct"/>
            <w:gridSpan w:val="4"/>
            <w:vAlign w:val="bottom"/>
          </w:tcPr>
          <w:p w14:paraId="300696B5" w14:textId="77777777" w:rsidR="00675EE8" w:rsidRPr="00275521" w:rsidRDefault="00675EE8" w:rsidP="008B6633">
            <w:pPr>
              <w:pStyle w:val="TableText0"/>
            </w:pPr>
            <w:r w:rsidRPr="00275521">
              <w:t>TEAEs by maximum intensity</w:t>
            </w:r>
          </w:p>
        </w:tc>
      </w:tr>
      <w:tr w:rsidR="00AB6980" w:rsidRPr="00275521" w14:paraId="0D4A2112" w14:textId="77777777" w:rsidTr="00684F7A">
        <w:tc>
          <w:tcPr>
            <w:tcW w:w="1569" w:type="pct"/>
            <w:vAlign w:val="center"/>
          </w:tcPr>
          <w:p w14:paraId="639CF2FC" w14:textId="77777777" w:rsidR="00675EE8" w:rsidRPr="00275521" w:rsidRDefault="00675EE8" w:rsidP="008B6633">
            <w:pPr>
              <w:pStyle w:val="TableText0"/>
              <w:ind w:left="174"/>
            </w:pPr>
            <w:r w:rsidRPr="00275521">
              <w:t>Grade 1</w:t>
            </w:r>
          </w:p>
        </w:tc>
        <w:tc>
          <w:tcPr>
            <w:tcW w:w="980" w:type="pct"/>
            <w:vAlign w:val="center"/>
          </w:tcPr>
          <w:p w14:paraId="17229074" w14:textId="20DFF207" w:rsidR="00675EE8" w:rsidRPr="00275521" w:rsidRDefault="00675EE8" w:rsidP="008B6633">
            <w:pPr>
              <w:pStyle w:val="TableText0"/>
              <w:jc w:val="center"/>
            </w:pPr>
            <w:r w:rsidRPr="00275521">
              <w:t>7 (41.2); 32</w:t>
            </w:r>
          </w:p>
        </w:tc>
        <w:tc>
          <w:tcPr>
            <w:tcW w:w="1176" w:type="pct"/>
            <w:vAlign w:val="center"/>
          </w:tcPr>
          <w:p w14:paraId="240C82FE" w14:textId="4259B49F" w:rsidR="00675EE8" w:rsidRPr="00275521" w:rsidRDefault="00675EE8" w:rsidP="008B6633">
            <w:pPr>
              <w:pStyle w:val="TableText0"/>
              <w:jc w:val="center"/>
            </w:pPr>
            <w:r w:rsidRPr="00275521">
              <w:t>11 (31.4); 70</w:t>
            </w:r>
          </w:p>
        </w:tc>
        <w:tc>
          <w:tcPr>
            <w:tcW w:w="1275" w:type="pct"/>
            <w:tcBorders>
              <w:top w:val="single" w:sz="4" w:space="0" w:color="auto"/>
              <w:left w:val="single" w:sz="4" w:space="0" w:color="auto"/>
              <w:bottom w:val="single" w:sz="4" w:space="0" w:color="auto"/>
              <w:right w:val="single" w:sz="4" w:space="0" w:color="auto"/>
            </w:tcBorders>
            <w:vAlign w:val="bottom"/>
          </w:tcPr>
          <w:p w14:paraId="0F09FD61" w14:textId="77777777" w:rsidR="00675EE8" w:rsidRPr="00275521" w:rsidRDefault="00675EE8" w:rsidP="008B6633">
            <w:pPr>
              <w:pStyle w:val="TableText0"/>
              <w:jc w:val="center"/>
            </w:pPr>
            <w:r w:rsidRPr="005F7DAE">
              <w:t>-9.7 (-37.7, 18.3)</w:t>
            </w:r>
          </w:p>
        </w:tc>
      </w:tr>
      <w:tr w:rsidR="00AB6980" w:rsidRPr="00275521" w14:paraId="1D97791E" w14:textId="77777777" w:rsidTr="00684F7A">
        <w:tc>
          <w:tcPr>
            <w:tcW w:w="1569" w:type="pct"/>
            <w:vAlign w:val="center"/>
          </w:tcPr>
          <w:p w14:paraId="6FE3772B" w14:textId="77777777" w:rsidR="00675EE8" w:rsidRPr="00275521" w:rsidRDefault="00675EE8" w:rsidP="008B6633">
            <w:pPr>
              <w:pStyle w:val="TableText0"/>
              <w:ind w:left="174"/>
            </w:pPr>
            <w:r w:rsidRPr="00275521">
              <w:t>Grade 2</w:t>
            </w:r>
          </w:p>
        </w:tc>
        <w:tc>
          <w:tcPr>
            <w:tcW w:w="980" w:type="pct"/>
            <w:vAlign w:val="center"/>
          </w:tcPr>
          <w:p w14:paraId="045F9F57" w14:textId="22F3A8B4" w:rsidR="00675EE8" w:rsidRPr="00275521" w:rsidRDefault="00675EE8" w:rsidP="008B6633">
            <w:pPr>
              <w:pStyle w:val="TableText0"/>
              <w:jc w:val="center"/>
            </w:pPr>
            <w:r w:rsidRPr="00275521">
              <w:t>3 (17.6); 7</w:t>
            </w:r>
          </w:p>
        </w:tc>
        <w:tc>
          <w:tcPr>
            <w:tcW w:w="1176" w:type="pct"/>
            <w:vAlign w:val="center"/>
          </w:tcPr>
          <w:p w14:paraId="637083AD" w14:textId="2AE36888" w:rsidR="00675EE8" w:rsidRPr="00275521" w:rsidRDefault="00675EE8" w:rsidP="008B6633">
            <w:pPr>
              <w:pStyle w:val="TableText0"/>
              <w:jc w:val="center"/>
            </w:pPr>
            <w:r w:rsidRPr="00275521">
              <w:t>10 (28.6); 26</w:t>
            </w:r>
          </w:p>
        </w:tc>
        <w:tc>
          <w:tcPr>
            <w:tcW w:w="1275" w:type="pct"/>
            <w:tcBorders>
              <w:top w:val="nil"/>
              <w:left w:val="single" w:sz="4" w:space="0" w:color="auto"/>
              <w:bottom w:val="single" w:sz="4" w:space="0" w:color="auto"/>
              <w:right w:val="single" w:sz="4" w:space="0" w:color="auto"/>
            </w:tcBorders>
            <w:vAlign w:val="bottom"/>
          </w:tcPr>
          <w:p w14:paraId="6E787117" w14:textId="77777777" w:rsidR="00675EE8" w:rsidRPr="00275521" w:rsidRDefault="00675EE8" w:rsidP="008B6633">
            <w:pPr>
              <w:pStyle w:val="TableText0"/>
              <w:jc w:val="center"/>
            </w:pPr>
            <w:r w:rsidRPr="005F7DAE">
              <w:t>10.9 (-12.6, 34.4)</w:t>
            </w:r>
          </w:p>
        </w:tc>
      </w:tr>
      <w:tr w:rsidR="00AB6980" w:rsidRPr="00275521" w14:paraId="3AC26DF5" w14:textId="77777777" w:rsidTr="00684F7A">
        <w:tc>
          <w:tcPr>
            <w:tcW w:w="1569" w:type="pct"/>
            <w:vAlign w:val="center"/>
          </w:tcPr>
          <w:p w14:paraId="570E2DD1" w14:textId="77777777" w:rsidR="00675EE8" w:rsidRPr="00275521" w:rsidRDefault="00675EE8" w:rsidP="008B6633">
            <w:pPr>
              <w:pStyle w:val="TableText0"/>
              <w:ind w:left="174"/>
            </w:pPr>
            <w:r w:rsidRPr="00275521">
              <w:t>Grade 3</w:t>
            </w:r>
          </w:p>
        </w:tc>
        <w:tc>
          <w:tcPr>
            <w:tcW w:w="980" w:type="pct"/>
            <w:vAlign w:val="center"/>
          </w:tcPr>
          <w:p w14:paraId="5600946C" w14:textId="676FD23A" w:rsidR="00675EE8" w:rsidRPr="00275521" w:rsidRDefault="00675EE8" w:rsidP="008B6633">
            <w:pPr>
              <w:pStyle w:val="TableText0"/>
              <w:jc w:val="center"/>
            </w:pPr>
            <w:r w:rsidRPr="00275521">
              <w:t>2 (11.8); 3</w:t>
            </w:r>
          </w:p>
        </w:tc>
        <w:tc>
          <w:tcPr>
            <w:tcW w:w="1176" w:type="pct"/>
            <w:vAlign w:val="center"/>
          </w:tcPr>
          <w:p w14:paraId="6F4AE9D8" w14:textId="557956E6" w:rsidR="00675EE8" w:rsidRPr="00275521" w:rsidRDefault="00675EE8" w:rsidP="008B6633">
            <w:pPr>
              <w:pStyle w:val="TableText0"/>
              <w:jc w:val="center"/>
            </w:pPr>
            <w:r w:rsidRPr="00275521">
              <w:t>5 (14.3); 8</w:t>
            </w:r>
          </w:p>
        </w:tc>
        <w:tc>
          <w:tcPr>
            <w:tcW w:w="1275" w:type="pct"/>
            <w:tcBorders>
              <w:top w:val="nil"/>
              <w:left w:val="single" w:sz="4" w:space="0" w:color="auto"/>
              <w:bottom w:val="single" w:sz="4" w:space="0" w:color="auto"/>
              <w:right w:val="single" w:sz="4" w:space="0" w:color="auto"/>
            </w:tcBorders>
            <w:vAlign w:val="bottom"/>
          </w:tcPr>
          <w:p w14:paraId="27F9F1EA" w14:textId="77777777" w:rsidR="00675EE8" w:rsidRPr="00275521" w:rsidRDefault="00675EE8" w:rsidP="008B6633">
            <w:pPr>
              <w:pStyle w:val="TableText0"/>
              <w:jc w:val="center"/>
            </w:pPr>
            <w:r w:rsidRPr="005F7DAE">
              <w:t>2.5 (-16.7, 21.7)</w:t>
            </w:r>
          </w:p>
        </w:tc>
      </w:tr>
      <w:tr w:rsidR="00AB6980" w:rsidRPr="00275521" w14:paraId="4D2BC540" w14:textId="77777777" w:rsidTr="00684F7A">
        <w:tc>
          <w:tcPr>
            <w:tcW w:w="1569" w:type="pct"/>
            <w:vAlign w:val="center"/>
          </w:tcPr>
          <w:p w14:paraId="50012293" w14:textId="77777777" w:rsidR="00675EE8" w:rsidRPr="00275521" w:rsidRDefault="00675EE8" w:rsidP="008B6633">
            <w:pPr>
              <w:pStyle w:val="TableText0"/>
              <w:ind w:left="174"/>
            </w:pPr>
            <w:r w:rsidRPr="00275521">
              <w:t>Grade 4</w:t>
            </w:r>
          </w:p>
        </w:tc>
        <w:tc>
          <w:tcPr>
            <w:tcW w:w="980" w:type="pct"/>
            <w:vAlign w:val="center"/>
          </w:tcPr>
          <w:p w14:paraId="569841AF" w14:textId="77777777" w:rsidR="00675EE8" w:rsidRPr="00275521" w:rsidRDefault="00675EE8" w:rsidP="008B6633">
            <w:pPr>
              <w:pStyle w:val="TableText0"/>
              <w:jc w:val="center"/>
            </w:pPr>
            <w:r w:rsidRPr="00275521">
              <w:t>0</w:t>
            </w:r>
          </w:p>
        </w:tc>
        <w:tc>
          <w:tcPr>
            <w:tcW w:w="1176" w:type="pct"/>
            <w:vAlign w:val="center"/>
          </w:tcPr>
          <w:p w14:paraId="2A1CC013" w14:textId="77777777" w:rsidR="00675EE8" w:rsidRPr="00275521" w:rsidRDefault="00675EE8" w:rsidP="008B6633">
            <w:pPr>
              <w:pStyle w:val="TableText0"/>
              <w:jc w:val="center"/>
            </w:pPr>
            <w:r w:rsidRPr="00275521">
              <w:t>0</w:t>
            </w:r>
          </w:p>
        </w:tc>
        <w:tc>
          <w:tcPr>
            <w:tcW w:w="1275" w:type="pct"/>
            <w:tcBorders>
              <w:top w:val="nil"/>
              <w:left w:val="single" w:sz="4" w:space="0" w:color="auto"/>
              <w:bottom w:val="single" w:sz="4" w:space="0" w:color="auto"/>
              <w:right w:val="single" w:sz="4" w:space="0" w:color="auto"/>
            </w:tcBorders>
            <w:vAlign w:val="bottom"/>
          </w:tcPr>
          <w:p w14:paraId="2C016927" w14:textId="77777777" w:rsidR="00675EE8" w:rsidRPr="00275521" w:rsidRDefault="00675EE8" w:rsidP="008B6633">
            <w:pPr>
              <w:pStyle w:val="TableText0"/>
              <w:jc w:val="center"/>
            </w:pPr>
            <w:r w:rsidRPr="005F7DAE">
              <w:t>0.0 (0.0, 0.0)</w:t>
            </w:r>
          </w:p>
        </w:tc>
      </w:tr>
      <w:tr w:rsidR="00AB6980" w:rsidRPr="00275521" w14:paraId="1F878908" w14:textId="77777777" w:rsidTr="00684F7A">
        <w:tc>
          <w:tcPr>
            <w:tcW w:w="1569" w:type="pct"/>
            <w:vAlign w:val="center"/>
          </w:tcPr>
          <w:p w14:paraId="233AF80D" w14:textId="77777777" w:rsidR="00675EE8" w:rsidRPr="00275521" w:rsidRDefault="00675EE8" w:rsidP="008B6633">
            <w:pPr>
              <w:pStyle w:val="TableText0"/>
              <w:ind w:left="174"/>
            </w:pPr>
            <w:r w:rsidRPr="00275521">
              <w:t>Grade 5</w:t>
            </w:r>
          </w:p>
        </w:tc>
        <w:tc>
          <w:tcPr>
            <w:tcW w:w="980" w:type="pct"/>
            <w:vAlign w:val="center"/>
          </w:tcPr>
          <w:p w14:paraId="284ACF5C" w14:textId="77777777" w:rsidR="00675EE8" w:rsidRPr="00275521" w:rsidRDefault="00675EE8" w:rsidP="008B6633">
            <w:pPr>
              <w:pStyle w:val="TableText0"/>
              <w:jc w:val="center"/>
            </w:pPr>
            <w:r w:rsidRPr="00275521">
              <w:t>0</w:t>
            </w:r>
          </w:p>
        </w:tc>
        <w:tc>
          <w:tcPr>
            <w:tcW w:w="1176" w:type="pct"/>
            <w:vAlign w:val="center"/>
          </w:tcPr>
          <w:p w14:paraId="5901BE95" w14:textId="77777777" w:rsidR="00675EE8" w:rsidRPr="00275521" w:rsidRDefault="00675EE8" w:rsidP="008B6633">
            <w:pPr>
              <w:pStyle w:val="TableText0"/>
              <w:jc w:val="center"/>
            </w:pPr>
            <w:r w:rsidRPr="00275521">
              <w:t>0</w:t>
            </w:r>
          </w:p>
        </w:tc>
        <w:tc>
          <w:tcPr>
            <w:tcW w:w="1275" w:type="pct"/>
            <w:tcBorders>
              <w:top w:val="nil"/>
              <w:left w:val="single" w:sz="4" w:space="0" w:color="auto"/>
              <w:bottom w:val="single" w:sz="4" w:space="0" w:color="auto"/>
              <w:right w:val="single" w:sz="4" w:space="0" w:color="auto"/>
            </w:tcBorders>
            <w:vAlign w:val="bottom"/>
          </w:tcPr>
          <w:p w14:paraId="32F942E1" w14:textId="77777777" w:rsidR="00675EE8" w:rsidRPr="00275521" w:rsidRDefault="00675EE8" w:rsidP="008B6633">
            <w:pPr>
              <w:pStyle w:val="TableText0"/>
              <w:jc w:val="center"/>
            </w:pPr>
            <w:r w:rsidRPr="005F7DAE">
              <w:t>0.0 (0.0, 0.0)</w:t>
            </w:r>
          </w:p>
        </w:tc>
      </w:tr>
      <w:tr w:rsidR="00AB6980" w:rsidRPr="00275521" w14:paraId="6D5BFA33" w14:textId="77777777" w:rsidTr="00684F7A">
        <w:tc>
          <w:tcPr>
            <w:tcW w:w="1569" w:type="pct"/>
            <w:vAlign w:val="center"/>
            <w:hideMark/>
          </w:tcPr>
          <w:p w14:paraId="2DA0C2D6" w14:textId="77777777" w:rsidR="00675EE8" w:rsidRPr="00275521" w:rsidRDefault="00675EE8" w:rsidP="008B6633">
            <w:pPr>
              <w:pStyle w:val="TableText0"/>
            </w:pPr>
            <w:r w:rsidRPr="00275521">
              <w:t>Serious TEAE</w:t>
            </w:r>
          </w:p>
        </w:tc>
        <w:tc>
          <w:tcPr>
            <w:tcW w:w="980" w:type="pct"/>
            <w:vAlign w:val="center"/>
            <w:hideMark/>
          </w:tcPr>
          <w:p w14:paraId="0B5F57CC" w14:textId="7C72E667" w:rsidR="00675EE8" w:rsidRPr="00275521" w:rsidRDefault="00675EE8" w:rsidP="008B6633">
            <w:pPr>
              <w:pStyle w:val="TableText0"/>
              <w:jc w:val="center"/>
            </w:pPr>
            <w:r w:rsidRPr="00275521">
              <w:t>2 (11.8); 5</w:t>
            </w:r>
          </w:p>
        </w:tc>
        <w:tc>
          <w:tcPr>
            <w:tcW w:w="1176" w:type="pct"/>
            <w:vAlign w:val="center"/>
            <w:hideMark/>
          </w:tcPr>
          <w:p w14:paraId="63B7EE98" w14:textId="0CC04666" w:rsidR="00675EE8" w:rsidRPr="00275521" w:rsidRDefault="00675EE8" w:rsidP="008B6633">
            <w:pPr>
              <w:pStyle w:val="TableText0"/>
              <w:jc w:val="center"/>
            </w:pPr>
            <w:r w:rsidRPr="00275521">
              <w:t>5 (14.3); 8</w:t>
            </w:r>
          </w:p>
        </w:tc>
        <w:tc>
          <w:tcPr>
            <w:tcW w:w="1275" w:type="pct"/>
            <w:tcBorders>
              <w:top w:val="single" w:sz="4" w:space="0" w:color="auto"/>
              <w:left w:val="single" w:sz="4" w:space="0" w:color="auto"/>
              <w:bottom w:val="single" w:sz="4" w:space="0" w:color="auto"/>
              <w:right w:val="single" w:sz="4" w:space="0" w:color="auto"/>
            </w:tcBorders>
            <w:vAlign w:val="bottom"/>
          </w:tcPr>
          <w:p w14:paraId="224933FB" w14:textId="77777777" w:rsidR="00675EE8" w:rsidRPr="00275521" w:rsidRDefault="00675EE8" w:rsidP="008B6633">
            <w:pPr>
              <w:pStyle w:val="TableText0"/>
              <w:jc w:val="center"/>
            </w:pPr>
            <w:r w:rsidRPr="005F7DAE">
              <w:t>2.5 (-16.7, 21.7)</w:t>
            </w:r>
          </w:p>
        </w:tc>
      </w:tr>
      <w:tr w:rsidR="00AB6980" w:rsidRPr="00275521" w14:paraId="5D59EE6C" w14:textId="77777777" w:rsidTr="00684F7A">
        <w:tc>
          <w:tcPr>
            <w:tcW w:w="1569" w:type="pct"/>
            <w:vAlign w:val="center"/>
            <w:hideMark/>
          </w:tcPr>
          <w:p w14:paraId="7C9A6472" w14:textId="77777777" w:rsidR="00675EE8" w:rsidRPr="00275521" w:rsidRDefault="00675EE8" w:rsidP="008B6633">
            <w:pPr>
              <w:pStyle w:val="TableText0"/>
            </w:pPr>
            <w:r w:rsidRPr="00275521">
              <w:t>Drug-related serious TEAE</w:t>
            </w:r>
          </w:p>
        </w:tc>
        <w:tc>
          <w:tcPr>
            <w:tcW w:w="980" w:type="pct"/>
            <w:vAlign w:val="center"/>
            <w:hideMark/>
          </w:tcPr>
          <w:p w14:paraId="4A0C553C" w14:textId="77777777" w:rsidR="00675EE8" w:rsidRPr="00275521" w:rsidRDefault="00675EE8" w:rsidP="008B6633">
            <w:pPr>
              <w:pStyle w:val="TableText0"/>
              <w:jc w:val="center"/>
            </w:pPr>
            <w:r w:rsidRPr="00275521">
              <w:t>0</w:t>
            </w:r>
          </w:p>
        </w:tc>
        <w:tc>
          <w:tcPr>
            <w:tcW w:w="1176" w:type="pct"/>
            <w:vAlign w:val="center"/>
            <w:hideMark/>
          </w:tcPr>
          <w:p w14:paraId="562EC752" w14:textId="5D84D24F" w:rsidR="00675EE8" w:rsidRPr="00275521" w:rsidRDefault="00675EE8" w:rsidP="008B6633">
            <w:pPr>
              <w:pStyle w:val="TableText0"/>
              <w:jc w:val="center"/>
              <w:rPr>
                <w:vertAlign w:val="superscript"/>
              </w:rPr>
            </w:pPr>
            <w:r w:rsidRPr="00275521">
              <w:t xml:space="preserve">1 (2.9); 2 </w:t>
            </w:r>
            <w:r w:rsidRPr="00275521">
              <w:rPr>
                <w:vertAlign w:val="superscript"/>
              </w:rPr>
              <w:t>b</w:t>
            </w:r>
          </w:p>
        </w:tc>
        <w:tc>
          <w:tcPr>
            <w:tcW w:w="1275" w:type="pct"/>
            <w:tcBorders>
              <w:top w:val="nil"/>
              <w:left w:val="single" w:sz="4" w:space="0" w:color="auto"/>
              <w:bottom w:val="single" w:sz="4" w:space="0" w:color="auto"/>
              <w:right w:val="single" w:sz="4" w:space="0" w:color="auto"/>
            </w:tcBorders>
            <w:vAlign w:val="bottom"/>
          </w:tcPr>
          <w:p w14:paraId="5BA17D8A" w14:textId="77777777" w:rsidR="00675EE8" w:rsidRPr="00275521" w:rsidRDefault="00675EE8" w:rsidP="008B6633">
            <w:pPr>
              <w:pStyle w:val="TableText0"/>
              <w:jc w:val="center"/>
            </w:pPr>
            <w:r w:rsidRPr="005F7DAE">
              <w:t>2.9 (-2.7, 8.4)</w:t>
            </w:r>
          </w:p>
        </w:tc>
      </w:tr>
      <w:tr w:rsidR="00AB6980" w:rsidRPr="00275521" w14:paraId="3B4004B5" w14:textId="77777777" w:rsidTr="00684F7A">
        <w:tc>
          <w:tcPr>
            <w:tcW w:w="1569" w:type="pct"/>
            <w:vAlign w:val="center"/>
            <w:hideMark/>
          </w:tcPr>
          <w:p w14:paraId="5E1C9686" w14:textId="77777777" w:rsidR="00675EE8" w:rsidRPr="00275521" w:rsidRDefault="00675EE8" w:rsidP="008B6633">
            <w:pPr>
              <w:pStyle w:val="TableText0"/>
            </w:pPr>
            <w:r w:rsidRPr="00275521">
              <w:t>TEAE leading to death</w:t>
            </w:r>
          </w:p>
        </w:tc>
        <w:tc>
          <w:tcPr>
            <w:tcW w:w="980" w:type="pct"/>
            <w:vAlign w:val="center"/>
            <w:hideMark/>
          </w:tcPr>
          <w:p w14:paraId="09C78519" w14:textId="77777777" w:rsidR="00675EE8" w:rsidRPr="00275521" w:rsidRDefault="00675EE8" w:rsidP="008B6633">
            <w:pPr>
              <w:pStyle w:val="TableText0"/>
              <w:jc w:val="center"/>
            </w:pPr>
            <w:r w:rsidRPr="00275521">
              <w:t>0</w:t>
            </w:r>
          </w:p>
        </w:tc>
        <w:tc>
          <w:tcPr>
            <w:tcW w:w="1176" w:type="pct"/>
            <w:vAlign w:val="center"/>
            <w:hideMark/>
          </w:tcPr>
          <w:p w14:paraId="4649D192" w14:textId="77777777" w:rsidR="00675EE8" w:rsidRPr="00275521" w:rsidRDefault="00675EE8" w:rsidP="008B6633">
            <w:pPr>
              <w:pStyle w:val="TableText0"/>
              <w:jc w:val="center"/>
            </w:pPr>
            <w:r w:rsidRPr="00275521">
              <w:t>0</w:t>
            </w:r>
          </w:p>
        </w:tc>
        <w:tc>
          <w:tcPr>
            <w:tcW w:w="1275" w:type="pct"/>
            <w:tcBorders>
              <w:top w:val="nil"/>
              <w:left w:val="single" w:sz="4" w:space="0" w:color="auto"/>
              <w:bottom w:val="single" w:sz="4" w:space="0" w:color="auto"/>
              <w:right w:val="single" w:sz="4" w:space="0" w:color="auto"/>
            </w:tcBorders>
            <w:vAlign w:val="bottom"/>
          </w:tcPr>
          <w:p w14:paraId="18F99E71" w14:textId="77777777" w:rsidR="00675EE8" w:rsidRPr="00275521" w:rsidRDefault="00675EE8" w:rsidP="008B6633">
            <w:pPr>
              <w:pStyle w:val="TableText0"/>
              <w:jc w:val="center"/>
            </w:pPr>
            <w:r w:rsidRPr="005F7DAE">
              <w:t>0.0 (0.0, 0.0)</w:t>
            </w:r>
          </w:p>
        </w:tc>
      </w:tr>
      <w:tr w:rsidR="00AB6980" w:rsidRPr="00275521" w14:paraId="730FFC67" w14:textId="77777777" w:rsidTr="00684F7A">
        <w:tc>
          <w:tcPr>
            <w:tcW w:w="1569" w:type="pct"/>
            <w:vAlign w:val="center"/>
            <w:hideMark/>
          </w:tcPr>
          <w:p w14:paraId="22015B50" w14:textId="77777777" w:rsidR="00675EE8" w:rsidRPr="00275521" w:rsidRDefault="00675EE8" w:rsidP="008B6633">
            <w:pPr>
              <w:pStyle w:val="TableText0"/>
            </w:pPr>
            <w:r w:rsidRPr="00275521">
              <w:t>TEAE leading to:</w:t>
            </w:r>
          </w:p>
          <w:p w14:paraId="2918D173" w14:textId="1866C3A6" w:rsidR="00675EE8" w:rsidRPr="00275521" w:rsidRDefault="008B6633" w:rsidP="008B6633">
            <w:pPr>
              <w:pStyle w:val="TableText0"/>
            </w:pPr>
            <w:r>
              <w:t xml:space="preserve"> </w:t>
            </w:r>
            <w:r w:rsidR="00675EE8" w:rsidRPr="00275521">
              <w:t xml:space="preserve"> drug discontinuation</w:t>
            </w:r>
          </w:p>
          <w:p w14:paraId="3827E3E6" w14:textId="1345BE6C" w:rsidR="00675EE8" w:rsidRPr="00275521" w:rsidRDefault="008B6633" w:rsidP="008B6633">
            <w:pPr>
              <w:pStyle w:val="TableText0"/>
            </w:pPr>
            <w:r>
              <w:t xml:space="preserve"> </w:t>
            </w:r>
            <w:r w:rsidR="00675EE8" w:rsidRPr="00275521">
              <w:t xml:space="preserve"> drug interruption</w:t>
            </w:r>
          </w:p>
          <w:p w14:paraId="6D5EAE17" w14:textId="1E62C97E" w:rsidR="00675EE8" w:rsidRPr="00275521" w:rsidRDefault="008B6633" w:rsidP="008B6633">
            <w:pPr>
              <w:pStyle w:val="TableText0"/>
            </w:pPr>
            <w:r>
              <w:t xml:space="preserve"> </w:t>
            </w:r>
            <w:r w:rsidR="00675EE8" w:rsidRPr="00275521">
              <w:t xml:space="preserve"> drug dose reduction</w:t>
            </w:r>
          </w:p>
        </w:tc>
        <w:tc>
          <w:tcPr>
            <w:tcW w:w="980" w:type="pct"/>
            <w:vAlign w:val="center"/>
            <w:hideMark/>
          </w:tcPr>
          <w:p w14:paraId="6449A9C1" w14:textId="77777777" w:rsidR="00675EE8" w:rsidRPr="00275521" w:rsidRDefault="00675EE8" w:rsidP="008B6633">
            <w:pPr>
              <w:pStyle w:val="TableText0"/>
              <w:jc w:val="center"/>
            </w:pPr>
          </w:p>
          <w:p w14:paraId="790245A0" w14:textId="77777777" w:rsidR="00675EE8" w:rsidRPr="00275521" w:rsidRDefault="00675EE8" w:rsidP="008B6633">
            <w:pPr>
              <w:pStyle w:val="TableText0"/>
              <w:jc w:val="center"/>
            </w:pPr>
            <w:r w:rsidRPr="00275521">
              <w:t>0</w:t>
            </w:r>
          </w:p>
          <w:p w14:paraId="6735F645" w14:textId="77777777" w:rsidR="00675EE8" w:rsidRPr="00275521" w:rsidRDefault="00675EE8" w:rsidP="008B6633">
            <w:pPr>
              <w:pStyle w:val="TableText0"/>
              <w:jc w:val="center"/>
            </w:pPr>
            <w:r w:rsidRPr="00275521">
              <w:t>0</w:t>
            </w:r>
          </w:p>
          <w:p w14:paraId="1C35ABAE" w14:textId="77777777" w:rsidR="00675EE8" w:rsidRPr="00275521" w:rsidRDefault="00675EE8" w:rsidP="008B6633">
            <w:pPr>
              <w:pStyle w:val="TableText0"/>
              <w:jc w:val="center"/>
            </w:pPr>
            <w:r w:rsidRPr="00275521">
              <w:t>0</w:t>
            </w:r>
          </w:p>
        </w:tc>
        <w:tc>
          <w:tcPr>
            <w:tcW w:w="1176" w:type="pct"/>
            <w:vAlign w:val="center"/>
            <w:hideMark/>
          </w:tcPr>
          <w:p w14:paraId="5207FA4B" w14:textId="77777777" w:rsidR="00675EE8" w:rsidRPr="00275521" w:rsidRDefault="00675EE8" w:rsidP="008B6633">
            <w:pPr>
              <w:pStyle w:val="TableText0"/>
              <w:jc w:val="center"/>
            </w:pPr>
          </w:p>
          <w:p w14:paraId="1719DF0C" w14:textId="77777777" w:rsidR="00675EE8" w:rsidRPr="00275521" w:rsidRDefault="00675EE8" w:rsidP="008B6633">
            <w:pPr>
              <w:pStyle w:val="TableText0"/>
              <w:jc w:val="center"/>
            </w:pPr>
            <w:r w:rsidRPr="00275521">
              <w:t>0</w:t>
            </w:r>
          </w:p>
          <w:p w14:paraId="568E93FE" w14:textId="77777777" w:rsidR="00675EE8" w:rsidRPr="00275521" w:rsidRDefault="00675EE8" w:rsidP="008B6633">
            <w:pPr>
              <w:pStyle w:val="TableText0"/>
              <w:jc w:val="center"/>
            </w:pPr>
            <w:r w:rsidRPr="00275521">
              <w:t>3 (8.6) / 4</w:t>
            </w:r>
          </w:p>
          <w:p w14:paraId="36D05FCD" w14:textId="77777777" w:rsidR="00675EE8" w:rsidRPr="00275521" w:rsidRDefault="00675EE8" w:rsidP="008B6633">
            <w:pPr>
              <w:pStyle w:val="TableText0"/>
              <w:jc w:val="center"/>
            </w:pPr>
            <w:r w:rsidRPr="00275521">
              <w:t>1 (2.9) / 2</w:t>
            </w:r>
          </w:p>
        </w:tc>
        <w:tc>
          <w:tcPr>
            <w:tcW w:w="1275" w:type="pct"/>
          </w:tcPr>
          <w:p w14:paraId="72F7FDDB" w14:textId="77777777" w:rsidR="00675EE8" w:rsidRPr="005F7DAE" w:rsidRDefault="00675EE8" w:rsidP="008B6633">
            <w:pPr>
              <w:pStyle w:val="TableText0"/>
              <w:jc w:val="center"/>
            </w:pPr>
          </w:p>
          <w:p w14:paraId="2ED2B837" w14:textId="77777777" w:rsidR="00675EE8" w:rsidRPr="005F7DAE" w:rsidRDefault="00675EE8" w:rsidP="008B6633">
            <w:pPr>
              <w:pStyle w:val="TableText0"/>
              <w:jc w:val="center"/>
            </w:pPr>
            <w:r w:rsidRPr="005F7DAE">
              <w:t>0.0 (0.0, 0.0)</w:t>
            </w:r>
          </w:p>
          <w:p w14:paraId="64F1E0FB" w14:textId="77777777" w:rsidR="00675EE8" w:rsidRPr="005F7DAE" w:rsidRDefault="00675EE8" w:rsidP="008B6633">
            <w:pPr>
              <w:pStyle w:val="TableText0"/>
              <w:jc w:val="center"/>
            </w:pPr>
            <w:r w:rsidRPr="005F7DAE">
              <w:t>8.6 (-0.7, 17.8)</w:t>
            </w:r>
          </w:p>
          <w:p w14:paraId="2E50F692" w14:textId="77777777" w:rsidR="00675EE8" w:rsidRPr="00275521" w:rsidRDefault="00675EE8" w:rsidP="008B6633">
            <w:pPr>
              <w:pStyle w:val="TableText0"/>
              <w:jc w:val="center"/>
            </w:pPr>
            <w:r w:rsidRPr="005F7DAE">
              <w:t>2.9 (-2.7, 8.4)</w:t>
            </w:r>
          </w:p>
        </w:tc>
      </w:tr>
      <w:tr w:rsidR="00325B30" w:rsidRPr="00275521" w14:paraId="5430043B" w14:textId="047620A5" w:rsidTr="00684F7A">
        <w:tc>
          <w:tcPr>
            <w:tcW w:w="1569" w:type="pct"/>
            <w:vMerge w:val="restart"/>
            <w:vAlign w:val="center"/>
          </w:tcPr>
          <w:p w14:paraId="5DA83020" w14:textId="6C1064C8" w:rsidR="00684F7A" w:rsidRPr="00275521" w:rsidRDefault="00684F7A" w:rsidP="008B6633">
            <w:pPr>
              <w:pStyle w:val="TableText0"/>
              <w:jc w:val="center"/>
              <w:rPr>
                <w:b/>
                <w:bCs w:val="0"/>
              </w:rPr>
            </w:pPr>
          </w:p>
        </w:tc>
        <w:tc>
          <w:tcPr>
            <w:tcW w:w="2156" w:type="pct"/>
            <w:gridSpan w:val="2"/>
            <w:vAlign w:val="center"/>
          </w:tcPr>
          <w:p w14:paraId="312AF5C3" w14:textId="4715F4B5" w:rsidR="00684F7A" w:rsidRPr="00275521" w:rsidRDefault="00684F7A" w:rsidP="008B6633">
            <w:pPr>
              <w:pStyle w:val="TableText0"/>
              <w:jc w:val="center"/>
              <w:rPr>
                <w:b/>
                <w:bCs w:val="0"/>
              </w:rPr>
            </w:pPr>
            <w:r w:rsidRPr="00275521">
              <w:rPr>
                <w:b/>
                <w:bCs w:val="0"/>
              </w:rPr>
              <w:t>ASSERT-EXT</w:t>
            </w:r>
          </w:p>
        </w:tc>
        <w:tc>
          <w:tcPr>
            <w:tcW w:w="1275" w:type="pct"/>
            <w:vAlign w:val="center"/>
          </w:tcPr>
          <w:p w14:paraId="42CEFDAF" w14:textId="3C54FFB0" w:rsidR="00684F7A" w:rsidRPr="00275521" w:rsidRDefault="0028469F" w:rsidP="008B6633">
            <w:pPr>
              <w:pStyle w:val="TableText0"/>
              <w:jc w:val="center"/>
              <w:rPr>
                <w:b/>
                <w:bCs w:val="0"/>
              </w:rPr>
            </w:pPr>
            <w:r w:rsidRPr="00275521">
              <w:rPr>
                <w:b/>
              </w:rPr>
              <w:t>ASSERT / ASSERT-EXT (Pooled)</w:t>
            </w:r>
          </w:p>
        </w:tc>
      </w:tr>
      <w:tr w:rsidR="00AB6980" w:rsidRPr="00275521" w14:paraId="7FA7111A" w14:textId="77777777" w:rsidTr="00684F7A">
        <w:tc>
          <w:tcPr>
            <w:tcW w:w="1569" w:type="pct"/>
            <w:vMerge/>
            <w:vAlign w:val="center"/>
          </w:tcPr>
          <w:p w14:paraId="511F32AF" w14:textId="77777777" w:rsidR="00684F7A" w:rsidRPr="00275521" w:rsidRDefault="00684F7A" w:rsidP="008B6633">
            <w:pPr>
              <w:pStyle w:val="TableText0"/>
            </w:pPr>
          </w:p>
        </w:tc>
        <w:tc>
          <w:tcPr>
            <w:tcW w:w="980" w:type="pct"/>
            <w:vAlign w:val="center"/>
          </w:tcPr>
          <w:p w14:paraId="34E848F4" w14:textId="77777777" w:rsidR="00684F7A" w:rsidRPr="00275521" w:rsidRDefault="00684F7A" w:rsidP="008B6633">
            <w:pPr>
              <w:pStyle w:val="TableText0"/>
              <w:jc w:val="center"/>
              <w:rPr>
                <w:b/>
                <w:bCs w:val="0"/>
              </w:rPr>
            </w:pPr>
            <w:r w:rsidRPr="00275521">
              <w:rPr>
                <w:b/>
                <w:bCs w:val="0"/>
              </w:rPr>
              <w:t>PBO/ODX</w:t>
            </w:r>
          </w:p>
          <w:p w14:paraId="4E438943" w14:textId="77777777" w:rsidR="00684F7A" w:rsidRPr="00275521" w:rsidRDefault="00684F7A" w:rsidP="008B6633">
            <w:pPr>
              <w:pStyle w:val="TableText0"/>
              <w:jc w:val="center"/>
              <w:rPr>
                <w:b/>
                <w:bCs w:val="0"/>
              </w:rPr>
            </w:pPr>
            <w:r w:rsidRPr="00275521">
              <w:rPr>
                <w:b/>
                <w:bCs w:val="0"/>
              </w:rPr>
              <w:t>N=17</w:t>
            </w:r>
          </w:p>
          <w:p w14:paraId="0FF5BA44" w14:textId="74E9D9EF" w:rsidR="00684F7A" w:rsidRPr="00275521" w:rsidRDefault="00684F7A" w:rsidP="008B6633">
            <w:pPr>
              <w:pStyle w:val="TableText0"/>
              <w:jc w:val="center"/>
            </w:pPr>
            <w:r w:rsidRPr="00275521">
              <w:rPr>
                <w:b/>
                <w:bCs w:val="0"/>
              </w:rPr>
              <w:t>n (%); E</w:t>
            </w:r>
          </w:p>
        </w:tc>
        <w:tc>
          <w:tcPr>
            <w:tcW w:w="1176" w:type="pct"/>
            <w:vAlign w:val="center"/>
          </w:tcPr>
          <w:p w14:paraId="60F77DE5" w14:textId="77777777" w:rsidR="00684F7A" w:rsidRPr="00275521" w:rsidRDefault="00684F7A" w:rsidP="008B6633">
            <w:pPr>
              <w:pStyle w:val="TableText0"/>
              <w:jc w:val="center"/>
              <w:rPr>
                <w:b/>
                <w:bCs w:val="0"/>
              </w:rPr>
            </w:pPr>
            <w:r w:rsidRPr="00275521">
              <w:rPr>
                <w:b/>
                <w:bCs w:val="0"/>
              </w:rPr>
              <w:t>ODX/ODX</w:t>
            </w:r>
          </w:p>
          <w:p w14:paraId="11A5A711" w14:textId="77777777" w:rsidR="00684F7A" w:rsidRPr="00275521" w:rsidRDefault="00684F7A" w:rsidP="008B6633">
            <w:pPr>
              <w:pStyle w:val="TableText0"/>
              <w:jc w:val="center"/>
              <w:rPr>
                <w:b/>
                <w:bCs w:val="0"/>
              </w:rPr>
            </w:pPr>
            <w:r w:rsidRPr="00275521">
              <w:rPr>
                <w:b/>
                <w:bCs w:val="0"/>
              </w:rPr>
              <w:t>N=33</w:t>
            </w:r>
          </w:p>
          <w:p w14:paraId="1B06E7BB" w14:textId="037A8AD9" w:rsidR="00684F7A" w:rsidRPr="00275521" w:rsidRDefault="00684F7A" w:rsidP="008B6633">
            <w:pPr>
              <w:pStyle w:val="TableText0"/>
              <w:jc w:val="center"/>
            </w:pPr>
            <w:r w:rsidRPr="00275521">
              <w:rPr>
                <w:b/>
                <w:bCs w:val="0"/>
              </w:rPr>
              <w:t>n (%); E</w:t>
            </w:r>
          </w:p>
        </w:tc>
        <w:tc>
          <w:tcPr>
            <w:tcW w:w="1275" w:type="pct"/>
            <w:vAlign w:val="center"/>
          </w:tcPr>
          <w:p w14:paraId="25114E40" w14:textId="2CC3CA35" w:rsidR="0086462D" w:rsidRPr="00275521" w:rsidRDefault="0086462D" w:rsidP="008B6633">
            <w:pPr>
              <w:pStyle w:val="TableText0"/>
              <w:jc w:val="center"/>
              <w:rPr>
                <w:b/>
                <w:bCs w:val="0"/>
              </w:rPr>
            </w:pPr>
            <w:r w:rsidRPr="00275521">
              <w:rPr>
                <w:b/>
                <w:bCs w:val="0"/>
              </w:rPr>
              <w:t>ODX</w:t>
            </w:r>
            <w:r w:rsidR="006E3301" w:rsidRPr="00275521">
              <w:rPr>
                <w:b/>
                <w:bCs w:val="0"/>
              </w:rPr>
              <w:t xml:space="preserve"> </w:t>
            </w:r>
            <w:r w:rsidRPr="00275521">
              <w:rPr>
                <w:b/>
                <w:bCs w:val="0"/>
              </w:rPr>
              <w:t>N=52</w:t>
            </w:r>
          </w:p>
          <w:p w14:paraId="7CA04893" w14:textId="0B7B4E4B" w:rsidR="0086462D" w:rsidRPr="00275521" w:rsidRDefault="006E3301" w:rsidP="008B6633">
            <w:pPr>
              <w:pStyle w:val="TableText0"/>
              <w:jc w:val="center"/>
              <w:rPr>
                <w:b/>
                <w:bCs w:val="0"/>
              </w:rPr>
            </w:pPr>
            <w:r w:rsidRPr="00275521">
              <w:rPr>
                <w:b/>
                <w:bCs w:val="0"/>
              </w:rPr>
              <w:t>n</w:t>
            </w:r>
            <w:r w:rsidR="0086462D" w:rsidRPr="00275521">
              <w:rPr>
                <w:b/>
                <w:bCs w:val="0"/>
              </w:rPr>
              <w:t xml:space="preserve"> (%)</w:t>
            </w:r>
            <w:r w:rsidRPr="00275521">
              <w:rPr>
                <w:b/>
                <w:bCs w:val="0"/>
              </w:rPr>
              <w:t>;</w:t>
            </w:r>
            <w:r w:rsidR="0086462D" w:rsidRPr="00275521">
              <w:rPr>
                <w:b/>
                <w:bCs w:val="0"/>
              </w:rPr>
              <w:t xml:space="preserve"> E</w:t>
            </w:r>
            <w:r w:rsidR="0086462D" w:rsidRPr="00275521" w:rsidDel="002448BD">
              <w:rPr>
                <w:b/>
                <w:bCs w:val="0"/>
              </w:rPr>
              <w:t xml:space="preserve"> </w:t>
            </w:r>
          </w:p>
          <w:p w14:paraId="325EF343" w14:textId="42F7C76A" w:rsidR="00684F7A" w:rsidRPr="00275521" w:rsidRDefault="00684F7A" w:rsidP="008B6633">
            <w:pPr>
              <w:pStyle w:val="TableText0"/>
              <w:jc w:val="center"/>
              <w:rPr>
                <w:vertAlign w:val="superscript"/>
              </w:rPr>
            </w:pPr>
          </w:p>
        </w:tc>
      </w:tr>
      <w:tr w:rsidR="00AB6980" w:rsidRPr="00275521" w14:paraId="71AE638D" w14:textId="77777777" w:rsidTr="00545CB5">
        <w:tc>
          <w:tcPr>
            <w:tcW w:w="1569" w:type="pct"/>
            <w:vAlign w:val="center"/>
          </w:tcPr>
          <w:p w14:paraId="47480263" w14:textId="77777777" w:rsidR="000B605F" w:rsidRPr="00275521" w:rsidRDefault="000B605F" w:rsidP="008B6633">
            <w:pPr>
              <w:pStyle w:val="TableText0"/>
            </w:pPr>
            <w:r w:rsidRPr="00275521">
              <w:t>TEAE</w:t>
            </w:r>
          </w:p>
        </w:tc>
        <w:tc>
          <w:tcPr>
            <w:tcW w:w="980" w:type="pct"/>
            <w:vAlign w:val="center"/>
          </w:tcPr>
          <w:p w14:paraId="30907831" w14:textId="07D36790" w:rsidR="000B605F" w:rsidRPr="00275521" w:rsidRDefault="000B605F" w:rsidP="008B6633">
            <w:pPr>
              <w:pStyle w:val="TableText0"/>
              <w:jc w:val="center"/>
            </w:pPr>
            <w:r w:rsidRPr="00275521">
              <w:t>17 (100); 161</w:t>
            </w:r>
          </w:p>
        </w:tc>
        <w:tc>
          <w:tcPr>
            <w:tcW w:w="1176" w:type="pct"/>
            <w:vAlign w:val="center"/>
          </w:tcPr>
          <w:p w14:paraId="315FBCAE" w14:textId="49206AAA" w:rsidR="000B605F" w:rsidRPr="00275521" w:rsidRDefault="000B605F" w:rsidP="008B6633">
            <w:pPr>
              <w:pStyle w:val="TableText0"/>
              <w:jc w:val="center"/>
            </w:pPr>
            <w:r w:rsidRPr="00275521">
              <w:t>30 (90.9); 200</w:t>
            </w:r>
          </w:p>
        </w:tc>
        <w:tc>
          <w:tcPr>
            <w:tcW w:w="1275" w:type="pct"/>
            <w:tcBorders>
              <w:top w:val="single" w:sz="4" w:space="0" w:color="auto"/>
              <w:left w:val="single" w:sz="4" w:space="0" w:color="auto"/>
              <w:bottom w:val="single" w:sz="4" w:space="0" w:color="auto"/>
              <w:right w:val="single" w:sz="4" w:space="0" w:color="auto"/>
            </w:tcBorders>
          </w:tcPr>
          <w:p w14:paraId="40D620A0" w14:textId="36AA1270" w:rsidR="000B605F" w:rsidRPr="00275521" w:rsidRDefault="000B605F" w:rsidP="008B6633">
            <w:pPr>
              <w:pStyle w:val="TableText0"/>
              <w:jc w:val="center"/>
            </w:pPr>
            <w:r w:rsidRPr="005F7DAE">
              <w:t>50 (96.2); 465</w:t>
            </w:r>
          </w:p>
        </w:tc>
      </w:tr>
      <w:tr w:rsidR="00AB6980" w:rsidRPr="00275521" w14:paraId="55B9C85D" w14:textId="77777777" w:rsidTr="00545CB5">
        <w:tc>
          <w:tcPr>
            <w:tcW w:w="1569" w:type="pct"/>
            <w:vAlign w:val="center"/>
          </w:tcPr>
          <w:p w14:paraId="4A2E18B9" w14:textId="77777777" w:rsidR="000B605F" w:rsidRPr="00275521" w:rsidRDefault="000B605F" w:rsidP="008B6633">
            <w:pPr>
              <w:pStyle w:val="TableText0"/>
            </w:pPr>
            <w:r w:rsidRPr="00275521">
              <w:t>Drug-related TEAE</w:t>
            </w:r>
          </w:p>
        </w:tc>
        <w:tc>
          <w:tcPr>
            <w:tcW w:w="980" w:type="pct"/>
            <w:vAlign w:val="center"/>
          </w:tcPr>
          <w:p w14:paraId="65775ED3" w14:textId="6C8D2BC3" w:rsidR="000B605F" w:rsidRPr="00275521" w:rsidRDefault="000B605F" w:rsidP="008B6633">
            <w:pPr>
              <w:pStyle w:val="TableText0"/>
              <w:jc w:val="center"/>
            </w:pPr>
            <w:r w:rsidRPr="00275521">
              <w:t>7 (41.2); 20</w:t>
            </w:r>
          </w:p>
        </w:tc>
        <w:tc>
          <w:tcPr>
            <w:tcW w:w="1176" w:type="pct"/>
            <w:vAlign w:val="center"/>
          </w:tcPr>
          <w:p w14:paraId="2F7DBAE4" w14:textId="6C00A346" w:rsidR="000B605F" w:rsidRPr="00275521" w:rsidRDefault="000B605F" w:rsidP="008B6633">
            <w:pPr>
              <w:pStyle w:val="TableText0"/>
              <w:jc w:val="center"/>
            </w:pPr>
            <w:r w:rsidRPr="00275521">
              <w:t>6 (18.2); 10</w:t>
            </w:r>
          </w:p>
        </w:tc>
        <w:tc>
          <w:tcPr>
            <w:tcW w:w="1275" w:type="pct"/>
            <w:tcBorders>
              <w:top w:val="nil"/>
              <w:left w:val="single" w:sz="4" w:space="0" w:color="auto"/>
              <w:bottom w:val="single" w:sz="4" w:space="0" w:color="auto"/>
              <w:right w:val="single" w:sz="4" w:space="0" w:color="auto"/>
            </w:tcBorders>
          </w:tcPr>
          <w:p w14:paraId="0577886F" w14:textId="35921FDD" w:rsidR="000B605F" w:rsidRPr="00275521" w:rsidRDefault="000B605F" w:rsidP="008B6633">
            <w:pPr>
              <w:pStyle w:val="TableText0"/>
              <w:jc w:val="center"/>
            </w:pPr>
            <w:r w:rsidRPr="005F7DAE">
              <w:t>19 (36.5); 47</w:t>
            </w:r>
          </w:p>
        </w:tc>
      </w:tr>
      <w:tr w:rsidR="00311DF9" w:rsidRPr="00275521" w14:paraId="1F863E6B" w14:textId="77777777">
        <w:tc>
          <w:tcPr>
            <w:tcW w:w="5000" w:type="pct"/>
            <w:gridSpan w:val="4"/>
            <w:vAlign w:val="bottom"/>
          </w:tcPr>
          <w:p w14:paraId="534880E9" w14:textId="77777777" w:rsidR="00684F7A" w:rsidRPr="00275521" w:rsidRDefault="00684F7A" w:rsidP="008B6633">
            <w:pPr>
              <w:pStyle w:val="TableText0"/>
            </w:pPr>
            <w:r w:rsidRPr="00275521">
              <w:t>TEAEs by maximum intensity</w:t>
            </w:r>
          </w:p>
        </w:tc>
      </w:tr>
      <w:tr w:rsidR="00AB6980" w:rsidRPr="00275521" w14:paraId="46E14061" w14:textId="77777777" w:rsidTr="00684F7A">
        <w:tc>
          <w:tcPr>
            <w:tcW w:w="1569" w:type="pct"/>
            <w:vAlign w:val="center"/>
          </w:tcPr>
          <w:p w14:paraId="7C154531" w14:textId="77777777" w:rsidR="00684F7A" w:rsidRPr="00275521" w:rsidRDefault="00684F7A" w:rsidP="008B6633">
            <w:pPr>
              <w:pStyle w:val="TableText0"/>
            </w:pPr>
            <w:r w:rsidRPr="00275521">
              <w:t>Grade 1</w:t>
            </w:r>
          </w:p>
        </w:tc>
        <w:tc>
          <w:tcPr>
            <w:tcW w:w="980" w:type="pct"/>
            <w:vAlign w:val="center"/>
          </w:tcPr>
          <w:p w14:paraId="570C5D17" w14:textId="72D23C88" w:rsidR="00684F7A" w:rsidRPr="00275521" w:rsidRDefault="00684F7A" w:rsidP="008B6633">
            <w:pPr>
              <w:pStyle w:val="TableText0"/>
              <w:jc w:val="center"/>
            </w:pPr>
            <w:r w:rsidRPr="00275521">
              <w:t>4 (23.5); 83</w:t>
            </w:r>
          </w:p>
        </w:tc>
        <w:tc>
          <w:tcPr>
            <w:tcW w:w="1176" w:type="pct"/>
            <w:vAlign w:val="center"/>
          </w:tcPr>
          <w:p w14:paraId="105C119A" w14:textId="61F5277E" w:rsidR="00684F7A" w:rsidRPr="00275521" w:rsidRDefault="00684F7A" w:rsidP="008B6633">
            <w:pPr>
              <w:pStyle w:val="TableText0"/>
              <w:jc w:val="center"/>
            </w:pPr>
            <w:r w:rsidRPr="00275521">
              <w:t>10 (30.3); 107</w:t>
            </w:r>
          </w:p>
        </w:tc>
        <w:tc>
          <w:tcPr>
            <w:tcW w:w="1275" w:type="pct"/>
            <w:tcBorders>
              <w:top w:val="nil"/>
              <w:left w:val="single" w:sz="4" w:space="0" w:color="auto"/>
              <w:bottom w:val="single" w:sz="4" w:space="0" w:color="auto"/>
              <w:right w:val="single" w:sz="4" w:space="0" w:color="auto"/>
            </w:tcBorders>
            <w:vAlign w:val="bottom"/>
          </w:tcPr>
          <w:p w14:paraId="371BF70B" w14:textId="41DD3E92" w:rsidR="00684F7A" w:rsidRPr="00275521" w:rsidRDefault="00684F7A" w:rsidP="008B6633">
            <w:pPr>
              <w:pStyle w:val="TableText0"/>
              <w:jc w:val="center"/>
            </w:pPr>
          </w:p>
        </w:tc>
      </w:tr>
      <w:tr w:rsidR="00AB6980" w:rsidRPr="00275521" w14:paraId="2417EC33" w14:textId="77777777" w:rsidTr="00684F7A">
        <w:tc>
          <w:tcPr>
            <w:tcW w:w="1569" w:type="pct"/>
            <w:vAlign w:val="center"/>
          </w:tcPr>
          <w:p w14:paraId="4A6FABD8" w14:textId="77777777" w:rsidR="00684F7A" w:rsidRPr="00275521" w:rsidRDefault="00684F7A" w:rsidP="008B6633">
            <w:pPr>
              <w:pStyle w:val="TableText0"/>
            </w:pPr>
            <w:r w:rsidRPr="00275521">
              <w:t>Grade 2</w:t>
            </w:r>
          </w:p>
        </w:tc>
        <w:tc>
          <w:tcPr>
            <w:tcW w:w="980" w:type="pct"/>
            <w:vAlign w:val="center"/>
          </w:tcPr>
          <w:p w14:paraId="392058CF" w14:textId="29C34692" w:rsidR="00684F7A" w:rsidRPr="00275521" w:rsidRDefault="00684F7A" w:rsidP="008B6633">
            <w:pPr>
              <w:pStyle w:val="TableText0"/>
              <w:jc w:val="center"/>
            </w:pPr>
            <w:r w:rsidRPr="00275521">
              <w:t>6 (35.3); 65</w:t>
            </w:r>
          </w:p>
        </w:tc>
        <w:tc>
          <w:tcPr>
            <w:tcW w:w="1176" w:type="pct"/>
            <w:vAlign w:val="center"/>
          </w:tcPr>
          <w:p w14:paraId="28FBC0C9" w14:textId="7BDFE271" w:rsidR="00684F7A" w:rsidRPr="00275521" w:rsidRDefault="00684F7A" w:rsidP="008B6633">
            <w:pPr>
              <w:pStyle w:val="TableText0"/>
              <w:jc w:val="center"/>
            </w:pPr>
            <w:r w:rsidRPr="00275521">
              <w:t>14 (42.4); 79</w:t>
            </w:r>
          </w:p>
        </w:tc>
        <w:tc>
          <w:tcPr>
            <w:tcW w:w="1275" w:type="pct"/>
            <w:tcBorders>
              <w:top w:val="nil"/>
              <w:left w:val="single" w:sz="4" w:space="0" w:color="auto"/>
              <w:bottom w:val="single" w:sz="4" w:space="0" w:color="auto"/>
              <w:right w:val="single" w:sz="4" w:space="0" w:color="auto"/>
            </w:tcBorders>
            <w:vAlign w:val="bottom"/>
          </w:tcPr>
          <w:p w14:paraId="5D1FB2B7" w14:textId="5FB64659" w:rsidR="00684F7A" w:rsidRPr="00275521" w:rsidRDefault="00684F7A" w:rsidP="008B6633">
            <w:pPr>
              <w:pStyle w:val="TableText0"/>
              <w:jc w:val="center"/>
            </w:pPr>
          </w:p>
        </w:tc>
      </w:tr>
      <w:tr w:rsidR="00AB6980" w:rsidRPr="00275521" w14:paraId="77C54910" w14:textId="77777777" w:rsidTr="00684F7A">
        <w:tc>
          <w:tcPr>
            <w:tcW w:w="1569" w:type="pct"/>
            <w:vAlign w:val="center"/>
          </w:tcPr>
          <w:p w14:paraId="44CD3293" w14:textId="77777777" w:rsidR="00684F7A" w:rsidRPr="00275521" w:rsidRDefault="00684F7A" w:rsidP="008B6633">
            <w:pPr>
              <w:pStyle w:val="TableText0"/>
            </w:pPr>
            <w:r w:rsidRPr="00275521">
              <w:t>Grade 3</w:t>
            </w:r>
          </w:p>
        </w:tc>
        <w:tc>
          <w:tcPr>
            <w:tcW w:w="980" w:type="pct"/>
            <w:vAlign w:val="center"/>
          </w:tcPr>
          <w:p w14:paraId="0F1A0746" w14:textId="2590E433" w:rsidR="00684F7A" w:rsidRPr="00275521" w:rsidRDefault="00684F7A" w:rsidP="008B6633">
            <w:pPr>
              <w:pStyle w:val="TableText0"/>
              <w:jc w:val="center"/>
            </w:pPr>
            <w:r w:rsidRPr="00275521">
              <w:t>7 (41.2); 13</w:t>
            </w:r>
          </w:p>
        </w:tc>
        <w:tc>
          <w:tcPr>
            <w:tcW w:w="1176" w:type="pct"/>
            <w:vAlign w:val="center"/>
          </w:tcPr>
          <w:p w14:paraId="7495C20C" w14:textId="3AE19B00" w:rsidR="00684F7A" w:rsidRPr="00275521" w:rsidRDefault="00684F7A" w:rsidP="008B6633">
            <w:pPr>
              <w:pStyle w:val="TableText0"/>
              <w:jc w:val="center"/>
            </w:pPr>
            <w:r w:rsidRPr="00275521">
              <w:t>6 (18.2); 14</w:t>
            </w:r>
          </w:p>
        </w:tc>
        <w:tc>
          <w:tcPr>
            <w:tcW w:w="1275" w:type="pct"/>
            <w:tcBorders>
              <w:top w:val="nil"/>
              <w:left w:val="single" w:sz="4" w:space="0" w:color="auto"/>
              <w:bottom w:val="single" w:sz="4" w:space="0" w:color="auto"/>
              <w:right w:val="single" w:sz="4" w:space="0" w:color="auto"/>
            </w:tcBorders>
            <w:vAlign w:val="bottom"/>
          </w:tcPr>
          <w:p w14:paraId="30423A5A" w14:textId="6EB59FF8" w:rsidR="00684F7A" w:rsidRPr="00275521" w:rsidRDefault="00684F7A" w:rsidP="008B6633">
            <w:pPr>
              <w:pStyle w:val="TableText0"/>
              <w:jc w:val="center"/>
            </w:pPr>
          </w:p>
        </w:tc>
      </w:tr>
      <w:tr w:rsidR="00AB6980" w:rsidRPr="00275521" w14:paraId="4CD33389" w14:textId="77777777" w:rsidTr="00545CB5">
        <w:tc>
          <w:tcPr>
            <w:tcW w:w="1569" w:type="pct"/>
            <w:vAlign w:val="center"/>
          </w:tcPr>
          <w:p w14:paraId="6690D7C2" w14:textId="77777777" w:rsidR="0061761F" w:rsidRPr="00275521" w:rsidRDefault="0061761F" w:rsidP="008B6633">
            <w:pPr>
              <w:pStyle w:val="TableText0"/>
            </w:pPr>
            <w:r w:rsidRPr="00275521">
              <w:t>Grade 4</w:t>
            </w:r>
          </w:p>
        </w:tc>
        <w:tc>
          <w:tcPr>
            <w:tcW w:w="980" w:type="pct"/>
            <w:vAlign w:val="center"/>
          </w:tcPr>
          <w:p w14:paraId="5DB20B83" w14:textId="77777777" w:rsidR="0061761F" w:rsidRPr="00275521" w:rsidRDefault="0061761F" w:rsidP="008B6633">
            <w:pPr>
              <w:pStyle w:val="TableText0"/>
              <w:jc w:val="center"/>
            </w:pPr>
            <w:r w:rsidRPr="00275521">
              <w:t>0</w:t>
            </w:r>
          </w:p>
        </w:tc>
        <w:tc>
          <w:tcPr>
            <w:tcW w:w="1176" w:type="pct"/>
            <w:vAlign w:val="center"/>
          </w:tcPr>
          <w:p w14:paraId="127078DC" w14:textId="77777777" w:rsidR="0061761F" w:rsidRPr="00275521" w:rsidRDefault="0061761F" w:rsidP="008B6633">
            <w:pPr>
              <w:pStyle w:val="TableText0"/>
              <w:jc w:val="center"/>
            </w:pPr>
            <w:r w:rsidRPr="00275521">
              <w:t>0</w:t>
            </w:r>
          </w:p>
        </w:tc>
        <w:tc>
          <w:tcPr>
            <w:tcW w:w="1275" w:type="pct"/>
            <w:vMerge w:val="restart"/>
            <w:tcBorders>
              <w:top w:val="nil"/>
              <w:left w:val="single" w:sz="4" w:space="0" w:color="auto"/>
              <w:right w:val="single" w:sz="4" w:space="0" w:color="auto"/>
            </w:tcBorders>
          </w:tcPr>
          <w:p w14:paraId="413A5529" w14:textId="39BE99E6" w:rsidR="0061761F" w:rsidRPr="00275521" w:rsidRDefault="0061761F" w:rsidP="008B6633">
            <w:pPr>
              <w:pStyle w:val="TableText0"/>
              <w:jc w:val="center"/>
            </w:pPr>
            <w:r w:rsidRPr="00275521">
              <w:t>16 (30.8); 35</w:t>
            </w:r>
          </w:p>
          <w:p w14:paraId="7FD94258" w14:textId="749CDF95" w:rsidR="0061761F" w:rsidRPr="00275521" w:rsidRDefault="0061761F" w:rsidP="008B6633">
            <w:pPr>
              <w:pStyle w:val="TableText0"/>
              <w:jc w:val="center"/>
            </w:pPr>
          </w:p>
        </w:tc>
      </w:tr>
      <w:tr w:rsidR="00AB6980" w:rsidRPr="00275521" w14:paraId="3FA8FB0B" w14:textId="77777777" w:rsidTr="00545CB5">
        <w:tc>
          <w:tcPr>
            <w:tcW w:w="1569" w:type="pct"/>
            <w:vAlign w:val="center"/>
          </w:tcPr>
          <w:p w14:paraId="5D6CFB7D" w14:textId="77777777" w:rsidR="0061761F" w:rsidRPr="00275521" w:rsidRDefault="0061761F" w:rsidP="008B6633">
            <w:pPr>
              <w:pStyle w:val="TableText0"/>
            </w:pPr>
            <w:r w:rsidRPr="00275521">
              <w:t>Grade 5</w:t>
            </w:r>
          </w:p>
        </w:tc>
        <w:tc>
          <w:tcPr>
            <w:tcW w:w="980" w:type="pct"/>
            <w:vAlign w:val="center"/>
          </w:tcPr>
          <w:p w14:paraId="38F8D9C1" w14:textId="77777777" w:rsidR="0061761F" w:rsidRPr="00275521" w:rsidRDefault="0061761F" w:rsidP="008B6633">
            <w:pPr>
              <w:pStyle w:val="TableText0"/>
              <w:jc w:val="center"/>
            </w:pPr>
            <w:r w:rsidRPr="00275521">
              <w:t>0</w:t>
            </w:r>
          </w:p>
        </w:tc>
        <w:tc>
          <w:tcPr>
            <w:tcW w:w="1176" w:type="pct"/>
            <w:vAlign w:val="center"/>
          </w:tcPr>
          <w:p w14:paraId="3DC697CE" w14:textId="77777777" w:rsidR="0061761F" w:rsidRPr="00275521" w:rsidRDefault="0061761F" w:rsidP="008B6633">
            <w:pPr>
              <w:pStyle w:val="TableText0"/>
              <w:jc w:val="center"/>
            </w:pPr>
            <w:r w:rsidRPr="00275521">
              <w:t>0</w:t>
            </w:r>
          </w:p>
        </w:tc>
        <w:tc>
          <w:tcPr>
            <w:tcW w:w="1275" w:type="pct"/>
            <w:vMerge/>
            <w:tcBorders>
              <w:left w:val="single" w:sz="4" w:space="0" w:color="auto"/>
              <w:bottom w:val="single" w:sz="4" w:space="0" w:color="auto"/>
              <w:right w:val="single" w:sz="4" w:space="0" w:color="auto"/>
            </w:tcBorders>
          </w:tcPr>
          <w:p w14:paraId="06BA99BF" w14:textId="56324C53" w:rsidR="0061761F" w:rsidRPr="00275521" w:rsidRDefault="0061761F" w:rsidP="008B6633">
            <w:pPr>
              <w:pStyle w:val="TableText0"/>
              <w:jc w:val="center"/>
            </w:pPr>
          </w:p>
        </w:tc>
      </w:tr>
      <w:tr w:rsidR="00AB6980" w:rsidRPr="00275521" w14:paraId="7279D0A6" w14:textId="77777777" w:rsidTr="00545CB5">
        <w:tc>
          <w:tcPr>
            <w:tcW w:w="1569" w:type="pct"/>
            <w:vAlign w:val="center"/>
          </w:tcPr>
          <w:p w14:paraId="50B3B9D9" w14:textId="77777777" w:rsidR="0061761F" w:rsidRPr="00275521" w:rsidRDefault="0061761F" w:rsidP="008B6633">
            <w:pPr>
              <w:pStyle w:val="TableText0"/>
            </w:pPr>
            <w:r w:rsidRPr="00275521">
              <w:t>Serious TEAE</w:t>
            </w:r>
          </w:p>
        </w:tc>
        <w:tc>
          <w:tcPr>
            <w:tcW w:w="980" w:type="pct"/>
            <w:vAlign w:val="center"/>
          </w:tcPr>
          <w:p w14:paraId="19EDA668" w14:textId="1F112D10" w:rsidR="0061761F" w:rsidRPr="00275521" w:rsidRDefault="0061761F" w:rsidP="008B6633">
            <w:pPr>
              <w:pStyle w:val="TableText0"/>
              <w:jc w:val="center"/>
            </w:pPr>
            <w:r w:rsidRPr="00275521">
              <w:t>7 (41.2); 8</w:t>
            </w:r>
          </w:p>
        </w:tc>
        <w:tc>
          <w:tcPr>
            <w:tcW w:w="1176" w:type="pct"/>
            <w:vAlign w:val="center"/>
          </w:tcPr>
          <w:p w14:paraId="4D159ED3" w14:textId="5989320F" w:rsidR="0061761F" w:rsidRPr="00275521" w:rsidRDefault="0061761F" w:rsidP="008B6633">
            <w:pPr>
              <w:pStyle w:val="TableText0"/>
              <w:jc w:val="center"/>
            </w:pPr>
            <w:r w:rsidRPr="00275521">
              <w:t>4 (12.1); 7</w:t>
            </w:r>
          </w:p>
        </w:tc>
        <w:tc>
          <w:tcPr>
            <w:tcW w:w="1275" w:type="pct"/>
            <w:tcBorders>
              <w:top w:val="nil"/>
              <w:left w:val="single" w:sz="4" w:space="0" w:color="auto"/>
              <w:bottom w:val="single" w:sz="4" w:space="0" w:color="auto"/>
              <w:right w:val="single" w:sz="4" w:space="0" w:color="auto"/>
            </w:tcBorders>
          </w:tcPr>
          <w:p w14:paraId="517AE396" w14:textId="6022ECFC" w:rsidR="0061761F" w:rsidRPr="00275521" w:rsidRDefault="0061761F" w:rsidP="008B6633">
            <w:pPr>
              <w:pStyle w:val="TableText0"/>
              <w:jc w:val="center"/>
            </w:pPr>
          </w:p>
        </w:tc>
      </w:tr>
      <w:tr w:rsidR="00AB6980" w:rsidRPr="00275521" w14:paraId="29DE7D42" w14:textId="77777777" w:rsidTr="00545CB5">
        <w:tc>
          <w:tcPr>
            <w:tcW w:w="1569" w:type="pct"/>
            <w:vAlign w:val="center"/>
          </w:tcPr>
          <w:p w14:paraId="4646645E" w14:textId="77777777" w:rsidR="0061761F" w:rsidRPr="00275521" w:rsidRDefault="0061761F" w:rsidP="008B6633">
            <w:pPr>
              <w:pStyle w:val="TableText0"/>
            </w:pPr>
            <w:r w:rsidRPr="00275521">
              <w:t>Drug-related serious TEAE</w:t>
            </w:r>
          </w:p>
        </w:tc>
        <w:tc>
          <w:tcPr>
            <w:tcW w:w="980" w:type="pct"/>
            <w:vAlign w:val="center"/>
          </w:tcPr>
          <w:p w14:paraId="158551ED" w14:textId="77777777" w:rsidR="0061761F" w:rsidRPr="00275521" w:rsidRDefault="0061761F" w:rsidP="008B6633">
            <w:pPr>
              <w:pStyle w:val="TableText0"/>
              <w:jc w:val="center"/>
            </w:pPr>
            <w:r w:rsidRPr="00275521">
              <w:t>0</w:t>
            </w:r>
          </w:p>
        </w:tc>
        <w:tc>
          <w:tcPr>
            <w:tcW w:w="1176" w:type="pct"/>
            <w:vAlign w:val="center"/>
          </w:tcPr>
          <w:p w14:paraId="36A4BA87" w14:textId="77777777" w:rsidR="0061761F" w:rsidRPr="00275521" w:rsidRDefault="0061761F" w:rsidP="008B6633">
            <w:pPr>
              <w:pStyle w:val="TableText0"/>
              <w:jc w:val="center"/>
            </w:pPr>
            <w:r w:rsidRPr="00275521">
              <w:t>0</w:t>
            </w:r>
          </w:p>
        </w:tc>
        <w:tc>
          <w:tcPr>
            <w:tcW w:w="1275" w:type="pct"/>
            <w:tcBorders>
              <w:top w:val="nil"/>
              <w:left w:val="single" w:sz="4" w:space="0" w:color="auto"/>
              <w:bottom w:val="single" w:sz="4" w:space="0" w:color="auto"/>
              <w:right w:val="single" w:sz="4" w:space="0" w:color="auto"/>
            </w:tcBorders>
          </w:tcPr>
          <w:p w14:paraId="6894A72E" w14:textId="36EA76FC" w:rsidR="0061761F" w:rsidRPr="00275521" w:rsidRDefault="0061761F" w:rsidP="008B6633">
            <w:pPr>
              <w:pStyle w:val="TableText0"/>
              <w:jc w:val="center"/>
            </w:pPr>
            <w:r w:rsidRPr="00275521">
              <w:t>13 (25.0); 23</w:t>
            </w:r>
          </w:p>
        </w:tc>
      </w:tr>
      <w:tr w:rsidR="00AB6980" w:rsidRPr="00275521" w14:paraId="61ABF4EF" w14:textId="77777777" w:rsidTr="00545CB5">
        <w:tc>
          <w:tcPr>
            <w:tcW w:w="1569" w:type="pct"/>
            <w:vAlign w:val="center"/>
          </w:tcPr>
          <w:p w14:paraId="577815E1" w14:textId="77777777" w:rsidR="0061761F" w:rsidRPr="00275521" w:rsidRDefault="0061761F" w:rsidP="008B6633">
            <w:pPr>
              <w:pStyle w:val="TableText0"/>
            </w:pPr>
            <w:r w:rsidRPr="00275521">
              <w:t>TEAE leading to death</w:t>
            </w:r>
          </w:p>
        </w:tc>
        <w:tc>
          <w:tcPr>
            <w:tcW w:w="980" w:type="pct"/>
            <w:vAlign w:val="center"/>
          </w:tcPr>
          <w:p w14:paraId="34EC4ED4" w14:textId="77777777" w:rsidR="0061761F" w:rsidRPr="00275521" w:rsidRDefault="0061761F" w:rsidP="008B6633">
            <w:pPr>
              <w:pStyle w:val="TableText0"/>
              <w:jc w:val="center"/>
            </w:pPr>
            <w:r w:rsidRPr="00275521">
              <w:t>0</w:t>
            </w:r>
          </w:p>
        </w:tc>
        <w:tc>
          <w:tcPr>
            <w:tcW w:w="1176" w:type="pct"/>
            <w:vAlign w:val="center"/>
          </w:tcPr>
          <w:p w14:paraId="6898D8AE" w14:textId="77777777" w:rsidR="0061761F" w:rsidRPr="00275521" w:rsidRDefault="0061761F" w:rsidP="008B6633">
            <w:pPr>
              <w:pStyle w:val="TableText0"/>
              <w:jc w:val="center"/>
            </w:pPr>
            <w:r w:rsidRPr="00275521">
              <w:t>0</w:t>
            </w:r>
          </w:p>
        </w:tc>
        <w:tc>
          <w:tcPr>
            <w:tcW w:w="1275" w:type="pct"/>
            <w:tcBorders>
              <w:top w:val="nil"/>
              <w:left w:val="single" w:sz="4" w:space="0" w:color="auto"/>
              <w:bottom w:val="single" w:sz="4" w:space="0" w:color="auto"/>
              <w:right w:val="single" w:sz="4" w:space="0" w:color="auto"/>
            </w:tcBorders>
          </w:tcPr>
          <w:p w14:paraId="4ABD77DB" w14:textId="5BE3698D" w:rsidR="0061761F" w:rsidRPr="00275521" w:rsidRDefault="0061761F" w:rsidP="008B6633">
            <w:pPr>
              <w:pStyle w:val="TableText0"/>
              <w:jc w:val="center"/>
            </w:pPr>
            <w:r w:rsidRPr="00275521">
              <w:t>1 (1.9); 2</w:t>
            </w:r>
          </w:p>
        </w:tc>
      </w:tr>
      <w:tr w:rsidR="008D1288" w:rsidRPr="00275521" w14:paraId="290D624B" w14:textId="77777777" w:rsidTr="00A93791">
        <w:tc>
          <w:tcPr>
            <w:tcW w:w="1569" w:type="pct"/>
          </w:tcPr>
          <w:p w14:paraId="1CE04FA4" w14:textId="77777777" w:rsidR="00684F7A" w:rsidRPr="00275521" w:rsidRDefault="00684F7A" w:rsidP="008B6633">
            <w:pPr>
              <w:pStyle w:val="TableText0"/>
            </w:pPr>
            <w:r w:rsidRPr="00275521">
              <w:t>TEAE leading to:</w:t>
            </w:r>
          </w:p>
          <w:p w14:paraId="645BFFBF" w14:textId="66E757D1" w:rsidR="00684F7A" w:rsidRPr="00275521" w:rsidRDefault="008B6633" w:rsidP="008B6633">
            <w:pPr>
              <w:pStyle w:val="TableText0"/>
            </w:pPr>
            <w:r>
              <w:t xml:space="preserve"> </w:t>
            </w:r>
            <w:r w:rsidR="00684F7A" w:rsidRPr="00275521">
              <w:t xml:space="preserve"> drug discontinuation</w:t>
            </w:r>
          </w:p>
          <w:p w14:paraId="386F32EE" w14:textId="0AD1C3B8" w:rsidR="00684F7A" w:rsidRPr="00275521" w:rsidRDefault="008B6633" w:rsidP="008B6633">
            <w:pPr>
              <w:pStyle w:val="TableText0"/>
            </w:pPr>
            <w:r>
              <w:t xml:space="preserve"> </w:t>
            </w:r>
            <w:r w:rsidR="00684F7A" w:rsidRPr="00275521">
              <w:t xml:space="preserve"> drug interruption</w:t>
            </w:r>
          </w:p>
          <w:p w14:paraId="1D01A78F" w14:textId="4E400802" w:rsidR="00684F7A" w:rsidRPr="00275521" w:rsidRDefault="008B6633" w:rsidP="008B6633">
            <w:pPr>
              <w:pStyle w:val="TableText0"/>
            </w:pPr>
            <w:r>
              <w:t xml:space="preserve"> </w:t>
            </w:r>
            <w:r w:rsidR="00684F7A" w:rsidRPr="00275521">
              <w:t xml:space="preserve"> drug dose reduction</w:t>
            </w:r>
          </w:p>
        </w:tc>
        <w:tc>
          <w:tcPr>
            <w:tcW w:w="980" w:type="pct"/>
          </w:tcPr>
          <w:p w14:paraId="6385DD48" w14:textId="77777777" w:rsidR="00684F7A" w:rsidRPr="00275521" w:rsidRDefault="00684F7A" w:rsidP="008B6633">
            <w:pPr>
              <w:pStyle w:val="TableText0"/>
              <w:jc w:val="center"/>
            </w:pPr>
          </w:p>
          <w:p w14:paraId="2187062C" w14:textId="79AA90F8" w:rsidR="00684F7A" w:rsidRPr="00275521" w:rsidRDefault="00684F7A" w:rsidP="008B6633">
            <w:pPr>
              <w:pStyle w:val="TableText0"/>
              <w:jc w:val="center"/>
              <w:rPr>
                <w:vertAlign w:val="superscript"/>
              </w:rPr>
            </w:pPr>
            <w:r w:rsidRPr="00275521">
              <w:t xml:space="preserve">1 (5.9); 1 </w:t>
            </w:r>
            <w:r w:rsidRPr="00275521">
              <w:rPr>
                <w:vertAlign w:val="superscript"/>
              </w:rPr>
              <w:t>c</w:t>
            </w:r>
          </w:p>
          <w:p w14:paraId="540498DB" w14:textId="7C4C510E" w:rsidR="00684F7A" w:rsidRPr="00275521" w:rsidRDefault="00684F7A" w:rsidP="008B6633">
            <w:pPr>
              <w:pStyle w:val="TableText0"/>
              <w:jc w:val="center"/>
            </w:pPr>
            <w:r w:rsidRPr="00275521">
              <w:t>1 (5.9); 2</w:t>
            </w:r>
          </w:p>
          <w:p w14:paraId="4F68DF5A" w14:textId="566FF629" w:rsidR="00684F7A" w:rsidRPr="00275521" w:rsidRDefault="00684F7A" w:rsidP="008B6633">
            <w:pPr>
              <w:pStyle w:val="TableText0"/>
              <w:jc w:val="center"/>
            </w:pPr>
            <w:r w:rsidRPr="00275521">
              <w:t>1 (5.9); 3</w:t>
            </w:r>
          </w:p>
        </w:tc>
        <w:tc>
          <w:tcPr>
            <w:tcW w:w="1176" w:type="pct"/>
          </w:tcPr>
          <w:p w14:paraId="054D58B7" w14:textId="77777777" w:rsidR="00684F7A" w:rsidRPr="00275521" w:rsidRDefault="00684F7A" w:rsidP="008B6633">
            <w:pPr>
              <w:pStyle w:val="TableText0"/>
              <w:jc w:val="center"/>
            </w:pPr>
          </w:p>
          <w:p w14:paraId="03510FDE" w14:textId="77777777" w:rsidR="00684F7A" w:rsidRPr="00275521" w:rsidRDefault="00684F7A" w:rsidP="008B6633">
            <w:pPr>
              <w:pStyle w:val="TableText0"/>
              <w:jc w:val="center"/>
            </w:pPr>
            <w:r w:rsidRPr="00275521">
              <w:t>0</w:t>
            </w:r>
          </w:p>
          <w:p w14:paraId="57DA71A4" w14:textId="0C12F03F" w:rsidR="00684F7A" w:rsidRPr="00275521" w:rsidRDefault="00684F7A" w:rsidP="008B6633">
            <w:pPr>
              <w:pStyle w:val="TableText0"/>
              <w:jc w:val="center"/>
            </w:pPr>
            <w:r w:rsidRPr="00275521">
              <w:t>4 (12.1); 5</w:t>
            </w:r>
          </w:p>
          <w:p w14:paraId="7246910C" w14:textId="5E4A64FC" w:rsidR="00684F7A" w:rsidRPr="00275521" w:rsidRDefault="00684F7A" w:rsidP="008B6633">
            <w:pPr>
              <w:pStyle w:val="TableText0"/>
              <w:jc w:val="center"/>
            </w:pPr>
            <w:r w:rsidRPr="00275521">
              <w:t>2 (6.1); 2</w:t>
            </w:r>
          </w:p>
        </w:tc>
        <w:tc>
          <w:tcPr>
            <w:tcW w:w="1275" w:type="pct"/>
          </w:tcPr>
          <w:p w14:paraId="600272CE" w14:textId="76E632BF" w:rsidR="004D411C" w:rsidRPr="00275521" w:rsidRDefault="004D411C" w:rsidP="008B6633">
            <w:pPr>
              <w:pStyle w:val="TableText0"/>
              <w:jc w:val="center"/>
              <w:rPr>
                <w:vertAlign w:val="superscript"/>
              </w:rPr>
            </w:pPr>
            <w:r w:rsidRPr="005F7DAE">
              <w:t>1 (1.9)</w:t>
            </w:r>
            <w:r w:rsidR="002E6928" w:rsidRPr="005F7DAE">
              <w:t>;</w:t>
            </w:r>
            <w:r w:rsidRPr="005F7DAE">
              <w:t xml:space="preserve"> 1 </w:t>
            </w:r>
            <w:r w:rsidRPr="005F7DAE">
              <w:rPr>
                <w:vertAlign w:val="superscript"/>
              </w:rPr>
              <w:t>c</w:t>
            </w:r>
          </w:p>
          <w:p w14:paraId="58FB3C39" w14:textId="46E23323" w:rsidR="004D411C" w:rsidRPr="005F7DAE" w:rsidRDefault="004D411C" w:rsidP="008B6633">
            <w:pPr>
              <w:pStyle w:val="TableText0"/>
              <w:jc w:val="center"/>
            </w:pPr>
            <w:r w:rsidRPr="005F7DAE">
              <w:t>8 (15.4)</w:t>
            </w:r>
            <w:r w:rsidR="002E6928" w:rsidRPr="005F7DAE">
              <w:t>;</w:t>
            </w:r>
            <w:r w:rsidRPr="005F7DAE">
              <w:t xml:space="preserve"> 11</w:t>
            </w:r>
          </w:p>
          <w:p w14:paraId="342FCFD6" w14:textId="6C0AAE8A" w:rsidR="00A93791" w:rsidRPr="005F7DAE" w:rsidRDefault="004D411C" w:rsidP="008B6633">
            <w:pPr>
              <w:pStyle w:val="Tabletext"/>
              <w:jc w:val="center"/>
            </w:pPr>
            <w:r w:rsidRPr="005F7DAE">
              <w:t>3 (5.8)</w:t>
            </w:r>
            <w:r w:rsidR="002E6928" w:rsidRPr="005F7DAE">
              <w:t>;</w:t>
            </w:r>
            <w:r w:rsidRPr="005F7DAE">
              <w:t xml:space="preserve"> 6 </w:t>
            </w:r>
          </w:p>
          <w:p w14:paraId="0687F6A2" w14:textId="299D42DF" w:rsidR="00684F7A" w:rsidRPr="00275521" w:rsidRDefault="00684F7A" w:rsidP="008B6633">
            <w:pPr>
              <w:pStyle w:val="TableText0"/>
              <w:jc w:val="center"/>
            </w:pPr>
          </w:p>
        </w:tc>
      </w:tr>
    </w:tbl>
    <w:p w14:paraId="0180AEFE" w14:textId="77777777" w:rsidR="00675EE8" w:rsidRPr="00275521" w:rsidRDefault="00675EE8" w:rsidP="008B6633">
      <w:pPr>
        <w:pStyle w:val="TableFigureHeading"/>
        <w:rPr>
          <w:rFonts w:eastAsia="Times New Roman" w:cs="Arial"/>
          <w:b w:val="0"/>
          <w:bCs w:val="0"/>
          <w:snapToGrid w:val="0"/>
          <w:sz w:val="18"/>
          <w:szCs w:val="22"/>
        </w:rPr>
      </w:pPr>
      <w:r w:rsidRPr="00275521">
        <w:rPr>
          <w:rFonts w:eastAsia="Times New Roman" w:cs="Arial"/>
          <w:b w:val="0"/>
          <w:bCs w:val="0"/>
          <w:snapToGrid w:val="0"/>
          <w:sz w:val="18"/>
          <w:szCs w:val="22"/>
        </w:rPr>
        <w:t>Source: Table 2-33 and Table 2-38, p85-89 of the submission</w:t>
      </w:r>
    </w:p>
    <w:p w14:paraId="40C5EE49" w14:textId="77777777" w:rsidR="00675EE8" w:rsidRPr="00275521" w:rsidRDefault="00675EE8" w:rsidP="008B6633">
      <w:pPr>
        <w:pStyle w:val="TableFigureHeading"/>
        <w:rPr>
          <w:rFonts w:eastAsia="Times New Roman" w:cs="Arial"/>
          <w:b w:val="0"/>
          <w:bCs w:val="0"/>
          <w:snapToGrid w:val="0"/>
          <w:sz w:val="18"/>
          <w:szCs w:val="22"/>
        </w:rPr>
      </w:pPr>
      <w:r w:rsidRPr="00275521">
        <w:rPr>
          <w:rFonts w:eastAsia="Times New Roman" w:cs="Arial"/>
          <w:b w:val="0"/>
          <w:bCs w:val="0"/>
          <w:snapToGrid w:val="0"/>
          <w:sz w:val="18"/>
          <w:szCs w:val="22"/>
        </w:rPr>
        <w:t>E = number of events; TEAE = treatment-emergent adverse event</w:t>
      </w:r>
    </w:p>
    <w:p w14:paraId="04534037" w14:textId="77777777" w:rsidR="00675EE8" w:rsidRPr="00275521" w:rsidRDefault="00675EE8" w:rsidP="008B6633">
      <w:pPr>
        <w:pStyle w:val="TableFigureHeading"/>
        <w:rPr>
          <w:rFonts w:eastAsia="Times New Roman" w:cs="Arial"/>
          <w:b w:val="0"/>
          <w:bCs w:val="0"/>
          <w:snapToGrid w:val="0"/>
          <w:sz w:val="16"/>
          <w:szCs w:val="20"/>
        </w:rPr>
      </w:pPr>
      <w:r w:rsidRPr="00275521">
        <w:rPr>
          <w:rFonts w:eastAsia="Times New Roman" w:cs="Arial"/>
          <w:b w:val="0"/>
          <w:bCs w:val="0"/>
          <w:snapToGrid w:val="0"/>
          <w:sz w:val="18"/>
          <w:szCs w:val="22"/>
          <w:vertAlign w:val="superscript"/>
        </w:rPr>
        <w:t>a</w:t>
      </w:r>
      <w:r w:rsidRPr="00275521">
        <w:rPr>
          <w:rFonts w:eastAsia="Times New Roman" w:cs="Arial"/>
          <w:b w:val="0"/>
          <w:bCs w:val="0"/>
          <w:snapToGrid w:val="0"/>
          <w:sz w:val="18"/>
          <w:szCs w:val="22"/>
        </w:rPr>
        <w:t xml:space="preserve"> </w:t>
      </w:r>
      <w:r w:rsidRPr="00275521">
        <w:rPr>
          <w:b w:val="0"/>
          <w:bCs w:val="0"/>
          <w:i/>
          <w:iCs/>
          <w:sz w:val="18"/>
          <w:szCs w:val="22"/>
        </w:rPr>
        <w:t>Calculated during evaluation using normal approximation to the binomial (Gardner and Altman 1997)</w:t>
      </w:r>
    </w:p>
    <w:p w14:paraId="08D326D2" w14:textId="77777777" w:rsidR="00675EE8" w:rsidRPr="00275521" w:rsidRDefault="00675EE8" w:rsidP="008B6633">
      <w:pPr>
        <w:pStyle w:val="TableFigureHeading"/>
        <w:rPr>
          <w:rFonts w:eastAsia="Times New Roman" w:cs="Arial"/>
          <w:b w:val="0"/>
          <w:bCs w:val="0"/>
          <w:snapToGrid w:val="0"/>
          <w:sz w:val="18"/>
          <w:szCs w:val="22"/>
        </w:rPr>
      </w:pPr>
      <w:r w:rsidRPr="00275521">
        <w:rPr>
          <w:rFonts w:eastAsia="Times New Roman" w:cs="Arial"/>
          <w:b w:val="0"/>
          <w:bCs w:val="0"/>
          <w:snapToGrid w:val="0"/>
          <w:sz w:val="18"/>
          <w:szCs w:val="22"/>
          <w:vertAlign w:val="superscript"/>
        </w:rPr>
        <w:t>b</w:t>
      </w:r>
      <w:r w:rsidRPr="00275521">
        <w:rPr>
          <w:rFonts w:eastAsia="Times New Roman" w:cs="Arial"/>
          <w:b w:val="0"/>
          <w:bCs w:val="0"/>
          <w:snapToGrid w:val="0"/>
          <w:sz w:val="18"/>
          <w:szCs w:val="22"/>
        </w:rPr>
        <w:t xml:space="preserve"> One patient in the odevixibat group had serious TEAE of haematemesis and increased International Normalized Ratio (INR) that were assessed as related to study drug.</w:t>
      </w:r>
    </w:p>
    <w:p w14:paraId="460DB451" w14:textId="2E341247" w:rsidR="00675EE8" w:rsidRPr="00275521" w:rsidRDefault="00675EE8" w:rsidP="008B6633">
      <w:pPr>
        <w:pStyle w:val="TableFigureHeading"/>
        <w:rPr>
          <w:rStyle w:val="CommentReference"/>
          <w:rFonts w:eastAsia="Times New Roman" w:cs="Arial"/>
          <w:bCs w:val="0"/>
          <w:snapToGrid w:val="0"/>
          <w:sz w:val="18"/>
          <w:szCs w:val="22"/>
        </w:rPr>
      </w:pPr>
      <w:r w:rsidRPr="00275521">
        <w:rPr>
          <w:rFonts w:eastAsia="Times New Roman" w:cs="Arial"/>
          <w:b w:val="0"/>
          <w:bCs w:val="0"/>
          <w:snapToGrid w:val="0"/>
          <w:sz w:val="18"/>
          <w:szCs w:val="22"/>
          <w:vertAlign w:val="superscript"/>
        </w:rPr>
        <w:t xml:space="preserve">c </w:t>
      </w:r>
      <w:r w:rsidRPr="00275521">
        <w:rPr>
          <w:rFonts w:eastAsia="Times New Roman" w:cs="Arial"/>
          <w:b w:val="0"/>
          <w:bCs w:val="0"/>
          <w:snapToGrid w:val="0"/>
          <w:sz w:val="18"/>
          <w:szCs w:val="22"/>
        </w:rPr>
        <w:t>Discontinued due to blood bilirubin increased</w:t>
      </w:r>
    </w:p>
    <w:p w14:paraId="69AA8F94" w14:textId="7DCA8CFE" w:rsidR="003B5A81" w:rsidRPr="00385A6B" w:rsidRDefault="003B5A81" w:rsidP="008B6633">
      <w:pPr>
        <w:pStyle w:val="3-BodyText"/>
        <w:spacing w:before="160" w:after="160"/>
        <w:rPr>
          <w:rFonts w:cstheme="minorHAnsi"/>
          <w:color w:val="000000" w:themeColor="text1"/>
        </w:rPr>
      </w:pPr>
      <w:r w:rsidRPr="00385A6B">
        <w:rPr>
          <w:rFonts w:cstheme="minorHAnsi"/>
          <w:color w:val="000000" w:themeColor="text1"/>
        </w:rPr>
        <w:t xml:space="preserve">Overall, 26 (74.3%) of the 35 patients who received odevixibat experienced at least one TEAE as did 12 (70.6%) of the 17 patients who received placebo. Most TEAEs were Grade 1 to 2 in intensity and assessed as unrelated to study drug. The most common drug-related TEAE was diarrhoea, occurring in 11.4% (4/35) and 5.9% (1/17) of patients in the odevixibat and placebo </w:t>
      </w:r>
      <w:r w:rsidR="00757E71" w:rsidRPr="00385A6B">
        <w:rPr>
          <w:rFonts w:cstheme="minorHAnsi"/>
          <w:color w:val="000000" w:themeColor="text1"/>
        </w:rPr>
        <w:t>arm,</w:t>
      </w:r>
      <w:r w:rsidRPr="00385A6B">
        <w:rPr>
          <w:rFonts w:cstheme="minorHAnsi"/>
          <w:color w:val="000000" w:themeColor="text1"/>
        </w:rPr>
        <w:t xml:space="preserve"> respectively</w:t>
      </w:r>
      <w:r w:rsidR="0017035D" w:rsidRPr="00385A6B">
        <w:rPr>
          <w:rFonts w:cstheme="minorHAnsi"/>
          <w:color w:val="000000" w:themeColor="text1"/>
        </w:rPr>
        <w:t xml:space="preserve">. All reports of diarrhoea were </w:t>
      </w:r>
      <w:r w:rsidR="0017035D" w:rsidRPr="00385A6B">
        <w:rPr>
          <w:rFonts w:cstheme="minorHAnsi"/>
          <w:color w:val="000000" w:themeColor="text1"/>
        </w:rPr>
        <w:lastRenderedPageBreak/>
        <w:t>Grade 1 or 2 in intensity and non-serious.</w:t>
      </w:r>
      <w:r w:rsidR="00CF7F56" w:rsidRPr="00385A6B">
        <w:rPr>
          <w:rFonts w:cstheme="minorHAnsi"/>
          <w:color w:val="000000" w:themeColor="text1"/>
        </w:rPr>
        <w:t xml:space="preserve"> Grade 3 abdominal pain, constipation and haematemesis was reported in one patient (2.9%) each.</w:t>
      </w:r>
    </w:p>
    <w:p w14:paraId="55ABF914" w14:textId="7A70D623" w:rsidR="00F84975" w:rsidRPr="00385A6B" w:rsidRDefault="0017035D" w:rsidP="008B6633">
      <w:pPr>
        <w:pStyle w:val="3-BodyText"/>
        <w:spacing w:before="160" w:after="160"/>
        <w:rPr>
          <w:rFonts w:cstheme="minorHAnsi"/>
          <w:color w:val="000000" w:themeColor="text1"/>
        </w:rPr>
      </w:pPr>
      <w:r w:rsidRPr="00385A6B">
        <w:rPr>
          <w:rFonts w:cstheme="minorHAnsi"/>
        </w:rPr>
        <w:t xml:space="preserve">In ASSERT, the incidence of </w:t>
      </w:r>
      <w:r w:rsidR="00756724" w:rsidRPr="00385A6B">
        <w:rPr>
          <w:rFonts w:cstheme="minorHAnsi"/>
        </w:rPr>
        <w:t xml:space="preserve">serious TEAEs </w:t>
      </w:r>
      <w:r w:rsidRPr="00385A6B">
        <w:rPr>
          <w:rFonts w:cstheme="minorHAnsi"/>
        </w:rPr>
        <w:t xml:space="preserve">was similar in the odevixibat (14%, 5/35) and placebo (12%, 2/17) groups. One patient had </w:t>
      </w:r>
      <w:r w:rsidR="00756724" w:rsidRPr="00385A6B">
        <w:rPr>
          <w:rFonts w:cstheme="minorHAnsi"/>
        </w:rPr>
        <w:t xml:space="preserve">serious TEAEs </w:t>
      </w:r>
      <w:r w:rsidRPr="00385A6B">
        <w:rPr>
          <w:rFonts w:cstheme="minorHAnsi"/>
        </w:rPr>
        <w:t>considered by the investigator to be study drug-related during treatment with odevixibat in ASSERT. The patient experienced haematemesis and increased international normalised ratio (INR) requiring hospitalisation.</w:t>
      </w:r>
      <w:r w:rsidR="00756724" w:rsidRPr="00385A6B">
        <w:rPr>
          <w:rFonts w:cstheme="minorHAnsi"/>
        </w:rPr>
        <w:t xml:space="preserve"> </w:t>
      </w:r>
    </w:p>
    <w:p w14:paraId="5D1ACD6D" w14:textId="47D06691" w:rsidR="0017035D" w:rsidRPr="00385A6B" w:rsidRDefault="00756724" w:rsidP="008B6633">
      <w:pPr>
        <w:pStyle w:val="3-BodyText"/>
        <w:spacing w:before="160" w:after="160"/>
        <w:rPr>
          <w:rFonts w:cstheme="minorHAnsi"/>
          <w:color w:val="000000" w:themeColor="text1"/>
        </w:rPr>
      </w:pPr>
      <w:r w:rsidRPr="00385A6B">
        <w:rPr>
          <w:rFonts w:cstheme="minorHAnsi"/>
          <w:color w:val="000000" w:themeColor="text1"/>
        </w:rPr>
        <w:t xml:space="preserve">The most commonly reported types of serious TEAEs </w:t>
      </w:r>
      <w:r w:rsidR="005474F6" w:rsidRPr="00385A6B">
        <w:rPr>
          <w:rFonts w:cstheme="minorHAnsi"/>
          <w:color w:val="000000" w:themeColor="text1"/>
        </w:rPr>
        <w:t xml:space="preserve">in ASSERT-EXT </w:t>
      </w:r>
      <w:r w:rsidRPr="00385A6B">
        <w:rPr>
          <w:rFonts w:cstheme="minorHAnsi"/>
          <w:color w:val="000000" w:themeColor="text1"/>
        </w:rPr>
        <w:t xml:space="preserve">were infections, reported in four (8.0%) of the 50 patients, including one report each of enterovirus infection, gastroenteritis, rotavirus </w:t>
      </w:r>
      <w:r w:rsidR="00B83A28" w:rsidRPr="00385A6B">
        <w:rPr>
          <w:rFonts w:cstheme="minorHAnsi"/>
          <w:color w:val="000000" w:themeColor="text1"/>
        </w:rPr>
        <w:t>gastroenteritis,</w:t>
      </w:r>
      <w:r w:rsidRPr="00385A6B">
        <w:rPr>
          <w:rFonts w:cstheme="minorHAnsi"/>
          <w:color w:val="000000" w:themeColor="text1"/>
        </w:rPr>
        <w:t xml:space="preserve"> and chronic otitis media. In most patients, treatment with odevixibat was continued unchanged; none of the serious TEAEs led to treatment discontinuation. One patient had treatment interrupted for rotavirus gastroenteritis.</w:t>
      </w:r>
    </w:p>
    <w:p w14:paraId="7B35B6C6" w14:textId="7BDB5379" w:rsidR="001E0634" w:rsidRPr="00385A6B" w:rsidRDefault="00245F01" w:rsidP="008B6633">
      <w:pPr>
        <w:pStyle w:val="3-BodyText"/>
        <w:spacing w:before="160" w:after="160"/>
        <w:rPr>
          <w:rFonts w:cstheme="minorHAnsi"/>
          <w:color w:val="000000" w:themeColor="text1"/>
        </w:rPr>
      </w:pPr>
      <w:r w:rsidRPr="00385A6B">
        <w:rPr>
          <w:rFonts w:cstheme="minorHAnsi"/>
          <w:color w:val="000000" w:themeColor="text1"/>
        </w:rPr>
        <w:t xml:space="preserve">There were 11 (21%) of 52 patients in the pooled patient group </w:t>
      </w:r>
      <w:r w:rsidR="000A0B8C" w:rsidRPr="00385A6B">
        <w:rPr>
          <w:rFonts w:cstheme="minorHAnsi"/>
          <w:color w:val="000000" w:themeColor="text1"/>
        </w:rPr>
        <w:t xml:space="preserve">(i.e. over the ASSERT and ASSERT-EXT study period) </w:t>
      </w:r>
      <w:r w:rsidRPr="00385A6B">
        <w:rPr>
          <w:rFonts w:cstheme="minorHAnsi"/>
          <w:color w:val="000000" w:themeColor="text1"/>
        </w:rPr>
        <w:t>that experienced liver-related TEAEs. The most common TEAEs were INR increased (</w:t>
      </w:r>
      <w:r w:rsidR="00EC69AC" w:rsidRPr="00385A6B">
        <w:rPr>
          <w:rFonts w:cstheme="minorHAnsi"/>
          <w:color w:val="000000" w:themeColor="text1"/>
        </w:rPr>
        <w:t>four</w:t>
      </w:r>
      <w:r w:rsidRPr="00385A6B">
        <w:rPr>
          <w:rFonts w:cstheme="minorHAnsi"/>
          <w:color w:val="000000" w:themeColor="text1"/>
        </w:rPr>
        <w:t xml:space="preserve"> patients, 8%), alanine transaminase (ALT) increased (</w:t>
      </w:r>
      <w:r w:rsidR="00EC69AC" w:rsidRPr="00385A6B">
        <w:rPr>
          <w:rFonts w:cstheme="minorHAnsi"/>
          <w:color w:val="000000" w:themeColor="text1"/>
        </w:rPr>
        <w:t>three</w:t>
      </w:r>
      <w:r w:rsidRPr="00385A6B">
        <w:rPr>
          <w:rFonts w:cstheme="minorHAnsi"/>
          <w:color w:val="000000" w:themeColor="text1"/>
        </w:rPr>
        <w:t xml:space="preserve"> patients, 6%), and aspartate aminotransferase (AST) increased, blood bilirubin increased, gamma-glutamyl transferase (GGT) increased, and hepatomegaly (</w:t>
      </w:r>
      <w:r w:rsidR="00EC69AC" w:rsidRPr="00385A6B">
        <w:rPr>
          <w:rFonts w:cstheme="minorHAnsi"/>
          <w:color w:val="000000" w:themeColor="text1"/>
        </w:rPr>
        <w:t>two</w:t>
      </w:r>
      <w:r w:rsidRPr="00385A6B">
        <w:rPr>
          <w:rFonts w:cstheme="minorHAnsi"/>
          <w:color w:val="000000" w:themeColor="text1"/>
        </w:rPr>
        <w:t xml:space="preserve"> patients each, 4%). Most liver-related events were Grade 1 or 2 in severity and non-serious.</w:t>
      </w:r>
      <w:r w:rsidRPr="00385A6B">
        <w:rPr>
          <w:rFonts w:cstheme="minorHAnsi"/>
        </w:rPr>
        <w:t xml:space="preserve"> </w:t>
      </w:r>
      <w:r w:rsidRPr="00385A6B">
        <w:rPr>
          <w:rFonts w:cstheme="minorHAnsi"/>
          <w:color w:val="000000" w:themeColor="text1"/>
        </w:rPr>
        <w:t>No liver decompensation events were reported during the studies, nor did any patient report new or worsening portal hypertension, hepatic cirrhosis, hepatic encephalopathy, or variceal haemorrhage. The EMA assessment report</w:t>
      </w:r>
      <w:r w:rsidR="008561B5" w:rsidRPr="00385A6B">
        <w:rPr>
          <w:rStyle w:val="FootnoteReference"/>
          <w:rFonts w:cstheme="minorHAnsi"/>
          <w:color w:val="000000" w:themeColor="text1"/>
        </w:rPr>
        <w:footnoteReference w:id="10"/>
      </w:r>
      <w:r w:rsidRPr="00385A6B">
        <w:rPr>
          <w:rFonts w:cstheme="minorHAnsi"/>
          <w:color w:val="000000" w:themeColor="text1"/>
        </w:rPr>
        <w:t xml:space="preserve"> stated that overall, it was considered that increases in blood bilirubin, ALT, </w:t>
      </w:r>
      <w:r w:rsidR="00B83A28" w:rsidRPr="00385A6B">
        <w:rPr>
          <w:rFonts w:cstheme="minorHAnsi"/>
          <w:color w:val="000000" w:themeColor="text1"/>
        </w:rPr>
        <w:t>AST,</w:t>
      </w:r>
      <w:r w:rsidRPr="00385A6B">
        <w:rPr>
          <w:rFonts w:cstheme="minorHAnsi"/>
          <w:color w:val="000000" w:themeColor="text1"/>
        </w:rPr>
        <w:t xml:space="preserve"> and CGT with odevixibat treatment were mostly mild in severity and non-serious, and that increases were not indicative of drug-induced liver injuries.</w:t>
      </w:r>
    </w:p>
    <w:p w14:paraId="1F0E0841" w14:textId="2CEE91C6" w:rsidR="001E0634" w:rsidRPr="00385A6B" w:rsidRDefault="001E0634" w:rsidP="008B6633">
      <w:pPr>
        <w:pStyle w:val="3-BodyText"/>
        <w:spacing w:before="160" w:after="160"/>
        <w:rPr>
          <w:rFonts w:cstheme="minorHAnsi"/>
          <w:color w:val="000000" w:themeColor="text1"/>
        </w:rPr>
      </w:pPr>
      <w:r w:rsidRPr="00385A6B">
        <w:rPr>
          <w:rFonts w:cstheme="minorHAnsi"/>
          <w:color w:val="000000" w:themeColor="text1"/>
        </w:rPr>
        <w:t xml:space="preserve">In ASSERT-EXT, one patient (aged 14 years and nine months), who received placebo in ASSERT, discontinued odevixibat after 3.5 months in ASSERT-EXT and underwent LT five days after the last dose. The case report form documented advanced disease at ASSERT baseline, including cholelithiasis and splenomegaly, oesophageal varices, vitamin A </w:t>
      </w:r>
      <w:r w:rsidR="00D03F8A" w:rsidRPr="00385A6B">
        <w:rPr>
          <w:rFonts w:cstheme="minorHAnsi"/>
          <w:color w:val="000000" w:themeColor="text1"/>
        </w:rPr>
        <w:t>deficiency,</w:t>
      </w:r>
      <w:r w:rsidRPr="00385A6B">
        <w:rPr>
          <w:rFonts w:cstheme="minorHAnsi"/>
          <w:color w:val="000000" w:themeColor="text1"/>
        </w:rPr>
        <w:t xml:space="preserve"> and portal hypertensive gastropathy. Both the investigator and the Sponsor assessed the LT as unrelated to odevixibat.</w:t>
      </w:r>
    </w:p>
    <w:p w14:paraId="341F6F93" w14:textId="7CE7B6FB" w:rsidR="0024281C" w:rsidRPr="00385A6B" w:rsidRDefault="007C5160" w:rsidP="008B6633">
      <w:pPr>
        <w:pStyle w:val="3-BodyText"/>
        <w:spacing w:before="160" w:after="160"/>
        <w:rPr>
          <w:rFonts w:cstheme="minorHAnsi"/>
          <w:color w:val="000000" w:themeColor="text1"/>
        </w:rPr>
      </w:pPr>
      <w:r w:rsidRPr="00385A6B">
        <w:rPr>
          <w:rFonts w:cstheme="minorHAnsi"/>
          <w:color w:val="000000" w:themeColor="text1"/>
        </w:rPr>
        <w:t>A</w:t>
      </w:r>
      <w:r w:rsidR="0024281C" w:rsidRPr="00385A6B">
        <w:rPr>
          <w:rFonts w:cstheme="minorHAnsi"/>
          <w:color w:val="000000" w:themeColor="text1"/>
        </w:rPr>
        <w:t xml:space="preserve">dverse events of special interest </w:t>
      </w:r>
      <w:r w:rsidRPr="00385A6B">
        <w:rPr>
          <w:rFonts w:cstheme="minorHAnsi"/>
          <w:color w:val="000000" w:themeColor="text1"/>
        </w:rPr>
        <w:t xml:space="preserve">reported in ASSERT </w:t>
      </w:r>
      <w:r w:rsidR="0024281C" w:rsidRPr="00385A6B">
        <w:rPr>
          <w:rFonts w:cstheme="minorHAnsi"/>
          <w:color w:val="000000" w:themeColor="text1"/>
        </w:rPr>
        <w:t xml:space="preserve">are summarised in </w:t>
      </w:r>
      <w:r w:rsidRPr="00385A6B">
        <w:rPr>
          <w:rFonts w:cstheme="minorHAnsi"/>
          <w:color w:val="000000" w:themeColor="text1"/>
        </w:rPr>
        <w:fldChar w:fldCharType="begin"/>
      </w:r>
      <w:r w:rsidRPr="00385A6B">
        <w:rPr>
          <w:rFonts w:cstheme="minorHAnsi"/>
          <w:color w:val="000000" w:themeColor="text1"/>
        </w:rPr>
        <w:instrText xml:space="preserve"> REF _Ref218704740 \h </w:instrText>
      </w:r>
      <w:r w:rsidR="00AB6139" w:rsidRPr="00385A6B">
        <w:rPr>
          <w:rFonts w:cstheme="minorHAnsi"/>
          <w:color w:val="000000" w:themeColor="text1"/>
        </w:rPr>
        <w:instrText xml:space="preserve"> \* MERGEFORMAT </w:instrText>
      </w:r>
      <w:r w:rsidRPr="00385A6B">
        <w:rPr>
          <w:rFonts w:cstheme="minorHAnsi"/>
          <w:color w:val="000000" w:themeColor="text1"/>
        </w:rPr>
      </w:r>
      <w:r w:rsidRPr="00385A6B">
        <w:rPr>
          <w:rFonts w:cstheme="minorHAnsi"/>
          <w:color w:val="000000" w:themeColor="text1"/>
        </w:rPr>
        <w:fldChar w:fldCharType="separate"/>
      </w:r>
      <w:r w:rsidR="0060088A" w:rsidRPr="0060088A">
        <w:rPr>
          <w:rFonts w:cstheme="minorHAnsi"/>
        </w:rPr>
        <w:t>Table 11</w:t>
      </w:r>
      <w:r w:rsidRPr="00385A6B">
        <w:rPr>
          <w:rFonts w:cstheme="minorHAnsi"/>
          <w:color w:val="000000" w:themeColor="text1"/>
        </w:rPr>
        <w:fldChar w:fldCharType="end"/>
      </w:r>
      <w:r w:rsidRPr="00385A6B">
        <w:rPr>
          <w:rFonts w:cstheme="minorHAnsi"/>
          <w:color w:val="000000" w:themeColor="text1"/>
        </w:rPr>
        <w:t>.</w:t>
      </w:r>
    </w:p>
    <w:p w14:paraId="3CC160BD" w14:textId="25580A12" w:rsidR="0024281C" w:rsidRPr="00275521" w:rsidRDefault="0024281C" w:rsidP="008B6633">
      <w:pPr>
        <w:pStyle w:val="Caption"/>
      </w:pPr>
      <w:bookmarkStart w:id="46" w:name="_Ref218704740"/>
      <w:r w:rsidRPr="00275521">
        <w:lastRenderedPageBreak/>
        <w:t xml:space="preserve">Table </w:t>
      </w:r>
      <w:fldSimple w:instr=" SEQ Table \* ARABIC ">
        <w:r w:rsidR="0060088A">
          <w:rPr>
            <w:noProof/>
          </w:rPr>
          <w:t>11</w:t>
        </w:r>
      </w:fldSimple>
      <w:bookmarkEnd w:id="46"/>
      <w:r w:rsidRPr="00275521">
        <w:t xml:space="preserve">: </w:t>
      </w:r>
      <w:r w:rsidR="007C5160" w:rsidRPr="00275521">
        <w:t>Patients with adverse events of special interest – ASSERT (Safety Analysis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Patients with adverse events of special interest – ASSERT (Safety Analysis Set)"/>
      </w:tblPr>
      <w:tblGrid>
        <w:gridCol w:w="3887"/>
        <w:gridCol w:w="2445"/>
        <w:gridCol w:w="2685"/>
      </w:tblGrid>
      <w:tr w:rsidR="00325B30" w:rsidRPr="00275521" w14:paraId="12CEAEBB" w14:textId="77777777" w:rsidTr="007C5160">
        <w:tc>
          <w:tcPr>
            <w:tcW w:w="3887" w:type="dxa"/>
            <w:vAlign w:val="center"/>
            <w:hideMark/>
          </w:tcPr>
          <w:p w14:paraId="75E0FF68" w14:textId="77777777" w:rsidR="007C5160" w:rsidRPr="00275521" w:rsidRDefault="007C5160" w:rsidP="008B6633">
            <w:pPr>
              <w:pStyle w:val="TableText0"/>
              <w:rPr>
                <w:b/>
                <w:bCs w:val="0"/>
              </w:rPr>
            </w:pPr>
            <w:r w:rsidRPr="00275521">
              <w:rPr>
                <w:b/>
                <w:bCs w:val="0"/>
              </w:rPr>
              <w:t>Patients with:</w:t>
            </w:r>
          </w:p>
        </w:tc>
        <w:tc>
          <w:tcPr>
            <w:tcW w:w="2445" w:type="dxa"/>
            <w:vAlign w:val="bottom"/>
            <w:hideMark/>
          </w:tcPr>
          <w:p w14:paraId="53B31CBC" w14:textId="7F08E462" w:rsidR="007C5160" w:rsidRPr="00275521" w:rsidRDefault="007C5160" w:rsidP="008B6633">
            <w:pPr>
              <w:pStyle w:val="TableText0"/>
              <w:jc w:val="center"/>
              <w:rPr>
                <w:b/>
                <w:bCs w:val="0"/>
              </w:rPr>
            </w:pPr>
            <w:r w:rsidRPr="00275521">
              <w:rPr>
                <w:b/>
                <w:bCs w:val="0"/>
              </w:rPr>
              <w:t xml:space="preserve">Placebo </w:t>
            </w:r>
            <w:r w:rsidR="003C48C0" w:rsidRPr="00275521">
              <w:rPr>
                <w:b/>
                <w:bCs w:val="0"/>
              </w:rPr>
              <w:t>(</w:t>
            </w:r>
            <w:r w:rsidRPr="00275521">
              <w:rPr>
                <w:b/>
                <w:bCs w:val="0"/>
              </w:rPr>
              <w:t>N=17</w:t>
            </w:r>
            <w:r w:rsidR="003C48C0" w:rsidRPr="00275521">
              <w:rPr>
                <w:b/>
                <w:bCs w:val="0"/>
              </w:rPr>
              <w:t>)</w:t>
            </w:r>
          </w:p>
          <w:p w14:paraId="19623E21" w14:textId="77777777" w:rsidR="007C5160" w:rsidRPr="00275521" w:rsidRDefault="007C5160" w:rsidP="008B6633">
            <w:pPr>
              <w:pStyle w:val="TableText0"/>
              <w:jc w:val="center"/>
              <w:rPr>
                <w:b/>
                <w:bCs w:val="0"/>
              </w:rPr>
            </w:pPr>
            <w:r w:rsidRPr="00275521">
              <w:rPr>
                <w:b/>
                <w:bCs w:val="0"/>
              </w:rPr>
              <w:t>n (%) / E</w:t>
            </w:r>
          </w:p>
        </w:tc>
        <w:tc>
          <w:tcPr>
            <w:tcW w:w="2685" w:type="dxa"/>
            <w:vAlign w:val="bottom"/>
            <w:hideMark/>
          </w:tcPr>
          <w:p w14:paraId="68F625B1" w14:textId="132E87C7" w:rsidR="007C5160" w:rsidRPr="00275521" w:rsidRDefault="007C5160" w:rsidP="008B6633">
            <w:pPr>
              <w:pStyle w:val="TableText0"/>
              <w:jc w:val="center"/>
              <w:rPr>
                <w:b/>
                <w:bCs w:val="0"/>
              </w:rPr>
            </w:pPr>
            <w:r w:rsidRPr="00275521">
              <w:rPr>
                <w:b/>
                <w:bCs w:val="0"/>
              </w:rPr>
              <w:t xml:space="preserve">Odevixibat </w:t>
            </w:r>
            <w:r w:rsidR="003C48C0" w:rsidRPr="00275521">
              <w:rPr>
                <w:b/>
                <w:bCs w:val="0"/>
              </w:rPr>
              <w:t>(</w:t>
            </w:r>
            <w:r w:rsidRPr="00275521">
              <w:rPr>
                <w:b/>
                <w:bCs w:val="0"/>
              </w:rPr>
              <w:t>N=35</w:t>
            </w:r>
            <w:r w:rsidR="003C48C0" w:rsidRPr="00275521">
              <w:rPr>
                <w:b/>
                <w:bCs w:val="0"/>
              </w:rPr>
              <w:t>)</w:t>
            </w:r>
          </w:p>
          <w:p w14:paraId="4610EFDC" w14:textId="77777777" w:rsidR="007C5160" w:rsidRPr="00275521" w:rsidRDefault="007C5160" w:rsidP="008B6633">
            <w:pPr>
              <w:pStyle w:val="TableText0"/>
              <w:jc w:val="center"/>
              <w:rPr>
                <w:b/>
                <w:bCs w:val="0"/>
              </w:rPr>
            </w:pPr>
            <w:r w:rsidRPr="00275521">
              <w:rPr>
                <w:b/>
                <w:bCs w:val="0"/>
              </w:rPr>
              <w:t>n (%) / E</w:t>
            </w:r>
          </w:p>
        </w:tc>
      </w:tr>
      <w:tr w:rsidR="00325B30" w:rsidRPr="00275521" w14:paraId="52C32AF9" w14:textId="77777777" w:rsidTr="007C5160">
        <w:tc>
          <w:tcPr>
            <w:tcW w:w="3887" w:type="dxa"/>
            <w:vAlign w:val="center"/>
            <w:hideMark/>
          </w:tcPr>
          <w:p w14:paraId="1E11ED50" w14:textId="77777777" w:rsidR="007C5160" w:rsidRPr="00275521" w:rsidRDefault="007C5160" w:rsidP="008B6633">
            <w:pPr>
              <w:pStyle w:val="TableText0"/>
            </w:pPr>
            <w:r w:rsidRPr="00275521">
              <w:t xml:space="preserve">Any clinically significant diarrhoea </w:t>
            </w:r>
          </w:p>
        </w:tc>
        <w:tc>
          <w:tcPr>
            <w:tcW w:w="2445" w:type="dxa"/>
            <w:vAlign w:val="center"/>
            <w:hideMark/>
          </w:tcPr>
          <w:p w14:paraId="30C9E470" w14:textId="77777777" w:rsidR="007C5160" w:rsidRPr="00275521" w:rsidRDefault="007C5160" w:rsidP="008B6633">
            <w:pPr>
              <w:pStyle w:val="TableText0"/>
              <w:jc w:val="center"/>
            </w:pPr>
            <w:r w:rsidRPr="00275521">
              <w:t>1 (5.9) / 1</w:t>
            </w:r>
          </w:p>
        </w:tc>
        <w:tc>
          <w:tcPr>
            <w:tcW w:w="2685" w:type="dxa"/>
            <w:vAlign w:val="center"/>
            <w:hideMark/>
          </w:tcPr>
          <w:p w14:paraId="4C4D7660" w14:textId="77777777" w:rsidR="007C5160" w:rsidRPr="00275521" w:rsidRDefault="007C5160" w:rsidP="008B6633">
            <w:pPr>
              <w:pStyle w:val="TableText0"/>
              <w:jc w:val="center"/>
            </w:pPr>
            <w:r w:rsidRPr="00275521">
              <w:t>6 (17.1) / 6</w:t>
            </w:r>
          </w:p>
        </w:tc>
      </w:tr>
      <w:tr w:rsidR="00325B30" w:rsidRPr="00275521" w14:paraId="2A134E2D" w14:textId="77777777" w:rsidTr="007C5160">
        <w:tc>
          <w:tcPr>
            <w:tcW w:w="3887" w:type="dxa"/>
            <w:vAlign w:val="center"/>
            <w:hideMark/>
          </w:tcPr>
          <w:p w14:paraId="24547417" w14:textId="77777777" w:rsidR="007C5160" w:rsidRPr="00275521" w:rsidRDefault="007C5160" w:rsidP="008B6633">
            <w:pPr>
              <w:pStyle w:val="TableText0"/>
            </w:pPr>
            <w:r w:rsidRPr="00275521">
              <w:t xml:space="preserve">Any FSV deficiency refractory to clinically recommended vitamin supplementation </w:t>
            </w:r>
          </w:p>
        </w:tc>
        <w:tc>
          <w:tcPr>
            <w:tcW w:w="2445" w:type="dxa"/>
            <w:vAlign w:val="center"/>
            <w:hideMark/>
          </w:tcPr>
          <w:p w14:paraId="56F663D5" w14:textId="77777777" w:rsidR="007C5160" w:rsidRPr="00275521" w:rsidRDefault="007C5160" w:rsidP="008B6633">
            <w:pPr>
              <w:pStyle w:val="TableText0"/>
              <w:jc w:val="center"/>
            </w:pPr>
            <w:r w:rsidRPr="00275521">
              <w:t>1 (5.9) / 1</w:t>
            </w:r>
          </w:p>
        </w:tc>
        <w:tc>
          <w:tcPr>
            <w:tcW w:w="2685" w:type="dxa"/>
            <w:vAlign w:val="center"/>
            <w:hideMark/>
          </w:tcPr>
          <w:p w14:paraId="4560B52D" w14:textId="77777777" w:rsidR="007C5160" w:rsidRPr="00275521" w:rsidRDefault="007C5160" w:rsidP="008B6633">
            <w:pPr>
              <w:pStyle w:val="TableText0"/>
              <w:jc w:val="center"/>
            </w:pPr>
            <w:r w:rsidRPr="00275521">
              <w:t>1 (2.9) / 1</w:t>
            </w:r>
          </w:p>
        </w:tc>
      </w:tr>
      <w:tr w:rsidR="00325B30" w:rsidRPr="00275521" w14:paraId="32A6C3A5" w14:textId="77777777" w:rsidTr="007C5160">
        <w:tc>
          <w:tcPr>
            <w:tcW w:w="3887" w:type="dxa"/>
            <w:vAlign w:val="center"/>
            <w:hideMark/>
          </w:tcPr>
          <w:p w14:paraId="41AACB1F" w14:textId="77777777" w:rsidR="007C5160" w:rsidRPr="00275521" w:rsidRDefault="007C5160" w:rsidP="008B6633">
            <w:pPr>
              <w:pStyle w:val="TableText0"/>
            </w:pPr>
            <w:r w:rsidRPr="00275521">
              <w:t xml:space="preserve">Any possible sequelae of FSV deficiency </w:t>
            </w:r>
          </w:p>
        </w:tc>
        <w:tc>
          <w:tcPr>
            <w:tcW w:w="2445" w:type="dxa"/>
            <w:vAlign w:val="center"/>
            <w:hideMark/>
          </w:tcPr>
          <w:p w14:paraId="503F35A2" w14:textId="77777777" w:rsidR="007C5160" w:rsidRPr="00275521" w:rsidRDefault="007C5160" w:rsidP="008B6633">
            <w:pPr>
              <w:pStyle w:val="TableText0"/>
              <w:jc w:val="center"/>
            </w:pPr>
            <w:r w:rsidRPr="00275521">
              <w:t>3 (17.6) / 4</w:t>
            </w:r>
          </w:p>
        </w:tc>
        <w:tc>
          <w:tcPr>
            <w:tcW w:w="2685" w:type="dxa"/>
            <w:vAlign w:val="center"/>
            <w:hideMark/>
          </w:tcPr>
          <w:p w14:paraId="23F96BBC" w14:textId="77777777" w:rsidR="007C5160" w:rsidRPr="00275521" w:rsidRDefault="007C5160" w:rsidP="008B6633">
            <w:pPr>
              <w:pStyle w:val="TableText0"/>
              <w:jc w:val="center"/>
            </w:pPr>
            <w:r w:rsidRPr="00275521">
              <w:t>5 (14.3) / 7</w:t>
            </w:r>
          </w:p>
        </w:tc>
      </w:tr>
      <w:tr w:rsidR="00325B30" w:rsidRPr="00275521" w14:paraId="0BCE6756" w14:textId="77777777" w:rsidTr="007C5160">
        <w:tc>
          <w:tcPr>
            <w:tcW w:w="3887" w:type="dxa"/>
            <w:vAlign w:val="center"/>
            <w:hideMark/>
          </w:tcPr>
          <w:p w14:paraId="42AC5B32" w14:textId="77777777" w:rsidR="007C5160" w:rsidRPr="00275521" w:rsidRDefault="007C5160" w:rsidP="008B6633">
            <w:pPr>
              <w:pStyle w:val="TableText0"/>
            </w:pPr>
            <w:r w:rsidRPr="00275521">
              <w:t>Any liver-related TEAEs</w:t>
            </w:r>
          </w:p>
        </w:tc>
        <w:tc>
          <w:tcPr>
            <w:tcW w:w="2445" w:type="dxa"/>
            <w:vAlign w:val="center"/>
            <w:hideMark/>
          </w:tcPr>
          <w:p w14:paraId="6933673A" w14:textId="77777777" w:rsidR="007C5160" w:rsidRPr="00275521" w:rsidRDefault="007C5160" w:rsidP="008B6633">
            <w:pPr>
              <w:pStyle w:val="TableText0"/>
              <w:jc w:val="center"/>
            </w:pPr>
            <w:r w:rsidRPr="00275521">
              <w:t>2 (11.8) / 3</w:t>
            </w:r>
          </w:p>
        </w:tc>
        <w:tc>
          <w:tcPr>
            <w:tcW w:w="2685" w:type="dxa"/>
            <w:vAlign w:val="center"/>
            <w:hideMark/>
          </w:tcPr>
          <w:p w14:paraId="740C02A5" w14:textId="77777777" w:rsidR="007C5160" w:rsidRPr="00275521" w:rsidRDefault="007C5160" w:rsidP="008B6633">
            <w:pPr>
              <w:pStyle w:val="TableText0"/>
              <w:jc w:val="center"/>
            </w:pPr>
            <w:r w:rsidRPr="00275521">
              <w:t>4 (11.4) / 5</w:t>
            </w:r>
          </w:p>
        </w:tc>
      </w:tr>
      <w:tr w:rsidR="00325B30" w:rsidRPr="00275521" w14:paraId="764C27CE" w14:textId="77777777" w:rsidTr="007C5160">
        <w:tc>
          <w:tcPr>
            <w:tcW w:w="3887" w:type="dxa"/>
            <w:vAlign w:val="center"/>
          </w:tcPr>
          <w:p w14:paraId="085EF73B" w14:textId="77777777" w:rsidR="007C5160" w:rsidRPr="005F7DAE" w:rsidRDefault="007C5160" w:rsidP="008B6633">
            <w:pPr>
              <w:pStyle w:val="TableText0"/>
            </w:pPr>
            <w:r w:rsidRPr="005F7DAE">
              <w:t>Hepatobiliary disorders</w:t>
            </w:r>
          </w:p>
        </w:tc>
        <w:tc>
          <w:tcPr>
            <w:tcW w:w="2445" w:type="dxa"/>
            <w:vAlign w:val="center"/>
          </w:tcPr>
          <w:p w14:paraId="3E3F539F" w14:textId="77777777" w:rsidR="007C5160" w:rsidRPr="005F7DAE" w:rsidRDefault="007C5160" w:rsidP="008B6633">
            <w:pPr>
              <w:pStyle w:val="TableText0"/>
              <w:jc w:val="center"/>
            </w:pPr>
            <w:r w:rsidRPr="005F7DAE">
              <w:t>0</w:t>
            </w:r>
          </w:p>
        </w:tc>
        <w:tc>
          <w:tcPr>
            <w:tcW w:w="2685" w:type="dxa"/>
            <w:vAlign w:val="center"/>
          </w:tcPr>
          <w:p w14:paraId="1E77D5A7" w14:textId="77777777" w:rsidR="007C5160" w:rsidRPr="005F7DAE" w:rsidRDefault="007C5160" w:rsidP="008B6633">
            <w:pPr>
              <w:pStyle w:val="TableText0"/>
              <w:jc w:val="center"/>
            </w:pPr>
            <w:r w:rsidRPr="005F7DAE">
              <w:t>1 (2.9) / 1</w:t>
            </w:r>
          </w:p>
        </w:tc>
      </w:tr>
      <w:tr w:rsidR="00325B30" w:rsidRPr="00275521" w14:paraId="10F6F229" w14:textId="77777777" w:rsidTr="007C5160">
        <w:tc>
          <w:tcPr>
            <w:tcW w:w="3887" w:type="dxa"/>
            <w:vAlign w:val="center"/>
          </w:tcPr>
          <w:p w14:paraId="629FF641" w14:textId="77777777" w:rsidR="007C5160" w:rsidRPr="005F7DAE" w:rsidRDefault="007C5160" w:rsidP="008B6633">
            <w:pPr>
              <w:pStyle w:val="TableText0"/>
              <w:ind w:left="174"/>
            </w:pPr>
            <w:r w:rsidRPr="005F7DAE">
              <w:t>Jaundice</w:t>
            </w:r>
          </w:p>
        </w:tc>
        <w:tc>
          <w:tcPr>
            <w:tcW w:w="2445" w:type="dxa"/>
            <w:vAlign w:val="center"/>
          </w:tcPr>
          <w:p w14:paraId="2DB71586" w14:textId="77777777" w:rsidR="007C5160" w:rsidRPr="005F7DAE" w:rsidRDefault="007C5160" w:rsidP="008B6633">
            <w:pPr>
              <w:pStyle w:val="TableText0"/>
              <w:jc w:val="center"/>
            </w:pPr>
            <w:r w:rsidRPr="005F7DAE">
              <w:t>0</w:t>
            </w:r>
          </w:p>
        </w:tc>
        <w:tc>
          <w:tcPr>
            <w:tcW w:w="2685" w:type="dxa"/>
            <w:vAlign w:val="center"/>
          </w:tcPr>
          <w:p w14:paraId="63C17D76" w14:textId="77777777" w:rsidR="007C5160" w:rsidRPr="005F7DAE" w:rsidRDefault="007C5160" w:rsidP="008B6633">
            <w:pPr>
              <w:pStyle w:val="TableText0"/>
              <w:jc w:val="center"/>
            </w:pPr>
            <w:r w:rsidRPr="005F7DAE">
              <w:t>1 (2.9) / 1</w:t>
            </w:r>
          </w:p>
        </w:tc>
      </w:tr>
      <w:tr w:rsidR="00325B30" w:rsidRPr="00275521" w14:paraId="061762A1" w14:textId="77777777" w:rsidTr="007C5160">
        <w:tc>
          <w:tcPr>
            <w:tcW w:w="3887" w:type="dxa"/>
            <w:vAlign w:val="center"/>
          </w:tcPr>
          <w:p w14:paraId="6CB4BDA6" w14:textId="77777777" w:rsidR="007C5160" w:rsidRPr="005F7DAE" w:rsidRDefault="007C5160" w:rsidP="008B6633">
            <w:pPr>
              <w:pStyle w:val="TableText0"/>
            </w:pPr>
            <w:r w:rsidRPr="005F7DAE">
              <w:t>Investigations</w:t>
            </w:r>
          </w:p>
        </w:tc>
        <w:tc>
          <w:tcPr>
            <w:tcW w:w="2445" w:type="dxa"/>
            <w:vAlign w:val="center"/>
          </w:tcPr>
          <w:p w14:paraId="6CDC7054" w14:textId="77777777" w:rsidR="007C5160" w:rsidRPr="005F7DAE" w:rsidRDefault="007C5160" w:rsidP="008B6633">
            <w:pPr>
              <w:pStyle w:val="TableText0"/>
              <w:jc w:val="center"/>
            </w:pPr>
            <w:r w:rsidRPr="005F7DAE">
              <w:t>2 (11.8) / 3</w:t>
            </w:r>
          </w:p>
        </w:tc>
        <w:tc>
          <w:tcPr>
            <w:tcW w:w="2685" w:type="dxa"/>
            <w:vAlign w:val="center"/>
          </w:tcPr>
          <w:p w14:paraId="5FCE3D6D" w14:textId="77777777" w:rsidR="007C5160" w:rsidRPr="005F7DAE" w:rsidRDefault="007C5160" w:rsidP="008B6633">
            <w:pPr>
              <w:pStyle w:val="TableText0"/>
              <w:jc w:val="center"/>
            </w:pPr>
            <w:r w:rsidRPr="005F7DAE">
              <w:t>3 (8.6) / 4</w:t>
            </w:r>
          </w:p>
        </w:tc>
      </w:tr>
      <w:tr w:rsidR="00325B30" w:rsidRPr="00275521" w14:paraId="496AFC52" w14:textId="77777777" w:rsidTr="007C5160">
        <w:tc>
          <w:tcPr>
            <w:tcW w:w="3887" w:type="dxa"/>
            <w:vAlign w:val="center"/>
          </w:tcPr>
          <w:p w14:paraId="4A2F80C5" w14:textId="77777777" w:rsidR="007C5160" w:rsidRPr="005F7DAE" w:rsidRDefault="007C5160" w:rsidP="008B6633">
            <w:pPr>
              <w:pStyle w:val="TableText0"/>
              <w:ind w:left="174"/>
            </w:pPr>
            <w:r w:rsidRPr="005F7DAE">
              <w:t>Alanine aminotransferase increased</w:t>
            </w:r>
          </w:p>
        </w:tc>
        <w:tc>
          <w:tcPr>
            <w:tcW w:w="2445" w:type="dxa"/>
            <w:vAlign w:val="center"/>
          </w:tcPr>
          <w:p w14:paraId="1B6BEDF2" w14:textId="77777777" w:rsidR="007C5160" w:rsidRPr="005F7DAE" w:rsidRDefault="007C5160" w:rsidP="008B6633">
            <w:pPr>
              <w:pStyle w:val="TableText0"/>
              <w:jc w:val="center"/>
            </w:pPr>
            <w:r w:rsidRPr="005F7DAE">
              <w:t>0</w:t>
            </w:r>
          </w:p>
        </w:tc>
        <w:tc>
          <w:tcPr>
            <w:tcW w:w="2685" w:type="dxa"/>
            <w:vAlign w:val="center"/>
          </w:tcPr>
          <w:p w14:paraId="1694115E" w14:textId="77777777" w:rsidR="007C5160" w:rsidRPr="005F7DAE" w:rsidRDefault="007C5160" w:rsidP="008B6633">
            <w:pPr>
              <w:pStyle w:val="TableText0"/>
              <w:jc w:val="center"/>
            </w:pPr>
            <w:r w:rsidRPr="005F7DAE">
              <w:t>1 (2.9) / 1</w:t>
            </w:r>
          </w:p>
        </w:tc>
      </w:tr>
      <w:tr w:rsidR="00325B30" w:rsidRPr="00275521" w14:paraId="35A1F75E" w14:textId="77777777" w:rsidTr="007C5160">
        <w:tc>
          <w:tcPr>
            <w:tcW w:w="3887" w:type="dxa"/>
            <w:vAlign w:val="center"/>
          </w:tcPr>
          <w:p w14:paraId="285E9FF8" w14:textId="77777777" w:rsidR="007C5160" w:rsidRPr="005F7DAE" w:rsidRDefault="007C5160" w:rsidP="008B6633">
            <w:pPr>
              <w:pStyle w:val="TableText0"/>
              <w:ind w:left="174"/>
            </w:pPr>
            <w:r w:rsidRPr="005F7DAE">
              <w:t>Gamma-glutamyltransferase increased</w:t>
            </w:r>
          </w:p>
        </w:tc>
        <w:tc>
          <w:tcPr>
            <w:tcW w:w="2445" w:type="dxa"/>
            <w:vAlign w:val="center"/>
          </w:tcPr>
          <w:p w14:paraId="512BC030" w14:textId="77777777" w:rsidR="007C5160" w:rsidRPr="005F7DAE" w:rsidRDefault="007C5160" w:rsidP="008B6633">
            <w:pPr>
              <w:pStyle w:val="TableText0"/>
              <w:jc w:val="center"/>
            </w:pPr>
            <w:r w:rsidRPr="005F7DAE">
              <w:t>0</w:t>
            </w:r>
          </w:p>
        </w:tc>
        <w:tc>
          <w:tcPr>
            <w:tcW w:w="2685" w:type="dxa"/>
            <w:vAlign w:val="center"/>
          </w:tcPr>
          <w:p w14:paraId="1678DC23" w14:textId="77777777" w:rsidR="007C5160" w:rsidRPr="005F7DAE" w:rsidRDefault="007C5160" w:rsidP="008B6633">
            <w:pPr>
              <w:pStyle w:val="TableText0"/>
              <w:jc w:val="center"/>
            </w:pPr>
            <w:r w:rsidRPr="005F7DAE">
              <w:t>1 (2.9) / 1</w:t>
            </w:r>
          </w:p>
        </w:tc>
      </w:tr>
      <w:tr w:rsidR="00325B30" w:rsidRPr="00275521" w14:paraId="339B17AF" w14:textId="77777777" w:rsidTr="007C5160">
        <w:tc>
          <w:tcPr>
            <w:tcW w:w="3887" w:type="dxa"/>
            <w:vAlign w:val="center"/>
          </w:tcPr>
          <w:p w14:paraId="219BA405" w14:textId="77777777" w:rsidR="007C5160" w:rsidRPr="005F7DAE" w:rsidRDefault="007C5160" w:rsidP="008B6633">
            <w:pPr>
              <w:pStyle w:val="TableText0"/>
              <w:ind w:left="174"/>
            </w:pPr>
            <w:r w:rsidRPr="005F7DAE">
              <w:t>Hepatic enzyme increased</w:t>
            </w:r>
          </w:p>
        </w:tc>
        <w:tc>
          <w:tcPr>
            <w:tcW w:w="2445" w:type="dxa"/>
            <w:vAlign w:val="center"/>
          </w:tcPr>
          <w:p w14:paraId="6AF0299B" w14:textId="77777777" w:rsidR="007C5160" w:rsidRPr="005F7DAE" w:rsidRDefault="007C5160" w:rsidP="008B6633">
            <w:pPr>
              <w:pStyle w:val="TableText0"/>
              <w:jc w:val="center"/>
            </w:pPr>
            <w:r w:rsidRPr="005F7DAE">
              <w:t>1 (5.9) / 1</w:t>
            </w:r>
          </w:p>
        </w:tc>
        <w:tc>
          <w:tcPr>
            <w:tcW w:w="2685" w:type="dxa"/>
            <w:vAlign w:val="center"/>
          </w:tcPr>
          <w:p w14:paraId="1A791EB0" w14:textId="77777777" w:rsidR="007C5160" w:rsidRPr="005F7DAE" w:rsidRDefault="007C5160" w:rsidP="008B6633">
            <w:pPr>
              <w:pStyle w:val="TableText0"/>
              <w:jc w:val="center"/>
            </w:pPr>
            <w:r w:rsidRPr="005F7DAE">
              <w:t>1 (2.9) / 1</w:t>
            </w:r>
          </w:p>
        </w:tc>
      </w:tr>
      <w:tr w:rsidR="00325B30" w:rsidRPr="00275521" w14:paraId="6447754F" w14:textId="77777777" w:rsidTr="007C5160">
        <w:tc>
          <w:tcPr>
            <w:tcW w:w="3887" w:type="dxa"/>
            <w:vAlign w:val="center"/>
          </w:tcPr>
          <w:p w14:paraId="5FE874EE" w14:textId="77777777" w:rsidR="007C5160" w:rsidRPr="005F7DAE" w:rsidRDefault="007C5160" w:rsidP="008B6633">
            <w:pPr>
              <w:pStyle w:val="TableText0"/>
              <w:ind w:left="174"/>
            </w:pPr>
            <w:r w:rsidRPr="005F7DAE">
              <w:t>International normalised ratio increased</w:t>
            </w:r>
          </w:p>
        </w:tc>
        <w:tc>
          <w:tcPr>
            <w:tcW w:w="2445" w:type="dxa"/>
            <w:vAlign w:val="center"/>
          </w:tcPr>
          <w:p w14:paraId="73DABEED" w14:textId="77777777" w:rsidR="007C5160" w:rsidRPr="005F7DAE" w:rsidRDefault="007C5160" w:rsidP="008B6633">
            <w:pPr>
              <w:pStyle w:val="TableText0"/>
              <w:jc w:val="center"/>
            </w:pPr>
            <w:r w:rsidRPr="005F7DAE">
              <w:t>2 (11.8) / 2</w:t>
            </w:r>
          </w:p>
        </w:tc>
        <w:tc>
          <w:tcPr>
            <w:tcW w:w="2685" w:type="dxa"/>
            <w:vAlign w:val="center"/>
          </w:tcPr>
          <w:p w14:paraId="29DB7C97" w14:textId="77777777" w:rsidR="007C5160" w:rsidRPr="005F7DAE" w:rsidRDefault="007C5160" w:rsidP="008B6633">
            <w:pPr>
              <w:pStyle w:val="TableText0"/>
              <w:jc w:val="center"/>
            </w:pPr>
            <w:r w:rsidRPr="005F7DAE">
              <w:t>1 (2.9) / 1</w:t>
            </w:r>
          </w:p>
        </w:tc>
      </w:tr>
      <w:tr w:rsidR="00325B30" w:rsidRPr="00275521" w14:paraId="2367B66A" w14:textId="77777777" w:rsidTr="007C5160">
        <w:tc>
          <w:tcPr>
            <w:tcW w:w="3887" w:type="dxa"/>
            <w:vAlign w:val="center"/>
            <w:hideMark/>
          </w:tcPr>
          <w:p w14:paraId="246C4A57" w14:textId="77777777" w:rsidR="007C5160" w:rsidRPr="00275521" w:rsidRDefault="007C5160" w:rsidP="008B6633">
            <w:pPr>
              <w:pStyle w:val="TableText0"/>
            </w:pPr>
            <w:r w:rsidRPr="00275521">
              <w:t>Any liver decompensation</w:t>
            </w:r>
          </w:p>
        </w:tc>
        <w:tc>
          <w:tcPr>
            <w:tcW w:w="2445" w:type="dxa"/>
            <w:vAlign w:val="center"/>
            <w:hideMark/>
          </w:tcPr>
          <w:p w14:paraId="696CC1FF" w14:textId="77777777" w:rsidR="007C5160" w:rsidRPr="00275521" w:rsidRDefault="007C5160" w:rsidP="008B6633">
            <w:pPr>
              <w:pStyle w:val="TableText0"/>
              <w:jc w:val="center"/>
            </w:pPr>
            <w:r w:rsidRPr="00275521">
              <w:t>0</w:t>
            </w:r>
          </w:p>
        </w:tc>
        <w:tc>
          <w:tcPr>
            <w:tcW w:w="2685" w:type="dxa"/>
            <w:vAlign w:val="center"/>
            <w:hideMark/>
          </w:tcPr>
          <w:p w14:paraId="0C5B3E0A" w14:textId="77777777" w:rsidR="007C5160" w:rsidRPr="00275521" w:rsidRDefault="007C5160" w:rsidP="008B6633">
            <w:pPr>
              <w:pStyle w:val="TableText0"/>
              <w:jc w:val="center"/>
            </w:pPr>
            <w:r w:rsidRPr="00275521">
              <w:t>0</w:t>
            </w:r>
          </w:p>
        </w:tc>
      </w:tr>
    </w:tbl>
    <w:p w14:paraId="30699C80" w14:textId="77777777" w:rsidR="007C5160" w:rsidRPr="00275521" w:rsidRDefault="007C5160" w:rsidP="008B6633">
      <w:pPr>
        <w:pStyle w:val="TableFigureFooter"/>
        <w:widowControl/>
      </w:pPr>
      <w:r w:rsidRPr="00275521">
        <w:t>Source: Table 2-37, p87 of the submission, Table 14.3.1.18 ASSERT CSR.</w:t>
      </w:r>
    </w:p>
    <w:p w14:paraId="2D655F2B" w14:textId="30F4D1B5" w:rsidR="0024281C" w:rsidRPr="00275521" w:rsidRDefault="007C5160" w:rsidP="008B6633">
      <w:pPr>
        <w:pStyle w:val="TableFigureFooter"/>
        <w:widowControl/>
      </w:pPr>
      <w:r w:rsidRPr="00275521">
        <w:t xml:space="preserve">E = number of events; FSV = fat-soluble vitamin; </w:t>
      </w:r>
      <w:r w:rsidR="003C48C0" w:rsidRPr="00275521">
        <w:t xml:space="preserve">n </w:t>
      </w:r>
      <w:r w:rsidRPr="00275521">
        <w:t>= number of patients with events; N = total number of patients in group; TEAE = treatment-emergent adverse event</w:t>
      </w:r>
    </w:p>
    <w:p w14:paraId="743C4960" w14:textId="1DF80ED0" w:rsidR="0024281C" w:rsidRPr="00385A6B" w:rsidRDefault="001E0634" w:rsidP="008B6633">
      <w:pPr>
        <w:pStyle w:val="3-BodyText"/>
        <w:spacing w:before="160" w:after="160"/>
        <w:rPr>
          <w:color w:val="000000" w:themeColor="text1"/>
        </w:rPr>
      </w:pPr>
      <w:r w:rsidRPr="00385A6B">
        <w:rPr>
          <w:color w:val="000000" w:themeColor="text1"/>
        </w:rPr>
        <w:t>Overall</w:t>
      </w:r>
      <w:r w:rsidR="00245F01" w:rsidRPr="00385A6B">
        <w:rPr>
          <w:color w:val="000000" w:themeColor="text1"/>
        </w:rPr>
        <w:t>,</w:t>
      </w:r>
      <w:r w:rsidR="00713BD4">
        <w:rPr>
          <w:color w:val="000000" w:themeColor="text1"/>
        </w:rPr>
        <w:t xml:space="preserve"> the evaluation</w:t>
      </w:r>
      <w:r w:rsidR="005043A9">
        <w:rPr>
          <w:color w:val="000000" w:themeColor="text1"/>
        </w:rPr>
        <w:t xml:space="preserve"> </w:t>
      </w:r>
      <w:r w:rsidR="005043A9" w:rsidRPr="00284E66">
        <w:rPr>
          <w:color w:val="000000" w:themeColor="text1"/>
        </w:rPr>
        <w:t>and the</w:t>
      </w:r>
      <w:r w:rsidR="005043A9" w:rsidRPr="005043A9">
        <w:rPr>
          <w:i/>
          <w:iCs/>
          <w:color w:val="000000" w:themeColor="text1"/>
        </w:rPr>
        <w:t xml:space="preserve"> ESC</w:t>
      </w:r>
      <w:r w:rsidR="00713BD4">
        <w:rPr>
          <w:color w:val="000000" w:themeColor="text1"/>
        </w:rPr>
        <w:t xml:space="preserve"> noted that </w:t>
      </w:r>
      <w:r w:rsidR="00245F01" w:rsidRPr="00385A6B">
        <w:rPr>
          <w:color w:val="000000" w:themeColor="text1"/>
        </w:rPr>
        <w:t xml:space="preserve">consistent with </w:t>
      </w:r>
      <w:r w:rsidR="001670BB" w:rsidRPr="00385A6B">
        <w:rPr>
          <w:color w:val="000000" w:themeColor="text1"/>
        </w:rPr>
        <w:t xml:space="preserve">the </w:t>
      </w:r>
      <w:r w:rsidR="00245F01" w:rsidRPr="00385A6B">
        <w:rPr>
          <w:color w:val="000000" w:themeColor="text1"/>
        </w:rPr>
        <w:t xml:space="preserve">current </w:t>
      </w:r>
      <w:r w:rsidR="00466F9C" w:rsidRPr="00385A6B">
        <w:rPr>
          <w:color w:val="000000" w:themeColor="text1"/>
        </w:rPr>
        <w:t>TGA P</w:t>
      </w:r>
      <w:r w:rsidR="00245F01" w:rsidRPr="00385A6B">
        <w:rPr>
          <w:color w:val="000000" w:themeColor="text1"/>
        </w:rPr>
        <w:t xml:space="preserve">rescribing </w:t>
      </w:r>
      <w:r w:rsidR="00466F9C" w:rsidRPr="00385A6B">
        <w:rPr>
          <w:color w:val="000000" w:themeColor="text1"/>
        </w:rPr>
        <w:t>I</w:t>
      </w:r>
      <w:r w:rsidR="00245F01" w:rsidRPr="00385A6B">
        <w:rPr>
          <w:color w:val="000000" w:themeColor="text1"/>
        </w:rPr>
        <w:t>nformation</w:t>
      </w:r>
      <w:r w:rsidR="00466F9C" w:rsidRPr="00385A6B">
        <w:rPr>
          <w:color w:val="000000" w:themeColor="text1"/>
        </w:rPr>
        <w:t xml:space="preserve"> for PFIC</w:t>
      </w:r>
      <w:r w:rsidR="00245F01" w:rsidRPr="00385A6B">
        <w:rPr>
          <w:color w:val="000000" w:themeColor="text1"/>
        </w:rPr>
        <w:t>, the safety profile of odevixibat appeared to be primarily characterised by Grade 1 or 2 gastrointestinal disturbances, primarily reports of diarrhoea.</w:t>
      </w:r>
      <w:r w:rsidRPr="00385A6B">
        <w:rPr>
          <w:color w:val="000000" w:themeColor="text1"/>
        </w:rPr>
        <w:t xml:space="preserve"> The EMA assessment report considered that the safety profile emerging form the long-term extension is more or less in line with the adverse events profile observed in the initial placebo</w:t>
      </w:r>
      <w:r w:rsidR="00FB7A13" w:rsidRPr="00385A6B">
        <w:rPr>
          <w:color w:val="000000" w:themeColor="text1"/>
        </w:rPr>
        <w:t>-</w:t>
      </w:r>
      <w:r w:rsidRPr="00385A6B">
        <w:rPr>
          <w:color w:val="000000" w:themeColor="text1"/>
        </w:rPr>
        <w:t>controlled studies.</w:t>
      </w:r>
    </w:p>
    <w:p w14:paraId="04908C7F" w14:textId="415B9B7D" w:rsidR="007F1017" w:rsidRPr="00385A6B" w:rsidRDefault="007F1017" w:rsidP="008B6633">
      <w:pPr>
        <w:pStyle w:val="4-SubsectionHeading"/>
        <w:rPr>
          <w:iCs/>
        </w:rPr>
      </w:pPr>
      <w:bookmarkStart w:id="47" w:name="_Toc22897643"/>
      <w:bookmarkStart w:id="48" w:name="_Toc219900850"/>
      <w:r w:rsidRPr="00385A6B">
        <w:t>Benefits/harms</w:t>
      </w:r>
      <w:bookmarkEnd w:id="47"/>
      <w:bookmarkEnd w:id="48"/>
    </w:p>
    <w:p w14:paraId="1CB772FF" w14:textId="0238C885" w:rsidR="00E723BA" w:rsidRPr="00385A6B" w:rsidRDefault="00EC00C9" w:rsidP="008B6633">
      <w:pPr>
        <w:pStyle w:val="3-BodyText"/>
        <w:spacing w:before="160" w:after="160"/>
        <w:rPr>
          <w:rStyle w:val="CommentReference"/>
          <w:rFonts w:asciiTheme="minorHAnsi" w:hAnsiTheme="minorHAnsi"/>
          <w:b w:val="0"/>
          <w:sz w:val="24"/>
          <w:szCs w:val="22"/>
        </w:rPr>
      </w:pPr>
      <w:r w:rsidRPr="00385A6B">
        <w:t xml:space="preserve">A summary of the comparative benefits and harms for </w:t>
      </w:r>
      <w:r w:rsidR="004240F4" w:rsidRPr="00385A6B">
        <w:t xml:space="preserve">odevixibat </w:t>
      </w:r>
      <w:r w:rsidRPr="00385A6B">
        <w:t xml:space="preserve">versus </w:t>
      </w:r>
      <w:r w:rsidR="004240F4" w:rsidRPr="00385A6B">
        <w:t xml:space="preserve">placebo </w:t>
      </w:r>
      <w:r w:rsidRPr="00385A6B">
        <w:t>is presented in</w:t>
      </w:r>
      <w:r w:rsidR="00E16AD8" w:rsidRPr="00385A6B">
        <w:t xml:space="preserve"> </w:t>
      </w:r>
      <w:r w:rsidR="00E16AD8" w:rsidRPr="00385A6B">
        <w:fldChar w:fldCharType="begin"/>
      </w:r>
      <w:r w:rsidR="00E16AD8" w:rsidRPr="00385A6B">
        <w:instrText xml:space="preserve"> REF _Ref104805037 \h </w:instrText>
      </w:r>
      <w:r w:rsidR="00385A6B" w:rsidRPr="00385A6B">
        <w:instrText xml:space="preserve"> \* MERGEFORMAT </w:instrText>
      </w:r>
      <w:r w:rsidR="00E16AD8" w:rsidRPr="00385A6B">
        <w:fldChar w:fldCharType="separate"/>
      </w:r>
      <w:r w:rsidR="0060088A" w:rsidRPr="00275521">
        <w:t xml:space="preserve">Table </w:t>
      </w:r>
      <w:r w:rsidR="0060088A">
        <w:rPr>
          <w:noProof/>
        </w:rPr>
        <w:t>12</w:t>
      </w:r>
      <w:r w:rsidR="00E16AD8" w:rsidRPr="00385A6B">
        <w:fldChar w:fldCharType="end"/>
      </w:r>
      <w:r w:rsidRPr="00385A6B">
        <w:t>.</w:t>
      </w:r>
      <w:r w:rsidR="004240F4" w:rsidRPr="00385A6B">
        <w:t xml:space="preserve"> No statistically significant differences between odevixibat and placebo with respect to adverse events were observed.</w:t>
      </w:r>
    </w:p>
    <w:p w14:paraId="04AC1B54" w14:textId="4DE79C93" w:rsidR="00B62715" w:rsidRPr="00275521" w:rsidRDefault="00D6076E" w:rsidP="008B6633">
      <w:pPr>
        <w:pStyle w:val="Caption"/>
        <w:rPr>
          <w:rStyle w:val="CommentReference"/>
          <w:b/>
          <w:szCs w:val="24"/>
        </w:rPr>
      </w:pPr>
      <w:bookmarkStart w:id="49" w:name="_Ref104805037"/>
      <w:r w:rsidRPr="00275521">
        <w:t xml:space="preserve">Table </w:t>
      </w:r>
      <w:fldSimple w:instr=" SEQ Table \* ARABIC ">
        <w:r w:rsidR="0060088A">
          <w:rPr>
            <w:noProof/>
          </w:rPr>
          <w:t>12</w:t>
        </w:r>
      </w:fldSimple>
      <w:bookmarkEnd w:id="49"/>
      <w:r w:rsidRPr="00275521">
        <w:t xml:space="preserve">: </w:t>
      </w:r>
      <w:r w:rsidR="00B62715" w:rsidRPr="00275521">
        <w:rPr>
          <w:rStyle w:val="CommentReference"/>
          <w:b/>
          <w:szCs w:val="24"/>
        </w:rPr>
        <w:t xml:space="preserve">Summary of comparative benefits for </w:t>
      </w:r>
      <w:r w:rsidR="000406F7" w:rsidRPr="00275521">
        <w:rPr>
          <w:rStyle w:val="CommentReference"/>
          <w:b/>
          <w:szCs w:val="24"/>
        </w:rPr>
        <w:t>odevixibat</w:t>
      </w:r>
      <w:r w:rsidR="00B62715" w:rsidRPr="00275521">
        <w:rPr>
          <w:rStyle w:val="CommentReference"/>
          <w:b/>
          <w:szCs w:val="24"/>
        </w:rPr>
        <w:t xml:space="preserve"> and </w:t>
      </w:r>
      <w:r w:rsidR="000406F7" w:rsidRPr="00275521">
        <w:rPr>
          <w:rStyle w:val="CommentReference"/>
          <w:b/>
          <w:szCs w:val="24"/>
        </w:rPr>
        <w:t>placebo</w:t>
      </w:r>
      <w:r w:rsidR="00533B1C" w:rsidRPr="00275521">
        <w:rPr>
          <w:rStyle w:val="CommentReference"/>
          <w:b/>
          <w:szCs w:val="24"/>
        </w:rPr>
        <w:t xml:space="preserve"> - ASSERT</w:t>
      </w:r>
    </w:p>
    <w:tbl>
      <w:tblPr>
        <w:tblW w:w="5000" w:type="pct"/>
        <w:tblLayout w:type="fixed"/>
        <w:tblCellMar>
          <w:left w:w="28" w:type="dxa"/>
          <w:right w:w="28" w:type="dxa"/>
        </w:tblCellMar>
        <w:tblLook w:val="04A0" w:firstRow="1" w:lastRow="0" w:firstColumn="1" w:lastColumn="0" w:noHBand="0" w:noVBand="1"/>
        <w:tblCaption w:val="Table 12: Summary of comparative benefits for odevixibat and placebo - ASSERT"/>
      </w:tblPr>
      <w:tblGrid>
        <w:gridCol w:w="1142"/>
        <w:gridCol w:w="361"/>
        <w:gridCol w:w="344"/>
        <w:gridCol w:w="990"/>
        <w:gridCol w:w="168"/>
        <w:gridCol w:w="835"/>
        <w:gridCol w:w="667"/>
        <w:gridCol w:w="171"/>
        <w:gridCol w:w="994"/>
        <w:gridCol w:w="337"/>
        <w:gridCol w:w="653"/>
        <w:gridCol w:w="851"/>
        <w:gridCol w:w="1504"/>
      </w:tblGrid>
      <w:tr w:rsidR="007F4A61" w:rsidRPr="00275521" w14:paraId="4D7392C4" w14:textId="77777777" w:rsidTr="000406F7">
        <w:trPr>
          <w:cantSplit/>
          <w:trHeight w:val="225"/>
        </w:trPr>
        <w:tc>
          <w:tcPr>
            <w:tcW w:w="633" w:type="pct"/>
            <w:vMerge w:val="restart"/>
            <w:tcBorders>
              <w:top w:val="single" w:sz="4" w:space="0" w:color="auto"/>
              <w:left w:val="single" w:sz="4" w:space="0" w:color="auto"/>
              <w:bottom w:val="single" w:sz="4" w:space="0" w:color="auto"/>
              <w:right w:val="single" w:sz="4" w:space="0" w:color="auto"/>
            </w:tcBorders>
            <w:vAlign w:val="center"/>
          </w:tcPr>
          <w:p w14:paraId="50AF822A" w14:textId="1D1924CD" w:rsidR="00B62715" w:rsidRPr="00275521" w:rsidRDefault="00B62715" w:rsidP="008B6633">
            <w:pPr>
              <w:pStyle w:val="TableText0"/>
              <w:rPr>
                <w:b/>
                <w:bCs w:val="0"/>
              </w:rPr>
            </w:pPr>
          </w:p>
        </w:tc>
        <w:tc>
          <w:tcPr>
            <w:tcW w:w="1496" w:type="pct"/>
            <w:gridSpan w:val="5"/>
            <w:tcBorders>
              <w:top w:val="single" w:sz="4" w:space="0" w:color="auto"/>
              <w:left w:val="single" w:sz="4" w:space="0" w:color="auto"/>
              <w:bottom w:val="single" w:sz="4" w:space="0" w:color="auto"/>
              <w:right w:val="single" w:sz="4" w:space="0" w:color="auto"/>
            </w:tcBorders>
            <w:vAlign w:val="center"/>
          </w:tcPr>
          <w:p w14:paraId="782162FD" w14:textId="4111FC0F" w:rsidR="00B62715" w:rsidRPr="00275521" w:rsidRDefault="000406F7" w:rsidP="008B6633">
            <w:pPr>
              <w:pStyle w:val="In-tableHeading"/>
              <w:rPr>
                <w:lang w:val="en-AU"/>
              </w:rPr>
            </w:pPr>
            <w:r w:rsidRPr="00275521">
              <w:rPr>
                <w:lang w:val="en-AU"/>
              </w:rPr>
              <w:t>Placebo</w:t>
            </w:r>
          </w:p>
        </w:tc>
        <w:tc>
          <w:tcPr>
            <w:tcW w:w="1565" w:type="pct"/>
            <w:gridSpan w:val="5"/>
            <w:tcBorders>
              <w:top w:val="single" w:sz="4" w:space="0" w:color="auto"/>
              <w:left w:val="single" w:sz="4" w:space="0" w:color="auto"/>
              <w:bottom w:val="single" w:sz="4" w:space="0" w:color="auto"/>
              <w:right w:val="single" w:sz="4" w:space="0" w:color="auto"/>
            </w:tcBorders>
            <w:vAlign w:val="center"/>
          </w:tcPr>
          <w:p w14:paraId="33DF8D08" w14:textId="227E1714" w:rsidR="00B62715" w:rsidRPr="00275521" w:rsidRDefault="000406F7" w:rsidP="008B6633">
            <w:pPr>
              <w:pStyle w:val="In-tableHeading"/>
              <w:rPr>
                <w:lang w:val="en-AU"/>
              </w:rPr>
            </w:pPr>
            <w:r w:rsidRPr="00275521">
              <w:rPr>
                <w:lang w:val="en-AU"/>
              </w:rPr>
              <w:t>Odevixibat</w:t>
            </w:r>
          </w:p>
        </w:tc>
        <w:tc>
          <w:tcPr>
            <w:tcW w:w="1306" w:type="pct"/>
            <w:gridSpan w:val="2"/>
            <w:vMerge w:val="restart"/>
            <w:tcBorders>
              <w:top w:val="single" w:sz="4" w:space="0" w:color="auto"/>
              <w:left w:val="single" w:sz="4" w:space="0" w:color="auto"/>
              <w:bottom w:val="single" w:sz="4" w:space="0" w:color="auto"/>
              <w:right w:val="single" w:sz="4" w:space="0" w:color="auto"/>
            </w:tcBorders>
            <w:vAlign w:val="center"/>
          </w:tcPr>
          <w:p w14:paraId="22322EF8" w14:textId="701A85DC" w:rsidR="00B62715" w:rsidRPr="00275521" w:rsidRDefault="00F54BC0" w:rsidP="008B6633">
            <w:pPr>
              <w:pStyle w:val="In-tableHeading"/>
              <w:rPr>
                <w:lang w:val="en-AU"/>
              </w:rPr>
            </w:pPr>
            <w:r w:rsidRPr="00275521">
              <w:rPr>
                <w:lang w:val="en-AU"/>
              </w:rPr>
              <w:t xml:space="preserve">LS </w:t>
            </w:r>
            <w:r w:rsidR="00B62715" w:rsidRPr="00275521">
              <w:rPr>
                <w:lang w:val="en-AU"/>
              </w:rPr>
              <w:t>Mean difference:</w:t>
            </w:r>
          </w:p>
          <w:p w14:paraId="7A40A95F" w14:textId="2F337F70" w:rsidR="00B62715" w:rsidRPr="00275521" w:rsidRDefault="004240F4" w:rsidP="008B6633">
            <w:pPr>
              <w:pStyle w:val="In-tableHeading"/>
              <w:rPr>
                <w:lang w:val="en-AU"/>
              </w:rPr>
            </w:pPr>
            <w:r w:rsidRPr="00275521">
              <w:rPr>
                <w:lang w:val="en-AU"/>
              </w:rPr>
              <w:t>odevixibat</w:t>
            </w:r>
            <w:r w:rsidR="00B62715" w:rsidRPr="00275521">
              <w:rPr>
                <w:lang w:val="en-AU"/>
              </w:rPr>
              <w:t xml:space="preserve"> vs. </w:t>
            </w:r>
            <w:r w:rsidRPr="00275521">
              <w:rPr>
                <w:lang w:val="en-AU"/>
              </w:rPr>
              <w:t>placebo</w:t>
            </w:r>
          </w:p>
          <w:p w14:paraId="1DAE9414" w14:textId="77777777" w:rsidR="00B62715" w:rsidRPr="00275521" w:rsidRDefault="00B62715" w:rsidP="008B6633">
            <w:pPr>
              <w:pStyle w:val="In-tableHeading"/>
              <w:rPr>
                <w:lang w:val="en-AU"/>
              </w:rPr>
            </w:pPr>
            <w:r w:rsidRPr="00275521">
              <w:rPr>
                <w:lang w:val="en-AU"/>
              </w:rPr>
              <w:t>(95% CI)</w:t>
            </w:r>
          </w:p>
        </w:tc>
      </w:tr>
      <w:tr w:rsidR="007F4A61" w:rsidRPr="00275521" w14:paraId="67CC98FE" w14:textId="77777777" w:rsidTr="000406F7">
        <w:trPr>
          <w:cantSplit/>
          <w:trHeight w:val="225"/>
        </w:trPr>
        <w:tc>
          <w:tcPr>
            <w:tcW w:w="633" w:type="pct"/>
            <w:vMerge/>
            <w:tcBorders>
              <w:top w:val="single" w:sz="4" w:space="0" w:color="auto"/>
              <w:left w:val="single" w:sz="4" w:space="0" w:color="auto"/>
              <w:bottom w:val="single" w:sz="4" w:space="0" w:color="auto"/>
              <w:right w:val="single" w:sz="4" w:space="0" w:color="auto"/>
            </w:tcBorders>
            <w:vAlign w:val="center"/>
          </w:tcPr>
          <w:p w14:paraId="65D23853" w14:textId="77777777" w:rsidR="00B62715" w:rsidRPr="00275521" w:rsidRDefault="00B62715" w:rsidP="008B6633">
            <w:pPr>
              <w:keepNext/>
              <w:keepLines/>
              <w:rPr>
                <w:rFonts w:ascii="Arial Narrow" w:hAnsi="Arial Narrow"/>
                <w:color w:val="000000"/>
                <w:sz w:val="20"/>
                <w:szCs w:val="18"/>
              </w:rPr>
            </w:pP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4CC7C129" w14:textId="0269EDDD" w:rsidR="00B62715" w:rsidRPr="00275521" w:rsidRDefault="00B24DF6" w:rsidP="008B6633">
            <w:pPr>
              <w:pStyle w:val="In-tableHeading"/>
              <w:rPr>
                <w:lang w:val="en-AU"/>
              </w:rPr>
            </w:pPr>
            <w:r w:rsidRPr="00275521">
              <w:rPr>
                <w:lang w:val="en-AU"/>
              </w:rPr>
              <w:t>N</w:t>
            </w:r>
          </w:p>
        </w:tc>
        <w:tc>
          <w:tcPr>
            <w:tcW w:w="549" w:type="pct"/>
            <w:tcBorders>
              <w:top w:val="single" w:sz="4" w:space="0" w:color="auto"/>
              <w:left w:val="single" w:sz="4" w:space="0" w:color="auto"/>
              <w:bottom w:val="single" w:sz="4" w:space="0" w:color="auto"/>
              <w:right w:val="single" w:sz="4" w:space="0" w:color="auto"/>
            </w:tcBorders>
            <w:vAlign w:val="center"/>
          </w:tcPr>
          <w:p w14:paraId="264A2926" w14:textId="31683925" w:rsidR="00B62715" w:rsidRPr="00275521" w:rsidRDefault="00B62715" w:rsidP="008B6633">
            <w:pPr>
              <w:pStyle w:val="In-tableHeading"/>
              <w:rPr>
                <w:lang w:val="en-AU"/>
              </w:rPr>
            </w:pPr>
            <w:r w:rsidRPr="00275521">
              <w:rPr>
                <w:lang w:val="en-AU"/>
              </w:rPr>
              <w:t>Mean ∆ baseline</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061955D3" w14:textId="77777777" w:rsidR="00B62715" w:rsidRPr="00275521" w:rsidRDefault="00B62715" w:rsidP="008B6633">
            <w:pPr>
              <w:pStyle w:val="In-tableHeading"/>
              <w:rPr>
                <w:lang w:val="en-AU"/>
              </w:rPr>
            </w:pPr>
            <w:r w:rsidRPr="00275521">
              <w:rPr>
                <w:lang w:val="en-AU"/>
              </w:rPr>
              <w:t>SD</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14FE29EA" w14:textId="345AC81E" w:rsidR="00B62715" w:rsidRPr="00275521" w:rsidRDefault="00B24DF6" w:rsidP="008B6633">
            <w:pPr>
              <w:pStyle w:val="In-tableHeading"/>
              <w:rPr>
                <w:lang w:val="en-AU"/>
              </w:rPr>
            </w:pPr>
            <w:r w:rsidRPr="00275521">
              <w:rPr>
                <w:lang w:val="en-AU"/>
              </w:rPr>
              <w:t>N</w:t>
            </w:r>
          </w:p>
        </w:tc>
        <w:tc>
          <w:tcPr>
            <w:tcW w:w="551" w:type="pct"/>
            <w:tcBorders>
              <w:top w:val="single" w:sz="4" w:space="0" w:color="auto"/>
              <w:left w:val="single" w:sz="4" w:space="0" w:color="auto"/>
              <w:bottom w:val="single" w:sz="4" w:space="0" w:color="auto"/>
              <w:right w:val="single" w:sz="4" w:space="0" w:color="auto"/>
            </w:tcBorders>
            <w:vAlign w:val="center"/>
          </w:tcPr>
          <w:p w14:paraId="759ABA90" w14:textId="0261FD09" w:rsidR="00B62715" w:rsidRPr="00275521" w:rsidRDefault="00B62715" w:rsidP="008B6633">
            <w:pPr>
              <w:pStyle w:val="In-tableHeading"/>
              <w:rPr>
                <w:lang w:val="en-AU"/>
              </w:rPr>
            </w:pPr>
            <w:r w:rsidRPr="00275521">
              <w:rPr>
                <w:lang w:val="en-AU"/>
              </w:rPr>
              <w:t>Mean ∆ baseline</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4BF42E3B" w14:textId="77777777" w:rsidR="00B62715" w:rsidRPr="00275521" w:rsidRDefault="00B62715" w:rsidP="008B6633">
            <w:pPr>
              <w:pStyle w:val="In-tableHeading"/>
              <w:rPr>
                <w:lang w:val="en-AU"/>
              </w:rPr>
            </w:pPr>
            <w:r w:rsidRPr="00275521">
              <w:rPr>
                <w:lang w:val="en-AU"/>
              </w:rPr>
              <w:t>SD</w:t>
            </w:r>
          </w:p>
        </w:tc>
        <w:tc>
          <w:tcPr>
            <w:tcW w:w="1306" w:type="pct"/>
            <w:gridSpan w:val="2"/>
            <w:vMerge/>
            <w:tcBorders>
              <w:top w:val="single" w:sz="4" w:space="0" w:color="auto"/>
              <w:left w:val="single" w:sz="4" w:space="0" w:color="auto"/>
              <w:bottom w:val="single" w:sz="4" w:space="0" w:color="auto"/>
              <w:right w:val="single" w:sz="4" w:space="0" w:color="auto"/>
            </w:tcBorders>
            <w:vAlign w:val="center"/>
          </w:tcPr>
          <w:p w14:paraId="719E7A74" w14:textId="77777777" w:rsidR="00B62715" w:rsidRPr="00275521" w:rsidRDefault="00B62715" w:rsidP="008B6633">
            <w:pPr>
              <w:keepNext/>
              <w:keepLines/>
              <w:jc w:val="center"/>
              <w:rPr>
                <w:rFonts w:ascii="Arial Narrow" w:hAnsi="Arial Narrow"/>
                <w:b/>
                <w:sz w:val="20"/>
                <w:szCs w:val="18"/>
              </w:rPr>
            </w:pPr>
          </w:p>
        </w:tc>
      </w:tr>
      <w:tr w:rsidR="004240F4" w:rsidRPr="00275521" w14:paraId="5A398CEC" w14:textId="77777777" w:rsidTr="004240F4">
        <w:trPr>
          <w:cantSplit/>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0F340892" w14:textId="326F04D4" w:rsidR="004240F4" w:rsidRPr="00275521" w:rsidRDefault="00137AA2" w:rsidP="008B6633">
            <w:pPr>
              <w:pStyle w:val="TableText0"/>
              <w:rPr>
                <w:b/>
                <w:bCs w:val="0"/>
              </w:rPr>
            </w:pPr>
            <w:r w:rsidRPr="00275521">
              <w:rPr>
                <w:b/>
                <w:bCs w:val="0"/>
              </w:rPr>
              <w:t>C</w:t>
            </w:r>
            <w:r w:rsidR="004240F4" w:rsidRPr="00275521">
              <w:rPr>
                <w:b/>
                <w:bCs w:val="0"/>
              </w:rPr>
              <w:t>hange from baseline</w:t>
            </w:r>
            <w:r w:rsidR="00F54BC0" w:rsidRPr="00275521">
              <w:rPr>
                <w:b/>
                <w:bCs w:val="0"/>
              </w:rPr>
              <w:t xml:space="preserve"> to Weeks 21-24</w:t>
            </w:r>
            <w:r w:rsidR="004240F4" w:rsidRPr="00275521">
              <w:rPr>
                <w:b/>
                <w:bCs w:val="0"/>
              </w:rPr>
              <w:t xml:space="preserve"> in ObsRO pruritus </w:t>
            </w:r>
            <w:r w:rsidRPr="00275521">
              <w:rPr>
                <w:b/>
                <w:bCs w:val="0"/>
              </w:rPr>
              <w:t xml:space="preserve">scratching </w:t>
            </w:r>
            <w:r w:rsidR="004240F4" w:rsidRPr="00275521">
              <w:rPr>
                <w:b/>
                <w:bCs w:val="0"/>
              </w:rPr>
              <w:t>score</w:t>
            </w:r>
          </w:p>
        </w:tc>
      </w:tr>
      <w:tr w:rsidR="007F4A61" w:rsidRPr="00275521" w14:paraId="05282C13" w14:textId="77777777" w:rsidTr="000406F7">
        <w:trPr>
          <w:cantSplit/>
        </w:trPr>
        <w:tc>
          <w:tcPr>
            <w:tcW w:w="633" w:type="pct"/>
            <w:tcBorders>
              <w:top w:val="single" w:sz="4" w:space="0" w:color="auto"/>
              <w:left w:val="single" w:sz="4" w:space="0" w:color="auto"/>
              <w:bottom w:val="single" w:sz="4" w:space="0" w:color="auto"/>
              <w:right w:val="single" w:sz="4" w:space="0" w:color="auto"/>
            </w:tcBorders>
            <w:vAlign w:val="center"/>
          </w:tcPr>
          <w:p w14:paraId="2F1634FF" w14:textId="0C36CBF0" w:rsidR="00B62715" w:rsidRPr="00275521" w:rsidRDefault="004240F4" w:rsidP="008B6633">
            <w:pPr>
              <w:pStyle w:val="TableText0"/>
            </w:pPr>
            <w:r w:rsidRPr="00275521">
              <w:t>ObsRO score</w:t>
            </w: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01FBE39F" w14:textId="6818F794" w:rsidR="00B62715" w:rsidRPr="00275521" w:rsidRDefault="00137AA2" w:rsidP="008B6633">
            <w:pPr>
              <w:pStyle w:val="TableText0"/>
              <w:jc w:val="center"/>
            </w:pPr>
            <w:r w:rsidRPr="00275521">
              <w:t>17</w:t>
            </w:r>
          </w:p>
        </w:tc>
        <w:tc>
          <w:tcPr>
            <w:tcW w:w="549" w:type="pct"/>
            <w:tcBorders>
              <w:top w:val="single" w:sz="4" w:space="0" w:color="auto"/>
              <w:left w:val="single" w:sz="4" w:space="0" w:color="auto"/>
              <w:bottom w:val="single" w:sz="4" w:space="0" w:color="auto"/>
              <w:right w:val="single" w:sz="4" w:space="0" w:color="auto"/>
            </w:tcBorders>
            <w:vAlign w:val="center"/>
          </w:tcPr>
          <w:p w14:paraId="3757FB17" w14:textId="4516A627" w:rsidR="00B62715" w:rsidRPr="00275521" w:rsidRDefault="000406F7" w:rsidP="008B6633">
            <w:pPr>
              <w:pStyle w:val="TableText0"/>
              <w:jc w:val="center"/>
            </w:pPr>
            <w:r w:rsidRPr="00275521">
              <w:t>-0.80</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45488144" w14:textId="50B1701B" w:rsidR="00B62715" w:rsidRPr="00275521" w:rsidRDefault="000406F7" w:rsidP="008B6633">
            <w:pPr>
              <w:pStyle w:val="TableText0"/>
              <w:jc w:val="center"/>
            </w:pPr>
            <w:r w:rsidRPr="00275521">
              <w:t>0.23</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0993EB5E" w14:textId="20DEDC4F" w:rsidR="00B62715" w:rsidRPr="00275521" w:rsidRDefault="00137AA2" w:rsidP="008B6633">
            <w:pPr>
              <w:pStyle w:val="TableText0"/>
              <w:jc w:val="center"/>
            </w:pPr>
            <w:r w:rsidRPr="00275521">
              <w:t>35</w:t>
            </w:r>
          </w:p>
        </w:tc>
        <w:tc>
          <w:tcPr>
            <w:tcW w:w="551" w:type="pct"/>
            <w:tcBorders>
              <w:top w:val="single" w:sz="4" w:space="0" w:color="auto"/>
              <w:left w:val="single" w:sz="4" w:space="0" w:color="auto"/>
              <w:bottom w:val="single" w:sz="4" w:space="0" w:color="auto"/>
              <w:right w:val="single" w:sz="4" w:space="0" w:color="auto"/>
            </w:tcBorders>
            <w:vAlign w:val="center"/>
          </w:tcPr>
          <w:p w14:paraId="0AB92A93" w14:textId="6FBB68BE" w:rsidR="00B62715" w:rsidRPr="00275521" w:rsidRDefault="000406F7" w:rsidP="008B6633">
            <w:pPr>
              <w:pStyle w:val="TableText0"/>
              <w:jc w:val="center"/>
            </w:pPr>
            <w:r w:rsidRPr="00275521">
              <w:t>-1.69</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7CA3106E" w14:textId="52D3D24F" w:rsidR="00B62715" w:rsidRPr="00275521" w:rsidRDefault="000406F7" w:rsidP="008B6633">
            <w:pPr>
              <w:pStyle w:val="TableText0"/>
              <w:jc w:val="center"/>
            </w:pPr>
            <w:r w:rsidRPr="00275521">
              <w:t>0.17</w:t>
            </w: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16BA53A9" w14:textId="40C8C795" w:rsidR="00B62715" w:rsidRPr="00275521" w:rsidRDefault="000406F7" w:rsidP="008B6633">
            <w:pPr>
              <w:pStyle w:val="TableText0"/>
              <w:jc w:val="center"/>
              <w:rPr>
                <w:b/>
                <w:bCs w:val="0"/>
              </w:rPr>
            </w:pPr>
            <w:r w:rsidRPr="00275521">
              <w:rPr>
                <w:b/>
                <w:bCs w:val="0"/>
              </w:rPr>
              <w:t>-0.88 (-1.44, -0.33)</w:t>
            </w:r>
          </w:p>
        </w:tc>
      </w:tr>
      <w:tr w:rsidR="00137AA2" w:rsidRPr="00275521" w14:paraId="1C85D8AE" w14:textId="77777777" w:rsidTr="00137AA2">
        <w:trPr>
          <w:cantSplit/>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50BDCD9D" w14:textId="5B7BBF04" w:rsidR="00137AA2" w:rsidRPr="00275521" w:rsidRDefault="00137AA2" w:rsidP="008B6633">
            <w:pPr>
              <w:pStyle w:val="TableText0"/>
            </w:pPr>
            <w:r w:rsidRPr="00275521">
              <w:rPr>
                <w:b/>
                <w:bCs w:val="0"/>
              </w:rPr>
              <w:t>Change from baseline to Weeks 20-24 in sBA levels</w:t>
            </w:r>
            <w:r w:rsidR="00B61579" w:rsidRPr="00275521">
              <w:rPr>
                <w:b/>
                <w:bCs w:val="0"/>
              </w:rPr>
              <w:t xml:space="preserve"> </w:t>
            </w:r>
            <w:r w:rsidR="00B61579" w:rsidRPr="00275521">
              <w:rPr>
                <w:b/>
                <w:szCs w:val="20"/>
              </w:rPr>
              <w:t>(µmol/l)</w:t>
            </w:r>
          </w:p>
        </w:tc>
      </w:tr>
      <w:tr w:rsidR="00137AA2" w:rsidRPr="00275521" w14:paraId="4D3B0B9E" w14:textId="77777777" w:rsidTr="000406F7">
        <w:trPr>
          <w:cantSplit/>
        </w:trPr>
        <w:tc>
          <w:tcPr>
            <w:tcW w:w="633" w:type="pct"/>
            <w:tcBorders>
              <w:top w:val="single" w:sz="4" w:space="0" w:color="auto"/>
              <w:left w:val="single" w:sz="4" w:space="0" w:color="auto"/>
              <w:bottom w:val="single" w:sz="4" w:space="0" w:color="auto"/>
              <w:right w:val="single" w:sz="4" w:space="0" w:color="auto"/>
            </w:tcBorders>
            <w:vAlign w:val="center"/>
          </w:tcPr>
          <w:p w14:paraId="0FD7DCBF" w14:textId="7711C7AE" w:rsidR="00137AA2" w:rsidRPr="00275521" w:rsidRDefault="00137AA2" w:rsidP="008B6633">
            <w:pPr>
              <w:pStyle w:val="TableText0"/>
            </w:pPr>
            <w:r w:rsidRPr="00275521">
              <w:t>sBA</w:t>
            </w:r>
          </w:p>
        </w:tc>
        <w:tc>
          <w:tcPr>
            <w:tcW w:w="391" w:type="pct"/>
            <w:gridSpan w:val="2"/>
            <w:tcBorders>
              <w:top w:val="single" w:sz="4" w:space="0" w:color="auto"/>
              <w:left w:val="single" w:sz="4" w:space="0" w:color="auto"/>
              <w:bottom w:val="single" w:sz="4" w:space="0" w:color="auto"/>
              <w:right w:val="single" w:sz="4" w:space="0" w:color="auto"/>
            </w:tcBorders>
            <w:vAlign w:val="center"/>
          </w:tcPr>
          <w:p w14:paraId="673C5437" w14:textId="01489CC8" w:rsidR="00137AA2" w:rsidRPr="00275521" w:rsidRDefault="00137AA2" w:rsidP="008B6633">
            <w:pPr>
              <w:pStyle w:val="TableText0"/>
              <w:jc w:val="center"/>
            </w:pPr>
            <w:r w:rsidRPr="00275521">
              <w:t>17</w:t>
            </w:r>
          </w:p>
        </w:tc>
        <w:tc>
          <w:tcPr>
            <w:tcW w:w="549" w:type="pct"/>
            <w:tcBorders>
              <w:top w:val="single" w:sz="4" w:space="0" w:color="auto"/>
              <w:left w:val="single" w:sz="4" w:space="0" w:color="auto"/>
              <w:bottom w:val="single" w:sz="4" w:space="0" w:color="auto"/>
              <w:right w:val="single" w:sz="4" w:space="0" w:color="auto"/>
            </w:tcBorders>
            <w:vAlign w:val="center"/>
          </w:tcPr>
          <w:p w14:paraId="1077B11A" w14:textId="4E5BFB49" w:rsidR="00137AA2" w:rsidRPr="00275521" w:rsidRDefault="00137AA2" w:rsidP="008B6633">
            <w:pPr>
              <w:pStyle w:val="TableText0"/>
              <w:jc w:val="center"/>
            </w:pPr>
            <w:r w:rsidRPr="00275521">
              <w:t>22.39</w:t>
            </w:r>
          </w:p>
        </w:tc>
        <w:tc>
          <w:tcPr>
            <w:tcW w:w="556" w:type="pct"/>
            <w:gridSpan w:val="2"/>
            <w:tcBorders>
              <w:top w:val="single" w:sz="4" w:space="0" w:color="auto"/>
              <w:left w:val="single" w:sz="4" w:space="0" w:color="auto"/>
              <w:bottom w:val="single" w:sz="4" w:space="0" w:color="auto"/>
              <w:right w:val="single" w:sz="4" w:space="0" w:color="auto"/>
            </w:tcBorders>
            <w:vAlign w:val="center"/>
          </w:tcPr>
          <w:p w14:paraId="5AD1F43B" w14:textId="33FA3A29" w:rsidR="00137AA2" w:rsidRPr="00275521" w:rsidRDefault="00137AA2" w:rsidP="008B6633">
            <w:pPr>
              <w:pStyle w:val="TableText0"/>
              <w:jc w:val="center"/>
            </w:pPr>
            <w:r w:rsidRPr="00275521">
              <w:t>131.63 (SE)</w:t>
            </w:r>
          </w:p>
        </w:tc>
        <w:tc>
          <w:tcPr>
            <w:tcW w:w="465" w:type="pct"/>
            <w:gridSpan w:val="2"/>
            <w:tcBorders>
              <w:top w:val="single" w:sz="4" w:space="0" w:color="auto"/>
              <w:left w:val="single" w:sz="4" w:space="0" w:color="auto"/>
              <w:bottom w:val="single" w:sz="4" w:space="0" w:color="auto"/>
              <w:right w:val="single" w:sz="4" w:space="0" w:color="auto"/>
            </w:tcBorders>
            <w:vAlign w:val="center"/>
          </w:tcPr>
          <w:p w14:paraId="439367B5" w14:textId="13D1760F" w:rsidR="00137AA2" w:rsidRPr="00275521" w:rsidRDefault="00137AA2" w:rsidP="008B6633">
            <w:pPr>
              <w:pStyle w:val="TableText0"/>
              <w:jc w:val="center"/>
            </w:pPr>
            <w:r w:rsidRPr="00275521">
              <w:t>35</w:t>
            </w:r>
          </w:p>
        </w:tc>
        <w:tc>
          <w:tcPr>
            <w:tcW w:w="551" w:type="pct"/>
            <w:tcBorders>
              <w:top w:val="single" w:sz="4" w:space="0" w:color="auto"/>
              <w:left w:val="single" w:sz="4" w:space="0" w:color="auto"/>
              <w:bottom w:val="single" w:sz="4" w:space="0" w:color="auto"/>
              <w:right w:val="single" w:sz="4" w:space="0" w:color="auto"/>
            </w:tcBorders>
            <w:vAlign w:val="center"/>
          </w:tcPr>
          <w:p w14:paraId="08FE504B" w14:textId="0DF0E90B" w:rsidR="00137AA2" w:rsidRPr="00275521" w:rsidRDefault="00137AA2" w:rsidP="008B6633">
            <w:pPr>
              <w:pStyle w:val="TableText0"/>
              <w:jc w:val="center"/>
            </w:pPr>
            <w:r w:rsidRPr="00275521">
              <w:t>-90.35</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1F5AEFF1" w14:textId="5046E61B" w:rsidR="00137AA2" w:rsidRPr="00275521" w:rsidRDefault="00137AA2" w:rsidP="008B6633">
            <w:pPr>
              <w:pStyle w:val="TableText0"/>
              <w:jc w:val="center"/>
            </w:pPr>
            <w:r w:rsidRPr="00275521">
              <w:t>21.34 (SE)</w:t>
            </w: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7EB3A7D8" w14:textId="6555D488" w:rsidR="00137AA2" w:rsidRPr="00275521" w:rsidRDefault="00137AA2" w:rsidP="008B6633">
            <w:pPr>
              <w:pStyle w:val="TableText0"/>
              <w:jc w:val="center"/>
              <w:rPr>
                <w:b/>
                <w:bCs w:val="0"/>
              </w:rPr>
            </w:pPr>
            <w:r w:rsidRPr="00275521">
              <w:rPr>
                <w:b/>
                <w:bCs w:val="0"/>
              </w:rPr>
              <w:t>-112.74 (-178.78, -46.69)</w:t>
            </w:r>
          </w:p>
        </w:tc>
      </w:tr>
      <w:tr w:rsidR="00533B1C" w:rsidRPr="00275521" w14:paraId="2B4D1CA0" w14:textId="77777777" w:rsidTr="00533B1C">
        <w:trPr>
          <w:cantSplit/>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4A6BF970" w14:textId="5AAA56BA" w:rsidR="00533B1C" w:rsidRPr="00275521" w:rsidRDefault="00533B1C" w:rsidP="008B6633">
            <w:pPr>
              <w:pStyle w:val="TableText0"/>
              <w:rPr>
                <w:b/>
                <w:bCs w:val="0"/>
              </w:rPr>
            </w:pPr>
            <w:r w:rsidRPr="00275521">
              <w:rPr>
                <w:b/>
                <w:bCs w:val="0"/>
              </w:rPr>
              <w:t>Proportion of pruritus responders at Weeks 21-24</w:t>
            </w:r>
            <w:r w:rsidR="00336664" w:rsidRPr="00275521">
              <w:rPr>
                <w:b/>
                <w:bCs w:val="0"/>
              </w:rPr>
              <w:t xml:space="preserve"> (average of morning and evening scores)</w:t>
            </w:r>
          </w:p>
        </w:tc>
      </w:tr>
      <w:tr w:rsidR="00200AC1" w:rsidRPr="00275521" w14:paraId="5C181D12" w14:textId="77777777">
        <w:trPr>
          <w:cantSplit/>
          <w:trHeight w:val="72"/>
        </w:trPr>
        <w:tc>
          <w:tcPr>
            <w:tcW w:w="833" w:type="pct"/>
            <w:gridSpan w:val="2"/>
            <w:vMerge w:val="restart"/>
            <w:tcBorders>
              <w:top w:val="single" w:sz="4" w:space="0" w:color="auto"/>
              <w:left w:val="single" w:sz="4" w:space="0" w:color="auto"/>
              <w:right w:val="single" w:sz="4" w:space="0" w:color="auto"/>
            </w:tcBorders>
            <w:vAlign w:val="center"/>
          </w:tcPr>
          <w:p w14:paraId="51408835" w14:textId="09DF72A8" w:rsidR="00200AC1" w:rsidRPr="00275521" w:rsidRDefault="00200AC1" w:rsidP="008B6633">
            <w:pPr>
              <w:pStyle w:val="TableText0"/>
              <w:rPr>
                <w:b/>
                <w:bCs w:val="0"/>
              </w:rPr>
            </w:pPr>
          </w:p>
        </w:tc>
        <w:tc>
          <w:tcPr>
            <w:tcW w:w="833" w:type="pct"/>
            <w:gridSpan w:val="3"/>
            <w:vMerge w:val="restart"/>
            <w:tcBorders>
              <w:top w:val="single" w:sz="4" w:space="0" w:color="auto"/>
              <w:left w:val="single" w:sz="4" w:space="0" w:color="auto"/>
              <w:right w:val="single" w:sz="4" w:space="0" w:color="auto"/>
            </w:tcBorders>
            <w:vAlign w:val="center"/>
          </w:tcPr>
          <w:p w14:paraId="33B64740" w14:textId="2B4D1B09" w:rsidR="00200AC1" w:rsidRPr="00275521" w:rsidRDefault="00200AC1" w:rsidP="008B6633">
            <w:pPr>
              <w:pStyle w:val="TableText0"/>
              <w:jc w:val="center"/>
              <w:rPr>
                <w:b/>
                <w:bCs w:val="0"/>
              </w:rPr>
            </w:pPr>
            <w:r w:rsidRPr="00275521">
              <w:rPr>
                <w:b/>
                <w:bCs w:val="0"/>
              </w:rPr>
              <w:t>Placebo n/N</w:t>
            </w:r>
          </w:p>
        </w:tc>
        <w:tc>
          <w:tcPr>
            <w:tcW w:w="833" w:type="pct"/>
            <w:gridSpan w:val="2"/>
            <w:vMerge w:val="restart"/>
            <w:tcBorders>
              <w:top w:val="single" w:sz="4" w:space="0" w:color="auto"/>
              <w:left w:val="single" w:sz="4" w:space="0" w:color="auto"/>
              <w:right w:val="single" w:sz="4" w:space="0" w:color="auto"/>
            </w:tcBorders>
            <w:vAlign w:val="center"/>
          </w:tcPr>
          <w:p w14:paraId="72D82E99" w14:textId="11F013CE" w:rsidR="00200AC1" w:rsidRPr="00275521" w:rsidRDefault="00200AC1" w:rsidP="008B6633">
            <w:pPr>
              <w:pStyle w:val="TableText0"/>
              <w:jc w:val="center"/>
              <w:rPr>
                <w:b/>
                <w:bCs w:val="0"/>
              </w:rPr>
            </w:pPr>
            <w:r w:rsidRPr="00275521">
              <w:rPr>
                <w:b/>
                <w:bCs w:val="0"/>
              </w:rPr>
              <w:t>Odevixibat n/N</w:t>
            </w:r>
          </w:p>
        </w:tc>
        <w:tc>
          <w:tcPr>
            <w:tcW w:w="833" w:type="pct"/>
            <w:gridSpan w:val="3"/>
            <w:vMerge w:val="restart"/>
            <w:tcBorders>
              <w:top w:val="single" w:sz="4" w:space="0" w:color="auto"/>
              <w:left w:val="single" w:sz="4" w:space="0" w:color="auto"/>
              <w:right w:val="single" w:sz="4" w:space="0" w:color="auto"/>
            </w:tcBorders>
            <w:vAlign w:val="center"/>
          </w:tcPr>
          <w:p w14:paraId="743A45A2" w14:textId="20CB1638" w:rsidR="00200AC1" w:rsidRPr="00275521" w:rsidRDefault="00200AC1" w:rsidP="008B6633">
            <w:pPr>
              <w:pStyle w:val="TableText0"/>
              <w:jc w:val="center"/>
              <w:rPr>
                <w:b/>
                <w:bCs w:val="0"/>
              </w:rPr>
            </w:pPr>
            <w:r w:rsidRPr="00275521">
              <w:rPr>
                <w:b/>
                <w:bCs w:val="0"/>
              </w:rPr>
              <w:t>OR (95% CI)</w:t>
            </w:r>
          </w:p>
        </w:tc>
        <w:tc>
          <w:tcPr>
            <w:tcW w:w="1668" w:type="pct"/>
            <w:gridSpan w:val="3"/>
            <w:tcBorders>
              <w:top w:val="single" w:sz="4" w:space="0" w:color="auto"/>
              <w:left w:val="single" w:sz="4" w:space="0" w:color="auto"/>
              <w:bottom w:val="single" w:sz="4" w:space="0" w:color="auto"/>
              <w:right w:val="single" w:sz="4" w:space="0" w:color="auto"/>
            </w:tcBorders>
            <w:vAlign w:val="center"/>
          </w:tcPr>
          <w:p w14:paraId="57FE9146" w14:textId="1B5C3656" w:rsidR="00200AC1" w:rsidRPr="00275521" w:rsidRDefault="00200AC1" w:rsidP="008B6633">
            <w:pPr>
              <w:pStyle w:val="TableText0"/>
              <w:jc w:val="center"/>
              <w:rPr>
                <w:b/>
                <w:bCs w:val="0"/>
              </w:rPr>
            </w:pPr>
            <w:r w:rsidRPr="00275521">
              <w:rPr>
                <w:b/>
                <w:bCs w:val="0"/>
              </w:rPr>
              <w:t>Event rate / 100 patients</w:t>
            </w:r>
          </w:p>
        </w:tc>
      </w:tr>
      <w:tr w:rsidR="00200AC1" w:rsidRPr="00275521" w14:paraId="3D3A4608" w14:textId="77777777" w:rsidTr="00200AC1">
        <w:trPr>
          <w:cantSplit/>
          <w:trHeight w:val="71"/>
        </w:trPr>
        <w:tc>
          <w:tcPr>
            <w:tcW w:w="833" w:type="pct"/>
            <w:gridSpan w:val="2"/>
            <w:vMerge/>
            <w:tcBorders>
              <w:left w:val="single" w:sz="4" w:space="0" w:color="auto"/>
              <w:bottom w:val="single" w:sz="4" w:space="0" w:color="auto"/>
              <w:right w:val="single" w:sz="4" w:space="0" w:color="auto"/>
            </w:tcBorders>
            <w:vAlign w:val="center"/>
          </w:tcPr>
          <w:p w14:paraId="3CC48B53" w14:textId="77777777" w:rsidR="00200AC1" w:rsidRPr="00275521" w:rsidRDefault="00200AC1" w:rsidP="008B6633">
            <w:pPr>
              <w:pStyle w:val="TableText0"/>
              <w:rPr>
                <w:b/>
                <w:bCs w:val="0"/>
              </w:rPr>
            </w:pPr>
          </w:p>
        </w:tc>
        <w:tc>
          <w:tcPr>
            <w:tcW w:w="833" w:type="pct"/>
            <w:gridSpan w:val="3"/>
            <w:vMerge/>
            <w:tcBorders>
              <w:left w:val="single" w:sz="4" w:space="0" w:color="auto"/>
              <w:bottom w:val="single" w:sz="4" w:space="0" w:color="auto"/>
              <w:right w:val="single" w:sz="4" w:space="0" w:color="auto"/>
            </w:tcBorders>
            <w:vAlign w:val="center"/>
          </w:tcPr>
          <w:p w14:paraId="5B21C82B" w14:textId="77777777" w:rsidR="00200AC1" w:rsidRPr="00275521" w:rsidRDefault="00200AC1" w:rsidP="008B6633">
            <w:pPr>
              <w:pStyle w:val="TableText0"/>
              <w:jc w:val="center"/>
              <w:rPr>
                <w:b/>
                <w:bCs w:val="0"/>
              </w:rPr>
            </w:pPr>
          </w:p>
        </w:tc>
        <w:tc>
          <w:tcPr>
            <w:tcW w:w="833" w:type="pct"/>
            <w:gridSpan w:val="2"/>
            <w:vMerge/>
            <w:tcBorders>
              <w:left w:val="single" w:sz="4" w:space="0" w:color="auto"/>
              <w:bottom w:val="single" w:sz="4" w:space="0" w:color="auto"/>
              <w:right w:val="single" w:sz="4" w:space="0" w:color="auto"/>
            </w:tcBorders>
            <w:vAlign w:val="center"/>
          </w:tcPr>
          <w:p w14:paraId="3A08F6D5" w14:textId="77777777" w:rsidR="00200AC1" w:rsidRPr="00275521" w:rsidRDefault="00200AC1" w:rsidP="008B6633">
            <w:pPr>
              <w:pStyle w:val="TableText0"/>
              <w:jc w:val="center"/>
              <w:rPr>
                <w:b/>
                <w:bCs w:val="0"/>
              </w:rPr>
            </w:pPr>
          </w:p>
        </w:tc>
        <w:tc>
          <w:tcPr>
            <w:tcW w:w="833" w:type="pct"/>
            <w:gridSpan w:val="3"/>
            <w:vMerge/>
            <w:tcBorders>
              <w:left w:val="single" w:sz="4" w:space="0" w:color="auto"/>
              <w:bottom w:val="single" w:sz="4" w:space="0" w:color="auto"/>
              <w:right w:val="single" w:sz="4" w:space="0" w:color="auto"/>
            </w:tcBorders>
            <w:vAlign w:val="center"/>
          </w:tcPr>
          <w:p w14:paraId="04F221B9" w14:textId="77777777" w:rsidR="00200AC1" w:rsidRPr="00275521" w:rsidRDefault="00200AC1" w:rsidP="008B6633">
            <w:pPr>
              <w:pStyle w:val="TableText0"/>
              <w:jc w:val="center"/>
              <w:rPr>
                <w:b/>
                <w:bCs w:val="0"/>
              </w:rPr>
            </w:pPr>
          </w:p>
        </w:tc>
        <w:tc>
          <w:tcPr>
            <w:tcW w:w="834" w:type="pct"/>
            <w:gridSpan w:val="2"/>
            <w:tcBorders>
              <w:top w:val="single" w:sz="4" w:space="0" w:color="auto"/>
              <w:left w:val="single" w:sz="4" w:space="0" w:color="auto"/>
              <w:bottom w:val="single" w:sz="4" w:space="0" w:color="auto"/>
              <w:right w:val="single" w:sz="4" w:space="0" w:color="auto"/>
            </w:tcBorders>
            <w:vAlign w:val="center"/>
          </w:tcPr>
          <w:p w14:paraId="566BA3F5" w14:textId="130BCE75" w:rsidR="00200AC1" w:rsidRPr="00275521" w:rsidRDefault="00200AC1" w:rsidP="008B6633">
            <w:pPr>
              <w:pStyle w:val="TableText0"/>
              <w:jc w:val="center"/>
              <w:rPr>
                <w:b/>
                <w:bCs w:val="0"/>
              </w:rPr>
            </w:pPr>
            <w:r w:rsidRPr="00275521">
              <w:rPr>
                <w:b/>
                <w:bCs w:val="0"/>
              </w:rPr>
              <w:t>Placebo</w:t>
            </w:r>
          </w:p>
        </w:tc>
        <w:tc>
          <w:tcPr>
            <w:tcW w:w="834" w:type="pct"/>
            <w:tcBorders>
              <w:top w:val="single" w:sz="4" w:space="0" w:color="auto"/>
              <w:left w:val="single" w:sz="4" w:space="0" w:color="auto"/>
              <w:bottom w:val="single" w:sz="4" w:space="0" w:color="auto"/>
              <w:right w:val="single" w:sz="4" w:space="0" w:color="auto"/>
            </w:tcBorders>
            <w:vAlign w:val="center"/>
          </w:tcPr>
          <w:p w14:paraId="58046F9A" w14:textId="13D7BF4E" w:rsidR="00200AC1" w:rsidRPr="00275521" w:rsidRDefault="00200AC1" w:rsidP="008B6633">
            <w:pPr>
              <w:pStyle w:val="TableText0"/>
              <w:jc w:val="center"/>
              <w:rPr>
                <w:b/>
                <w:bCs w:val="0"/>
              </w:rPr>
            </w:pPr>
            <w:r w:rsidRPr="00275521">
              <w:rPr>
                <w:b/>
                <w:bCs w:val="0"/>
              </w:rPr>
              <w:t>Odevixibat</w:t>
            </w:r>
          </w:p>
        </w:tc>
      </w:tr>
      <w:tr w:rsidR="00533B1C" w:rsidRPr="00275521" w14:paraId="6A4D5F70" w14:textId="77777777" w:rsidTr="00533B1C">
        <w:trPr>
          <w:cantSplit/>
        </w:trPr>
        <w:tc>
          <w:tcPr>
            <w:tcW w:w="833" w:type="pct"/>
            <w:gridSpan w:val="2"/>
            <w:tcBorders>
              <w:top w:val="single" w:sz="4" w:space="0" w:color="auto"/>
              <w:left w:val="single" w:sz="4" w:space="0" w:color="auto"/>
              <w:bottom w:val="single" w:sz="4" w:space="0" w:color="auto"/>
              <w:right w:val="single" w:sz="4" w:space="0" w:color="auto"/>
            </w:tcBorders>
            <w:vAlign w:val="center"/>
          </w:tcPr>
          <w:p w14:paraId="15AEF5BB" w14:textId="20B679A0" w:rsidR="00533B1C" w:rsidRPr="00275521" w:rsidRDefault="00FC7A2C" w:rsidP="008B6633">
            <w:pPr>
              <w:pStyle w:val="TableText0"/>
            </w:pPr>
            <w:r w:rsidRPr="00275521">
              <w:rPr>
                <w:bCs w:val="0"/>
                <w:szCs w:val="20"/>
              </w:rPr>
              <w:t>≥</w:t>
            </w:r>
            <w:r w:rsidR="00533B1C" w:rsidRPr="00275521">
              <w:t xml:space="preserve">1.0 ObsRO </w:t>
            </w:r>
            <w:r w:rsidR="00200AC1" w:rsidRPr="00275521">
              <w:t xml:space="preserve">score </w:t>
            </w:r>
            <w:r w:rsidR="00533B1C" w:rsidRPr="00275521">
              <w:t>reduction</w:t>
            </w:r>
          </w:p>
        </w:tc>
        <w:tc>
          <w:tcPr>
            <w:tcW w:w="833" w:type="pct"/>
            <w:gridSpan w:val="3"/>
            <w:tcBorders>
              <w:top w:val="single" w:sz="4" w:space="0" w:color="auto"/>
              <w:left w:val="single" w:sz="4" w:space="0" w:color="auto"/>
              <w:bottom w:val="single" w:sz="4" w:space="0" w:color="auto"/>
              <w:right w:val="single" w:sz="4" w:space="0" w:color="auto"/>
            </w:tcBorders>
            <w:vAlign w:val="center"/>
          </w:tcPr>
          <w:p w14:paraId="7415C532" w14:textId="5EBEC560" w:rsidR="00533B1C" w:rsidRPr="00275521" w:rsidRDefault="00200AC1" w:rsidP="008B6633">
            <w:pPr>
              <w:pStyle w:val="TableText0"/>
              <w:jc w:val="center"/>
            </w:pPr>
            <w:r w:rsidRPr="00275521">
              <w:t>6/17</w:t>
            </w:r>
          </w:p>
        </w:tc>
        <w:tc>
          <w:tcPr>
            <w:tcW w:w="833" w:type="pct"/>
            <w:gridSpan w:val="2"/>
            <w:tcBorders>
              <w:top w:val="single" w:sz="4" w:space="0" w:color="auto"/>
              <w:left w:val="single" w:sz="4" w:space="0" w:color="auto"/>
              <w:bottom w:val="single" w:sz="4" w:space="0" w:color="auto"/>
              <w:right w:val="single" w:sz="4" w:space="0" w:color="auto"/>
            </w:tcBorders>
            <w:vAlign w:val="center"/>
          </w:tcPr>
          <w:p w14:paraId="023B0D33" w14:textId="3A0524F1" w:rsidR="00533B1C" w:rsidRPr="00275521" w:rsidRDefault="00200AC1" w:rsidP="008B6633">
            <w:pPr>
              <w:pStyle w:val="TableText0"/>
              <w:jc w:val="center"/>
            </w:pPr>
            <w:r w:rsidRPr="00275521">
              <w:t>28/35</w:t>
            </w:r>
          </w:p>
        </w:tc>
        <w:tc>
          <w:tcPr>
            <w:tcW w:w="833" w:type="pct"/>
            <w:gridSpan w:val="3"/>
            <w:tcBorders>
              <w:top w:val="single" w:sz="4" w:space="0" w:color="auto"/>
              <w:left w:val="single" w:sz="4" w:space="0" w:color="auto"/>
              <w:bottom w:val="single" w:sz="4" w:space="0" w:color="auto"/>
              <w:right w:val="single" w:sz="4" w:space="0" w:color="auto"/>
            </w:tcBorders>
            <w:vAlign w:val="center"/>
          </w:tcPr>
          <w:p w14:paraId="2E75FEB9" w14:textId="37CCAF22" w:rsidR="00533B1C" w:rsidRPr="00275521" w:rsidRDefault="00200AC1" w:rsidP="008B6633">
            <w:pPr>
              <w:pStyle w:val="TableText0"/>
              <w:jc w:val="center"/>
              <w:rPr>
                <w:b/>
                <w:bCs w:val="0"/>
              </w:rPr>
            </w:pPr>
            <w:r w:rsidRPr="00275521">
              <w:rPr>
                <w:b/>
                <w:bCs w:val="0"/>
              </w:rPr>
              <w:t>8.31 (1.82, 44.48)</w:t>
            </w:r>
          </w:p>
        </w:tc>
        <w:tc>
          <w:tcPr>
            <w:tcW w:w="833" w:type="pct"/>
            <w:gridSpan w:val="2"/>
            <w:tcBorders>
              <w:top w:val="single" w:sz="4" w:space="0" w:color="auto"/>
              <w:left w:val="single" w:sz="4" w:space="0" w:color="auto"/>
              <w:bottom w:val="single" w:sz="4" w:space="0" w:color="auto"/>
              <w:right w:val="single" w:sz="4" w:space="0" w:color="auto"/>
            </w:tcBorders>
            <w:vAlign w:val="center"/>
          </w:tcPr>
          <w:p w14:paraId="7FB9C497" w14:textId="2BEBABBC" w:rsidR="00533B1C" w:rsidRPr="00275521" w:rsidRDefault="00200AC1" w:rsidP="008B6633">
            <w:pPr>
              <w:pStyle w:val="TableText0"/>
              <w:jc w:val="center"/>
            </w:pPr>
            <w:r w:rsidRPr="00275521">
              <w:t>35</w:t>
            </w:r>
            <w:r w:rsidR="00B61579" w:rsidRPr="00275521">
              <w:t>.3</w:t>
            </w:r>
          </w:p>
        </w:tc>
        <w:tc>
          <w:tcPr>
            <w:tcW w:w="835" w:type="pct"/>
            <w:tcBorders>
              <w:top w:val="single" w:sz="4" w:space="0" w:color="auto"/>
              <w:left w:val="single" w:sz="4" w:space="0" w:color="auto"/>
              <w:bottom w:val="single" w:sz="4" w:space="0" w:color="auto"/>
              <w:right w:val="single" w:sz="4" w:space="0" w:color="auto"/>
            </w:tcBorders>
            <w:vAlign w:val="center"/>
          </w:tcPr>
          <w:p w14:paraId="14B7CD58" w14:textId="2BAA7B16" w:rsidR="00533B1C" w:rsidRPr="00275521" w:rsidRDefault="00200AC1" w:rsidP="008B6633">
            <w:pPr>
              <w:pStyle w:val="TableText0"/>
              <w:jc w:val="center"/>
            </w:pPr>
            <w:r w:rsidRPr="00275521">
              <w:t>80</w:t>
            </w:r>
            <w:r w:rsidR="00B61579" w:rsidRPr="00275521">
              <w:t>.0</w:t>
            </w:r>
          </w:p>
        </w:tc>
      </w:tr>
      <w:tr w:rsidR="00533B1C" w:rsidRPr="00275521" w14:paraId="29F35FB2" w14:textId="77777777" w:rsidTr="00533B1C">
        <w:trPr>
          <w:cantSplit/>
        </w:trPr>
        <w:tc>
          <w:tcPr>
            <w:tcW w:w="833" w:type="pct"/>
            <w:gridSpan w:val="2"/>
            <w:tcBorders>
              <w:top w:val="single" w:sz="4" w:space="0" w:color="auto"/>
              <w:left w:val="single" w:sz="4" w:space="0" w:color="auto"/>
              <w:bottom w:val="single" w:sz="4" w:space="0" w:color="auto"/>
              <w:right w:val="single" w:sz="4" w:space="0" w:color="auto"/>
            </w:tcBorders>
            <w:vAlign w:val="center"/>
          </w:tcPr>
          <w:p w14:paraId="4E095FAC" w14:textId="1364A813" w:rsidR="00533B1C" w:rsidRPr="00275521" w:rsidRDefault="00FC7A2C" w:rsidP="008B6633">
            <w:pPr>
              <w:pStyle w:val="TableText0"/>
            </w:pPr>
            <w:r w:rsidRPr="00275521">
              <w:rPr>
                <w:bCs w:val="0"/>
                <w:szCs w:val="20"/>
              </w:rPr>
              <w:t>≥</w:t>
            </w:r>
            <w:r w:rsidR="00533B1C" w:rsidRPr="00275521">
              <w:t>1.5 ObsRO</w:t>
            </w:r>
            <w:r w:rsidR="00200AC1" w:rsidRPr="00275521">
              <w:t xml:space="preserve"> score</w:t>
            </w:r>
            <w:r w:rsidR="00533B1C" w:rsidRPr="00275521">
              <w:t xml:space="preserve"> reduction</w:t>
            </w:r>
          </w:p>
        </w:tc>
        <w:tc>
          <w:tcPr>
            <w:tcW w:w="833" w:type="pct"/>
            <w:gridSpan w:val="3"/>
            <w:tcBorders>
              <w:top w:val="single" w:sz="4" w:space="0" w:color="auto"/>
              <w:left w:val="single" w:sz="4" w:space="0" w:color="auto"/>
              <w:bottom w:val="single" w:sz="4" w:space="0" w:color="auto"/>
              <w:right w:val="single" w:sz="4" w:space="0" w:color="auto"/>
            </w:tcBorders>
            <w:vAlign w:val="center"/>
          </w:tcPr>
          <w:p w14:paraId="58A83216" w14:textId="1DC4A2BC" w:rsidR="00533B1C" w:rsidRPr="00275521" w:rsidRDefault="00200AC1" w:rsidP="008B6633">
            <w:pPr>
              <w:pStyle w:val="TableText0"/>
              <w:jc w:val="center"/>
            </w:pPr>
            <w:r w:rsidRPr="00275521">
              <w:t>3/17</w:t>
            </w:r>
          </w:p>
        </w:tc>
        <w:tc>
          <w:tcPr>
            <w:tcW w:w="833" w:type="pct"/>
            <w:gridSpan w:val="2"/>
            <w:tcBorders>
              <w:top w:val="single" w:sz="4" w:space="0" w:color="auto"/>
              <w:left w:val="single" w:sz="4" w:space="0" w:color="auto"/>
              <w:bottom w:val="single" w:sz="4" w:space="0" w:color="auto"/>
              <w:right w:val="single" w:sz="4" w:space="0" w:color="auto"/>
            </w:tcBorders>
            <w:vAlign w:val="center"/>
          </w:tcPr>
          <w:p w14:paraId="4796565A" w14:textId="42F62191" w:rsidR="00533B1C" w:rsidRPr="00275521" w:rsidRDefault="00200AC1" w:rsidP="008B6633">
            <w:pPr>
              <w:pStyle w:val="TableText0"/>
              <w:jc w:val="center"/>
            </w:pPr>
            <w:r w:rsidRPr="00275521">
              <w:t>19/35</w:t>
            </w:r>
          </w:p>
        </w:tc>
        <w:tc>
          <w:tcPr>
            <w:tcW w:w="833" w:type="pct"/>
            <w:gridSpan w:val="3"/>
            <w:tcBorders>
              <w:top w:val="single" w:sz="4" w:space="0" w:color="auto"/>
              <w:left w:val="single" w:sz="4" w:space="0" w:color="auto"/>
              <w:bottom w:val="single" w:sz="4" w:space="0" w:color="auto"/>
              <w:right w:val="single" w:sz="4" w:space="0" w:color="auto"/>
            </w:tcBorders>
            <w:vAlign w:val="center"/>
          </w:tcPr>
          <w:p w14:paraId="6D7B84CC" w14:textId="66772067" w:rsidR="00533B1C" w:rsidRPr="00275521" w:rsidRDefault="00200AC1" w:rsidP="008B6633">
            <w:pPr>
              <w:pStyle w:val="TableText0"/>
              <w:jc w:val="center"/>
              <w:rPr>
                <w:b/>
                <w:bCs w:val="0"/>
              </w:rPr>
            </w:pPr>
            <w:r w:rsidRPr="00275521">
              <w:rPr>
                <w:b/>
                <w:bCs w:val="0"/>
              </w:rPr>
              <w:t>5.15 (1.17, 34.16)</w:t>
            </w:r>
          </w:p>
        </w:tc>
        <w:tc>
          <w:tcPr>
            <w:tcW w:w="833" w:type="pct"/>
            <w:gridSpan w:val="2"/>
            <w:tcBorders>
              <w:top w:val="single" w:sz="4" w:space="0" w:color="auto"/>
              <w:left w:val="single" w:sz="4" w:space="0" w:color="auto"/>
              <w:bottom w:val="single" w:sz="4" w:space="0" w:color="auto"/>
              <w:right w:val="single" w:sz="4" w:space="0" w:color="auto"/>
            </w:tcBorders>
            <w:vAlign w:val="center"/>
          </w:tcPr>
          <w:p w14:paraId="36A2789A" w14:textId="75DE3847" w:rsidR="00533B1C" w:rsidRPr="00275521" w:rsidRDefault="00200AC1" w:rsidP="008B6633">
            <w:pPr>
              <w:pStyle w:val="TableText0"/>
              <w:jc w:val="center"/>
            </w:pPr>
            <w:r w:rsidRPr="00275521">
              <w:t>1</w:t>
            </w:r>
            <w:r w:rsidR="00B61579" w:rsidRPr="00275521">
              <w:t>7.6</w:t>
            </w:r>
          </w:p>
        </w:tc>
        <w:tc>
          <w:tcPr>
            <w:tcW w:w="835" w:type="pct"/>
            <w:tcBorders>
              <w:top w:val="single" w:sz="4" w:space="0" w:color="auto"/>
              <w:left w:val="single" w:sz="4" w:space="0" w:color="auto"/>
              <w:bottom w:val="single" w:sz="4" w:space="0" w:color="auto"/>
              <w:right w:val="single" w:sz="4" w:space="0" w:color="auto"/>
            </w:tcBorders>
            <w:vAlign w:val="center"/>
          </w:tcPr>
          <w:p w14:paraId="11F97467" w14:textId="66E3E868" w:rsidR="00533B1C" w:rsidRPr="00275521" w:rsidRDefault="00B61579" w:rsidP="008B6633">
            <w:pPr>
              <w:pStyle w:val="TableText0"/>
              <w:jc w:val="center"/>
            </w:pPr>
            <w:r w:rsidRPr="00275521">
              <w:t>54.3</w:t>
            </w:r>
          </w:p>
        </w:tc>
      </w:tr>
    </w:tbl>
    <w:p w14:paraId="411C98B8" w14:textId="45D97A58" w:rsidR="00F54BC0" w:rsidRPr="00275521" w:rsidRDefault="00620C25" w:rsidP="008B6633">
      <w:pPr>
        <w:pStyle w:val="FooterTableFigure"/>
        <w:keepLines/>
        <w:jc w:val="left"/>
      </w:pPr>
      <w:r w:rsidRPr="00275521">
        <w:t xml:space="preserve">Source: </w:t>
      </w:r>
      <w:r w:rsidR="000406F7" w:rsidRPr="00275521">
        <w:t xml:space="preserve">Table 2-20, </w:t>
      </w:r>
      <w:r w:rsidR="00200AC1" w:rsidRPr="00275521">
        <w:t xml:space="preserve">Table 2-27, </w:t>
      </w:r>
      <w:r w:rsidR="000406F7" w:rsidRPr="00275521">
        <w:t>p69</w:t>
      </w:r>
      <w:r w:rsidR="00200AC1" w:rsidRPr="00275521">
        <w:t xml:space="preserve"> and p78</w:t>
      </w:r>
      <w:r w:rsidR="000406F7" w:rsidRPr="00275521">
        <w:t xml:space="preserve"> of the submission</w:t>
      </w:r>
      <w:r w:rsidR="00035019" w:rsidRPr="00275521">
        <w:t xml:space="preserve"> </w:t>
      </w:r>
    </w:p>
    <w:p w14:paraId="2FB07167" w14:textId="36D2D156" w:rsidR="002441D2" w:rsidRPr="00275521" w:rsidRDefault="000406F7" w:rsidP="008B6633">
      <w:pPr>
        <w:pStyle w:val="FooterTableFigure"/>
        <w:keepLines/>
        <w:jc w:val="left"/>
      </w:pPr>
      <w:r w:rsidRPr="00275521">
        <w:t>CI = confidence interval;</w:t>
      </w:r>
      <w:r w:rsidR="008B6633">
        <w:t xml:space="preserve"> </w:t>
      </w:r>
      <w:r w:rsidR="00F54BC0" w:rsidRPr="00275521">
        <w:t xml:space="preserve">LS = least square; </w:t>
      </w:r>
      <w:r w:rsidR="00B61579" w:rsidRPr="00275521">
        <w:t xml:space="preserve">OR = odds ratio; </w:t>
      </w:r>
      <w:r w:rsidRPr="00275521">
        <w:t>SD = standard</w:t>
      </w:r>
      <w:r w:rsidR="008B6633">
        <w:t xml:space="preserve"> </w:t>
      </w:r>
      <w:r w:rsidRPr="00275521">
        <w:t>deviation</w:t>
      </w:r>
      <w:r w:rsidR="00B61579" w:rsidRPr="00275521">
        <w:t>; SE = standard error</w:t>
      </w:r>
    </w:p>
    <w:p w14:paraId="2720AC53" w14:textId="743F64A1" w:rsidR="00FC1884" w:rsidRPr="00385A6B" w:rsidRDefault="00B04CEF" w:rsidP="008B6633">
      <w:pPr>
        <w:pStyle w:val="3-BodyText"/>
        <w:spacing w:before="160" w:after="160"/>
        <w:rPr>
          <w:rFonts w:cstheme="minorHAnsi"/>
        </w:rPr>
      </w:pPr>
      <w:r w:rsidRPr="00385A6B">
        <w:rPr>
          <w:rFonts w:cstheme="minorHAnsi"/>
        </w:rPr>
        <w:t>Based on</w:t>
      </w:r>
      <w:r w:rsidR="00EC00C9" w:rsidRPr="00385A6B">
        <w:rPr>
          <w:rFonts w:cstheme="minorHAnsi"/>
        </w:rPr>
        <w:t xml:space="preserve"> direct</w:t>
      </w:r>
      <w:r w:rsidR="000406F7" w:rsidRPr="00385A6B">
        <w:rPr>
          <w:rFonts w:cstheme="minorHAnsi"/>
        </w:rPr>
        <w:t xml:space="preserve"> comparative </w:t>
      </w:r>
      <w:r w:rsidR="00EC00C9" w:rsidRPr="00385A6B">
        <w:rPr>
          <w:rFonts w:cstheme="minorHAnsi"/>
        </w:rPr>
        <w:t xml:space="preserve">evidence presented by the submission, </w:t>
      </w:r>
      <w:r w:rsidR="000406F7" w:rsidRPr="00385A6B">
        <w:rPr>
          <w:rFonts w:cstheme="minorHAnsi"/>
        </w:rPr>
        <w:t>the comparison of</w:t>
      </w:r>
      <w:r w:rsidR="00EC00C9" w:rsidRPr="00385A6B">
        <w:rPr>
          <w:rFonts w:cstheme="minorHAnsi"/>
        </w:rPr>
        <w:t xml:space="preserve"> </w:t>
      </w:r>
      <w:r w:rsidR="000406F7" w:rsidRPr="00385A6B">
        <w:rPr>
          <w:rFonts w:cstheme="minorHAnsi"/>
        </w:rPr>
        <w:t>odevixibat</w:t>
      </w:r>
      <w:r w:rsidR="00EC00C9" w:rsidRPr="00385A6B">
        <w:rPr>
          <w:rFonts w:cstheme="minorHAnsi"/>
        </w:rPr>
        <w:t xml:space="preserve"> </w:t>
      </w:r>
      <w:r w:rsidR="000406F7" w:rsidRPr="00385A6B">
        <w:rPr>
          <w:rFonts w:cstheme="minorHAnsi"/>
        </w:rPr>
        <w:t>(120 µg/kg/day) and</w:t>
      </w:r>
      <w:r w:rsidR="006D68FB" w:rsidRPr="00385A6B">
        <w:rPr>
          <w:rFonts w:cstheme="minorHAnsi"/>
        </w:rPr>
        <w:t xml:space="preserve"> </w:t>
      </w:r>
      <w:r w:rsidR="000406F7" w:rsidRPr="00385A6B">
        <w:rPr>
          <w:rFonts w:cstheme="minorHAnsi"/>
        </w:rPr>
        <w:t>placebo resulted in:</w:t>
      </w:r>
    </w:p>
    <w:p w14:paraId="3B653B96" w14:textId="6690BD90" w:rsidR="00FC1884" w:rsidRPr="00385A6B" w:rsidRDefault="003270E4" w:rsidP="008B6633">
      <w:pPr>
        <w:pStyle w:val="ListParagraph"/>
        <w:numPr>
          <w:ilvl w:val="0"/>
          <w:numId w:val="11"/>
        </w:numPr>
      </w:pPr>
      <w:r w:rsidRPr="00385A6B">
        <w:rPr>
          <w:snapToGrid/>
        </w:rPr>
        <w:lastRenderedPageBreak/>
        <w:t>Approximately a</w:t>
      </w:r>
      <w:r w:rsidR="00F42637" w:rsidRPr="00385A6B">
        <w:rPr>
          <w:snapToGrid/>
        </w:rPr>
        <w:t>n</w:t>
      </w:r>
      <w:r w:rsidRPr="00385A6B">
        <w:rPr>
          <w:snapToGrid/>
        </w:rPr>
        <w:t xml:space="preserve"> 0.</w:t>
      </w:r>
      <w:r w:rsidR="000406F7" w:rsidRPr="00385A6B">
        <w:rPr>
          <w:snapToGrid/>
        </w:rPr>
        <w:t>88</w:t>
      </w:r>
      <w:r w:rsidR="00F42637" w:rsidRPr="00385A6B">
        <w:rPr>
          <w:snapToGrid/>
        </w:rPr>
        <w:t xml:space="preserve"> point</w:t>
      </w:r>
      <w:r w:rsidRPr="00385A6B">
        <w:rPr>
          <w:snapToGrid/>
        </w:rPr>
        <w:t xml:space="preserve"> reduction in </w:t>
      </w:r>
      <w:r w:rsidR="000406F7" w:rsidRPr="00385A6B">
        <w:rPr>
          <w:snapToGrid/>
        </w:rPr>
        <w:t xml:space="preserve">ObsRO </w:t>
      </w:r>
      <w:r w:rsidR="001E4A26" w:rsidRPr="00385A6B">
        <w:rPr>
          <w:snapToGrid/>
        </w:rPr>
        <w:t xml:space="preserve">pruritis </w:t>
      </w:r>
      <w:r w:rsidR="000406F7" w:rsidRPr="00385A6B">
        <w:rPr>
          <w:snapToGrid/>
        </w:rPr>
        <w:t>scratching score</w:t>
      </w:r>
      <w:r w:rsidRPr="00385A6B">
        <w:rPr>
          <w:snapToGrid/>
        </w:rPr>
        <w:t xml:space="preserve"> over a </w:t>
      </w:r>
      <w:r w:rsidR="000406F7" w:rsidRPr="00385A6B">
        <w:rPr>
          <w:snapToGrid/>
        </w:rPr>
        <w:t>24 week</w:t>
      </w:r>
      <w:r w:rsidRPr="00385A6B">
        <w:rPr>
          <w:snapToGrid/>
        </w:rPr>
        <w:t xml:space="preserve"> duration of exposure.</w:t>
      </w:r>
      <w:r w:rsidR="00BC591F" w:rsidRPr="00385A6B">
        <w:rPr>
          <w:snapToGrid/>
        </w:rPr>
        <w:t xml:space="preserve"> </w:t>
      </w:r>
      <w:r w:rsidR="00B61579" w:rsidRPr="00385A6B">
        <w:rPr>
          <w:snapToGrid/>
        </w:rPr>
        <w:t>and</w:t>
      </w:r>
    </w:p>
    <w:p w14:paraId="375328FF" w14:textId="51928540" w:rsidR="00B61579" w:rsidRPr="00385A6B" w:rsidRDefault="00B61579" w:rsidP="008B6633">
      <w:pPr>
        <w:pStyle w:val="ListParagraph"/>
        <w:numPr>
          <w:ilvl w:val="0"/>
          <w:numId w:val="11"/>
        </w:numPr>
        <w:rPr>
          <w:rStyle w:val="3-BodyTextChar"/>
          <w:rFonts w:eastAsia="Times New Roman" w:cstheme="minorHAnsi"/>
          <w:szCs w:val="24"/>
        </w:rPr>
      </w:pPr>
      <w:r w:rsidRPr="00385A6B">
        <w:rPr>
          <w:snapToGrid/>
        </w:rPr>
        <w:t xml:space="preserve">Approximately a -112.74 </w:t>
      </w:r>
      <w:r w:rsidRPr="00385A6B">
        <w:rPr>
          <w:rStyle w:val="3-BodyTextChar"/>
          <w:rFonts w:cstheme="minorHAnsi"/>
        </w:rPr>
        <w:t>µmol/L</w:t>
      </w:r>
      <w:r w:rsidRPr="00385A6B">
        <w:rPr>
          <w:b/>
          <w:bCs/>
          <w:sz w:val="20"/>
          <w:szCs w:val="20"/>
        </w:rPr>
        <w:t xml:space="preserve"> </w:t>
      </w:r>
      <w:r w:rsidRPr="00385A6B">
        <w:rPr>
          <w:rStyle w:val="3-BodyTextChar"/>
          <w:rFonts w:cstheme="minorHAnsi"/>
        </w:rPr>
        <w:t>reduction in sBA levels over a 20-24 week duration of exposure</w:t>
      </w:r>
      <w:r w:rsidR="00C62371" w:rsidRPr="00385A6B">
        <w:rPr>
          <w:rStyle w:val="3-BodyTextChar"/>
          <w:rFonts w:cstheme="minorHAnsi"/>
        </w:rPr>
        <w:t>.</w:t>
      </w:r>
    </w:p>
    <w:p w14:paraId="3B8B6AB7" w14:textId="77777777" w:rsidR="00B61579" w:rsidRPr="00385A6B" w:rsidRDefault="00B61579" w:rsidP="008B6633">
      <w:pPr>
        <w:pStyle w:val="3-BodyText"/>
        <w:spacing w:before="160" w:after="160"/>
        <w:rPr>
          <w:rFonts w:cstheme="minorHAnsi"/>
        </w:rPr>
      </w:pPr>
      <w:r w:rsidRPr="00385A6B">
        <w:rPr>
          <w:rFonts w:cstheme="minorHAnsi"/>
        </w:rPr>
        <w:t>For every 100 patients treated with odevixibat in comparison with placebo over a duration of exposure of 21-24 weeks:</w:t>
      </w:r>
    </w:p>
    <w:p w14:paraId="05E2C9EB" w14:textId="17FE33A9" w:rsidR="00C62371" w:rsidRPr="00385A6B" w:rsidRDefault="00B61579" w:rsidP="008B6633">
      <w:pPr>
        <w:pStyle w:val="ListParagraph"/>
        <w:rPr>
          <w:snapToGrid/>
        </w:rPr>
      </w:pPr>
      <w:r w:rsidRPr="00385A6B">
        <w:rPr>
          <w:snapToGrid/>
        </w:rPr>
        <w:t>Approximately 45 additional patients would have a &gt;1.0 reduction in the ObsRO pruritus scratching score; and</w:t>
      </w:r>
    </w:p>
    <w:p w14:paraId="3643DCD9" w14:textId="3892C524" w:rsidR="00C62371" w:rsidRPr="00385A6B" w:rsidRDefault="00B61579" w:rsidP="008B6633">
      <w:pPr>
        <w:pStyle w:val="ListParagraph"/>
      </w:pPr>
      <w:r w:rsidRPr="00385A6B">
        <w:rPr>
          <w:snapToGrid/>
        </w:rPr>
        <w:t>Approximately 37 additional patients would have a &gt;1.5 reduction in the ObsRO pruritus scratching score.</w:t>
      </w:r>
    </w:p>
    <w:p w14:paraId="7A1772B6" w14:textId="23BB3145" w:rsidR="00B60939" w:rsidRPr="00385A6B" w:rsidRDefault="00B60939" w:rsidP="008B6633">
      <w:pPr>
        <w:pStyle w:val="4-SubsectionHeading"/>
        <w:rPr>
          <w:iCs/>
        </w:rPr>
      </w:pPr>
      <w:bookmarkStart w:id="50" w:name="_Toc22897644"/>
      <w:bookmarkStart w:id="51" w:name="_Toc219900851"/>
      <w:r w:rsidRPr="00385A6B">
        <w:t>Clinical claim</w:t>
      </w:r>
      <w:bookmarkEnd w:id="50"/>
      <w:bookmarkEnd w:id="51"/>
    </w:p>
    <w:p w14:paraId="6B8E8058" w14:textId="6B7F599E" w:rsidR="00947F41" w:rsidRPr="0067530C" w:rsidRDefault="005F7588" w:rsidP="008B6633">
      <w:pPr>
        <w:pStyle w:val="3-BodyText"/>
        <w:spacing w:before="160" w:after="160"/>
        <w:rPr>
          <w:rFonts w:eastAsia="Calibri" w:cstheme="minorHAnsi"/>
        </w:rPr>
      </w:pPr>
      <w:bookmarkStart w:id="52" w:name="_Ref226366481"/>
      <w:r w:rsidRPr="00385A6B">
        <w:rPr>
          <w:rFonts w:eastAsia="Calibri" w:cstheme="minorHAnsi"/>
        </w:rPr>
        <w:t xml:space="preserve">The submission described </w:t>
      </w:r>
      <w:r w:rsidR="003E6328" w:rsidRPr="00385A6B">
        <w:rPr>
          <w:rFonts w:eastAsia="Calibri" w:cstheme="minorHAnsi"/>
        </w:rPr>
        <w:t>odevixibat</w:t>
      </w:r>
      <w:r w:rsidRPr="00385A6B">
        <w:rPr>
          <w:rFonts w:eastAsia="Calibri" w:cstheme="minorHAnsi"/>
        </w:rPr>
        <w:t xml:space="preserve"> as superior</w:t>
      </w:r>
      <w:r w:rsidR="003E6328" w:rsidRPr="00385A6B">
        <w:rPr>
          <w:rFonts w:eastAsia="Calibri" w:cstheme="minorHAnsi"/>
        </w:rPr>
        <w:t xml:space="preserve"> </w:t>
      </w:r>
      <w:r w:rsidRPr="00385A6B">
        <w:rPr>
          <w:rFonts w:eastAsia="Calibri" w:cstheme="minorHAnsi"/>
        </w:rPr>
        <w:t xml:space="preserve">in terms of effectiveness compared to </w:t>
      </w:r>
      <w:r w:rsidR="003E6328" w:rsidRPr="00385A6B">
        <w:rPr>
          <w:rFonts w:eastAsia="Calibri" w:cstheme="minorHAnsi"/>
        </w:rPr>
        <w:t>SoC</w:t>
      </w:r>
      <w:r w:rsidRPr="00385A6B">
        <w:rPr>
          <w:rFonts w:eastAsia="Calibri" w:cstheme="minorHAnsi"/>
        </w:rPr>
        <w:t xml:space="preserve">. </w:t>
      </w:r>
      <w:r w:rsidR="00AF6A89" w:rsidRPr="00385A6B">
        <w:rPr>
          <w:rFonts w:eastAsia="Calibri" w:cstheme="minorHAnsi"/>
        </w:rPr>
        <w:t>T</w:t>
      </w:r>
      <w:r w:rsidR="00E356E9">
        <w:rPr>
          <w:rFonts w:eastAsia="Calibri" w:cstheme="minorHAnsi"/>
        </w:rPr>
        <w:t xml:space="preserve">he </w:t>
      </w:r>
      <w:r w:rsidR="00E356E9" w:rsidRPr="0067530C">
        <w:rPr>
          <w:rFonts w:eastAsia="Calibri" w:cstheme="minorHAnsi"/>
        </w:rPr>
        <w:t>evaluation considered that t</w:t>
      </w:r>
      <w:r w:rsidR="00AF6A89" w:rsidRPr="0067530C">
        <w:rPr>
          <w:rFonts w:eastAsia="Calibri" w:cstheme="minorHAnsi"/>
        </w:rPr>
        <w:t xml:space="preserve">his claim </w:t>
      </w:r>
      <w:r w:rsidR="003E6328" w:rsidRPr="0067530C">
        <w:rPr>
          <w:rFonts w:eastAsia="Calibri" w:cstheme="minorHAnsi"/>
        </w:rPr>
        <w:t>was partially supported by direct evidence from ASSERT</w:t>
      </w:r>
      <w:r w:rsidR="006F1BFE" w:rsidRPr="0067530C">
        <w:rPr>
          <w:rFonts w:eastAsia="Calibri" w:cstheme="minorHAnsi"/>
        </w:rPr>
        <w:t>,</w:t>
      </w:r>
      <w:r w:rsidR="003E6328" w:rsidRPr="0067530C">
        <w:rPr>
          <w:rFonts w:eastAsia="Calibri" w:cstheme="minorHAnsi"/>
        </w:rPr>
        <w:t xml:space="preserve"> </w:t>
      </w:r>
      <w:r w:rsidR="002F6F16" w:rsidRPr="0067530C">
        <w:rPr>
          <w:rFonts w:eastAsia="Calibri" w:cstheme="minorHAnsi"/>
        </w:rPr>
        <w:t>i.e.</w:t>
      </w:r>
      <w:r w:rsidR="00947F41" w:rsidRPr="0067530C">
        <w:rPr>
          <w:rFonts w:eastAsia="Calibri" w:cstheme="minorHAnsi"/>
        </w:rPr>
        <w:t>:</w:t>
      </w:r>
      <w:bookmarkEnd w:id="52"/>
      <w:r w:rsidR="003E6328" w:rsidRPr="0067530C">
        <w:rPr>
          <w:rFonts w:eastAsia="Calibri" w:cstheme="minorHAnsi"/>
        </w:rPr>
        <w:t xml:space="preserve"> </w:t>
      </w:r>
    </w:p>
    <w:p w14:paraId="63184D4E" w14:textId="6B4920A1" w:rsidR="00947F41" w:rsidRPr="0067530C" w:rsidRDefault="00947F41" w:rsidP="008B6633">
      <w:pPr>
        <w:pStyle w:val="3-BodyText"/>
        <w:numPr>
          <w:ilvl w:val="0"/>
          <w:numId w:val="12"/>
        </w:numPr>
        <w:spacing w:before="160" w:after="160"/>
        <w:rPr>
          <w:rFonts w:eastAsia="Calibri" w:cstheme="minorHAnsi"/>
        </w:rPr>
      </w:pPr>
      <w:r w:rsidRPr="0067530C">
        <w:rPr>
          <w:rFonts w:eastAsia="Calibri" w:cstheme="minorHAnsi"/>
        </w:rPr>
        <w:t>O</w:t>
      </w:r>
      <w:r w:rsidR="003E6328" w:rsidRPr="0067530C">
        <w:rPr>
          <w:rFonts w:eastAsia="Calibri" w:cstheme="minorHAnsi"/>
        </w:rPr>
        <w:t>devixibat treatment led to a statistically significant decrease in the ObsRO pruritus scratching score over 24 weeks compared with placebo (LS mean difference -</w:t>
      </w:r>
      <w:r w:rsidR="00EC69AC" w:rsidRPr="0067530C">
        <w:rPr>
          <w:rFonts w:eastAsia="Calibri" w:cstheme="minorHAnsi"/>
        </w:rPr>
        <w:t> </w:t>
      </w:r>
      <w:r w:rsidR="003E6328" w:rsidRPr="0067530C">
        <w:rPr>
          <w:rFonts w:eastAsia="Calibri" w:cstheme="minorHAnsi"/>
        </w:rPr>
        <w:t xml:space="preserve">0.88 [95% CI: -1.44, -0.33] p=0.0024). </w:t>
      </w:r>
    </w:p>
    <w:p w14:paraId="3FEB4795" w14:textId="2EEC47CA" w:rsidR="00947F41" w:rsidRPr="0067530C" w:rsidRDefault="00947F41" w:rsidP="008B6633">
      <w:pPr>
        <w:pStyle w:val="3-BodyText"/>
        <w:numPr>
          <w:ilvl w:val="0"/>
          <w:numId w:val="12"/>
        </w:numPr>
        <w:spacing w:before="160" w:after="160"/>
        <w:rPr>
          <w:rFonts w:eastAsia="Calibri" w:cstheme="minorHAnsi"/>
        </w:rPr>
      </w:pPr>
      <w:r w:rsidRPr="0067530C">
        <w:rPr>
          <w:rFonts w:eastAsia="Calibri" w:cstheme="minorHAnsi"/>
        </w:rPr>
        <w:t>There was a</w:t>
      </w:r>
      <w:r w:rsidR="00AF6A89" w:rsidRPr="0067530C">
        <w:rPr>
          <w:rFonts w:eastAsia="Calibri" w:cstheme="minorHAnsi"/>
        </w:rPr>
        <w:t xml:space="preserve"> statistically significant </w:t>
      </w:r>
      <w:r w:rsidRPr="0067530C">
        <w:rPr>
          <w:rFonts w:eastAsia="Calibri" w:cstheme="minorHAnsi"/>
        </w:rPr>
        <w:t xml:space="preserve">difference in the </w:t>
      </w:r>
      <w:r w:rsidR="00AF6A89" w:rsidRPr="0067530C">
        <w:rPr>
          <w:rFonts w:eastAsia="Calibri" w:cstheme="minorHAnsi"/>
        </w:rPr>
        <w:t xml:space="preserve">proportion of </w:t>
      </w:r>
      <w:r w:rsidRPr="0067530C">
        <w:rPr>
          <w:rFonts w:eastAsia="Calibri" w:cstheme="minorHAnsi"/>
        </w:rPr>
        <w:t>patients</w:t>
      </w:r>
      <w:r w:rsidR="00AF6A89" w:rsidRPr="0067530C">
        <w:rPr>
          <w:rFonts w:eastAsia="Calibri" w:cstheme="minorHAnsi"/>
        </w:rPr>
        <w:t xml:space="preserve"> with a ≥1.5-point </w:t>
      </w:r>
      <w:r w:rsidRPr="0067530C">
        <w:rPr>
          <w:rFonts w:eastAsia="Calibri" w:cstheme="minorHAnsi"/>
        </w:rPr>
        <w:t xml:space="preserve">ObsRO scratching </w:t>
      </w:r>
      <w:r w:rsidR="00AF6A89" w:rsidRPr="0067530C">
        <w:rPr>
          <w:rFonts w:eastAsia="Calibri" w:cstheme="minorHAnsi"/>
        </w:rPr>
        <w:t>score reduction from baseline for</w:t>
      </w:r>
      <w:r w:rsidRPr="0067530C">
        <w:rPr>
          <w:rFonts w:eastAsia="Calibri" w:cstheme="minorHAnsi"/>
        </w:rPr>
        <w:t xml:space="preserve"> </w:t>
      </w:r>
      <w:r w:rsidR="00AF6A89" w:rsidRPr="0067530C">
        <w:rPr>
          <w:rFonts w:eastAsia="Calibri" w:cstheme="minorHAnsi"/>
        </w:rPr>
        <w:t xml:space="preserve">odevixibat </w:t>
      </w:r>
      <w:r w:rsidRPr="0067530C">
        <w:rPr>
          <w:rFonts w:eastAsia="Calibri" w:cstheme="minorHAnsi"/>
        </w:rPr>
        <w:t xml:space="preserve">treated patients </w:t>
      </w:r>
      <w:r w:rsidR="00AF6A89" w:rsidRPr="0067530C">
        <w:rPr>
          <w:rFonts w:eastAsia="Calibri" w:cstheme="minorHAnsi"/>
        </w:rPr>
        <w:t xml:space="preserve">compared with placebo at </w:t>
      </w:r>
      <w:r w:rsidR="00EC69AC" w:rsidRPr="0067530C">
        <w:rPr>
          <w:rFonts w:eastAsia="Calibri" w:cstheme="minorHAnsi"/>
        </w:rPr>
        <w:t>W</w:t>
      </w:r>
      <w:r w:rsidR="00AF6A89" w:rsidRPr="0067530C">
        <w:rPr>
          <w:rFonts w:eastAsia="Calibri" w:cstheme="minorHAnsi"/>
        </w:rPr>
        <w:t>eeks 9–12 (difference 54.1%, odds ratio [OR] 23.97, p</w:t>
      </w:r>
      <w:r w:rsidR="00EC69AC" w:rsidRPr="0067530C">
        <w:rPr>
          <w:rFonts w:eastAsia="Calibri" w:cstheme="minorHAnsi"/>
        </w:rPr>
        <w:t xml:space="preserve"> </w:t>
      </w:r>
      <w:r w:rsidR="00AF6A89" w:rsidRPr="0067530C">
        <w:rPr>
          <w:rFonts w:eastAsia="Calibri" w:cstheme="minorHAnsi"/>
        </w:rPr>
        <w:t xml:space="preserve">&lt;0.05) and </w:t>
      </w:r>
      <w:r w:rsidR="00EC69AC" w:rsidRPr="0067530C">
        <w:rPr>
          <w:rFonts w:eastAsia="Calibri" w:cstheme="minorHAnsi"/>
        </w:rPr>
        <w:t>W</w:t>
      </w:r>
      <w:r w:rsidR="00AF6A89" w:rsidRPr="0067530C">
        <w:rPr>
          <w:rFonts w:eastAsia="Calibri" w:cstheme="minorHAnsi"/>
        </w:rPr>
        <w:t>eeks 21–24 (difference 36.7%, OR 5.15, p</w:t>
      </w:r>
      <w:r w:rsidR="00EC69AC" w:rsidRPr="0067530C">
        <w:rPr>
          <w:rFonts w:eastAsia="Calibri" w:cstheme="minorHAnsi"/>
        </w:rPr>
        <w:t xml:space="preserve"> </w:t>
      </w:r>
      <w:r w:rsidR="00AF6A89" w:rsidRPr="0067530C">
        <w:rPr>
          <w:rFonts w:eastAsia="Calibri" w:cstheme="minorHAnsi"/>
        </w:rPr>
        <w:t xml:space="preserve">&lt;0.03). </w:t>
      </w:r>
    </w:p>
    <w:p w14:paraId="7E474574" w14:textId="0B652D86" w:rsidR="00AF6A89" w:rsidRPr="00385A6B" w:rsidRDefault="00947F41" w:rsidP="008B6633">
      <w:pPr>
        <w:pStyle w:val="3-BodyText"/>
        <w:numPr>
          <w:ilvl w:val="0"/>
          <w:numId w:val="12"/>
        </w:numPr>
        <w:spacing w:before="160" w:after="160"/>
        <w:rPr>
          <w:rFonts w:eastAsia="Calibri" w:cstheme="minorHAnsi"/>
        </w:rPr>
      </w:pPr>
      <w:r w:rsidRPr="00385A6B">
        <w:rPr>
          <w:rFonts w:eastAsia="Calibri" w:cstheme="minorHAnsi"/>
        </w:rPr>
        <w:t>O</w:t>
      </w:r>
      <w:r w:rsidR="00AF6A89" w:rsidRPr="00385A6B">
        <w:rPr>
          <w:rFonts w:eastAsia="Calibri" w:cstheme="minorHAnsi"/>
        </w:rPr>
        <w:t>devixibat treatment led to a statistically significant reduction in sBA levels over 24 weeks, with an LS mean change a</w:t>
      </w:r>
      <w:r w:rsidR="00D776E5" w:rsidRPr="00385A6B">
        <w:rPr>
          <w:rFonts w:eastAsia="Calibri" w:cstheme="minorHAnsi"/>
        </w:rPr>
        <w:t>t</w:t>
      </w:r>
      <w:r w:rsidR="00AF6A89" w:rsidRPr="00385A6B">
        <w:rPr>
          <w:rFonts w:eastAsia="Calibri" w:cstheme="minorHAnsi"/>
        </w:rPr>
        <w:t xml:space="preserve"> </w:t>
      </w:r>
      <w:r w:rsidR="00D776E5" w:rsidRPr="00385A6B">
        <w:rPr>
          <w:rFonts w:eastAsia="Calibri" w:cstheme="minorHAnsi"/>
        </w:rPr>
        <w:t>W</w:t>
      </w:r>
      <w:r w:rsidR="00AF6A89" w:rsidRPr="00385A6B">
        <w:rPr>
          <w:rFonts w:eastAsia="Calibri" w:cstheme="minorHAnsi"/>
        </w:rPr>
        <w:t>eeks 20–24 of -90.35 µmol/L versus +22.39 µmol/L for placebo (LS mean difference: -112.74 µmol/L, 95% CI: -178.78, -46.69; p</w:t>
      </w:r>
      <w:r w:rsidR="00D776E5" w:rsidRPr="00385A6B">
        <w:rPr>
          <w:rFonts w:eastAsia="Calibri" w:cstheme="minorHAnsi"/>
        </w:rPr>
        <w:t xml:space="preserve"> </w:t>
      </w:r>
      <w:r w:rsidR="00AF6A89" w:rsidRPr="00385A6B">
        <w:rPr>
          <w:rFonts w:eastAsia="Calibri" w:cstheme="minorHAnsi"/>
        </w:rPr>
        <w:t>&lt;0.01).</w:t>
      </w:r>
      <w:r w:rsidR="0092624D" w:rsidRPr="00385A6B">
        <w:rPr>
          <w:rFonts w:eastAsia="Calibri" w:cstheme="minorHAnsi"/>
        </w:rPr>
        <w:t xml:space="preserve"> However, </w:t>
      </w:r>
      <w:r w:rsidR="00E41DE5">
        <w:rPr>
          <w:rFonts w:eastAsia="Calibri" w:cstheme="minorHAnsi"/>
        </w:rPr>
        <w:t xml:space="preserve">the evaluation considered that </w:t>
      </w:r>
      <w:r w:rsidR="00BC0A8F">
        <w:rPr>
          <w:rFonts w:eastAsia="Calibri" w:cstheme="minorHAnsi"/>
        </w:rPr>
        <w:t xml:space="preserve">as </w:t>
      </w:r>
      <w:r w:rsidR="0092624D" w:rsidRPr="00385A6B">
        <w:rPr>
          <w:rFonts w:eastAsia="Calibri" w:cstheme="minorHAnsi"/>
        </w:rPr>
        <w:t>the submission did not propose an MCID for reduced sBA levels, the clinical significance of the observed difference was uncertain.</w:t>
      </w:r>
    </w:p>
    <w:p w14:paraId="7B08B6D7" w14:textId="79CFE9B8" w:rsidR="00242543" w:rsidRPr="00385A6B" w:rsidRDefault="00242543" w:rsidP="008B6633">
      <w:pPr>
        <w:pStyle w:val="3-BodyText"/>
        <w:numPr>
          <w:ilvl w:val="0"/>
          <w:numId w:val="12"/>
        </w:numPr>
        <w:spacing w:before="160" w:after="160"/>
        <w:rPr>
          <w:rFonts w:eastAsia="Calibri" w:cstheme="minorHAnsi"/>
        </w:rPr>
      </w:pPr>
      <w:r w:rsidRPr="00385A6B">
        <w:rPr>
          <w:rFonts w:eastAsia="Calibri" w:cstheme="minorHAnsi"/>
        </w:rPr>
        <w:t xml:space="preserve">From ASSERT baseline to Weeks 21–24, LS mean change was greater with odevixibat versus placebo for the proportion of days needing help falling asleep, days sleeping with a caregiver, days needing soothing, and daytime tiredness (refer to </w:t>
      </w:r>
      <w:r w:rsidRPr="00385A6B">
        <w:rPr>
          <w:rFonts w:eastAsia="Calibri" w:cstheme="minorHAnsi"/>
        </w:rPr>
        <w:fldChar w:fldCharType="begin"/>
      </w:r>
      <w:r w:rsidRPr="00385A6B">
        <w:rPr>
          <w:rFonts w:eastAsia="Calibri" w:cstheme="minorHAnsi"/>
        </w:rPr>
        <w:instrText xml:space="preserve"> REF _Ref219481269 \h </w:instrText>
      </w:r>
      <w:r w:rsidR="004165DF" w:rsidRPr="00385A6B">
        <w:rPr>
          <w:rFonts w:eastAsia="Calibri" w:cstheme="minorHAnsi"/>
        </w:rPr>
        <w:instrText xml:space="preserve"> \* MERGEFORMAT </w:instrText>
      </w:r>
      <w:r w:rsidRPr="00385A6B">
        <w:rPr>
          <w:rFonts w:eastAsia="Calibri" w:cstheme="minorHAnsi"/>
        </w:rPr>
      </w:r>
      <w:r w:rsidRPr="00385A6B">
        <w:rPr>
          <w:rFonts w:eastAsia="Calibri" w:cstheme="minorHAnsi"/>
        </w:rPr>
        <w:fldChar w:fldCharType="separate"/>
      </w:r>
      <w:r w:rsidR="0060088A" w:rsidRPr="0060088A">
        <w:rPr>
          <w:rFonts w:cstheme="minorHAnsi"/>
        </w:rPr>
        <w:t>Table 9</w:t>
      </w:r>
      <w:r w:rsidRPr="00385A6B">
        <w:rPr>
          <w:rFonts w:eastAsia="Calibri" w:cstheme="minorHAnsi"/>
        </w:rPr>
        <w:fldChar w:fldCharType="end"/>
      </w:r>
      <w:r w:rsidRPr="00385A6B">
        <w:rPr>
          <w:rFonts w:eastAsia="Calibri" w:cstheme="minorHAnsi"/>
        </w:rPr>
        <w:t xml:space="preserve">). However, </w:t>
      </w:r>
      <w:r w:rsidR="00E41DE5">
        <w:rPr>
          <w:rFonts w:eastAsia="Calibri" w:cstheme="minorHAnsi"/>
        </w:rPr>
        <w:t xml:space="preserve">the evaluation considered that </w:t>
      </w:r>
      <w:r w:rsidRPr="00385A6B">
        <w:rPr>
          <w:rFonts w:eastAsia="Calibri" w:cstheme="minorHAnsi"/>
        </w:rPr>
        <w:t>as changes in sleep parameters were not adjusted for multiplicity; and a higher proportion of placebo patients were aged &lt;2 years compared with odevixibat (29.4% and 8.6%, respectively), the impact on sleep parameters was considered uncertain.</w:t>
      </w:r>
    </w:p>
    <w:p w14:paraId="2A4394CD" w14:textId="63E33DF4" w:rsidR="00715DB0" w:rsidRPr="00827D03" w:rsidRDefault="005F7588" w:rsidP="008B6633">
      <w:pPr>
        <w:pStyle w:val="3-BodyText"/>
        <w:spacing w:before="160" w:after="160"/>
        <w:rPr>
          <w:rFonts w:eastAsia="Calibri" w:cstheme="minorHAnsi"/>
        </w:rPr>
      </w:pPr>
      <w:r w:rsidRPr="00A06D99">
        <w:rPr>
          <w:rFonts w:eastAsia="Calibri" w:cstheme="minorHAnsi"/>
        </w:rPr>
        <w:lastRenderedPageBreak/>
        <w:t xml:space="preserve">The submission described </w:t>
      </w:r>
      <w:r w:rsidR="00AF6A89" w:rsidRPr="00A06D99">
        <w:rPr>
          <w:rFonts w:eastAsia="Calibri" w:cstheme="minorHAnsi"/>
        </w:rPr>
        <w:t>odevixibat</w:t>
      </w:r>
      <w:r w:rsidRPr="00A06D99">
        <w:rPr>
          <w:rFonts w:eastAsia="Calibri" w:cstheme="minorHAnsi"/>
        </w:rPr>
        <w:t xml:space="preserve"> as non-inferior in term</w:t>
      </w:r>
      <w:r w:rsidR="00156F8F" w:rsidRPr="00A06D99">
        <w:rPr>
          <w:rFonts w:eastAsia="Calibri" w:cstheme="minorHAnsi"/>
        </w:rPr>
        <w:t>s</w:t>
      </w:r>
      <w:r w:rsidRPr="00A06D99">
        <w:rPr>
          <w:rFonts w:eastAsia="Calibri" w:cstheme="minorHAnsi"/>
        </w:rPr>
        <w:t xml:space="preserve"> of safety compared to </w:t>
      </w:r>
      <w:r w:rsidR="00AF6A89" w:rsidRPr="00A06D99">
        <w:rPr>
          <w:rFonts w:eastAsia="Calibri" w:cstheme="minorHAnsi"/>
        </w:rPr>
        <w:t>SoC</w:t>
      </w:r>
      <w:r w:rsidRPr="00A06D99">
        <w:rPr>
          <w:rFonts w:eastAsia="Calibri" w:cstheme="minorHAnsi"/>
        </w:rPr>
        <w:t xml:space="preserve">. </w:t>
      </w:r>
      <w:r w:rsidR="00AF6A89" w:rsidRPr="00A06D99">
        <w:rPr>
          <w:rFonts w:eastAsia="Calibri" w:cstheme="minorHAnsi"/>
        </w:rPr>
        <w:t>Th</w:t>
      </w:r>
      <w:r w:rsidR="00E717B2" w:rsidRPr="00A06D99">
        <w:rPr>
          <w:rFonts w:eastAsia="Calibri" w:cstheme="minorHAnsi"/>
        </w:rPr>
        <w:t>e evaluation considered that th</w:t>
      </w:r>
      <w:r w:rsidR="00AF6A89" w:rsidRPr="00A06D99">
        <w:rPr>
          <w:rFonts w:eastAsia="Calibri" w:cstheme="minorHAnsi"/>
        </w:rPr>
        <w:t xml:space="preserve">is claim </w:t>
      </w:r>
      <w:r w:rsidR="0092624D" w:rsidRPr="00A06D99">
        <w:rPr>
          <w:rFonts w:eastAsia="Calibri" w:cstheme="minorHAnsi"/>
        </w:rPr>
        <w:t>was</w:t>
      </w:r>
      <w:r w:rsidR="00AF6A89" w:rsidRPr="00A06D99">
        <w:rPr>
          <w:rFonts w:eastAsia="Calibri" w:cstheme="minorHAnsi"/>
        </w:rPr>
        <w:t xml:space="preserve"> </w:t>
      </w:r>
      <w:r w:rsidR="003F143C" w:rsidRPr="00A06D99">
        <w:rPr>
          <w:rFonts w:eastAsia="Calibri" w:cstheme="minorHAnsi"/>
        </w:rPr>
        <w:t>not well</w:t>
      </w:r>
      <w:r w:rsidR="008B6633">
        <w:rPr>
          <w:rFonts w:eastAsia="Calibri" w:cstheme="minorHAnsi"/>
        </w:rPr>
        <w:t xml:space="preserve"> </w:t>
      </w:r>
      <w:r w:rsidR="00AF6A89" w:rsidRPr="00A06D99">
        <w:rPr>
          <w:rFonts w:eastAsia="Calibri" w:cstheme="minorHAnsi"/>
        </w:rPr>
        <w:t>supported by comparative evidence from ASSERT, given</w:t>
      </w:r>
      <w:r w:rsidR="00A06D99">
        <w:rPr>
          <w:rFonts w:eastAsia="Calibri" w:cstheme="minorHAnsi"/>
        </w:rPr>
        <w:t xml:space="preserve">: </w:t>
      </w:r>
      <w:r w:rsidR="0092624D" w:rsidRPr="00A06D99">
        <w:rPr>
          <w:rFonts w:eastAsia="Calibri" w:cstheme="minorHAnsi"/>
        </w:rPr>
        <w:t>T</w:t>
      </w:r>
      <w:r w:rsidR="00AF6A89" w:rsidRPr="00A06D99">
        <w:rPr>
          <w:rFonts w:eastAsia="Calibri" w:cstheme="minorHAnsi"/>
        </w:rPr>
        <w:t>he small sample sizes (n=17 and n=35 for the placebo and odevixibat groups, respectively)</w:t>
      </w:r>
      <w:r w:rsidR="0092624D" w:rsidRPr="00A06D99">
        <w:rPr>
          <w:rFonts w:eastAsia="Calibri" w:cstheme="minorHAnsi"/>
        </w:rPr>
        <w:t>;</w:t>
      </w:r>
      <w:r w:rsidR="00AF6A89" w:rsidRPr="00A06D99">
        <w:rPr>
          <w:rFonts w:eastAsia="Calibri" w:cstheme="minorHAnsi"/>
        </w:rPr>
        <w:t xml:space="preserve"> and</w:t>
      </w:r>
      <w:r w:rsidR="00827D03" w:rsidRPr="00A06D99">
        <w:rPr>
          <w:rFonts w:eastAsia="Calibri" w:cstheme="minorHAnsi"/>
        </w:rPr>
        <w:t xml:space="preserve"> limited </w:t>
      </w:r>
      <w:r w:rsidR="00827D03" w:rsidRPr="006212EC">
        <w:rPr>
          <w:rFonts w:eastAsia="Calibri" w:cstheme="minorHAnsi"/>
        </w:rPr>
        <w:t>c</w:t>
      </w:r>
      <w:r w:rsidR="00AF6A89" w:rsidRPr="006212EC">
        <w:rPr>
          <w:rFonts w:eastAsia="Calibri" w:cstheme="minorHAnsi"/>
        </w:rPr>
        <w:t xml:space="preserve">omparative data </w:t>
      </w:r>
      <w:r w:rsidR="00827D03" w:rsidRPr="006212EC">
        <w:rPr>
          <w:rFonts w:eastAsia="Calibri" w:cstheme="minorHAnsi"/>
        </w:rPr>
        <w:t>(</w:t>
      </w:r>
      <w:r w:rsidR="00AF6A89" w:rsidRPr="006212EC">
        <w:rPr>
          <w:rFonts w:eastAsia="Calibri" w:cstheme="minorHAnsi"/>
        </w:rPr>
        <w:t xml:space="preserve"> </w:t>
      </w:r>
      <w:r w:rsidR="00117170" w:rsidRPr="006212EC">
        <w:rPr>
          <w:rFonts w:eastAsia="Calibri" w:cstheme="minorHAnsi"/>
        </w:rPr>
        <w:t>up to</w:t>
      </w:r>
      <w:r w:rsidR="00AF6A89" w:rsidRPr="006212EC">
        <w:rPr>
          <w:rFonts w:eastAsia="Calibri" w:cstheme="minorHAnsi"/>
        </w:rPr>
        <w:t xml:space="preserve"> 24 weeks</w:t>
      </w:r>
      <w:r w:rsidR="00117170" w:rsidRPr="006212EC">
        <w:rPr>
          <w:rFonts w:eastAsia="Calibri" w:cstheme="minorHAnsi"/>
        </w:rPr>
        <w:t>)</w:t>
      </w:r>
      <w:r w:rsidR="00AF6A89" w:rsidRPr="006212EC">
        <w:rPr>
          <w:rFonts w:eastAsia="Calibri" w:cstheme="minorHAnsi"/>
        </w:rPr>
        <w:t>.</w:t>
      </w:r>
      <w:r w:rsidR="00117170" w:rsidRPr="006212EC">
        <w:rPr>
          <w:rFonts w:eastAsia="Calibri" w:cstheme="minorHAnsi"/>
        </w:rPr>
        <w:t xml:space="preserve"> </w:t>
      </w:r>
      <w:r w:rsidR="006212EC" w:rsidRPr="006212EC">
        <w:rPr>
          <w:rFonts w:eastAsia="Calibri" w:cstheme="minorHAnsi"/>
        </w:rPr>
        <w:t>However, the evaluation noted that</w:t>
      </w:r>
      <w:r w:rsidR="003F143C">
        <w:rPr>
          <w:rFonts w:eastAsia="Calibri" w:cstheme="minorHAnsi"/>
        </w:rPr>
        <w:t>:</w:t>
      </w:r>
    </w:p>
    <w:p w14:paraId="23F2839B" w14:textId="0E6ABD90" w:rsidR="003F143C" w:rsidRPr="00A06D99" w:rsidRDefault="00AF6A89" w:rsidP="008B6633">
      <w:pPr>
        <w:pStyle w:val="ListParagraph"/>
        <w:rPr>
          <w:rFonts w:eastAsia="Calibri"/>
        </w:rPr>
      </w:pPr>
      <w:r w:rsidRPr="00A06D99">
        <w:rPr>
          <w:rFonts w:eastAsia="Calibri"/>
        </w:rPr>
        <w:t>discontinuation of odevixibat due to TEAEs was uncommon</w:t>
      </w:r>
      <w:r w:rsidR="001C6DE7">
        <w:rPr>
          <w:rFonts w:eastAsia="Calibri"/>
        </w:rPr>
        <w:t>,</w:t>
      </w:r>
      <w:r w:rsidR="00715DB0">
        <w:rPr>
          <w:rFonts w:eastAsia="Calibri"/>
        </w:rPr>
        <w:t xml:space="preserve"> </w:t>
      </w:r>
      <w:r w:rsidR="00F82084" w:rsidRPr="00A06D99">
        <w:rPr>
          <w:rFonts w:eastAsia="Calibri"/>
        </w:rPr>
        <w:t>and a similar rate</w:t>
      </w:r>
      <w:r w:rsidRPr="00A06D99">
        <w:rPr>
          <w:rFonts w:eastAsia="Calibri"/>
        </w:rPr>
        <w:t xml:space="preserve"> </w:t>
      </w:r>
      <w:r w:rsidR="00F82084" w:rsidRPr="00A06D99">
        <w:rPr>
          <w:rFonts w:eastAsia="Calibri"/>
        </w:rPr>
        <w:t xml:space="preserve">of serious TEAEs </w:t>
      </w:r>
      <w:r w:rsidR="00DA18B6" w:rsidRPr="00A06D99">
        <w:rPr>
          <w:rFonts w:eastAsia="Calibri"/>
        </w:rPr>
        <w:t xml:space="preserve">were demonstrated </w:t>
      </w:r>
      <w:r w:rsidR="00F82084" w:rsidRPr="00A06D99">
        <w:rPr>
          <w:rFonts w:eastAsia="Calibri"/>
        </w:rPr>
        <w:t xml:space="preserve">in the odevixibat and placebo arm </w:t>
      </w:r>
      <w:r w:rsidR="003172DA">
        <w:rPr>
          <w:rFonts w:eastAsia="Calibri"/>
        </w:rPr>
        <w:t xml:space="preserve">of ASSERT </w:t>
      </w:r>
      <w:r w:rsidR="00F82084" w:rsidRPr="00A06D99">
        <w:rPr>
          <w:rFonts w:eastAsia="Calibri"/>
        </w:rPr>
        <w:t>(14.3% and 11.8%, respectively)</w:t>
      </w:r>
      <w:r w:rsidR="003172DA">
        <w:rPr>
          <w:rFonts w:eastAsia="Calibri"/>
        </w:rPr>
        <w:t>; and</w:t>
      </w:r>
    </w:p>
    <w:p w14:paraId="7F613CD1" w14:textId="385D895B" w:rsidR="005F7588" w:rsidRPr="00A06D99" w:rsidRDefault="003172DA" w:rsidP="008B6633">
      <w:pPr>
        <w:pStyle w:val="ListParagraph"/>
        <w:rPr>
          <w:rFonts w:eastAsia="Calibri"/>
        </w:rPr>
      </w:pPr>
      <w:r>
        <w:rPr>
          <w:rFonts w:eastAsia="Calibri"/>
        </w:rPr>
        <w:t>t</w:t>
      </w:r>
      <w:r w:rsidR="00AF6A89" w:rsidRPr="00A06D99">
        <w:rPr>
          <w:rFonts w:eastAsia="Calibri"/>
        </w:rPr>
        <w:t xml:space="preserve">he PBAC previously considered </w:t>
      </w:r>
      <w:r w:rsidR="003826DE" w:rsidRPr="00A06D99">
        <w:rPr>
          <w:rFonts w:eastAsia="Calibri"/>
        </w:rPr>
        <w:t xml:space="preserve">that </w:t>
      </w:r>
      <w:r w:rsidR="00AF6A89" w:rsidRPr="00A06D99">
        <w:rPr>
          <w:rFonts w:eastAsia="Calibri"/>
        </w:rPr>
        <w:t>for patients with PFIC, a claim of comparable safety between odevixibat and SoC was reasonable (paragraph 6.46, odevixibat PSD, July 2024 PBAC Meeting)</w:t>
      </w:r>
      <w:r w:rsidR="00C35CA7" w:rsidRPr="00A06D99">
        <w:rPr>
          <w:rFonts w:eastAsia="Calibri"/>
        </w:rPr>
        <w:t>.</w:t>
      </w:r>
    </w:p>
    <w:p w14:paraId="2B496ABF" w14:textId="0346891C" w:rsidR="00EB282A" w:rsidRDefault="00EB282A" w:rsidP="008B6633">
      <w:pPr>
        <w:pStyle w:val="3-BodyText"/>
        <w:spacing w:before="160" w:after="160"/>
        <w:rPr>
          <w:rFonts w:eastAsia="Calibri" w:cstheme="minorHAnsi"/>
        </w:rPr>
      </w:pPr>
      <w:r w:rsidRPr="00C11A8D">
        <w:rPr>
          <w:rFonts w:eastAsia="Calibri" w:cstheme="minorHAnsi"/>
        </w:rPr>
        <w:t>Overall, the ESC considered that the submission’s claim of superior effectiveness and non-inferior safety was supported.</w:t>
      </w:r>
    </w:p>
    <w:p w14:paraId="05AB95C6" w14:textId="7B82D9AB" w:rsidR="00C11A8D" w:rsidRPr="00C11A8D" w:rsidRDefault="00C11A8D" w:rsidP="008B6633">
      <w:pPr>
        <w:pStyle w:val="3-BodyText"/>
        <w:spacing w:before="160" w:after="160"/>
        <w:rPr>
          <w:rFonts w:eastAsia="Calibri" w:cstheme="minorHAnsi"/>
        </w:rPr>
      </w:pPr>
      <w:r w:rsidRPr="00C11A8D">
        <w:rPr>
          <w:rFonts w:eastAsia="Calibri" w:cstheme="minorHAnsi"/>
        </w:rPr>
        <w:t>The PBAC considered that the claim of superior comparative effectiveness was reasonable</w:t>
      </w:r>
      <w:r>
        <w:rPr>
          <w:rFonts w:eastAsia="Calibri" w:cstheme="minorHAnsi"/>
        </w:rPr>
        <w:t xml:space="preserve">; however the magnitude of clinical benefit </w:t>
      </w:r>
      <w:r w:rsidR="00EF4DBC">
        <w:rPr>
          <w:rFonts w:eastAsia="Calibri" w:cstheme="minorHAnsi"/>
        </w:rPr>
        <w:t xml:space="preserve">(i.e. </w:t>
      </w:r>
      <w:r w:rsidR="00A74114">
        <w:rPr>
          <w:rFonts w:eastAsia="Calibri" w:cstheme="minorHAnsi"/>
        </w:rPr>
        <w:t xml:space="preserve">pruritis reduction) </w:t>
      </w:r>
      <w:r>
        <w:rPr>
          <w:rFonts w:eastAsia="Calibri" w:cstheme="minorHAnsi"/>
        </w:rPr>
        <w:t>was uncertain</w:t>
      </w:r>
      <w:r w:rsidRPr="00C11A8D">
        <w:rPr>
          <w:rFonts w:eastAsia="Calibri" w:cstheme="minorHAnsi"/>
        </w:rPr>
        <w:t>.</w:t>
      </w:r>
    </w:p>
    <w:p w14:paraId="42B2D8FB" w14:textId="0A76C755" w:rsidR="00C11A8D" w:rsidRPr="00E42BBF" w:rsidRDefault="00C11A8D" w:rsidP="008B6633">
      <w:pPr>
        <w:pStyle w:val="3-BodyText"/>
        <w:spacing w:before="160" w:after="160"/>
        <w:rPr>
          <w:rFonts w:eastAsia="Calibri" w:cstheme="minorHAnsi"/>
        </w:rPr>
      </w:pPr>
      <w:r w:rsidRPr="00E42BBF">
        <w:rPr>
          <w:rFonts w:eastAsia="Calibri" w:cstheme="minorHAnsi"/>
        </w:rPr>
        <w:t>The PBAC considered that the claim of non-inferior comparative safety was reasonable</w:t>
      </w:r>
      <w:r w:rsidR="00F17B17" w:rsidRPr="00E42BBF">
        <w:rPr>
          <w:rFonts w:eastAsia="Calibri" w:cstheme="minorHAnsi"/>
        </w:rPr>
        <w:t>, but noted the limited data in terms of small population and limited follow-up</w:t>
      </w:r>
      <w:r w:rsidRPr="00E42BBF">
        <w:rPr>
          <w:rFonts w:eastAsia="Calibri" w:cstheme="minorHAnsi"/>
        </w:rPr>
        <w:t>.</w:t>
      </w:r>
      <w:r w:rsidR="00F17B17" w:rsidRPr="00E42BBF">
        <w:rPr>
          <w:rFonts w:eastAsia="Calibri" w:cstheme="minorHAnsi"/>
        </w:rPr>
        <w:t xml:space="preserve"> The PBAC noted the increase of mild gastrointestinal adverse events, especially diarrhoea associated with odevixibat, but considered that safety appears manageable, with no new safety signals. </w:t>
      </w:r>
    </w:p>
    <w:p w14:paraId="74A1172E" w14:textId="128C170E" w:rsidR="00B60939" w:rsidRPr="00385A6B" w:rsidRDefault="00B60939" w:rsidP="008B6633">
      <w:pPr>
        <w:pStyle w:val="4-SubsectionHeading"/>
        <w:rPr>
          <w:iCs/>
        </w:rPr>
      </w:pPr>
      <w:bookmarkStart w:id="53" w:name="_Toc22897645"/>
      <w:bookmarkStart w:id="54" w:name="_Toc219900852"/>
      <w:r w:rsidRPr="00385A6B">
        <w:t>Economic analysis</w:t>
      </w:r>
      <w:bookmarkEnd w:id="53"/>
      <w:bookmarkEnd w:id="54"/>
      <w:r w:rsidR="00491B3A" w:rsidRPr="00385A6B">
        <w:t xml:space="preserve"> </w:t>
      </w:r>
    </w:p>
    <w:p w14:paraId="7FAB06BD" w14:textId="77777777" w:rsidR="00050543" w:rsidRPr="008B3BD2" w:rsidRDefault="00747A42" w:rsidP="008B6633">
      <w:pPr>
        <w:pStyle w:val="3-BodyText"/>
        <w:spacing w:before="160" w:after="160"/>
        <w:rPr>
          <w:rFonts w:cstheme="minorHAnsi"/>
          <w:color w:val="000000" w:themeColor="text1"/>
        </w:rPr>
      </w:pPr>
      <w:r w:rsidRPr="008B3BD2">
        <w:rPr>
          <w:rFonts w:cstheme="minorHAnsi"/>
          <w:color w:val="000000" w:themeColor="text1"/>
        </w:rPr>
        <w:t>The type of economic evaluation presented was a cost-utility analysis</w:t>
      </w:r>
      <w:r w:rsidR="006375D6" w:rsidRPr="008B3BD2">
        <w:rPr>
          <w:rFonts w:cstheme="minorHAnsi"/>
          <w:color w:val="000000" w:themeColor="text1"/>
        </w:rPr>
        <w:t>, using</w:t>
      </w:r>
      <w:r w:rsidRPr="008B3BD2">
        <w:rPr>
          <w:rFonts w:cstheme="minorHAnsi"/>
          <w:color w:val="000000" w:themeColor="text1"/>
        </w:rPr>
        <w:t xml:space="preserve"> quality-adjusted life years (QALYs) as the final health outcome. The key components of the economic evaluation are shown in </w:t>
      </w:r>
      <w:r w:rsidRPr="008B3BD2">
        <w:rPr>
          <w:rFonts w:cstheme="minorHAnsi"/>
          <w:color w:val="000000" w:themeColor="text1"/>
        </w:rPr>
        <w:fldChar w:fldCharType="begin"/>
      </w:r>
      <w:r w:rsidRPr="008B3BD2">
        <w:rPr>
          <w:rFonts w:cstheme="minorHAnsi"/>
          <w:color w:val="000000" w:themeColor="text1"/>
        </w:rPr>
        <w:instrText xml:space="preserve"> REF _Ref218767288 \h </w:instrText>
      </w:r>
      <w:r w:rsidR="004165DF" w:rsidRPr="008B3BD2">
        <w:rPr>
          <w:rFonts w:cstheme="minorHAnsi"/>
          <w:color w:val="000000" w:themeColor="text1"/>
        </w:rPr>
        <w:instrText xml:space="preserve"> \* MERGEFORMAT </w:instrText>
      </w:r>
      <w:r w:rsidRPr="008B3BD2">
        <w:rPr>
          <w:rFonts w:cstheme="minorHAnsi"/>
          <w:color w:val="000000" w:themeColor="text1"/>
        </w:rPr>
      </w:r>
      <w:r w:rsidRPr="008B3BD2">
        <w:rPr>
          <w:rFonts w:cstheme="minorHAnsi"/>
          <w:color w:val="000000" w:themeColor="text1"/>
        </w:rPr>
        <w:fldChar w:fldCharType="separate"/>
      </w:r>
      <w:r w:rsidR="0060088A" w:rsidRPr="008B3BD2">
        <w:rPr>
          <w:rFonts w:cstheme="minorHAnsi"/>
        </w:rPr>
        <w:t>Table 13</w:t>
      </w:r>
      <w:r w:rsidRPr="008B3BD2">
        <w:rPr>
          <w:rFonts w:cstheme="minorHAnsi"/>
          <w:color w:val="000000" w:themeColor="text1"/>
        </w:rPr>
        <w:fldChar w:fldCharType="end"/>
      </w:r>
      <w:r w:rsidRPr="008B3BD2">
        <w:rPr>
          <w:rFonts w:cstheme="minorHAnsi"/>
          <w:color w:val="000000" w:themeColor="text1"/>
        </w:rPr>
        <w:t>.</w:t>
      </w:r>
      <w:r w:rsidR="00A106F1" w:rsidRPr="008B3BD2">
        <w:rPr>
          <w:rFonts w:cstheme="minorHAnsi"/>
          <w:color w:val="000000" w:themeColor="text1"/>
        </w:rPr>
        <w:t xml:space="preserve"> The</w:t>
      </w:r>
      <w:r w:rsidR="0068211C" w:rsidRPr="008B3BD2">
        <w:rPr>
          <w:rFonts w:cstheme="minorHAnsi"/>
          <w:color w:val="000000" w:themeColor="text1"/>
        </w:rPr>
        <w:t xml:space="preserve"> </w:t>
      </w:r>
      <w:r w:rsidR="00A106F1" w:rsidRPr="008B3BD2">
        <w:rPr>
          <w:rFonts w:cstheme="minorHAnsi"/>
          <w:color w:val="000000" w:themeColor="text1"/>
        </w:rPr>
        <w:t xml:space="preserve">model structure was similar to </w:t>
      </w:r>
      <w:r w:rsidR="00FE76EA" w:rsidRPr="008B3BD2">
        <w:rPr>
          <w:rFonts w:cstheme="minorHAnsi"/>
          <w:color w:val="000000" w:themeColor="text1"/>
        </w:rPr>
        <w:t>the</w:t>
      </w:r>
      <w:r w:rsidR="003F3CA7" w:rsidRPr="008B3BD2">
        <w:rPr>
          <w:rFonts w:cstheme="minorHAnsi"/>
          <w:color w:val="000000" w:themeColor="text1"/>
        </w:rPr>
        <w:t xml:space="preserve"> model submitted for the</w:t>
      </w:r>
      <w:r w:rsidR="00FE76EA" w:rsidRPr="008B3BD2">
        <w:t xml:space="preserve"> </w:t>
      </w:r>
      <w:r w:rsidR="00FE76EA" w:rsidRPr="008B3BD2">
        <w:rPr>
          <w:rFonts w:cstheme="minorHAnsi"/>
          <w:color w:val="000000" w:themeColor="text1"/>
        </w:rPr>
        <w:t>PBAC July-2025 resubmission of odevixibat in PFIC</w:t>
      </w:r>
      <w:r w:rsidR="003F3CA7" w:rsidRPr="008B3BD2">
        <w:rPr>
          <w:rFonts w:cstheme="minorHAnsi"/>
          <w:color w:val="000000" w:themeColor="text1"/>
        </w:rPr>
        <w:t xml:space="preserve">, which </w:t>
      </w:r>
      <w:r w:rsidR="002E1A9B" w:rsidRPr="008B3BD2">
        <w:rPr>
          <w:rFonts w:cstheme="minorHAnsi"/>
          <w:color w:val="000000" w:themeColor="text1"/>
        </w:rPr>
        <w:t xml:space="preserve">the ESC previously </w:t>
      </w:r>
      <w:r w:rsidR="00263B29" w:rsidRPr="008B3BD2">
        <w:rPr>
          <w:rFonts w:cstheme="minorHAnsi"/>
          <w:color w:val="000000" w:themeColor="text1"/>
        </w:rPr>
        <w:t>considered unreliable for decision making because of both implausible structural assumptions and continuing uncertainty in data inputs (</w:t>
      </w:r>
      <w:r w:rsidR="007300E5" w:rsidRPr="008B3BD2">
        <w:rPr>
          <w:rFonts w:cstheme="minorHAnsi"/>
          <w:color w:val="000000" w:themeColor="text1"/>
        </w:rPr>
        <w:t xml:space="preserve">see Odevixibat PFIC PBAC July-2025 PSD, </w:t>
      </w:r>
      <w:r w:rsidR="00263B29" w:rsidRPr="008B3BD2">
        <w:rPr>
          <w:rFonts w:cstheme="minorHAnsi"/>
          <w:color w:val="000000" w:themeColor="text1"/>
        </w:rPr>
        <w:t>paragraph</w:t>
      </w:r>
      <w:r w:rsidR="00266B7B" w:rsidRPr="008B3BD2">
        <w:rPr>
          <w:rFonts w:cstheme="minorHAnsi"/>
          <w:color w:val="000000" w:themeColor="text1"/>
        </w:rPr>
        <w:t xml:space="preserve">s 6.63 and 13.3). </w:t>
      </w:r>
      <w:bookmarkStart w:id="55" w:name="_Ref218767288"/>
    </w:p>
    <w:p w14:paraId="16C1C812" w14:textId="77777777" w:rsidR="00050543" w:rsidRDefault="00050543" w:rsidP="008B6633">
      <w:pPr>
        <w:pStyle w:val="Caption"/>
        <w:jc w:val="left"/>
        <w:rPr>
          <w:color w:val="000000" w:themeColor="text1"/>
        </w:rPr>
      </w:pPr>
    </w:p>
    <w:p w14:paraId="15A9AFA4" w14:textId="5F2E856E" w:rsidR="00275C5A" w:rsidRPr="003F3CA7" w:rsidRDefault="00E16AD8" w:rsidP="008B6633">
      <w:pPr>
        <w:pStyle w:val="Caption"/>
        <w:jc w:val="left"/>
        <w:rPr>
          <w:rStyle w:val="CommentReference"/>
          <w:b/>
          <w:szCs w:val="24"/>
        </w:rPr>
      </w:pPr>
      <w:r w:rsidRPr="00385A6B">
        <w:t xml:space="preserve">Table </w:t>
      </w:r>
      <w:fldSimple w:instr=" SEQ Table \* ARABIC ">
        <w:r w:rsidR="0060088A">
          <w:rPr>
            <w:noProof/>
          </w:rPr>
          <w:t>13</w:t>
        </w:r>
      </w:fldSimple>
      <w:bookmarkEnd w:id="55"/>
      <w:r w:rsidRPr="00385A6B">
        <w:t>:</w:t>
      </w:r>
      <w:r w:rsidR="00275C5A" w:rsidRPr="003F3CA7">
        <w:rPr>
          <w:rStyle w:val="CommentReference"/>
          <w:b/>
          <w:szCs w:val="24"/>
        </w:rPr>
        <w:t xml:space="preserve"> Summary of model structure</w:t>
      </w:r>
      <w:r w:rsidR="00184B0E" w:rsidRPr="003F3CA7">
        <w:rPr>
          <w:rStyle w:val="CommentReference"/>
          <w:b/>
          <w:szCs w:val="24"/>
        </w:rPr>
        <w:t>, key inputs</w:t>
      </w:r>
      <w:r w:rsidR="00275C5A" w:rsidRPr="003F3CA7">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3: Summary of model structure, key inputs and rationale"/>
      </w:tblPr>
      <w:tblGrid>
        <w:gridCol w:w="1555"/>
        <w:gridCol w:w="2126"/>
        <w:gridCol w:w="1558"/>
        <w:gridCol w:w="285"/>
        <w:gridCol w:w="3493"/>
      </w:tblGrid>
      <w:tr w:rsidR="00DB35F7" w:rsidRPr="00385A6B" w14:paraId="7E27E3AE" w14:textId="77777777" w:rsidTr="00747A42">
        <w:trPr>
          <w:tblHeader/>
        </w:trPr>
        <w:tc>
          <w:tcPr>
            <w:tcW w:w="862" w:type="pct"/>
            <w:vAlign w:val="center"/>
          </w:tcPr>
          <w:p w14:paraId="611BE0D4" w14:textId="77777777" w:rsidR="00747A42" w:rsidRPr="00385A6B" w:rsidRDefault="00747A42" w:rsidP="008B6633">
            <w:pPr>
              <w:pStyle w:val="In-tableHeading"/>
              <w:rPr>
                <w:lang w:val="en-AU"/>
              </w:rPr>
            </w:pPr>
            <w:r w:rsidRPr="00385A6B">
              <w:rPr>
                <w:lang w:val="en-AU"/>
              </w:rPr>
              <w:t>Component</w:t>
            </w:r>
          </w:p>
        </w:tc>
        <w:tc>
          <w:tcPr>
            <w:tcW w:w="4138" w:type="pct"/>
            <w:gridSpan w:val="4"/>
          </w:tcPr>
          <w:p w14:paraId="11D6F2A8" w14:textId="7A1E955D" w:rsidR="00747A42" w:rsidRPr="00385A6B" w:rsidRDefault="00747A42" w:rsidP="008B6633">
            <w:pPr>
              <w:pStyle w:val="In-tableHeading"/>
              <w:rPr>
                <w:lang w:val="en-AU"/>
              </w:rPr>
            </w:pPr>
            <w:r w:rsidRPr="00385A6B">
              <w:rPr>
                <w:lang w:val="en-AU"/>
              </w:rPr>
              <w:t>Summary</w:t>
            </w:r>
          </w:p>
        </w:tc>
      </w:tr>
      <w:tr w:rsidR="00DB35F7" w:rsidRPr="00385A6B" w14:paraId="01377E5C" w14:textId="77777777" w:rsidTr="00747A42">
        <w:tc>
          <w:tcPr>
            <w:tcW w:w="862" w:type="pct"/>
            <w:vAlign w:val="center"/>
          </w:tcPr>
          <w:p w14:paraId="1EB291D9" w14:textId="766A00F7" w:rsidR="00747A42" w:rsidRPr="00385A6B" w:rsidRDefault="00747A42" w:rsidP="008B6633">
            <w:pPr>
              <w:pStyle w:val="TableText0"/>
              <w:keepNext w:val="0"/>
              <w:keepLines w:val="0"/>
            </w:pPr>
            <w:r w:rsidRPr="00385A6B">
              <w:t>Treatments</w:t>
            </w:r>
          </w:p>
        </w:tc>
        <w:tc>
          <w:tcPr>
            <w:tcW w:w="4138" w:type="pct"/>
            <w:gridSpan w:val="4"/>
          </w:tcPr>
          <w:p w14:paraId="4F5EC1A4" w14:textId="09D20D0F" w:rsidR="00747A42" w:rsidRPr="00385A6B" w:rsidRDefault="00747A42" w:rsidP="008B6633">
            <w:pPr>
              <w:pStyle w:val="TableText0"/>
              <w:keepNext w:val="0"/>
              <w:keepLines w:val="0"/>
            </w:pPr>
            <w:r w:rsidRPr="00385A6B">
              <w:t>Odevixibat vs SoC</w:t>
            </w:r>
            <w:r w:rsidR="00982336" w:rsidRPr="00385A6B">
              <w:t xml:space="preserve"> (</w:t>
            </w:r>
            <w:r w:rsidR="00F82084" w:rsidRPr="00385A6B">
              <w:t>off-label pharmaceutical treatments and LT</w:t>
            </w:r>
            <w:r w:rsidR="00982336" w:rsidRPr="00385A6B">
              <w:t>)</w:t>
            </w:r>
          </w:p>
        </w:tc>
      </w:tr>
      <w:tr w:rsidR="00DB35F7" w:rsidRPr="00385A6B" w14:paraId="6D37EC8F" w14:textId="77777777" w:rsidTr="00747A42">
        <w:tc>
          <w:tcPr>
            <w:tcW w:w="862" w:type="pct"/>
            <w:vAlign w:val="center"/>
          </w:tcPr>
          <w:p w14:paraId="14165854" w14:textId="77777777" w:rsidR="00747A42" w:rsidRPr="00385A6B" w:rsidRDefault="00747A42" w:rsidP="008B6633">
            <w:pPr>
              <w:pStyle w:val="TableText0"/>
              <w:keepNext w:val="0"/>
              <w:keepLines w:val="0"/>
            </w:pPr>
            <w:r w:rsidRPr="00385A6B">
              <w:t>Outcomes</w:t>
            </w:r>
          </w:p>
        </w:tc>
        <w:tc>
          <w:tcPr>
            <w:tcW w:w="4138" w:type="pct"/>
            <w:gridSpan w:val="4"/>
          </w:tcPr>
          <w:p w14:paraId="2311640C" w14:textId="21A67378" w:rsidR="00747A42" w:rsidRPr="00385A6B" w:rsidRDefault="00747A42" w:rsidP="008B6633">
            <w:pPr>
              <w:pStyle w:val="TableText0"/>
              <w:keepNext w:val="0"/>
              <w:keepLines w:val="0"/>
            </w:pPr>
            <w:r w:rsidRPr="00385A6B">
              <w:t>Total and disaggregated costs, total quality-adjusted life years (QALYs), QALYs by health state, and life-years gained (LYGs).</w:t>
            </w:r>
          </w:p>
        </w:tc>
      </w:tr>
      <w:tr w:rsidR="00DB35F7" w:rsidRPr="00385A6B" w14:paraId="71552AFC" w14:textId="77777777" w:rsidTr="00747A42">
        <w:tc>
          <w:tcPr>
            <w:tcW w:w="862" w:type="pct"/>
            <w:vAlign w:val="center"/>
          </w:tcPr>
          <w:p w14:paraId="157B1FBD" w14:textId="77777777" w:rsidR="00747A42" w:rsidRPr="00385A6B" w:rsidRDefault="00747A42" w:rsidP="008B6633">
            <w:pPr>
              <w:pStyle w:val="TableText0"/>
              <w:keepNext w:val="0"/>
              <w:keepLines w:val="0"/>
            </w:pPr>
            <w:r w:rsidRPr="00385A6B">
              <w:t>Perspective</w:t>
            </w:r>
          </w:p>
        </w:tc>
        <w:tc>
          <w:tcPr>
            <w:tcW w:w="4138" w:type="pct"/>
            <w:gridSpan w:val="4"/>
          </w:tcPr>
          <w:p w14:paraId="76DE44B9" w14:textId="77777777" w:rsidR="00747A42" w:rsidRPr="00385A6B" w:rsidRDefault="00747A42" w:rsidP="008B6633">
            <w:pPr>
              <w:pStyle w:val="TableText0"/>
              <w:keepNext w:val="0"/>
              <w:keepLines w:val="0"/>
            </w:pPr>
            <w:r w:rsidRPr="00385A6B">
              <w:t>Health care system perspective</w:t>
            </w:r>
          </w:p>
          <w:p w14:paraId="47FF59DA" w14:textId="3951BFFD" w:rsidR="00747A42" w:rsidRPr="00385A6B" w:rsidRDefault="00747A42" w:rsidP="008B6633">
            <w:pPr>
              <w:pStyle w:val="TableText0"/>
              <w:keepNext w:val="0"/>
              <w:keepLines w:val="0"/>
            </w:pPr>
            <w:r w:rsidRPr="00385A6B">
              <w:t xml:space="preserve">Base </w:t>
            </w:r>
            <w:r w:rsidR="00D776E5" w:rsidRPr="00385A6B">
              <w:t>C</w:t>
            </w:r>
            <w:r w:rsidRPr="00385A6B">
              <w:t>ase 1: Patient and Carer QoL considere</w:t>
            </w:r>
            <w:r w:rsidR="00827FCC" w:rsidRPr="00385A6B">
              <w:t>d</w:t>
            </w:r>
          </w:p>
          <w:p w14:paraId="1EE27953" w14:textId="103F28B3" w:rsidR="00747A42" w:rsidRPr="00385A6B" w:rsidRDefault="00747A42" w:rsidP="008B6633">
            <w:pPr>
              <w:pStyle w:val="TableText0"/>
              <w:keepNext w:val="0"/>
              <w:keepLines w:val="0"/>
            </w:pPr>
            <w:r w:rsidRPr="00385A6B">
              <w:t xml:space="preserve">Base </w:t>
            </w:r>
            <w:r w:rsidR="00D776E5" w:rsidRPr="00385A6B">
              <w:t>C</w:t>
            </w:r>
            <w:r w:rsidRPr="00385A6B">
              <w:t>ase 2: Patient QoL only</w:t>
            </w:r>
          </w:p>
        </w:tc>
      </w:tr>
      <w:tr w:rsidR="00DB35F7" w:rsidRPr="00385A6B" w14:paraId="268D984E" w14:textId="77777777" w:rsidTr="00D71FBA">
        <w:tc>
          <w:tcPr>
            <w:tcW w:w="862" w:type="pct"/>
            <w:vAlign w:val="center"/>
          </w:tcPr>
          <w:p w14:paraId="6B5EEA79" w14:textId="77777777" w:rsidR="00D71FBA" w:rsidRPr="00385A6B" w:rsidRDefault="00D71FBA" w:rsidP="008B6633">
            <w:pPr>
              <w:pStyle w:val="TableText0"/>
              <w:keepNext w:val="0"/>
              <w:keepLines w:val="0"/>
            </w:pPr>
            <w:r w:rsidRPr="00385A6B">
              <w:t>Discounting</w:t>
            </w:r>
          </w:p>
        </w:tc>
        <w:tc>
          <w:tcPr>
            <w:tcW w:w="4138" w:type="pct"/>
            <w:gridSpan w:val="4"/>
          </w:tcPr>
          <w:p w14:paraId="08D3205F" w14:textId="15492759" w:rsidR="00D71FBA" w:rsidRPr="00385A6B" w:rsidRDefault="00D71FBA" w:rsidP="008B6633">
            <w:pPr>
              <w:pStyle w:val="TableText0"/>
              <w:keepNext w:val="0"/>
              <w:keepLines w:val="0"/>
            </w:pPr>
            <w:r w:rsidRPr="00385A6B">
              <w:t xml:space="preserve">5% applied for costs and clinical outcomes </w:t>
            </w:r>
          </w:p>
        </w:tc>
      </w:tr>
      <w:tr w:rsidR="00DB35F7" w:rsidRPr="00385A6B" w14:paraId="24B30936" w14:textId="77777777" w:rsidTr="00D71FBA">
        <w:tc>
          <w:tcPr>
            <w:tcW w:w="862" w:type="pct"/>
            <w:vAlign w:val="center"/>
          </w:tcPr>
          <w:p w14:paraId="2118C03B" w14:textId="77777777" w:rsidR="00D71FBA" w:rsidRPr="00385A6B" w:rsidRDefault="00D71FBA" w:rsidP="008B6633">
            <w:pPr>
              <w:pStyle w:val="TableText0"/>
              <w:keepNext w:val="0"/>
              <w:keepLines w:val="0"/>
            </w:pPr>
            <w:r w:rsidRPr="00385A6B">
              <w:t>Time horizon</w:t>
            </w:r>
          </w:p>
        </w:tc>
        <w:tc>
          <w:tcPr>
            <w:tcW w:w="4138" w:type="pct"/>
            <w:gridSpan w:val="4"/>
            <w:vAlign w:val="center"/>
          </w:tcPr>
          <w:p w14:paraId="270C7A0D" w14:textId="01375F4C" w:rsidR="00D71FBA" w:rsidRPr="00385A6B" w:rsidRDefault="00D71FBA" w:rsidP="008B6633">
            <w:pPr>
              <w:pStyle w:val="TableText0"/>
              <w:keepNext w:val="0"/>
              <w:keepLines w:val="0"/>
            </w:pPr>
            <w:r w:rsidRPr="00385A6B">
              <w:t>50 years (versus 24 weeks of comparative trial data)</w:t>
            </w:r>
          </w:p>
        </w:tc>
      </w:tr>
      <w:tr w:rsidR="00DB35F7" w:rsidRPr="00385A6B" w14:paraId="60CC6E18" w14:textId="77777777" w:rsidTr="00D71FBA">
        <w:tc>
          <w:tcPr>
            <w:tcW w:w="862" w:type="pct"/>
            <w:vAlign w:val="center"/>
          </w:tcPr>
          <w:p w14:paraId="037510D9" w14:textId="77777777" w:rsidR="00D71FBA" w:rsidRPr="00385A6B" w:rsidRDefault="00D71FBA" w:rsidP="008B6633">
            <w:pPr>
              <w:pStyle w:val="TableText0"/>
              <w:keepNext w:val="0"/>
              <w:keepLines w:val="0"/>
            </w:pPr>
            <w:r w:rsidRPr="00385A6B">
              <w:lastRenderedPageBreak/>
              <w:t>Methods used to generate results</w:t>
            </w:r>
          </w:p>
        </w:tc>
        <w:tc>
          <w:tcPr>
            <w:tcW w:w="4138" w:type="pct"/>
            <w:gridSpan w:val="4"/>
            <w:vAlign w:val="center"/>
          </w:tcPr>
          <w:p w14:paraId="42480AA0" w14:textId="77095996" w:rsidR="00D71FBA" w:rsidRPr="00385A6B" w:rsidRDefault="00D71FBA" w:rsidP="008B6633">
            <w:pPr>
              <w:pStyle w:val="TableText0"/>
              <w:keepNext w:val="0"/>
              <w:keepLines w:val="0"/>
            </w:pPr>
            <w:r w:rsidRPr="00385A6B">
              <w:t>Markov state transition model</w:t>
            </w:r>
          </w:p>
        </w:tc>
      </w:tr>
      <w:tr w:rsidR="00DB35F7" w:rsidRPr="00275521" w14:paraId="535403C9" w14:textId="77777777" w:rsidTr="004750F9">
        <w:trPr>
          <w:cantSplit/>
        </w:trPr>
        <w:tc>
          <w:tcPr>
            <w:tcW w:w="862" w:type="pct"/>
            <w:vAlign w:val="center"/>
          </w:tcPr>
          <w:p w14:paraId="1DA883FC" w14:textId="38DE189D" w:rsidR="00D71FBA" w:rsidRPr="00275521" w:rsidRDefault="00D71FBA" w:rsidP="008B6633">
            <w:pPr>
              <w:pStyle w:val="TableText0"/>
              <w:keepNext w:val="0"/>
              <w:keepLines w:val="0"/>
            </w:pPr>
            <w:r w:rsidRPr="00275521">
              <w:t>Health states</w:t>
            </w:r>
          </w:p>
        </w:tc>
        <w:tc>
          <w:tcPr>
            <w:tcW w:w="4138" w:type="pct"/>
            <w:gridSpan w:val="4"/>
          </w:tcPr>
          <w:p w14:paraId="3AFF5538" w14:textId="77777777" w:rsidR="00D71FBA" w:rsidRPr="00275521" w:rsidRDefault="00D71FBA" w:rsidP="008B6633">
            <w:pPr>
              <w:pStyle w:val="TableText0"/>
              <w:keepNext w:val="0"/>
              <w:keepLines w:val="0"/>
              <w:ind w:left="137"/>
            </w:pPr>
            <w:r w:rsidRPr="00275521">
              <w:t>1. Cholestasis with response</w:t>
            </w:r>
          </w:p>
          <w:p w14:paraId="70752493" w14:textId="77777777" w:rsidR="00D71FBA" w:rsidRPr="00275521" w:rsidRDefault="00D71FBA" w:rsidP="008B6633">
            <w:pPr>
              <w:pStyle w:val="TableText0"/>
              <w:keepNext w:val="0"/>
              <w:keepLines w:val="0"/>
              <w:ind w:left="137"/>
            </w:pPr>
            <w:r w:rsidRPr="00275521">
              <w:t>2. Cholestasis with loss of response</w:t>
            </w:r>
          </w:p>
          <w:p w14:paraId="5909166F" w14:textId="77777777" w:rsidR="00D71FBA" w:rsidRPr="00275521" w:rsidRDefault="00D71FBA" w:rsidP="008B6633">
            <w:pPr>
              <w:pStyle w:val="TableText0"/>
              <w:keepNext w:val="0"/>
              <w:keepLines w:val="0"/>
              <w:ind w:left="137"/>
            </w:pPr>
            <w:r w:rsidRPr="00275521">
              <w:t>3. Cirrhosis</w:t>
            </w:r>
          </w:p>
          <w:p w14:paraId="4CAE840E" w14:textId="77777777" w:rsidR="00D71FBA" w:rsidRPr="00275521" w:rsidRDefault="00D71FBA" w:rsidP="008B6633">
            <w:pPr>
              <w:pStyle w:val="TableText0"/>
              <w:keepNext w:val="0"/>
              <w:keepLines w:val="0"/>
              <w:ind w:left="137"/>
            </w:pPr>
            <w:r w:rsidRPr="00275521">
              <w:t>4. Portal hypertension (PHT)</w:t>
            </w:r>
          </w:p>
          <w:p w14:paraId="5E0CDDDB" w14:textId="77777777" w:rsidR="00D71FBA" w:rsidRPr="00275521" w:rsidRDefault="00D71FBA" w:rsidP="008B6633">
            <w:pPr>
              <w:pStyle w:val="TableText0"/>
              <w:keepNext w:val="0"/>
              <w:keepLines w:val="0"/>
              <w:ind w:left="137"/>
            </w:pPr>
            <w:r w:rsidRPr="00275521">
              <w:t>5. Ascites</w:t>
            </w:r>
          </w:p>
          <w:p w14:paraId="231BFDB2" w14:textId="736D02B6" w:rsidR="00D71FBA" w:rsidRPr="00275521" w:rsidRDefault="00D71FBA" w:rsidP="008B6633">
            <w:pPr>
              <w:pStyle w:val="TableText0"/>
              <w:keepNext w:val="0"/>
              <w:keepLines w:val="0"/>
              <w:ind w:left="137"/>
            </w:pPr>
            <w:r w:rsidRPr="00275521">
              <w:t>6. Liver transplant (LT)</w:t>
            </w:r>
          </w:p>
          <w:p w14:paraId="03E0658B" w14:textId="08BF831D" w:rsidR="00D71FBA" w:rsidRPr="00275521" w:rsidRDefault="00D71FBA" w:rsidP="008B6633">
            <w:pPr>
              <w:pStyle w:val="TableText0"/>
              <w:keepNext w:val="0"/>
              <w:keepLines w:val="0"/>
              <w:ind w:left="137"/>
            </w:pPr>
            <w:r w:rsidRPr="00275521">
              <w:t>7. Post-LT</w:t>
            </w:r>
          </w:p>
          <w:p w14:paraId="5FDE67AA" w14:textId="77777777" w:rsidR="00D71FBA" w:rsidRPr="00275521" w:rsidRDefault="00D71FBA" w:rsidP="008B6633">
            <w:pPr>
              <w:pStyle w:val="TableText0"/>
              <w:keepNext w:val="0"/>
              <w:keepLines w:val="0"/>
              <w:ind w:left="137"/>
            </w:pPr>
            <w:r w:rsidRPr="00275521">
              <w:t>8. Death</w:t>
            </w:r>
          </w:p>
          <w:p w14:paraId="7E31B0AE" w14:textId="381D6950" w:rsidR="00D71FBA" w:rsidRPr="00275521" w:rsidRDefault="00311DF9" w:rsidP="008B6633">
            <w:pPr>
              <w:pStyle w:val="TableText0"/>
              <w:keepNext w:val="0"/>
              <w:keepLines w:val="0"/>
              <w:ind w:left="137"/>
            </w:pPr>
            <w:r w:rsidRPr="00275521">
              <w:t>A</w:t>
            </w:r>
            <w:r w:rsidR="00D71FBA" w:rsidRPr="00275521">
              <w:t xml:space="preserve"> scenario analysis was also included which added two additional health states, SBD and post-SBD</w:t>
            </w:r>
          </w:p>
        </w:tc>
      </w:tr>
      <w:tr w:rsidR="00DB35F7" w:rsidRPr="00275521" w14:paraId="28AEF315" w14:textId="77777777" w:rsidTr="00D71FBA">
        <w:tc>
          <w:tcPr>
            <w:tcW w:w="862" w:type="pct"/>
            <w:vAlign w:val="center"/>
          </w:tcPr>
          <w:p w14:paraId="59222A88" w14:textId="77777777" w:rsidR="00D71FBA" w:rsidRPr="00275521" w:rsidRDefault="00D71FBA" w:rsidP="008B6633">
            <w:pPr>
              <w:pStyle w:val="TableText0"/>
              <w:keepNext w:val="0"/>
              <w:keepLines w:val="0"/>
            </w:pPr>
            <w:r w:rsidRPr="00275521">
              <w:t>Cycle length</w:t>
            </w:r>
          </w:p>
        </w:tc>
        <w:tc>
          <w:tcPr>
            <w:tcW w:w="4138" w:type="pct"/>
            <w:gridSpan w:val="4"/>
            <w:vAlign w:val="center"/>
          </w:tcPr>
          <w:p w14:paraId="7257ADAE" w14:textId="769E6394" w:rsidR="00D71FBA" w:rsidRPr="00275521" w:rsidRDefault="00D71FBA" w:rsidP="008B6633">
            <w:pPr>
              <w:pStyle w:val="TableText0"/>
              <w:keepNext w:val="0"/>
              <w:keepLines w:val="0"/>
              <w:rPr>
                <w:i/>
                <w:iCs/>
              </w:rPr>
            </w:pPr>
            <w:r w:rsidRPr="00275521">
              <w:t>12 weeks</w:t>
            </w:r>
          </w:p>
        </w:tc>
      </w:tr>
      <w:tr w:rsidR="00DB35F7" w:rsidRPr="00275521" w14:paraId="4CBCD2E6" w14:textId="77777777" w:rsidTr="00D71FBA">
        <w:tc>
          <w:tcPr>
            <w:tcW w:w="862" w:type="pct"/>
            <w:vMerge w:val="restart"/>
            <w:vAlign w:val="center"/>
          </w:tcPr>
          <w:p w14:paraId="3F25C92B" w14:textId="6456AF9C" w:rsidR="00D71FBA" w:rsidRPr="00275521" w:rsidRDefault="00D71FBA" w:rsidP="008B6633">
            <w:pPr>
              <w:pStyle w:val="TableText0"/>
            </w:pPr>
            <w:r w:rsidRPr="00275521">
              <w:t>Transition probabilities</w:t>
            </w:r>
          </w:p>
        </w:tc>
        <w:tc>
          <w:tcPr>
            <w:tcW w:w="4138" w:type="pct"/>
            <w:gridSpan w:val="4"/>
          </w:tcPr>
          <w:p w14:paraId="03757958" w14:textId="307C95B1" w:rsidR="00D71FBA" w:rsidRPr="00275521" w:rsidRDefault="00D71FBA" w:rsidP="008B6633">
            <w:pPr>
              <w:pStyle w:val="TableText0"/>
              <w:keepNext w:val="0"/>
              <w:keepLines w:val="0"/>
              <w:rPr>
                <w:i/>
                <w:iCs/>
              </w:rPr>
            </w:pPr>
          </w:p>
        </w:tc>
      </w:tr>
      <w:tr w:rsidR="00757E71" w:rsidRPr="00275521" w14:paraId="691693AA" w14:textId="77777777">
        <w:tc>
          <w:tcPr>
            <w:tcW w:w="862" w:type="pct"/>
            <w:vMerge/>
            <w:vAlign w:val="center"/>
          </w:tcPr>
          <w:p w14:paraId="3815E0D5" w14:textId="5E46FCA2" w:rsidR="00D71FBA" w:rsidRPr="00275521" w:rsidRDefault="00D71FBA" w:rsidP="008B6633">
            <w:pPr>
              <w:pStyle w:val="TableText0"/>
            </w:pPr>
          </w:p>
        </w:tc>
        <w:tc>
          <w:tcPr>
            <w:tcW w:w="1179" w:type="pct"/>
          </w:tcPr>
          <w:p w14:paraId="3A5F0CCB" w14:textId="2298A7C0" w:rsidR="00D71FBA" w:rsidRPr="00275521" w:rsidRDefault="00CD53E5" w:rsidP="008B6633">
            <w:pPr>
              <w:pStyle w:val="TableText0"/>
              <w:keepNext w:val="0"/>
              <w:keepLines w:val="0"/>
              <w:rPr>
                <w:rStyle w:val="Small"/>
                <w:rFonts w:ascii="Arial Narrow" w:hAnsi="Arial Narrow"/>
                <w:b/>
                <w:bCs w:val="0"/>
              </w:rPr>
            </w:pPr>
            <w:r w:rsidRPr="00275521">
              <w:rPr>
                <w:rStyle w:val="Small"/>
                <w:rFonts w:ascii="Arial Narrow" w:hAnsi="Arial Narrow"/>
                <w:b/>
                <w:bCs w:val="0"/>
              </w:rPr>
              <w:t>Transition</w:t>
            </w:r>
          </w:p>
        </w:tc>
        <w:tc>
          <w:tcPr>
            <w:tcW w:w="1022" w:type="pct"/>
            <w:gridSpan w:val="2"/>
            <w:vAlign w:val="center"/>
          </w:tcPr>
          <w:p w14:paraId="6B7A912C" w14:textId="6FC7B2BB" w:rsidR="00D71FBA" w:rsidRPr="00275521" w:rsidRDefault="00D71FBA" w:rsidP="008B6633">
            <w:pPr>
              <w:pStyle w:val="TableText0"/>
              <w:keepNext w:val="0"/>
              <w:keepLines w:val="0"/>
              <w:jc w:val="center"/>
              <w:rPr>
                <w:rStyle w:val="Small"/>
                <w:rFonts w:ascii="Arial Narrow" w:hAnsi="Arial Narrow"/>
                <w:b/>
                <w:bCs w:val="0"/>
              </w:rPr>
            </w:pPr>
            <w:r w:rsidRPr="00275521">
              <w:rPr>
                <w:rStyle w:val="Small"/>
                <w:rFonts w:ascii="Arial Narrow" w:hAnsi="Arial Narrow"/>
                <w:b/>
                <w:bCs w:val="0"/>
              </w:rPr>
              <w:t>Input</w:t>
            </w:r>
          </w:p>
        </w:tc>
        <w:tc>
          <w:tcPr>
            <w:tcW w:w="1937" w:type="pct"/>
            <w:vAlign w:val="center"/>
          </w:tcPr>
          <w:p w14:paraId="5820457C" w14:textId="23F9054D" w:rsidR="00D71FBA" w:rsidRPr="00275521" w:rsidRDefault="00D71FBA" w:rsidP="008B6633">
            <w:pPr>
              <w:pStyle w:val="TableText0"/>
              <w:keepNext w:val="0"/>
              <w:keepLines w:val="0"/>
              <w:rPr>
                <w:b/>
                <w:bCs w:val="0"/>
              </w:rPr>
            </w:pPr>
            <w:r w:rsidRPr="00275521">
              <w:rPr>
                <w:b/>
                <w:bCs w:val="0"/>
              </w:rPr>
              <w:t>Source</w:t>
            </w:r>
          </w:p>
        </w:tc>
      </w:tr>
      <w:tr w:rsidR="00757E71" w:rsidRPr="00275521" w14:paraId="4283EDD0" w14:textId="77777777">
        <w:tc>
          <w:tcPr>
            <w:tcW w:w="862" w:type="pct"/>
            <w:vMerge/>
            <w:vAlign w:val="center"/>
          </w:tcPr>
          <w:p w14:paraId="5AB044AB" w14:textId="2B295F64" w:rsidR="00D71FBA" w:rsidRPr="00275521" w:rsidRDefault="00D71FBA" w:rsidP="008B6633">
            <w:pPr>
              <w:pStyle w:val="TableText0"/>
              <w:keepNext w:val="0"/>
              <w:keepLines w:val="0"/>
            </w:pPr>
          </w:p>
        </w:tc>
        <w:tc>
          <w:tcPr>
            <w:tcW w:w="1179" w:type="pct"/>
          </w:tcPr>
          <w:p w14:paraId="37473E5F" w14:textId="77777777" w:rsidR="00D71FBA" w:rsidRPr="00275521" w:rsidRDefault="00D71FBA" w:rsidP="008B6633">
            <w:pPr>
              <w:pStyle w:val="TableText0"/>
              <w:keepNext w:val="0"/>
              <w:keepLines w:val="0"/>
            </w:pPr>
            <w:r w:rsidRPr="00275521">
              <w:rPr>
                <w:rStyle w:val="Small"/>
                <w:rFonts w:ascii="Arial Narrow" w:hAnsi="Arial Narrow"/>
              </w:rPr>
              <w:t>Response to ODX </w:t>
            </w:r>
          </w:p>
        </w:tc>
        <w:tc>
          <w:tcPr>
            <w:tcW w:w="1022" w:type="pct"/>
            <w:gridSpan w:val="2"/>
            <w:vAlign w:val="center"/>
          </w:tcPr>
          <w:p w14:paraId="43308BB7" w14:textId="77777777" w:rsidR="00D71FBA" w:rsidRPr="00275521" w:rsidRDefault="00D71FBA" w:rsidP="008B6633">
            <w:pPr>
              <w:pStyle w:val="TableText0"/>
              <w:keepNext w:val="0"/>
              <w:keepLines w:val="0"/>
              <w:jc w:val="center"/>
            </w:pPr>
            <w:r w:rsidRPr="00275521">
              <w:rPr>
                <w:rStyle w:val="Small"/>
                <w:rFonts w:ascii="Arial Narrow" w:hAnsi="Arial Narrow"/>
              </w:rPr>
              <w:t>82.4%</w:t>
            </w:r>
          </w:p>
        </w:tc>
        <w:tc>
          <w:tcPr>
            <w:tcW w:w="1937" w:type="pct"/>
            <w:vAlign w:val="center"/>
          </w:tcPr>
          <w:p w14:paraId="386CD714" w14:textId="36D1D3B0" w:rsidR="00D71FBA" w:rsidRPr="00275521" w:rsidRDefault="00D71FBA" w:rsidP="008B6633">
            <w:pPr>
              <w:pStyle w:val="TableText0"/>
              <w:keepNext w:val="0"/>
              <w:keepLines w:val="0"/>
            </w:pPr>
            <w:r w:rsidRPr="00275521">
              <w:t>Post-hoc pooled ASSERT/ASSERT-EXT patient data conducted by the Sponsor</w:t>
            </w:r>
          </w:p>
        </w:tc>
      </w:tr>
      <w:tr w:rsidR="00757E71" w:rsidRPr="00275521" w14:paraId="5C94D1DC" w14:textId="77777777">
        <w:tc>
          <w:tcPr>
            <w:tcW w:w="862" w:type="pct"/>
            <w:vMerge/>
            <w:vAlign w:val="center"/>
          </w:tcPr>
          <w:p w14:paraId="5A470C58" w14:textId="77777777" w:rsidR="00D71FBA" w:rsidRPr="00275521" w:rsidRDefault="00D71FBA" w:rsidP="008B6633">
            <w:pPr>
              <w:pStyle w:val="TableText0"/>
              <w:keepNext w:val="0"/>
              <w:keepLines w:val="0"/>
            </w:pPr>
          </w:p>
        </w:tc>
        <w:tc>
          <w:tcPr>
            <w:tcW w:w="1179" w:type="pct"/>
          </w:tcPr>
          <w:p w14:paraId="72B16641" w14:textId="77777777" w:rsidR="00D71FBA" w:rsidRPr="00275521" w:rsidRDefault="00D71FBA" w:rsidP="008B6633">
            <w:pPr>
              <w:pStyle w:val="TableText0"/>
              <w:keepNext w:val="0"/>
              <w:keepLines w:val="0"/>
            </w:pPr>
            <w:r w:rsidRPr="00275521">
              <w:rPr>
                <w:rStyle w:val="Small"/>
                <w:rFonts w:ascii="Arial Narrow" w:hAnsi="Arial Narrow"/>
              </w:rPr>
              <w:t>Response to SoC </w:t>
            </w:r>
          </w:p>
        </w:tc>
        <w:tc>
          <w:tcPr>
            <w:tcW w:w="1022" w:type="pct"/>
            <w:gridSpan w:val="2"/>
            <w:vAlign w:val="center"/>
          </w:tcPr>
          <w:p w14:paraId="1AACC719" w14:textId="77777777" w:rsidR="00D71FBA" w:rsidRPr="00275521" w:rsidRDefault="00D71FBA" w:rsidP="008B6633">
            <w:pPr>
              <w:pStyle w:val="TableText0"/>
              <w:keepNext w:val="0"/>
              <w:keepLines w:val="0"/>
              <w:jc w:val="center"/>
            </w:pPr>
            <w:r w:rsidRPr="00275521">
              <w:rPr>
                <w:rStyle w:val="Small"/>
                <w:rFonts w:ascii="Arial Narrow" w:hAnsi="Arial Narrow"/>
              </w:rPr>
              <w:t>0%</w:t>
            </w:r>
          </w:p>
        </w:tc>
        <w:tc>
          <w:tcPr>
            <w:tcW w:w="1937" w:type="pct"/>
            <w:vAlign w:val="center"/>
          </w:tcPr>
          <w:p w14:paraId="715ECABE" w14:textId="3E3AFD01" w:rsidR="00D71FBA" w:rsidRPr="00275521" w:rsidRDefault="00D71FBA" w:rsidP="008B6633">
            <w:pPr>
              <w:pStyle w:val="TableText0"/>
              <w:keepNext w:val="0"/>
              <w:keepLines w:val="0"/>
            </w:pPr>
            <w:r w:rsidRPr="00275521">
              <w:t>Assumption</w:t>
            </w:r>
          </w:p>
        </w:tc>
      </w:tr>
      <w:tr w:rsidR="00757E71" w:rsidRPr="00275521" w14:paraId="52E88522" w14:textId="77777777">
        <w:tc>
          <w:tcPr>
            <w:tcW w:w="862" w:type="pct"/>
            <w:vMerge/>
            <w:vAlign w:val="center"/>
          </w:tcPr>
          <w:p w14:paraId="5443C20F" w14:textId="77777777" w:rsidR="00D71FBA" w:rsidRPr="00275521" w:rsidRDefault="00D71FBA" w:rsidP="008B6633">
            <w:pPr>
              <w:pStyle w:val="TableText0"/>
              <w:keepNext w:val="0"/>
              <w:keepLines w:val="0"/>
            </w:pPr>
          </w:p>
        </w:tc>
        <w:tc>
          <w:tcPr>
            <w:tcW w:w="1179" w:type="pct"/>
          </w:tcPr>
          <w:p w14:paraId="46788AD2" w14:textId="77777777" w:rsidR="00D71FBA" w:rsidRPr="00275521" w:rsidRDefault="00D71FBA" w:rsidP="008B6633">
            <w:pPr>
              <w:pStyle w:val="TableText0"/>
              <w:keepNext w:val="0"/>
              <w:keepLines w:val="0"/>
            </w:pPr>
            <w:r w:rsidRPr="00275521">
              <w:rPr>
                <w:rStyle w:val="Small"/>
                <w:rFonts w:ascii="Arial Narrow" w:hAnsi="Arial Narrow"/>
              </w:rPr>
              <w:t>Response to SBD </w:t>
            </w:r>
          </w:p>
        </w:tc>
        <w:tc>
          <w:tcPr>
            <w:tcW w:w="1022" w:type="pct"/>
            <w:gridSpan w:val="2"/>
            <w:vAlign w:val="center"/>
          </w:tcPr>
          <w:p w14:paraId="19727E2C" w14:textId="77777777" w:rsidR="00D71FBA" w:rsidRPr="00275521" w:rsidRDefault="00D71FBA" w:rsidP="008B6633">
            <w:pPr>
              <w:pStyle w:val="TableText0"/>
              <w:keepNext w:val="0"/>
              <w:keepLines w:val="0"/>
              <w:jc w:val="center"/>
            </w:pPr>
            <w:r w:rsidRPr="00275521">
              <w:rPr>
                <w:rStyle w:val="Small"/>
                <w:rFonts w:ascii="Arial Narrow" w:hAnsi="Arial Narrow"/>
              </w:rPr>
              <w:t>0%</w:t>
            </w:r>
          </w:p>
        </w:tc>
        <w:tc>
          <w:tcPr>
            <w:tcW w:w="1937" w:type="pct"/>
            <w:vAlign w:val="center"/>
          </w:tcPr>
          <w:p w14:paraId="585F1654" w14:textId="44275400" w:rsidR="00D71FBA" w:rsidRPr="00275521" w:rsidRDefault="00D71FBA" w:rsidP="008B6633">
            <w:pPr>
              <w:pStyle w:val="TableText0"/>
              <w:keepNext w:val="0"/>
              <w:keepLines w:val="0"/>
            </w:pPr>
            <w:r w:rsidRPr="00275521">
              <w:t>Assumption</w:t>
            </w:r>
          </w:p>
        </w:tc>
      </w:tr>
      <w:tr w:rsidR="00757E71" w:rsidRPr="00275521" w14:paraId="65DE66CF" w14:textId="77777777">
        <w:tc>
          <w:tcPr>
            <w:tcW w:w="862" w:type="pct"/>
            <w:vMerge/>
            <w:vAlign w:val="center"/>
          </w:tcPr>
          <w:p w14:paraId="3D48436A" w14:textId="77777777" w:rsidR="00D71FBA" w:rsidRPr="00275521" w:rsidRDefault="00D71FBA" w:rsidP="008B6633">
            <w:pPr>
              <w:pStyle w:val="TableText0"/>
              <w:keepNext w:val="0"/>
              <w:keepLines w:val="0"/>
            </w:pPr>
          </w:p>
        </w:tc>
        <w:tc>
          <w:tcPr>
            <w:tcW w:w="1179" w:type="pct"/>
          </w:tcPr>
          <w:p w14:paraId="184F2016" w14:textId="77777777" w:rsidR="00D71FBA" w:rsidRPr="00275521" w:rsidRDefault="00D71FBA" w:rsidP="008B6633">
            <w:pPr>
              <w:pStyle w:val="TableText0"/>
              <w:keepNext w:val="0"/>
              <w:keepLines w:val="0"/>
            </w:pPr>
            <w:r w:rsidRPr="00275521">
              <w:rPr>
                <w:rStyle w:val="Small"/>
                <w:rFonts w:ascii="Arial Narrow" w:hAnsi="Arial Narrow"/>
              </w:rPr>
              <w:t>Discontinuation of ODX </w:t>
            </w:r>
          </w:p>
        </w:tc>
        <w:tc>
          <w:tcPr>
            <w:tcW w:w="1022" w:type="pct"/>
            <w:gridSpan w:val="2"/>
            <w:vAlign w:val="center"/>
          </w:tcPr>
          <w:p w14:paraId="2E8EB905" w14:textId="77777777" w:rsidR="00D71FBA" w:rsidRPr="00275521" w:rsidRDefault="00D71FBA" w:rsidP="008B6633">
            <w:pPr>
              <w:pStyle w:val="TableText0"/>
              <w:keepNext w:val="0"/>
              <w:keepLines w:val="0"/>
              <w:jc w:val="center"/>
            </w:pPr>
            <w:r w:rsidRPr="00275521">
              <w:rPr>
                <w:rStyle w:val="Small"/>
                <w:rFonts w:ascii="Arial Narrow" w:hAnsi="Arial Narrow"/>
              </w:rPr>
              <w:t>5/50 (10%) at 92.6 weeks)</w:t>
            </w:r>
          </w:p>
        </w:tc>
        <w:tc>
          <w:tcPr>
            <w:tcW w:w="1937" w:type="pct"/>
            <w:vAlign w:val="center"/>
          </w:tcPr>
          <w:p w14:paraId="345CC42B" w14:textId="10671CB4" w:rsidR="00D71FBA" w:rsidRPr="00275521" w:rsidRDefault="00D71FBA" w:rsidP="008B6633">
            <w:pPr>
              <w:pStyle w:val="TableText0"/>
              <w:keepNext w:val="0"/>
              <w:keepLines w:val="0"/>
            </w:pPr>
            <w:r w:rsidRPr="00275521">
              <w:t>Post-hoc analysis at 92.6 weeks conducted by the Sponsor.</w:t>
            </w:r>
          </w:p>
        </w:tc>
      </w:tr>
      <w:tr w:rsidR="00757E71" w:rsidRPr="00275521" w14:paraId="1EBAA108" w14:textId="77777777">
        <w:tc>
          <w:tcPr>
            <w:tcW w:w="862" w:type="pct"/>
            <w:vMerge/>
            <w:vAlign w:val="center"/>
          </w:tcPr>
          <w:p w14:paraId="201AEE17" w14:textId="77777777" w:rsidR="00D71FBA" w:rsidRPr="00275521" w:rsidRDefault="00D71FBA" w:rsidP="008B6633">
            <w:pPr>
              <w:pStyle w:val="TableText0"/>
              <w:keepNext w:val="0"/>
              <w:keepLines w:val="0"/>
            </w:pPr>
          </w:p>
        </w:tc>
        <w:tc>
          <w:tcPr>
            <w:tcW w:w="1179" w:type="pct"/>
          </w:tcPr>
          <w:p w14:paraId="442CA87F" w14:textId="77777777" w:rsidR="00D71FBA" w:rsidRPr="00275521" w:rsidRDefault="00D71FBA" w:rsidP="008B6633">
            <w:pPr>
              <w:pStyle w:val="TableText0"/>
              <w:keepNext w:val="0"/>
              <w:keepLines w:val="0"/>
            </w:pPr>
            <w:r w:rsidRPr="00275521">
              <w:rPr>
                <w:rStyle w:val="Small"/>
                <w:rFonts w:ascii="Arial Narrow" w:hAnsi="Arial Narrow"/>
              </w:rPr>
              <w:t>Discontinuation of SoC </w:t>
            </w:r>
          </w:p>
        </w:tc>
        <w:tc>
          <w:tcPr>
            <w:tcW w:w="1022" w:type="pct"/>
            <w:gridSpan w:val="2"/>
            <w:vAlign w:val="center"/>
          </w:tcPr>
          <w:p w14:paraId="0048D633" w14:textId="77777777" w:rsidR="00D71FBA" w:rsidRPr="00275521" w:rsidRDefault="00D71FBA" w:rsidP="008B6633">
            <w:pPr>
              <w:pStyle w:val="TableText0"/>
              <w:keepNext w:val="0"/>
              <w:keepLines w:val="0"/>
              <w:jc w:val="center"/>
            </w:pPr>
            <w:r w:rsidRPr="00275521">
              <w:rPr>
                <w:rStyle w:val="Small"/>
                <w:rFonts w:ascii="Arial Narrow" w:hAnsi="Arial Narrow"/>
              </w:rPr>
              <w:t>Same as ODX discontinuation</w:t>
            </w:r>
          </w:p>
        </w:tc>
        <w:tc>
          <w:tcPr>
            <w:tcW w:w="1937" w:type="pct"/>
            <w:vAlign w:val="center"/>
          </w:tcPr>
          <w:p w14:paraId="054E0FA3" w14:textId="0188FE71" w:rsidR="00D71FBA" w:rsidRPr="00275521" w:rsidRDefault="00D71FBA" w:rsidP="008B6633">
            <w:pPr>
              <w:pStyle w:val="TableText0"/>
              <w:keepNext w:val="0"/>
              <w:keepLines w:val="0"/>
              <w:rPr>
                <w:i/>
                <w:iCs/>
              </w:rPr>
            </w:pPr>
            <w:r w:rsidRPr="00275521">
              <w:t>Assumption</w:t>
            </w:r>
          </w:p>
        </w:tc>
      </w:tr>
      <w:tr w:rsidR="00757E71" w:rsidRPr="00275521" w14:paraId="3546FF9D" w14:textId="77777777" w:rsidTr="00D71FBA">
        <w:tc>
          <w:tcPr>
            <w:tcW w:w="862" w:type="pct"/>
            <w:vMerge/>
            <w:vAlign w:val="center"/>
          </w:tcPr>
          <w:p w14:paraId="78C07652" w14:textId="77777777" w:rsidR="00D71FBA" w:rsidRPr="00275521" w:rsidRDefault="00D71FBA" w:rsidP="008B6633">
            <w:pPr>
              <w:pStyle w:val="TableText0"/>
              <w:keepNext w:val="0"/>
              <w:keepLines w:val="0"/>
            </w:pPr>
          </w:p>
        </w:tc>
        <w:tc>
          <w:tcPr>
            <w:tcW w:w="1179" w:type="pct"/>
          </w:tcPr>
          <w:p w14:paraId="0A882D94" w14:textId="77777777" w:rsidR="00D71FBA" w:rsidRPr="00275521" w:rsidRDefault="00D71FBA" w:rsidP="008B6633">
            <w:pPr>
              <w:pStyle w:val="TableText0"/>
              <w:keepNext w:val="0"/>
              <w:keepLines w:val="0"/>
            </w:pPr>
            <w:r w:rsidRPr="00275521">
              <w:rPr>
                <w:rStyle w:val="Small"/>
                <w:rFonts w:ascii="Arial Narrow" w:hAnsi="Arial Narrow"/>
              </w:rPr>
              <w:t>Loss of response of SBD </w:t>
            </w:r>
          </w:p>
        </w:tc>
        <w:tc>
          <w:tcPr>
            <w:tcW w:w="1022" w:type="pct"/>
            <w:gridSpan w:val="2"/>
            <w:vAlign w:val="center"/>
          </w:tcPr>
          <w:p w14:paraId="2549335A" w14:textId="77777777" w:rsidR="00D71FBA" w:rsidRPr="00275521" w:rsidRDefault="00D71FBA" w:rsidP="008B6633">
            <w:pPr>
              <w:pStyle w:val="TableText0"/>
              <w:keepNext w:val="0"/>
              <w:keepLines w:val="0"/>
              <w:jc w:val="center"/>
            </w:pPr>
            <w:r w:rsidRPr="00275521">
              <w:rPr>
                <w:rStyle w:val="Small"/>
                <w:rFonts w:ascii="Arial Narrow" w:hAnsi="Arial Narrow"/>
              </w:rPr>
              <w:t>–</w:t>
            </w:r>
          </w:p>
        </w:tc>
        <w:tc>
          <w:tcPr>
            <w:tcW w:w="1937" w:type="pct"/>
            <w:vAlign w:val="center"/>
          </w:tcPr>
          <w:p w14:paraId="0443BA19" w14:textId="1C2C25B5" w:rsidR="00D71FBA" w:rsidRPr="00275521" w:rsidRDefault="00D71FBA" w:rsidP="008B6633">
            <w:pPr>
              <w:pStyle w:val="TableText0"/>
              <w:keepNext w:val="0"/>
              <w:keepLines w:val="0"/>
              <w:jc w:val="center"/>
              <w:rPr>
                <w:i/>
                <w:iCs/>
              </w:rPr>
            </w:pPr>
            <w:r w:rsidRPr="00275521">
              <w:rPr>
                <w:rStyle w:val="Small"/>
                <w:rFonts w:ascii="Arial Narrow" w:hAnsi="Arial Narrow"/>
              </w:rPr>
              <w:t>–</w:t>
            </w:r>
          </w:p>
        </w:tc>
      </w:tr>
      <w:tr w:rsidR="00757E71" w:rsidRPr="00275521" w14:paraId="038F5B9C" w14:textId="77777777">
        <w:tc>
          <w:tcPr>
            <w:tcW w:w="862" w:type="pct"/>
            <w:vMerge/>
            <w:vAlign w:val="center"/>
          </w:tcPr>
          <w:p w14:paraId="7FC8FC27" w14:textId="77777777" w:rsidR="00D71FBA" w:rsidRPr="00275521" w:rsidRDefault="00D71FBA" w:rsidP="008B6633">
            <w:pPr>
              <w:pStyle w:val="TableText0"/>
              <w:keepNext w:val="0"/>
              <w:keepLines w:val="0"/>
            </w:pPr>
          </w:p>
        </w:tc>
        <w:tc>
          <w:tcPr>
            <w:tcW w:w="1179" w:type="pct"/>
          </w:tcPr>
          <w:p w14:paraId="5C7E675E" w14:textId="77777777" w:rsidR="00D71FBA" w:rsidRPr="00275521" w:rsidRDefault="00D71FBA" w:rsidP="008B6633">
            <w:pPr>
              <w:pStyle w:val="TableText0"/>
              <w:keepNext w:val="0"/>
              <w:keepLines w:val="0"/>
            </w:pPr>
            <w:r w:rsidRPr="00275521">
              <w:rPr>
                <w:rStyle w:val="Small"/>
                <w:rFonts w:ascii="Arial Narrow" w:hAnsi="Arial Narrow"/>
              </w:rPr>
              <w:t>Unresponsive → Cirrhosis </w:t>
            </w:r>
          </w:p>
        </w:tc>
        <w:tc>
          <w:tcPr>
            <w:tcW w:w="1022" w:type="pct"/>
            <w:gridSpan w:val="2"/>
            <w:vAlign w:val="center"/>
          </w:tcPr>
          <w:p w14:paraId="78505D15" w14:textId="77777777" w:rsidR="00D71FBA" w:rsidRPr="00275521" w:rsidRDefault="00D71FBA" w:rsidP="008B6633">
            <w:pPr>
              <w:pStyle w:val="TableText0"/>
              <w:keepNext w:val="0"/>
              <w:keepLines w:val="0"/>
              <w:jc w:val="center"/>
            </w:pPr>
            <w:r w:rsidRPr="00275521">
              <w:rPr>
                <w:rStyle w:val="Small"/>
                <w:rFonts w:ascii="Arial Narrow" w:hAnsi="Arial Narrow"/>
              </w:rPr>
              <w:t>41/94 (44%) at 10 years</w:t>
            </w:r>
          </w:p>
        </w:tc>
        <w:tc>
          <w:tcPr>
            <w:tcW w:w="1937" w:type="pct"/>
            <w:vAlign w:val="center"/>
          </w:tcPr>
          <w:p w14:paraId="3E0FE9F6" w14:textId="0227EA12" w:rsidR="00D71FBA" w:rsidRPr="00275521" w:rsidRDefault="00CD53E5" w:rsidP="008B6633">
            <w:pPr>
              <w:pStyle w:val="TableText0"/>
              <w:keepNext w:val="0"/>
              <w:keepLines w:val="0"/>
            </w:pPr>
            <w:r w:rsidRPr="00275521">
              <w:t>Lykavieris 2001 (maralixibat NICE submission)</w:t>
            </w:r>
          </w:p>
        </w:tc>
      </w:tr>
      <w:tr w:rsidR="00757E71" w:rsidRPr="00275521" w14:paraId="4E9F26D2" w14:textId="77777777">
        <w:tc>
          <w:tcPr>
            <w:tcW w:w="862" w:type="pct"/>
            <w:vMerge/>
            <w:vAlign w:val="center"/>
          </w:tcPr>
          <w:p w14:paraId="2DBA2FF6" w14:textId="77777777" w:rsidR="00D71FBA" w:rsidRPr="00275521" w:rsidRDefault="00D71FBA" w:rsidP="008B6633">
            <w:pPr>
              <w:pStyle w:val="TableText0"/>
              <w:keepNext w:val="0"/>
              <w:keepLines w:val="0"/>
            </w:pPr>
          </w:p>
        </w:tc>
        <w:tc>
          <w:tcPr>
            <w:tcW w:w="1179" w:type="pct"/>
          </w:tcPr>
          <w:p w14:paraId="5ACEC45C" w14:textId="77777777" w:rsidR="00D71FBA" w:rsidRPr="00275521" w:rsidRDefault="00D71FBA" w:rsidP="008B6633">
            <w:pPr>
              <w:pStyle w:val="TableText0"/>
              <w:keepNext w:val="0"/>
              <w:keepLines w:val="0"/>
            </w:pPr>
            <w:r w:rsidRPr="00275521">
              <w:rPr>
                <w:rStyle w:val="Small"/>
                <w:rFonts w:ascii="Arial Narrow" w:hAnsi="Arial Narrow"/>
              </w:rPr>
              <w:t>Cirrhosis → PHT </w:t>
            </w:r>
          </w:p>
        </w:tc>
        <w:tc>
          <w:tcPr>
            <w:tcW w:w="1022" w:type="pct"/>
            <w:gridSpan w:val="2"/>
            <w:vAlign w:val="center"/>
          </w:tcPr>
          <w:p w14:paraId="494FEF03" w14:textId="77777777" w:rsidR="00D71FBA" w:rsidRPr="00275521" w:rsidRDefault="00D71FBA" w:rsidP="008B6633">
            <w:pPr>
              <w:pStyle w:val="TableText0"/>
              <w:keepNext w:val="0"/>
              <w:keepLines w:val="0"/>
              <w:jc w:val="center"/>
            </w:pPr>
            <w:r w:rsidRPr="00275521">
              <w:rPr>
                <w:rStyle w:val="Small"/>
                <w:rFonts w:ascii="Arial Narrow" w:hAnsi="Arial Narrow"/>
              </w:rPr>
              <w:t>40% at 30 years</w:t>
            </w:r>
          </w:p>
        </w:tc>
        <w:tc>
          <w:tcPr>
            <w:tcW w:w="1937" w:type="pct"/>
            <w:vAlign w:val="center"/>
          </w:tcPr>
          <w:p w14:paraId="1A912E05" w14:textId="45AE432E" w:rsidR="00D71FBA" w:rsidRPr="00275521" w:rsidRDefault="00CD53E5" w:rsidP="008B6633">
            <w:pPr>
              <w:pStyle w:val="TableText0"/>
              <w:keepNext w:val="0"/>
              <w:keepLines w:val="0"/>
              <w:rPr>
                <w:i/>
                <w:iCs/>
              </w:rPr>
            </w:pPr>
            <w:r w:rsidRPr="00275521">
              <w:t>Kamath 2020b (maralixibat NICE submission)</w:t>
            </w:r>
          </w:p>
        </w:tc>
      </w:tr>
      <w:tr w:rsidR="00757E71" w:rsidRPr="00275521" w14:paraId="4FD3A386" w14:textId="77777777">
        <w:tc>
          <w:tcPr>
            <w:tcW w:w="862" w:type="pct"/>
            <w:vMerge/>
            <w:vAlign w:val="center"/>
          </w:tcPr>
          <w:p w14:paraId="4AA1182F" w14:textId="77777777" w:rsidR="00D71FBA" w:rsidRPr="00275521" w:rsidRDefault="00D71FBA" w:rsidP="008B6633">
            <w:pPr>
              <w:pStyle w:val="TableText0"/>
              <w:keepNext w:val="0"/>
              <w:keepLines w:val="0"/>
            </w:pPr>
          </w:p>
        </w:tc>
        <w:tc>
          <w:tcPr>
            <w:tcW w:w="1179" w:type="pct"/>
          </w:tcPr>
          <w:p w14:paraId="2129B15F" w14:textId="77777777" w:rsidR="00D71FBA" w:rsidRPr="00275521" w:rsidRDefault="00D71FBA" w:rsidP="008B6633">
            <w:pPr>
              <w:pStyle w:val="TableText0"/>
              <w:keepNext w:val="0"/>
              <w:keepLines w:val="0"/>
            </w:pPr>
            <w:r w:rsidRPr="00275521">
              <w:rPr>
                <w:rStyle w:val="Small"/>
                <w:rFonts w:ascii="Arial Narrow" w:hAnsi="Arial Narrow"/>
              </w:rPr>
              <w:t>PHT → Ascites </w:t>
            </w:r>
          </w:p>
        </w:tc>
        <w:tc>
          <w:tcPr>
            <w:tcW w:w="1022" w:type="pct"/>
            <w:gridSpan w:val="2"/>
            <w:vAlign w:val="center"/>
          </w:tcPr>
          <w:p w14:paraId="57864B5F" w14:textId="77777777" w:rsidR="00D71FBA" w:rsidRPr="00275521" w:rsidRDefault="00D71FBA" w:rsidP="008B6633">
            <w:pPr>
              <w:pStyle w:val="TableText0"/>
              <w:keepNext w:val="0"/>
              <w:keepLines w:val="0"/>
              <w:jc w:val="center"/>
            </w:pPr>
            <w:r w:rsidRPr="00275521">
              <w:rPr>
                <w:rStyle w:val="Small"/>
                <w:rFonts w:ascii="Arial Narrow" w:hAnsi="Arial Narrow"/>
              </w:rPr>
              <w:t>36% at 30 years</w:t>
            </w:r>
          </w:p>
        </w:tc>
        <w:tc>
          <w:tcPr>
            <w:tcW w:w="1937" w:type="pct"/>
            <w:vAlign w:val="center"/>
          </w:tcPr>
          <w:p w14:paraId="56066EC0" w14:textId="70408494" w:rsidR="00D71FBA" w:rsidRPr="00275521" w:rsidRDefault="00CD53E5" w:rsidP="008B6633">
            <w:pPr>
              <w:pStyle w:val="TableText0"/>
              <w:keepNext w:val="0"/>
              <w:keepLines w:val="0"/>
              <w:rPr>
                <w:i/>
                <w:iCs/>
              </w:rPr>
            </w:pPr>
            <w:r w:rsidRPr="00275521">
              <w:t>Kamath 2020b (maralixibat NICE submission)</w:t>
            </w:r>
          </w:p>
        </w:tc>
      </w:tr>
      <w:tr w:rsidR="00757E71" w:rsidRPr="00275521" w14:paraId="4406F278" w14:textId="77777777">
        <w:tc>
          <w:tcPr>
            <w:tcW w:w="862" w:type="pct"/>
            <w:vMerge/>
            <w:vAlign w:val="center"/>
          </w:tcPr>
          <w:p w14:paraId="05353B7A" w14:textId="77777777" w:rsidR="00D71FBA" w:rsidRPr="00275521" w:rsidRDefault="00D71FBA" w:rsidP="008B6633">
            <w:pPr>
              <w:pStyle w:val="TableText0"/>
              <w:keepNext w:val="0"/>
              <w:keepLines w:val="0"/>
            </w:pPr>
          </w:p>
        </w:tc>
        <w:tc>
          <w:tcPr>
            <w:tcW w:w="1179" w:type="pct"/>
          </w:tcPr>
          <w:p w14:paraId="66376B18" w14:textId="77777777" w:rsidR="00D71FBA" w:rsidRPr="00275521" w:rsidRDefault="00D71FBA" w:rsidP="008B6633">
            <w:pPr>
              <w:pStyle w:val="TableText0"/>
              <w:keepNext w:val="0"/>
              <w:keepLines w:val="0"/>
            </w:pPr>
            <w:r w:rsidRPr="00275521">
              <w:rPr>
                <w:rStyle w:val="Small"/>
                <w:rFonts w:ascii="Arial Narrow" w:hAnsi="Arial Narrow"/>
              </w:rPr>
              <w:t>Unresponsive → LT</w:t>
            </w:r>
          </w:p>
        </w:tc>
        <w:tc>
          <w:tcPr>
            <w:tcW w:w="1022" w:type="pct"/>
            <w:gridSpan w:val="2"/>
            <w:vAlign w:val="center"/>
          </w:tcPr>
          <w:p w14:paraId="77146543" w14:textId="77777777" w:rsidR="00D71FBA" w:rsidRPr="00275521" w:rsidRDefault="00D71FBA" w:rsidP="008B6633">
            <w:pPr>
              <w:pStyle w:val="TableText0"/>
              <w:keepNext w:val="0"/>
              <w:keepLines w:val="0"/>
              <w:jc w:val="center"/>
            </w:pPr>
            <w:r w:rsidRPr="00275521">
              <w:rPr>
                <w:rStyle w:val="Small"/>
                <w:rFonts w:ascii="Arial Narrow" w:hAnsi="Arial Narrow"/>
              </w:rPr>
              <w:t>47% at 4 years</w:t>
            </w:r>
          </w:p>
        </w:tc>
        <w:tc>
          <w:tcPr>
            <w:tcW w:w="1937" w:type="pct"/>
            <w:vAlign w:val="center"/>
          </w:tcPr>
          <w:p w14:paraId="647DAA9B" w14:textId="62237028" w:rsidR="00D71FBA" w:rsidRPr="00275521" w:rsidRDefault="00CD53E5" w:rsidP="008B6633">
            <w:pPr>
              <w:pStyle w:val="TableText0"/>
              <w:keepNext w:val="0"/>
              <w:keepLines w:val="0"/>
              <w:rPr>
                <w:i/>
                <w:iCs/>
              </w:rPr>
            </w:pPr>
            <w:r w:rsidRPr="00275521">
              <w:t>Quiros-Tejeira 1999</w:t>
            </w:r>
          </w:p>
        </w:tc>
      </w:tr>
      <w:tr w:rsidR="00757E71" w:rsidRPr="00275521" w14:paraId="77C6E8D1" w14:textId="77777777">
        <w:tc>
          <w:tcPr>
            <w:tcW w:w="862" w:type="pct"/>
            <w:vMerge/>
            <w:vAlign w:val="center"/>
          </w:tcPr>
          <w:p w14:paraId="5990D097" w14:textId="77777777" w:rsidR="00D71FBA" w:rsidRPr="00275521" w:rsidRDefault="00D71FBA" w:rsidP="008B6633">
            <w:pPr>
              <w:pStyle w:val="TableText0"/>
              <w:keepNext w:val="0"/>
              <w:keepLines w:val="0"/>
            </w:pPr>
          </w:p>
        </w:tc>
        <w:tc>
          <w:tcPr>
            <w:tcW w:w="1179" w:type="pct"/>
          </w:tcPr>
          <w:p w14:paraId="239F1962" w14:textId="77777777" w:rsidR="00D71FBA" w:rsidRPr="00275521" w:rsidRDefault="00D71FBA" w:rsidP="008B6633">
            <w:pPr>
              <w:pStyle w:val="TableText0"/>
              <w:keepNext w:val="0"/>
              <w:keepLines w:val="0"/>
            </w:pPr>
            <w:r w:rsidRPr="00275521">
              <w:rPr>
                <w:rStyle w:val="Small"/>
                <w:rFonts w:ascii="Arial Narrow" w:hAnsi="Arial Narrow"/>
              </w:rPr>
              <w:t>Cirrhosis → LT</w:t>
            </w:r>
          </w:p>
        </w:tc>
        <w:tc>
          <w:tcPr>
            <w:tcW w:w="1022" w:type="pct"/>
            <w:gridSpan w:val="2"/>
            <w:vAlign w:val="center"/>
          </w:tcPr>
          <w:p w14:paraId="299D86FD" w14:textId="77777777" w:rsidR="00D71FBA" w:rsidRPr="00275521" w:rsidRDefault="00D71FBA" w:rsidP="008B6633">
            <w:pPr>
              <w:pStyle w:val="TableText0"/>
              <w:keepNext w:val="0"/>
              <w:keepLines w:val="0"/>
              <w:jc w:val="center"/>
            </w:pPr>
            <w:r w:rsidRPr="00275521">
              <w:rPr>
                <w:rStyle w:val="Small"/>
                <w:rFonts w:ascii="Arial Narrow" w:hAnsi="Arial Narrow"/>
              </w:rPr>
              <w:t>7.27% at 1 year</w:t>
            </w:r>
          </w:p>
        </w:tc>
        <w:tc>
          <w:tcPr>
            <w:tcW w:w="1937" w:type="pct"/>
            <w:vAlign w:val="center"/>
          </w:tcPr>
          <w:p w14:paraId="1B506F34" w14:textId="559EA3C1" w:rsidR="00D71FBA" w:rsidRPr="00275521" w:rsidRDefault="00CD53E5" w:rsidP="008B6633">
            <w:pPr>
              <w:pStyle w:val="TableText0"/>
              <w:keepNext w:val="0"/>
              <w:keepLines w:val="0"/>
              <w:rPr>
                <w:i/>
                <w:iCs/>
              </w:rPr>
            </w:pPr>
            <w:r w:rsidRPr="00275521">
              <w:t>Hagstrom 2021</w:t>
            </w:r>
          </w:p>
        </w:tc>
      </w:tr>
      <w:tr w:rsidR="00757E71" w:rsidRPr="00275521" w14:paraId="7664EEF2" w14:textId="77777777">
        <w:tc>
          <w:tcPr>
            <w:tcW w:w="862" w:type="pct"/>
            <w:vMerge/>
            <w:vAlign w:val="center"/>
          </w:tcPr>
          <w:p w14:paraId="24DE8C58" w14:textId="77777777" w:rsidR="00D71FBA" w:rsidRPr="00275521" w:rsidRDefault="00D71FBA" w:rsidP="008B6633">
            <w:pPr>
              <w:pStyle w:val="TableText0"/>
              <w:keepNext w:val="0"/>
              <w:keepLines w:val="0"/>
            </w:pPr>
          </w:p>
        </w:tc>
        <w:tc>
          <w:tcPr>
            <w:tcW w:w="1179" w:type="pct"/>
          </w:tcPr>
          <w:p w14:paraId="08BACD89" w14:textId="77777777" w:rsidR="00D71FBA" w:rsidRPr="00275521" w:rsidRDefault="00D71FBA" w:rsidP="008B6633">
            <w:pPr>
              <w:pStyle w:val="TableText0"/>
              <w:keepNext w:val="0"/>
              <w:keepLines w:val="0"/>
            </w:pPr>
            <w:r w:rsidRPr="00275521">
              <w:rPr>
                <w:rStyle w:val="Small"/>
                <w:rFonts w:ascii="Arial Narrow" w:hAnsi="Arial Narrow"/>
              </w:rPr>
              <w:t>PHT → LT</w:t>
            </w:r>
          </w:p>
        </w:tc>
        <w:tc>
          <w:tcPr>
            <w:tcW w:w="1022" w:type="pct"/>
            <w:gridSpan w:val="2"/>
            <w:vAlign w:val="center"/>
          </w:tcPr>
          <w:p w14:paraId="016BB1C7" w14:textId="77777777" w:rsidR="00D71FBA" w:rsidRPr="00275521" w:rsidRDefault="00D71FBA" w:rsidP="008B6633">
            <w:pPr>
              <w:pStyle w:val="TableText0"/>
              <w:keepNext w:val="0"/>
              <w:keepLines w:val="0"/>
              <w:jc w:val="center"/>
            </w:pPr>
            <w:r w:rsidRPr="00275521">
              <w:rPr>
                <w:rStyle w:val="Small"/>
                <w:rFonts w:ascii="Arial Narrow" w:hAnsi="Arial Narrow"/>
              </w:rPr>
              <w:t>23% at 1 year</w:t>
            </w:r>
          </w:p>
        </w:tc>
        <w:tc>
          <w:tcPr>
            <w:tcW w:w="1937" w:type="pct"/>
            <w:vAlign w:val="center"/>
          </w:tcPr>
          <w:p w14:paraId="1B8FCAD4" w14:textId="68E0F279" w:rsidR="00D71FBA" w:rsidRPr="00275521" w:rsidRDefault="00CD53E5" w:rsidP="008B6633">
            <w:pPr>
              <w:pStyle w:val="TableText0"/>
              <w:keepNext w:val="0"/>
              <w:keepLines w:val="0"/>
              <w:rPr>
                <w:i/>
                <w:iCs/>
              </w:rPr>
            </w:pPr>
            <w:r w:rsidRPr="00275521">
              <w:t>Krasinskas 2005</w:t>
            </w:r>
          </w:p>
        </w:tc>
      </w:tr>
      <w:tr w:rsidR="00757E71" w:rsidRPr="00275521" w14:paraId="7C43B88E" w14:textId="77777777">
        <w:tc>
          <w:tcPr>
            <w:tcW w:w="862" w:type="pct"/>
            <w:vMerge/>
            <w:vAlign w:val="center"/>
          </w:tcPr>
          <w:p w14:paraId="192FADA5" w14:textId="77777777" w:rsidR="00D71FBA" w:rsidRPr="00275521" w:rsidRDefault="00D71FBA" w:rsidP="008B6633">
            <w:pPr>
              <w:pStyle w:val="TableText0"/>
              <w:keepNext w:val="0"/>
              <w:keepLines w:val="0"/>
            </w:pPr>
          </w:p>
        </w:tc>
        <w:tc>
          <w:tcPr>
            <w:tcW w:w="1179" w:type="pct"/>
          </w:tcPr>
          <w:p w14:paraId="55254837" w14:textId="77777777" w:rsidR="00D71FBA" w:rsidRPr="00275521" w:rsidRDefault="00D71FBA" w:rsidP="008B6633">
            <w:pPr>
              <w:pStyle w:val="TableText0"/>
              <w:keepNext w:val="0"/>
              <w:keepLines w:val="0"/>
            </w:pPr>
            <w:r w:rsidRPr="00275521">
              <w:rPr>
                <w:rStyle w:val="Small"/>
                <w:rFonts w:ascii="Arial Narrow" w:hAnsi="Arial Narrow"/>
              </w:rPr>
              <w:t>Ascites → LT </w:t>
            </w:r>
          </w:p>
        </w:tc>
        <w:tc>
          <w:tcPr>
            <w:tcW w:w="1022" w:type="pct"/>
            <w:gridSpan w:val="2"/>
            <w:vAlign w:val="center"/>
          </w:tcPr>
          <w:p w14:paraId="12504571" w14:textId="77777777" w:rsidR="00D71FBA" w:rsidRPr="00275521" w:rsidRDefault="00D71FBA" w:rsidP="008B6633">
            <w:pPr>
              <w:pStyle w:val="TableText0"/>
              <w:keepNext w:val="0"/>
              <w:keepLines w:val="0"/>
              <w:jc w:val="center"/>
            </w:pPr>
            <w:r w:rsidRPr="00275521">
              <w:rPr>
                <w:rStyle w:val="Small"/>
                <w:rFonts w:ascii="Arial Narrow" w:hAnsi="Arial Narrow"/>
              </w:rPr>
              <w:t>–</w:t>
            </w:r>
          </w:p>
        </w:tc>
        <w:tc>
          <w:tcPr>
            <w:tcW w:w="1937" w:type="pct"/>
            <w:vAlign w:val="center"/>
          </w:tcPr>
          <w:p w14:paraId="2C84C343" w14:textId="20CE400C" w:rsidR="00D71FBA" w:rsidRPr="00275521" w:rsidRDefault="00CD53E5" w:rsidP="008B6633">
            <w:pPr>
              <w:pStyle w:val="TableText0"/>
              <w:keepNext w:val="0"/>
              <w:keepLines w:val="0"/>
              <w:rPr>
                <w:i/>
                <w:iCs/>
              </w:rPr>
            </w:pPr>
            <w:r w:rsidRPr="00275521">
              <w:t>Assumption</w:t>
            </w:r>
          </w:p>
        </w:tc>
      </w:tr>
      <w:tr w:rsidR="00757E71" w:rsidRPr="00275521" w14:paraId="2A1B3112" w14:textId="77777777">
        <w:tc>
          <w:tcPr>
            <w:tcW w:w="862" w:type="pct"/>
            <w:vMerge/>
            <w:vAlign w:val="center"/>
          </w:tcPr>
          <w:p w14:paraId="4D0C09E9" w14:textId="77777777" w:rsidR="00D71FBA" w:rsidRPr="00275521" w:rsidRDefault="00D71FBA" w:rsidP="008B6633">
            <w:pPr>
              <w:pStyle w:val="TableText0"/>
              <w:keepNext w:val="0"/>
              <w:keepLines w:val="0"/>
            </w:pPr>
          </w:p>
        </w:tc>
        <w:tc>
          <w:tcPr>
            <w:tcW w:w="1179" w:type="pct"/>
          </w:tcPr>
          <w:p w14:paraId="61E4FFE4" w14:textId="77777777" w:rsidR="00D71FBA" w:rsidRPr="00275521" w:rsidRDefault="00D71FBA" w:rsidP="008B6633">
            <w:pPr>
              <w:pStyle w:val="TableText0"/>
              <w:keepNext w:val="0"/>
              <w:keepLines w:val="0"/>
            </w:pPr>
            <w:r w:rsidRPr="00275521">
              <w:rPr>
                <w:rStyle w:val="Small"/>
                <w:rFonts w:ascii="Arial Narrow" w:hAnsi="Arial Narrow"/>
              </w:rPr>
              <w:t>Post-SBD → LT </w:t>
            </w:r>
          </w:p>
        </w:tc>
        <w:tc>
          <w:tcPr>
            <w:tcW w:w="1022" w:type="pct"/>
            <w:gridSpan w:val="2"/>
            <w:vAlign w:val="center"/>
          </w:tcPr>
          <w:p w14:paraId="2939BC46" w14:textId="77777777" w:rsidR="00D71FBA" w:rsidRPr="00275521" w:rsidRDefault="00D71FBA" w:rsidP="008B6633">
            <w:pPr>
              <w:pStyle w:val="TableText0"/>
              <w:keepNext w:val="0"/>
              <w:keepLines w:val="0"/>
              <w:jc w:val="center"/>
            </w:pPr>
            <w:r w:rsidRPr="00275521">
              <w:rPr>
                <w:rStyle w:val="Small"/>
                <w:rFonts w:ascii="Arial Narrow" w:hAnsi="Arial Narrow"/>
              </w:rPr>
              <w:t>0% in base-case / 36% at 18 years</w:t>
            </w:r>
          </w:p>
        </w:tc>
        <w:tc>
          <w:tcPr>
            <w:tcW w:w="1937" w:type="pct"/>
            <w:vAlign w:val="center"/>
          </w:tcPr>
          <w:p w14:paraId="26F8993B" w14:textId="5A423012" w:rsidR="00D71FBA" w:rsidRPr="00275521" w:rsidRDefault="00CD53E5" w:rsidP="008B6633">
            <w:pPr>
              <w:pStyle w:val="TableText0"/>
              <w:keepNext w:val="0"/>
              <w:keepLines w:val="0"/>
              <w:rPr>
                <w:i/>
                <w:iCs/>
              </w:rPr>
            </w:pPr>
            <w:r w:rsidRPr="00275521">
              <w:t>NAPPED (Gonazles and Filiere de Sante Maladies Rares du Foie de L’Adulte et de L’Enfant, 2018) (maralixibat NICE submission)</w:t>
            </w:r>
          </w:p>
        </w:tc>
      </w:tr>
      <w:tr w:rsidR="00757E71" w:rsidRPr="00275521" w14:paraId="3D4F28F0" w14:textId="77777777">
        <w:tc>
          <w:tcPr>
            <w:tcW w:w="862" w:type="pct"/>
            <w:vMerge/>
            <w:vAlign w:val="center"/>
          </w:tcPr>
          <w:p w14:paraId="703641B3" w14:textId="77777777" w:rsidR="00D71FBA" w:rsidRPr="00275521" w:rsidRDefault="00D71FBA" w:rsidP="008B6633">
            <w:pPr>
              <w:pStyle w:val="TableText0"/>
              <w:keepNext w:val="0"/>
              <w:keepLines w:val="0"/>
            </w:pPr>
          </w:p>
        </w:tc>
        <w:tc>
          <w:tcPr>
            <w:tcW w:w="1179" w:type="pct"/>
          </w:tcPr>
          <w:p w14:paraId="6C8358C6" w14:textId="77777777" w:rsidR="00D71FBA" w:rsidRPr="00275521" w:rsidRDefault="00D71FBA" w:rsidP="008B6633">
            <w:pPr>
              <w:pStyle w:val="TableText0"/>
              <w:keepNext w:val="0"/>
              <w:keepLines w:val="0"/>
              <w:rPr>
                <w:rStyle w:val="Small"/>
                <w:rFonts w:ascii="Arial Narrow" w:hAnsi="Arial Narrow"/>
              </w:rPr>
            </w:pPr>
            <w:r w:rsidRPr="00275521">
              <w:rPr>
                <w:rStyle w:val="Small"/>
                <w:rFonts w:ascii="Arial Narrow" w:hAnsi="Arial Narrow"/>
              </w:rPr>
              <w:t>LT → LT (Re-transplantation) </w:t>
            </w:r>
          </w:p>
        </w:tc>
        <w:tc>
          <w:tcPr>
            <w:tcW w:w="1022" w:type="pct"/>
            <w:gridSpan w:val="2"/>
            <w:vAlign w:val="center"/>
          </w:tcPr>
          <w:p w14:paraId="05F1A1BD" w14:textId="77777777" w:rsidR="00D71FBA" w:rsidRPr="00275521" w:rsidRDefault="00D71FBA" w:rsidP="008B6633">
            <w:pPr>
              <w:pStyle w:val="TableText0"/>
              <w:keepNext w:val="0"/>
              <w:keepLines w:val="0"/>
              <w:jc w:val="center"/>
              <w:rPr>
                <w:rStyle w:val="Small"/>
                <w:rFonts w:ascii="Arial Narrow" w:hAnsi="Arial Narrow"/>
              </w:rPr>
            </w:pPr>
            <w:r w:rsidRPr="00275521">
              <w:rPr>
                <w:rStyle w:val="Small"/>
                <w:rFonts w:ascii="Arial Narrow" w:hAnsi="Arial Narrow"/>
              </w:rPr>
              <w:t>22% at 1 year</w:t>
            </w:r>
          </w:p>
        </w:tc>
        <w:tc>
          <w:tcPr>
            <w:tcW w:w="1937" w:type="pct"/>
            <w:vAlign w:val="center"/>
          </w:tcPr>
          <w:p w14:paraId="21D6823D" w14:textId="2EC1C619" w:rsidR="00D71FBA" w:rsidRPr="00275521" w:rsidRDefault="00CD53E5" w:rsidP="008B6633">
            <w:pPr>
              <w:pStyle w:val="TableText0"/>
              <w:keepNext w:val="0"/>
              <w:keepLines w:val="0"/>
              <w:rPr>
                <w:i/>
                <w:iCs/>
              </w:rPr>
            </w:pPr>
            <w:r w:rsidRPr="00275521">
              <w:t>Adam 2012 (maralixibat NICE submission)</w:t>
            </w:r>
          </w:p>
        </w:tc>
      </w:tr>
      <w:tr w:rsidR="00757E71" w:rsidRPr="00275521" w14:paraId="048844F7" w14:textId="77777777">
        <w:tc>
          <w:tcPr>
            <w:tcW w:w="862" w:type="pct"/>
            <w:vMerge/>
            <w:vAlign w:val="center"/>
          </w:tcPr>
          <w:p w14:paraId="20E263AB" w14:textId="77777777" w:rsidR="00CD53E5" w:rsidRPr="00275521" w:rsidRDefault="00CD53E5" w:rsidP="008B6633">
            <w:pPr>
              <w:pStyle w:val="TableText0"/>
              <w:keepNext w:val="0"/>
              <w:keepLines w:val="0"/>
            </w:pPr>
          </w:p>
        </w:tc>
        <w:tc>
          <w:tcPr>
            <w:tcW w:w="1179" w:type="pct"/>
          </w:tcPr>
          <w:p w14:paraId="281660DA" w14:textId="77777777" w:rsidR="00CD53E5" w:rsidRPr="00275521" w:rsidRDefault="00CD53E5" w:rsidP="008B6633">
            <w:pPr>
              <w:pStyle w:val="TableText0"/>
              <w:keepNext w:val="0"/>
              <w:keepLines w:val="0"/>
              <w:rPr>
                <w:rStyle w:val="Small"/>
                <w:rFonts w:ascii="Arial Narrow" w:hAnsi="Arial Narrow"/>
              </w:rPr>
            </w:pPr>
            <w:r w:rsidRPr="00275521">
              <w:rPr>
                <w:rStyle w:val="Small"/>
                <w:rFonts w:ascii="Arial Narrow" w:hAnsi="Arial Narrow"/>
              </w:rPr>
              <w:t>Unresponsive → SBD </w:t>
            </w:r>
          </w:p>
        </w:tc>
        <w:tc>
          <w:tcPr>
            <w:tcW w:w="1022" w:type="pct"/>
            <w:gridSpan w:val="2"/>
            <w:vMerge w:val="restart"/>
            <w:vAlign w:val="center"/>
          </w:tcPr>
          <w:p w14:paraId="7D8E5AD7" w14:textId="77777777" w:rsidR="00CD53E5" w:rsidRPr="00275521" w:rsidRDefault="00CD53E5" w:rsidP="008B6633">
            <w:pPr>
              <w:pStyle w:val="TableText0"/>
              <w:keepNext w:val="0"/>
              <w:keepLines w:val="0"/>
              <w:jc w:val="center"/>
              <w:rPr>
                <w:rStyle w:val="Small"/>
                <w:rFonts w:ascii="Arial Narrow" w:hAnsi="Arial Narrow"/>
              </w:rPr>
            </w:pPr>
            <w:r w:rsidRPr="00275521">
              <w:rPr>
                <w:rStyle w:val="Small"/>
                <w:rFonts w:ascii="Arial Narrow" w:hAnsi="Arial Narrow"/>
              </w:rPr>
              <w:t>50% at 29 months</w:t>
            </w:r>
          </w:p>
        </w:tc>
        <w:tc>
          <w:tcPr>
            <w:tcW w:w="1937" w:type="pct"/>
            <w:vMerge w:val="restart"/>
            <w:vAlign w:val="center"/>
          </w:tcPr>
          <w:p w14:paraId="593FED87" w14:textId="2BDFA647" w:rsidR="00CD53E5" w:rsidRPr="00275521" w:rsidRDefault="00CD53E5" w:rsidP="008B6633">
            <w:pPr>
              <w:pStyle w:val="TableText0"/>
              <w:keepNext w:val="0"/>
              <w:keepLines w:val="0"/>
              <w:rPr>
                <w:i/>
                <w:iCs/>
              </w:rPr>
            </w:pPr>
            <w:r w:rsidRPr="00275521">
              <w:t>Foroutan 2020 (maralixibat NICE submission)</w:t>
            </w:r>
          </w:p>
        </w:tc>
      </w:tr>
      <w:tr w:rsidR="00757E71" w:rsidRPr="00275521" w14:paraId="2C0B504F" w14:textId="77777777">
        <w:tc>
          <w:tcPr>
            <w:tcW w:w="862" w:type="pct"/>
            <w:vMerge/>
            <w:vAlign w:val="center"/>
          </w:tcPr>
          <w:p w14:paraId="7ACA60F0" w14:textId="77777777" w:rsidR="00CD53E5" w:rsidRPr="00275521" w:rsidRDefault="00CD53E5" w:rsidP="008B6633">
            <w:pPr>
              <w:pStyle w:val="TableText0"/>
              <w:keepNext w:val="0"/>
              <w:keepLines w:val="0"/>
            </w:pPr>
          </w:p>
        </w:tc>
        <w:tc>
          <w:tcPr>
            <w:tcW w:w="1179" w:type="pct"/>
          </w:tcPr>
          <w:p w14:paraId="40F5D3A5" w14:textId="77777777" w:rsidR="00CD53E5" w:rsidRPr="00275521" w:rsidRDefault="00CD53E5" w:rsidP="008B6633">
            <w:pPr>
              <w:pStyle w:val="TableText0"/>
              <w:keepNext w:val="0"/>
              <w:keepLines w:val="0"/>
              <w:rPr>
                <w:rStyle w:val="Small"/>
                <w:rFonts w:ascii="Arial Narrow" w:hAnsi="Arial Narrow"/>
              </w:rPr>
            </w:pPr>
            <w:r w:rsidRPr="00275521">
              <w:rPr>
                <w:rStyle w:val="Small"/>
                <w:rFonts w:ascii="Arial Narrow" w:hAnsi="Arial Narrow"/>
              </w:rPr>
              <w:t>Cirrhosis → SBD </w:t>
            </w:r>
          </w:p>
        </w:tc>
        <w:tc>
          <w:tcPr>
            <w:tcW w:w="1022" w:type="pct"/>
            <w:gridSpan w:val="2"/>
            <w:vMerge/>
          </w:tcPr>
          <w:p w14:paraId="31C52F8B" w14:textId="77777777" w:rsidR="00CD53E5" w:rsidRPr="00275521" w:rsidRDefault="00CD53E5" w:rsidP="008B6633">
            <w:pPr>
              <w:pStyle w:val="TableText0"/>
              <w:keepNext w:val="0"/>
              <w:keepLines w:val="0"/>
              <w:rPr>
                <w:rStyle w:val="Small"/>
                <w:rFonts w:ascii="Arial Narrow" w:hAnsi="Arial Narrow"/>
              </w:rPr>
            </w:pPr>
          </w:p>
        </w:tc>
        <w:tc>
          <w:tcPr>
            <w:tcW w:w="1937" w:type="pct"/>
            <w:vMerge/>
            <w:vAlign w:val="center"/>
          </w:tcPr>
          <w:p w14:paraId="74BDAFB9" w14:textId="77777777" w:rsidR="00CD53E5" w:rsidRPr="00275521" w:rsidRDefault="00CD53E5" w:rsidP="008B6633">
            <w:pPr>
              <w:pStyle w:val="TableText0"/>
              <w:keepNext w:val="0"/>
              <w:keepLines w:val="0"/>
              <w:rPr>
                <w:i/>
                <w:iCs/>
              </w:rPr>
            </w:pPr>
          </w:p>
        </w:tc>
      </w:tr>
      <w:tr w:rsidR="00757E71" w:rsidRPr="00275521" w14:paraId="43B33CB7" w14:textId="77777777">
        <w:tc>
          <w:tcPr>
            <w:tcW w:w="862" w:type="pct"/>
            <w:vMerge/>
            <w:vAlign w:val="center"/>
          </w:tcPr>
          <w:p w14:paraId="4914A32B" w14:textId="77777777" w:rsidR="00CD53E5" w:rsidRPr="00275521" w:rsidRDefault="00CD53E5" w:rsidP="008B6633">
            <w:pPr>
              <w:pStyle w:val="TableText0"/>
              <w:keepNext w:val="0"/>
              <w:keepLines w:val="0"/>
            </w:pPr>
          </w:p>
        </w:tc>
        <w:tc>
          <w:tcPr>
            <w:tcW w:w="1179" w:type="pct"/>
          </w:tcPr>
          <w:p w14:paraId="37C47280" w14:textId="77777777" w:rsidR="00CD53E5" w:rsidRPr="00275521" w:rsidRDefault="00CD53E5" w:rsidP="008B6633">
            <w:pPr>
              <w:pStyle w:val="TableText0"/>
              <w:keepNext w:val="0"/>
              <w:keepLines w:val="0"/>
              <w:rPr>
                <w:rStyle w:val="Small"/>
                <w:rFonts w:ascii="Arial Narrow" w:hAnsi="Arial Narrow"/>
              </w:rPr>
            </w:pPr>
            <w:r w:rsidRPr="00275521">
              <w:rPr>
                <w:rStyle w:val="Small"/>
                <w:rFonts w:ascii="Arial Narrow" w:hAnsi="Arial Narrow"/>
              </w:rPr>
              <w:t>PHT → SBD </w:t>
            </w:r>
          </w:p>
        </w:tc>
        <w:tc>
          <w:tcPr>
            <w:tcW w:w="1022" w:type="pct"/>
            <w:gridSpan w:val="2"/>
            <w:vMerge/>
          </w:tcPr>
          <w:p w14:paraId="06697617" w14:textId="77777777" w:rsidR="00CD53E5" w:rsidRPr="00275521" w:rsidRDefault="00CD53E5" w:rsidP="008B6633">
            <w:pPr>
              <w:pStyle w:val="TableText0"/>
              <w:keepNext w:val="0"/>
              <w:keepLines w:val="0"/>
              <w:rPr>
                <w:rStyle w:val="Small"/>
                <w:rFonts w:ascii="Arial Narrow" w:hAnsi="Arial Narrow"/>
              </w:rPr>
            </w:pPr>
          </w:p>
        </w:tc>
        <w:tc>
          <w:tcPr>
            <w:tcW w:w="1937" w:type="pct"/>
            <w:vMerge/>
            <w:vAlign w:val="center"/>
          </w:tcPr>
          <w:p w14:paraId="16E3FED0" w14:textId="77777777" w:rsidR="00CD53E5" w:rsidRPr="00275521" w:rsidRDefault="00CD53E5" w:rsidP="008B6633">
            <w:pPr>
              <w:pStyle w:val="TableText0"/>
              <w:keepNext w:val="0"/>
              <w:keepLines w:val="0"/>
              <w:rPr>
                <w:i/>
                <w:iCs/>
              </w:rPr>
            </w:pPr>
          </w:p>
        </w:tc>
      </w:tr>
      <w:tr w:rsidR="00757E71" w:rsidRPr="00275521" w14:paraId="2E6F2DB3" w14:textId="77777777">
        <w:tc>
          <w:tcPr>
            <w:tcW w:w="862" w:type="pct"/>
            <w:vMerge/>
            <w:vAlign w:val="center"/>
          </w:tcPr>
          <w:p w14:paraId="4E2D1970" w14:textId="77777777" w:rsidR="00CD53E5" w:rsidRPr="00275521" w:rsidRDefault="00CD53E5" w:rsidP="008B6633">
            <w:pPr>
              <w:pStyle w:val="TableText0"/>
              <w:keepNext w:val="0"/>
              <w:keepLines w:val="0"/>
            </w:pPr>
          </w:p>
        </w:tc>
        <w:tc>
          <w:tcPr>
            <w:tcW w:w="1179" w:type="pct"/>
          </w:tcPr>
          <w:p w14:paraId="3335B92D" w14:textId="77777777" w:rsidR="00CD53E5" w:rsidRPr="00275521" w:rsidRDefault="00CD53E5" w:rsidP="008B6633">
            <w:pPr>
              <w:pStyle w:val="TableText0"/>
              <w:keepNext w:val="0"/>
              <w:keepLines w:val="0"/>
              <w:rPr>
                <w:rStyle w:val="Small"/>
                <w:rFonts w:ascii="Arial Narrow" w:hAnsi="Arial Narrow"/>
              </w:rPr>
            </w:pPr>
            <w:r w:rsidRPr="00275521">
              <w:rPr>
                <w:rStyle w:val="Small"/>
                <w:rFonts w:ascii="Arial Narrow" w:hAnsi="Arial Narrow"/>
              </w:rPr>
              <w:t>PHT → SBD </w:t>
            </w:r>
          </w:p>
        </w:tc>
        <w:tc>
          <w:tcPr>
            <w:tcW w:w="1022" w:type="pct"/>
            <w:gridSpan w:val="2"/>
            <w:vMerge/>
          </w:tcPr>
          <w:p w14:paraId="2F0DC4DF" w14:textId="77777777" w:rsidR="00CD53E5" w:rsidRPr="00275521" w:rsidRDefault="00CD53E5" w:rsidP="008B6633">
            <w:pPr>
              <w:pStyle w:val="TableText0"/>
              <w:keepNext w:val="0"/>
              <w:keepLines w:val="0"/>
              <w:rPr>
                <w:rStyle w:val="Small"/>
                <w:rFonts w:ascii="Arial Narrow" w:hAnsi="Arial Narrow"/>
              </w:rPr>
            </w:pPr>
          </w:p>
        </w:tc>
        <w:tc>
          <w:tcPr>
            <w:tcW w:w="1937" w:type="pct"/>
            <w:vMerge/>
            <w:vAlign w:val="center"/>
          </w:tcPr>
          <w:p w14:paraId="3E466A77" w14:textId="77777777" w:rsidR="00CD53E5" w:rsidRPr="00275521" w:rsidRDefault="00CD53E5" w:rsidP="008B6633">
            <w:pPr>
              <w:pStyle w:val="TableText0"/>
              <w:keepNext w:val="0"/>
              <w:keepLines w:val="0"/>
              <w:rPr>
                <w:i/>
                <w:iCs/>
              </w:rPr>
            </w:pPr>
          </w:p>
        </w:tc>
      </w:tr>
      <w:tr w:rsidR="00DB35F7" w:rsidRPr="00275521" w14:paraId="76D3C0DC" w14:textId="77777777" w:rsidTr="00E5285F">
        <w:tc>
          <w:tcPr>
            <w:tcW w:w="862" w:type="pct"/>
            <w:vMerge/>
            <w:vAlign w:val="center"/>
          </w:tcPr>
          <w:p w14:paraId="7A38F707" w14:textId="77777777" w:rsidR="00E5285F" w:rsidRPr="00275521" w:rsidRDefault="00E5285F" w:rsidP="008B6633">
            <w:pPr>
              <w:pStyle w:val="TableText0"/>
              <w:keepNext w:val="0"/>
              <w:keepLines w:val="0"/>
            </w:pPr>
          </w:p>
        </w:tc>
        <w:tc>
          <w:tcPr>
            <w:tcW w:w="4138" w:type="pct"/>
            <w:gridSpan w:val="4"/>
          </w:tcPr>
          <w:p w14:paraId="521B27D4" w14:textId="44C912F1" w:rsidR="00E5285F" w:rsidRPr="00275521" w:rsidRDefault="00E5285F" w:rsidP="008B6633">
            <w:pPr>
              <w:pStyle w:val="TableText0"/>
              <w:keepNext w:val="0"/>
              <w:keepLines w:val="0"/>
              <w:rPr>
                <w:i/>
                <w:iCs/>
              </w:rPr>
            </w:pPr>
            <w:r w:rsidRPr="00275521">
              <w:rPr>
                <w:rStyle w:val="Small"/>
                <w:rFonts w:ascii="Arial Narrow" w:hAnsi="Arial Narrow"/>
                <w:b/>
                <w:bCs w:val="0"/>
              </w:rPr>
              <w:t>Mortality</w:t>
            </w:r>
          </w:p>
        </w:tc>
      </w:tr>
      <w:tr w:rsidR="00757E71" w:rsidRPr="00275521" w14:paraId="18D24AD7" w14:textId="77777777">
        <w:tc>
          <w:tcPr>
            <w:tcW w:w="862" w:type="pct"/>
            <w:vMerge/>
            <w:vAlign w:val="center"/>
          </w:tcPr>
          <w:p w14:paraId="349AB7C0" w14:textId="77777777" w:rsidR="00CD53E5" w:rsidRPr="00275521" w:rsidRDefault="00CD53E5" w:rsidP="008B6633">
            <w:pPr>
              <w:pStyle w:val="TableText0"/>
              <w:keepNext w:val="0"/>
              <w:keepLines w:val="0"/>
            </w:pPr>
          </w:p>
        </w:tc>
        <w:tc>
          <w:tcPr>
            <w:tcW w:w="1179" w:type="pct"/>
          </w:tcPr>
          <w:p w14:paraId="2E881618" w14:textId="77777777" w:rsidR="00CD53E5" w:rsidRPr="00275521" w:rsidRDefault="00CD53E5" w:rsidP="008B6633">
            <w:pPr>
              <w:pStyle w:val="TableText0"/>
              <w:keepNext w:val="0"/>
              <w:keepLines w:val="0"/>
              <w:ind w:left="253"/>
              <w:rPr>
                <w:rStyle w:val="Small"/>
                <w:rFonts w:ascii="Arial Narrow" w:hAnsi="Arial Narrow"/>
              </w:rPr>
            </w:pPr>
            <w:r w:rsidRPr="00275521">
              <w:rPr>
                <w:rStyle w:val="Small"/>
                <w:rFonts w:ascii="Arial Narrow" w:hAnsi="Arial Narrow"/>
              </w:rPr>
              <w:t>Responder</w:t>
            </w:r>
          </w:p>
        </w:tc>
        <w:tc>
          <w:tcPr>
            <w:tcW w:w="1022" w:type="pct"/>
            <w:gridSpan w:val="2"/>
            <w:vMerge w:val="restart"/>
            <w:vAlign w:val="center"/>
          </w:tcPr>
          <w:p w14:paraId="35C46C4A" w14:textId="77777777" w:rsidR="00CD53E5" w:rsidRPr="00275521" w:rsidRDefault="00CD53E5" w:rsidP="008B6633">
            <w:pPr>
              <w:jc w:val="center"/>
              <w:rPr>
                <w:rStyle w:val="Small"/>
                <w:rFonts w:ascii="Arial Narrow" w:hAnsi="Arial Narrow"/>
              </w:rPr>
            </w:pPr>
            <w:r w:rsidRPr="00275521">
              <w:rPr>
                <w:rStyle w:val="Small"/>
                <w:rFonts w:ascii="Arial Narrow" w:hAnsi="Arial Narrow"/>
              </w:rPr>
              <w:t>KM data (base case)</w:t>
            </w:r>
          </w:p>
          <w:p w14:paraId="4B7B16FE" w14:textId="77777777" w:rsidR="00CD53E5" w:rsidRPr="00275521" w:rsidRDefault="00CD53E5" w:rsidP="008B6633">
            <w:pPr>
              <w:jc w:val="center"/>
              <w:rPr>
                <w:rStyle w:val="Small"/>
                <w:rFonts w:ascii="Arial Narrow" w:hAnsi="Arial Narrow"/>
              </w:rPr>
            </w:pPr>
            <w:r w:rsidRPr="00275521">
              <w:rPr>
                <w:rStyle w:val="Small"/>
                <w:rFonts w:ascii="Arial Narrow" w:hAnsi="Arial Narrow"/>
              </w:rPr>
              <w:t>Log-logistic extrapolation</w:t>
            </w:r>
          </w:p>
        </w:tc>
        <w:tc>
          <w:tcPr>
            <w:tcW w:w="1937" w:type="pct"/>
            <w:vMerge w:val="restart"/>
            <w:vAlign w:val="center"/>
          </w:tcPr>
          <w:p w14:paraId="4C2DEC62" w14:textId="674D21D8" w:rsidR="00CD53E5" w:rsidRPr="00275521" w:rsidRDefault="00CD53E5" w:rsidP="008B6633">
            <w:pPr>
              <w:pStyle w:val="TableText0"/>
              <w:keepNext w:val="0"/>
              <w:keepLines w:val="0"/>
              <w:rPr>
                <w:i/>
                <w:iCs/>
              </w:rPr>
            </w:pPr>
            <w:r w:rsidRPr="00275521">
              <w:t xml:space="preserve">GALA </w:t>
            </w:r>
            <w:r w:rsidR="00D769DD" w:rsidRPr="00275521">
              <w:t xml:space="preserve">study </w:t>
            </w:r>
            <w:r w:rsidRPr="00275521">
              <w:t>(Hansen 2021; Vandriel 2022) - Mortality in children with ALGS presenting with neonatal cholestasis</w:t>
            </w:r>
          </w:p>
        </w:tc>
      </w:tr>
      <w:tr w:rsidR="00757E71" w:rsidRPr="00275521" w14:paraId="03960BE3" w14:textId="77777777">
        <w:tc>
          <w:tcPr>
            <w:tcW w:w="862" w:type="pct"/>
            <w:vMerge/>
            <w:vAlign w:val="center"/>
          </w:tcPr>
          <w:p w14:paraId="568DC869" w14:textId="77777777" w:rsidR="00CD53E5" w:rsidRPr="00275521" w:rsidRDefault="00CD53E5" w:rsidP="008B6633">
            <w:pPr>
              <w:pStyle w:val="TableText0"/>
              <w:keepNext w:val="0"/>
              <w:keepLines w:val="0"/>
            </w:pPr>
          </w:p>
        </w:tc>
        <w:tc>
          <w:tcPr>
            <w:tcW w:w="1179" w:type="pct"/>
          </w:tcPr>
          <w:p w14:paraId="184E47BA" w14:textId="77777777" w:rsidR="00CD53E5" w:rsidRPr="00275521" w:rsidRDefault="00CD53E5" w:rsidP="008B6633">
            <w:pPr>
              <w:pStyle w:val="TableText0"/>
              <w:keepNext w:val="0"/>
              <w:keepLines w:val="0"/>
              <w:ind w:left="253"/>
              <w:rPr>
                <w:rStyle w:val="Small"/>
                <w:rFonts w:ascii="Arial Narrow" w:hAnsi="Arial Narrow"/>
              </w:rPr>
            </w:pPr>
            <w:r w:rsidRPr="00275521">
              <w:rPr>
                <w:rStyle w:val="Small"/>
                <w:rFonts w:ascii="Arial Narrow" w:hAnsi="Arial Narrow"/>
              </w:rPr>
              <w:t>Non-responder</w:t>
            </w:r>
          </w:p>
        </w:tc>
        <w:tc>
          <w:tcPr>
            <w:tcW w:w="1022" w:type="pct"/>
            <w:gridSpan w:val="2"/>
            <w:vMerge/>
            <w:vAlign w:val="center"/>
          </w:tcPr>
          <w:p w14:paraId="0E226D69" w14:textId="77777777" w:rsidR="00CD53E5" w:rsidRPr="00275521" w:rsidRDefault="00CD53E5" w:rsidP="008B6633">
            <w:pPr>
              <w:jc w:val="center"/>
              <w:rPr>
                <w:rStyle w:val="Small"/>
                <w:rFonts w:ascii="Arial Narrow" w:hAnsi="Arial Narrow"/>
              </w:rPr>
            </w:pPr>
          </w:p>
        </w:tc>
        <w:tc>
          <w:tcPr>
            <w:tcW w:w="1937" w:type="pct"/>
            <w:vMerge/>
            <w:vAlign w:val="center"/>
          </w:tcPr>
          <w:p w14:paraId="59CC0985" w14:textId="77777777" w:rsidR="00CD53E5" w:rsidRPr="00275521" w:rsidRDefault="00CD53E5" w:rsidP="008B6633">
            <w:pPr>
              <w:pStyle w:val="TableText0"/>
              <w:keepNext w:val="0"/>
              <w:keepLines w:val="0"/>
              <w:rPr>
                <w:i/>
                <w:iCs/>
              </w:rPr>
            </w:pPr>
          </w:p>
        </w:tc>
      </w:tr>
      <w:tr w:rsidR="00757E71" w:rsidRPr="00275521" w14:paraId="2B5511A1" w14:textId="77777777">
        <w:tc>
          <w:tcPr>
            <w:tcW w:w="862" w:type="pct"/>
            <w:vMerge/>
            <w:vAlign w:val="center"/>
          </w:tcPr>
          <w:p w14:paraId="2E52AB67" w14:textId="77777777" w:rsidR="00D71FBA" w:rsidRPr="00275521" w:rsidRDefault="00D71FBA" w:rsidP="008B6633">
            <w:pPr>
              <w:pStyle w:val="TableText0"/>
              <w:keepNext w:val="0"/>
              <w:keepLines w:val="0"/>
            </w:pPr>
          </w:p>
        </w:tc>
        <w:tc>
          <w:tcPr>
            <w:tcW w:w="1179" w:type="pct"/>
          </w:tcPr>
          <w:p w14:paraId="34866124" w14:textId="77777777" w:rsidR="00D71FBA" w:rsidRPr="00275521" w:rsidRDefault="00D71FBA" w:rsidP="008B6633">
            <w:pPr>
              <w:pStyle w:val="TableText0"/>
              <w:keepNext w:val="0"/>
              <w:keepLines w:val="0"/>
              <w:ind w:left="253"/>
              <w:rPr>
                <w:rStyle w:val="Small"/>
                <w:rFonts w:ascii="Arial Narrow" w:hAnsi="Arial Narrow"/>
              </w:rPr>
            </w:pPr>
            <w:r w:rsidRPr="00275521">
              <w:rPr>
                <w:rStyle w:val="Small"/>
                <w:rFonts w:ascii="Arial Narrow" w:hAnsi="Arial Narrow"/>
              </w:rPr>
              <w:t>Cirrhosis</w:t>
            </w:r>
          </w:p>
        </w:tc>
        <w:tc>
          <w:tcPr>
            <w:tcW w:w="1022" w:type="pct"/>
            <w:gridSpan w:val="2"/>
            <w:vAlign w:val="center"/>
          </w:tcPr>
          <w:p w14:paraId="224969F0" w14:textId="2D5443AF" w:rsidR="00D71FBA" w:rsidRPr="00275521" w:rsidRDefault="00D71FBA" w:rsidP="008B6633">
            <w:pPr>
              <w:pStyle w:val="TableText0"/>
              <w:keepNext w:val="0"/>
              <w:keepLines w:val="0"/>
              <w:jc w:val="center"/>
              <w:rPr>
                <w:rStyle w:val="Small"/>
                <w:rFonts w:ascii="Arial Narrow" w:hAnsi="Arial Narrow"/>
              </w:rPr>
            </w:pPr>
            <w:r w:rsidRPr="00275521">
              <w:rPr>
                <w:rStyle w:val="Small"/>
                <w:rFonts w:ascii="Arial Narrow" w:hAnsi="Arial Narrow"/>
              </w:rPr>
              <w:t>0.92%</w:t>
            </w:r>
            <w:r w:rsidR="00CD53E5" w:rsidRPr="00275521">
              <w:rPr>
                <w:rStyle w:val="Small"/>
                <w:rFonts w:ascii="Arial Narrow" w:hAnsi="Arial Narrow"/>
              </w:rPr>
              <w:t xml:space="preserve"> per cycle</w:t>
            </w:r>
          </w:p>
        </w:tc>
        <w:tc>
          <w:tcPr>
            <w:tcW w:w="1937" w:type="pct"/>
            <w:vAlign w:val="center"/>
          </w:tcPr>
          <w:p w14:paraId="7571D714" w14:textId="2E9AC55D" w:rsidR="00D71FBA" w:rsidRPr="00275521" w:rsidRDefault="00CD53E5" w:rsidP="008B6633">
            <w:pPr>
              <w:pStyle w:val="TableText0"/>
              <w:keepNext w:val="0"/>
              <w:keepLines w:val="0"/>
              <w:rPr>
                <w:i/>
                <w:iCs/>
              </w:rPr>
            </w:pPr>
            <w:r w:rsidRPr="00275521">
              <w:t>D'Amico 2006</w:t>
            </w:r>
          </w:p>
        </w:tc>
      </w:tr>
      <w:tr w:rsidR="00757E71" w:rsidRPr="00275521" w14:paraId="17A67661" w14:textId="77777777">
        <w:tc>
          <w:tcPr>
            <w:tcW w:w="862" w:type="pct"/>
            <w:vMerge/>
            <w:vAlign w:val="center"/>
          </w:tcPr>
          <w:p w14:paraId="79920E99" w14:textId="77777777" w:rsidR="00D71FBA" w:rsidRPr="00275521" w:rsidRDefault="00D71FBA" w:rsidP="008B6633">
            <w:pPr>
              <w:pStyle w:val="TableText0"/>
              <w:keepNext w:val="0"/>
              <w:keepLines w:val="0"/>
            </w:pPr>
          </w:p>
        </w:tc>
        <w:tc>
          <w:tcPr>
            <w:tcW w:w="1179" w:type="pct"/>
          </w:tcPr>
          <w:p w14:paraId="7346FDDD" w14:textId="77777777" w:rsidR="00D71FBA" w:rsidRPr="00275521" w:rsidRDefault="00D71FBA" w:rsidP="008B6633">
            <w:pPr>
              <w:pStyle w:val="TableText0"/>
              <w:keepNext w:val="0"/>
              <w:keepLines w:val="0"/>
              <w:ind w:left="253"/>
              <w:rPr>
                <w:rStyle w:val="Small"/>
                <w:rFonts w:ascii="Arial Narrow" w:hAnsi="Arial Narrow"/>
              </w:rPr>
            </w:pPr>
            <w:r w:rsidRPr="00275521">
              <w:rPr>
                <w:rStyle w:val="Small"/>
                <w:rFonts w:ascii="Arial Narrow" w:hAnsi="Arial Narrow"/>
              </w:rPr>
              <w:t>PHT</w:t>
            </w:r>
          </w:p>
        </w:tc>
        <w:tc>
          <w:tcPr>
            <w:tcW w:w="1022" w:type="pct"/>
            <w:gridSpan w:val="2"/>
            <w:vAlign w:val="center"/>
          </w:tcPr>
          <w:p w14:paraId="0585F1E9" w14:textId="0A1246B6" w:rsidR="00D71FBA" w:rsidRPr="00275521" w:rsidRDefault="00D71FBA" w:rsidP="008B6633">
            <w:pPr>
              <w:pStyle w:val="TableText0"/>
              <w:keepNext w:val="0"/>
              <w:keepLines w:val="0"/>
              <w:jc w:val="center"/>
              <w:rPr>
                <w:rStyle w:val="Small"/>
                <w:rFonts w:ascii="Arial Narrow" w:hAnsi="Arial Narrow"/>
              </w:rPr>
            </w:pPr>
            <w:r w:rsidRPr="00275521">
              <w:rPr>
                <w:rStyle w:val="Small"/>
                <w:rFonts w:ascii="Arial Narrow" w:hAnsi="Arial Narrow"/>
              </w:rPr>
              <w:t>2.18%</w:t>
            </w:r>
            <w:r w:rsidR="00CD53E5" w:rsidRPr="00275521">
              <w:rPr>
                <w:rStyle w:val="Heading2Char"/>
                <w:rFonts w:ascii="Arial Narrow" w:hAnsi="Arial Narrow"/>
              </w:rPr>
              <w:t xml:space="preserve"> </w:t>
            </w:r>
            <w:r w:rsidR="00CD53E5" w:rsidRPr="00275521">
              <w:rPr>
                <w:rStyle w:val="Small"/>
                <w:rFonts w:ascii="Arial Narrow" w:hAnsi="Arial Narrow"/>
              </w:rPr>
              <w:t>per cycle</w:t>
            </w:r>
          </w:p>
        </w:tc>
        <w:tc>
          <w:tcPr>
            <w:tcW w:w="1937" w:type="pct"/>
            <w:vAlign w:val="center"/>
          </w:tcPr>
          <w:p w14:paraId="7E9E3D66" w14:textId="0C2BE1DC" w:rsidR="00D71FBA" w:rsidRPr="00275521" w:rsidRDefault="00CD53E5" w:rsidP="008B6633">
            <w:pPr>
              <w:pStyle w:val="TableText0"/>
              <w:keepNext w:val="0"/>
              <w:keepLines w:val="0"/>
              <w:rPr>
                <w:i/>
                <w:iCs/>
              </w:rPr>
            </w:pPr>
            <w:r w:rsidRPr="00275521">
              <w:t>Santambrogio 2013</w:t>
            </w:r>
          </w:p>
        </w:tc>
      </w:tr>
      <w:tr w:rsidR="00757E71" w:rsidRPr="00275521" w14:paraId="047242B4" w14:textId="77777777">
        <w:tc>
          <w:tcPr>
            <w:tcW w:w="862" w:type="pct"/>
            <w:vMerge/>
            <w:vAlign w:val="center"/>
          </w:tcPr>
          <w:p w14:paraId="681838AF" w14:textId="77777777" w:rsidR="00D71FBA" w:rsidRPr="00275521" w:rsidRDefault="00D71FBA" w:rsidP="008B6633">
            <w:pPr>
              <w:pStyle w:val="TableText0"/>
              <w:keepNext w:val="0"/>
              <w:keepLines w:val="0"/>
            </w:pPr>
          </w:p>
        </w:tc>
        <w:tc>
          <w:tcPr>
            <w:tcW w:w="1179" w:type="pct"/>
          </w:tcPr>
          <w:p w14:paraId="04437C6D" w14:textId="77777777" w:rsidR="00D71FBA" w:rsidRPr="00275521" w:rsidRDefault="00D71FBA" w:rsidP="008B6633">
            <w:pPr>
              <w:pStyle w:val="TableText0"/>
              <w:keepNext w:val="0"/>
              <w:keepLines w:val="0"/>
              <w:ind w:left="253"/>
              <w:rPr>
                <w:rStyle w:val="Small"/>
                <w:rFonts w:ascii="Arial Narrow" w:hAnsi="Arial Narrow"/>
              </w:rPr>
            </w:pPr>
            <w:r w:rsidRPr="00275521">
              <w:rPr>
                <w:rStyle w:val="Small"/>
                <w:rFonts w:ascii="Arial Narrow" w:hAnsi="Arial Narrow"/>
              </w:rPr>
              <w:t>Ascites</w:t>
            </w:r>
          </w:p>
        </w:tc>
        <w:tc>
          <w:tcPr>
            <w:tcW w:w="1022" w:type="pct"/>
            <w:gridSpan w:val="2"/>
            <w:vAlign w:val="center"/>
          </w:tcPr>
          <w:p w14:paraId="2C0915D3" w14:textId="23B6284A" w:rsidR="00D71FBA" w:rsidRPr="00275521" w:rsidRDefault="00D71FBA" w:rsidP="008B6633">
            <w:pPr>
              <w:pStyle w:val="TableText0"/>
              <w:keepNext w:val="0"/>
              <w:keepLines w:val="0"/>
              <w:jc w:val="center"/>
              <w:rPr>
                <w:rStyle w:val="Small"/>
                <w:rFonts w:ascii="Arial Narrow" w:hAnsi="Arial Narrow"/>
              </w:rPr>
            </w:pPr>
            <w:r w:rsidRPr="00275521">
              <w:rPr>
                <w:rStyle w:val="Small"/>
                <w:rFonts w:ascii="Arial Narrow" w:hAnsi="Arial Narrow"/>
              </w:rPr>
              <w:t>4.50%</w:t>
            </w:r>
            <w:r w:rsidR="00CD53E5" w:rsidRPr="00275521">
              <w:rPr>
                <w:rStyle w:val="Heading2Char"/>
                <w:rFonts w:ascii="Arial Narrow" w:hAnsi="Arial Narrow"/>
              </w:rPr>
              <w:t xml:space="preserve"> </w:t>
            </w:r>
            <w:r w:rsidR="00CD53E5" w:rsidRPr="00275521">
              <w:rPr>
                <w:rStyle w:val="Small"/>
                <w:rFonts w:ascii="Arial Narrow" w:hAnsi="Arial Narrow"/>
              </w:rPr>
              <w:t>per cycle</w:t>
            </w:r>
          </w:p>
        </w:tc>
        <w:tc>
          <w:tcPr>
            <w:tcW w:w="1937" w:type="pct"/>
            <w:vAlign w:val="center"/>
          </w:tcPr>
          <w:p w14:paraId="73970A47" w14:textId="002A8AC1" w:rsidR="00D71FBA" w:rsidRPr="00275521" w:rsidRDefault="00CD53E5" w:rsidP="008B6633">
            <w:pPr>
              <w:pStyle w:val="TableText0"/>
              <w:keepNext w:val="0"/>
              <w:keepLines w:val="0"/>
              <w:rPr>
                <w:i/>
                <w:iCs/>
              </w:rPr>
            </w:pPr>
            <w:r w:rsidRPr="00275521">
              <w:t>Tonon et al., 2021</w:t>
            </w:r>
          </w:p>
        </w:tc>
      </w:tr>
      <w:tr w:rsidR="00757E71" w:rsidRPr="00275521" w14:paraId="4DF03D6F" w14:textId="77777777">
        <w:tc>
          <w:tcPr>
            <w:tcW w:w="862" w:type="pct"/>
            <w:vMerge/>
            <w:vAlign w:val="center"/>
          </w:tcPr>
          <w:p w14:paraId="2E759F13" w14:textId="77777777" w:rsidR="00D71FBA" w:rsidRPr="00275521" w:rsidRDefault="00D71FBA" w:rsidP="008B6633">
            <w:pPr>
              <w:pStyle w:val="TableText0"/>
              <w:keepNext w:val="0"/>
              <w:keepLines w:val="0"/>
            </w:pPr>
          </w:p>
        </w:tc>
        <w:tc>
          <w:tcPr>
            <w:tcW w:w="1179" w:type="pct"/>
          </w:tcPr>
          <w:p w14:paraId="716471C4" w14:textId="36B242B2" w:rsidR="00D71FBA" w:rsidRPr="00275521" w:rsidRDefault="00D71FBA" w:rsidP="008B6633">
            <w:pPr>
              <w:pStyle w:val="TableText0"/>
              <w:keepNext w:val="0"/>
              <w:keepLines w:val="0"/>
              <w:ind w:left="253"/>
              <w:rPr>
                <w:rStyle w:val="Small"/>
                <w:rFonts w:ascii="Arial Narrow" w:hAnsi="Arial Narrow"/>
              </w:rPr>
            </w:pPr>
            <w:r w:rsidRPr="00275521">
              <w:rPr>
                <w:rStyle w:val="Small"/>
                <w:rFonts w:ascii="Arial Narrow" w:hAnsi="Arial Narrow"/>
              </w:rPr>
              <w:t>LT</w:t>
            </w:r>
            <w:r w:rsidR="00CD53E5" w:rsidRPr="00275521">
              <w:rPr>
                <w:rStyle w:val="Small"/>
                <w:rFonts w:ascii="Arial Narrow" w:hAnsi="Arial Narrow"/>
              </w:rPr>
              <w:t xml:space="preserve"> (once off)</w:t>
            </w:r>
          </w:p>
        </w:tc>
        <w:tc>
          <w:tcPr>
            <w:tcW w:w="1022" w:type="pct"/>
            <w:gridSpan w:val="2"/>
            <w:vAlign w:val="center"/>
          </w:tcPr>
          <w:p w14:paraId="356D728D" w14:textId="197660F2" w:rsidR="00D71FBA" w:rsidRPr="00275521" w:rsidRDefault="00D71FBA" w:rsidP="008B6633">
            <w:pPr>
              <w:pStyle w:val="TableText0"/>
              <w:keepNext w:val="0"/>
              <w:keepLines w:val="0"/>
              <w:jc w:val="center"/>
              <w:rPr>
                <w:rStyle w:val="Small"/>
                <w:rFonts w:ascii="Arial Narrow" w:hAnsi="Arial Narrow"/>
              </w:rPr>
            </w:pPr>
            <w:r w:rsidRPr="00275521">
              <w:rPr>
                <w:rStyle w:val="Small"/>
                <w:rFonts w:ascii="Arial Narrow" w:hAnsi="Arial Narrow"/>
              </w:rPr>
              <w:t>25.17%</w:t>
            </w:r>
            <w:r w:rsidR="00CD53E5" w:rsidRPr="00275521">
              <w:rPr>
                <w:rStyle w:val="Heading2Char"/>
                <w:rFonts w:ascii="Arial Narrow" w:hAnsi="Arial Narrow"/>
              </w:rPr>
              <w:t xml:space="preserve"> </w:t>
            </w:r>
            <w:r w:rsidR="00CD53E5" w:rsidRPr="00275521">
              <w:rPr>
                <w:rStyle w:val="Small"/>
                <w:rFonts w:ascii="Arial Narrow" w:hAnsi="Arial Narrow"/>
              </w:rPr>
              <w:t>per cycle</w:t>
            </w:r>
          </w:p>
        </w:tc>
        <w:tc>
          <w:tcPr>
            <w:tcW w:w="1937" w:type="pct"/>
            <w:vAlign w:val="center"/>
          </w:tcPr>
          <w:p w14:paraId="42D058EC" w14:textId="5EC71E4C" w:rsidR="00D71FBA" w:rsidRPr="00275521" w:rsidRDefault="00CD53E5" w:rsidP="008B6633">
            <w:pPr>
              <w:pStyle w:val="TableText0"/>
              <w:keepNext w:val="0"/>
              <w:keepLines w:val="0"/>
              <w:rPr>
                <w:i/>
                <w:iCs/>
              </w:rPr>
            </w:pPr>
            <w:r w:rsidRPr="00275521">
              <w:t>Emerick 1999</w:t>
            </w:r>
          </w:p>
        </w:tc>
      </w:tr>
      <w:tr w:rsidR="00757E71" w:rsidRPr="00275521" w14:paraId="62784DC9" w14:textId="77777777">
        <w:tc>
          <w:tcPr>
            <w:tcW w:w="862" w:type="pct"/>
            <w:vMerge/>
            <w:vAlign w:val="center"/>
          </w:tcPr>
          <w:p w14:paraId="1471B427" w14:textId="77777777" w:rsidR="00D71FBA" w:rsidRPr="00275521" w:rsidRDefault="00D71FBA" w:rsidP="008B6633">
            <w:pPr>
              <w:pStyle w:val="TableText0"/>
              <w:keepNext w:val="0"/>
              <w:keepLines w:val="0"/>
            </w:pPr>
          </w:p>
        </w:tc>
        <w:tc>
          <w:tcPr>
            <w:tcW w:w="1179" w:type="pct"/>
          </w:tcPr>
          <w:p w14:paraId="6918F410" w14:textId="7436D705" w:rsidR="00D71FBA" w:rsidRPr="00275521" w:rsidRDefault="00D71FBA" w:rsidP="008B6633">
            <w:pPr>
              <w:pStyle w:val="TableText0"/>
              <w:keepNext w:val="0"/>
              <w:keepLines w:val="0"/>
              <w:ind w:left="253"/>
              <w:rPr>
                <w:rStyle w:val="Small"/>
                <w:rFonts w:ascii="Arial Narrow" w:hAnsi="Arial Narrow"/>
              </w:rPr>
            </w:pPr>
            <w:r w:rsidRPr="00275521">
              <w:rPr>
                <w:rStyle w:val="Small"/>
                <w:rFonts w:ascii="Arial Narrow" w:hAnsi="Arial Narrow"/>
              </w:rPr>
              <w:t>Post-LT</w:t>
            </w:r>
            <w:r w:rsidR="00CD53E5" w:rsidRPr="00275521">
              <w:rPr>
                <w:rStyle w:val="Small"/>
                <w:rFonts w:ascii="Arial Narrow" w:hAnsi="Arial Narrow"/>
              </w:rPr>
              <w:t xml:space="preserve"> (per cycle)</w:t>
            </w:r>
          </w:p>
        </w:tc>
        <w:tc>
          <w:tcPr>
            <w:tcW w:w="1022" w:type="pct"/>
            <w:gridSpan w:val="2"/>
            <w:vAlign w:val="center"/>
          </w:tcPr>
          <w:p w14:paraId="7D57F6FB" w14:textId="1BF8F8A1" w:rsidR="00D71FBA" w:rsidRPr="00275521" w:rsidRDefault="00D71FBA" w:rsidP="008B6633">
            <w:pPr>
              <w:pStyle w:val="TableText0"/>
              <w:keepNext w:val="0"/>
              <w:keepLines w:val="0"/>
              <w:jc w:val="center"/>
              <w:rPr>
                <w:rStyle w:val="Small"/>
                <w:rFonts w:ascii="Arial Narrow" w:hAnsi="Arial Narrow"/>
              </w:rPr>
            </w:pPr>
            <w:r w:rsidRPr="00275521">
              <w:rPr>
                <w:rStyle w:val="Small"/>
                <w:rFonts w:ascii="Arial Narrow" w:hAnsi="Arial Narrow"/>
              </w:rPr>
              <w:t>0.92%</w:t>
            </w:r>
            <w:r w:rsidR="00CD53E5" w:rsidRPr="00275521">
              <w:rPr>
                <w:rStyle w:val="Heading2Char"/>
                <w:rFonts w:ascii="Arial Narrow" w:hAnsi="Arial Narrow"/>
              </w:rPr>
              <w:t xml:space="preserve"> </w:t>
            </w:r>
            <w:r w:rsidR="00CD53E5" w:rsidRPr="00275521">
              <w:rPr>
                <w:rStyle w:val="Small"/>
                <w:rFonts w:ascii="Arial Narrow" w:hAnsi="Arial Narrow"/>
              </w:rPr>
              <w:t>per cycle</w:t>
            </w:r>
          </w:p>
        </w:tc>
        <w:tc>
          <w:tcPr>
            <w:tcW w:w="1937" w:type="pct"/>
            <w:vAlign w:val="center"/>
          </w:tcPr>
          <w:p w14:paraId="32AAEDFA" w14:textId="74E75987" w:rsidR="00D71FBA" w:rsidRPr="00275521" w:rsidRDefault="00CD53E5" w:rsidP="008B6633">
            <w:pPr>
              <w:pStyle w:val="TableText0"/>
              <w:keepNext w:val="0"/>
              <w:keepLines w:val="0"/>
              <w:rPr>
                <w:i/>
                <w:iCs/>
              </w:rPr>
            </w:pPr>
            <w:r w:rsidRPr="00275521">
              <w:t>Hou 2021</w:t>
            </w:r>
          </w:p>
        </w:tc>
      </w:tr>
      <w:tr w:rsidR="00757E71" w:rsidRPr="00275521" w14:paraId="79B2A943" w14:textId="77777777">
        <w:tc>
          <w:tcPr>
            <w:tcW w:w="862" w:type="pct"/>
            <w:vMerge/>
            <w:vAlign w:val="center"/>
          </w:tcPr>
          <w:p w14:paraId="3C4CFA2D" w14:textId="77777777" w:rsidR="00D71FBA" w:rsidRPr="00275521" w:rsidRDefault="00D71FBA" w:rsidP="008B6633">
            <w:pPr>
              <w:pStyle w:val="TableText0"/>
              <w:keepNext w:val="0"/>
              <w:keepLines w:val="0"/>
            </w:pPr>
          </w:p>
        </w:tc>
        <w:tc>
          <w:tcPr>
            <w:tcW w:w="1179" w:type="pct"/>
          </w:tcPr>
          <w:p w14:paraId="7026683C" w14:textId="77777777" w:rsidR="00D71FBA" w:rsidRPr="00275521" w:rsidRDefault="00D71FBA" w:rsidP="008B6633">
            <w:pPr>
              <w:pStyle w:val="TableText0"/>
              <w:keepNext w:val="0"/>
              <w:keepLines w:val="0"/>
              <w:ind w:left="253"/>
              <w:rPr>
                <w:rStyle w:val="Small"/>
                <w:rFonts w:ascii="Arial Narrow" w:hAnsi="Arial Narrow"/>
              </w:rPr>
            </w:pPr>
            <w:r w:rsidRPr="00275521">
              <w:rPr>
                <w:rStyle w:val="Small"/>
                <w:rFonts w:ascii="Arial Narrow" w:hAnsi="Arial Narrow"/>
              </w:rPr>
              <w:t>SBD (scenario only)</w:t>
            </w:r>
          </w:p>
        </w:tc>
        <w:tc>
          <w:tcPr>
            <w:tcW w:w="1022" w:type="pct"/>
            <w:gridSpan w:val="2"/>
            <w:vAlign w:val="center"/>
          </w:tcPr>
          <w:p w14:paraId="0C79C87A" w14:textId="6E965B30" w:rsidR="00D71FBA" w:rsidRPr="00275521" w:rsidRDefault="00D71FBA" w:rsidP="008B6633">
            <w:pPr>
              <w:jc w:val="center"/>
              <w:rPr>
                <w:rStyle w:val="Small"/>
                <w:rFonts w:ascii="Arial Narrow" w:hAnsi="Arial Narrow"/>
              </w:rPr>
            </w:pPr>
            <w:r w:rsidRPr="00275521">
              <w:rPr>
                <w:rStyle w:val="Small"/>
                <w:rFonts w:ascii="Arial Narrow" w:hAnsi="Arial Narrow"/>
              </w:rPr>
              <w:t>0.12%</w:t>
            </w:r>
            <w:r w:rsidR="00CD53E5" w:rsidRPr="00275521">
              <w:rPr>
                <w:rStyle w:val="Heading2Char"/>
                <w:rFonts w:ascii="Arial Narrow" w:hAnsi="Arial Narrow"/>
              </w:rPr>
              <w:t xml:space="preserve"> </w:t>
            </w:r>
            <w:r w:rsidR="00CD53E5" w:rsidRPr="00275521">
              <w:rPr>
                <w:rStyle w:val="Small"/>
                <w:rFonts w:ascii="Arial Narrow" w:hAnsi="Arial Narrow"/>
              </w:rPr>
              <w:t>per cycle</w:t>
            </w:r>
          </w:p>
        </w:tc>
        <w:tc>
          <w:tcPr>
            <w:tcW w:w="1937" w:type="pct"/>
            <w:vAlign w:val="center"/>
          </w:tcPr>
          <w:p w14:paraId="370C9B68" w14:textId="581EC727" w:rsidR="00D71FBA" w:rsidRPr="00275521" w:rsidRDefault="00CD53E5" w:rsidP="008B6633">
            <w:pPr>
              <w:pStyle w:val="TableText0"/>
              <w:keepNext w:val="0"/>
              <w:keepLines w:val="0"/>
              <w:rPr>
                <w:i/>
                <w:iCs/>
              </w:rPr>
            </w:pPr>
            <w:r w:rsidRPr="00275521">
              <w:t>Assumed equal non-responder</w:t>
            </w:r>
          </w:p>
        </w:tc>
      </w:tr>
      <w:tr w:rsidR="00757E71" w:rsidRPr="00275521" w14:paraId="24590613" w14:textId="77777777">
        <w:tc>
          <w:tcPr>
            <w:tcW w:w="862" w:type="pct"/>
            <w:vMerge/>
            <w:vAlign w:val="center"/>
          </w:tcPr>
          <w:p w14:paraId="5614704A" w14:textId="77777777" w:rsidR="00D71FBA" w:rsidRPr="00275521" w:rsidRDefault="00D71FBA" w:rsidP="008B6633">
            <w:pPr>
              <w:pStyle w:val="TableText0"/>
              <w:keepNext w:val="0"/>
              <w:keepLines w:val="0"/>
            </w:pPr>
          </w:p>
        </w:tc>
        <w:tc>
          <w:tcPr>
            <w:tcW w:w="1179" w:type="pct"/>
          </w:tcPr>
          <w:p w14:paraId="6924B7F3" w14:textId="77777777" w:rsidR="00D71FBA" w:rsidRPr="00275521" w:rsidRDefault="00D71FBA" w:rsidP="008B6633">
            <w:pPr>
              <w:pStyle w:val="TableText0"/>
              <w:keepNext w:val="0"/>
              <w:keepLines w:val="0"/>
              <w:ind w:left="253"/>
              <w:rPr>
                <w:rStyle w:val="Small"/>
                <w:rFonts w:ascii="Arial Narrow" w:hAnsi="Arial Narrow"/>
              </w:rPr>
            </w:pPr>
            <w:r w:rsidRPr="00275521">
              <w:rPr>
                <w:rStyle w:val="Small"/>
                <w:rFonts w:ascii="Arial Narrow" w:hAnsi="Arial Narrow"/>
              </w:rPr>
              <w:t>Post-SBD (scenario only)</w:t>
            </w:r>
          </w:p>
        </w:tc>
        <w:tc>
          <w:tcPr>
            <w:tcW w:w="1022" w:type="pct"/>
            <w:gridSpan w:val="2"/>
            <w:vAlign w:val="center"/>
          </w:tcPr>
          <w:p w14:paraId="40B1C2CA" w14:textId="1A28C678" w:rsidR="00D71FBA" w:rsidRPr="00275521" w:rsidRDefault="00D71FBA" w:rsidP="008B6633">
            <w:pPr>
              <w:jc w:val="center"/>
              <w:rPr>
                <w:rStyle w:val="Small"/>
                <w:rFonts w:ascii="Arial Narrow" w:hAnsi="Arial Narrow"/>
              </w:rPr>
            </w:pPr>
            <w:r w:rsidRPr="00275521">
              <w:rPr>
                <w:rStyle w:val="Small"/>
                <w:rFonts w:ascii="Arial Narrow" w:hAnsi="Arial Narrow"/>
              </w:rPr>
              <w:t>0.12%</w:t>
            </w:r>
            <w:r w:rsidR="00CD53E5" w:rsidRPr="00275521">
              <w:rPr>
                <w:rStyle w:val="Heading2Char"/>
                <w:rFonts w:ascii="Arial Narrow" w:hAnsi="Arial Narrow"/>
              </w:rPr>
              <w:t xml:space="preserve"> </w:t>
            </w:r>
            <w:r w:rsidR="00CD53E5" w:rsidRPr="00275521">
              <w:rPr>
                <w:rStyle w:val="Small"/>
                <w:rFonts w:ascii="Arial Narrow" w:hAnsi="Arial Narrow"/>
              </w:rPr>
              <w:t>per cycle</w:t>
            </w:r>
          </w:p>
        </w:tc>
        <w:tc>
          <w:tcPr>
            <w:tcW w:w="1937" w:type="pct"/>
            <w:vAlign w:val="center"/>
          </w:tcPr>
          <w:p w14:paraId="7E8A8D3B" w14:textId="1522069B" w:rsidR="00D71FBA" w:rsidRPr="00275521" w:rsidRDefault="00CD53E5" w:rsidP="008B6633">
            <w:pPr>
              <w:pStyle w:val="TableText0"/>
              <w:keepNext w:val="0"/>
              <w:keepLines w:val="0"/>
              <w:rPr>
                <w:i/>
                <w:iCs/>
              </w:rPr>
            </w:pPr>
            <w:r w:rsidRPr="00275521">
              <w:t>Assumed equal non-responder</w:t>
            </w:r>
          </w:p>
        </w:tc>
      </w:tr>
      <w:tr w:rsidR="00DB35F7" w:rsidRPr="00275521" w14:paraId="0068256D" w14:textId="77777777" w:rsidTr="00CD53E5">
        <w:tc>
          <w:tcPr>
            <w:tcW w:w="862" w:type="pct"/>
            <w:vAlign w:val="center"/>
          </w:tcPr>
          <w:p w14:paraId="7AC0767C" w14:textId="0CD2F056" w:rsidR="00CD53E5" w:rsidRPr="00275521" w:rsidRDefault="00CD53E5" w:rsidP="008B6633">
            <w:pPr>
              <w:pStyle w:val="TableText0"/>
              <w:keepNext w:val="0"/>
              <w:keepLines w:val="0"/>
            </w:pPr>
            <w:r w:rsidRPr="00275521">
              <w:t>Extrapolation method</w:t>
            </w:r>
          </w:p>
        </w:tc>
        <w:tc>
          <w:tcPr>
            <w:tcW w:w="4138" w:type="pct"/>
            <w:gridSpan w:val="4"/>
          </w:tcPr>
          <w:p w14:paraId="2444D9E6" w14:textId="4EA54D62" w:rsidR="00CD53E5" w:rsidRPr="00275521" w:rsidRDefault="00CD53E5" w:rsidP="008B6633">
            <w:pPr>
              <w:pStyle w:val="TableText0"/>
              <w:keepNext w:val="0"/>
              <w:keepLines w:val="0"/>
            </w:pPr>
            <w:r w:rsidRPr="00275521">
              <w:t>Responder/non-responder health state mortality values were informed in the base case by extrapolating digitised Kaplan-Meier from the GALA study (Vandriel 2022, Hansen 2021).</w:t>
            </w:r>
          </w:p>
        </w:tc>
      </w:tr>
      <w:tr w:rsidR="009D476F" w:rsidRPr="00275521" w14:paraId="2C04FEEF" w14:textId="77777777" w:rsidTr="00080E30">
        <w:tc>
          <w:tcPr>
            <w:tcW w:w="862" w:type="pct"/>
            <w:vMerge w:val="restart"/>
            <w:vAlign w:val="center"/>
          </w:tcPr>
          <w:p w14:paraId="194A4935" w14:textId="655E5325" w:rsidR="00E5285F" w:rsidRPr="00275521" w:rsidRDefault="00E5285F" w:rsidP="008B6633">
            <w:pPr>
              <w:pStyle w:val="TableText0"/>
              <w:keepNext w:val="0"/>
              <w:keepLines w:val="0"/>
            </w:pPr>
            <w:r w:rsidRPr="00275521">
              <w:lastRenderedPageBreak/>
              <w:t>Health related quality of life</w:t>
            </w:r>
          </w:p>
        </w:tc>
        <w:tc>
          <w:tcPr>
            <w:tcW w:w="1179" w:type="pct"/>
          </w:tcPr>
          <w:p w14:paraId="50042024" w14:textId="2C58D38C" w:rsidR="00E5285F" w:rsidRPr="00275521" w:rsidRDefault="00E5285F" w:rsidP="008B6633">
            <w:pPr>
              <w:pStyle w:val="TableText0"/>
              <w:keepNext w:val="0"/>
              <w:keepLines w:val="0"/>
              <w:rPr>
                <w:b/>
                <w:bCs w:val="0"/>
              </w:rPr>
            </w:pPr>
            <w:r w:rsidRPr="00275521">
              <w:rPr>
                <w:b/>
                <w:bCs w:val="0"/>
              </w:rPr>
              <w:t>Health state</w:t>
            </w:r>
          </w:p>
        </w:tc>
        <w:tc>
          <w:tcPr>
            <w:tcW w:w="864" w:type="pct"/>
            <w:vAlign w:val="center"/>
          </w:tcPr>
          <w:p w14:paraId="4951ECA1" w14:textId="57454DB5" w:rsidR="00E5285F" w:rsidRPr="00275521" w:rsidRDefault="00E5285F" w:rsidP="008B6633">
            <w:pPr>
              <w:pStyle w:val="TableText0"/>
              <w:keepNext w:val="0"/>
              <w:keepLines w:val="0"/>
              <w:jc w:val="center"/>
              <w:rPr>
                <w:b/>
                <w:bCs w:val="0"/>
              </w:rPr>
            </w:pPr>
            <w:r w:rsidRPr="00275521">
              <w:rPr>
                <w:b/>
                <w:bCs w:val="0"/>
              </w:rPr>
              <w:t>Utility</w:t>
            </w:r>
          </w:p>
        </w:tc>
        <w:tc>
          <w:tcPr>
            <w:tcW w:w="2095" w:type="pct"/>
            <w:gridSpan w:val="2"/>
          </w:tcPr>
          <w:p w14:paraId="51E72861" w14:textId="514528A4" w:rsidR="00E5285F" w:rsidRPr="00275521" w:rsidRDefault="00E5285F" w:rsidP="008B6633">
            <w:pPr>
              <w:pStyle w:val="TableText0"/>
              <w:keepNext w:val="0"/>
              <w:keepLines w:val="0"/>
              <w:rPr>
                <w:b/>
                <w:bCs w:val="0"/>
              </w:rPr>
            </w:pPr>
            <w:r w:rsidRPr="00275521">
              <w:rPr>
                <w:b/>
                <w:bCs w:val="0"/>
              </w:rPr>
              <w:t>Source</w:t>
            </w:r>
          </w:p>
        </w:tc>
      </w:tr>
      <w:tr w:rsidR="009D476F" w:rsidRPr="00275521" w14:paraId="50EBE06C" w14:textId="77777777" w:rsidTr="00080E30">
        <w:tc>
          <w:tcPr>
            <w:tcW w:w="862" w:type="pct"/>
            <w:vMerge/>
            <w:vAlign w:val="center"/>
          </w:tcPr>
          <w:p w14:paraId="4DAFBC71" w14:textId="77777777" w:rsidR="00E5285F" w:rsidRPr="00275521" w:rsidRDefault="00E5285F" w:rsidP="008B6633">
            <w:pPr>
              <w:pStyle w:val="TableText0"/>
              <w:keepNext w:val="0"/>
              <w:keepLines w:val="0"/>
            </w:pPr>
          </w:p>
        </w:tc>
        <w:tc>
          <w:tcPr>
            <w:tcW w:w="1179" w:type="pct"/>
            <w:vAlign w:val="center"/>
          </w:tcPr>
          <w:p w14:paraId="69DD1975" w14:textId="5D65358F" w:rsidR="00E5285F" w:rsidRPr="00275521" w:rsidRDefault="00E5285F" w:rsidP="008B6633">
            <w:pPr>
              <w:pStyle w:val="TableText0"/>
              <w:keepNext w:val="0"/>
              <w:keepLines w:val="0"/>
            </w:pPr>
            <w:r w:rsidRPr="00275521">
              <w:rPr>
                <w:rStyle w:val="Small"/>
                <w:rFonts w:ascii="Arial Narrow" w:hAnsi="Arial Narrow"/>
              </w:rPr>
              <w:t>Responder</w:t>
            </w:r>
          </w:p>
        </w:tc>
        <w:tc>
          <w:tcPr>
            <w:tcW w:w="864" w:type="pct"/>
            <w:vAlign w:val="center"/>
          </w:tcPr>
          <w:p w14:paraId="6226989C" w14:textId="63F79677" w:rsidR="00E5285F" w:rsidRPr="00275521" w:rsidRDefault="00E5285F" w:rsidP="008B6633">
            <w:pPr>
              <w:pStyle w:val="TableText0"/>
              <w:keepNext w:val="0"/>
              <w:keepLines w:val="0"/>
              <w:jc w:val="center"/>
            </w:pPr>
            <w:r w:rsidRPr="00275521">
              <w:rPr>
                <w:rStyle w:val="Small"/>
                <w:rFonts w:ascii="Arial Narrow" w:hAnsi="Arial Narrow"/>
              </w:rPr>
              <w:t>0.881</w:t>
            </w:r>
          </w:p>
        </w:tc>
        <w:tc>
          <w:tcPr>
            <w:tcW w:w="2095" w:type="pct"/>
            <w:gridSpan w:val="2"/>
            <w:vAlign w:val="center"/>
          </w:tcPr>
          <w:p w14:paraId="2C5430AB" w14:textId="77777777" w:rsidR="00E5285F" w:rsidRPr="00275521" w:rsidRDefault="00E5285F" w:rsidP="008B6633">
            <w:pPr>
              <w:pStyle w:val="TableText0"/>
              <w:rPr>
                <w:rStyle w:val="Small"/>
                <w:rFonts w:ascii="Arial Narrow" w:hAnsi="Arial Narrow"/>
              </w:rPr>
            </w:pPr>
            <w:r w:rsidRPr="00275521">
              <w:rPr>
                <w:rStyle w:val="Small"/>
                <w:rFonts w:ascii="Arial Narrow" w:hAnsi="Arial Narrow"/>
              </w:rPr>
              <w:t xml:space="preserve">ASSERT and ASSERT-EXT pooled data </w:t>
            </w:r>
          </w:p>
          <w:p w14:paraId="7DB98337" w14:textId="34DBD701" w:rsidR="00E5285F" w:rsidRPr="00275521" w:rsidRDefault="00E5285F" w:rsidP="008B6633">
            <w:pPr>
              <w:pStyle w:val="TableText0"/>
              <w:keepNext w:val="0"/>
              <w:keepLines w:val="0"/>
            </w:pPr>
            <w:r w:rsidRPr="00275521">
              <w:rPr>
                <w:rStyle w:val="Small"/>
                <w:rFonts w:ascii="Arial Narrow" w:hAnsi="Arial Narrow"/>
              </w:rPr>
              <w:t>(Sponsor data on file)</w:t>
            </w:r>
          </w:p>
        </w:tc>
      </w:tr>
      <w:tr w:rsidR="009D476F" w:rsidRPr="00275521" w14:paraId="6386B878" w14:textId="77777777" w:rsidTr="00080E30">
        <w:tc>
          <w:tcPr>
            <w:tcW w:w="862" w:type="pct"/>
            <w:vMerge/>
            <w:vAlign w:val="center"/>
          </w:tcPr>
          <w:p w14:paraId="3FBCE100" w14:textId="77777777" w:rsidR="00E5285F" w:rsidRPr="00275521" w:rsidRDefault="00E5285F" w:rsidP="008B6633">
            <w:pPr>
              <w:pStyle w:val="TableText0"/>
              <w:keepNext w:val="0"/>
              <w:keepLines w:val="0"/>
            </w:pPr>
          </w:p>
        </w:tc>
        <w:tc>
          <w:tcPr>
            <w:tcW w:w="1179" w:type="pct"/>
            <w:vAlign w:val="center"/>
          </w:tcPr>
          <w:p w14:paraId="4C10A3A7" w14:textId="0EC4A484" w:rsidR="00E5285F" w:rsidRPr="00275521" w:rsidRDefault="00E5285F" w:rsidP="008B6633">
            <w:pPr>
              <w:pStyle w:val="TableText0"/>
              <w:keepNext w:val="0"/>
              <w:keepLines w:val="0"/>
            </w:pPr>
            <w:r w:rsidRPr="00275521">
              <w:rPr>
                <w:rStyle w:val="Small"/>
                <w:rFonts w:ascii="Arial Narrow" w:hAnsi="Arial Narrow"/>
              </w:rPr>
              <w:t>Non-responder</w:t>
            </w:r>
          </w:p>
        </w:tc>
        <w:tc>
          <w:tcPr>
            <w:tcW w:w="864" w:type="pct"/>
            <w:vAlign w:val="center"/>
          </w:tcPr>
          <w:p w14:paraId="356311AA" w14:textId="70D414C1" w:rsidR="00E5285F" w:rsidRPr="00275521" w:rsidRDefault="00E5285F" w:rsidP="008B6633">
            <w:pPr>
              <w:pStyle w:val="TableText0"/>
              <w:keepNext w:val="0"/>
              <w:keepLines w:val="0"/>
              <w:jc w:val="center"/>
            </w:pPr>
            <w:r w:rsidRPr="00275521">
              <w:rPr>
                <w:rStyle w:val="Small"/>
                <w:rFonts w:ascii="Arial Narrow" w:hAnsi="Arial Narrow"/>
              </w:rPr>
              <w:t>0.734</w:t>
            </w:r>
          </w:p>
        </w:tc>
        <w:tc>
          <w:tcPr>
            <w:tcW w:w="2095" w:type="pct"/>
            <w:gridSpan w:val="2"/>
            <w:vAlign w:val="center"/>
          </w:tcPr>
          <w:p w14:paraId="132D36B0" w14:textId="77777777" w:rsidR="00E5285F" w:rsidRPr="00275521" w:rsidRDefault="00E5285F" w:rsidP="008B6633">
            <w:pPr>
              <w:pStyle w:val="TableText0"/>
              <w:rPr>
                <w:rStyle w:val="Small"/>
                <w:rFonts w:ascii="Arial Narrow" w:hAnsi="Arial Narrow"/>
              </w:rPr>
            </w:pPr>
            <w:r w:rsidRPr="00275521">
              <w:rPr>
                <w:rStyle w:val="Small"/>
                <w:rFonts w:ascii="Arial Narrow" w:hAnsi="Arial Narrow"/>
              </w:rPr>
              <w:t xml:space="preserve">ASSERT and ASSERT-EXT pooled data </w:t>
            </w:r>
          </w:p>
          <w:p w14:paraId="34A971FD" w14:textId="4897BA1B" w:rsidR="00E5285F" w:rsidRPr="00275521" w:rsidRDefault="00E5285F" w:rsidP="008B6633">
            <w:pPr>
              <w:pStyle w:val="TableText0"/>
              <w:keepNext w:val="0"/>
              <w:keepLines w:val="0"/>
            </w:pPr>
            <w:r w:rsidRPr="00275521">
              <w:rPr>
                <w:rStyle w:val="Small"/>
                <w:rFonts w:ascii="Arial Narrow" w:hAnsi="Arial Narrow"/>
              </w:rPr>
              <w:t>(Sponsor data on file)</w:t>
            </w:r>
          </w:p>
        </w:tc>
      </w:tr>
      <w:tr w:rsidR="009D476F" w:rsidRPr="00275521" w14:paraId="3F964FC3" w14:textId="77777777" w:rsidTr="00080E30">
        <w:tc>
          <w:tcPr>
            <w:tcW w:w="862" w:type="pct"/>
            <w:vMerge/>
            <w:vAlign w:val="center"/>
          </w:tcPr>
          <w:p w14:paraId="038B8926" w14:textId="77777777" w:rsidR="00E5285F" w:rsidRPr="00275521" w:rsidRDefault="00E5285F" w:rsidP="008B6633">
            <w:pPr>
              <w:pStyle w:val="TableText0"/>
              <w:keepNext w:val="0"/>
              <w:keepLines w:val="0"/>
            </w:pPr>
          </w:p>
        </w:tc>
        <w:tc>
          <w:tcPr>
            <w:tcW w:w="1179" w:type="pct"/>
            <w:vAlign w:val="center"/>
          </w:tcPr>
          <w:p w14:paraId="1B1918D3" w14:textId="28E80F35" w:rsidR="00E5285F" w:rsidRPr="00275521" w:rsidRDefault="00E5285F" w:rsidP="008B6633">
            <w:pPr>
              <w:pStyle w:val="TableText0"/>
              <w:keepNext w:val="0"/>
              <w:keepLines w:val="0"/>
            </w:pPr>
            <w:r w:rsidRPr="00275521">
              <w:rPr>
                <w:rStyle w:val="Small"/>
                <w:rFonts w:ascii="Arial Narrow" w:hAnsi="Arial Narrow"/>
              </w:rPr>
              <w:t>Cirrhosis</w:t>
            </w:r>
          </w:p>
        </w:tc>
        <w:tc>
          <w:tcPr>
            <w:tcW w:w="864" w:type="pct"/>
            <w:vAlign w:val="center"/>
          </w:tcPr>
          <w:p w14:paraId="2CDA1BF6" w14:textId="7FCB722D" w:rsidR="00E5285F" w:rsidRPr="00275521" w:rsidRDefault="00E5285F" w:rsidP="008B6633">
            <w:pPr>
              <w:pStyle w:val="TableText0"/>
              <w:keepNext w:val="0"/>
              <w:keepLines w:val="0"/>
              <w:jc w:val="center"/>
            </w:pPr>
            <w:r w:rsidRPr="00275521">
              <w:rPr>
                <w:rStyle w:val="Small"/>
                <w:rFonts w:ascii="Arial Narrow" w:hAnsi="Arial Narrow"/>
              </w:rPr>
              <w:t>0.734</w:t>
            </w:r>
          </w:p>
        </w:tc>
        <w:tc>
          <w:tcPr>
            <w:tcW w:w="2095" w:type="pct"/>
            <w:gridSpan w:val="2"/>
            <w:vAlign w:val="center"/>
          </w:tcPr>
          <w:p w14:paraId="466F86E1" w14:textId="3AE8166B" w:rsidR="00E5285F" w:rsidRPr="00275521" w:rsidRDefault="00E5285F" w:rsidP="008B6633">
            <w:pPr>
              <w:pStyle w:val="TableText0"/>
              <w:keepNext w:val="0"/>
              <w:keepLines w:val="0"/>
            </w:pPr>
            <w:r w:rsidRPr="00275521">
              <w:rPr>
                <w:rStyle w:val="Small"/>
                <w:rFonts w:ascii="Arial Narrow" w:hAnsi="Arial Narrow"/>
              </w:rPr>
              <w:t>Assumed equal to non-responder</w:t>
            </w:r>
          </w:p>
        </w:tc>
      </w:tr>
      <w:tr w:rsidR="009D476F" w:rsidRPr="00275521" w14:paraId="7E523084" w14:textId="77777777" w:rsidTr="00080E30">
        <w:tc>
          <w:tcPr>
            <w:tcW w:w="862" w:type="pct"/>
            <w:vMerge/>
            <w:vAlign w:val="center"/>
          </w:tcPr>
          <w:p w14:paraId="7305F4CF" w14:textId="77777777" w:rsidR="00E5285F" w:rsidRPr="00275521" w:rsidRDefault="00E5285F" w:rsidP="008B6633">
            <w:pPr>
              <w:pStyle w:val="TableText0"/>
              <w:keepNext w:val="0"/>
              <w:keepLines w:val="0"/>
            </w:pPr>
          </w:p>
        </w:tc>
        <w:tc>
          <w:tcPr>
            <w:tcW w:w="1179" w:type="pct"/>
            <w:vAlign w:val="center"/>
          </w:tcPr>
          <w:p w14:paraId="468D9F10" w14:textId="699C2105" w:rsidR="00E5285F" w:rsidRPr="00275521" w:rsidRDefault="00E5285F" w:rsidP="008B6633">
            <w:pPr>
              <w:pStyle w:val="TableText0"/>
              <w:keepNext w:val="0"/>
              <w:keepLines w:val="0"/>
            </w:pPr>
            <w:r w:rsidRPr="00275521">
              <w:rPr>
                <w:rStyle w:val="Small"/>
                <w:rFonts w:ascii="Arial Narrow" w:hAnsi="Arial Narrow"/>
              </w:rPr>
              <w:t>PHT</w:t>
            </w:r>
          </w:p>
        </w:tc>
        <w:tc>
          <w:tcPr>
            <w:tcW w:w="864" w:type="pct"/>
            <w:vAlign w:val="center"/>
          </w:tcPr>
          <w:p w14:paraId="421BF803" w14:textId="74B0DA43" w:rsidR="00E5285F" w:rsidRPr="00275521" w:rsidRDefault="00E5285F" w:rsidP="008B6633">
            <w:pPr>
              <w:pStyle w:val="TableText0"/>
              <w:keepNext w:val="0"/>
              <w:keepLines w:val="0"/>
              <w:jc w:val="center"/>
            </w:pPr>
            <w:r w:rsidRPr="00275521">
              <w:rPr>
                <w:rStyle w:val="Small"/>
                <w:rFonts w:ascii="Arial Narrow" w:hAnsi="Arial Narrow"/>
              </w:rPr>
              <w:t>0.734</w:t>
            </w:r>
          </w:p>
        </w:tc>
        <w:tc>
          <w:tcPr>
            <w:tcW w:w="2095" w:type="pct"/>
            <w:gridSpan w:val="2"/>
            <w:vAlign w:val="center"/>
          </w:tcPr>
          <w:p w14:paraId="460664B4" w14:textId="3FB242E9" w:rsidR="00E5285F" w:rsidRPr="00275521" w:rsidRDefault="00E5285F" w:rsidP="008B6633">
            <w:pPr>
              <w:pStyle w:val="TableText0"/>
              <w:keepNext w:val="0"/>
              <w:keepLines w:val="0"/>
            </w:pPr>
            <w:r w:rsidRPr="00275521">
              <w:rPr>
                <w:rStyle w:val="Small"/>
                <w:rFonts w:ascii="Arial Narrow" w:hAnsi="Arial Narrow"/>
              </w:rPr>
              <w:t>Assumed equal to non-responder</w:t>
            </w:r>
          </w:p>
        </w:tc>
      </w:tr>
      <w:tr w:rsidR="009D476F" w:rsidRPr="00275521" w14:paraId="11FD3487" w14:textId="77777777" w:rsidTr="00080E30">
        <w:tc>
          <w:tcPr>
            <w:tcW w:w="862" w:type="pct"/>
            <w:vMerge/>
            <w:vAlign w:val="center"/>
          </w:tcPr>
          <w:p w14:paraId="6174AEEE" w14:textId="77777777" w:rsidR="00E5285F" w:rsidRPr="00275521" w:rsidRDefault="00E5285F" w:rsidP="008B6633">
            <w:pPr>
              <w:pStyle w:val="TableText0"/>
              <w:keepNext w:val="0"/>
              <w:keepLines w:val="0"/>
            </w:pPr>
          </w:p>
        </w:tc>
        <w:tc>
          <w:tcPr>
            <w:tcW w:w="1179" w:type="pct"/>
            <w:vAlign w:val="center"/>
          </w:tcPr>
          <w:p w14:paraId="5467CB15" w14:textId="25ABA292" w:rsidR="00E5285F" w:rsidRPr="00275521" w:rsidRDefault="00E5285F" w:rsidP="008B6633">
            <w:pPr>
              <w:pStyle w:val="TableText0"/>
              <w:keepNext w:val="0"/>
              <w:keepLines w:val="0"/>
            </w:pPr>
            <w:r w:rsidRPr="00275521">
              <w:rPr>
                <w:rStyle w:val="Small"/>
                <w:rFonts w:ascii="Arial Narrow" w:hAnsi="Arial Narrow"/>
              </w:rPr>
              <w:t>Ascites</w:t>
            </w:r>
          </w:p>
        </w:tc>
        <w:tc>
          <w:tcPr>
            <w:tcW w:w="864" w:type="pct"/>
            <w:vAlign w:val="center"/>
          </w:tcPr>
          <w:p w14:paraId="2CE6D0AD" w14:textId="34BDC72D" w:rsidR="00E5285F" w:rsidRPr="00275521" w:rsidRDefault="00E5285F" w:rsidP="008B6633">
            <w:pPr>
              <w:pStyle w:val="TableText0"/>
              <w:keepNext w:val="0"/>
              <w:keepLines w:val="0"/>
              <w:jc w:val="center"/>
            </w:pPr>
            <w:r w:rsidRPr="00275521">
              <w:rPr>
                <w:rStyle w:val="Small"/>
                <w:rFonts w:ascii="Arial Narrow" w:hAnsi="Arial Narrow"/>
              </w:rPr>
              <w:t>0.734</w:t>
            </w:r>
          </w:p>
        </w:tc>
        <w:tc>
          <w:tcPr>
            <w:tcW w:w="2095" w:type="pct"/>
            <w:gridSpan w:val="2"/>
            <w:vAlign w:val="center"/>
          </w:tcPr>
          <w:p w14:paraId="2DE053D7" w14:textId="6F8EDDB7" w:rsidR="00E5285F" w:rsidRPr="00275521" w:rsidRDefault="00E5285F" w:rsidP="008B6633">
            <w:pPr>
              <w:pStyle w:val="TableText0"/>
              <w:keepNext w:val="0"/>
              <w:keepLines w:val="0"/>
            </w:pPr>
            <w:r w:rsidRPr="00275521">
              <w:rPr>
                <w:rStyle w:val="Small"/>
                <w:rFonts w:ascii="Arial Narrow" w:hAnsi="Arial Narrow"/>
              </w:rPr>
              <w:t>Assumed equal to non-responder</w:t>
            </w:r>
          </w:p>
        </w:tc>
      </w:tr>
      <w:tr w:rsidR="009D476F" w:rsidRPr="00275521" w14:paraId="7BA78116" w14:textId="77777777" w:rsidTr="00080E30">
        <w:tc>
          <w:tcPr>
            <w:tcW w:w="862" w:type="pct"/>
            <w:vMerge/>
            <w:vAlign w:val="center"/>
          </w:tcPr>
          <w:p w14:paraId="3728ACA8" w14:textId="77777777" w:rsidR="00E5285F" w:rsidRPr="00275521" w:rsidRDefault="00E5285F" w:rsidP="008B6633">
            <w:pPr>
              <w:pStyle w:val="TableText0"/>
              <w:keepNext w:val="0"/>
              <w:keepLines w:val="0"/>
            </w:pPr>
          </w:p>
        </w:tc>
        <w:tc>
          <w:tcPr>
            <w:tcW w:w="1179" w:type="pct"/>
            <w:vAlign w:val="center"/>
          </w:tcPr>
          <w:p w14:paraId="2E7470D0" w14:textId="4E8A2357" w:rsidR="00E5285F" w:rsidRPr="00275521" w:rsidRDefault="00E5285F" w:rsidP="008B6633">
            <w:pPr>
              <w:pStyle w:val="TableText0"/>
              <w:keepNext w:val="0"/>
              <w:keepLines w:val="0"/>
              <w:rPr>
                <w:i/>
                <w:iCs/>
              </w:rPr>
            </w:pPr>
            <w:r w:rsidRPr="00275521">
              <w:rPr>
                <w:rStyle w:val="Small"/>
                <w:rFonts w:ascii="Arial Narrow" w:hAnsi="Arial Narrow"/>
              </w:rPr>
              <w:t xml:space="preserve">LT </w:t>
            </w:r>
            <w:r w:rsidRPr="00275521">
              <w:rPr>
                <w:rStyle w:val="Small"/>
                <w:rFonts w:ascii="Arial Narrow" w:hAnsi="Arial Narrow"/>
                <w:i/>
                <w:iCs/>
              </w:rPr>
              <w:t>(one cycle only)</w:t>
            </w:r>
          </w:p>
        </w:tc>
        <w:tc>
          <w:tcPr>
            <w:tcW w:w="864" w:type="pct"/>
            <w:vAlign w:val="center"/>
          </w:tcPr>
          <w:p w14:paraId="4418B5DA" w14:textId="56DCA38D" w:rsidR="00E5285F" w:rsidRPr="00275521" w:rsidRDefault="00E5285F" w:rsidP="008B6633">
            <w:pPr>
              <w:pStyle w:val="TableText0"/>
              <w:keepNext w:val="0"/>
              <w:keepLines w:val="0"/>
              <w:jc w:val="center"/>
            </w:pPr>
            <w:r w:rsidRPr="00275521">
              <w:rPr>
                <w:rStyle w:val="Small"/>
                <w:rFonts w:ascii="Arial Narrow" w:hAnsi="Arial Narrow"/>
              </w:rPr>
              <w:t>0.710</w:t>
            </w:r>
          </w:p>
        </w:tc>
        <w:tc>
          <w:tcPr>
            <w:tcW w:w="2095" w:type="pct"/>
            <w:gridSpan w:val="2"/>
            <w:vAlign w:val="center"/>
          </w:tcPr>
          <w:p w14:paraId="03054151" w14:textId="2895F092" w:rsidR="00E5285F" w:rsidRPr="00275521" w:rsidRDefault="00E5285F" w:rsidP="008B6633">
            <w:pPr>
              <w:pStyle w:val="TableText0"/>
            </w:pPr>
            <w:r w:rsidRPr="00275521">
              <w:rPr>
                <w:rStyle w:val="Small"/>
                <w:rFonts w:ascii="Arial Narrow" w:hAnsi="Arial Narrow"/>
              </w:rPr>
              <w:t>‘Severe pruritus patients’ from Kini 2011</w:t>
            </w:r>
          </w:p>
        </w:tc>
      </w:tr>
      <w:tr w:rsidR="009D476F" w:rsidRPr="00275521" w14:paraId="371F1E59" w14:textId="77777777" w:rsidTr="00080E30">
        <w:tc>
          <w:tcPr>
            <w:tcW w:w="862" w:type="pct"/>
            <w:vMerge/>
            <w:vAlign w:val="center"/>
          </w:tcPr>
          <w:p w14:paraId="7CA063D8" w14:textId="77777777" w:rsidR="00E5285F" w:rsidRPr="00275521" w:rsidRDefault="00E5285F" w:rsidP="008B6633">
            <w:pPr>
              <w:pStyle w:val="TableText0"/>
              <w:keepNext w:val="0"/>
              <w:keepLines w:val="0"/>
            </w:pPr>
          </w:p>
        </w:tc>
        <w:tc>
          <w:tcPr>
            <w:tcW w:w="1179" w:type="pct"/>
            <w:vAlign w:val="center"/>
          </w:tcPr>
          <w:p w14:paraId="302342A4" w14:textId="44DBA365" w:rsidR="00E5285F" w:rsidRPr="00275521" w:rsidRDefault="00E5285F" w:rsidP="008B6633">
            <w:pPr>
              <w:pStyle w:val="TableText0"/>
              <w:keepNext w:val="0"/>
              <w:keepLines w:val="0"/>
            </w:pPr>
            <w:r w:rsidRPr="00275521">
              <w:rPr>
                <w:rStyle w:val="Small"/>
                <w:rFonts w:ascii="Arial Narrow" w:hAnsi="Arial Narrow"/>
              </w:rPr>
              <w:t>Post-LT</w:t>
            </w:r>
          </w:p>
        </w:tc>
        <w:tc>
          <w:tcPr>
            <w:tcW w:w="864" w:type="pct"/>
            <w:vAlign w:val="center"/>
          </w:tcPr>
          <w:p w14:paraId="53C05A14" w14:textId="39CD18D7" w:rsidR="00E5285F" w:rsidRPr="00275521" w:rsidRDefault="00E5285F" w:rsidP="008B6633">
            <w:pPr>
              <w:pStyle w:val="TableText0"/>
              <w:keepNext w:val="0"/>
              <w:keepLines w:val="0"/>
              <w:jc w:val="center"/>
            </w:pPr>
            <w:r w:rsidRPr="00275521">
              <w:rPr>
                <w:rStyle w:val="Small"/>
                <w:rFonts w:ascii="Arial Narrow" w:hAnsi="Arial Narrow"/>
              </w:rPr>
              <w:t>0.820</w:t>
            </w:r>
          </w:p>
        </w:tc>
        <w:tc>
          <w:tcPr>
            <w:tcW w:w="2095" w:type="pct"/>
            <w:gridSpan w:val="2"/>
            <w:vAlign w:val="center"/>
          </w:tcPr>
          <w:p w14:paraId="154C9C91" w14:textId="0C3EC47A" w:rsidR="00E5285F" w:rsidRPr="00275521" w:rsidRDefault="00E5285F" w:rsidP="008B6633">
            <w:pPr>
              <w:pStyle w:val="TableText0"/>
              <w:keepNext w:val="0"/>
              <w:keepLines w:val="0"/>
            </w:pPr>
            <w:r w:rsidRPr="00275521">
              <w:rPr>
                <w:rStyle w:val="Small"/>
                <w:rFonts w:ascii="Arial Narrow" w:hAnsi="Arial Narrow"/>
              </w:rPr>
              <w:t xml:space="preserve">NICE EAG preference from maralixibat submission </w:t>
            </w:r>
            <w:r w:rsidRPr="00275521">
              <w:rPr>
                <w:rStyle w:val="Small"/>
                <w:rFonts w:ascii="Arial Narrow" w:hAnsi="Arial Narrow"/>
              </w:rPr>
              <w:fldChar w:fldCharType="begin"/>
            </w:r>
            <w:r w:rsidRPr="00275521">
              <w:rPr>
                <w:rStyle w:val="Small"/>
                <w:rFonts w:ascii="Arial Narrow" w:hAnsi="Arial Narrow"/>
              </w:rPr>
              <w:instrText xml:space="preserve"> ADDIN EN.CITE &lt;EndNote&gt;&lt;Cite&gt;&lt;Author&gt;NICE&lt;/Author&gt;&lt;Year&gt;2024&lt;/Year&gt;&lt;RecNum&gt;106&lt;/RecNum&gt;&lt;DisplayText&gt;(NICE, 2024)&lt;/DisplayText&gt;&lt;record&gt;&lt;rec-number&gt;106&lt;/rec-number&gt;&lt;foreign-keys&gt;&lt;key app="EN" db-id="ts5z5a990w5zxse5eexx0f92efe0pwtr9ttv" timestamp="1761781871"&gt;106&lt;/key&gt;&lt;/foreign-keys&gt;&lt;ref-type name="Report"&gt;27&lt;/ref-type&gt;&lt;contributors&gt;&lt;authors&gt;&lt;author&gt;NICE&lt;/author&gt;&lt;/authors&gt;&lt;/contributors&gt;&lt;titles&gt;&lt;title&gt;Maralixibat for treating cholestatic pruritus in Alagille Syndrome [ID3941]: Committee Papers&lt;/title&gt;&lt;/titles&gt;&lt;dates&gt;&lt;year&gt;2024&lt;/year&gt;&lt;/dates&gt;&lt;urls&gt;&lt;related-urls&gt;&lt;url&gt;https://www.nice.org.uk/guidance/gid-ta10832/documents/committee-papers&lt;/url&gt;&lt;/related-urls&gt;&lt;/urls&gt;&lt;/record&gt;&lt;/Cite&gt;&lt;/EndNote&gt;</w:instrText>
            </w:r>
            <w:r w:rsidRPr="00275521">
              <w:rPr>
                <w:rStyle w:val="Small"/>
                <w:rFonts w:ascii="Arial Narrow" w:hAnsi="Arial Narrow"/>
              </w:rPr>
              <w:fldChar w:fldCharType="separate"/>
            </w:r>
            <w:r w:rsidRPr="00275521">
              <w:rPr>
                <w:rStyle w:val="Small"/>
                <w:rFonts w:ascii="Arial Narrow" w:hAnsi="Arial Narrow"/>
              </w:rPr>
              <w:fldChar w:fldCharType="end"/>
            </w:r>
          </w:p>
        </w:tc>
      </w:tr>
      <w:tr w:rsidR="009D476F" w:rsidRPr="00275521" w14:paraId="5BC2AF7D" w14:textId="77777777" w:rsidTr="00080E30">
        <w:tc>
          <w:tcPr>
            <w:tcW w:w="862" w:type="pct"/>
            <w:vMerge/>
            <w:vAlign w:val="center"/>
          </w:tcPr>
          <w:p w14:paraId="1DA42688" w14:textId="77777777" w:rsidR="00E5285F" w:rsidRPr="00275521" w:rsidRDefault="00E5285F" w:rsidP="008B6633">
            <w:pPr>
              <w:pStyle w:val="TableText0"/>
              <w:keepNext w:val="0"/>
              <w:keepLines w:val="0"/>
            </w:pPr>
          </w:p>
        </w:tc>
        <w:tc>
          <w:tcPr>
            <w:tcW w:w="1179" w:type="pct"/>
            <w:vAlign w:val="center"/>
          </w:tcPr>
          <w:p w14:paraId="3D66E4E8" w14:textId="0D318221" w:rsidR="00E5285F" w:rsidRPr="00275521" w:rsidRDefault="00E5285F" w:rsidP="008B6633">
            <w:pPr>
              <w:pStyle w:val="TableText0"/>
              <w:keepNext w:val="0"/>
              <w:keepLines w:val="0"/>
            </w:pPr>
            <w:r w:rsidRPr="00275521">
              <w:rPr>
                <w:rStyle w:val="Small"/>
                <w:rFonts w:ascii="Arial Narrow" w:hAnsi="Arial Narrow"/>
              </w:rPr>
              <w:t>SBD (scenario only)</w:t>
            </w:r>
          </w:p>
        </w:tc>
        <w:tc>
          <w:tcPr>
            <w:tcW w:w="864" w:type="pct"/>
            <w:vAlign w:val="center"/>
          </w:tcPr>
          <w:p w14:paraId="2F686648" w14:textId="5F044406" w:rsidR="00E5285F" w:rsidRPr="00275521" w:rsidRDefault="00E5285F" w:rsidP="008B6633">
            <w:pPr>
              <w:pStyle w:val="TableText0"/>
              <w:keepNext w:val="0"/>
              <w:keepLines w:val="0"/>
              <w:jc w:val="center"/>
            </w:pPr>
            <w:r w:rsidRPr="00275521">
              <w:rPr>
                <w:rStyle w:val="Small"/>
                <w:rFonts w:ascii="Arial Narrow" w:hAnsi="Arial Narrow"/>
              </w:rPr>
              <w:t>0.734</w:t>
            </w:r>
          </w:p>
        </w:tc>
        <w:tc>
          <w:tcPr>
            <w:tcW w:w="2095" w:type="pct"/>
            <w:gridSpan w:val="2"/>
            <w:vAlign w:val="center"/>
          </w:tcPr>
          <w:p w14:paraId="5328B55E" w14:textId="41B293DD" w:rsidR="00E5285F" w:rsidRPr="00275521" w:rsidRDefault="00E5285F" w:rsidP="008B6633">
            <w:pPr>
              <w:pStyle w:val="TableText0"/>
              <w:keepNext w:val="0"/>
              <w:keepLines w:val="0"/>
            </w:pPr>
            <w:r w:rsidRPr="00275521">
              <w:rPr>
                <w:rStyle w:val="Small"/>
                <w:rFonts w:ascii="Arial Narrow" w:hAnsi="Arial Narrow"/>
              </w:rPr>
              <w:t>Assumed equal to non-responder</w:t>
            </w:r>
          </w:p>
        </w:tc>
      </w:tr>
      <w:tr w:rsidR="009D476F" w:rsidRPr="00275521" w14:paraId="75B7FEB3" w14:textId="77777777" w:rsidTr="00080E30">
        <w:tc>
          <w:tcPr>
            <w:tcW w:w="862" w:type="pct"/>
            <w:vMerge/>
            <w:vAlign w:val="center"/>
          </w:tcPr>
          <w:p w14:paraId="2B8C611A" w14:textId="77777777" w:rsidR="00E5285F" w:rsidRPr="00275521" w:rsidRDefault="00E5285F" w:rsidP="008B6633">
            <w:pPr>
              <w:pStyle w:val="TableText0"/>
              <w:keepNext w:val="0"/>
              <w:keepLines w:val="0"/>
            </w:pPr>
          </w:p>
        </w:tc>
        <w:tc>
          <w:tcPr>
            <w:tcW w:w="1179" w:type="pct"/>
            <w:vAlign w:val="center"/>
          </w:tcPr>
          <w:p w14:paraId="4375DDDD" w14:textId="6702BFE2" w:rsidR="00E5285F" w:rsidRPr="00275521" w:rsidRDefault="00E5285F" w:rsidP="008B6633">
            <w:pPr>
              <w:pStyle w:val="TableText0"/>
              <w:keepNext w:val="0"/>
              <w:keepLines w:val="0"/>
            </w:pPr>
            <w:r w:rsidRPr="00275521">
              <w:rPr>
                <w:rStyle w:val="Small"/>
                <w:rFonts w:ascii="Arial Narrow" w:hAnsi="Arial Narrow"/>
              </w:rPr>
              <w:t>Post-SBD (scenario only)</w:t>
            </w:r>
          </w:p>
        </w:tc>
        <w:tc>
          <w:tcPr>
            <w:tcW w:w="864" w:type="pct"/>
            <w:vAlign w:val="center"/>
          </w:tcPr>
          <w:p w14:paraId="1BCD42B3" w14:textId="7ADF5E86" w:rsidR="00E5285F" w:rsidRPr="00275521" w:rsidRDefault="00E5285F" w:rsidP="008B6633">
            <w:pPr>
              <w:pStyle w:val="TableText0"/>
              <w:keepNext w:val="0"/>
              <w:keepLines w:val="0"/>
              <w:jc w:val="center"/>
            </w:pPr>
            <w:r w:rsidRPr="00275521">
              <w:rPr>
                <w:rStyle w:val="Small"/>
                <w:rFonts w:ascii="Arial Narrow" w:hAnsi="Arial Narrow"/>
              </w:rPr>
              <w:t>0.734</w:t>
            </w:r>
          </w:p>
        </w:tc>
        <w:tc>
          <w:tcPr>
            <w:tcW w:w="2095" w:type="pct"/>
            <w:gridSpan w:val="2"/>
            <w:vAlign w:val="center"/>
          </w:tcPr>
          <w:p w14:paraId="2C849795" w14:textId="663A2154" w:rsidR="00E5285F" w:rsidRPr="00275521" w:rsidRDefault="00E5285F" w:rsidP="008B6633">
            <w:pPr>
              <w:pStyle w:val="TableText0"/>
              <w:keepNext w:val="0"/>
              <w:keepLines w:val="0"/>
            </w:pPr>
            <w:r w:rsidRPr="00275521">
              <w:rPr>
                <w:rStyle w:val="Small"/>
                <w:rFonts w:ascii="Arial Narrow" w:hAnsi="Arial Narrow"/>
              </w:rPr>
              <w:t>Assumed equal to non-responder</w:t>
            </w:r>
          </w:p>
        </w:tc>
      </w:tr>
      <w:tr w:rsidR="00DB35F7" w:rsidRPr="00275521" w14:paraId="7B7BB3F1" w14:textId="77777777" w:rsidTr="00CD53E5">
        <w:tc>
          <w:tcPr>
            <w:tcW w:w="862" w:type="pct"/>
            <w:vMerge w:val="restart"/>
            <w:vAlign w:val="center"/>
          </w:tcPr>
          <w:p w14:paraId="19674F00" w14:textId="319E08E3" w:rsidR="00D769DD" w:rsidRPr="00275521" w:rsidRDefault="00D769DD" w:rsidP="008B6633">
            <w:pPr>
              <w:pStyle w:val="TableText0"/>
              <w:keepNext w:val="0"/>
              <w:keepLines w:val="0"/>
            </w:pPr>
            <w:r w:rsidRPr="00275521">
              <w:t>Healthcare resource use and costs</w:t>
            </w:r>
          </w:p>
        </w:tc>
        <w:tc>
          <w:tcPr>
            <w:tcW w:w="4138" w:type="pct"/>
            <w:gridSpan w:val="4"/>
          </w:tcPr>
          <w:p w14:paraId="2B4E7217" w14:textId="207C7EC5" w:rsidR="00D769DD" w:rsidRPr="00275521" w:rsidRDefault="00D769DD" w:rsidP="008B6633">
            <w:pPr>
              <w:pStyle w:val="TableText0"/>
              <w:keepNext w:val="0"/>
              <w:keepLines w:val="0"/>
            </w:pPr>
            <w:r w:rsidRPr="00275521">
              <w:t>The base case model included costs associated with:</w:t>
            </w:r>
          </w:p>
        </w:tc>
      </w:tr>
      <w:tr w:rsidR="007E09FE" w:rsidRPr="00275521" w14:paraId="0BDE9DDB" w14:textId="77777777" w:rsidTr="00D63330">
        <w:tc>
          <w:tcPr>
            <w:tcW w:w="862" w:type="pct"/>
            <w:vMerge/>
            <w:vAlign w:val="center"/>
          </w:tcPr>
          <w:p w14:paraId="39AA0ADC" w14:textId="77777777" w:rsidR="00D769DD" w:rsidRPr="00275521" w:rsidRDefault="00D769DD" w:rsidP="008B6633">
            <w:pPr>
              <w:pStyle w:val="TableText0"/>
              <w:keepNext w:val="0"/>
              <w:keepLines w:val="0"/>
            </w:pPr>
          </w:p>
        </w:tc>
        <w:tc>
          <w:tcPr>
            <w:tcW w:w="1179" w:type="pct"/>
          </w:tcPr>
          <w:p w14:paraId="37271D98" w14:textId="7A3D757E" w:rsidR="00D769DD" w:rsidRPr="00275521" w:rsidRDefault="00D769DD" w:rsidP="008B6633">
            <w:pPr>
              <w:pStyle w:val="TableText0"/>
              <w:keepNext w:val="0"/>
              <w:keepLines w:val="0"/>
              <w:rPr>
                <w:b/>
                <w:bCs w:val="0"/>
              </w:rPr>
            </w:pPr>
            <w:r w:rsidRPr="00275521">
              <w:rPr>
                <w:b/>
                <w:bCs w:val="0"/>
              </w:rPr>
              <w:t>Resource use or cost</w:t>
            </w:r>
          </w:p>
        </w:tc>
        <w:tc>
          <w:tcPr>
            <w:tcW w:w="2959" w:type="pct"/>
            <w:gridSpan w:val="3"/>
          </w:tcPr>
          <w:p w14:paraId="4B6F6766" w14:textId="2DEA7D1C" w:rsidR="00D769DD" w:rsidRPr="00275521" w:rsidRDefault="00D769DD" w:rsidP="008B6633">
            <w:pPr>
              <w:pStyle w:val="TableText0"/>
              <w:keepNext w:val="0"/>
              <w:keepLines w:val="0"/>
              <w:rPr>
                <w:b/>
                <w:bCs w:val="0"/>
              </w:rPr>
            </w:pPr>
            <w:r w:rsidRPr="00275521">
              <w:rPr>
                <w:b/>
                <w:bCs w:val="0"/>
              </w:rPr>
              <w:t>Source used in model</w:t>
            </w:r>
          </w:p>
        </w:tc>
      </w:tr>
      <w:tr w:rsidR="007E09FE" w:rsidRPr="00275521" w14:paraId="7AE1FCDC" w14:textId="77777777" w:rsidTr="00D63330">
        <w:tc>
          <w:tcPr>
            <w:tcW w:w="862" w:type="pct"/>
            <w:vMerge/>
            <w:vAlign w:val="center"/>
          </w:tcPr>
          <w:p w14:paraId="5E9EA469" w14:textId="77777777" w:rsidR="00D769DD" w:rsidRPr="00275521" w:rsidRDefault="00D769DD" w:rsidP="008B6633">
            <w:pPr>
              <w:pStyle w:val="TableText0"/>
              <w:keepNext w:val="0"/>
              <w:keepLines w:val="0"/>
            </w:pPr>
          </w:p>
        </w:tc>
        <w:tc>
          <w:tcPr>
            <w:tcW w:w="1179" w:type="pct"/>
          </w:tcPr>
          <w:p w14:paraId="534330D3" w14:textId="688D46FD" w:rsidR="00D769DD" w:rsidRPr="00275521" w:rsidRDefault="00D769DD" w:rsidP="008B6633">
            <w:pPr>
              <w:pStyle w:val="TableText0"/>
              <w:keepNext w:val="0"/>
              <w:keepLines w:val="0"/>
            </w:pPr>
            <w:r w:rsidRPr="00275521">
              <w:t>Odevixibat drug acquisition</w:t>
            </w:r>
          </w:p>
        </w:tc>
        <w:tc>
          <w:tcPr>
            <w:tcW w:w="2959" w:type="pct"/>
            <w:gridSpan w:val="3"/>
          </w:tcPr>
          <w:p w14:paraId="07163AFF" w14:textId="7449840B" w:rsidR="00D769DD" w:rsidRPr="00275521" w:rsidRDefault="00D769DD" w:rsidP="008B6633">
            <w:pPr>
              <w:pStyle w:val="TableText0"/>
              <w:keepNext w:val="0"/>
              <w:keepLines w:val="0"/>
            </w:pPr>
            <w:r w:rsidRPr="00275521">
              <w:t>Dosage was based on the average patient weight for a given age (ABS National Health Survey 2022) and corresponding capsule strengths (200, 400, 600 and 1200 µg). All patients were on a dosage of 120 µg/kg/day with 100% compliance assumed. Odevixibat costs are only incurred in the ‘responder’ health state.</w:t>
            </w:r>
          </w:p>
        </w:tc>
      </w:tr>
      <w:tr w:rsidR="007E09FE" w:rsidRPr="00275521" w14:paraId="226C44EB" w14:textId="77777777" w:rsidTr="00D63330">
        <w:tc>
          <w:tcPr>
            <w:tcW w:w="862" w:type="pct"/>
            <w:vMerge/>
            <w:vAlign w:val="center"/>
          </w:tcPr>
          <w:p w14:paraId="126FF233" w14:textId="77777777" w:rsidR="00D769DD" w:rsidRPr="00275521" w:rsidRDefault="00D769DD" w:rsidP="008B6633">
            <w:pPr>
              <w:pStyle w:val="TableText0"/>
              <w:keepNext w:val="0"/>
              <w:keepLines w:val="0"/>
            </w:pPr>
          </w:p>
        </w:tc>
        <w:tc>
          <w:tcPr>
            <w:tcW w:w="1179" w:type="pct"/>
          </w:tcPr>
          <w:p w14:paraId="03488F63" w14:textId="38C4D2B9" w:rsidR="00D769DD" w:rsidRPr="00275521" w:rsidRDefault="00D769DD" w:rsidP="008B6633">
            <w:pPr>
              <w:pStyle w:val="TableText0"/>
              <w:keepNext w:val="0"/>
              <w:keepLines w:val="0"/>
              <w:rPr>
                <w:i/>
                <w:iCs/>
              </w:rPr>
            </w:pPr>
            <w:r w:rsidRPr="00275521">
              <w:t xml:space="preserve">SoC drug costs </w:t>
            </w:r>
            <w:r w:rsidRPr="006005D4">
              <w:t>(only applied to SoC arm in the base case)</w:t>
            </w:r>
          </w:p>
        </w:tc>
        <w:tc>
          <w:tcPr>
            <w:tcW w:w="2959" w:type="pct"/>
            <w:gridSpan w:val="3"/>
          </w:tcPr>
          <w:p w14:paraId="6BAB3710" w14:textId="6BE8DC9F" w:rsidR="00D769DD" w:rsidRPr="00275521" w:rsidRDefault="00D769DD" w:rsidP="008B6633">
            <w:pPr>
              <w:pStyle w:val="TableText0"/>
              <w:keepNext w:val="0"/>
              <w:keepLines w:val="0"/>
            </w:pPr>
            <w:r w:rsidRPr="00275521">
              <w:t>UDCA, cholestyramine, rifampicin, and naltrexone usage was sourced from PBS usage data, consistent with the PBAC July-2025 resubmission of odevixibat in PFIC. Ondansetron and SSRI usage was additionally sourced from PBS usage data for this submission.</w:t>
            </w:r>
          </w:p>
        </w:tc>
      </w:tr>
      <w:tr w:rsidR="007E09FE" w:rsidRPr="00275521" w14:paraId="13183655" w14:textId="77777777" w:rsidTr="00D63330">
        <w:tc>
          <w:tcPr>
            <w:tcW w:w="862" w:type="pct"/>
            <w:vMerge/>
            <w:vAlign w:val="center"/>
          </w:tcPr>
          <w:p w14:paraId="3640A79E" w14:textId="77777777" w:rsidR="00D769DD" w:rsidRPr="00275521" w:rsidRDefault="00D769DD" w:rsidP="008B6633">
            <w:pPr>
              <w:pStyle w:val="TableText0"/>
              <w:keepNext w:val="0"/>
              <w:keepLines w:val="0"/>
            </w:pPr>
          </w:p>
        </w:tc>
        <w:tc>
          <w:tcPr>
            <w:tcW w:w="1179" w:type="pct"/>
          </w:tcPr>
          <w:p w14:paraId="696B2DBD" w14:textId="3B754A41" w:rsidR="00D769DD" w:rsidRPr="00275521" w:rsidRDefault="00D769DD" w:rsidP="008B6633">
            <w:pPr>
              <w:pStyle w:val="TableText0"/>
              <w:keepNext w:val="0"/>
              <w:keepLines w:val="0"/>
            </w:pPr>
            <w:r w:rsidRPr="00275521">
              <w:t>LT costs (pre-transplant, surgery, post-transplant monitoring and complications)</w:t>
            </w:r>
          </w:p>
        </w:tc>
        <w:tc>
          <w:tcPr>
            <w:tcW w:w="2959" w:type="pct"/>
            <w:gridSpan w:val="3"/>
          </w:tcPr>
          <w:p w14:paraId="4FC6A797" w14:textId="6D4DF5E8" w:rsidR="00D769DD" w:rsidRPr="00275521" w:rsidRDefault="00D769DD" w:rsidP="008B6633">
            <w:pPr>
              <w:pStyle w:val="TableText0"/>
              <w:keepNext w:val="0"/>
              <w:keepLines w:val="0"/>
            </w:pPr>
            <w:r w:rsidRPr="00275521">
              <w:t>Transplant costs were sourced from the National Efficient Price Determination 2025-26. Pre-transplant and post-transplant costs were consistent with the PBAC July-2025 resubmission of odevixibat in PFIC.</w:t>
            </w:r>
          </w:p>
        </w:tc>
      </w:tr>
      <w:tr w:rsidR="007E09FE" w:rsidRPr="00275521" w14:paraId="512527F0" w14:textId="77777777" w:rsidTr="00D63330">
        <w:tc>
          <w:tcPr>
            <w:tcW w:w="862" w:type="pct"/>
            <w:vMerge/>
            <w:vAlign w:val="center"/>
          </w:tcPr>
          <w:p w14:paraId="6CF076EF" w14:textId="77777777" w:rsidR="00D769DD" w:rsidRPr="00275521" w:rsidRDefault="00D769DD" w:rsidP="008B6633">
            <w:pPr>
              <w:pStyle w:val="TableText0"/>
              <w:keepNext w:val="0"/>
              <w:keepLines w:val="0"/>
            </w:pPr>
          </w:p>
        </w:tc>
        <w:tc>
          <w:tcPr>
            <w:tcW w:w="1179" w:type="pct"/>
          </w:tcPr>
          <w:p w14:paraId="600F9806" w14:textId="0247ED68" w:rsidR="00D769DD" w:rsidRPr="00275521" w:rsidRDefault="00D769DD" w:rsidP="008B6633">
            <w:pPr>
              <w:pStyle w:val="TableText0"/>
              <w:keepNext w:val="0"/>
              <w:keepLines w:val="0"/>
            </w:pPr>
            <w:r w:rsidRPr="00275521">
              <w:t xml:space="preserve">ALGS management </w:t>
            </w:r>
          </w:p>
        </w:tc>
        <w:tc>
          <w:tcPr>
            <w:tcW w:w="2959" w:type="pct"/>
            <w:gridSpan w:val="3"/>
          </w:tcPr>
          <w:p w14:paraId="5147F8EB" w14:textId="603FEBDA" w:rsidR="00D769DD" w:rsidRPr="00275521" w:rsidRDefault="00D769DD" w:rsidP="008B6633">
            <w:pPr>
              <w:pStyle w:val="Tabletext"/>
            </w:pPr>
            <w:r w:rsidRPr="00275521">
              <w:t>The model includes costs for severe illness events associated with ALGS (informed by Vandriel 2022, Blue 2007 and Bales 2010) in addition to costs associated with routine monitoring and management of ALGS patients (</w:t>
            </w:r>
            <w:r w:rsidRPr="00275521">
              <w:rPr>
                <w:i/>
                <w:iCs/>
              </w:rPr>
              <w:t xml:space="preserve">reportedly </w:t>
            </w:r>
            <w:r w:rsidRPr="00275521">
              <w:t>aligned with the NICE 2024 maralixibat submission; and HCD economics 2021 burden of illness study)</w:t>
            </w:r>
          </w:p>
        </w:tc>
      </w:tr>
      <w:tr w:rsidR="007E09FE" w:rsidRPr="00275521" w14:paraId="0C25F651" w14:textId="77777777" w:rsidTr="00D63330">
        <w:tc>
          <w:tcPr>
            <w:tcW w:w="862" w:type="pct"/>
            <w:vMerge/>
            <w:vAlign w:val="center"/>
          </w:tcPr>
          <w:p w14:paraId="7A8A3E87" w14:textId="77777777" w:rsidR="00D769DD" w:rsidRPr="00275521" w:rsidRDefault="00D769DD" w:rsidP="008B6633">
            <w:pPr>
              <w:pStyle w:val="TableText0"/>
              <w:keepNext w:val="0"/>
              <w:keepLines w:val="0"/>
            </w:pPr>
          </w:p>
        </w:tc>
        <w:tc>
          <w:tcPr>
            <w:tcW w:w="1179" w:type="pct"/>
          </w:tcPr>
          <w:p w14:paraId="248DBCFA" w14:textId="44ED16D8" w:rsidR="00D769DD" w:rsidRPr="00275521" w:rsidRDefault="00D769DD" w:rsidP="008B6633">
            <w:pPr>
              <w:pStyle w:val="TableText0"/>
              <w:keepNext w:val="0"/>
              <w:keepLines w:val="0"/>
            </w:pPr>
            <w:r w:rsidRPr="00275521">
              <w:t xml:space="preserve">AE </w:t>
            </w:r>
          </w:p>
        </w:tc>
        <w:tc>
          <w:tcPr>
            <w:tcW w:w="2959" w:type="pct"/>
            <w:gridSpan w:val="3"/>
          </w:tcPr>
          <w:p w14:paraId="6C978714" w14:textId="4CEA8B9D" w:rsidR="00D769DD" w:rsidRPr="00275521" w:rsidRDefault="00D769DD" w:rsidP="008B6633">
            <w:pPr>
              <w:pStyle w:val="TableText0"/>
              <w:keepNext w:val="0"/>
              <w:keepLines w:val="0"/>
            </w:pPr>
            <w:r w:rsidRPr="00275521">
              <w:t>The submission stated no AE disutility (or costs) was included in the model given most AEs are low grade and would have a negligible impact on QoL.</w:t>
            </w:r>
          </w:p>
        </w:tc>
      </w:tr>
    </w:tbl>
    <w:p w14:paraId="2F9FB170" w14:textId="77777777" w:rsidR="00D776E5" w:rsidRPr="00275521" w:rsidRDefault="005739AA" w:rsidP="008B6633">
      <w:pPr>
        <w:pStyle w:val="FooterTableFigure"/>
      </w:pPr>
      <w:r w:rsidRPr="00275521">
        <w:t>Source: Table 3-1, Table 3-9, Table 3-10</w:t>
      </w:r>
      <w:r w:rsidR="00D769DD" w:rsidRPr="00275521">
        <w:t>, Table 3-15, Table 3-16, Table 3-18, Table 3-21, Table 3-22,</w:t>
      </w:r>
      <w:r w:rsidRPr="00275521">
        <w:t xml:space="preserve"> of the submission</w:t>
      </w:r>
    </w:p>
    <w:p w14:paraId="7F75FFA4" w14:textId="566645E3" w:rsidR="00747A42" w:rsidRPr="00275521" w:rsidRDefault="00D769DD" w:rsidP="008B6633">
      <w:pPr>
        <w:pStyle w:val="FooterTableFigure"/>
        <w:spacing w:before="160" w:after="160"/>
        <w:rPr>
          <w:sz w:val="20"/>
        </w:rPr>
      </w:pPr>
      <w:r w:rsidRPr="00275521">
        <w:t>ABS = Australian Bureau of Statistics; AE = adverse events;</w:t>
      </w:r>
      <w:r w:rsidR="005739AA" w:rsidRPr="00275521">
        <w:t xml:space="preserve"> </w:t>
      </w:r>
      <w:r w:rsidRPr="00275521">
        <w:t xml:space="preserve">ALGS = Alagille syndrome; EAG = external assessment group; </w:t>
      </w:r>
      <w:r w:rsidR="005739AA" w:rsidRPr="00275521">
        <w:t xml:space="preserve">LT = liver transplant; LYG = life years gained; </w:t>
      </w:r>
      <w:r w:rsidRPr="00275521">
        <w:t xml:space="preserve">NICE = U.K. National Institute for Health and Care Excellence; </w:t>
      </w:r>
      <w:r w:rsidR="005739AA" w:rsidRPr="00275521">
        <w:t xml:space="preserve">ODX = odevixibat; </w:t>
      </w:r>
      <w:r w:rsidRPr="00275521">
        <w:t xml:space="preserve">PBAC = Pharmaceutical Benefits Advisory Committee; PFIC = progressive familiar intrahepatic cholestasis; </w:t>
      </w:r>
      <w:r w:rsidR="005739AA" w:rsidRPr="00275521">
        <w:t>PHT = portal hypertension; QALY = quality adjusted life years; SBD = biliary diversion surgery; SoC = standard of care</w:t>
      </w:r>
    </w:p>
    <w:p w14:paraId="319F6ACC" w14:textId="026E8677" w:rsidR="002674D8" w:rsidRPr="007648B8" w:rsidRDefault="00B75AF1" w:rsidP="008B6633">
      <w:pPr>
        <w:pStyle w:val="3-BodyText"/>
        <w:spacing w:before="160" w:after="160"/>
        <w:rPr>
          <w:rFonts w:cstheme="minorHAnsi"/>
          <w:color w:val="000000" w:themeColor="text1"/>
        </w:rPr>
      </w:pPr>
      <w:r w:rsidRPr="007648B8">
        <w:rPr>
          <w:rFonts w:cstheme="minorHAnsi"/>
          <w:color w:val="000000" w:themeColor="text1"/>
        </w:rPr>
        <w:t>The</w:t>
      </w:r>
      <w:r w:rsidR="00890A9C" w:rsidRPr="007648B8">
        <w:rPr>
          <w:rFonts w:cstheme="minorHAnsi"/>
          <w:color w:val="000000" w:themeColor="text1"/>
        </w:rPr>
        <w:t xml:space="preserve"> </w:t>
      </w:r>
      <w:r w:rsidR="00E67FB1" w:rsidRPr="007648B8">
        <w:rPr>
          <w:rFonts w:cstheme="minorHAnsi"/>
          <w:color w:val="000000" w:themeColor="text1"/>
        </w:rPr>
        <w:t xml:space="preserve">evaluation and the ESC </w:t>
      </w:r>
      <w:r w:rsidR="00890A9C" w:rsidRPr="007648B8">
        <w:rPr>
          <w:rFonts w:cstheme="minorHAnsi"/>
          <w:color w:val="000000" w:themeColor="text1"/>
        </w:rPr>
        <w:t>considered that the</w:t>
      </w:r>
      <w:r w:rsidRPr="007648B8">
        <w:rPr>
          <w:rFonts w:cstheme="minorHAnsi"/>
          <w:color w:val="000000" w:themeColor="text1"/>
        </w:rPr>
        <w:t xml:space="preserve"> inclusion of caregiver disutility was not appropriate in the base case. </w:t>
      </w:r>
      <w:r w:rsidR="002674D8" w:rsidRPr="007648B8">
        <w:rPr>
          <w:rFonts w:cstheme="minorHAnsi"/>
          <w:color w:val="000000" w:themeColor="text1"/>
        </w:rPr>
        <w:t>The</w:t>
      </w:r>
      <w:r w:rsidR="00FE0CA6" w:rsidRPr="007648B8">
        <w:rPr>
          <w:rFonts w:cstheme="minorHAnsi"/>
          <w:color w:val="000000" w:themeColor="text1"/>
        </w:rPr>
        <w:t>refore, the</w:t>
      </w:r>
      <w:r w:rsidR="002674D8" w:rsidRPr="007648B8">
        <w:rPr>
          <w:rFonts w:cstheme="minorHAnsi"/>
          <w:color w:val="000000" w:themeColor="text1"/>
        </w:rPr>
        <w:t xml:space="preserve"> following discussion i</w:t>
      </w:r>
      <w:r w:rsidR="00FE0CA6" w:rsidRPr="007648B8">
        <w:rPr>
          <w:rFonts w:cstheme="minorHAnsi"/>
          <w:color w:val="000000" w:themeColor="text1"/>
        </w:rPr>
        <w:t>s i</w:t>
      </w:r>
      <w:r w:rsidR="002674D8" w:rsidRPr="007648B8">
        <w:rPr>
          <w:rFonts w:cstheme="minorHAnsi"/>
          <w:color w:val="000000" w:themeColor="text1"/>
        </w:rPr>
        <w:t xml:space="preserve">n reference to Base </w:t>
      </w:r>
      <w:r w:rsidR="00D776E5" w:rsidRPr="007648B8">
        <w:rPr>
          <w:rFonts w:cstheme="minorHAnsi"/>
          <w:color w:val="000000" w:themeColor="text1"/>
        </w:rPr>
        <w:t>C</w:t>
      </w:r>
      <w:r w:rsidR="002674D8" w:rsidRPr="007648B8">
        <w:rPr>
          <w:rFonts w:cstheme="minorHAnsi"/>
          <w:color w:val="000000" w:themeColor="text1"/>
        </w:rPr>
        <w:t xml:space="preserve">ase 2 which does not include caregiver </w:t>
      </w:r>
      <w:r w:rsidR="00FE0CA6" w:rsidRPr="007648B8">
        <w:rPr>
          <w:rFonts w:cstheme="minorHAnsi"/>
          <w:color w:val="000000" w:themeColor="text1"/>
        </w:rPr>
        <w:t>disutility</w:t>
      </w:r>
      <w:r w:rsidR="00D776E5" w:rsidRPr="007648B8">
        <w:rPr>
          <w:rFonts w:cstheme="minorHAnsi"/>
          <w:color w:val="000000" w:themeColor="text1"/>
        </w:rPr>
        <w:t>,</w:t>
      </w:r>
      <w:r w:rsidR="002674D8" w:rsidRPr="007648B8">
        <w:rPr>
          <w:rFonts w:cstheme="minorHAnsi"/>
          <w:color w:val="000000" w:themeColor="text1"/>
        </w:rPr>
        <w:t xml:space="preserve"> unless otherwise specified. Results from Base </w:t>
      </w:r>
      <w:r w:rsidR="00D776E5" w:rsidRPr="007648B8">
        <w:rPr>
          <w:rFonts w:cstheme="minorHAnsi"/>
          <w:color w:val="000000" w:themeColor="text1"/>
        </w:rPr>
        <w:t>C</w:t>
      </w:r>
      <w:r w:rsidR="002674D8" w:rsidRPr="007648B8">
        <w:rPr>
          <w:rFonts w:cstheme="minorHAnsi"/>
          <w:color w:val="000000" w:themeColor="text1"/>
        </w:rPr>
        <w:t>ase 1</w:t>
      </w:r>
      <w:r w:rsidRPr="007648B8">
        <w:rPr>
          <w:rFonts w:cstheme="minorHAnsi"/>
          <w:color w:val="000000" w:themeColor="text1"/>
        </w:rPr>
        <w:t xml:space="preserve"> (i.e. </w:t>
      </w:r>
      <w:r w:rsidR="002674D8" w:rsidRPr="007648B8">
        <w:rPr>
          <w:rFonts w:cstheme="minorHAnsi"/>
          <w:color w:val="000000" w:themeColor="text1"/>
        </w:rPr>
        <w:t>includ</w:t>
      </w:r>
      <w:r w:rsidRPr="007648B8">
        <w:rPr>
          <w:rFonts w:cstheme="minorHAnsi"/>
          <w:color w:val="000000" w:themeColor="text1"/>
        </w:rPr>
        <w:t>ing</w:t>
      </w:r>
      <w:r w:rsidR="002674D8" w:rsidRPr="007648B8">
        <w:rPr>
          <w:rFonts w:cstheme="minorHAnsi"/>
          <w:color w:val="000000" w:themeColor="text1"/>
        </w:rPr>
        <w:t xml:space="preserve"> caregiver disutility</w:t>
      </w:r>
      <w:r w:rsidRPr="007648B8">
        <w:rPr>
          <w:rFonts w:cstheme="minorHAnsi"/>
          <w:color w:val="000000" w:themeColor="text1"/>
        </w:rPr>
        <w:t xml:space="preserve">) </w:t>
      </w:r>
      <w:r w:rsidR="002674D8" w:rsidRPr="007648B8">
        <w:rPr>
          <w:rFonts w:cstheme="minorHAnsi"/>
          <w:color w:val="000000" w:themeColor="text1"/>
        </w:rPr>
        <w:t xml:space="preserve">is presented </w:t>
      </w:r>
      <w:r w:rsidRPr="007648B8">
        <w:rPr>
          <w:rFonts w:cstheme="minorHAnsi"/>
          <w:color w:val="000000" w:themeColor="text1"/>
        </w:rPr>
        <w:t>alongside</w:t>
      </w:r>
      <w:r w:rsidR="00C644D3" w:rsidRPr="007648B8">
        <w:rPr>
          <w:rFonts w:cstheme="minorHAnsi"/>
          <w:color w:val="000000" w:themeColor="text1"/>
        </w:rPr>
        <w:t>, as a</w:t>
      </w:r>
      <w:r w:rsidR="002674D8" w:rsidRPr="007648B8">
        <w:rPr>
          <w:rFonts w:cstheme="minorHAnsi"/>
          <w:color w:val="000000" w:themeColor="text1"/>
        </w:rPr>
        <w:t xml:space="preserve"> sensitivity analys</w:t>
      </w:r>
      <w:r w:rsidR="00C644D3" w:rsidRPr="007648B8">
        <w:rPr>
          <w:rFonts w:cstheme="minorHAnsi"/>
          <w:color w:val="000000" w:themeColor="text1"/>
        </w:rPr>
        <w:t>i</w:t>
      </w:r>
      <w:r w:rsidR="002674D8" w:rsidRPr="007648B8">
        <w:rPr>
          <w:rFonts w:cstheme="minorHAnsi"/>
          <w:color w:val="000000" w:themeColor="text1"/>
        </w:rPr>
        <w:t>s.</w:t>
      </w:r>
      <w:r w:rsidRPr="007648B8">
        <w:rPr>
          <w:rFonts w:cstheme="minorHAnsi"/>
          <w:color w:val="000000" w:themeColor="text1"/>
        </w:rPr>
        <w:t xml:space="preserve"> </w:t>
      </w:r>
    </w:p>
    <w:p w14:paraId="2E9898D7" w14:textId="7B1E78DE" w:rsidR="00673E23" w:rsidRPr="00F22BF2" w:rsidRDefault="00673E23" w:rsidP="008B6633">
      <w:pPr>
        <w:pStyle w:val="3-BodyText"/>
        <w:spacing w:before="160" w:after="160"/>
        <w:rPr>
          <w:rFonts w:cstheme="minorHAnsi"/>
          <w:color w:val="000000" w:themeColor="text1"/>
        </w:rPr>
      </w:pPr>
      <w:bookmarkStart w:id="56" w:name="_Ref222319032"/>
      <w:r w:rsidRPr="00F22BF2">
        <w:rPr>
          <w:rFonts w:cstheme="minorHAnsi"/>
          <w:color w:val="000000" w:themeColor="text1"/>
        </w:rPr>
        <w:t>A 50-year time horizon was modelled in the base-case versus 24 weeks of comparative data from ASSERT</w:t>
      </w:r>
      <w:r w:rsidR="00D47BAA" w:rsidRPr="00F22BF2">
        <w:rPr>
          <w:rFonts w:cstheme="minorHAnsi"/>
          <w:color w:val="000000" w:themeColor="text1"/>
        </w:rPr>
        <w:t>, and 72 weeks of single-arm data from ASSERT-EXT</w:t>
      </w:r>
      <w:r w:rsidRPr="00F22BF2">
        <w:rPr>
          <w:rFonts w:cstheme="minorHAnsi"/>
          <w:color w:val="000000" w:themeColor="text1"/>
        </w:rPr>
        <w:t xml:space="preserve">. The submission claimed that this aligns to the time horizon presented in the July 2025 odevixibat PFIC resubmission. However, the PBAC </w:t>
      </w:r>
      <w:r w:rsidR="004923CB" w:rsidRPr="00F22BF2">
        <w:rPr>
          <w:rFonts w:cstheme="minorHAnsi"/>
          <w:color w:val="000000" w:themeColor="text1"/>
        </w:rPr>
        <w:t xml:space="preserve">had </w:t>
      </w:r>
      <w:r w:rsidRPr="00F22BF2">
        <w:rPr>
          <w:rFonts w:cstheme="minorHAnsi"/>
          <w:color w:val="000000" w:themeColor="text1"/>
        </w:rPr>
        <w:t xml:space="preserve">considered that the base case economic model presented in the PFIC resubmission could not be used to assess the cost-effectiveness </w:t>
      </w:r>
      <w:r w:rsidRPr="00F22BF2">
        <w:rPr>
          <w:rFonts w:cstheme="minorHAnsi"/>
          <w:color w:val="000000" w:themeColor="text1"/>
        </w:rPr>
        <w:lastRenderedPageBreak/>
        <w:t xml:space="preserve">of odevixibat (paragraph 7.11, odevixibat PSD, March 2025 PBAC Meeting with Addendum July 2025). </w:t>
      </w:r>
      <w:r w:rsidR="004923CB" w:rsidRPr="00F22BF2">
        <w:rPr>
          <w:rFonts w:cstheme="minorHAnsi"/>
          <w:color w:val="000000" w:themeColor="text1"/>
        </w:rPr>
        <w:t>The evaluation and the ESC considered it</w:t>
      </w:r>
      <w:r w:rsidRPr="00F22BF2">
        <w:rPr>
          <w:rFonts w:cstheme="minorHAnsi"/>
          <w:color w:val="000000" w:themeColor="text1"/>
        </w:rPr>
        <w:t xml:space="preserve"> highly uncertain whether clinical benefit observed in the 24 week treatment period from ASSERT would be maintained for the model horizon.</w:t>
      </w:r>
      <w:bookmarkEnd w:id="56"/>
    </w:p>
    <w:p w14:paraId="2B5F3719" w14:textId="7BAB5DDF" w:rsidR="002524D5" w:rsidRPr="008F28AC" w:rsidRDefault="00827FCC" w:rsidP="008B6633">
      <w:pPr>
        <w:pStyle w:val="3-BodyText"/>
        <w:spacing w:before="160" w:after="160"/>
        <w:rPr>
          <w:rFonts w:cstheme="minorHAnsi"/>
          <w:color w:val="000000" w:themeColor="text1"/>
        </w:rPr>
      </w:pPr>
      <w:bookmarkStart w:id="57" w:name="_Ref222319094"/>
      <w:bookmarkStart w:id="58" w:name="_Ref226046970"/>
      <w:r w:rsidRPr="008F28AC">
        <w:rPr>
          <w:rFonts w:cstheme="minorHAnsi"/>
          <w:color w:val="000000" w:themeColor="text1"/>
        </w:rPr>
        <w:t xml:space="preserve">In the base case, treatment response was defined as the proportion of patients with a ≥1.0 point reduction in the ObsRO morning pruritus score from baseline. The </w:t>
      </w:r>
      <w:proofErr w:type="gramStart"/>
      <w:r w:rsidRPr="008F28AC">
        <w:rPr>
          <w:rFonts w:cstheme="minorHAnsi"/>
          <w:color w:val="000000" w:themeColor="text1"/>
        </w:rPr>
        <w:t>24 week</w:t>
      </w:r>
      <w:proofErr w:type="gramEnd"/>
      <w:r w:rsidRPr="008F28AC">
        <w:rPr>
          <w:rFonts w:cstheme="minorHAnsi"/>
          <w:color w:val="000000" w:themeColor="text1"/>
        </w:rPr>
        <w:t xml:space="preserve"> response rate from the Sponsor’s post-hoc pooled analysis was applied (82.4%, </w:t>
      </w:r>
      <w:r w:rsidRPr="008F28AC">
        <w:rPr>
          <w:rFonts w:cstheme="minorHAnsi"/>
          <w:color w:val="000000" w:themeColor="text1"/>
        </w:rPr>
        <w:fldChar w:fldCharType="begin"/>
      </w:r>
      <w:r w:rsidRPr="008F28AC">
        <w:rPr>
          <w:rFonts w:cstheme="minorHAnsi"/>
          <w:color w:val="000000" w:themeColor="text1"/>
        </w:rPr>
        <w:instrText xml:space="preserve"> REF _Ref218777037 \h </w:instrText>
      </w:r>
      <w:r w:rsidR="004165DF" w:rsidRPr="008F28AC">
        <w:rPr>
          <w:rFonts w:cstheme="minorHAnsi"/>
          <w:color w:val="000000" w:themeColor="text1"/>
        </w:rPr>
        <w:instrText xml:space="preserve"> \* MERGEFORMAT </w:instrText>
      </w:r>
      <w:r w:rsidRPr="008F28AC">
        <w:rPr>
          <w:rFonts w:cstheme="minorHAnsi"/>
          <w:color w:val="000000" w:themeColor="text1"/>
        </w:rPr>
      </w:r>
      <w:r w:rsidRPr="008F28AC">
        <w:rPr>
          <w:rFonts w:cstheme="minorHAnsi"/>
          <w:color w:val="000000" w:themeColor="text1"/>
        </w:rPr>
        <w:fldChar w:fldCharType="separate"/>
      </w:r>
      <w:r w:rsidR="0060088A" w:rsidRPr="008F28AC">
        <w:rPr>
          <w:rFonts w:cstheme="minorHAnsi"/>
        </w:rPr>
        <w:t>Table 6</w:t>
      </w:r>
      <w:r w:rsidRPr="008F28AC">
        <w:rPr>
          <w:rFonts w:cstheme="minorHAnsi"/>
          <w:color w:val="000000" w:themeColor="text1"/>
        </w:rPr>
        <w:fldChar w:fldCharType="end"/>
      </w:r>
      <w:r w:rsidRPr="008F28AC">
        <w:rPr>
          <w:rFonts w:cstheme="minorHAnsi"/>
          <w:color w:val="000000" w:themeColor="text1"/>
        </w:rPr>
        <w:t xml:space="preserve">). A response rate of 0% was assumed for the SoC arm which </w:t>
      </w:r>
      <w:r w:rsidR="00BE7377" w:rsidRPr="008F28AC">
        <w:rPr>
          <w:rFonts w:cstheme="minorHAnsi"/>
          <w:color w:val="000000" w:themeColor="text1"/>
        </w:rPr>
        <w:t xml:space="preserve">the evaluation and the ESC considered </w:t>
      </w:r>
      <w:r w:rsidRPr="008F28AC">
        <w:rPr>
          <w:rFonts w:cstheme="minorHAnsi"/>
          <w:color w:val="000000" w:themeColor="text1"/>
        </w:rPr>
        <w:t xml:space="preserve">was not reasonable </w:t>
      </w:r>
      <w:r w:rsidR="00673E23" w:rsidRPr="008F28AC">
        <w:rPr>
          <w:rFonts w:cstheme="minorHAnsi"/>
          <w:color w:val="000000" w:themeColor="text1"/>
        </w:rPr>
        <w:t>as this was</w:t>
      </w:r>
      <w:r w:rsidRPr="008F28AC">
        <w:rPr>
          <w:rFonts w:cstheme="minorHAnsi"/>
          <w:color w:val="000000" w:themeColor="text1"/>
        </w:rPr>
        <w:t xml:space="preserve"> not supported</w:t>
      </w:r>
      <w:r w:rsidRPr="008F28AC">
        <w:rPr>
          <w:rFonts w:cstheme="minorHAnsi"/>
        </w:rPr>
        <w:t xml:space="preserve"> </w:t>
      </w:r>
      <w:r w:rsidRPr="008F28AC">
        <w:rPr>
          <w:rFonts w:cstheme="minorHAnsi"/>
          <w:color w:val="000000" w:themeColor="text1"/>
        </w:rPr>
        <w:t>by results from ASSERT</w:t>
      </w:r>
      <w:r w:rsidR="00BE7E48" w:rsidRPr="008F28AC">
        <w:rPr>
          <w:rFonts w:cstheme="minorHAnsi"/>
          <w:color w:val="000000" w:themeColor="text1"/>
        </w:rPr>
        <w:t>,</w:t>
      </w:r>
      <w:r w:rsidRPr="008F28AC">
        <w:rPr>
          <w:rFonts w:cstheme="minorHAnsi"/>
          <w:color w:val="000000" w:themeColor="text1"/>
        </w:rPr>
        <w:t xml:space="preserve"> which observed pruritus reduction in the SoC arm</w:t>
      </w:r>
      <w:r w:rsidR="002B077C" w:rsidRPr="008F28AC">
        <w:rPr>
          <w:rFonts w:cstheme="minorHAnsi"/>
          <w:color w:val="000000" w:themeColor="text1"/>
        </w:rPr>
        <w:t xml:space="preserve"> (</w:t>
      </w:r>
      <w:r w:rsidR="00264F91" w:rsidRPr="008F28AC">
        <w:rPr>
          <w:rFonts w:cstheme="minorHAnsi"/>
          <w:color w:val="000000" w:themeColor="text1"/>
        </w:rPr>
        <w:t>40%</w:t>
      </w:r>
      <w:r w:rsidR="00210FBD" w:rsidRPr="008F28AC">
        <w:rPr>
          <w:rFonts w:cstheme="minorHAnsi"/>
          <w:color w:val="000000" w:themeColor="text1"/>
        </w:rPr>
        <w:t xml:space="preserve"> at 24 weeks)</w:t>
      </w:r>
      <w:bookmarkEnd w:id="57"/>
      <w:r w:rsidR="00291E26" w:rsidRPr="008F28AC">
        <w:rPr>
          <w:rFonts w:cstheme="minorHAnsi"/>
          <w:color w:val="000000" w:themeColor="text1"/>
        </w:rPr>
        <w:t>.</w:t>
      </w:r>
      <w:bookmarkEnd w:id="58"/>
      <w:r w:rsidR="00291E26" w:rsidRPr="008F28AC">
        <w:rPr>
          <w:rFonts w:cstheme="minorHAnsi"/>
          <w:color w:val="000000" w:themeColor="text1"/>
        </w:rPr>
        <w:t xml:space="preserve"> </w:t>
      </w:r>
    </w:p>
    <w:p w14:paraId="0C5EECA4" w14:textId="413CBB82" w:rsidR="00673E23" w:rsidRPr="00A87556" w:rsidRDefault="00673E23" w:rsidP="008B6633">
      <w:pPr>
        <w:pStyle w:val="3-BodyText"/>
        <w:spacing w:before="160" w:after="160"/>
        <w:rPr>
          <w:rFonts w:cstheme="minorHAnsi"/>
          <w:color w:val="000000" w:themeColor="text1"/>
        </w:rPr>
      </w:pPr>
      <w:bookmarkStart w:id="59" w:name="_Ref222319398"/>
      <w:r w:rsidRPr="00A87556">
        <w:rPr>
          <w:rFonts w:cstheme="minorHAnsi"/>
          <w:color w:val="000000" w:themeColor="text1"/>
        </w:rPr>
        <w:t xml:space="preserve">The model structure </w:t>
      </w:r>
      <w:r w:rsidR="00D776E5" w:rsidRPr="00A87556">
        <w:rPr>
          <w:rFonts w:cstheme="minorHAnsi"/>
          <w:color w:val="000000" w:themeColor="text1"/>
        </w:rPr>
        <w:t xml:space="preserve">did </w:t>
      </w:r>
      <w:r w:rsidRPr="00A87556">
        <w:rPr>
          <w:rFonts w:cstheme="minorHAnsi"/>
          <w:color w:val="000000" w:themeColor="text1"/>
        </w:rPr>
        <w:t xml:space="preserve">not permit patients receiving odevixibat (i.e. responsive to treatment) to develop cirrhosis, ascites, PHT or require LT. </w:t>
      </w:r>
      <w:r w:rsidR="00C35CA7" w:rsidRPr="00A87556">
        <w:rPr>
          <w:rFonts w:cstheme="minorHAnsi"/>
          <w:color w:val="000000" w:themeColor="text1"/>
        </w:rPr>
        <w:t>Th</w:t>
      </w:r>
      <w:r w:rsidR="001E3186" w:rsidRPr="00A87556">
        <w:rPr>
          <w:rFonts w:cstheme="minorHAnsi"/>
          <w:color w:val="000000" w:themeColor="text1"/>
        </w:rPr>
        <w:t>e evaluation and the ESC considered that th</w:t>
      </w:r>
      <w:r w:rsidR="00C35CA7" w:rsidRPr="00A87556">
        <w:rPr>
          <w:rFonts w:cstheme="minorHAnsi"/>
          <w:color w:val="000000" w:themeColor="text1"/>
        </w:rPr>
        <w:t>is</w:t>
      </w:r>
      <w:r w:rsidRPr="00A87556">
        <w:rPr>
          <w:rFonts w:cstheme="minorHAnsi"/>
          <w:color w:val="000000" w:themeColor="text1"/>
        </w:rPr>
        <w:t xml:space="preserve"> was </w:t>
      </w:r>
      <w:r w:rsidR="00C35CA7" w:rsidRPr="00A87556">
        <w:rPr>
          <w:rFonts w:cstheme="minorHAnsi"/>
          <w:color w:val="000000" w:themeColor="text1"/>
        </w:rPr>
        <w:t xml:space="preserve">not </w:t>
      </w:r>
      <w:r w:rsidRPr="00A87556">
        <w:rPr>
          <w:rFonts w:cstheme="minorHAnsi"/>
          <w:color w:val="000000" w:themeColor="text1"/>
        </w:rPr>
        <w:t xml:space="preserve">reasonable as </w:t>
      </w:r>
      <w:r w:rsidR="001E3186" w:rsidRPr="00A87556">
        <w:rPr>
          <w:rFonts w:cstheme="minorHAnsi"/>
          <w:color w:val="000000" w:themeColor="text1"/>
        </w:rPr>
        <w:t xml:space="preserve">it </w:t>
      </w:r>
      <w:r w:rsidR="003D3654" w:rsidRPr="00A87556">
        <w:rPr>
          <w:rFonts w:cstheme="minorHAnsi"/>
          <w:color w:val="000000" w:themeColor="text1"/>
        </w:rPr>
        <w:t xml:space="preserve">was </w:t>
      </w:r>
      <w:r w:rsidRPr="00A87556">
        <w:rPr>
          <w:rFonts w:cstheme="minorHAnsi"/>
          <w:color w:val="000000" w:themeColor="text1"/>
        </w:rPr>
        <w:t>inconsistent</w:t>
      </w:r>
      <w:r w:rsidR="00057031" w:rsidRPr="00A87556">
        <w:rPr>
          <w:rFonts w:cstheme="minorHAnsi"/>
          <w:color w:val="000000" w:themeColor="text1"/>
        </w:rPr>
        <w:t xml:space="preserve"> </w:t>
      </w:r>
      <w:r w:rsidR="005A7B8D">
        <w:rPr>
          <w:rFonts w:cstheme="minorHAnsi"/>
          <w:color w:val="000000" w:themeColor="text1"/>
        </w:rPr>
        <w:t xml:space="preserve">with </w:t>
      </w:r>
      <w:r w:rsidRPr="00A87556">
        <w:rPr>
          <w:rFonts w:cstheme="minorHAnsi"/>
          <w:color w:val="000000" w:themeColor="text1"/>
        </w:rPr>
        <w:t>ASSERT-EXT, which showed one patient discontinued odevixibat in order to undergo LT</w:t>
      </w:r>
      <w:r w:rsidR="003D3654" w:rsidRPr="00A87556">
        <w:rPr>
          <w:rFonts w:cstheme="minorHAnsi"/>
          <w:color w:val="000000" w:themeColor="text1"/>
        </w:rPr>
        <w:t>, and no patients in either arm developed cirrhosis, ascites or PHT</w:t>
      </w:r>
      <w:r w:rsidRPr="00A87556">
        <w:rPr>
          <w:rFonts w:cstheme="minorHAnsi"/>
          <w:color w:val="000000" w:themeColor="text1"/>
        </w:rPr>
        <w:t>.</w:t>
      </w:r>
      <w:r w:rsidR="00921F45" w:rsidRPr="00A87556">
        <w:rPr>
          <w:rFonts w:cstheme="minorHAnsi"/>
          <w:color w:val="000000" w:themeColor="text1"/>
        </w:rPr>
        <w:t xml:space="preserve"> As patients receiving odevixibat </w:t>
      </w:r>
      <w:r w:rsidR="003D3654" w:rsidRPr="00A87556">
        <w:rPr>
          <w:rFonts w:cstheme="minorHAnsi"/>
          <w:color w:val="000000" w:themeColor="text1"/>
        </w:rPr>
        <w:t xml:space="preserve">were assumed in the model to </w:t>
      </w:r>
      <w:r w:rsidR="00B56190" w:rsidRPr="00A87556">
        <w:rPr>
          <w:rFonts w:cstheme="minorHAnsi"/>
          <w:color w:val="000000" w:themeColor="text1"/>
        </w:rPr>
        <w:t>not</w:t>
      </w:r>
      <w:r w:rsidR="003D3654" w:rsidRPr="00A87556">
        <w:rPr>
          <w:rFonts w:cstheme="minorHAnsi"/>
          <w:color w:val="000000" w:themeColor="text1"/>
        </w:rPr>
        <w:t xml:space="preserve"> be</w:t>
      </w:r>
      <w:r w:rsidR="00B56190" w:rsidRPr="00A87556">
        <w:rPr>
          <w:rFonts w:cstheme="minorHAnsi"/>
          <w:color w:val="000000" w:themeColor="text1"/>
        </w:rPr>
        <w:t xml:space="preserve"> at risk of</w:t>
      </w:r>
      <w:r w:rsidR="00921F45" w:rsidRPr="00A87556">
        <w:rPr>
          <w:rFonts w:cstheme="minorHAnsi"/>
          <w:color w:val="000000" w:themeColor="text1"/>
        </w:rPr>
        <w:t xml:space="preserve"> disease progression, </w:t>
      </w:r>
      <w:r w:rsidR="00B56190" w:rsidRPr="00A87556">
        <w:rPr>
          <w:rFonts w:cstheme="minorHAnsi"/>
          <w:color w:val="000000" w:themeColor="text1"/>
        </w:rPr>
        <w:t>a reduction</w:t>
      </w:r>
      <w:r w:rsidR="00921F45" w:rsidRPr="00A87556">
        <w:rPr>
          <w:rFonts w:cstheme="minorHAnsi"/>
          <w:color w:val="000000" w:themeColor="text1"/>
        </w:rPr>
        <w:t xml:space="preserve"> in LT and </w:t>
      </w:r>
      <w:r w:rsidR="00B56190" w:rsidRPr="00A87556">
        <w:rPr>
          <w:rFonts w:cstheme="minorHAnsi"/>
          <w:color w:val="000000" w:themeColor="text1"/>
        </w:rPr>
        <w:t>overall survival</w:t>
      </w:r>
      <w:r w:rsidR="00921F45" w:rsidRPr="00A87556">
        <w:rPr>
          <w:rFonts w:cstheme="minorHAnsi"/>
          <w:color w:val="000000" w:themeColor="text1"/>
        </w:rPr>
        <w:t xml:space="preserve"> benefit from odevixibat treatment </w:t>
      </w:r>
      <w:r w:rsidR="00EE6893" w:rsidRPr="00A87556">
        <w:rPr>
          <w:rFonts w:cstheme="minorHAnsi"/>
          <w:color w:val="000000" w:themeColor="text1"/>
        </w:rPr>
        <w:t>wa</w:t>
      </w:r>
      <w:r w:rsidR="00B56190" w:rsidRPr="00A87556">
        <w:rPr>
          <w:rFonts w:cstheme="minorHAnsi"/>
          <w:color w:val="000000" w:themeColor="text1"/>
        </w:rPr>
        <w:t>s</w:t>
      </w:r>
      <w:r w:rsidR="00921F45" w:rsidRPr="00A87556">
        <w:rPr>
          <w:rFonts w:cstheme="minorHAnsi"/>
          <w:color w:val="000000" w:themeColor="text1"/>
        </w:rPr>
        <w:t xml:space="preserve"> indirectly</w:t>
      </w:r>
      <w:r w:rsidR="00B56190" w:rsidRPr="00A87556">
        <w:rPr>
          <w:rFonts w:cstheme="minorHAnsi"/>
          <w:color w:val="000000" w:themeColor="text1"/>
        </w:rPr>
        <w:t xml:space="preserve"> assumed</w:t>
      </w:r>
      <w:r w:rsidR="00921F45" w:rsidRPr="00A87556">
        <w:rPr>
          <w:rFonts w:cstheme="minorHAnsi"/>
          <w:color w:val="000000" w:themeColor="text1"/>
        </w:rPr>
        <w:t xml:space="preserve">. </w:t>
      </w:r>
      <w:r w:rsidR="00F1087D" w:rsidRPr="00A87556">
        <w:rPr>
          <w:rFonts w:cstheme="minorHAnsi"/>
          <w:color w:val="000000" w:themeColor="text1"/>
        </w:rPr>
        <w:t xml:space="preserve">The PSCR argued that the treatment discontinuation rate applied in the model includes loss of response; thereby allowing patients receiving odevixibat to experience disease progression. However, this implies that patients cannot progress while still on treatment, as progression can only occur after treatment discontinuation. </w:t>
      </w:r>
      <w:r w:rsidR="00E87CE3" w:rsidRPr="00A87556">
        <w:rPr>
          <w:rFonts w:cstheme="minorHAnsi"/>
          <w:color w:val="000000" w:themeColor="text1"/>
        </w:rPr>
        <w:t xml:space="preserve">The evaluation </w:t>
      </w:r>
      <w:r w:rsidR="00057031" w:rsidRPr="00A87556">
        <w:rPr>
          <w:rFonts w:cstheme="minorHAnsi"/>
          <w:color w:val="000000" w:themeColor="text1"/>
        </w:rPr>
        <w:t xml:space="preserve">and the ESC </w:t>
      </w:r>
      <w:r w:rsidR="00E87CE3" w:rsidRPr="00A87556">
        <w:rPr>
          <w:rFonts w:cstheme="minorHAnsi"/>
          <w:color w:val="000000" w:themeColor="text1"/>
        </w:rPr>
        <w:t>considered it</w:t>
      </w:r>
      <w:r w:rsidR="00921F45" w:rsidRPr="00A87556">
        <w:rPr>
          <w:rFonts w:cstheme="minorHAnsi"/>
          <w:color w:val="000000" w:themeColor="text1"/>
        </w:rPr>
        <w:t xml:space="preserve"> </w:t>
      </w:r>
      <w:r w:rsidR="00B56190" w:rsidRPr="00A87556">
        <w:rPr>
          <w:rFonts w:cstheme="minorHAnsi"/>
          <w:color w:val="000000" w:themeColor="text1"/>
        </w:rPr>
        <w:t>was not</w:t>
      </w:r>
      <w:r w:rsidR="00921F45" w:rsidRPr="00A87556">
        <w:rPr>
          <w:rFonts w:cstheme="minorHAnsi"/>
          <w:color w:val="000000" w:themeColor="text1"/>
        </w:rPr>
        <w:t xml:space="preserve"> </w:t>
      </w:r>
      <w:r w:rsidR="00B56190" w:rsidRPr="00A87556">
        <w:rPr>
          <w:rFonts w:cstheme="minorHAnsi"/>
          <w:color w:val="000000" w:themeColor="text1"/>
        </w:rPr>
        <w:t>reasonable</w:t>
      </w:r>
      <w:r w:rsidR="00921F45" w:rsidRPr="00A87556">
        <w:rPr>
          <w:rFonts w:cstheme="minorHAnsi"/>
          <w:color w:val="000000" w:themeColor="text1"/>
        </w:rPr>
        <w:t xml:space="preserve"> for native liver survival</w:t>
      </w:r>
      <w:r w:rsidR="00EE6893" w:rsidRPr="00A87556">
        <w:rPr>
          <w:rFonts w:cstheme="minorHAnsi"/>
          <w:color w:val="000000" w:themeColor="text1"/>
        </w:rPr>
        <w:t>,</w:t>
      </w:r>
      <w:r w:rsidR="00921F45" w:rsidRPr="00A87556">
        <w:rPr>
          <w:rFonts w:cstheme="minorHAnsi"/>
          <w:color w:val="000000" w:themeColor="text1"/>
        </w:rPr>
        <w:t xml:space="preserve"> </w:t>
      </w:r>
      <w:r w:rsidR="001F3C16" w:rsidRPr="00A87556">
        <w:rPr>
          <w:rFonts w:cstheme="minorHAnsi"/>
          <w:color w:val="000000" w:themeColor="text1"/>
        </w:rPr>
        <w:t xml:space="preserve">nor </w:t>
      </w:r>
      <w:r w:rsidR="00EE6893" w:rsidRPr="00A87556">
        <w:rPr>
          <w:rFonts w:cstheme="minorHAnsi"/>
          <w:color w:val="000000" w:themeColor="text1"/>
        </w:rPr>
        <w:t xml:space="preserve">an </w:t>
      </w:r>
      <w:r w:rsidR="00921F45" w:rsidRPr="00A87556">
        <w:rPr>
          <w:rFonts w:cstheme="minorHAnsi"/>
          <w:color w:val="000000" w:themeColor="text1"/>
        </w:rPr>
        <w:t>overall survival benefit</w:t>
      </w:r>
      <w:r w:rsidR="009A0A00" w:rsidRPr="00A87556">
        <w:rPr>
          <w:rFonts w:cstheme="minorHAnsi"/>
          <w:color w:val="000000" w:themeColor="text1"/>
        </w:rPr>
        <w:t xml:space="preserve"> (see also paragraph </w:t>
      </w:r>
      <w:r w:rsidR="00080414" w:rsidRPr="00A87556">
        <w:rPr>
          <w:rFonts w:cstheme="minorHAnsi"/>
          <w:color w:val="000000" w:themeColor="text1"/>
        </w:rPr>
        <w:fldChar w:fldCharType="begin"/>
      </w:r>
      <w:r w:rsidR="00080414" w:rsidRPr="00A87556">
        <w:rPr>
          <w:rFonts w:cstheme="minorHAnsi"/>
          <w:color w:val="000000" w:themeColor="text1"/>
        </w:rPr>
        <w:instrText xml:space="preserve"> REF _Ref222733724 \r \h </w:instrText>
      </w:r>
      <w:r w:rsidR="00A87556" w:rsidRPr="00A87556">
        <w:rPr>
          <w:rFonts w:cstheme="minorHAnsi"/>
          <w:color w:val="000000" w:themeColor="text1"/>
        </w:rPr>
        <w:instrText xml:space="preserve"> \* MERGEFORMAT </w:instrText>
      </w:r>
      <w:r w:rsidR="00080414" w:rsidRPr="00A87556">
        <w:rPr>
          <w:rFonts w:cstheme="minorHAnsi"/>
          <w:color w:val="000000" w:themeColor="text1"/>
        </w:rPr>
      </w:r>
      <w:r w:rsidR="00080414" w:rsidRPr="00A87556">
        <w:rPr>
          <w:rFonts w:cstheme="minorHAnsi"/>
          <w:color w:val="000000" w:themeColor="text1"/>
        </w:rPr>
        <w:fldChar w:fldCharType="separate"/>
      </w:r>
      <w:r w:rsidR="0060088A" w:rsidRPr="00A87556">
        <w:rPr>
          <w:rFonts w:cstheme="minorHAnsi"/>
          <w:color w:val="000000" w:themeColor="text1"/>
        </w:rPr>
        <w:t>6.60</w:t>
      </w:r>
      <w:r w:rsidR="00080414" w:rsidRPr="00A87556">
        <w:rPr>
          <w:rFonts w:cstheme="minorHAnsi"/>
          <w:color w:val="000000" w:themeColor="text1"/>
        </w:rPr>
        <w:fldChar w:fldCharType="end"/>
      </w:r>
      <w:r w:rsidR="009A0A00" w:rsidRPr="00A87556">
        <w:rPr>
          <w:rFonts w:cstheme="minorHAnsi"/>
          <w:color w:val="000000" w:themeColor="text1"/>
        </w:rPr>
        <w:t>)</w:t>
      </w:r>
      <w:r w:rsidR="00921F45" w:rsidRPr="00A87556">
        <w:rPr>
          <w:rFonts w:cstheme="minorHAnsi"/>
          <w:color w:val="000000" w:themeColor="text1"/>
        </w:rPr>
        <w:t xml:space="preserve"> to be modelled</w:t>
      </w:r>
      <w:r w:rsidR="00EE6893" w:rsidRPr="00A87556">
        <w:rPr>
          <w:rFonts w:cstheme="minorHAnsi"/>
          <w:color w:val="000000" w:themeColor="text1"/>
        </w:rPr>
        <w:t>,</w:t>
      </w:r>
      <w:r w:rsidR="00B56190" w:rsidRPr="00A87556">
        <w:rPr>
          <w:rFonts w:cstheme="minorHAnsi"/>
          <w:color w:val="000000" w:themeColor="text1"/>
        </w:rPr>
        <w:t xml:space="preserve"> as</w:t>
      </w:r>
      <w:r w:rsidR="00921F45" w:rsidRPr="00A87556">
        <w:rPr>
          <w:rFonts w:cstheme="minorHAnsi"/>
          <w:color w:val="000000" w:themeColor="text1"/>
        </w:rPr>
        <w:t xml:space="preserve"> </w:t>
      </w:r>
      <w:r w:rsidR="00B56190" w:rsidRPr="00A87556">
        <w:rPr>
          <w:rFonts w:cstheme="minorHAnsi"/>
          <w:color w:val="000000" w:themeColor="text1"/>
        </w:rPr>
        <w:t xml:space="preserve">this was </w:t>
      </w:r>
      <w:r w:rsidR="00921F45" w:rsidRPr="00A87556">
        <w:rPr>
          <w:rFonts w:cstheme="minorHAnsi"/>
          <w:color w:val="000000" w:themeColor="text1"/>
        </w:rPr>
        <w:t xml:space="preserve">not </w:t>
      </w:r>
      <w:r w:rsidR="00B56190" w:rsidRPr="00A87556">
        <w:rPr>
          <w:rFonts w:cstheme="minorHAnsi"/>
          <w:color w:val="000000" w:themeColor="text1"/>
        </w:rPr>
        <w:t>supported by the presented clinical evidence</w:t>
      </w:r>
      <w:r w:rsidR="00BE3555" w:rsidRPr="00A87556">
        <w:rPr>
          <w:rFonts w:cstheme="minorHAnsi"/>
          <w:color w:val="000000" w:themeColor="text1"/>
        </w:rPr>
        <w:t xml:space="preserve"> and likely results in an </w:t>
      </w:r>
      <w:r w:rsidR="00F3443F" w:rsidRPr="00A87556">
        <w:rPr>
          <w:rFonts w:cstheme="minorHAnsi"/>
          <w:color w:val="000000" w:themeColor="text1"/>
        </w:rPr>
        <w:t>overestimation of the incremental benefits of odevixibat</w:t>
      </w:r>
      <w:r w:rsidR="00B56190" w:rsidRPr="00A87556">
        <w:rPr>
          <w:rFonts w:cstheme="minorHAnsi"/>
          <w:color w:val="000000" w:themeColor="text1"/>
        </w:rPr>
        <w:t>.</w:t>
      </w:r>
      <w:bookmarkEnd w:id="59"/>
      <w:r w:rsidR="006A3787" w:rsidRPr="00A87556">
        <w:rPr>
          <w:rFonts w:cstheme="minorHAnsi"/>
          <w:color w:val="000000" w:themeColor="text1"/>
        </w:rPr>
        <w:t xml:space="preserve"> </w:t>
      </w:r>
    </w:p>
    <w:p w14:paraId="044A6567" w14:textId="52957C0A" w:rsidR="00673E23" w:rsidRPr="00860362" w:rsidRDefault="00673E23" w:rsidP="008B6633">
      <w:pPr>
        <w:pStyle w:val="3-BodyText"/>
        <w:spacing w:before="160" w:after="160"/>
        <w:rPr>
          <w:rFonts w:cstheme="minorHAnsi"/>
          <w:color w:val="000000" w:themeColor="text1"/>
        </w:rPr>
      </w:pPr>
      <w:bookmarkStart w:id="60" w:name="_Ref222319029"/>
      <w:r w:rsidRPr="00860362">
        <w:rPr>
          <w:rFonts w:cstheme="minorHAnsi"/>
        </w:rPr>
        <w:t>The baseline patient age was six months. The submission claimed that a starting age of six months was clinically reasonable as chronic cholestasis typically manifests within the first three months of life, often with jaundice and/or cardiac symptoms. The</w:t>
      </w:r>
      <w:r w:rsidR="00332614" w:rsidRPr="00860362">
        <w:rPr>
          <w:rFonts w:cstheme="minorHAnsi"/>
        </w:rPr>
        <w:t xml:space="preserve"> evaluation</w:t>
      </w:r>
      <w:r w:rsidR="003D56B7" w:rsidRPr="00860362">
        <w:rPr>
          <w:rFonts w:cstheme="minorHAnsi"/>
        </w:rPr>
        <w:t xml:space="preserve"> and the ESC</w:t>
      </w:r>
      <w:r w:rsidR="00332614" w:rsidRPr="00860362">
        <w:rPr>
          <w:rFonts w:cstheme="minorHAnsi"/>
        </w:rPr>
        <w:t xml:space="preserve"> considered that the</w:t>
      </w:r>
      <w:r w:rsidRPr="00860362">
        <w:rPr>
          <w:rFonts w:cstheme="minorHAnsi"/>
        </w:rPr>
        <w:t xml:space="preserve"> baseline age of six months may not be</w:t>
      </w:r>
      <w:r w:rsidR="008B6633">
        <w:rPr>
          <w:rFonts w:cstheme="minorHAnsi"/>
        </w:rPr>
        <w:t xml:space="preserve"> </w:t>
      </w:r>
      <w:r w:rsidRPr="00860362">
        <w:rPr>
          <w:rFonts w:cstheme="minorHAnsi"/>
        </w:rPr>
        <w:t>reasonable</w:t>
      </w:r>
      <w:r w:rsidR="002D5F86" w:rsidRPr="00860362">
        <w:rPr>
          <w:rFonts w:cstheme="minorHAnsi"/>
        </w:rPr>
        <w:t>,</w:t>
      </w:r>
      <w:r w:rsidRPr="00860362">
        <w:rPr>
          <w:rFonts w:cstheme="minorHAnsi"/>
        </w:rPr>
        <w:t xml:space="preserve"> as this was younger than the ASSERT trial cohort (mean </w:t>
      </w:r>
      <w:r w:rsidRPr="00860362">
        <w:rPr>
          <w:rFonts w:cstheme="minorHAnsi"/>
          <w:szCs w:val="20"/>
        </w:rPr>
        <w:t xml:space="preserve">6.29 years, </w:t>
      </w:r>
      <w:r w:rsidRPr="00860362">
        <w:rPr>
          <w:rFonts w:cstheme="minorHAnsi"/>
        </w:rPr>
        <w:t xml:space="preserve">median 5.45 years) </w:t>
      </w:r>
      <w:r w:rsidR="005A7B8D">
        <w:rPr>
          <w:rFonts w:cstheme="minorHAnsi"/>
        </w:rPr>
        <w:t>and</w:t>
      </w:r>
      <w:r w:rsidR="005A7B8D" w:rsidRPr="00860362">
        <w:rPr>
          <w:rFonts w:cstheme="minorHAnsi"/>
        </w:rPr>
        <w:t xml:space="preserve"> </w:t>
      </w:r>
      <w:r w:rsidRPr="00860362">
        <w:rPr>
          <w:rFonts w:cstheme="minorHAnsi"/>
        </w:rPr>
        <w:t xml:space="preserve">the Australian early access program (mean 4.4 years, median 2.8 years). In addition, in the GALA study (N=1433) the median age of diagnosis was 4.1 years (IQR 1.5 – 8.3) (Vandriel 2022). </w:t>
      </w:r>
      <w:r w:rsidR="00332614" w:rsidRPr="00860362">
        <w:rPr>
          <w:rFonts w:cstheme="minorHAnsi"/>
        </w:rPr>
        <w:t xml:space="preserve">The evaluation </w:t>
      </w:r>
      <w:r w:rsidR="00526A7B" w:rsidRPr="00860362">
        <w:rPr>
          <w:rFonts w:cstheme="minorHAnsi"/>
        </w:rPr>
        <w:t xml:space="preserve">and the ESC </w:t>
      </w:r>
      <w:r w:rsidR="00332614" w:rsidRPr="00860362">
        <w:rPr>
          <w:rFonts w:cstheme="minorHAnsi"/>
        </w:rPr>
        <w:t>considered that u</w:t>
      </w:r>
      <w:r w:rsidRPr="00860362">
        <w:rPr>
          <w:rFonts w:cstheme="minorHAnsi"/>
        </w:rPr>
        <w:t xml:space="preserve">se of a </w:t>
      </w:r>
      <w:r w:rsidR="006B2BEE" w:rsidRPr="00860362">
        <w:rPr>
          <w:rFonts w:cstheme="minorHAnsi"/>
        </w:rPr>
        <w:t>baseline age of</w:t>
      </w:r>
      <w:r w:rsidR="008B6633">
        <w:rPr>
          <w:rFonts w:cstheme="minorHAnsi"/>
        </w:rPr>
        <w:t xml:space="preserve"> </w:t>
      </w:r>
      <w:r w:rsidR="00362007" w:rsidRPr="00860362">
        <w:rPr>
          <w:rFonts w:cstheme="minorHAnsi"/>
        </w:rPr>
        <w:t xml:space="preserve">6 months </w:t>
      </w:r>
      <w:r w:rsidRPr="00860362">
        <w:rPr>
          <w:rFonts w:cstheme="minorHAnsi"/>
        </w:rPr>
        <w:t>may underestimate odevixibat acquisition costs</w:t>
      </w:r>
      <w:r w:rsidR="0018206A" w:rsidRPr="00860362">
        <w:rPr>
          <w:rFonts w:cstheme="minorHAnsi"/>
        </w:rPr>
        <w:t xml:space="preserve"> </w:t>
      </w:r>
      <w:r w:rsidR="00040453" w:rsidRPr="00860362">
        <w:rPr>
          <w:rFonts w:cstheme="minorHAnsi"/>
        </w:rPr>
        <w:t>as it assumed</w:t>
      </w:r>
      <w:r w:rsidR="00362007" w:rsidRPr="00860362">
        <w:rPr>
          <w:rFonts w:cstheme="minorHAnsi"/>
        </w:rPr>
        <w:t xml:space="preserve"> that patients commenced odevixibat on the lowest possible dosage </w:t>
      </w:r>
      <w:r w:rsidR="00040453" w:rsidRPr="00860362">
        <w:rPr>
          <w:rFonts w:cstheme="minorHAnsi"/>
        </w:rPr>
        <w:t>(</w:t>
      </w:r>
      <w:r w:rsidR="0018206A" w:rsidRPr="00860362">
        <w:rPr>
          <w:rFonts w:cstheme="minorHAnsi"/>
        </w:rPr>
        <w:t>due to weight-based dosing</w:t>
      </w:r>
      <w:r w:rsidR="00040453" w:rsidRPr="00860362">
        <w:rPr>
          <w:rFonts w:cstheme="minorHAnsi"/>
        </w:rPr>
        <w:t>)</w:t>
      </w:r>
      <w:r w:rsidRPr="00860362">
        <w:rPr>
          <w:rFonts w:cstheme="minorHAnsi"/>
        </w:rPr>
        <w:t xml:space="preserve">, particularly as </w:t>
      </w:r>
      <w:r w:rsidR="00CF1D59" w:rsidRPr="00860362">
        <w:rPr>
          <w:rFonts w:cstheme="minorHAnsi"/>
        </w:rPr>
        <w:t>a</w:t>
      </w:r>
      <w:r w:rsidRPr="00860362">
        <w:rPr>
          <w:rFonts w:cstheme="minorHAnsi"/>
        </w:rPr>
        <w:t xml:space="preserve"> discontinuation rate </w:t>
      </w:r>
      <w:r w:rsidR="00CF1D59" w:rsidRPr="00860362">
        <w:rPr>
          <w:rFonts w:cstheme="minorHAnsi"/>
        </w:rPr>
        <w:t>derived from</w:t>
      </w:r>
      <w:r w:rsidRPr="00860362">
        <w:rPr>
          <w:rFonts w:cstheme="minorHAnsi"/>
        </w:rPr>
        <w:t xml:space="preserve"> ASSERT-EXT (which had a mean baseline age of 6.6 years) was applied to patients commencing treatment at six months.</w:t>
      </w:r>
      <w:bookmarkEnd w:id="60"/>
      <w:r w:rsidR="009D4BC3">
        <w:rPr>
          <w:rFonts w:cstheme="minorHAnsi"/>
        </w:rPr>
        <w:t xml:space="preserve"> The PBAC considered </w:t>
      </w:r>
      <w:r w:rsidR="00401333">
        <w:rPr>
          <w:rFonts w:cstheme="minorHAnsi"/>
        </w:rPr>
        <w:t xml:space="preserve">a </w:t>
      </w:r>
      <w:r w:rsidR="00C17C9F">
        <w:rPr>
          <w:rFonts w:cstheme="minorHAnsi"/>
        </w:rPr>
        <w:t xml:space="preserve">starting </w:t>
      </w:r>
      <w:r w:rsidR="00401333">
        <w:rPr>
          <w:rFonts w:cstheme="minorHAnsi"/>
        </w:rPr>
        <w:t>age of 6 months in the model was not reasonable</w:t>
      </w:r>
      <w:r w:rsidR="00C17C9F">
        <w:rPr>
          <w:rFonts w:cstheme="minorHAnsi"/>
        </w:rPr>
        <w:t xml:space="preserve"> and would underestimate odevixibat acquisition costs.</w:t>
      </w:r>
      <w:r w:rsidR="008B6633">
        <w:rPr>
          <w:rFonts w:cstheme="minorHAnsi"/>
        </w:rPr>
        <w:t xml:space="preserve"> </w:t>
      </w:r>
    </w:p>
    <w:p w14:paraId="69571FF4" w14:textId="0219F394" w:rsidR="0018206A" w:rsidRPr="0059385D" w:rsidRDefault="0018206A" w:rsidP="008B6633">
      <w:pPr>
        <w:pStyle w:val="3-BodyText"/>
        <w:spacing w:before="160" w:after="160"/>
        <w:rPr>
          <w:rFonts w:cstheme="minorHAnsi"/>
          <w:color w:val="000000" w:themeColor="text1"/>
        </w:rPr>
      </w:pPr>
      <w:bookmarkStart w:id="61" w:name="_Ref222319000"/>
      <w:r w:rsidRPr="0059385D">
        <w:rPr>
          <w:rFonts w:cstheme="minorHAnsi"/>
          <w:color w:val="000000" w:themeColor="text1"/>
        </w:rPr>
        <w:t xml:space="preserve">Patients who discontinue odevixibat treatment </w:t>
      </w:r>
      <w:r w:rsidR="00F202CE" w:rsidRPr="0059385D">
        <w:rPr>
          <w:rFonts w:cstheme="minorHAnsi"/>
          <w:color w:val="000000" w:themeColor="text1"/>
        </w:rPr>
        <w:t xml:space="preserve">were </w:t>
      </w:r>
      <w:r w:rsidRPr="0059385D">
        <w:rPr>
          <w:rFonts w:cstheme="minorHAnsi"/>
          <w:color w:val="000000" w:themeColor="text1"/>
        </w:rPr>
        <w:t xml:space="preserve">assumed to lose response, transitioning from the responder to non-responder state. The base case modelled </w:t>
      </w:r>
      <w:r w:rsidRPr="0059385D">
        <w:rPr>
          <w:rFonts w:cstheme="minorHAnsi"/>
          <w:color w:val="000000" w:themeColor="text1"/>
        </w:rPr>
        <w:lastRenderedPageBreak/>
        <w:t>median and mean time on treatment (ToT) was 7.59 years and 12.63 years, respectively. The longer mean ToT was due to a long tail of odevixibat responders. For example, at the end of the 50</w:t>
      </w:r>
      <w:r w:rsidR="00301C5B" w:rsidRPr="0059385D">
        <w:rPr>
          <w:rFonts w:cstheme="minorHAnsi"/>
          <w:color w:val="000000" w:themeColor="text1"/>
        </w:rPr>
        <w:t>-</w:t>
      </w:r>
      <w:r w:rsidRPr="0059385D">
        <w:rPr>
          <w:rFonts w:cstheme="minorHAnsi"/>
          <w:color w:val="000000" w:themeColor="text1"/>
        </w:rPr>
        <w:t>year time horizon</w:t>
      </w:r>
      <w:r w:rsidR="00301C5B" w:rsidRPr="0059385D">
        <w:rPr>
          <w:rFonts w:cstheme="minorHAnsi"/>
          <w:color w:val="000000" w:themeColor="text1"/>
        </w:rPr>
        <w:t>,</w:t>
      </w:r>
      <w:r w:rsidRPr="0059385D">
        <w:rPr>
          <w:rFonts w:cstheme="minorHAnsi"/>
          <w:color w:val="000000" w:themeColor="text1"/>
        </w:rPr>
        <w:t xml:space="preserve"> 4% of odevixibat patients remain</w:t>
      </w:r>
      <w:r w:rsidR="00D776E5" w:rsidRPr="0059385D">
        <w:rPr>
          <w:rFonts w:cstheme="minorHAnsi"/>
          <w:color w:val="000000" w:themeColor="text1"/>
        </w:rPr>
        <w:t>ed</w:t>
      </w:r>
      <w:r w:rsidRPr="0059385D">
        <w:rPr>
          <w:rFonts w:cstheme="minorHAnsi"/>
          <w:color w:val="000000" w:themeColor="text1"/>
        </w:rPr>
        <w:t xml:space="preserve"> on treatment</w:t>
      </w:r>
      <w:r w:rsidR="00CF1D59" w:rsidRPr="0059385D">
        <w:rPr>
          <w:rFonts w:cstheme="minorHAnsi"/>
          <w:color w:val="000000" w:themeColor="text1"/>
        </w:rPr>
        <w:t xml:space="preserve"> in the ‘responder’ health state</w:t>
      </w:r>
      <w:r w:rsidRPr="0059385D">
        <w:rPr>
          <w:rFonts w:cstheme="minorHAnsi"/>
          <w:color w:val="000000" w:themeColor="text1"/>
        </w:rPr>
        <w:t>.</w:t>
      </w:r>
      <w:bookmarkEnd w:id="61"/>
    </w:p>
    <w:p w14:paraId="08F0BD82" w14:textId="5EEC8585" w:rsidR="0018206A" w:rsidRPr="0059385D" w:rsidRDefault="0018206A" w:rsidP="008B6633">
      <w:pPr>
        <w:pStyle w:val="3-BodyText"/>
        <w:spacing w:before="160" w:after="160"/>
        <w:rPr>
          <w:rFonts w:cstheme="minorHAnsi"/>
          <w:color w:val="000000" w:themeColor="text1"/>
        </w:rPr>
      </w:pPr>
      <w:bookmarkStart w:id="62" w:name="_Ref222319326"/>
      <w:r w:rsidRPr="0059385D">
        <w:rPr>
          <w:rFonts w:cstheme="minorHAnsi"/>
          <w:color w:val="000000" w:themeColor="text1"/>
        </w:rPr>
        <w:t xml:space="preserve">Responder and non-responder health state mortality </w:t>
      </w:r>
      <w:r w:rsidR="00CF1D59" w:rsidRPr="0059385D">
        <w:rPr>
          <w:rFonts w:cstheme="minorHAnsi"/>
          <w:color w:val="000000" w:themeColor="text1"/>
        </w:rPr>
        <w:t>was</w:t>
      </w:r>
      <w:r w:rsidRPr="0059385D">
        <w:rPr>
          <w:rFonts w:cstheme="minorHAnsi"/>
          <w:color w:val="000000" w:themeColor="text1"/>
        </w:rPr>
        <w:t xml:space="preserve"> informed in the base case </w:t>
      </w:r>
      <w:r w:rsidR="00AB09D7" w:rsidRPr="0059385D">
        <w:rPr>
          <w:rFonts w:cstheme="minorHAnsi"/>
          <w:color w:val="000000" w:themeColor="text1"/>
        </w:rPr>
        <w:t>via log-logistic parametric</w:t>
      </w:r>
      <w:r w:rsidRPr="0059385D">
        <w:rPr>
          <w:rFonts w:cstheme="minorHAnsi"/>
          <w:color w:val="000000" w:themeColor="text1"/>
        </w:rPr>
        <w:t xml:space="preserve"> extrapolati</w:t>
      </w:r>
      <w:r w:rsidR="00AB09D7" w:rsidRPr="0059385D">
        <w:rPr>
          <w:rFonts w:cstheme="minorHAnsi"/>
          <w:color w:val="000000" w:themeColor="text1"/>
        </w:rPr>
        <w:t>on of</w:t>
      </w:r>
      <w:r w:rsidRPr="0059385D">
        <w:rPr>
          <w:rFonts w:cstheme="minorHAnsi"/>
          <w:color w:val="000000" w:themeColor="text1"/>
        </w:rPr>
        <w:t xml:space="preserve"> digitised Kaplan-Meier </w:t>
      </w:r>
      <w:r w:rsidR="00CF1D59" w:rsidRPr="0059385D">
        <w:rPr>
          <w:rFonts w:cstheme="minorHAnsi"/>
          <w:color w:val="000000" w:themeColor="text1"/>
        </w:rPr>
        <w:t xml:space="preserve">data </w:t>
      </w:r>
      <w:r w:rsidRPr="0059385D">
        <w:rPr>
          <w:rFonts w:cstheme="minorHAnsi"/>
          <w:color w:val="000000" w:themeColor="text1"/>
        </w:rPr>
        <w:t>from the GALA study (Vandriel 2022, Hansen 2021).</w:t>
      </w:r>
      <w:r w:rsidR="00AB09D7" w:rsidRPr="0059385D">
        <w:rPr>
          <w:rFonts w:cstheme="minorHAnsi"/>
          <w:color w:val="000000" w:themeColor="text1"/>
        </w:rPr>
        <w:t xml:space="preserve"> </w:t>
      </w:r>
      <w:r w:rsidR="00457E31">
        <w:rPr>
          <w:rFonts w:cstheme="minorHAnsi"/>
          <w:color w:val="000000" w:themeColor="text1"/>
        </w:rPr>
        <w:t>T</w:t>
      </w:r>
      <w:r w:rsidR="00AB09D7" w:rsidRPr="0059385D">
        <w:rPr>
          <w:rFonts w:cstheme="minorHAnsi"/>
          <w:color w:val="000000" w:themeColor="text1"/>
        </w:rPr>
        <w:t>he submission’s</w:t>
      </w:r>
      <w:r w:rsidR="00D66D6C" w:rsidRPr="0059385D">
        <w:rPr>
          <w:rFonts w:cstheme="minorHAnsi"/>
          <w:color w:val="000000" w:themeColor="text1"/>
        </w:rPr>
        <w:t xml:space="preserve"> base case</w:t>
      </w:r>
      <w:r w:rsidR="00AB09D7" w:rsidRPr="0059385D">
        <w:rPr>
          <w:rFonts w:cstheme="minorHAnsi"/>
          <w:color w:val="000000" w:themeColor="text1"/>
        </w:rPr>
        <w:t xml:space="preserve"> survival analysis </w:t>
      </w:r>
      <w:r w:rsidR="00D66D6C" w:rsidRPr="0059385D">
        <w:rPr>
          <w:rFonts w:cstheme="minorHAnsi"/>
          <w:color w:val="000000" w:themeColor="text1"/>
        </w:rPr>
        <w:t>showed</w:t>
      </w:r>
      <w:r w:rsidR="00AB09D7" w:rsidRPr="0059385D">
        <w:rPr>
          <w:rFonts w:cstheme="minorHAnsi"/>
          <w:color w:val="000000" w:themeColor="text1"/>
        </w:rPr>
        <w:t xml:space="preserve"> median survival for the selected log-logistic curve was not reached with 66.1% of patients alive at 100 years, which </w:t>
      </w:r>
      <w:r w:rsidR="008C4A9E">
        <w:rPr>
          <w:rFonts w:cstheme="minorHAnsi"/>
          <w:color w:val="000000" w:themeColor="text1"/>
        </w:rPr>
        <w:t xml:space="preserve">the evaluation noted </w:t>
      </w:r>
      <w:r w:rsidR="00AB09D7" w:rsidRPr="0059385D">
        <w:rPr>
          <w:rFonts w:cstheme="minorHAnsi"/>
          <w:color w:val="000000" w:themeColor="text1"/>
        </w:rPr>
        <w:t>was not plausible.</w:t>
      </w:r>
      <w:bookmarkEnd w:id="62"/>
    </w:p>
    <w:p w14:paraId="12F64DB9" w14:textId="0A22CA11" w:rsidR="00536437" w:rsidRPr="0059705E" w:rsidRDefault="00536437" w:rsidP="008B6633">
      <w:pPr>
        <w:pStyle w:val="3-BodyText"/>
        <w:spacing w:before="160" w:after="160"/>
        <w:rPr>
          <w:rFonts w:cstheme="minorHAnsi"/>
          <w:color w:val="000000" w:themeColor="text1"/>
        </w:rPr>
      </w:pPr>
      <w:bookmarkStart w:id="63" w:name="_Ref222319188"/>
      <w:r w:rsidRPr="0059705E">
        <w:rPr>
          <w:rFonts w:cstheme="minorHAnsi"/>
          <w:color w:val="000000" w:themeColor="text1"/>
        </w:rPr>
        <w:t>The base case model assumed patients post LT would have a higher risk of mortality compared with patients in the responder health state (receiving odevixibat). The 0.92% per 12-week cycle risk of death was based on an 80% five</w:t>
      </w:r>
      <w:r w:rsidR="000436FD" w:rsidRPr="0059705E">
        <w:rPr>
          <w:rFonts w:cstheme="minorHAnsi"/>
          <w:color w:val="000000" w:themeColor="text1"/>
        </w:rPr>
        <w:t>-</w:t>
      </w:r>
      <w:r w:rsidRPr="0059705E">
        <w:rPr>
          <w:rFonts w:cstheme="minorHAnsi"/>
          <w:color w:val="000000" w:themeColor="text1"/>
        </w:rPr>
        <w:t>year survival reported in Hou 2021, which was a meta-analysis (n=22 studies) of LT in infants (</w:t>
      </w:r>
      <w:r w:rsidR="00D776E5" w:rsidRPr="0059705E">
        <w:rPr>
          <w:rFonts w:cstheme="minorHAnsi"/>
          <w:color w:val="000000" w:themeColor="text1"/>
        </w:rPr>
        <w:t xml:space="preserve">aged </w:t>
      </w:r>
      <w:r w:rsidRPr="0059705E">
        <w:rPr>
          <w:rFonts w:cstheme="minorHAnsi"/>
          <w:color w:val="000000" w:themeColor="text1"/>
        </w:rPr>
        <w:t xml:space="preserve">&lt;12 months). </w:t>
      </w:r>
      <w:r w:rsidR="002674D8" w:rsidRPr="0059705E">
        <w:rPr>
          <w:rFonts w:cstheme="minorHAnsi"/>
          <w:color w:val="000000" w:themeColor="text1"/>
        </w:rPr>
        <w:t xml:space="preserve">The reasons for transplant were ‘biliary atresia/cholestatic disease’ and ‘acute hepatic failure/metabolic disorder’. </w:t>
      </w:r>
      <w:r w:rsidRPr="0059705E">
        <w:rPr>
          <w:rFonts w:cstheme="minorHAnsi"/>
          <w:color w:val="000000" w:themeColor="text1"/>
        </w:rPr>
        <w:t xml:space="preserve">The study did not report the number of patients represented by the pooled data, though noted that most of the included studies had limited sample size. </w:t>
      </w:r>
      <w:r w:rsidR="002E1FD5" w:rsidRPr="0059705E">
        <w:rPr>
          <w:rFonts w:cstheme="minorHAnsi"/>
          <w:color w:val="000000" w:themeColor="text1"/>
        </w:rPr>
        <w:t xml:space="preserve">The evaluation </w:t>
      </w:r>
      <w:r w:rsidR="00E43490" w:rsidRPr="0059705E">
        <w:rPr>
          <w:rFonts w:cstheme="minorHAnsi"/>
          <w:color w:val="000000" w:themeColor="text1"/>
        </w:rPr>
        <w:t>considered</w:t>
      </w:r>
      <w:r w:rsidR="002E1FD5" w:rsidRPr="0059705E">
        <w:rPr>
          <w:rFonts w:cstheme="minorHAnsi"/>
          <w:color w:val="000000" w:themeColor="text1"/>
        </w:rPr>
        <w:t xml:space="preserve"> it </w:t>
      </w:r>
      <w:r w:rsidR="00E43490" w:rsidRPr="0059705E">
        <w:rPr>
          <w:rFonts w:cstheme="minorHAnsi"/>
          <w:color w:val="000000" w:themeColor="text1"/>
        </w:rPr>
        <w:t>unclear</w:t>
      </w:r>
      <w:r w:rsidRPr="0059705E">
        <w:rPr>
          <w:rFonts w:cstheme="minorHAnsi"/>
          <w:color w:val="000000" w:themeColor="text1"/>
        </w:rPr>
        <w:t xml:space="preserve"> whether the survival rate of infants that were indicated for LT would be applicable to the ALGS PBS population, as these patients may likely reflect more severe disease to have been indicated for LT at infancy.</w:t>
      </w:r>
      <w:r w:rsidR="002674D8" w:rsidRPr="0059705E">
        <w:rPr>
          <w:rFonts w:cstheme="minorHAnsi"/>
          <w:color w:val="000000" w:themeColor="text1"/>
        </w:rPr>
        <w:t xml:space="preserve"> The GALA study (Vandriel 2022) and ANZLITR both report a five</w:t>
      </w:r>
      <w:r w:rsidR="0003595B" w:rsidRPr="0059705E">
        <w:rPr>
          <w:rFonts w:cstheme="minorHAnsi"/>
          <w:color w:val="000000" w:themeColor="text1"/>
        </w:rPr>
        <w:t>-</w:t>
      </w:r>
      <w:r w:rsidR="002674D8" w:rsidRPr="0059705E">
        <w:rPr>
          <w:rFonts w:cstheme="minorHAnsi"/>
          <w:color w:val="000000" w:themeColor="text1"/>
        </w:rPr>
        <w:t>year survival post LT of 91%, versus 80% applied in the base case</w:t>
      </w:r>
      <w:r w:rsidR="005A7B8D">
        <w:rPr>
          <w:rFonts w:cstheme="minorHAnsi"/>
          <w:color w:val="000000" w:themeColor="text1"/>
        </w:rPr>
        <w:t>. T</w:t>
      </w:r>
      <w:r w:rsidR="0033429F" w:rsidRPr="0059705E">
        <w:rPr>
          <w:rFonts w:cstheme="minorHAnsi"/>
          <w:color w:val="000000" w:themeColor="text1"/>
        </w:rPr>
        <w:t xml:space="preserve">he evaluation </w:t>
      </w:r>
      <w:r w:rsidR="002674D8" w:rsidRPr="0059705E">
        <w:rPr>
          <w:rFonts w:cstheme="minorHAnsi"/>
          <w:color w:val="000000" w:themeColor="text1"/>
        </w:rPr>
        <w:t>also noted that NICE considered</w:t>
      </w:r>
      <w:r w:rsidR="005A7B8D">
        <w:rPr>
          <w:rFonts w:cstheme="minorHAnsi"/>
          <w:color w:val="000000" w:themeColor="text1"/>
        </w:rPr>
        <w:t xml:space="preserve"> that,</w:t>
      </w:r>
      <w:r w:rsidR="002674D8" w:rsidRPr="0059705E">
        <w:rPr>
          <w:rFonts w:cstheme="minorHAnsi"/>
          <w:color w:val="000000" w:themeColor="text1"/>
        </w:rPr>
        <w:t xml:space="preserve"> based on clinical expert advice</w:t>
      </w:r>
      <w:r w:rsidR="005A7B8D">
        <w:rPr>
          <w:rFonts w:cstheme="minorHAnsi"/>
          <w:color w:val="000000" w:themeColor="text1"/>
        </w:rPr>
        <w:t>,</w:t>
      </w:r>
      <w:r w:rsidR="002674D8" w:rsidRPr="0059705E">
        <w:rPr>
          <w:rFonts w:cstheme="minorHAnsi"/>
          <w:color w:val="000000" w:themeColor="text1"/>
        </w:rPr>
        <w:t xml:space="preserve"> certain patients may achieve near-normal life expectancies post LT. </w:t>
      </w:r>
      <w:r w:rsidR="002674D8" w:rsidRPr="00365C9B">
        <w:rPr>
          <w:rFonts w:cstheme="minorHAnsi"/>
          <w:color w:val="000000" w:themeColor="text1"/>
        </w:rPr>
        <w:t xml:space="preserve">As such, </w:t>
      </w:r>
      <w:r w:rsidR="00744900" w:rsidRPr="00365C9B">
        <w:rPr>
          <w:rFonts w:cstheme="minorHAnsi"/>
          <w:color w:val="000000" w:themeColor="text1"/>
        </w:rPr>
        <w:t xml:space="preserve">the </w:t>
      </w:r>
      <w:r w:rsidR="00A13AA8" w:rsidRPr="00365C9B">
        <w:rPr>
          <w:rFonts w:cstheme="minorHAnsi"/>
          <w:color w:val="000000" w:themeColor="text1"/>
        </w:rPr>
        <w:t xml:space="preserve">ESC </w:t>
      </w:r>
      <w:r w:rsidR="00744900" w:rsidRPr="00365C9B">
        <w:rPr>
          <w:rFonts w:cstheme="minorHAnsi"/>
          <w:color w:val="000000" w:themeColor="text1"/>
        </w:rPr>
        <w:t xml:space="preserve">considered </w:t>
      </w:r>
      <w:r w:rsidR="002674D8" w:rsidRPr="00365C9B">
        <w:rPr>
          <w:rFonts w:cstheme="minorHAnsi"/>
          <w:color w:val="000000" w:themeColor="text1"/>
        </w:rPr>
        <w:t xml:space="preserve">it </w:t>
      </w:r>
      <w:r w:rsidR="00D66D6C" w:rsidRPr="00365C9B">
        <w:rPr>
          <w:rFonts w:cstheme="minorHAnsi"/>
          <w:color w:val="000000" w:themeColor="text1"/>
        </w:rPr>
        <w:t>was</w:t>
      </w:r>
      <w:r w:rsidR="00A13AA8" w:rsidRPr="00365C9B">
        <w:rPr>
          <w:rFonts w:cstheme="minorHAnsi"/>
          <w:color w:val="000000" w:themeColor="text1"/>
        </w:rPr>
        <w:t xml:space="preserve"> not</w:t>
      </w:r>
      <w:r w:rsidR="00D66D6C" w:rsidRPr="00365C9B">
        <w:rPr>
          <w:rFonts w:cstheme="minorHAnsi"/>
          <w:color w:val="000000" w:themeColor="text1"/>
        </w:rPr>
        <w:t xml:space="preserve"> reasonable</w:t>
      </w:r>
      <w:r w:rsidR="00D66D6C" w:rsidRPr="0059705E">
        <w:rPr>
          <w:rFonts w:cstheme="minorHAnsi"/>
          <w:color w:val="000000" w:themeColor="text1"/>
        </w:rPr>
        <w:t xml:space="preserve"> </w:t>
      </w:r>
      <w:r w:rsidR="002674D8" w:rsidRPr="0059705E">
        <w:rPr>
          <w:rFonts w:cstheme="minorHAnsi"/>
          <w:color w:val="000000" w:themeColor="text1"/>
        </w:rPr>
        <w:t>for the post-LT health state to have lower survival rates than the responder/non-responder health states.</w:t>
      </w:r>
      <w:bookmarkEnd w:id="63"/>
    </w:p>
    <w:p w14:paraId="7FC3030F" w14:textId="7E489D5D" w:rsidR="002674D8" w:rsidRPr="0056137F" w:rsidRDefault="002674D8" w:rsidP="008B6633">
      <w:pPr>
        <w:pStyle w:val="3-BodyText"/>
        <w:spacing w:before="160" w:after="160"/>
        <w:rPr>
          <w:rFonts w:cstheme="minorHAnsi"/>
          <w:color w:val="000000" w:themeColor="text1"/>
        </w:rPr>
      </w:pPr>
      <w:bookmarkStart w:id="64" w:name="_Ref222319127"/>
      <w:r w:rsidRPr="0056137F">
        <w:rPr>
          <w:rFonts w:cstheme="minorHAnsi"/>
          <w:color w:val="000000" w:themeColor="text1"/>
        </w:rPr>
        <w:t>The base case additionally applied a once-off mortality risk of 25.17% for patients at the time of LT surgery, based on Emerick 1999</w:t>
      </w:r>
      <w:r w:rsidR="003B5053" w:rsidRPr="0056137F">
        <w:rPr>
          <w:rFonts w:cstheme="minorHAnsi"/>
          <w:color w:val="000000" w:themeColor="text1"/>
        </w:rPr>
        <w:t xml:space="preserve"> (</w:t>
      </w:r>
      <w:r w:rsidRPr="0056137F">
        <w:rPr>
          <w:rFonts w:cstheme="minorHAnsi"/>
          <w:color w:val="000000" w:themeColor="text1"/>
        </w:rPr>
        <w:t xml:space="preserve">US based retrospective study </w:t>
      </w:r>
      <w:r w:rsidR="003B5053" w:rsidRPr="0056137F">
        <w:rPr>
          <w:rFonts w:cstheme="minorHAnsi"/>
          <w:color w:val="000000" w:themeColor="text1"/>
        </w:rPr>
        <w:t xml:space="preserve">from 1974 to 1997 </w:t>
      </w:r>
      <w:r w:rsidRPr="0056137F">
        <w:rPr>
          <w:rFonts w:cstheme="minorHAnsi"/>
          <w:color w:val="000000" w:themeColor="text1"/>
        </w:rPr>
        <w:t>of 92 patients with ALGS</w:t>
      </w:r>
      <w:r w:rsidR="003B5053" w:rsidRPr="0056137F">
        <w:rPr>
          <w:rFonts w:cstheme="minorHAnsi"/>
          <w:color w:val="000000" w:themeColor="text1"/>
        </w:rPr>
        <w:t>)</w:t>
      </w:r>
      <w:r w:rsidRPr="0056137F">
        <w:rPr>
          <w:rFonts w:cstheme="minorHAnsi"/>
          <w:color w:val="000000" w:themeColor="text1"/>
        </w:rPr>
        <w:t>. LT was required in 19</w:t>
      </w:r>
      <w:r w:rsidR="00C15993" w:rsidRPr="0056137F">
        <w:rPr>
          <w:rFonts w:cstheme="minorHAnsi"/>
          <w:color w:val="000000" w:themeColor="text1"/>
        </w:rPr>
        <w:t>/</w:t>
      </w:r>
      <w:r w:rsidRPr="0056137F">
        <w:rPr>
          <w:rFonts w:cstheme="minorHAnsi"/>
          <w:color w:val="000000" w:themeColor="text1"/>
        </w:rPr>
        <w:t>92 patients, with four deaths recorded after LT at a mean age of 71 months.</w:t>
      </w:r>
      <w:r w:rsidRPr="0056137F">
        <w:rPr>
          <w:rFonts w:cstheme="minorHAnsi"/>
        </w:rPr>
        <w:t xml:space="preserve"> </w:t>
      </w:r>
      <w:r w:rsidR="00622DA3" w:rsidRPr="0056137F">
        <w:rPr>
          <w:rFonts w:cstheme="minorHAnsi"/>
          <w:color w:val="000000" w:themeColor="text1"/>
        </w:rPr>
        <w:t>T</w:t>
      </w:r>
      <w:r w:rsidR="005B5EF1" w:rsidRPr="0056137F">
        <w:rPr>
          <w:rFonts w:cstheme="minorHAnsi"/>
          <w:color w:val="000000" w:themeColor="text1"/>
        </w:rPr>
        <w:t xml:space="preserve">he </w:t>
      </w:r>
      <w:r w:rsidR="00842A40">
        <w:rPr>
          <w:rFonts w:cstheme="minorHAnsi"/>
          <w:color w:val="000000" w:themeColor="text1"/>
        </w:rPr>
        <w:t>PBAC</w:t>
      </w:r>
      <w:r w:rsidR="00842A40" w:rsidRPr="0056137F">
        <w:rPr>
          <w:rFonts w:cstheme="minorHAnsi"/>
          <w:color w:val="000000" w:themeColor="text1"/>
        </w:rPr>
        <w:t xml:space="preserve"> </w:t>
      </w:r>
      <w:r w:rsidR="005B5EF1" w:rsidRPr="0056137F">
        <w:rPr>
          <w:rFonts w:cstheme="minorHAnsi"/>
          <w:color w:val="000000" w:themeColor="text1"/>
        </w:rPr>
        <w:t xml:space="preserve">considered </w:t>
      </w:r>
      <w:r w:rsidRPr="0056137F">
        <w:rPr>
          <w:rFonts w:cstheme="minorHAnsi"/>
          <w:color w:val="000000" w:themeColor="text1"/>
        </w:rPr>
        <w:t xml:space="preserve">it was highly </w:t>
      </w:r>
      <w:r w:rsidR="005A7B8D">
        <w:rPr>
          <w:rFonts w:cstheme="minorHAnsi"/>
          <w:color w:val="000000" w:themeColor="text1"/>
        </w:rPr>
        <w:t>unlikely</w:t>
      </w:r>
      <w:r w:rsidR="005A7B8D" w:rsidRPr="0056137F">
        <w:rPr>
          <w:rFonts w:cstheme="minorHAnsi"/>
          <w:color w:val="000000" w:themeColor="text1"/>
        </w:rPr>
        <w:t xml:space="preserve"> </w:t>
      </w:r>
      <w:r w:rsidRPr="0056137F">
        <w:rPr>
          <w:rFonts w:cstheme="minorHAnsi"/>
          <w:color w:val="000000" w:themeColor="text1"/>
        </w:rPr>
        <w:t xml:space="preserve">this </w:t>
      </w:r>
      <w:r w:rsidR="001D7A7E" w:rsidRPr="0056137F">
        <w:rPr>
          <w:rFonts w:cstheme="minorHAnsi"/>
          <w:color w:val="000000" w:themeColor="text1"/>
        </w:rPr>
        <w:t xml:space="preserve">historical </w:t>
      </w:r>
      <w:r w:rsidRPr="0056137F">
        <w:rPr>
          <w:rFonts w:cstheme="minorHAnsi"/>
          <w:color w:val="000000" w:themeColor="text1"/>
        </w:rPr>
        <w:t>rate would be applicable to current Australian practice. In addition, as an increased per cycle mortality risk was already applied for patients post-LT, this once-off risk of death likely double-counted the mortality risk associated with LT.</w:t>
      </w:r>
      <w:bookmarkEnd w:id="64"/>
      <w:r w:rsidR="00D3128D" w:rsidRPr="0056137F">
        <w:t xml:space="preserve"> </w:t>
      </w:r>
      <w:r w:rsidR="00D3128D" w:rsidRPr="0056137F">
        <w:rPr>
          <w:rFonts w:cstheme="minorHAnsi"/>
          <w:color w:val="000000" w:themeColor="text1"/>
        </w:rPr>
        <w:t>The PSCR</w:t>
      </w:r>
      <w:r w:rsidR="00565BFA" w:rsidRPr="0056137F">
        <w:rPr>
          <w:rFonts w:cstheme="minorHAnsi"/>
          <w:color w:val="000000" w:themeColor="text1"/>
        </w:rPr>
        <w:t xml:space="preserve"> </w:t>
      </w:r>
      <w:r w:rsidR="00D3128D" w:rsidRPr="0056137F">
        <w:rPr>
          <w:rFonts w:cstheme="minorHAnsi"/>
          <w:color w:val="000000" w:themeColor="text1"/>
        </w:rPr>
        <w:t>claimed that the GALA study showed 52% of patients die within 30 days post-LT</w:t>
      </w:r>
      <w:r w:rsidR="008850F9" w:rsidRPr="0056137F">
        <w:rPr>
          <w:rFonts w:cstheme="minorHAnsi"/>
          <w:color w:val="000000" w:themeColor="text1"/>
        </w:rPr>
        <w:t xml:space="preserve">; </w:t>
      </w:r>
      <w:r w:rsidR="00371489" w:rsidRPr="0056137F">
        <w:rPr>
          <w:rFonts w:cstheme="minorHAnsi"/>
          <w:color w:val="000000" w:themeColor="text1"/>
        </w:rPr>
        <w:t>however,</w:t>
      </w:r>
      <w:r w:rsidR="008850F9" w:rsidRPr="0056137F">
        <w:rPr>
          <w:rFonts w:cstheme="minorHAnsi"/>
          <w:color w:val="000000" w:themeColor="text1"/>
        </w:rPr>
        <w:t xml:space="preserve"> </w:t>
      </w:r>
      <w:r w:rsidR="007F6022" w:rsidRPr="0056137F">
        <w:rPr>
          <w:rFonts w:cstheme="minorHAnsi"/>
          <w:color w:val="000000" w:themeColor="text1"/>
        </w:rPr>
        <w:t xml:space="preserve">the ESC considered </w:t>
      </w:r>
      <w:r w:rsidR="008850F9" w:rsidRPr="0056137F">
        <w:rPr>
          <w:rFonts w:cstheme="minorHAnsi"/>
          <w:color w:val="000000" w:themeColor="text1"/>
        </w:rPr>
        <w:t xml:space="preserve">this </w:t>
      </w:r>
      <w:r w:rsidR="00D3128D" w:rsidRPr="0056137F">
        <w:rPr>
          <w:rFonts w:cstheme="minorHAnsi"/>
          <w:color w:val="000000" w:themeColor="text1"/>
        </w:rPr>
        <w:t xml:space="preserve">was incorrect. Patient survival rates in the GALA study following LT at 5, 10, and 20 years were 92.0%, 91.0%, and 88.0%, respectively. The source of ‘52% within 30 days’ stated in Vandriel 2022 is not described in the text, though may refer to the proportion of deaths post LT which occurred within </w:t>
      </w:r>
      <w:r w:rsidR="005A7B8D">
        <w:rPr>
          <w:rFonts w:cstheme="minorHAnsi"/>
          <w:color w:val="000000" w:themeColor="text1"/>
        </w:rPr>
        <w:t xml:space="preserve">the first </w:t>
      </w:r>
      <w:r w:rsidR="00D3128D" w:rsidRPr="0056137F">
        <w:rPr>
          <w:rFonts w:cstheme="minorHAnsi"/>
          <w:color w:val="000000" w:themeColor="text1"/>
        </w:rPr>
        <w:t xml:space="preserve">30 days. </w:t>
      </w:r>
    </w:p>
    <w:p w14:paraId="13F0E50A" w14:textId="49C315A0" w:rsidR="00BF1FE0" w:rsidRPr="0059385D" w:rsidRDefault="00BF1FE0" w:rsidP="008B6633">
      <w:pPr>
        <w:pStyle w:val="3-BodyText"/>
        <w:spacing w:before="160" w:after="160"/>
        <w:rPr>
          <w:rFonts w:cstheme="minorHAnsi"/>
          <w:color w:val="000000" w:themeColor="text1"/>
        </w:rPr>
      </w:pPr>
      <w:r w:rsidRPr="0059385D">
        <w:rPr>
          <w:rFonts w:cstheme="minorHAnsi"/>
        </w:rPr>
        <w:t>The progression from non-responder to LT was based on a rate of 47% at 4 years, informed from Quiros-Tejeira 1999</w:t>
      </w:r>
      <w:r w:rsidR="000E2D4C">
        <w:rPr>
          <w:rFonts w:cstheme="minorHAnsi"/>
        </w:rPr>
        <w:t xml:space="preserve"> (</w:t>
      </w:r>
      <w:r w:rsidRPr="0059385D">
        <w:rPr>
          <w:rFonts w:cstheme="minorHAnsi"/>
        </w:rPr>
        <w:t xml:space="preserve">retrospective review of 43 children identified with cholestasis and ALGS from 1976–1997 at the University of California, Los Angeles, and </w:t>
      </w:r>
      <w:r w:rsidRPr="0059385D">
        <w:rPr>
          <w:rFonts w:cstheme="minorHAnsi"/>
        </w:rPr>
        <w:lastRenderedPageBreak/>
        <w:t>from 1980–1997 at the University of California, San Francisco</w:t>
      </w:r>
      <w:r w:rsidR="00FD3A7B">
        <w:rPr>
          <w:rFonts w:cstheme="minorHAnsi"/>
        </w:rPr>
        <w:t>)</w:t>
      </w:r>
      <w:r w:rsidRPr="0059385D">
        <w:rPr>
          <w:rFonts w:cstheme="minorHAnsi"/>
        </w:rPr>
        <w:t xml:space="preserve">. Twenty patients (47%) underwent LT at a median age of 4 years (range, 1.3-15.4 years). The </w:t>
      </w:r>
      <w:r w:rsidR="00842A40">
        <w:rPr>
          <w:rFonts w:cstheme="minorHAnsi"/>
        </w:rPr>
        <w:t>PBAC</w:t>
      </w:r>
      <w:r w:rsidR="008B6633">
        <w:rPr>
          <w:rFonts w:cstheme="minorHAnsi"/>
        </w:rPr>
        <w:t xml:space="preserve"> </w:t>
      </w:r>
      <w:r w:rsidR="00FD3A7B">
        <w:rPr>
          <w:rFonts w:cstheme="minorHAnsi"/>
        </w:rPr>
        <w:t xml:space="preserve">considered that </w:t>
      </w:r>
      <w:r w:rsidRPr="0059385D">
        <w:rPr>
          <w:rFonts w:cstheme="minorHAnsi"/>
        </w:rPr>
        <w:t>use of the median age of LT as a proxy for the risk of LT over a four year time period was highly uncertain</w:t>
      </w:r>
      <w:r w:rsidR="00050B37">
        <w:rPr>
          <w:rFonts w:cstheme="minorHAnsi"/>
        </w:rPr>
        <w:t>, and</w:t>
      </w:r>
      <w:r w:rsidR="00101085">
        <w:rPr>
          <w:rFonts w:cstheme="minorHAnsi"/>
        </w:rPr>
        <w:t xml:space="preserve"> data</w:t>
      </w:r>
      <w:r w:rsidRPr="0059385D">
        <w:rPr>
          <w:rFonts w:cstheme="minorHAnsi"/>
        </w:rPr>
        <w:t xml:space="preserve"> from nearly 50 years ago</w:t>
      </w:r>
      <w:r w:rsidR="00101085">
        <w:rPr>
          <w:rFonts w:cstheme="minorHAnsi"/>
        </w:rPr>
        <w:t xml:space="preserve"> </w:t>
      </w:r>
      <w:r w:rsidR="00D3286B">
        <w:rPr>
          <w:rFonts w:cstheme="minorHAnsi"/>
        </w:rPr>
        <w:t>was unlikely to</w:t>
      </w:r>
      <w:r w:rsidRPr="0059385D">
        <w:rPr>
          <w:rFonts w:cstheme="minorHAnsi"/>
        </w:rPr>
        <w:t xml:space="preserve"> be relevant to current practice. The GALA study (N=1433) reported the cumulative incidence of LT at 5, 10, and 18-years was 27.1%, 37.8% and 50.4%</w:t>
      </w:r>
      <w:r w:rsidR="00884823" w:rsidRPr="0059385D">
        <w:rPr>
          <w:rFonts w:cstheme="minorHAnsi"/>
        </w:rPr>
        <w:t xml:space="preserve"> respectively</w:t>
      </w:r>
      <w:r w:rsidRPr="0059385D">
        <w:rPr>
          <w:rFonts w:cstheme="minorHAnsi"/>
        </w:rPr>
        <w:t xml:space="preserve">; which was lower than the 47% at four years applied in the </w:t>
      </w:r>
      <w:r w:rsidR="00884823" w:rsidRPr="0059385D">
        <w:rPr>
          <w:rFonts w:cstheme="minorHAnsi"/>
        </w:rPr>
        <w:t>base case</w:t>
      </w:r>
      <w:r w:rsidRPr="0059385D">
        <w:rPr>
          <w:rFonts w:cstheme="minorHAnsi"/>
        </w:rPr>
        <w:t>.</w:t>
      </w:r>
    </w:p>
    <w:p w14:paraId="326C4C97" w14:textId="74948225" w:rsidR="002674D8" w:rsidRPr="0059385D" w:rsidRDefault="00EB07E1" w:rsidP="008B6633">
      <w:pPr>
        <w:pStyle w:val="3-BodyText"/>
        <w:spacing w:before="160" w:after="160"/>
        <w:rPr>
          <w:rFonts w:cstheme="minorHAnsi"/>
          <w:color w:val="000000" w:themeColor="text1"/>
        </w:rPr>
      </w:pPr>
      <w:r w:rsidRPr="0059385D">
        <w:rPr>
          <w:rFonts w:cstheme="minorHAnsi"/>
          <w:color w:val="000000" w:themeColor="text1"/>
        </w:rPr>
        <w:t xml:space="preserve">Utility values derived from ASSERT PedsQL data </w:t>
      </w:r>
      <w:r w:rsidR="005E1474" w:rsidRPr="0059385D">
        <w:rPr>
          <w:rFonts w:cstheme="minorHAnsi"/>
          <w:color w:val="000000" w:themeColor="text1"/>
        </w:rPr>
        <w:t xml:space="preserve">were </w:t>
      </w:r>
      <w:r w:rsidRPr="0059385D">
        <w:rPr>
          <w:rFonts w:cstheme="minorHAnsi"/>
          <w:color w:val="000000" w:themeColor="text1"/>
        </w:rPr>
        <w:t>mapped on to (EuroQol 5-Dimension 5-Level) EQ-5D utilities using the algorithm by Khan 2014</w:t>
      </w:r>
      <w:r w:rsidR="00702264">
        <w:rPr>
          <w:rFonts w:cstheme="minorHAnsi"/>
          <w:color w:val="000000" w:themeColor="text1"/>
        </w:rPr>
        <w:t xml:space="preserve"> (</w:t>
      </w:r>
      <w:r w:rsidRPr="0059385D">
        <w:rPr>
          <w:rFonts w:cstheme="minorHAnsi"/>
          <w:color w:val="000000" w:themeColor="text1"/>
        </w:rPr>
        <w:t>UK based algorithm</w:t>
      </w:r>
      <w:r w:rsidR="00702264">
        <w:rPr>
          <w:rFonts w:cstheme="minorHAnsi"/>
          <w:color w:val="000000" w:themeColor="text1"/>
        </w:rPr>
        <w:t>),</w:t>
      </w:r>
      <w:r w:rsidRPr="0059385D">
        <w:rPr>
          <w:rFonts w:cstheme="minorHAnsi"/>
          <w:color w:val="000000" w:themeColor="text1"/>
        </w:rPr>
        <w:t xml:space="preserve"> </w:t>
      </w:r>
      <w:r w:rsidR="00884823" w:rsidRPr="0059385D">
        <w:rPr>
          <w:rFonts w:cstheme="minorHAnsi"/>
          <w:color w:val="000000" w:themeColor="text1"/>
        </w:rPr>
        <w:t xml:space="preserve">which </w:t>
      </w:r>
      <w:r w:rsidRPr="0059385D">
        <w:rPr>
          <w:rFonts w:cstheme="minorHAnsi"/>
          <w:color w:val="000000" w:themeColor="text1"/>
        </w:rPr>
        <w:t xml:space="preserve">was </w:t>
      </w:r>
      <w:r w:rsidR="0020716C">
        <w:rPr>
          <w:rFonts w:cstheme="minorHAnsi"/>
          <w:color w:val="000000" w:themeColor="text1"/>
        </w:rPr>
        <w:t xml:space="preserve">also </w:t>
      </w:r>
      <w:r w:rsidRPr="0059385D">
        <w:rPr>
          <w:rFonts w:cstheme="minorHAnsi"/>
          <w:color w:val="000000" w:themeColor="text1"/>
        </w:rPr>
        <w:t>previously used in the 2024 odevixibat PFIC submission (Table 11, odevixibat PSD, July 2024 PBAC Meeting). Utilities were age-adjusted relative to the general population utility, based on the age and sex-matched general Australian population, to account for the change in baseline utility value with age.</w:t>
      </w:r>
    </w:p>
    <w:p w14:paraId="00E6AC01" w14:textId="5B8BD39B" w:rsidR="00EB07E1" w:rsidRPr="0056137F" w:rsidRDefault="00EB07E1" w:rsidP="008B6633">
      <w:pPr>
        <w:pStyle w:val="3-BodyText"/>
        <w:spacing w:before="160" w:after="160"/>
        <w:rPr>
          <w:rFonts w:cstheme="minorHAnsi"/>
          <w:color w:val="000000" w:themeColor="text1"/>
        </w:rPr>
      </w:pPr>
      <w:r w:rsidRPr="0056137F">
        <w:rPr>
          <w:rFonts w:cstheme="minorHAnsi"/>
          <w:color w:val="000000" w:themeColor="text1"/>
        </w:rPr>
        <w:t xml:space="preserve">For the July 2024 PFIC PBAC resubmission, the utility values for the responder and non-responder health states were 0.91 and 0.83 respectively, derived from Kamath 2015 (Table 11, odevixibat PSD, July 2024 PBAC Meeting). The incremental utility benefit between the responder and non-responder was therefore 0.08 (0.91 – 0.83), which was noted to be smaller than the incremental utility in the </w:t>
      </w:r>
      <w:r w:rsidR="00DB0882" w:rsidRPr="0056137F">
        <w:rPr>
          <w:rFonts w:cstheme="minorHAnsi"/>
          <w:color w:val="000000" w:themeColor="text1"/>
        </w:rPr>
        <w:t>ALGS model base case</w:t>
      </w:r>
      <w:r w:rsidRPr="0056137F">
        <w:rPr>
          <w:rFonts w:cstheme="minorHAnsi"/>
          <w:color w:val="000000" w:themeColor="text1"/>
        </w:rPr>
        <w:t xml:space="preserve"> (0.147 = 0.881 – 0.734).</w:t>
      </w:r>
      <w:r w:rsidR="00DB0882" w:rsidRPr="0056137F">
        <w:rPr>
          <w:rFonts w:cstheme="minorHAnsi"/>
          <w:color w:val="000000" w:themeColor="text1"/>
        </w:rPr>
        <w:t xml:space="preserve"> </w:t>
      </w:r>
      <w:r w:rsidR="00884823" w:rsidRPr="0056137F">
        <w:rPr>
          <w:rFonts w:cstheme="minorHAnsi"/>
          <w:color w:val="000000" w:themeColor="text1"/>
        </w:rPr>
        <w:t>The</w:t>
      </w:r>
      <w:r w:rsidR="003141CF" w:rsidRPr="0056137F">
        <w:rPr>
          <w:rFonts w:cstheme="minorHAnsi"/>
          <w:color w:val="000000" w:themeColor="text1"/>
        </w:rPr>
        <w:t xml:space="preserve"> evaluation </w:t>
      </w:r>
      <w:r w:rsidR="002C71F4" w:rsidRPr="0056137F">
        <w:rPr>
          <w:rFonts w:cstheme="minorHAnsi"/>
          <w:color w:val="000000" w:themeColor="text1"/>
        </w:rPr>
        <w:t xml:space="preserve">and the ESC </w:t>
      </w:r>
      <w:r w:rsidR="003141CF" w:rsidRPr="0056137F">
        <w:rPr>
          <w:rFonts w:cstheme="minorHAnsi"/>
          <w:color w:val="000000" w:themeColor="text1"/>
        </w:rPr>
        <w:t>considered the</w:t>
      </w:r>
      <w:r w:rsidR="00884823" w:rsidRPr="0056137F">
        <w:rPr>
          <w:rFonts w:cstheme="minorHAnsi"/>
          <w:color w:val="000000" w:themeColor="text1"/>
        </w:rPr>
        <w:t>re</w:t>
      </w:r>
      <w:r w:rsidR="00DB0882" w:rsidRPr="0056137F">
        <w:rPr>
          <w:rFonts w:cstheme="minorHAnsi"/>
          <w:color w:val="000000" w:themeColor="text1"/>
        </w:rPr>
        <w:t xml:space="preserve"> was no clinical justification proposed for why patients with ALGS would achieve approximately 1.8 times greater incremental utility than PFIC patients from odevixibat treatment, given that in both patient populations cholestatic pruritus is being managed.</w:t>
      </w:r>
    </w:p>
    <w:p w14:paraId="0D20778A" w14:textId="6BF3B65B" w:rsidR="00DB0882" w:rsidRPr="0059385D" w:rsidRDefault="00DB0882" w:rsidP="008B6633">
      <w:pPr>
        <w:pStyle w:val="3-BodyText"/>
        <w:spacing w:before="160" w:after="160"/>
        <w:rPr>
          <w:rFonts w:cstheme="minorHAnsi"/>
          <w:color w:val="000000" w:themeColor="text1"/>
        </w:rPr>
      </w:pPr>
      <w:r w:rsidRPr="0059385D">
        <w:rPr>
          <w:rFonts w:cstheme="minorHAnsi"/>
          <w:color w:val="000000" w:themeColor="text1"/>
        </w:rPr>
        <w:t xml:space="preserve">The utilities for the LT and post LT health state were informed by published literature (Kini 2011 and NICE 2024, respectively). The LT health state utility (0.710) was consistent with the odevixibat PFIC economic model, however the post LT utility was greater in the submission compared the PFIC model (0.820 versus 0.774, respectively) (Table 13, odevixibat PSD, July 2024 PBAC Meeting). The post LT utility was reportedly consistent with the maralixibat NICE submission, however as these values were redacted in the NICE committee papers this could not be verified. </w:t>
      </w:r>
      <w:r w:rsidR="009D54C1">
        <w:rPr>
          <w:rFonts w:cstheme="minorHAnsi"/>
          <w:color w:val="000000" w:themeColor="text1"/>
        </w:rPr>
        <w:t>T</w:t>
      </w:r>
      <w:r w:rsidR="0066624F">
        <w:rPr>
          <w:rFonts w:cstheme="minorHAnsi"/>
          <w:color w:val="000000" w:themeColor="text1"/>
        </w:rPr>
        <w:t>he evaluation considered it</w:t>
      </w:r>
      <w:r w:rsidR="0066624F" w:rsidRPr="0059385D">
        <w:rPr>
          <w:rFonts w:cstheme="minorHAnsi"/>
          <w:color w:val="000000" w:themeColor="text1"/>
        </w:rPr>
        <w:t xml:space="preserve"> </w:t>
      </w:r>
      <w:r w:rsidRPr="0059385D">
        <w:rPr>
          <w:rFonts w:cstheme="minorHAnsi"/>
          <w:color w:val="000000" w:themeColor="text1"/>
        </w:rPr>
        <w:t xml:space="preserve">was unclear whether it was reasonable for the post-LT health state to have lower utility than the responder health state (0.820 versus 0.881, respectively) given </w:t>
      </w:r>
      <w:r w:rsidR="00D3286B">
        <w:rPr>
          <w:rFonts w:cstheme="minorHAnsi"/>
          <w:color w:val="000000" w:themeColor="text1"/>
        </w:rPr>
        <w:t xml:space="preserve">that, </w:t>
      </w:r>
      <w:r w:rsidRPr="0059385D">
        <w:rPr>
          <w:rFonts w:cstheme="minorHAnsi"/>
          <w:color w:val="000000" w:themeColor="text1"/>
        </w:rPr>
        <w:t>according to clinical experts consulted by NICE</w:t>
      </w:r>
      <w:r w:rsidR="00D3286B">
        <w:rPr>
          <w:rFonts w:cstheme="minorHAnsi"/>
          <w:color w:val="000000" w:themeColor="text1"/>
        </w:rPr>
        <w:t>,</w:t>
      </w:r>
      <w:r w:rsidRPr="0059385D">
        <w:rPr>
          <w:rFonts w:cstheme="minorHAnsi"/>
          <w:color w:val="000000" w:themeColor="text1"/>
        </w:rPr>
        <w:t xml:space="preserve"> </w:t>
      </w:r>
      <w:r w:rsidR="00D3286B" w:rsidRPr="0059385D">
        <w:rPr>
          <w:rFonts w:cstheme="minorHAnsi"/>
          <w:color w:val="000000" w:themeColor="text1"/>
        </w:rPr>
        <w:t xml:space="preserve">some patients </w:t>
      </w:r>
      <w:r w:rsidRPr="0059385D">
        <w:rPr>
          <w:rFonts w:cstheme="minorHAnsi"/>
          <w:color w:val="000000" w:themeColor="text1"/>
        </w:rPr>
        <w:t>may achieve near-normal life expectancies post LT.</w:t>
      </w:r>
    </w:p>
    <w:p w14:paraId="5FCF2794" w14:textId="6DB67CAF" w:rsidR="00A44C09" w:rsidRPr="0059385D" w:rsidRDefault="00A44C09" w:rsidP="008B6633">
      <w:pPr>
        <w:pStyle w:val="3-BodyText"/>
        <w:spacing w:before="160" w:after="160"/>
        <w:rPr>
          <w:rFonts w:cstheme="minorHAnsi"/>
          <w:color w:val="000000" w:themeColor="text1"/>
        </w:rPr>
      </w:pPr>
      <w:bookmarkStart w:id="65" w:name="_Ref222319235"/>
      <w:r w:rsidRPr="0059385D">
        <w:rPr>
          <w:rFonts w:cstheme="minorHAnsi"/>
          <w:color w:val="000000" w:themeColor="text1"/>
        </w:rPr>
        <w:t>The base case did not apply SoC treatment costs to the odevixibat arm</w:t>
      </w:r>
      <w:r w:rsidR="00874BF7" w:rsidRPr="0059385D">
        <w:rPr>
          <w:rFonts w:cstheme="minorHAnsi"/>
          <w:color w:val="000000" w:themeColor="text1"/>
        </w:rPr>
        <w:t>,</w:t>
      </w:r>
      <w:r w:rsidRPr="0059385D">
        <w:rPr>
          <w:rFonts w:cstheme="minorHAnsi"/>
          <w:color w:val="000000" w:themeColor="text1"/>
        </w:rPr>
        <w:t xml:space="preserve"> which was inconsistent with the proposed clinical algorithm and clinical evidence from ASSERT that showed odevixibat patients continued to receive concomitant medications including UDCA and rifampicin, among others. The </w:t>
      </w:r>
      <w:r w:rsidR="00BF1FE0" w:rsidRPr="0059385D">
        <w:rPr>
          <w:rFonts w:cstheme="minorHAnsi"/>
          <w:color w:val="000000" w:themeColor="text1"/>
        </w:rPr>
        <w:t>exclusion</w:t>
      </w:r>
      <w:r w:rsidRPr="0059385D">
        <w:rPr>
          <w:rFonts w:cstheme="minorHAnsi"/>
          <w:color w:val="000000" w:themeColor="text1"/>
        </w:rPr>
        <w:t xml:space="preserve"> of SoC costs</w:t>
      </w:r>
      <w:r w:rsidR="00BF1FE0" w:rsidRPr="0059385D">
        <w:rPr>
          <w:rFonts w:cstheme="minorHAnsi"/>
          <w:color w:val="000000" w:themeColor="text1"/>
        </w:rPr>
        <w:t xml:space="preserve"> likely underestimated incremental costs and </w:t>
      </w:r>
      <w:r w:rsidRPr="0059385D">
        <w:rPr>
          <w:rFonts w:cstheme="minorHAnsi"/>
          <w:color w:val="000000" w:themeColor="text1"/>
        </w:rPr>
        <w:t>biased the model in favour of odevixibat.</w:t>
      </w:r>
      <w:bookmarkEnd w:id="65"/>
    </w:p>
    <w:p w14:paraId="0547A7CF" w14:textId="64C04F6A" w:rsidR="00DB0882" w:rsidRPr="0059385D" w:rsidRDefault="00DB0882" w:rsidP="008B6633">
      <w:pPr>
        <w:pStyle w:val="3-BodyText"/>
        <w:spacing w:before="160" w:after="160"/>
        <w:rPr>
          <w:rFonts w:cstheme="minorHAnsi"/>
          <w:color w:val="000000" w:themeColor="text1"/>
        </w:rPr>
      </w:pPr>
      <w:r w:rsidRPr="0059385D">
        <w:rPr>
          <w:rFonts w:cstheme="minorHAnsi"/>
          <w:color w:val="000000" w:themeColor="text1"/>
        </w:rPr>
        <w:t xml:space="preserve">Mortality traces from the base case model </w:t>
      </w:r>
      <w:proofErr w:type="gramStart"/>
      <w:r w:rsidRPr="0059385D">
        <w:rPr>
          <w:rFonts w:cstheme="minorHAnsi"/>
          <w:color w:val="000000" w:themeColor="text1"/>
        </w:rPr>
        <w:t>is</w:t>
      </w:r>
      <w:proofErr w:type="gramEnd"/>
      <w:r w:rsidRPr="0059385D">
        <w:rPr>
          <w:rFonts w:cstheme="minorHAnsi"/>
          <w:color w:val="000000" w:themeColor="text1"/>
        </w:rPr>
        <w:t xml:space="preserve"> shown in </w:t>
      </w:r>
      <w:r w:rsidR="00921F45" w:rsidRPr="0059385D">
        <w:rPr>
          <w:rFonts w:cstheme="minorHAnsi"/>
          <w:color w:val="000000" w:themeColor="text1"/>
        </w:rPr>
        <w:fldChar w:fldCharType="begin"/>
      </w:r>
      <w:r w:rsidR="00921F45" w:rsidRPr="0059385D">
        <w:rPr>
          <w:rFonts w:cstheme="minorHAnsi"/>
          <w:color w:val="000000" w:themeColor="text1"/>
        </w:rPr>
        <w:instrText xml:space="preserve"> REF _Ref218783020 \h </w:instrText>
      </w:r>
      <w:r w:rsidR="004165DF" w:rsidRPr="0059385D">
        <w:rPr>
          <w:rFonts w:cstheme="minorHAnsi"/>
          <w:color w:val="000000" w:themeColor="text1"/>
        </w:rPr>
        <w:instrText xml:space="preserve"> \* MERGEFORMAT </w:instrText>
      </w:r>
      <w:r w:rsidR="00921F45" w:rsidRPr="0059385D">
        <w:rPr>
          <w:rFonts w:cstheme="minorHAnsi"/>
          <w:color w:val="000000" w:themeColor="text1"/>
        </w:rPr>
      </w:r>
      <w:r w:rsidR="00921F45" w:rsidRPr="0059385D">
        <w:rPr>
          <w:rFonts w:cstheme="minorHAnsi"/>
          <w:color w:val="000000" w:themeColor="text1"/>
        </w:rPr>
        <w:fldChar w:fldCharType="separate"/>
      </w:r>
      <w:r w:rsidR="0060088A" w:rsidRPr="0060088A">
        <w:rPr>
          <w:rFonts w:cstheme="minorHAnsi"/>
        </w:rPr>
        <w:t>Figure 3</w:t>
      </w:r>
      <w:r w:rsidR="00921F45" w:rsidRPr="0059385D">
        <w:rPr>
          <w:rFonts w:cstheme="minorHAnsi"/>
          <w:color w:val="000000" w:themeColor="text1"/>
        </w:rPr>
        <w:fldChar w:fldCharType="end"/>
      </w:r>
      <w:r w:rsidR="00921F45" w:rsidRPr="0059385D">
        <w:rPr>
          <w:rFonts w:cstheme="minorHAnsi"/>
          <w:color w:val="000000" w:themeColor="text1"/>
        </w:rPr>
        <w:t>.</w:t>
      </w:r>
    </w:p>
    <w:p w14:paraId="0B13C5F5" w14:textId="48399BC4" w:rsidR="00DB0882" w:rsidRPr="00275521" w:rsidRDefault="00921F45" w:rsidP="008B6633">
      <w:pPr>
        <w:pStyle w:val="Caption"/>
      </w:pPr>
      <w:bookmarkStart w:id="66" w:name="_Ref218783020"/>
      <w:r w:rsidRPr="00275521">
        <w:lastRenderedPageBreak/>
        <w:t xml:space="preserve">Figure </w:t>
      </w:r>
      <w:fldSimple w:instr=" SEQ Figure \* ARABIC ">
        <w:r w:rsidR="0060088A">
          <w:rPr>
            <w:noProof/>
          </w:rPr>
          <w:t>3</w:t>
        </w:r>
      </w:fldSimple>
      <w:bookmarkEnd w:id="66"/>
      <w:r w:rsidR="00DB0882" w:rsidRPr="00275521">
        <w:t>: Mortality traces for the odevixibat and SoC arms</w:t>
      </w:r>
    </w:p>
    <w:p w14:paraId="0506C100" w14:textId="53F89B88" w:rsidR="00DB0882" w:rsidRPr="00275521" w:rsidRDefault="00DB0882" w:rsidP="008B6633">
      <w:pPr>
        <w:pStyle w:val="3-BodyText"/>
        <w:numPr>
          <w:ilvl w:val="0"/>
          <w:numId w:val="0"/>
        </w:numPr>
        <w:rPr>
          <w:color w:val="0066FF"/>
        </w:rPr>
      </w:pPr>
      <w:r w:rsidRPr="00275521">
        <w:rPr>
          <w:noProof/>
          <w:color w:val="3366FF"/>
        </w:rPr>
        <w:drawing>
          <wp:inline distT="0" distB="0" distL="0" distR="0" wp14:anchorId="03738514" wp14:editId="5A05A047">
            <wp:extent cx="5732145" cy="2819178"/>
            <wp:effectExtent l="0" t="0" r="0" b="0"/>
            <wp:docPr id="2038558168" name="Picture 6" descr="Figure 3: Mortality traces for the odevixibat and SoC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58168" name="Picture 6" descr="Figure 3: Mortality traces for the odevixibat and SoC arm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145" cy="2819178"/>
                    </a:xfrm>
                    <a:prstGeom prst="rect">
                      <a:avLst/>
                    </a:prstGeom>
                    <a:noFill/>
                  </pic:spPr>
                </pic:pic>
              </a:graphicData>
            </a:graphic>
          </wp:inline>
        </w:drawing>
      </w:r>
    </w:p>
    <w:p w14:paraId="5C8EDFCE" w14:textId="77777777" w:rsidR="00DB0882" w:rsidRPr="00275521" w:rsidRDefault="00DB0882" w:rsidP="008B6633">
      <w:pPr>
        <w:pStyle w:val="TableFigureFooter"/>
        <w:widowControl/>
      </w:pPr>
      <w:r w:rsidRPr="00275521">
        <w:t>Source: Figure 3-6, p132 of the submission</w:t>
      </w:r>
    </w:p>
    <w:p w14:paraId="26D73C1A" w14:textId="05E038DD" w:rsidR="00DB0882" w:rsidRPr="00275521" w:rsidRDefault="00DB0882" w:rsidP="008B6633">
      <w:pPr>
        <w:pStyle w:val="TableFigureFooter"/>
        <w:widowControl/>
      </w:pPr>
      <w:r w:rsidRPr="00275521">
        <w:t>Abbreviations: SoC = standard of care</w:t>
      </w:r>
    </w:p>
    <w:p w14:paraId="5DEA6E36" w14:textId="2EAC7EF1" w:rsidR="00371E86" w:rsidRPr="0059385D" w:rsidRDefault="00371E86" w:rsidP="008B6633">
      <w:pPr>
        <w:pStyle w:val="3-BodyText"/>
        <w:spacing w:before="160"/>
        <w:rPr>
          <w:color w:val="000000" w:themeColor="text1"/>
        </w:rPr>
      </w:pPr>
      <w:bookmarkStart w:id="67" w:name="_Ref222733724"/>
      <w:r w:rsidRPr="0059385D">
        <w:rPr>
          <w:color w:val="000000" w:themeColor="text1"/>
        </w:rPr>
        <w:t xml:space="preserve">The mortality traces show the model assumes an early and sustained survival benefit with odevixibat. Median survival occurs at Year 28 (cycle 124) for odevixibat versus Year 16 (cycle 72) for SoC, representing a 12-year extension in median survival. The </w:t>
      </w:r>
      <w:r w:rsidR="00B04725">
        <w:rPr>
          <w:color w:val="000000" w:themeColor="text1"/>
        </w:rPr>
        <w:t xml:space="preserve">evaluation </w:t>
      </w:r>
      <w:r w:rsidR="00B85D78" w:rsidRPr="00CD3396">
        <w:rPr>
          <w:color w:val="000000" w:themeColor="text1"/>
        </w:rPr>
        <w:t>and the ESC</w:t>
      </w:r>
      <w:r w:rsidR="00B85D78">
        <w:rPr>
          <w:color w:val="000000" w:themeColor="text1"/>
        </w:rPr>
        <w:t xml:space="preserve"> </w:t>
      </w:r>
      <w:r w:rsidR="00B04725">
        <w:rPr>
          <w:color w:val="000000" w:themeColor="text1"/>
        </w:rPr>
        <w:t xml:space="preserve">considered that the </w:t>
      </w:r>
      <w:r w:rsidRPr="0059385D">
        <w:rPr>
          <w:color w:val="000000" w:themeColor="text1"/>
        </w:rPr>
        <w:t>modelled survival benefit, which the model trace shows occurring near immediately after commencing odevixibat and being sustained over the 50-year time horizon (cycle 217) was not supported by the presented clinical evidence.</w:t>
      </w:r>
      <w:bookmarkEnd w:id="67"/>
      <w:r w:rsidRPr="0059385D">
        <w:rPr>
          <w:color w:val="000000" w:themeColor="text1"/>
        </w:rPr>
        <w:t xml:space="preserve"> </w:t>
      </w:r>
    </w:p>
    <w:p w14:paraId="3F28453E" w14:textId="56D8B7F4" w:rsidR="00EB7944" w:rsidRDefault="00371E86" w:rsidP="008B6633">
      <w:pPr>
        <w:pStyle w:val="3-BodyText"/>
        <w:spacing w:before="160"/>
        <w:rPr>
          <w:color w:val="000000" w:themeColor="text1"/>
        </w:rPr>
      </w:pPr>
      <w:bookmarkStart w:id="68" w:name="_Ref222319290"/>
      <w:r w:rsidRPr="0059385D">
        <w:rPr>
          <w:color w:val="000000" w:themeColor="text1"/>
        </w:rPr>
        <w:t xml:space="preserve">A comparison of modelled survival with the GALA study (Vandriel 2022) is presented in </w:t>
      </w:r>
      <w:r w:rsidRPr="0059385D">
        <w:rPr>
          <w:color w:val="000000" w:themeColor="text1"/>
        </w:rPr>
        <w:fldChar w:fldCharType="begin"/>
      </w:r>
      <w:r w:rsidRPr="0059385D">
        <w:rPr>
          <w:color w:val="000000" w:themeColor="text1"/>
        </w:rPr>
        <w:instrText xml:space="preserve"> REF _Ref218784255 \h </w:instrText>
      </w:r>
      <w:r w:rsidR="0059385D" w:rsidRPr="0059385D">
        <w:rPr>
          <w:color w:val="000000" w:themeColor="text1"/>
        </w:rPr>
        <w:instrText xml:space="preserve"> \* MERGEFORMAT </w:instrText>
      </w:r>
      <w:r w:rsidRPr="0059385D">
        <w:rPr>
          <w:color w:val="000000" w:themeColor="text1"/>
        </w:rPr>
      </w:r>
      <w:r w:rsidRPr="0059385D">
        <w:rPr>
          <w:color w:val="000000" w:themeColor="text1"/>
        </w:rPr>
        <w:fldChar w:fldCharType="separate"/>
      </w:r>
      <w:r w:rsidR="0060088A" w:rsidRPr="00275521">
        <w:t xml:space="preserve">Table </w:t>
      </w:r>
      <w:r w:rsidR="0060088A">
        <w:rPr>
          <w:noProof/>
        </w:rPr>
        <w:t>14</w:t>
      </w:r>
      <w:r w:rsidRPr="0059385D">
        <w:rPr>
          <w:color w:val="000000" w:themeColor="text1"/>
        </w:rPr>
        <w:fldChar w:fldCharType="end"/>
      </w:r>
      <w:r w:rsidRPr="0059385D">
        <w:rPr>
          <w:color w:val="000000" w:themeColor="text1"/>
        </w:rPr>
        <w:t>.</w:t>
      </w:r>
      <w:bookmarkEnd w:id="68"/>
    </w:p>
    <w:p w14:paraId="53160181" w14:textId="77777777" w:rsidR="00EB7944" w:rsidRDefault="00EB7944" w:rsidP="008B6633">
      <w:pPr>
        <w:jc w:val="left"/>
        <w:rPr>
          <w:rFonts w:asciiTheme="minorHAnsi" w:eastAsiaTheme="minorHAnsi" w:hAnsiTheme="minorHAnsi" w:cstheme="minorBidi"/>
          <w:color w:val="000000" w:themeColor="text1"/>
          <w:szCs w:val="22"/>
        </w:rPr>
      </w:pPr>
      <w:r>
        <w:rPr>
          <w:color w:val="000000" w:themeColor="text1"/>
        </w:rPr>
        <w:br w:type="page"/>
      </w:r>
    </w:p>
    <w:p w14:paraId="328A0321" w14:textId="2CDF064B" w:rsidR="00371E86" w:rsidRPr="00275521" w:rsidRDefault="00371E86" w:rsidP="008B6633">
      <w:pPr>
        <w:pStyle w:val="Caption"/>
        <w:spacing w:before="160"/>
      </w:pPr>
      <w:bookmarkStart w:id="69" w:name="_Ref218784255"/>
      <w:r w:rsidRPr="00275521">
        <w:lastRenderedPageBreak/>
        <w:t xml:space="preserve">Table </w:t>
      </w:r>
      <w:fldSimple w:instr=" SEQ Table \* ARABIC ">
        <w:r w:rsidR="0060088A">
          <w:rPr>
            <w:noProof/>
          </w:rPr>
          <w:t>14</w:t>
        </w:r>
      </w:fldSimple>
      <w:bookmarkEnd w:id="69"/>
      <w:r w:rsidRPr="00275521">
        <w:t>: Modelled mortality compared with the GALA study (Vandriel 2022)</w:t>
      </w:r>
    </w:p>
    <w:tbl>
      <w:tblPr>
        <w:tblStyle w:val="TableGrid"/>
        <w:tblW w:w="5000" w:type="pct"/>
        <w:tblLook w:val="04A0" w:firstRow="1" w:lastRow="0" w:firstColumn="1" w:lastColumn="0" w:noHBand="0" w:noVBand="1"/>
        <w:tblCaption w:val="Table 14: Modelled mortality compared with the GALA study (Vandriel 2022)"/>
      </w:tblPr>
      <w:tblGrid>
        <w:gridCol w:w="2689"/>
        <w:gridCol w:w="2109"/>
        <w:gridCol w:w="2109"/>
        <w:gridCol w:w="2110"/>
      </w:tblGrid>
      <w:tr w:rsidR="00DB35F7" w:rsidRPr="00275521" w14:paraId="18EC902A" w14:textId="77777777">
        <w:tc>
          <w:tcPr>
            <w:tcW w:w="2689" w:type="dxa"/>
            <w:vMerge w:val="restart"/>
            <w:vAlign w:val="center"/>
          </w:tcPr>
          <w:p w14:paraId="2EACEE96" w14:textId="709E4417" w:rsidR="00E957E4" w:rsidRPr="00E56E54" w:rsidRDefault="00E957E4" w:rsidP="008B6633">
            <w:pPr>
              <w:keepNext/>
              <w:keepLines/>
              <w:jc w:val="center"/>
              <w:rPr>
                <w:rFonts w:ascii="Arial Narrow" w:hAnsi="Arial Narrow"/>
                <w:b/>
                <w:color w:val="000000" w:themeColor="text1"/>
                <w:sz w:val="20"/>
                <w:szCs w:val="20"/>
              </w:rPr>
            </w:pPr>
            <w:r w:rsidRPr="00E56E54">
              <w:rPr>
                <w:rFonts w:ascii="Arial Narrow" w:hAnsi="Arial Narrow"/>
                <w:b/>
                <w:color w:val="000000" w:themeColor="text1"/>
                <w:sz w:val="20"/>
                <w:szCs w:val="20"/>
              </w:rPr>
              <w:t>Age (yrs)</w:t>
            </w:r>
          </w:p>
        </w:tc>
        <w:tc>
          <w:tcPr>
            <w:tcW w:w="6328" w:type="dxa"/>
            <w:gridSpan w:val="3"/>
            <w:vAlign w:val="center"/>
          </w:tcPr>
          <w:p w14:paraId="3B49CA8E" w14:textId="195EAA56" w:rsidR="00E957E4" w:rsidRPr="00E56E54" w:rsidRDefault="00E957E4" w:rsidP="008B6633">
            <w:pPr>
              <w:keepNext/>
              <w:keepLines/>
              <w:jc w:val="center"/>
              <w:rPr>
                <w:rFonts w:ascii="Arial Narrow" w:hAnsi="Arial Narrow"/>
                <w:b/>
                <w:color w:val="000000" w:themeColor="text1"/>
                <w:sz w:val="20"/>
                <w:szCs w:val="20"/>
              </w:rPr>
            </w:pPr>
            <w:r w:rsidRPr="00E56E54">
              <w:rPr>
                <w:rFonts w:ascii="Arial Narrow" w:hAnsi="Arial Narrow"/>
                <w:b/>
                <w:color w:val="000000" w:themeColor="text1"/>
                <w:sz w:val="20"/>
                <w:szCs w:val="20"/>
              </w:rPr>
              <w:t xml:space="preserve">Survival </w:t>
            </w:r>
          </w:p>
        </w:tc>
      </w:tr>
      <w:tr w:rsidR="007E09FE" w:rsidRPr="00275521" w14:paraId="01A9DBEF" w14:textId="77777777">
        <w:trPr>
          <w:trHeight w:val="204"/>
        </w:trPr>
        <w:tc>
          <w:tcPr>
            <w:tcW w:w="2689" w:type="dxa"/>
            <w:vMerge/>
            <w:vAlign w:val="center"/>
          </w:tcPr>
          <w:p w14:paraId="46636849" w14:textId="77777777" w:rsidR="00E957E4" w:rsidRPr="00E56E54" w:rsidRDefault="00E957E4" w:rsidP="008B6633">
            <w:pPr>
              <w:keepNext/>
              <w:keepLines/>
              <w:jc w:val="center"/>
              <w:rPr>
                <w:rFonts w:ascii="Arial Narrow" w:hAnsi="Arial Narrow"/>
                <w:b/>
                <w:color w:val="000000" w:themeColor="text1"/>
                <w:sz w:val="20"/>
                <w:szCs w:val="20"/>
              </w:rPr>
            </w:pPr>
          </w:p>
        </w:tc>
        <w:tc>
          <w:tcPr>
            <w:tcW w:w="2109" w:type="dxa"/>
            <w:vMerge w:val="restart"/>
            <w:vAlign w:val="center"/>
          </w:tcPr>
          <w:p w14:paraId="6EA487DE" w14:textId="77777777" w:rsidR="00E957E4" w:rsidRPr="00E56E54" w:rsidRDefault="00E957E4" w:rsidP="008B6633">
            <w:pPr>
              <w:keepNext/>
              <w:keepLines/>
              <w:jc w:val="center"/>
              <w:rPr>
                <w:rFonts w:ascii="Arial Narrow" w:hAnsi="Arial Narrow"/>
                <w:b/>
                <w:color w:val="000000" w:themeColor="text1"/>
                <w:sz w:val="20"/>
                <w:szCs w:val="20"/>
              </w:rPr>
            </w:pPr>
            <w:r w:rsidRPr="00E56E54">
              <w:rPr>
                <w:rFonts w:ascii="Arial Narrow" w:hAnsi="Arial Narrow"/>
                <w:b/>
                <w:color w:val="000000" w:themeColor="text1"/>
                <w:sz w:val="20"/>
                <w:szCs w:val="20"/>
              </w:rPr>
              <w:t>Vandriel 2022</w:t>
            </w:r>
          </w:p>
          <w:p w14:paraId="38FD3733" w14:textId="14D593ED" w:rsidR="00E957E4" w:rsidRPr="00E56E54" w:rsidRDefault="00E957E4" w:rsidP="008B6633">
            <w:pPr>
              <w:keepNext/>
              <w:keepLines/>
              <w:jc w:val="center"/>
              <w:rPr>
                <w:rFonts w:ascii="Arial Narrow" w:hAnsi="Arial Narrow"/>
                <w:b/>
                <w:color w:val="000000" w:themeColor="text1"/>
                <w:sz w:val="20"/>
                <w:szCs w:val="20"/>
                <w:vertAlign w:val="superscript"/>
              </w:rPr>
            </w:pPr>
            <w:r w:rsidRPr="00E56E54">
              <w:rPr>
                <w:rFonts w:ascii="Arial Narrow" w:hAnsi="Arial Narrow"/>
                <w:b/>
                <w:color w:val="000000" w:themeColor="text1"/>
                <w:sz w:val="20"/>
                <w:szCs w:val="20"/>
              </w:rPr>
              <w:t>(</w:t>
            </w:r>
            <w:r w:rsidR="009F3F6E" w:rsidRPr="00E56E54">
              <w:rPr>
                <w:rFonts w:ascii="Arial Narrow" w:hAnsi="Arial Narrow"/>
                <w:b/>
                <w:color w:val="000000" w:themeColor="text1"/>
                <w:sz w:val="20"/>
                <w:szCs w:val="20"/>
              </w:rPr>
              <w:t>N</w:t>
            </w:r>
            <w:r w:rsidRPr="00E56E54">
              <w:rPr>
                <w:rFonts w:ascii="Arial Narrow" w:hAnsi="Arial Narrow"/>
                <w:b/>
                <w:color w:val="000000" w:themeColor="text1"/>
                <w:sz w:val="20"/>
                <w:szCs w:val="20"/>
              </w:rPr>
              <w:t xml:space="preserve">=1433) </w:t>
            </w:r>
            <w:r w:rsidRPr="00E56E54">
              <w:rPr>
                <w:rFonts w:ascii="Arial Narrow" w:hAnsi="Arial Narrow"/>
                <w:b/>
                <w:color w:val="000000" w:themeColor="text1"/>
                <w:sz w:val="20"/>
                <w:szCs w:val="20"/>
                <w:vertAlign w:val="superscript"/>
              </w:rPr>
              <w:t>a</w:t>
            </w:r>
          </w:p>
        </w:tc>
        <w:tc>
          <w:tcPr>
            <w:tcW w:w="4219" w:type="dxa"/>
            <w:gridSpan w:val="2"/>
            <w:vAlign w:val="center"/>
          </w:tcPr>
          <w:p w14:paraId="35D9DAC1" w14:textId="4892B490" w:rsidR="00E957E4" w:rsidRPr="00E56E54" w:rsidRDefault="00E957E4" w:rsidP="008B6633">
            <w:pPr>
              <w:keepNext/>
              <w:keepLines/>
              <w:jc w:val="center"/>
              <w:rPr>
                <w:rFonts w:ascii="Arial Narrow" w:hAnsi="Arial Narrow"/>
                <w:b/>
                <w:color w:val="000000" w:themeColor="text1"/>
                <w:sz w:val="20"/>
                <w:szCs w:val="20"/>
              </w:rPr>
            </w:pPr>
            <w:r w:rsidRPr="00E56E54">
              <w:rPr>
                <w:rFonts w:ascii="Arial Narrow" w:hAnsi="Arial Narrow"/>
                <w:b/>
                <w:color w:val="000000" w:themeColor="text1"/>
                <w:sz w:val="20"/>
                <w:szCs w:val="20"/>
              </w:rPr>
              <w:t>Model</w:t>
            </w:r>
          </w:p>
        </w:tc>
      </w:tr>
      <w:tr w:rsidR="00792603" w:rsidRPr="00275521" w14:paraId="0B22FE5D" w14:textId="77777777">
        <w:trPr>
          <w:trHeight w:val="252"/>
        </w:trPr>
        <w:tc>
          <w:tcPr>
            <w:tcW w:w="2689" w:type="dxa"/>
            <w:vMerge/>
            <w:vAlign w:val="center"/>
          </w:tcPr>
          <w:p w14:paraId="3D4ACA9B" w14:textId="77777777" w:rsidR="00E957E4" w:rsidRPr="00E56E54" w:rsidRDefault="00E957E4" w:rsidP="008B6633">
            <w:pPr>
              <w:keepNext/>
              <w:keepLines/>
              <w:jc w:val="center"/>
              <w:rPr>
                <w:rFonts w:ascii="Arial Narrow" w:hAnsi="Arial Narrow"/>
                <w:b/>
                <w:color w:val="000000" w:themeColor="text1"/>
                <w:sz w:val="20"/>
                <w:szCs w:val="20"/>
              </w:rPr>
            </w:pPr>
          </w:p>
        </w:tc>
        <w:tc>
          <w:tcPr>
            <w:tcW w:w="2109" w:type="dxa"/>
            <w:vMerge/>
            <w:vAlign w:val="center"/>
          </w:tcPr>
          <w:p w14:paraId="794B6BCE" w14:textId="77777777" w:rsidR="00E957E4" w:rsidRPr="00E56E54" w:rsidRDefault="00E957E4" w:rsidP="008B6633">
            <w:pPr>
              <w:keepNext/>
              <w:keepLines/>
              <w:jc w:val="center"/>
              <w:rPr>
                <w:rFonts w:ascii="Arial Narrow" w:hAnsi="Arial Narrow"/>
                <w:b/>
                <w:color w:val="000000" w:themeColor="text1"/>
                <w:sz w:val="20"/>
                <w:szCs w:val="20"/>
              </w:rPr>
            </w:pPr>
          </w:p>
        </w:tc>
        <w:tc>
          <w:tcPr>
            <w:tcW w:w="2109" w:type="dxa"/>
            <w:vAlign w:val="center"/>
          </w:tcPr>
          <w:p w14:paraId="5D73B352" w14:textId="246977E7" w:rsidR="00E957E4" w:rsidRPr="00E56E54" w:rsidRDefault="00E957E4" w:rsidP="008B6633">
            <w:pPr>
              <w:keepNext/>
              <w:keepLines/>
              <w:jc w:val="center"/>
              <w:rPr>
                <w:rFonts w:ascii="Arial Narrow" w:hAnsi="Arial Narrow"/>
                <w:b/>
                <w:color w:val="000000" w:themeColor="text1"/>
                <w:sz w:val="20"/>
                <w:szCs w:val="20"/>
              </w:rPr>
            </w:pPr>
            <w:r w:rsidRPr="00E56E54">
              <w:rPr>
                <w:rFonts w:ascii="Arial Narrow" w:hAnsi="Arial Narrow"/>
                <w:b/>
                <w:color w:val="000000" w:themeColor="text1"/>
                <w:sz w:val="20"/>
                <w:szCs w:val="20"/>
              </w:rPr>
              <w:t>Odevixibat</w:t>
            </w:r>
          </w:p>
        </w:tc>
        <w:tc>
          <w:tcPr>
            <w:tcW w:w="2110" w:type="dxa"/>
            <w:vAlign w:val="center"/>
          </w:tcPr>
          <w:p w14:paraId="3AB349CD" w14:textId="3E43AD21" w:rsidR="00E957E4" w:rsidRPr="00E56E54" w:rsidRDefault="00E957E4" w:rsidP="008B6633">
            <w:pPr>
              <w:keepNext/>
              <w:keepLines/>
              <w:jc w:val="center"/>
              <w:rPr>
                <w:rFonts w:ascii="Arial Narrow" w:hAnsi="Arial Narrow"/>
                <w:b/>
                <w:color w:val="000000" w:themeColor="text1"/>
                <w:sz w:val="20"/>
                <w:szCs w:val="20"/>
              </w:rPr>
            </w:pPr>
            <w:r w:rsidRPr="00E56E54">
              <w:rPr>
                <w:rFonts w:ascii="Arial Narrow" w:hAnsi="Arial Narrow"/>
                <w:b/>
                <w:color w:val="000000" w:themeColor="text1"/>
                <w:sz w:val="20"/>
                <w:szCs w:val="20"/>
              </w:rPr>
              <w:t>SoC</w:t>
            </w:r>
          </w:p>
        </w:tc>
      </w:tr>
      <w:tr w:rsidR="00792603" w:rsidRPr="00275521" w14:paraId="34E20FF1" w14:textId="77777777">
        <w:tc>
          <w:tcPr>
            <w:tcW w:w="2689" w:type="dxa"/>
            <w:vAlign w:val="center"/>
          </w:tcPr>
          <w:p w14:paraId="6C670DAE"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5</w:t>
            </w:r>
          </w:p>
        </w:tc>
        <w:tc>
          <w:tcPr>
            <w:tcW w:w="2109" w:type="dxa"/>
            <w:vAlign w:val="center"/>
          </w:tcPr>
          <w:p w14:paraId="4884AC58"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92.8%</w:t>
            </w:r>
          </w:p>
        </w:tc>
        <w:tc>
          <w:tcPr>
            <w:tcW w:w="2109" w:type="dxa"/>
            <w:vAlign w:val="center"/>
          </w:tcPr>
          <w:p w14:paraId="24D49326"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90%</w:t>
            </w:r>
          </w:p>
        </w:tc>
        <w:tc>
          <w:tcPr>
            <w:tcW w:w="2110" w:type="dxa"/>
            <w:vAlign w:val="center"/>
          </w:tcPr>
          <w:p w14:paraId="0A1DD0DB"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79%</w:t>
            </w:r>
          </w:p>
        </w:tc>
      </w:tr>
      <w:tr w:rsidR="00792603" w:rsidRPr="00275521" w14:paraId="341044B3" w14:textId="77777777">
        <w:tc>
          <w:tcPr>
            <w:tcW w:w="2689" w:type="dxa"/>
            <w:vAlign w:val="center"/>
          </w:tcPr>
          <w:p w14:paraId="5F8A54BC"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10</w:t>
            </w:r>
          </w:p>
        </w:tc>
        <w:tc>
          <w:tcPr>
            <w:tcW w:w="2109" w:type="dxa"/>
            <w:vAlign w:val="center"/>
          </w:tcPr>
          <w:p w14:paraId="58E19560"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91.2%</w:t>
            </w:r>
          </w:p>
        </w:tc>
        <w:tc>
          <w:tcPr>
            <w:tcW w:w="2109" w:type="dxa"/>
            <w:vAlign w:val="center"/>
          </w:tcPr>
          <w:p w14:paraId="612C5EFC"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81%</w:t>
            </w:r>
          </w:p>
        </w:tc>
        <w:tc>
          <w:tcPr>
            <w:tcW w:w="2110" w:type="dxa"/>
            <w:vAlign w:val="center"/>
          </w:tcPr>
          <w:p w14:paraId="7E44E4F3"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64%</w:t>
            </w:r>
          </w:p>
        </w:tc>
      </w:tr>
      <w:tr w:rsidR="00792603" w:rsidRPr="00275521" w14:paraId="13DB3481" w14:textId="77777777">
        <w:tc>
          <w:tcPr>
            <w:tcW w:w="2689" w:type="dxa"/>
            <w:vAlign w:val="center"/>
          </w:tcPr>
          <w:p w14:paraId="6F285BC5"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18</w:t>
            </w:r>
          </w:p>
        </w:tc>
        <w:tc>
          <w:tcPr>
            <w:tcW w:w="2109" w:type="dxa"/>
            <w:vAlign w:val="center"/>
          </w:tcPr>
          <w:p w14:paraId="7A557F1C"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88.1%</w:t>
            </w:r>
          </w:p>
        </w:tc>
        <w:tc>
          <w:tcPr>
            <w:tcW w:w="2109" w:type="dxa"/>
            <w:vAlign w:val="center"/>
          </w:tcPr>
          <w:p w14:paraId="3CFA60C4"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66%</w:t>
            </w:r>
          </w:p>
        </w:tc>
        <w:tc>
          <w:tcPr>
            <w:tcW w:w="2110" w:type="dxa"/>
            <w:vAlign w:val="center"/>
          </w:tcPr>
          <w:p w14:paraId="6C5F01F6" w14:textId="77777777" w:rsidR="00E957E4" w:rsidRPr="00E56E54" w:rsidRDefault="00E957E4" w:rsidP="008B6633">
            <w:pPr>
              <w:keepNext/>
              <w:keepLines/>
              <w:jc w:val="center"/>
              <w:rPr>
                <w:rFonts w:ascii="Arial Narrow" w:hAnsi="Arial Narrow"/>
                <w:color w:val="000000" w:themeColor="text1"/>
                <w:sz w:val="20"/>
                <w:szCs w:val="20"/>
              </w:rPr>
            </w:pPr>
            <w:r w:rsidRPr="00E56E54">
              <w:rPr>
                <w:rFonts w:ascii="Arial Narrow" w:hAnsi="Arial Narrow"/>
                <w:color w:val="000000" w:themeColor="text1"/>
                <w:sz w:val="20"/>
                <w:szCs w:val="20"/>
              </w:rPr>
              <w:t>45%</w:t>
            </w:r>
          </w:p>
        </w:tc>
      </w:tr>
    </w:tbl>
    <w:p w14:paraId="5B79EF56" w14:textId="5BB5B9AA" w:rsidR="00371E86" w:rsidRPr="00275521" w:rsidRDefault="00371E86" w:rsidP="008B6633">
      <w:pPr>
        <w:pStyle w:val="TableFigureFooter"/>
        <w:widowControl/>
        <w:rPr>
          <w:i/>
          <w:iCs/>
        </w:rPr>
      </w:pPr>
      <w:r w:rsidRPr="00275521">
        <w:t>Source: Constructed during evaluation from Vandriel 2022 and the submissions economic model ‘Markov Trace’ worksheets</w:t>
      </w:r>
      <w:r w:rsidRPr="00275521">
        <w:br/>
      </w:r>
    </w:p>
    <w:p w14:paraId="0CECCCAE" w14:textId="664B493C" w:rsidR="00371E86" w:rsidRPr="00275521" w:rsidRDefault="00371E86" w:rsidP="008B6633">
      <w:pPr>
        <w:pStyle w:val="TableFigureFooter"/>
        <w:widowControl/>
      </w:pPr>
      <w:r w:rsidRPr="00275521">
        <w:rPr>
          <w:vertAlign w:val="superscript"/>
        </w:rPr>
        <w:t xml:space="preserve">a </w:t>
      </w:r>
      <w:r w:rsidRPr="00275521">
        <w:t xml:space="preserve">Vandriel 2022 (i.e. GALA study) included a cohort of 1433 (57% male) clinically and/or genetically confirmed children with ALGS, with a median follow-up of 6.0 years (IQR 2.6 – 12.0). </w:t>
      </w:r>
    </w:p>
    <w:p w14:paraId="0072946C" w14:textId="09C9C925" w:rsidR="00F04B4B" w:rsidRPr="0056137F" w:rsidRDefault="00371E86" w:rsidP="008B6633">
      <w:pPr>
        <w:pStyle w:val="3-BodyText"/>
        <w:spacing w:before="160"/>
        <w:rPr>
          <w:color w:val="000000" w:themeColor="text1"/>
        </w:rPr>
      </w:pPr>
      <w:r w:rsidRPr="0056137F">
        <w:rPr>
          <w:color w:val="000000" w:themeColor="text1"/>
        </w:rPr>
        <w:t>Modelled survival in the SoC arm was substantially lower than overall patient survival reported in Vandriel 2022</w:t>
      </w:r>
      <w:r w:rsidR="00B81D86" w:rsidRPr="0056137F">
        <w:rPr>
          <w:color w:val="000000" w:themeColor="text1"/>
        </w:rPr>
        <w:t>, and t</w:t>
      </w:r>
      <w:r w:rsidRPr="0056137F">
        <w:rPr>
          <w:color w:val="000000" w:themeColor="text1"/>
        </w:rPr>
        <w:t xml:space="preserve">he modelled odevixibat arm survival was also lower. Overall, the </w:t>
      </w:r>
      <w:r w:rsidR="00A91553">
        <w:rPr>
          <w:color w:val="000000" w:themeColor="text1"/>
        </w:rPr>
        <w:t>PBAC</w:t>
      </w:r>
      <w:r w:rsidR="006C0409" w:rsidRPr="0056137F">
        <w:rPr>
          <w:color w:val="000000" w:themeColor="text1"/>
        </w:rPr>
        <w:t xml:space="preserve"> considered that the </w:t>
      </w:r>
      <w:r w:rsidRPr="0056137F">
        <w:rPr>
          <w:color w:val="000000" w:themeColor="text1"/>
        </w:rPr>
        <w:t xml:space="preserve">modelled survival outcomes demonstrated poor external validation, and therefore the reliability and generalisability to the PBS ALGS population was </w:t>
      </w:r>
      <w:r w:rsidR="00D3286B">
        <w:rPr>
          <w:color w:val="000000" w:themeColor="text1"/>
        </w:rPr>
        <w:t xml:space="preserve">highly </w:t>
      </w:r>
      <w:r w:rsidRPr="0056137F">
        <w:rPr>
          <w:color w:val="000000" w:themeColor="text1"/>
        </w:rPr>
        <w:t>uncertain.</w:t>
      </w:r>
    </w:p>
    <w:p w14:paraId="0FF813DD" w14:textId="3F9E1ECC" w:rsidR="00371E86" w:rsidRPr="00275521" w:rsidRDefault="00371E86" w:rsidP="008B6633">
      <w:pPr>
        <w:pStyle w:val="3-BodyText"/>
        <w:spacing w:before="160"/>
        <w:rPr>
          <w:color w:val="000000" w:themeColor="text1"/>
        </w:rPr>
      </w:pPr>
      <w:r w:rsidRPr="00275521">
        <w:rPr>
          <w:color w:val="000000" w:themeColor="text1"/>
        </w:rPr>
        <w:t xml:space="preserve">The key drivers of the economic model are summarised in </w:t>
      </w:r>
      <w:r w:rsidRPr="00275521">
        <w:rPr>
          <w:color w:val="000000" w:themeColor="text1"/>
        </w:rPr>
        <w:fldChar w:fldCharType="begin"/>
      </w:r>
      <w:r w:rsidRPr="00275521">
        <w:rPr>
          <w:color w:val="000000" w:themeColor="text1"/>
        </w:rPr>
        <w:instrText xml:space="preserve"> REF _Ref104805122 \h </w:instrText>
      </w:r>
      <w:r w:rsidRPr="00275521">
        <w:rPr>
          <w:color w:val="000000" w:themeColor="text1"/>
        </w:rPr>
      </w:r>
      <w:r w:rsidRPr="00275521">
        <w:rPr>
          <w:color w:val="000000" w:themeColor="text1"/>
        </w:rPr>
        <w:fldChar w:fldCharType="separate"/>
      </w:r>
      <w:r w:rsidR="0060088A" w:rsidRPr="00275521">
        <w:t xml:space="preserve">Table </w:t>
      </w:r>
      <w:r w:rsidR="0060088A">
        <w:rPr>
          <w:noProof/>
        </w:rPr>
        <w:t>15</w:t>
      </w:r>
      <w:r w:rsidRPr="00275521">
        <w:rPr>
          <w:color w:val="000000" w:themeColor="text1"/>
        </w:rPr>
        <w:fldChar w:fldCharType="end"/>
      </w:r>
      <w:r w:rsidRPr="00275521">
        <w:rPr>
          <w:color w:val="000000" w:themeColor="text1"/>
        </w:rPr>
        <w:t>.</w:t>
      </w:r>
    </w:p>
    <w:p w14:paraId="774D46B7" w14:textId="1687D541" w:rsidR="00D110BD" w:rsidRPr="00275521" w:rsidRDefault="00E16AD8" w:rsidP="008B6633">
      <w:pPr>
        <w:pStyle w:val="Caption"/>
        <w:spacing w:before="160"/>
        <w:jc w:val="left"/>
        <w:rPr>
          <w:rStyle w:val="CommentReference"/>
          <w:b/>
          <w:szCs w:val="24"/>
        </w:rPr>
      </w:pPr>
      <w:bookmarkStart w:id="70" w:name="_Ref104805122"/>
      <w:r w:rsidRPr="00275521">
        <w:t xml:space="preserve">Table </w:t>
      </w:r>
      <w:fldSimple w:instr=" SEQ Table \* ARABIC ">
        <w:r w:rsidR="0060088A">
          <w:rPr>
            <w:noProof/>
          </w:rPr>
          <w:t>15</w:t>
        </w:r>
      </w:fldSimple>
      <w:bookmarkEnd w:id="70"/>
      <w:r w:rsidRPr="00275521">
        <w:t>:</w:t>
      </w:r>
      <w:r w:rsidR="00D110BD" w:rsidRPr="00275521">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Key drivers of the model"/>
      </w:tblPr>
      <w:tblGrid>
        <w:gridCol w:w="1271"/>
        <w:gridCol w:w="4678"/>
        <w:gridCol w:w="3068"/>
      </w:tblGrid>
      <w:tr w:rsidR="00537182" w:rsidRPr="00275521" w14:paraId="4DD8026E" w14:textId="77777777" w:rsidTr="00EC3D4A">
        <w:trPr>
          <w:tblHeader/>
        </w:trPr>
        <w:tc>
          <w:tcPr>
            <w:tcW w:w="705" w:type="pct"/>
            <w:vAlign w:val="center"/>
          </w:tcPr>
          <w:p w14:paraId="6A9EC2DA" w14:textId="77777777" w:rsidR="00D110BD" w:rsidRPr="0059385D" w:rsidRDefault="00D110BD" w:rsidP="008B6633">
            <w:pPr>
              <w:pStyle w:val="In-tableHeading"/>
              <w:rPr>
                <w:lang w:val="en-AU"/>
              </w:rPr>
            </w:pPr>
            <w:r w:rsidRPr="0059385D">
              <w:rPr>
                <w:lang w:val="en-AU"/>
              </w:rPr>
              <w:t>Description</w:t>
            </w:r>
          </w:p>
        </w:tc>
        <w:tc>
          <w:tcPr>
            <w:tcW w:w="2594" w:type="pct"/>
            <w:vAlign w:val="center"/>
          </w:tcPr>
          <w:p w14:paraId="67A62672" w14:textId="77777777" w:rsidR="00D110BD" w:rsidRPr="0059385D" w:rsidRDefault="00D110BD" w:rsidP="008B6633">
            <w:pPr>
              <w:pStyle w:val="In-tableHeading"/>
              <w:rPr>
                <w:lang w:val="en-AU"/>
              </w:rPr>
            </w:pPr>
            <w:r w:rsidRPr="0059385D">
              <w:rPr>
                <w:lang w:val="en-AU"/>
              </w:rPr>
              <w:t>Method/Value</w:t>
            </w:r>
          </w:p>
        </w:tc>
        <w:tc>
          <w:tcPr>
            <w:tcW w:w="1701" w:type="pct"/>
            <w:vAlign w:val="center"/>
          </w:tcPr>
          <w:p w14:paraId="6B352E41" w14:textId="431CC635" w:rsidR="00D110BD" w:rsidRPr="0059385D" w:rsidRDefault="00D110BD" w:rsidP="008B6633">
            <w:pPr>
              <w:pStyle w:val="In-tableHeading"/>
              <w:rPr>
                <w:lang w:val="en-AU"/>
              </w:rPr>
            </w:pPr>
            <w:r w:rsidRPr="0059385D">
              <w:rPr>
                <w:lang w:val="en-AU"/>
              </w:rPr>
              <w:t>Impact</w:t>
            </w:r>
          </w:p>
          <w:p w14:paraId="6C1DC9EA" w14:textId="319DC3D1" w:rsidR="00490B17" w:rsidRPr="0059385D" w:rsidRDefault="00490B17" w:rsidP="008B6633">
            <w:pPr>
              <w:pStyle w:val="In-tableHeading"/>
              <w:rPr>
                <w:lang w:val="en-AU"/>
              </w:rPr>
            </w:pPr>
            <w:r w:rsidRPr="0059385D">
              <w:rPr>
                <w:lang w:val="en-AU"/>
              </w:rPr>
              <w:t xml:space="preserve">Base case: </w:t>
            </w:r>
            <w:r w:rsidR="00F04886" w:rsidRPr="0059385D">
              <w:rPr>
                <w:lang w:val="en-AU"/>
              </w:rPr>
              <w:t>$</w:t>
            </w:r>
            <w:r w:rsidR="006C4DC1" w:rsidRPr="006C4DC1">
              <w:rPr>
                <w:sz w:val="2"/>
                <w:highlight w:val="black"/>
                <w:lang w:val="en-AU"/>
              </w:rPr>
              <w:t>redacted content</w:t>
            </w:r>
            <w:r w:rsidR="00E7472A">
              <w:rPr>
                <w:vertAlign w:val="superscript"/>
                <w:lang w:val="en-AU"/>
              </w:rPr>
              <w:t>1</w:t>
            </w:r>
            <w:r w:rsidRPr="0059385D">
              <w:rPr>
                <w:lang w:val="en-AU"/>
              </w:rPr>
              <w:t>/QALY</w:t>
            </w:r>
          </w:p>
        </w:tc>
      </w:tr>
      <w:tr w:rsidR="00A44C09" w:rsidRPr="00275521" w14:paraId="4C546E25" w14:textId="77777777" w:rsidTr="00EC3D4A">
        <w:tc>
          <w:tcPr>
            <w:tcW w:w="705" w:type="pct"/>
            <w:vAlign w:val="center"/>
          </w:tcPr>
          <w:p w14:paraId="7E03DA37" w14:textId="1D3B16AF" w:rsidR="00A44C09" w:rsidRPr="0059385D" w:rsidRDefault="00F04886" w:rsidP="008B6633">
            <w:pPr>
              <w:pStyle w:val="TableText0"/>
            </w:pPr>
            <w:r w:rsidRPr="0059385D">
              <w:t xml:space="preserve">Assumption of a 0% </w:t>
            </w:r>
            <w:r w:rsidR="00A44C09" w:rsidRPr="0059385D">
              <w:t>SoC response rate</w:t>
            </w:r>
            <w:r w:rsidRPr="0059385D">
              <w:t xml:space="preserve"> </w:t>
            </w:r>
          </w:p>
        </w:tc>
        <w:tc>
          <w:tcPr>
            <w:tcW w:w="2594" w:type="pct"/>
            <w:vAlign w:val="center"/>
          </w:tcPr>
          <w:p w14:paraId="569D0B2B" w14:textId="2331E44D" w:rsidR="00F04886" w:rsidRPr="0059385D" w:rsidRDefault="00F04886" w:rsidP="008B6633">
            <w:pPr>
              <w:pStyle w:val="TableText0"/>
            </w:pPr>
            <w:r w:rsidRPr="0059385D">
              <w:t xml:space="preserve">The model assumed a </w:t>
            </w:r>
            <w:r w:rsidR="00BB2B2F" w:rsidRPr="0059385D">
              <w:t xml:space="preserve">0% </w:t>
            </w:r>
            <w:r w:rsidRPr="0059385D">
              <w:t xml:space="preserve">pruritus </w:t>
            </w:r>
            <w:r w:rsidR="00BB2B2F" w:rsidRPr="0059385D">
              <w:t xml:space="preserve">response </w:t>
            </w:r>
            <w:r w:rsidRPr="0059385D">
              <w:t>in the SoC arm.</w:t>
            </w:r>
            <w:r w:rsidR="00BB2B2F" w:rsidRPr="0059385D">
              <w:t xml:space="preserve"> </w:t>
            </w:r>
          </w:p>
          <w:p w14:paraId="74D77E31" w14:textId="5CC2D219" w:rsidR="00A44C09" w:rsidRPr="0059385D" w:rsidRDefault="00F04886" w:rsidP="008B6633">
            <w:pPr>
              <w:pStyle w:val="TableText0"/>
            </w:pPr>
            <w:r w:rsidRPr="0059385D">
              <w:t xml:space="preserve">This was inconsistent with the </w:t>
            </w:r>
            <w:r w:rsidR="00BB2B2F" w:rsidRPr="0059385D">
              <w:t xml:space="preserve">40% </w:t>
            </w:r>
            <w:r w:rsidRPr="0059385D">
              <w:t>response rate reported</w:t>
            </w:r>
            <w:r w:rsidR="00BB2B2F" w:rsidRPr="0059385D">
              <w:t xml:space="preserve"> in the Sponsor’s post-hoc pooled analysis</w:t>
            </w:r>
            <w:r w:rsidRPr="0059385D">
              <w:t>.</w:t>
            </w:r>
          </w:p>
        </w:tc>
        <w:tc>
          <w:tcPr>
            <w:tcW w:w="1701" w:type="pct"/>
            <w:vAlign w:val="center"/>
          </w:tcPr>
          <w:p w14:paraId="3D22464D" w14:textId="77777777" w:rsidR="00A44C09" w:rsidRPr="0059385D" w:rsidRDefault="00F04886" w:rsidP="008B6633">
            <w:pPr>
              <w:pStyle w:val="TableText0"/>
            </w:pPr>
            <w:r w:rsidRPr="0059385D">
              <w:t>High, favoured odevixibat.</w:t>
            </w:r>
          </w:p>
          <w:p w14:paraId="0A1114B7" w14:textId="712D9A04" w:rsidR="00F04886" w:rsidRPr="0059385D" w:rsidRDefault="00F04886" w:rsidP="008B6633">
            <w:pPr>
              <w:pStyle w:val="TableText0"/>
            </w:pPr>
            <w:r w:rsidRPr="0059385D">
              <w:t xml:space="preserve">Assuming a 40% SoC response rate per the Sponsor’s pooled analysis increased the ICER by </w:t>
            </w:r>
            <w:r w:rsidR="006C4DC1" w:rsidRPr="006C4DC1">
              <w:rPr>
                <w:sz w:val="2"/>
                <w:highlight w:val="black"/>
              </w:rPr>
              <w:t>redacted content</w:t>
            </w:r>
            <w:r w:rsidRPr="0059385D">
              <w:t>% ($</w:t>
            </w:r>
            <w:r w:rsidR="006C4DC1" w:rsidRPr="006C4DC1">
              <w:rPr>
                <w:sz w:val="2"/>
                <w:highlight w:val="black"/>
              </w:rPr>
              <w:t>redacted content</w:t>
            </w:r>
            <w:r w:rsidR="00E7472A">
              <w:rPr>
                <w:vertAlign w:val="superscript"/>
              </w:rPr>
              <w:t>1</w:t>
            </w:r>
            <w:r w:rsidRPr="0059385D">
              <w:t>/QALY).</w:t>
            </w:r>
          </w:p>
        </w:tc>
      </w:tr>
      <w:tr w:rsidR="00A44C09" w:rsidRPr="00275521" w14:paraId="19D811E1" w14:textId="77777777" w:rsidTr="00EC3D4A">
        <w:tc>
          <w:tcPr>
            <w:tcW w:w="705" w:type="pct"/>
            <w:vAlign w:val="center"/>
          </w:tcPr>
          <w:p w14:paraId="129885D8" w14:textId="59B50EF5" w:rsidR="00A44C09" w:rsidRPr="0059385D" w:rsidRDefault="00BB2B2F" w:rsidP="008B6633">
            <w:pPr>
              <w:pStyle w:val="TableText0"/>
            </w:pPr>
            <w:r w:rsidRPr="0059385D">
              <w:t>SoC treatment costs</w:t>
            </w:r>
          </w:p>
        </w:tc>
        <w:tc>
          <w:tcPr>
            <w:tcW w:w="2594" w:type="pct"/>
            <w:vAlign w:val="center"/>
          </w:tcPr>
          <w:p w14:paraId="29E39A1B" w14:textId="7C52B6AF" w:rsidR="00A44C09" w:rsidRPr="0059385D" w:rsidRDefault="00F04886" w:rsidP="008B6633">
            <w:pPr>
              <w:pStyle w:val="TableText0"/>
            </w:pPr>
            <w:r w:rsidRPr="0059385D">
              <w:t>The model assumed that odevixibat treatment would replace SoC. I.e. no SoC treatment costs (UDCA, rifampicin etc.) were accrued in the odevixibat arm.</w:t>
            </w:r>
          </w:p>
          <w:p w14:paraId="00537575" w14:textId="3A58C4B6" w:rsidR="00F04886" w:rsidRPr="0059385D" w:rsidRDefault="00F04886" w:rsidP="008B6633">
            <w:pPr>
              <w:pStyle w:val="TableText0"/>
            </w:pPr>
            <w:r w:rsidRPr="0059385D">
              <w:t>This was inconsistent with the proposed clinical algorithm and clinical trial data from ASSERT which showed odevixibat treated patients continued to receive these concomitant medications.</w:t>
            </w:r>
          </w:p>
        </w:tc>
        <w:tc>
          <w:tcPr>
            <w:tcW w:w="1701" w:type="pct"/>
            <w:vAlign w:val="center"/>
          </w:tcPr>
          <w:p w14:paraId="097C17EE" w14:textId="77777777" w:rsidR="00F04886" w:rsidRPr="0059385D" w:rsidRDefault="00F04886" w:rsidP="008B6633">
            <w:pPr>
              <w:pStyle w:val="TableText0"/>
            </w:pPr>
            <w:r w:rsidRPr="0059385D">
              <w:t>High, favoured odevixibat.</w:t>
            </w:r>
          </w:p>
          <w:p w14:paraId="1CCDAFA5" w14:textId="60246B06" w:rsidR="00A44C09" w:rsidRPr="0059385D" w:rsidRDefault="00F04886" w:rsidP="008B6633">
            <w:pPr>
              <w:pStyle w:val="TableText0"/>
            </w:pPr>
            <w:r w:rsidRPr="0059385D">
              <w:t>Including SoC treatment costs in the odevixibat arm increased the ICER by 115% ($</w:t>
            </w:r>
            <w:r w:rsidR="006C4DC1" w:rsidRPr="006C4DC1">
              <w:rPr>
                <w:sz w:val="2"/>
                <w:highlight w:val="black"/>
              </w:rPr>
              <w:t>redacted content</w:t>
            </w:r>
            <w:r w:rsidR="00E7472A">
              <w:rPr>
                <w:vertAlign w:val="superscript"/>
              </w:rPr>
              <w:t>1</w:t>
            </w:r>
            <w:r w:rsidRPr="0059385D">
              <w:t>/QALY).</w:t>
            </w:r>
          </w:p>
        </w:tc>
      </w:tr>
      <w:tr w:rsidR="00537182" w:rsidRPr="00275521" w14:paraId="3DE22150" w14:textId="77777777" w:rsidTr="00EC3D4A">
        <w:tc>
          <w:tcPr>
            <w:tcW w:w="705" w:type="pct"/>
            <w:vAlign w:val="center"/>
          </w:tcPr>
          <w:p w14:paraId="72E20981" w14:textId="59A1A421" w:rsidR="00D110BD" w:rsidRPr="0059385D" w:rsidRDefault="00BB2B2F" w:rsidP="008B6633">
            <w:pPr>
              <w:pStyle w:val="TableText0"/>
            </w:pPr>
            <w:r w:rsidRPr="0059385D">
              <w:t>LT related mortality</w:t>
            </w:r>
          </w:p>
        </w:tc>
        <w:tc>
          <w:tcPr>
            <w:tcW w:w="2594" w:type="pct"/>
            <w:vAlign w:val="center"/>
          </w:tcPr>
          <w:p w14:paraId="72719EE9" w14:textId="350FFEE5" w:rsidR="00E84712" w:rsidRPr="0059385D" w:rsidRDefault="00F04886" w:rsidP="008B6633">
            <w:pPr>
              <w:pStyle w:val="TableText0"/>
            </w:pPr>
            <w:r w:rsidRPr="0059385D">
              <w:t>The model assumed a once-off risk of death of 25.17% with LT surgery, in addition to</w:t>
            </w:r>
            <w:r w:rsidR="00E84712" w:rsidRPr="0059385D">
              <w:t xml:space="preserve"> an increased risk of death following LT compared to the responder and non-responder health states. </w:t>
            </w:r>
          </w:p>
          <w:p w14:paraId="64938802" w14:textId="02E05CAC" w:rsidR="00106B80" w:rsidRPr="0059385D" w:rsidRDefault="00E84712" w:rsidP="008B6633">
            <w:pPr>
              <w:pStyle w:val="TableText0"/>
            </w:pPr>
            <w:r w:rsidRPr="0059385D">
              <w:t>In addition, the post-LT survival (80% at five years</w:t>
            </w:r>
            <w:r w:rsidR="00116327" w:rsidRPr="0059385D">
              <w:t xml:space="preserve"> in the SOC arm</w:t>
            </w:r>
            <w:r w:rsidRPr="0059385D">
              <w:t>) was lower than that reported by Vandriel 2022 and the Aus/NZ transplant registry (91% at 10 yrs)</w:t>
            </w:r>
          </w:p>
        </w:tc>
        <w:tc>
          <w:tcPr>
            <w:tcW w:w="1701" w:type="pct"/>
            <w:vAlign w:val="center"/>
          </w:tcPr>
          <w:p w14:paraId="37788A05" w14:textId="77777777" w:rsidR="00490B17" w:rsidRPr="0059385D" w:rsidRDefault="00E84712" w:rsidP="008B6633">
            <w:pPr>
              <w:pStyle w:val="TableText0"/>
            </w:pPr>
            <w:r w:rsidRPr="0059385D">
              <w:t>High, favoured odevixibat.</w:t>
            </w:r>
          </w:p>
          <w:p w14:paraId="7200DB9B" w14:textId="7CBBC41D" w:rsidR="00E84712" w:rsidRPr="0059385D" w:rsidRDefault="00E84712" w:rsidP="008B6633">
            <w:pPr>
              <w:pStyle w:val="TableText0"/>
            </w:pPr>
            <w:r w:rsidRPr="0059385D">
              <w:t xml:space="preserve">Removal of the once-off 25% risk of death with LT increased the ICER by </w:t>
            </w:r>
            <w:r w:rsidR="006C4DC1" w:rsidRPr="006C4DC1">
              <w:rPr>
                <w:sz w:val="2"/>
                <w:highlight w:val="black"/>
              </w:rPr>
              <w:t>redacted content</w:t>
            </w:r>
            <w:r w:rsidRPr="0059385D">
              <w:t>% ($</w:t>
            </w:r>
            <w:r w:rsidR="006C4DC1" w:rsidRPr="006C4DC1">
              <w:rPr>
                <w:sz w:val="2"/>
                <w:highlight w:val="black"/>
              </w:rPr>
              <w:t>redacted content</w:t>
            </w:r>
            <w:r w:rsidR="00E7472A">
              <w:rPr>
                <w:vertAlign w:val="superscript"/>
              </w:rPr>
              <w:t>1</w:t>
            </w:r>
            <w:r w:rsidRPr="0059385D">
              <w:t>/QALY).</w:t>
            </w:r>
          </w:p>
          <w:p w14:paraId="0AD58F2B" w14:textId="001A80A6" w:rsidR="00E84712" w:rsidRPr="0059385D" w:rsidRDefault="00E84712" w:rsidP="008B6633">
            <w:pPr>
              <w:pStyle w:val="TableText0"/>
            </w:pPr>
            <w:r w:rsidRPr="0059385D">
              <w:t>Use of Vandriel 2022 post LT survival (</w:t>
            </w:r>
            <w:r w:rsidR="006C4DC1" w:rsidRPr="006C4DC1">
              <w:rPr>
                <w:sz w:val="2"/>
                <w:highlight w:val="black"/>
              </w:rPr>
              <w:t>redacted content</w:t>
            </w:r>
            <w:r w:rsidRPr="0059385D">
              <w:t xml:space="preserve">% at 10 years) increased the ICER by </w:t>
            </w:r>
            <w:r w:rsidR="006C4DC1" w:rsidRPr="006C4DC1">
              <w:rPr>
                <w:sz w:val="2"/>
                <w:highlight w:val="black"/>
              </w:rPr>
              <w:t>redacted content</w:t>
            </w:r>
            <w:r w:rsidRPr="0059385D">
              <w:t>% ($</w:t>
            </w:r>
            <w:r w:rsidR="006C4DC1" w:rsidRPr="006C4DC1">
              <w:rPr>
                <w:sz w:val="2"/>
                <w:highlight w:val="black"/>
              </w:rPr>
              <w:t>redacted content</w:t>
            </w:r>
            <w:r w:rsidR="00E7472A">
              <w:rPr>
                <w:vertAlign w:val="superscript"/>
              </w:rPr>
              <w:t>1</w:t>
            </w:r>
            <w:r w:rsidRPr="0059385D">
              <w:t>/QALY).</w:t>
            </w:r>
          </w:p>
        </w:tc>
      </w:tr>
      <w:tr w:rsidR="00EC3D4A" w:rsidRPr="00275521" w14:paraId="71E56D1B" w14:textId="77777777" w:rsidTr="00EC3D4A">
        <w:tc>
          <w:tcPr>
            <w:tcW w:w="705" w:type="pct"/>
            <w:vAlign w:val="center"/>
          </w:tcPr>
          <w:p w14:paraId="15CBBF96" w14:textId="39F616FB" w:rsidR="00EC3D4A" w:rsidRPr="0059385D" w:rsidRDefault="00EC3D4A" w:rsidP="008B6633">
            <w:pPr>
              <w:pStyle w:val="TableText0"/>
            </w:pPr>
            <w:r w:rsidRPr="0059385D">
              <w:t>Baseline age</w:t>
            </w:r>
          </w:p>
        </w:tc>
        <w:tc>
          <w:tcPr>
            <w:tcW w:w="2594" w:type="pct"/>
            <w:vAlign w:val="center"/>
          </w:tcPr>
          <w:p w14:paraId="4481940A" w14:textId="4E6BC1E1" w:rsidR="00EC3D4A" w:rsidRPr="0059385D" w:rsidRDefault="00EC3D4A" w:rsidP="008B6633">
            <w:pPr>
              <w:pStyle w:val="TableText0"/>
            </w:pPr>
            <w:r w:rsidRPr="0059385D">
              <w:t xml:space="preserve">The model assumed all patients commenced odevixibat treatment at six months of age. Due to the weight-based dosing of odevixibat, this meant that patients commenced treatment at the </w:t>
            </w:r>
            <w:r w:rsidR="00400B34" w:rsidRPr="0059385D">
              <w:t>lowest possible</w:t>
            </w:r>
            <w:r w:rsidRPr="0059385D">
              <w:t xml:space="preserve"> dose.</w:t>
            </w:r>
          </w:p>
        </w:tc>
        <w:tc>
          <w:tcPr>
            <w:tcW w:w="1701" w:type="pct"/>
            <w:vAlign w:val="center"/>
          </w:tcPr>
          <w:p w14:paraId="11911ABD" w14:textId="77777777" w:rsidR="00EC3D4A" w:rsidRPr="0059385D" w:rsidRDefault="00EC3D4A" w:rsidP="008B6633">
            <w:pPr>
              <w:pStyle w:val="TableText0"/>
            </w:pPr>
            <w:r w:rsidRPr="0059385D">
              <w:t>High, favoured odevixibat.</w:t>
            </w:r>
          </w:p>
          <w:p w14:paraId="3A192677" w14:textId="1A0D5D1A" w:rsidR="00EC3D4A" w:rsidRPr="0059385D" w:rsidRDefault="00EC3D4A" w:rsidP="008B6633">
            <w:pPr>
              <w:pStyle w:val="TableText0"/>
            </w:pPr>
            <w:r w:rsidRPr="0059385D">
              <w:t xml:space="preserve">Increasing the baseline age to 6.29 years (ASSERT mean baseline) increased the ICER by </w:t>
            </w:r>
            <w:r w:rsidR="006C4DC1" w:rsidRPr="006C4DC1">
              <w:rPr>
                <w:sz w:val="2"/>
                <w:highlight w:val="black"/>
              </w:rPr>
              <w:t>redacted content</w:t>
            </w:r>
            <w:r w:rsidRPr="0059385D">
              <w:t>% ($</w:t>
            </w:r>
            <w:r w:rsidR="006C4DC1" w:rsidRPr="006C4DC1">
              <w:rPr>
                <w:sz w:val="2"/>
                <w:highlight w:val="black"/>
              </w:rPr>
              <w:t>redacted content</w:t>
            </w:r>
            <w:r w:rsidR="00E7472A">
              <w:rPr>
                <w:vertAlign w:val="superscript"/>
              </w:rPr>
              <w:t>1</w:t>
            </w:r>
            <w:r w:rsidRPr="0059385D">
              <w:t>/QALY).</w:t>
            </w:r>
          </w:p>
        </w:tc>
      </w:tr>
      <w:tr w:rsidR="00EC3D4A" w:rsidRPr="00275521" w14:paraId="3483847F" w14:textId="77777777" w:rsidTr="00EC3D4A">
        <w:tc>
          <w:tcPr>
            <w:tcW w:w="705" w:type="pct"/>
            <w:vAlign w:val="center"/>
          </w:tcPr>
          <w:p w14:paraId="2724D8D9" w14:textId="1DF550B7" w:rsidR="00EC3D4A" w:rsidRPr="0059385D" w:rsidRDefault="00EC3D4A" w:rsidP="008B6633">
            <w:pPr>
              <w:pStyle w:val="TableText0"/>
            </w:pPr>
            <w:r w:rsidRPr="0059385D">
              <w:t>Rate of LT in non-responders</w:t>
            </w:r>
          </w:p>
        </w:tc>
        <w:tc>
          <w:tcPr>
            <w:tcW w:w="2594" w:type="pct"/>
            <w:vAlign w:val="center"/>
          </w:tcPr>
          <w:p w14:paraId="4B9FCE0E" w14:textId="3F3E5959" w:rsidR="00EC3D4A" w:rsidRPr="0059385D" w:rsidRDefault="00EC3D4A" w:rsidP="008B6633">
            <w:pPr>
              <w:pStyle w:val="TableText0"/>
            </w:pPr>
            <w:r w:rsidRPr="0059385D">
              <w:t>The progression from non-responder to LT was 47% at 4 years, informed from Quiros-Tejeira 1999 (N=43). This was higher than what was observed in the GALA study, reported the cumulative incidence of LT at 5, 10, and 18-years was 27.1%, 37.8% and 50.4% respectively.</w:t>
            </w:r>
          </w:p>
        </w:tc>
        <w:tc>
          <w:tcPr>
            <w:tcW w:w="1701" w:type="pct"/>
            <w:vAlign w:val="center"/>
          </w:tcPr>
          <w:p w14:paraId="6DB03708" w14:textId="58691147" w:rsidR="00EC3D4A" w:rsidRPr="0059385D" w:rsidRDefault="00EC3D4A" w:rsidP="008B6633">
            <w:pPr>
              <w:pStyle w:val="TableText0"/>
            </w:pPr>
            <w:r w:rsidRPr="0059385D">
              <w:t>Moderate, favoured odevixibat.</w:t>
            </w:r>
          </w:p>
          <w:p w14:paraId="1D71760E" w14:textId="39D24479" w:rsidR="00EC3D4A" w:rsidRPr="0059385D" w:rsidRDefault="00EC3D4A" w:rsidP="008B6633">
            <w:pPr>
              <w:pStyle w:val="TableText0"/>
            </w:pPr>
            <w:r w:rsidRPr="0059385D">
              <w:t xml:space="preserve">Reducing the rate of LT to 50.4% at </w:t>
            </w:r>
            <w:r w:rsidR="00A92758" w:rsidRPr="0059385D">
              <w:t xml:space="preserve">18 </w:t>
            </w:r>
            <w:r w:rsidRPr="0059385D">
              <w:t xml:space="preserve">years increased the ICER by </w:t>
            </w:r>
            <w:r w:rsidR="006C4DC1" w:rsidRPr="006C4DC1">
              <w:rPr>
                <w:sz w:val="2"/>
                <w:highlight w:val="black"/>
              </w:rPr>
              <w:t>redacted content</w:t>
            </w:r>
            <w:r w:rsidRPr="0059385D">
              <w:t>% ($</w:t>
            </w:r>
            <w:r w:rsidR="006C4DC1" w:rsidRPr="006C4DC1">
              <w:rPr>
                <w:sz w:val="2"/>
                <w:highlight w:val="black"/>
              </w:rPr>
              <w:t>redacted content</w:t>
            </w:r>
            <w:r w:rsidR="00E7472A">
              <w:rPr>
                <w:vertAlign w:val="superscript"/>
              </w:rPr>
              <w:t>1</w:t>
            </w:r>
            <w:r w:rsidRPr="0059385D">
              <w:t>/QALY).</w:t>
            </w:r>
          </w:p>
          <w:p w14:paraId="4CB0C507" w14:textId="55F68745" w:rsidR="00EC3D4A" w:rsidRPr="0059385D" w:rsidRDefault="00EC3D4A" w:rsidP="008B6633">
            <w:pPr>
              <w:pStyle w:val="TableText0"/>
            </w:pPr>
          </w:p>
        </w:tc>
      </w:tr>
    </w:tbl>
    <w:p w14:paraId="30E97087" w14:textId="7EE3177B" w:rsidR="00D110BD" w:rsidRPr="00275521" w:rsidRDefault="009D792E" w:rsidP="008B6633">
      <w:pPr>
        <w:pStyle w:val="FooterTableFigure"/>
      </w:pPr>
      <w:r w:rsidRPr="00275521">
        <w:t xml:space="preserve">Source: </w:t>
      </w:r>
      <w:r w:rsidR="00371CF8" w:rsidRPr="00275521">
        <w:t>Various sensitivity analyses from the economic model</w:t>
      </w:r>
    </w:p>
    <w:p w14:paraId="4A58671D" w14:textId="77777777" w:rsidR="00D053F9" w:rsidRDefault="00371CF8" w:rsidP="00D053F9">
      <w:pPr>
        <w:pStyle w:val="FooterTableFigure"/>
        <w:spacing w:before="160"/>
        <w:jc w:val="left"/>
        <w:rPr>
          <w:i/>
          <w:szCs w:val="18"/>
        </w:rPr>
      </w:pPr>
      <w:r w:rsidRPr="00275521">
        <w:t>Abbreviations: ICER = incremental cost effectiveness ratio; QALY = quality adjusted life years; SoC = standard of care</w:t>
      </w:r>
      <w:r w:rsidR="000A36D6" w:rsidRPr="00275521">
        <w:t>; UDCA = ursodeoxycholic acid</w:t>
      </w:r>
    </w:p>
    <w:p w14:paraId="43E74DE1" w14:textId="2B67DB64" w:rsidR="00D053F9" w:rsidRPr="00D053F9" w:rsidRDefault="00D053F9" w:rsidP="00D053F9">
      <w:pPr>
        <w:pStyle w:val="FooterTableFigure"/>
        <w:spacing w:before="160"/>
        <w:jc w:val="left"/>
        <w:rPr>
          <w:i/>
        </w:rPr>
      </w:pPr>
      <w:r w:rsidRPr="00D053F9">
        <w:rPr>
          <w:i/>
        </w:rPr>
        <w:t xml:space="preserve">The redacted values correspond to the following ranges: </w:t>
      </w:r>
    </w:p>
    <w:p w14:paraId="0EE2D5E9" w14:textId="26B4A831" w:rsidR="00371CF8" w:rsidRPr="00E7472A" w:rsidRDefault="00D053F9" w:rsidP="00E7472A">
      <w:pPr>
        <w:pStyle w:val="FooterTableFigure"/>
        <w:spacing w:before="160"/>
        <w:rPr>
          <w:i/>
        </w:rPr>
      </w:pPr>
      <w:r w:rsidRPr="00D053F9">
        <w:rPr>
          <w:i/>
          <w:vertAlign w:val="superscript"/>
        </w:rPr>
        <w:t>1</w:t>
      </w:r>
      <w:r w:rsidRPr="00D053F9">
        <w:rPr>
          <w:i/>
        </w:rPr>
        <w:t xml:space="preserve"> </w:t>
      </w:r>
      <w:r w:rsidR="00E7472A" w:rsidRPr="00E7472A">
        <w:rPr>
          <w:i/>
        </w:rPr>
        <w:t>&gt; $1,055,000</w:t>
      </w:r>
    </w:p>
    <w:p w14:paraId="62AED9C0" w14:textId="77777777" w:rsidR="00D053F9" w:rsidRPr="00275521" w:rsidRDefault="00D053F9" w:rsidP="008B6633">
      <w:pPr>
        <w:pStyle w:val="FooterTableFigure"/>
        <w:spacing w:before="160"/>
        <w:jc w:val="left"/>
      </w:pPr>
    </w:p>
    <w:p w14:paraId="058A196C" w14:textId="7CF6AB04" w:rsidR="006458D4" w:rsidRPr="0059385D" w:rsidRDefault="006458D4" w:rsidP="008B6633">
      <w:pPr>
        <w:pStyle w:val="3-BodyText"/>
        <w:spacing w:before="160"/>
      </w:pPr>
      <w:r w:rsidRPr="0059385D">
        <w:t xml:space="preserve">Results of the economic evaluation (Base </w:t>
      </w:r>
      <w:r w:rsidR="006B6F4A" w:rsidRPr="0059385D">
        <w:t>C</w:t>
      </w:r>
      <w:r w:rsidRPr="0059385D">
        <w:t xml:space="preserve">ase 2; carer disutility excluded) are presented in </w:t>
      </w:r>
      <w:r w:rsidRPr="0059385D">
        <w:fldChar w:fldCharType="begin"/>
      </w:r>
      <w:r w:rsidRPr="0059385D">
        <w:instrText xml:space="preserve"> REF _Ref104805181 \h </w:instrText>
      </w:r>
      <w:r w:rsidR="0059385D" w:rsidRPr="0059385D">
        <w:instrText xml:space="preserve"> \* MERGEFORMAT </w:instrText>
      </w:r>
      <w:r w:rsidRPr="0059385D">
        <w:fldChar w:fldCharType="separate"/>
      </w:r>
      <w:r w:rsidR="0060088A" w:rsidRPr="00275521">
        <w:t xml:space="preserve">Table </w:t>
      </w:r>
      <w:r w:rsidR="0060088A">
        <w:rPr>
          <w:noProof/>
        </w:rPr>
        <w:t>16</w:t>
      </w:r>
      <w:r w:rsidRPr="0059385D">
        <w:fldChar w:fldCharType="end"/>
      </w:r>
      <w:r w:rsidRPr="0059385D">
        <w:t>.</w:t>
      </w:r>
      <w:r w:rsidR="00082960" w:rsidRPr="0059385D">
        <w:t xml:space="preserve"> The submission did not present a stepped economic evaluation.</w:t>
      </w:r>
    </w:p>
    <w:p w14:paraId="2C1B62F3" w14:textId="1BF8E5DA" w:rsidR="001F4081" w:rsidRPr="00275521" w:rsidRDefault="00E16AD8" w:rsidP="008B6633">
      <w:pPr>
        <w:pStyle w:val="Caption"/>
        <w:spacing w:before="160"/>
      </w:pPr>
      <w:bookmarkStart w:id="71" w:name="_Ref104805181"/>
      <w:r w:rsidRPr="00275521">
        <w:t xml:space="preserve">Table </w:t>
      </w:r>
      <w:fldSimple w:instr=" SEQ Table \* ARABIC ">
        <w:r w:rsidR="0060088A">
          <w:rPr>
            <w:noProof/>
          </w:rPr>
          <w:t>16</w:t>
        </w:r>
      </w:fldSimple>
      <w:bookmarkEnd w:id="71"/>
      <w:r w:rsidR="001F4081" w:rsidRPr="00275521">
        <w:rPr>
          <w:rStyle w:val="CommentReference"/>
          <w:b/>
          <w:szCs w:val="24"/>
        </w:rPr>
        <w:t>: Results of the economic evaluation</w:t>
      </w:r>
      <w:r w:rsidR="00FB6CB5">
        <w:rPr>
          <w:rStyle w:val="CommentReference"/>
          <w:b/>
          <w:szCs w:val="24"/>
        </w:rPr>
        <w:t xml:space="preserve"> (Base Case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6: Results of the economic evaluation (Base Case 2)"/>
      </w:tblPr>
      <w:tblGrid>
        <w:gridCol w:w="2689"/>
        <w:gridCol w:w="69"/>
        <w:gridCol w:w="2200"/>
        <w:gridCol w:w="2126"/>
        <w:gridCol w:w="1933"/>
      </w:tblGrid>
      <w:tr w:rsidR="009D476F" w:rsidRPr="00275521" w14:paraId="2D98DC0F" w14:textId="77777777">
        <w:trPr>
          <w:tblHeader/>
        </w:trPr>
        <w:tc>
          <w:tcPr>
            <w:tcW w:w="1529" w:type="pct"/>
            <w:gridSpan w:val="2"/>
            <w:vAlign w:val="center"/>
          </w:tcPr>
          <w:p w14:paraId="52A02E81" w14:textId="77777777" w:rsidR="006458D4" w:rsidRPr="00275521" w:rsidRDefault="006458D4" w:rsidP="008B6633">
            <w:pPr>
              <w:pStyle w:val="Tabletext"/>
              <w:rPr>
                <w:b/>
                <w:bCs/>
              </w:rPr>
            </w:pPr>
            <w:r w:rsidRPr="00275521">
              <w:rPr>
                <w:b/>
                <w:bCs/>
              </w:rPr>
              <w:t>Component</w:t>
            </w:r>
          </w:p>
        </w:tc>
        <w:tc>
          <w:tcPr>
            <w:tcW w:w="1220" w:type="pct"/>
          </w:tcPr>
          <w:p w14:paraId="6624EDEB" w14:textId="77777777" w:rsidR="006458D4" w:rsidRPr="00275521" w:rsidRDefault="006458D4" w:rsidP="008B6633">
            <w:pPr>
              <w:pStyle w:val="Tabletext"/>
              <w:jc w:val="center"/>
              <w:rPr>
                <w:b/>
                <w:bCs/>
              </w:rPr>
            </w:pPr>
            <w:r w:rsidRPr="00275521">
              <w:rPr>
                <w:b/>
                <w:bCs/>
              </w:rPr>
              <w:t>SoC</w:t>
            </w:r>
          </w:p>
        </w:tc>
        <w:tc>
          <w:tcPr>
            <w:tcW w:w="1179" w:type="pct"/>
          </w:tcPr>
          <w:p w14:paraId="31C82F28" w14:textId="77777777" w:rsidR="006458D4" w:rsidRPr="00275521" w:rsidRDefault="006458D4" w:rsidP="008B6633">
            <w:pPr>
              <w:pStyle w:val="Tabletext"/>
              <w:jc w:val="center"/>
              <w:rPr>
                <w:b/>
                <w:bCs/>
              </w:rPr>
            </w:pPr>
            <w:r w:rsidRPr="00275521">
              <w:rPr>
                <w:b/>
                <w:bCs/>
              </w:rPr>
              <w:t>Odevixibat</w:t>
            </w:r>
          </w:p>
        </w:tc>
        <w:tc>
          <w:tcPr>
            <w:tcW w:w="1072" w:type="pct"/>
          </w:tcPr>
          <w:p w14:paraId="67C5E2C0" w14:textId="77777777" w:rsidR="006458D4" w:rsidRPr="00275521" w:rsidRDefault="006458D4" w:rsidP="008B6633">
            <w:pPr>
              <w:pStyle w:val="Tabletext"/>
              <w:jc w:val="center"/>
              <w:rPr>
                <w:b/>
                <w:bCs/>
              </w:rPr>
            </w:pPr>
            <w:r w:rsidRPr="00275521">
              <w:rPr>
                <w:b/>
                <w:bCs/>
              </w:rPr>
              <w:t>Incremental</w:t>
            </w:r>
          </w:p>
        </w:tc>
      </w:tr>
      <w:tr w:rsidR="00311DF9" w:rsidRPr="00275521" w14:paraId="1240AE16" w14:textId="77777777" w:rsidTr="00082960">
        <w:tc>
          <w:tcPr>
            <w:tcW w:w="5000" w:type="pct"/>
            <w:gridSpan w:val="5"/>
            <w:vAlign w:val="center"/>
          </w:tcPr>
          <w:p w14:paraId="6C04E135" w14:textId="63BC45E9" w:rsidR="00082960" w:rsidRPr="00275521" w:rsidRDefault="00082960" w:rsidP="008B6633">
            <w:pPr>
              <w:pStyle w:val="TableText0"/>
              <w:rPr>
                <w:rFonts w:cs="Calibri"/>
                <w:b/>
                <w:bCs w:val="0"/>
                <w:color w:val="000000"/>
              </w:rPr>
            </w:pPr>
            <w:r w:rsidRPr="00275521">
              <w:rPr>
                <w:rFonts w:cs="Calibri"/>
                <w:b/>
                <w:bCs w:val="0"/>
                <w:color w:val="000000"/>
              </w:rPr>
              <w:t xml:space="preserve">Discounted </w:t>
            </w:r>
          </w:p>
        </w:tc>
      </w:tr>
      <w:tr w:rsidR="009D476F" w:rsidRPr="00275521" w14:paraId="4F6CE2C2" w14:textId="77777777">
        <w:tc>
          <w:tcPr>
            <w:tcW w:w="1529" w:type="pct"/>
            <w:gridSpan w:val="2"/>
            <w:vAlign w:val="center"/>
          </w:tcPr>
          <w:p w14:paraId="5C3EEC09" w14:textId="77777777" w:rsidR="006458D4" w:rsidRPr="00275521" w:rsidRDefault="006458D4" w:rsidP="008B6633">
            <w:pPr>
              <w:pStyle w:val="TableText0"/>
              <w:rPr>
                <w:rFonts w:ascii="Times" w:hAnsi="Times"/>
              </w:rPr>
            </w:pPr>
            <w:r w:rsidRPr="00275521">
              <w:t>Costs</w:t>
            </w:r>
          </w:p>
        </w:tc>
        <w:tc>
          <w:tcPr>
            <w:tcW w:w="1220" w:type="pct"/>
            <w:vAlign w:val="center"/>
          </w:tcPr>
          <w:p w14:paraId="74F20522" w14:textId="77777777" w:rsidR="006458D4" w:rsidRPr="00275521" w:rsidRDefault="006458D4" w:rsidP="008B6633">
            <w:pPr>
              <w:pStyle w:val="TableText0"/>
              <w:jc w:val="center"/>
              <w:rPr>
                <w:rFonts w:ascii="Times" w:hAnsi="Times"/>
              </w:rPr>
            </w:pPr>
            <w:r w:rsidRPr="00275521">
              <w:rPr>
                <w:rFonts w:cs="Calibri"/>
                <w:color w:val="000000"/>
              </w:rPr>
              <w:t>$301,438</w:t>
            </w:r>
          </w:p>
        </w:tc>
        <w:tc>
          <w:tcPr>
            <w:tcW w:w="1179" w:type="pct"/>
            <w:vAlign w:val="center"/>
          </w:tcPr>
          <w:p w14:paraId="03BBF0D3" w14:textId="6CEE774C" w:rsidR="006458D4" w:rsidRPr="00275521" w:rsidRDefault="006458D4" w:rsidP="008B6633">
            <w:pPr>
              <w:pStyle w:val="TableText0"/>
              <w:jc w:val="center"/>
              <w:rPr>
                <w:rFonts w:ascii="Times" w:hAnsi="Times"/>
              </w:rPr>
            </w:pPr>
            <w:r w:rsidRPr="00275521">
              <w:t>$</w:t>
            </w:r>
            <w:r w:rsidR="006C4DC1" w:rsidRPr="006C4DC1">
              <w:rPr>
                <w:sz w:val="2"/>
                <w:highlight w:val="black"/>
              </w:rPr>
              <w:t>redacted content</w:t>
            </w:r>
          </w:p>
        </w:tc>
        <w:tc>
          <w:tcPr>
            <w:tcW w:w="1072" w:type="pct"/>
            <w:vAlign w:val="center"/>
          </w:tcPr>
          <w:p w14:paraId="5C1291B6" w14:textId="6C77C9D9" w:rsidR="006458D4" w:rsidRPr="00275521" w:rsidRDefault="006458D4" w:rsidP="008B6633">
            <w:pPr>
              <w:pStyle w:val="TableText0"/>
              <w:jc w:val="center"/>
              <w:rPr>
                <w:rFonts w:ascii="Times" w:hAnsi="Times"/>
              </w:rPr>
            </w:pPr>
            <w:r w:rsidRPr="00275521">
              <w:rPr>
                <w:rFonts w:cs="Calibri"/>
                <w:color w:val="000000"/>
              </w:rPr>
              <w:t>$</w:t>
            </w:r>
            <w:r w:rsidR="006C4DC1" w:rsidRPr="006C4DC1">
              <w:rPr>
                <w:rFonts w:cs="Calibri"/>
                <w:color w:val="000000"/>
                <w:sz w:val="2"/>
                <w:highlight w:val="black"/>
              </w:rPr>
              <w:t>redacted content</w:t>
            </w:r>
          </w:p>
        </w:tc>
      </w:tr>
      <w:tr w:rsidR="009D476F" w:rsidRPr="00275521" w14:paraId="1B5DAD99" w14:textId="77777777">
        <w:tc>
          <w:tcPr>
            <w:tcW w:w="1529" w:type="pct"/>
            <w:gridSpan w:val="2"/>
            <w:vAlign w:val="center"/>
          </w:tcPr>
          <w:p w14:paraId="1F441F0B" w14:textId="77777777" w:rsidR="006458D4" w:rsidRPr="00275521" w:rsidRDefault="006458D4" w:rsidP="008B6633">
            <w:pPr>
              <w:pStyle w:val="TableText0"/>
              <w:rPr>
                <w:rFonts w:ascii="Times" w:hAnsi="Times"/>
              </w:rPr>
            </w:pPr>
            <w:r w:rsidRPr="00275521">
              <w:t>QALYs</w:t>
            </w:r>
          </w:p>
        </w:tc>
        <w:tc>
          <w:tcPr>
            <w:tcW w:w="1220" w:type="pct"/>
            <w:vAlign w:val="center"/>
          </w:tcPr>
          <w:p w14:paraId="1367B86C" w14:textId="77777777" w:rsidR="006458D4" w:rsidRPr="00275521" w:rsidRDefault="006458D4" w:rsidP="008B6633">
            <w:pPr>
              <w:pStyle w:val="TableText0"/>
              <w:jc w:val="center"/>
              <w:rPr>
                <w:rFonts w:ascii="Times" w:hAnsi="Times"/>
              </w:rPr>
            </w:pPr>
            <w:r w:rsidRPr="00275521">
              <w:t>8.733</w:t>
            </w:r>
          </w:p>
        </w:tc>
        <w:tc>
          <w:tcPr>
            <w:tcW w:w="1179" w:type="pct"/>
            <w:vAlign w:val="center"/>
          </w:tcPr>
          <w:p w14:paraId="0D1ACF65" w14:textId="77777777" w:rsidR="006458D4" w:rsidRPr="00275521" w:rsidRDefault="006458D4" w:rsidP="008B6633">
            <w:pPr>
              <w:pStyle w:val="TableText0"/>
              <w:jc w:val="center"/>
              <w:rPr>
                <w:rFonts w:ascii="Times" w:hAnsi="Times"/>
              </w:rPr>
            </w:pPr>
            <w:r w:rsidRPr="00275521">
              <w:t>11.608</w:t>
            </w:r>
          </w:p>
        </w:tc>
        <w:tc>
          <w:tcPr>
            <w:tcW w:w="1072" w:type="pct"/>
            <w:vAlign w:val="center"/>
          </w:tcPr>
          <w:p w14:paraId="58930618" w14:textId="77777777" w:rsidR="006458D4" w:rsidRPr="00275521" w:rsidRDefault="006458D4" w:rsidP="008B6633">
            <w:pPr>
              <w:pStyle w:val="TableText0"/>
              <w:jc w:val="center"/>
            </w:pPr>
            <w:r w:rsidRPr="00275521">
              <w:t>2.88</w:t>
            </w:r>
          </w:p>
        </w:tc>
      </w:tr>
      <w:tr w:rsidR="009D476F" w:rsidRPr="00275521" w14:paraId="08EF60E1" w14:textId="77777777">
        <w:tc>
          <w:tcPr>
            <w:tcW w:w="1529" w:type="pct"/>
            <w:gridSpan w:val="2"/>
            <w:vAlign w:val="center"/>
          </w:tcPr>
          <w:p w14:paraId="73D9891E" w14:textId="77777777" w:rsidR="006458D4" w:rsidRPr="00275521" w:rsidRDefault="006458D4" w:rsidP="008B6633">
            <w:pPr>
              <w:pStyle w:val="TableText0"/>
              <w:rPr>
                <w:i/>
                <w:iCs/>
              </w:rPr>
            </w:pPr>
            <w:r w:rsidRPr="00275521">
              <w:rPr>
                <w:i/>
                <w:iCs/>
              </w:rPr>
              <w:t>LYs</w:t>
            </w:r>
          </w:p>
        </w:tc>
        <w:tc>
          <w:tcPr>
            <w:tcW w:w="1220" w:type="pct"/>
            <w:vAlign w:val="center"/>
          </w:tcPr>
          <w:p w14:paraId="7B6E2920" w14:textId="77777777" w:rsidR="006458D4" w:rsidRPr="00275521" w:rsidRDefault="006458D4" w:rsidP="008B6633">
            <w:pPr>
              <w:pStyle w:val="TableText0"/>
              <w:jc w:val="center"/>
              <w:rPr>
                <w:i/>
                <w:iCs/>
              </w:rPr>
            </w:pPr>
            <w:r w:rsidRPr="00275521">
              <w:rPr>
                <w:i/>
                <w:iCs/>
              </w:rPr>
              <w:t>11.31</w:t>
            </w:r>
          </w:p>
        </w:tc>
        <w:tc>
          <w:tcPr>
            <w:tcW w:w="1179" w:type="pct"/>
            <w:vAlign w:val="center"/>
          </w:tcPr>
          <w:p w14:paraId="4C2C99C0" w14:textId="77777777" w:rsidR="006458D4" w:rsidRPr="00275521" w:rsidRDefault="006458D4" w:rsidP="008B6633">
            <w:pPr>
              <w:pStyle w:val="TableText0"/>
              <w:jc w:val="center"/>
              <w:rPr>
                <w:i/>
                <w:iCs/>
              </w:rPr>
            </w:pPr>
            <w:r w:rsidRPr="00275521">
              <w:rPr>
                <w:i/>
                <w:iCs/>
              </w:rPr>
              <w:t>14.01</w:t>
            </w:r>
          </w:p>
        </w:tc>
        <w:tc>
          <w:tcPr>
            <w:tcW w:w="1072" w:type="pct"/>
            <w:vAlign w:val="center"/>
          </w:tcPr>
          <w:p w14:paraId="66132E98" w14:textId="77777777" w:rsidR="006458D4" w:rsidRPr="00275521" w:rsidRDefault="006458D4" w:rsidP="008B6633">
            <w:pPr>
              <w:pStyle w:val="TableText0"/>
              <w:jc w:val="center"/>
              <w:rPr>
                <w:i/>
                <w:iCs/>
              </w:rPr>
            </w:pPr>
            <w:r w:rsidRPr="00275521">
              <w:rPr>
                <w:i/>
                <w:iCs/>
              </w:rPr>
              <w:t>2.70</w:t>
            </w:r>
          </w:p>
        </w:tc>
      </w:tr>
      <w:tr w:rsidR="00DB35F7" w:rsidRPr="00275521" w14:paraId="2447B175" w14:textId="77777777">
        <w:tc>
          <w:tcPr>
            <w:tcW w:w="3928" w:type="pct"/>
            <w:gridSpan w:val="4"/>
            <w:vAlign w:val="center"/>
          </w:tcPr>
          <w:p w14:paraId="62643B2D" w14:textId="77777777" w:rsidR="006458D4" w:rsidRPr="00275521" w:rsidRDefault="006458D4" w:rsidP="008B6633">
            <w:pPr>
              <w:pStyle w:val="TableText0"/>
              <w:rPr>
                <w:rFonts w:ascii="Times" w:hAnsi="Times"/>
              </w:rPr>
            </w:pPr>
            <w:r w:rsidRPr="00275521">
              <w:t>Incremental cost/extra QALY gained</w:t>
            </w:r>
          </w:p>
        </w:tc>
        <w:tc>
          <w:tcPr>
            <w:tcW w:w="1072" w:type="pct"/>
            <w:vAlign w:val="center"/>
          </w:tcPr>
          <w:p w14:paraId="3A3F2A54" w14:textId="4812E321" w:rsidR="006458D4" w:rsidRPr="008D4A99" w:rsidRDefault="006458D4" w:rsidP="008B6633">
            <w:pPr>
              <w:pStyle w:val="TableText0"/>
              <w:jc w:val="center"/>
              <w:rPr>
                <w:rFonts w:ascii="Times" w:hAnsi="Times"/>
                <w:vertAlign w:val="superscript"/>
              </w:rPr>
            </w:pPr>
            <w:r w:rsidRPr="00275521">
              <w:t>$</w:t>
            </w:r>
            <w:r w:rsidR="006C4DC1" w:rsidRPr="006C4DC1">
              <w:rPr>
                <w:sz w:val="2"/>
                <w:highlight w:val="black"/>
              </w:rPr>
              <w:t>redacted content</w:t>
            </w:r>
            <w:r w:rsidR="008D4A99">
              <w:rPr>
                <w:vertAlign w:val="superscript"/>
              </w:rPr>
              <w:t>1</w:t>
            </w:r>
          </w:p>
        </w:tc>
      </w:tr>
      <w:tr w:rsidR="00311DF9" w:rsidRPr="00275521" w14:paraId="714BE3FA" w14:textId="77777777" w:rsidTr="00082960">
        <w:tc>
          <w:tcPr>
            <w:tcW w:w="5000" w:type="pct"/>
            <w:gridSpan w:val="5"/>
            <w:vAlign w:val="center"/>
          </w:tcPr>
          <w:p w14:paraId="523C606C" w14:textId="48D2DE1A" w:rsidR="00082960" w:rsidRPr="00275521" w:rsidRDefault="00082960" w:rsidP="008B6633">
            <w:pPr>
              <w:pStyle w:val="TableText0"/>
              <w:rPr>
                <w:b/>
                <w:bCs w:val="0"/>
              </w:rPr>
            </w:pPr>
            <w:r w:rsidRPr="00275521">
              <w:rPr>
                <w:rFonts w:cs="Calibri"/>
                <w:b/>
                <w:bCs w:val="0"/>
                <w:color w:val="000000"/>
              </w:rPr>
              <w:t xml:space="preserve">Undiscounted </w:t>
            </w:r>
          </w:p>
        </w:tc>
      </w:tr>
      <w:tr w:rsidR="00757E71" w:rsidRPr="00275521" w14:paraId="3311AD08" w14:textId="77777777">
        <w:tc>
          <w:tcPr>
            <w:tcW w:w="1491" w:type="pct"/>
            <w:vAlign w:val="center"/>
          </w:tcPr>
          <w:p w14:paraId="27F29F79" w14:textId="4CA18EA5" w:rsidR="00082960" w:rsidRPr="006005D4" w:rsidRDefault="00082960" w:rsidP="008B6633">
            <w:pPr>
              <w:pStyle w:val="TableText0"/>
            </w:pPr>
            <w:r w:rsidRPr="006005D4">
              <w:t>Costs</w:t>
            </w:r>
          </w:p>
        </w:tc>
        <w:tc>
          <w:tcPr>
            <w:tcW w:w="1258" w:type="pct"/>
            <w:gridSpan w:val="2"/>
            <w:tcBorders>
              <w:top w:val="nil"/>
              <w:left w:val="single" w:sz="4" w:space="0" w:color="auto"/>
              <w:bottom w:val="single" w:sz="4" w:space="0" w:color="auto"/>
              <w:right w:val="single" w:sz="4" w:space="0" w:color="auto"/>
            </w:tcBorders>
            <w:vAlign w:val="center"/>
          </w:tcPr>
          <w:p w14:paraId="21DCAFD0" w14:textId="0E5147C4" w:rsidR="00082960" w:rsidRPr="006005D4" w:rsidRDefault="00A92758" w:rsidP="008B6633">
            <w:pPr>
              <w:pStyle w:val="TableText0"/>
              <w:jc w:val="center"/>
            </w:pPr>
            <w:r w:rsidRPr="006005D4">
              <w:t>$473,460</w:t>
            </w:r>
          </w:p>
        </w:tc>
        <w:tc>
          <w:tcPr>
            <w:tcW w:w="1179" w:type="pct"/>
            <w:tcBorders>
              <w:top w:val="nil"/>
              <w:left w:val="nil"/>
              <w:bottom w:val="single" w:sz="4" w:space="0" w:color="auto"/>
              <w:right w:val="single" w:sz="4" w:space="0" w:color="auto"/>
            </w:tcBorders>
            <w:vAlign w:val="center"/>
          </w:tcPr>
          <w:p w14:paraId="2A5183A6" w14:textId="7A2DB0D0" w:rsidR="00082960" w:rsidRPr="006005D4" w:rsidRDefault="00A92758" w:rsidP="008B6633">
            <w:pPr>
              <w:pStyle w:val="TableText0"/>
              <w:jc w:val="center"/>
            </w:pPr>
            <w:r w:rsidRPr="006005D4">
              <w:t>$</w:t>
            </w:r>
            <w:r w:rsidR="006C4DC1" w:rsidRPr="006C4DC1">
              <w:rPr>
                <w:sz w:val="2"/>
                <w:highlight w:val="black"/>
              </w:rPr>
              <w:t>redacted content</w:t>
            </w:r>
          </w:p>
        </w:tc>
        <w:tc>
          <w:tcPr>
            <w:tcW w:w="1072" w:type="pct"/>
            <w:tcBorders>
              <w:top w:val="nil"/>
              <w:left w:val="nil"/>
              <w:bottom w:val="single" w:sz="4" w:space="0" w:color="auto"/>
              <w:right w:val="single" w:sz="4" w:space="0" w:color="auto"/>
            </w:tcBorders>
            <w:vAlign w:val="center"/>
          </w:tcPr>
          <w:p w14:paraId="14343CEB" w14:textId="01F3D98B" w:rsidR="00082960" w:rsidRPr="00275521" w:rsidRDefault="00082960" w:rsidP="008B6633">
            <w:pPr>
              <w:pStyle w:val="TableText0"/>
              <w:jc w:val="center"/>
            </w:pPr>
            <w:r w:rsidRPr="006005D4">
              <w:t>$</w:t>
            </w:r>
            <w:r w:rsidR="006C4DC1" w:rsidRPr="006C4DC1">
              <w:rPr>
                <w:sz w:val="2"/>
                <w:highlight w:val="black"/>
              </w:rPr>
              <w:t>redacted content</w:t>
            </w:r>
          </w:p>
        </w:tc>
      </w:tr>
      <w:tr w:rsidR="00757E71" w:rsidRPr="00275521" w14:paraId="747E8601" w14:textId="77777777">
        <w:tc>
          <w:tcPr>
            <w:tcW w:w="1491" w:type="pct"/>
            <w:vAlign w:val="center"/>
          </w:tcPr>
          <w:p w14:paraId="7B335B27" w14:textId="6CEA2163" w:rsidR="00082960" w:rsidRPr="006005D4" w:rsidRDefault="00082960" w:rsidP="008B6633">
            <w:pPr>
              <w:pStyle w:val="TableText0"/>
            </w:pPr>
            <w:r w:rsidRPr="006005D4">
              <w:t>QALYs</w:t>
            </w:r>
          </w:p>
        </w:tc>
        <w:tc>
          <w:tcPr>
            <w:tcW w:w="1258" w:type="pct"/>
            <w:gridSpan w:val="2"/>
            <w:tcBorders>
              <w:top w:val="single" w:sz="4" w:space="0" w:color="auto"/>
              <w:left w:val="single" w:sz="4" w:space="0" w:color="auto"/>
              <w:bottom w:val="single" w:sz="4" w:space="0" w:color="auto"/>
              <w:right w:val="single" w:sz="4" w:space="0" w:color="auto"/>
            </w:tcBorders>
            <w:vAlign w:val="center"/>
          </w:tcPr>
          <w:p w14:paraId="7C3CDF33" w14:textId="66C9A327" w:rsidR="00082960" w:rsidRPr="006005D4" w:rsidRDefault="00082960" w:rsidP="008B6633">
            <w:pPr>
              <w:pStyle w:val="TableText0"/>
              <w:jc w:val="center"/>
            </w:pPr>
            <w:r w:rsidRPr="006005D4">
              <w:t>16.480</w:t>
            </w:r>
          </w:p>
        </w:tc>
        <w:tc>
          <w:tcPr>
            <w:tcW w:w="1179" w:type="pct"/>
            <w:tcBorders>
              <w:top w:val="single" w:sz="4" w:space="0" w:color="auto"/>
              <w:left w:val="single" w:sz="4" w:space="0" w:color="auto"/>
              <w:bottom w:val="single" w:sz="4" w:space="0" w:color="auto"/>
              <w:right w:val="single" w:sz="4" w:space="0" w:color="auto"/>
            </w:tcBorders>
            <w:vAlign w:val="center"/>
          </w:tcPr>
          <w:p w14:paraId="464BA76E" w14:textId="6084EF73" w:rsidR="00082960" w:rsidRPr="006005D4" w:rsidRDefault="00082960" w:rsidP="008B6633">
            <w:pPr>
              <w:pStyle w:val="TableText0"/>
              <w:jc w:val="center"/>
            </w:pPr>
            <w:r w:rsidRPr="006005D4">
              <w:t>23.718</w:t>
            </w:r>
          </w:p>
        </w:tc>
        <w:tc>
          <w:tcPr>
            <w:tcW w:w="1072" w:type="pct"/>
            <w:tcBorders>
              <w:top w:val="single" w:sz="4" w:space="0" w:color="auto"/>
              <w:left w:val="single" w:sz="4" w:space="0" w:color="auto"/>
              <w:bottom w:val="single" w:sz="4" w:space="0" w:color="auto"/>
              <w:right w:val="single" w:sz="4" w:space="0" w:color="auto"/>
            </w:tcBorders>
            <w:vAlign w:val="center"/>
          </w:tcPr>
          <w:p w14:paraId="5F630332" w14:textId="66E2F846" w:rsidR="00082960" w:rsidRPr="00275521" w:rsidRDefault="00082960" w:rsidP="008B6633">
            <w:pPr>
              <w:pStyle w:val="TableText0"/>
              <w:jc w:val="center"/>
            </w:pPr>
            <w:r w:rsidRPr="006005D4">
              <w:t>7.238</w:t>
            </w:r>
          </w:p>
        </w:tc>
      </w:tr>
      <w:tr w:rsidR="00757E71" w:rsidRPr="00275521" w14:paraId="32CCA372" w14:textId="77777777">
        <w:tc>
          <w:tcPr>
            <w:tcW w:w="1491" w:type="pct"/>
            <w:vAlign w:val="center"/>
          </w:tcPr>
          <w:p w14:paraId="198A016A" w14:textId="6D0FBDCF" w:rsidR="00996487" w:rsidRPr="006005D4" w:rsidRDefault="00996487" w:rsidP="008B6633">
            <w:pPr>
              <w:pStyle w:val="TableText0"/>
            </w:pPr>
            <w:r w:rsidRPr="006005D4">
              <w:t>LYs</w:t>
            </w:r>
          </w:p>
        </w:tc>
        <w:tc>
          <w:tcPr>
            <w:tcW w:w="1258" w:type="pct"/>
            <w:gridSpan w:val="2"/>
            <w:tcBorders>
              <w:top w:val="single" w:sz="4" w:space="0" w:color="auto"/>
              <w:left w:val="single" w:sz="4" w:space="0" w:color="auto"/>
              <w:bottom w:val="single" w:sz="4" w:space="0" w:color="auto"/>
              <w:right w:val="single" w:sz="4" w:space="0" w:color="auto"/>
            </w:tcBorders>
            <w:vAlign w:val="center"/>
          </w:tcPr>
          <w:p w14:paraId="5E64F647" w14:textId="4EBF7EE5" w:rsidR="00996487" w:rsidRPr="006005D4" w:rsidRDefault="00996487" w:rsidP="008B6633">
            <w:pPr>
              <w:pStyle w:val="TableText0"/>
              <w:jc w:val="center"/>
            </w:pPr>
            <w:r w:rsidRPr="006005D4">
              <w:t>21.111</w:t>
            </w:r>
          </w:p>
        </w:tc>
        <w:tc>
          <w:tcPr>
            <w:tcW w:w="1179" w:type="pct"/>
            <w:tcBorders>
              <w:top w:val="single" w:sz="4" w:space="0" w:color="auto"/>
              <w:left w:val="single" w:sz="4" w:space="0" w:color="auto"/>
              <w:bottom w:val="single" w:sz="4" w:space="0" w:color="auto"/>
              <w:right w:val="single" w:sz="4" w:space="0" w:color="auto"/>
            </w:tcBorders>
            <w:vAlign w:val="center"/>
          </w:tcPr>
          <w:p w14:paraId="6248F987" w14:textId="23740869" w:rsidR="00996487" w:rsidRPr="006005D4" w:rsidRDefault="00996487" w:rsidP="008B6633">
            <w:pPr>
              <w:pStyle w:val="TableText0"/>
              <w:jc w:val="center"/>
            </w:pPr>
            <w:r w:rsidRPr="006005D4">
              <w:t>28.999</w:t>
            </w:r>
          </w:p>
        </w:tc>
        <w:tc>
          <w:tcPr>
            <w:tcW w:w="1072" w:type="pct"/>
            <w:tcBorders>
              <w:top w:val="single" w:sz="4" w:space="0" w:color="auto"/>
              <w:left w:val="single" w:sz="4" w:space="0" w:color="auto"/>
              <w:bottom w:val="single" w:sz="4" w:space="0" w:color="auto"/>
              <w:right w:val="single" w:sz="4" w:space="0" w:color="auto"/>
            </w:tcBorders>
            <w:vAlign w:val="center"/>
          </w:tcPr>
          <w:p w14:paraId="249993ED" w14:textId="3573693B" w:rsidR="00996487" w:rsidRPr="00275521" w:rsidRDefault="00996487" w:rsidP="008B6633">
            <w:pPr>
              <w:pStyle w:val="TableText0"/>
              <w:jc w:val="center"/>
            </w:pPr>
            <w:r w:rsidRPr="006005D4">
              <w:t>7.888</w:t>
            </w:r>
          </w:p>
        </w:tc>
      </w:tr>
      <w:tr w:rsidR="00DB35F7" w:rsidRPr="00275521" w14:paraId="5729D146" w14:textId="77777777" w:rsidTr="00082960">
        <w:tc>
          <w:tcPr>
            <w:tcW w:w="3928" w:type="pct"/>
            <w:gridSpan w:val="4"/>
            <w:vAlign w:val="center"/>
          </w:tcPr>
          <w:p w14:paraId="1DB73327" w14:textId="78052078" w:rsidR="00996487" w:rsidRPr="006005D4" w:rsidRDefault="00996487" w:rsidP="008B6633">
            <w:pPr>
              <w:pStyle w:val="TableText0"/>
            </w:pPr>
            <w:r w:rsidRPr="006005D4">
              <w:t>Incremental cost/extra QALY gained</w:t>
            </w:r>
          </w:p>
        </w:tc>
        <w:tc>
          <w:tcPr>
            <w:tcW w:w="1072" w:type="pct"/>
            <w:vAlign w:val="center"/>
          </w:tcPr>
          <w:p w14:paraId="183227B4" w14:textId="657F405D" w:rsidR="00996487" w:rsidRPr="00911E56" w:rsidRDefault="00996487" w:rsidP="008B6633">
            <w:pPr>
              <w:pStyle w:val="TableText0"/>
              <w:jc w:val="center"/>
              <w:rPr>
                <w:vertAlign w:val="superscript"/>
              </w:rPr>
            </w:pPr>
            <w:r w:rsidRPr="006005D4">
              <w:t>$</w:t>
            </w:r>
            <w:r w:rsidR="006C4DC1" w:rsidRPr="006C4DC1">
              <w:rPr>
                <w:sz w:val="2"/>
                <w:highlight w:val="black"/>
              </w:rPr>
              <w:t>redacted content</w:t>
            </w:r>
            <w:r w:rsidR="00911E56">
              <w:rPr>
                <w:vertAlign w:val="superscript"/>
              </w:rPr>
              <w:t>2</w:t>
            </w:r>
          </w:p>
        </w:tc>
      </w:tr>
    </w:tbl>
    <w:p w14:paraId="6D6FA048" w14:textId="7C82C447" w:rsidR="006458D4" w:rsidRDefault="006458D4" w:rsidP="00B3289F">
      <w:pPr>
        <w:pStyle w:val="FooterTableFigure"/>
        <w:spacing w:after="0"/>
      </w:pPr>
      <w:r w:rsidRPr="00275521">
        <w:t>Source: Table 3-30, p136 of the submission, submission’s economic model</w:t>
      </w:r>
    </w:p>
    <w:p w14:paraId="1490CFCD" w14:textId="77777777" w:rsidR="00B3289F" w:rsidRPr="00B3289F" w:rsidRDefault="00B3289F" w:rsidP="00B3289F">
      <w:pPr>
        <w:jc w:val="left"/>
        <w:rPr>
          <w:rFonts w:ascii="Arial Narrow" w:hAnsi="Arial Narrow"/>
          <w:i/>
          <w:sz w:val="18"/>
          <w:szCs w:val="18"/>
        </w:rPr>
      </w:pPr>
      <w:r w:rsidRPr="00B3289F">
        <w:rPr>
          <w:rFonts w:ascii="Arial Narrow" w:hAnsi="Arial Narrow"/>
          <w:i/>
          <w:sz w:val="18"/>
          <w:szCs w:val="18"/>
        </w:rPr>
        <w:t xml:space="preserve">The redacted values correspond to the following ranges: </w:t>
      </w:r>
    </w:p>
    <w:p w14:paraId="1280AE63" w14:textId="56F641A0" w:rsidR="00B3289F" w:rsidRPr="00B3289F" w:rsidRDefault="00B3289F" w:rsidP="00B3289F">
      <w:pPr>
        <w:jc w:val="left"/>
        <w:rPr>
          <w:rFonts w:ascii="Arial Narrow" w:hAnsi="Arial Narrow"/>
          <w:i/>
          <w:sz w:val="18"/>
          <w:szCs w:val="18"/>
        </w:rPr>
      </w:pPr>
      <w:r w:rsidRPr="00B3289F">
        <w:rPr>
          <w:rFonts w:ascii="Arial Narrow" w:hAnsi="Arial Narrow"/>
          <w:i/>
          <w:sz w:val="18"/>
          <w:szCs w:val="18"/>
          <w:vertAlign w:val="superscript"/>
        </w:rPr>
        <w:t>1</w:t>
      </w:r>
      <w:r w:rsidRPr="00B3289F">
        <w:rPr>
          <w:rFonts w:ascii="Arial Narrow" w:hAnsi="Arial Narrow"/>
          <w:i/>
          <w:sz w:val="18"/>
          <w:szCs w:val="18"/>
        </w:rPr>
        <w:t xml:space="preserve"> </w:t>
      </w:r>
      <w:r w:rsidR="008D4A99" w:rsidRPr="008D4A99">
        <w:rPr>
          <w:rFonts w:ascii="Arial Narrow" w:hAnsi="Arial Narrow"/>
          <w:i/>
          <w:sz w:val="18"/>
          <w:szCs w:val="18"/>
        </w:rPr>
        <w:t>&gt; $1,055,000</w:t>
      </w:r>
    </w:p>
    <w:p w14:paraId="6DAEC74E" w14:textId="3D2FFC7B" w:rsidR="00B3289F" w:rsidRPr="00B3289F" w:rsidRDefault="00B3289F" w:rsidP="00B3289F">
      <w:pPr>
        <w:jc w:val="left"/>
        <w:rPr>
          <w:rFonts w:ascii="Arial Narrow" w:hAnsi="Arial Narrow"/>
          <w:i/>
          <w:sz w:val="18"/>
          <w:szCs w:val="18"/>
        </w:rPr>
      </w:pPr>
      <w:r w:rsidRPr="00B3289F">
        <w:rPr>
          <w:rFonts w:ascii="Arial Narrow" w:hAnsi="Arial Narrow"/>
          <w:i/>
          <w:sz w:val="18"/>
          <w:szCs w:val="18"/>
          <w:vertAlign w:val="superscript"/>
        </w:rPr>
        <w:t>2</w:t>
      </w:r>
      <w:r w:rsidRPr="00B3289F">
        <w:rPr>
          <w:rFonts w:ascii="Arial Narrow" w:hAnsi="Arial Narrow"/>
          <w:i/>
          <w:sz w:val="18"/>
          <w:szCs w:val="18"/>
        </w:rPr>
        <w:t xml:space="preserve"> </w:t>
      </w:r>
      <w:r w:rsidR="00911E56" w:rsidRPr="00911E56">
        <w:rPr>
          <w:rFonts w:ascii="Arial Narrow" w:hAnsi="Arial Narrow"/>
          <w:i/>
          <w:sz w:val="18"/>
          <w:szCs w:val="18"/>
        </w:rPr>
        <w:t>$855,000 to &lt; $955,000</w:t>
      </w:r>
    </w:p>
    <w:p w14:paraId="2C064523" w14:textId="77777777" w:rsidR="00B3289F" w:rsidRPr="00275521" w:rsidRDefault="00B3289F" w:rsidP="008B6633">
      <w:pPr>
        <w:pStyle w:val="FooterTableFigure"/>
      </w:pPr>
    </w:p>
    <w:p w14:paraId="7E8EE10D" w14:textId="0D99167D" w:rsidR="006458D4" w:rsidRPr="0056137F" w:rsidRDefault="006458D4" w:rsidP="008B6633">
      <w:pPr>
        <w:pStyle w:val="3-BodyText"/>
        <w:spacing w:before="160"/>
      </w:pPr>
      <w:bookmarkStart w:id="72" w:name="_Ref226358130"/>
      <w:r w:rsidRPr="0056137F">
        <w:t xml:space="preserve">The submission’s economic model estimated incremental </w:t>
      </w:r>
      <w:r w:rsidR="00CE3486" w:rsidRPr="0056137F">
        <w:t xml:space="preserve">discounted </w:t>
      </w:r>
      <w:r w:rsidRPr="0056137F">
        <w:t xml:space="preserve">QALYs and LYGs of 2.88 and 2.70, respectively. </w:t>
      </w:r>
      <w:r w:rsidR="00CE3486" w:rsidRPr="0056137F">
        <w:rPr>
          <w:color w:val="000000" w:themeColor="text1"/>
        </w:rPr>
        <w:t xml:space="preserve">The model estimated an incremental life year gain (LYG) of 7.9 years (undiscounted) from odevixibat treatment, largely resulting from the increased mortality associated with higher rates of LT in the SoC arm. </w:t>
      </w:r>
      <w:r w:rsidRPr="0056137F">
        <w:t xml:space="preserve">In the July 2025 PFIC resubmission, the estimated incremental </w:t>
      </w:r>
      <w:r w:rsidR="00CE3486" w:rsidRPr="0056137F">
        <w:t xml:space="preserve">discounted </w:t>
      </w:r>
      <w:r w:rsidRPr="0056137F">
        <w:t xml:space="preserve">QALY and </w:t>
      </w:r>
      <w:r w:rsidR="00646135" w:rsidRPr="0056137F">
        <w:t>LYG</w:t>
      </w:r>
      <w:r w:rsidR="008B6633">
        <w:t xml:space="preserve"> </w:t>
      </w:r>
      <w:r w:rsidRPr="0056137F">
        <w:t xml:space="preserve">for patients treated with odevixibat </w:t>
      </w:r>
      <w:r w:rsidR="00D3286B">
        <w:t>were</w:t>
      </w:r>
      <w:r w:rsidR="00D3286B" w:rsidRPr="0056137F">
        <w:t xml:space="preserve"> </w:t>
      </w:r>
      <w:r w:rsidRPr="0056137F">
        <w:t>1.21 and 0.57, respectively (Table 14, odevixibat PSD, March 2025 PBAC Meeting with Addendum July 2025).</w:t>
      </w:r>
      <w:r w:rsidR="00D7095E" w:rsidRPr="0056137F">
        <w:t xml:space="preserve"> The ESC noted that </w:t>
      </w:r>
      <w:r w:rsidR="002E15F8" w:rsidRPr="0056137F">
        <w:t xml:space="preserve">the </w:t>
      </w:r>
      <w:r w:rsidR="00D849A0" w:rsidRPr="0056137F">
        <w:t>QALY gain in the PFIC population was much lower than stated for ALGS</w:t>
      </w:r>
      <w:r w:rsidR="003E0B98" w:rsidRPr="0056137F">
        <w:t xml:space="preserve">, </w:t>
      </w:r>
      <w:r w:rsidR="00697560" w:rsidRPr="0056137F">
        <w:t xml:space="preserve">potentially due to the </w:t>
      </w:r>
      <w:r w:rsidR="002E15F8" w:rsidRPr="0056137F">
        <w:t xml:space="preserve">baseline age for the PFIC base case </w:t>
      </w:r>
      <w:r w:rsidR="00697560" w:rsidRPr="0056137F">
        <w:t>of</w:t>
      </w:r>
      <w:r w:rsidR="002E15F8" w:rsidRPr="0056137F">
        <w:t xml:space="preserve"> 4.26 years, compared to 6 months for the current submission for AGLS. </w:t>
      </w:r>
      <w:r w:rsidRPr="0056137F">
        <w:t>The</w:t>
      </w:r>
      <w:r w:rsidR="001F655F" w:rsidRPr="0056137F">
        <w:t xml:space="preserve"> evaluation considered that the</w:t>
      </w:r>
      <w:r w:rsidRPr="0056137F">
        <w:t>re was no clinical justification</w:t>
      </w:r>
      <w:r w:rsidR="00082960" w:rsidRPr="0056137F">
        <w:t xml:space="preserve"> proposed</w:t>
      </w:r>
      <w:r w:rsidRPr="0056137F">
        <w:t xml:space="preserve"> to explain why patients with ALGS would achieve substantially greater incremental benefit from odevixibat than patients with PFIC.</w:t>
      </w:r>
      <w:r w:rsidR="00A03F55" w:rsidRPr="0056137F">
        <w:t xml:space="preserve"> The </w:t>
      </w:r>
      <w:r w:rsidR="00FC4AB5" w:rsidRPr="0056137F">
        <w:t>ESC considered that it</w:t>
      </w:r>
      <w:r w:rsidR="00A03F55" w:rsidRPr="0056137F">
        <w:t xml:space="preserve"> may not be reasonable for LYGs to be modelled</w:t>
      </w:r>
      <w:r w:rsidR="00F23288" w:rsidRPr="0056137F">
        <w:t>,</w:t>
      </w:r>
      <w:r w:rsidR="00A03F55" w:rsidRPr="0056137F">
        <w:t xml:space="preserve"> given that the clinical data fr</w:t>
      </w:r>
      <w:r w:rsidR="00F23288" w:rsidRPr="0056137F">
        <w:t>o</w:t>
      </w:r>
      <w:r w:rsidR="00A03F55" w:rsidRPr="0056137F">
        <w:t xml:space="preserve">m ASSERT and ASSERT-EXT did not capture </w:t>
      </w:r>
      <w:r w:rsidR="00F23288" w:rsidRPr="0056137F">
        <w:t>OS</w:t>
      </w:r>
      <w:r w:rsidR="00A03F55" w:rsidRPr="0056137F">
        <w:t xml:space="preserve"> as an outcome.</w:t>
      </w:r>
      <w:bookmarkEnd w:id="72"/>
    </w:p>
    <w:p w14:paraId="1BAC1159" w14:textId="4108AA2D" w:rsidR="00A86E8B" w:rsidRPr="0059385D" w:rsidRDefault="00D23D11" w:rsidP="008B6633">
      <w:pPr>
        <w:pStyle w:val="3-BodyText"/>
        <w:spacing w:before="160"/>
      </w:pPr>
      <w:r w:rsidRPr="0059385D">
        <w:t>The results of key univariate</w:t>
      </w:r>
      <w:r w:rsidR="00D969C9" w:rsidRPr="0059385D">
        <w:t xml:space="preserve"> and scenario </w:t>
      </w:r>
      <w:r w:rsidRPr="0059385D">
        <w:t xml:space="preserve">sensitivity analyses are summarised </w:t>
      </w:r>
      <w:r w:rsidR="00E16AD8" w:rsidRPr="0059385D">
        <w:t xml:space="preserve">in </w:t>
      </w:r>
      <w:r w:rsidR="00E16AD8" w:rsidRPr="0059385D">
        <w:fldChar w:fldCharType="begin"/>
      </w:r>
      <w:r w:rsidR="00E16AD8" w:rsidRPr="0059385D">
        <w:instrText xml:space="preserve"> REF _Ref104804865 \h </w:instrText>
      </w:r>
      <w:r w:rsidR="0059385D" w:rsidRPr="0059385D">
        <w:instrText xml:space="preserve"> \* MERGEFORMAT </w:instrText>
      </w:r>
      <w:r w:rsidR="00E16AD8" w:rsidRPr="0059385D">
        <w:fldChar w:fldCharType="separate"/>
      </w:r>
      <w:r w:rsidR="0060088A" w:rsidRPr="00275521">
        <w:t xml:space="preserve">Table </w:t>
      </w:r>
      <w:r w:rsidR="0060088A">
        <w:rPr>
          <w:noProof/>
        </w:rPr>
        <w:t>17</w:t>
      </w:r>
      <w:r w:rsidR="00E16AD8" w:rsidRPr="0059385D">
        <w:fldChar w:fldCharType="end"/>
      </w:r>
      <w:r w:rsidRPr="0059385D">
        <w:t>.</w:t>
      </w:r>
    </w:p>
    <w:p w14:paraId="3A64F4E7" w14:textId="7A05136C" w:rsidR="00D23D11" w:rsidRPr="00275521" w:rsidRDefault="00E16AD8" w:rsidP="008B6633">
      <w:pPr>
        <w:pStyle w:val="Caption"/>
        <w:spacing w:before="160"/>
        <w:rPr>
          <w:rStyle w:val="CommentReference"/>
          <w:b/>
          <w:szCs w:val="24"/>
        </w:rPr>
      </w:pPr>
      <w:bookmarkStart w:id="73" w:name="_Ref104804865"/>
      <w:r w:rsidRPr="00275521">
        <w:t xml:space="preserve">Table </w:t>
      </w:r>
      <w:fldSimple w:instr=" SEQ Table \* ARABIC ">
        <w:r w:rsidR="0060088A">
          <w:rPr>
            <w:noProof/>
          </w:rPr>
          <w:t>17</w:t>
        </w:r>
      </w:fldSimple>
      <w:bookmarkEnd w:id="73"/>
      <w:r w:rsidRPr="00275521">
        <w:t>:</w:t>
      </w:r>
      <w:r w:rsidR="00354F64" w:rsidRPr="00275521">
        <w:rPr>
          <w:rStyle w:val="CommentReference"/>
          <w:b/>
          <w:szCs w:val="24"/>
        </w:rPr>
        <w:t xml:space="preserve"> </w:t>
      </w:r>
      <w:r w:rsidR="00BF1FE0" w:rsidRPr="00275521">
        <w:rPr>
          <w:rStyle w:val="CommentReference"/>
          <w:b/>
          <w:szCs w:val="24"/>
        </w:rPr>
        <w:t xml:space="preserve">Key </w:t>
      </w:r>
      <w:r w:rsidR="00AD4008" w:rsidRPr="00275521">
        <w:rPr>
          <w:rStyle w:val="CommentReference"/>
          <w:b/>
          <w:szCs w:val="24"/>
        </w:rPr>
        <w:t>s</w:t>
      </w:r>
      <w:r w:rsidR="00D15314" w:rsidRPr="00275521">
        <w:rPr>
          <w:rStyle w:val="CommentReference"/>
          <w:b/>
          <w:szCs w:val="24"/>
        </w:rPr>
        <w:t>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Key sensitivity analyses"/>
      </w:tblPr>
      <w:tblGrid>
        <w:gridCol w:w="4390"/>
        <w:gridCol w:w="1275"/>
        <w:gridCol w:w="1276"/>
        <w:gridCol w:w="1276"/>
        <w:gridCol w:w="800"/>
      </w:tblGrid>
      <w:tr w:rsidR="00DB35F7" w:rsidRPr="00275521" w14:paraId="381F562D" w14:textId="77777777" w:rsidTr="00DD6C0C">
        <w:trPr>
          <w:tblHeader/>
        </w:trPr>
        <w:tc>
          <w:tcPr>
            <w:tcW w:w="4390" w:type="dxa"/>
          </w:tcPr>
          <w:p w14:paraId="7D1B07BB" w14:textId="77777777" w:rsidR="00D969C9" w:rsidRPr="008025D2" w:rsidRDefault="00D969C9" w:rsidP="008B6633">
            <w:pPr>
              <w:pStyle w:val="In-tableHeading"/>
              <w:rPr>
                <w:lang w:val="en-AU"/>
              </w:rPr>
            </w:pPr>
            <w:r w:rsidRPr="008025D2">
              <w:rPr>
                <w:lang w:val="en-AU"/>
              </w:rPr>
              <w:t>Analyses</w:t>
            </w:r>
          </w:p>
        </w:tc>
        <w:tc>
          <w:tcPr>
            <w:tcW w:w="1275" w:type="dxa"/>
          </w:tcPr>
          <w:p w14:paraId="11048527" w14:textId="77777777" w:rsidR="00D969C9" w:rsidRPr="008025D2" w:rsidRDefault="00D969C9" w:rsidP="008B6633">
            <w:pPr>
              <w:pStyle w:val="In-tableHeading"/>
              <w:jc w:val="center"/>
              <w:rPr>
                <w:lang w:val="en-AU"/>
              </w:rPr>
            </w:pPr>
            <w:r w:rsidRPr="008025D2">
              <w:rPr>
                <w:lang w:val="en-AU"/>
              </w:rPr>
              <w:t>Incremental cost</w:t>
            </w:r>
          </w:p>
        </w:tc>
        <w:tc>
          <w:tcPr>
            <w:tcW w:w="1276" w:type="dxa"/>
          </w:tcPr>
          <w:p w14:paraId="7574D227" w14:textId="77777777" w:rsidR="00D969C9" w:rsidRPr="008025D2" w:rsidRDefault="00D969C9" w:rsidP="008B6633">
            <w:pPr>
              <w:pStyle w:val="In-tableHeading"/>
              <w:jc w:val="center"/>
              <w:rPr>
                <w:lang w:val="en-AU"/>
              </w:rPr>
            </w:pPr>
            <w:r w:rsidRPr="008025D2">
              <w:rPr>
                <w:lang w:val="en-AU"/>
              </w:rPr>
              <w:t>Incremental QALY</w:t>
            </w:r>
          </w:p>
        </w:tc>
        <w:tc>
          <w:tcPr>
            <w:tcW w:w="1276" w:type="dxa"/>
          </w:tcPr>
          <w:p w14:paraId="1DAF09B9" w14:textId="77777777" w:rsidR="00D969C9" w:rsidRPr="008025D2" w:rsidRDefault="00D969C9" w:rsidP="008B6633">
            <w:pPr>
              <w:pStyle w:val="In-tableHeading"/>
              <w:jc w:val="center"/>
              <w:rPr>
                <w:lang w:val="en-AU"/>
              </w:rPr>
            </w:pPr>
            <w:r w:rsidRPr="008025D2">
              <w:rPr>
                <w:lang w:val="en-AU"/>
              </w:rPr>
              <w:t>ICER</w:t>
            </w:r>
          </w:p>
        </w:tc>
        <w:tc>
          <w:tcPr>
            <w:tcW w:w="800" w:type="dxa"/>
          </w:tcPr>
          <w:p w14:paraId="5F14B2E1" w14:textId="77777777" w:rsidR="00D969C9" w:rsidRPr="008025D2" w:rsidRDefault="00D969C9" w:rsidP="008B6633">
            <w:pPr>
              <w:pStyle w:val="In-tableHeading"/>
              <w:jc w:val="center"/>
              <w:rPr>
                <w:lang w:val="en-AU"/>
              </w:rPr>
            </w:pPr>
            <w:r w:rsidRPr="008025D2">
              <w:rPr>
                <w:lang w:val="en-AU"/>
              </w:rPr>
              <w:t>∆%</w:t>
            </w:r>
          </w:p>
        </w:tc>
      </w:tr>
      <w:tr w:rsidR="00DB35F7" w:rsidRPr="00275521" w14:paraId="18F85046" w14:textId="77777777" w:rsidTr="00DD6C0C">
        <w:tc>
          <w:tcPr>
            <w:tcW w:w="4390" w:type="dxa"/>
          </w:tcPr>
          <w:p w14:paraId="2539E087" w14:textId="2F765210" w:rsidR="00D969C9" w:rsidRPr="008025D2" w:rsidRDefault="00D969C9" w:rsidP="008B6633">
            <w:pPr>
              <w:pStyle w:val="TableText0"/>
              <w:keepNext w:val="0"/>
              <w:keepLines w:val="0"/>
              <w:rPr>
                <w:b/>
                <w:bCs w:val="0"/>
              </w:rPr>
            </w:pPr>
            <w:r w:rsidRPr="008025D2">
              <w:rPr>
                <w:b/>
                <w:bCs w:val="0"/>
              </w:rPr>
              <w:t xml:space="preserve">Base case </w:t>
            </w:r>
            <w:r w:rsidR="003034C1" w:rsidRPr="008025D2">
              <w:rPr>
                <w:b/>
                <w:bCs w:val="0"/>
              </w:rPr>
              <w:t>2</w:t>
            </w:r>
          </w:p>
        </w:tc>
        <w:tc>
          <w:tcPr>
            <w:tcW w:w="1275" w:type="dxa"/>
            <w:vAlign w:val="center"/>
          </w:tcPr>
          <w:p w14:paraId="38676F43" w14:textId="5517B22A" w:rsidR="00D969C9" w:rsidRPr="008025D2" w:rsidRDefault="00D969C9" w:rsidP="008B6633">
            <w:pPr>
              <w:pStyle w:val="TableText0"/>
              <w:keepNext w:val="0"/>
              <w:keepLines w:val="0"/>
              <w:jc w:val="center"/>
              <w:rPr>
                <w:b/>
                <w:bCs w:val="0"/>
              </w:rPr>
            </w:pPr>
            <w:r w:rsidRPr="008025D2">
              <w:rPr>
                <w:b/>
                <w:bCs w:val="0"/>
              </w:rPr>
              <w:t>$</w:t>
            </w:r>
            <w:r w:rsidR="006C4DC1" w:rsidRPr="006C4DC1">
              <w:rPr>
                <w:b/>
                <w:bCs w:val="0"/>
                <w:sz w:val="2"/>
                <w:highlight w:val="black"/>
              </w:rPr>
              <w:t>redacted content</w:t>
            </w:r>
          </w:p>
        </w:tc>
        <w:tc>
          <w:tcPr>
            <w:tcW w:w="1276" w:type="dxa"/>
            <w:vAlign w:val="center"/>
          </w:tcPr>
          <w:p w14:paraId="73243D78" w14:textId="77777777" w:rsidR="00D969C9" w:rsidRPr="008025D2" w:rsidRDefault="00D969C9" w:rsidP="008B6633">
            <w:pPr>
              <w:pStyle w:val="TableText0"/>
              <w:keepNext w:val="0"/>
              <w:keepLines w:val="0"/>
              <w:jc w:val="center"/>
              <w:rPr>
                <w:b/>
                <w:bCs w:val="0"/>
              </w:rPr>
            </w:pPr>
            <w:r w:rsidRPr="008025D2">
              <w:rPr>
                <w:b/>
                <w:bCs w:val="0"/>
              </w:rPr>
              <w:t>2.88</w:t>
            </w:r>
          </w:p>
        </w:tc>
        <w:tc>
          <w:tcPr>
            <w:tcW w:w="1276" w:type="dxa"/>
            <w:vAlign w:val="center"/>
          </w:tcPr>
          <w:p w14:paraId="50572685" w14:textId="64EF3F19" w:rsidR="00D969C9" w:rsidRPr="00FA5428" w:rsidRDefault="00D969C9" w:rsidP="008B6633">
            <w:pPr>
              <w:pStyle w:val="TableText0"/>
              <w:keepNext w:val="0"/>
              <w:keepLines w:val="0"/>
              <w:jc w:val="center"/>
              <w:rPr>
                <w:b/>
                <w:bCs w:val="0"/>
                <w:vertAlign w:val="superscript"/>
              </w:rPr>
            </w:pPr>
            <w:r w:rsidRPr="008025D2">
              <w:rPr>
                <w:b/>
                <w:bCs w:val="0"/>
              </w:rPr>
              <w:t>$</w:t>
            </w:r>
            <w:r w:rsidR="006C4DC1" w:rsidRPr="006C4DC1">
              <w:rPr>
                <w:b/>
                <w:bCs w:val="0"/>
                <w:sz w:val="2"/>
                <w:highlight w:val="black"/>
              </w:rPr>
              <w:t>redacted content</w:t>
            </w:r>
            <w:r w:rsidR="00FA5428">
              <w:rPr>
                <w:b/>
                <w:bCs w:val="0"/>
                <w:vertAlign w:val="superscript"/>
              </w:rPr>
              <w:t>1</w:t>
            </w:r>
          </w:p>
        </w:tc>
        <w:tc>
          <w:tcPr>
            <w:tcW w:w="800" w:type="dxa"/>
            <w:vAlign w:val="center"/>
          </w:tcPr>
          <w:p w14:paraId="3A6D94F5" w14:textId="77777777" w:rsidR="00D969C9" w:rsidRPr="008025D2" w:rsidRDefault="00D969C9" w:rsidP="008B6633">
            <w:pPr>
              <w:pStyle w:val="TableText0"/>
              <w:keepNext w:val="0"/>
              <w:keepLines w:val="0"/>
              <w:jc w:val="center"/>
              <w:rPr>
                <w:b/>
                <w:bCs w:val="0"/>
              </w:rPr>
            </w:pPr>
            <w:r w:rsidRPr="008025D2">
              <w:rPr>
                <w:b/>
                <w:bCs w:val="0"/>
              </w:rPr>
              <w:t>-</w:t>
            </w:r>
          </w:p>
        </w:tc>
      </w:tr>
      <w:tr w:rsidR="00DB35F7" w:rsidRPr="00275521" w14:paraId="414907EB" w14:textId="77777777" w:rsidTr="00DD6C0C">
        <w:tc>
          <w:tcPr>
            <w:tcW w:w="4390" w:type="dxa"/>
          </w:tcPr>
          <w:p w14:paraId="092C5C08" w14:textId="732B3063" w:rsidR="00D969C9" w:rsidRPr="008025D2" w:rsidRDefault="00D969C9" w:rsidP="008B6633">
            <w:pPr>
              <w:pStyle w:val="TableText0"/>
              <w:keepNext w:val="0"/>
              <w:keepLines w:val="0"/>
            </w:pPr>
            <w:r w:rsidRPr="008025D2">
              <w:t>Carer disutility included (base case excluded)</w:t>
            </w:r>
          </w:p>
        </w:tc>
        <w:tc>
          <w:tcPr>
            <w:tcW w:w="1275" w:type="dxa"/>
            <w:vAlign w:val="center"/>
          </w:tcPr>
          <w:p w14:paraId="05D36724" w14:textId="49D51663" w:rsidR="00D969C9" w:rsidRPr="008025D2" w:rsidRDefault="00D969C9" w:rsidP="008B6633">
            <w:pPr>
              <w:pStyle w:val="TableText0"/>
              <w:keepNext w:val="0"/>
              <w:keepLines w:val="0"/>
              <w:jc w:val="center"/>
            </w:pPr>
            <w:r w:rsidRPr="008025D2">
              <w:t>$</w:t>
            </w:r>
            <w:r w:rsidR="006C4DC1" w:rsidRPr="006C4DC1">
              <w:rPr>
                <w:sz w:val="2"/>
                <w:highlight w:val="black"/>
              </w:rPr>
              <w:t>redacted content</w:t>
            </w:r>
          </w:p>
        </w:tc>
        <w:tc>
          <w:tcPr>
            <w:tcW w:w="1276" w:type="dxa"/>
            <w:vAlign w:val="center"/>
          </w:tcPr>
          <w:p w14:paraId="1A288774" w14:textId="77777777" w:rsidR="00D969C9" w:rsidRPr="008025D2" w:rsidRDefault="00D969C9" w:rsidP="008B6633">
            <w:pPr>
              <w:pStyle w:val="TableText0"/>
              <w:keepNext w:val="0"/>
              <w:keepLines w:val="0"/>
              <w:jc w:val="center"/>
            </w:pPr>
            <w:r w:rsidRPr="008025D2">
              <w:t>5.58</w:t>
            </w:r>
          </w:p>
        </w:tc>
        <w:tc>
          <w:tcPr>
            <w:tcW w:w="1276" w:type="dxa"/>
            <w:vAlign w:val="center"/>
          </w:tcPr>
          <w:p w14:paraId="1FE12989" w14:textId="45A373C8" w:rsidR="00D969C9" w:rsidRPr="003C6009" w:rsidRDefault="00D969C9" w:rsidP="008B6633">
            <w:pPr>
              <w:pStyle w:val="TableText0"/>
              <w:keepNext w:val="0"/>
              <w:keepLines w:val="0"/>
              <w:jc w:val="center"/>
              <w:rPr>
                <w:vertAlign w:val="superscript"/>
              </w:rPr>
            </w:pPr>
            <w:r w:rsidRPr="008025D2">
              <w:t>$</w:t>
            </w:r>
            <w:r w:rsidR="006C4DC1" w:rsidRPr="006C4DC1">
              <w:rPr>
                <w:sz w:val="2"/>
                <w:highlight w:val="black"/>
              </w:rPr>
              <w:t>redacted content</w:t>
            </w:r>
            <w:r w:rsidR="003C6009">
              <w:rPr>
                <w:vertAlign w:val="superscript"/>
              </w:rPr>
              <w:t>2</w:t>
            </w:r>
          </w:p>
        </w:tc>
        <w:tc>
          <w:tcPr>
            <w:tcW w:w="800" w:type="dxa"/>
            <w:vAlign w:val="center"/>
          </w:tcPr>
          <w:p w14:paraId="1C032FAF" w14:textId="7AC032AF" w:rsidR="00D969C9" w:rsidRPr="008025D2" w:rsidRDefault="00D969C9" w:rsidP="008B6633">
            <w:pPr>
              <w:pStyle w:val="TableText0"/>
              <w:keepNext w:val="0"/>
              <w:keepLines w:val="0"/>
              <w:jc w:val="center"/>
            </w:pPr>
            <w:r w:rsidRPr="008025D2">
              <w:t>-</w:t>
            </w:r>
            <w:r w:rsidR="006C4DC1" w:rsidRPr="006C4DC1">
              <w:rPr>
                <w:sz w:val="2"/>
                <w:highlight w:val="black"/>
              </w:rPr>
              <w:t>redacted content</w:t>
            </w:r>
            <w:r w:rsidRPr="008025D2">
              <w:t>%</w:t>
            </w:r>
          </w:p>
        </w:tc>
      </w:tr>
      <w:tr w:rsidR="00DB35F7" w:rsidRPr="00275521" w14:paraId="7EDBFAA2" w14:textId="77777777" w:rsidTr="00DD6C0C">
        <w:trPr>
          <w:trHeight w:val="716"/>
        </w:trPr>
        <w:tc>
          <w:tcPr>
            <w:tcW w:w="4390" w:type="dxa"/>
          </w:tcPr>
          <w:p w14:paraId="29C196D1" w14:textId="77777777" w:rsidR="00D969C9" w:rsidRPr="008025D2" w:rsidRDefault="00D969C9" w:rsidP="008B6633">
            <w:pPr>
              <w:pStyle w:val="TableText0"/>
              <w:keepNext w:val="0"/>
              <w:keepLines w:val="0"/>
            </w:pPr>
            <w:r w:rsidRPr="008025D2">
              <w:t>Discount rate (base case 5% costs and outcomes)</w:t>
            </w:r>
          </w:p>
          <w:p w14:paraId="02C39E9B" w14:textId="77777777" w:rsidR="00D969C9" w:rsidRPr="008025D2" w:rsidRDefault="00D969C9" w:rsidP="008B6633">
            <w:pPr>
              <w:pStyle w:val="TableText0"/>
              <w:keepNext w:val="0"/>
              <w:keepLines w:val="0"/>
              <w:numPr>
                <w:ilvl w:val="0"/>
                <w:numId w:val="4"/>
              </w:numPr>
            </w:pPr>
            <w:r w:rsidRPr="008025D2">
              <w:t>0% costs and outcomes</w:t>
            </w:r>
          </w:p>
          <w:p w14:paraId="25A84925" w14:textId="77777777" w:rsidR="00D969C9" w:rsidRPr="008025D2" w:rsidRDefault="00D969C9" w:rsidP="008B6633">
            <w:pPr>
              <w:pStyle w:val="TableText0"/>
              <w:keepNext w:val="0"/>
              <w:numPr>
                <w:ilvl w:val="0"/>
                <w:numId w:val="4"/>
              </w:numPr>
            </w:pPr>
            <w:r w:rsidRPr="008025D2">
              <w:t>3.5% costs and outcomes</w:t>
            </w:r>
          </w:p>
        </w:tc>
        <w:tc>
          <w:tcPr>
            <w:tcW w:w="1275" w:type="dxa"/>
          </w:tcPr>
          <w:p w14:paraId="440AEA0F" w14:textId="77777777" w:rsidR="00D969C9" w:rsidRPr="008025D2" w:rsidRDefault="00D969C9" w:rsidP="008B6633">
            <w:pPr>
              <w:pStyle w:val="TableText0"/>
              <w:keepNext w:val="0"/>
              <w:keepLines w:val="0"/>
              <w:jc w:val="center"/>
            </w:pPr>
          </w:p>
          <w:p w14:paraId="71C21537" w14:textId="5FE80D12" w:rsidR="00D969C9" w:rsidRPr="008025D2" w:rsidRDefault="00D969C9" w:rsidP="008B6633">
            <w:pPr>
              <w:pStyle w:val="TableText0"/>
              <w:keepNext w:val="0"/>
              <w:keepLines w:val="0"/>
              <w:jc w:val="center"/>
            </w:pPr>
            <w:r w:rsidRPr="008025D2">
              <w:t>$</w:t>
            </w:r>
            <w:r w:rsidR="006C4DC1" w:rsidRPr="006C4DC1">
              <w:rPr>
                <w:sz w:val="2"/>
                <w:highlight w:val="black"/>
              </w:rPr>
              <w:t>redacted content</w:t>
            </w:r>
          </w:p>
          <w:p w14:paraId="3DB4E208" w14:textId="1398E648" w:rsidR="00D969C9" w:rsidRPr="008025D2" w:rsidRDefault="00D969C9" w:rsidP="008B6633">
            <w:pPr>
              <w:pStyle w:val="TableText0"/>
              <w:keepNext w:val="0"/>
              <w:jc w:val="center"/>
            </w:pPr>
            <w:r w:rsidRPr="008025D2">
              <w:t>$</w:t>
            </w:r>
            <w:r w:rsidR="006C4DC1" w:rsidRPr="006C4DC1">
              <w:rPr>
                <w:sz w:val="2"/>
                <w:highlight w:val="black"/>
              </w:rPr>
              <w:t>redacted content</w:t>
            </w:r>
          </w:p>
        </w:tc>
        <w:tc>
          <w:tcPr>
            <w:tcW w:w="1276" w:type="dxa"/>
          </w:tcPr>
          <w:p w14:paraId="5F501AE8" w14:textId="77777777" w:rsidR="00D969C9" w:rsidRPr="008025D2" w:rsidRDefault="00D969C9" w:rsidP="008B6633">
            <w:pPr>
              <w:pStyle w:val="TableText0"/>
              <w:keepNext w:val="0"/>
              <w:keepLines w:val="0"/>
              <w:jc w:val="center"/>
            </w:pPr>
          </w:p>
          <w:p w14:paraId="1F25137F" w14:textId="77777777" w:rsidR="00D969C9" w:rsidRPr="008025D2" w:rsidRDefault="00D969C9" w:rsidP="008B6633">
            <w:pPr>
              <w:pStyle w:val="TableText0"/>
              <w:keepNext w:val="0"/>
              <w:keepLines w:val="0"/>
              <w:jc w:val="center"/>
            </w:pPr>
            <w:r w:rsidRPr="008025D2">
              <w:t>7.24</w:t>
            </w:r>
          </w:p>
          <w:p w14:paraId="6C69A11D" w14:textId="77777777" w:rsidR="00D969C9" w:rsidRPr="008025D2" w:rsidRDefault="00D969C9" w:rsidP="008B6633">
            <w:pPr>
              <w:pStyle w:val="TableText0"/>
              <w:keepNext w:val="0"/>
              <w:jc w:val="center"/>
            </w:pPr>
            <w:r w:rsidRPr="008025D2">
              <w:t>3.63</w:t>
            </w:r>
          </w:p>
        </w:tc>
        <w:tc>
          <w:tcPr>
            <w:tcW w:w="1276" w:type="dxa"/>
          </w:tcPr>
          <w:p w14:paraId="2B56B54C" w14:textId="77777777" w:rsidR="00D969C9" w:rsidRPr="008025D2" w:rsidRDefault="00D969C9" w:rsidP="008B6633">
            <w:pPr>
              <w:pStyle w:val="TableText0"/>
              <w:keepNext w:val="0"/>
              <w:keepLines w:val="0"/>
              <w:jc w:val="center"/>
            </w:pPr>
          </w:p>
          <w:p w14:paraId="3875DD7B" w14:textId="4C868980" w:rsidR="00D969C9" w:rsidRPr="00987092" w:rsidRDefault="00D969C9" w:rsidP="008B6633">
            <w:pPr>
              <w:pStyle w:val="TableText0"/>
              <w:keepNext w:val="0"/>
              <w:keepLines w:val="0"/>
              <w:jc w:val="center"/>
              <w:rPr>
                <w:vertAlign w:val="superscript"/>
              </w:rPr>
            </w:pPr>
            <w:r w:rsidRPr="008025D2">
              <w:t>$</w:t>
            </w:r>
            <w:r w:rsidR="006C4DC1" w:rsidRPr="006C4DC1">
              <w:rPr>
                <w:sz w:val="2"/>
                <w:highlight w:val="black"/>
              </w:rPr>
              <w:t>redacted content</w:t>
            </w:r>
            <w:r w:rsidR="00987092">
              <w:rPr>
                <w:vertAlign w:val="superscript"/>
              </w:rPr>
              <w:t>3</w:t>
            </w:r>
          </w:p>
          <w:p w14:paraId="1CBE8C5B" w14:textId="56405973" w:rsidR="00D969C9" w:rsidRPr="007B2055" w:rsidRDefault="00D969C9" w:rsidP="008B6633">
            <w:pPr>
              <w:pStyle w:val="TableText0"/>
              <w:keepNext w:val="0"/>
              <w:jc w:val="center"/>
              <w:rPr>
                <w:vertAlign w:val="superscript"/>
              </w:rPr>
            </w:pPr>
            <w:r w:rsidRPr="008025D2">
              <w:t>$</w:t>
            </w:r>
            <w:r w:rsidR="006C4DC1" w:rsidRPr="006C4DC1">
              <w:rPr>
                <w:sz w:val="2"/>
                <w:highlight w:val="black"/>
              </w:rPr>
              <w:t>redacted content</w:t>
            </w:r>
            <w:r w:rsidR="007B2055">
              <w:rPr>
                <w:vertAlign w:val="superscript"/>
              </w:rPr>
              <w:t>4</w:t>
            </w:r>
          </w:p>
        </w:tc>
        <w:tc>
          <w:tcPr>
            <w:tcW w:w="800" w:type="dxa"/>
          </w:tcPr>
          <w:p w14:paraId="551B3C46" w14:textId="77777777" w:rsidR="00D969C9" w:rsidRPr="008025D2" w:rsidRDefault="00D969C9" w:rsidP="008B6633">
            <w:pPr>
              <w:pStyle w:val="TableText0"/>
              <w:keepNext w:val="0"/>
              <w:keepLines w:val="0"/>
              <w:jc w:val="center"/>
            </w:pPr>
          </w:p>
          <w:p w14:paraId="10E432A2" w14:textId="0F0EAE31" w:rsidR="00D969C9" w:rsidRPr="008025D2" w:rsidRDefault="00D969C9" w:rsidP="008B6633">
            <w:pPr>
              <w:pStyle w:val="TableText0"/>
              <w:keepNext w:val="0"/>
              <w:keepLines w:val="0"/>
              <w:jc w:val="center"/>
            </w:pPr>
            <w:r w:rsidRPr="008025D2">
              <w:t>-</w:t>
            </w:r>
            <w:r w:rsidR="006C4DC1" w:rsidRPr="006C4DC1">
              <w:rPr>
                <w:sz w:val="2"/>
                <w:highlight w:val="black"/>
              </w:rPr>
              <w:t>redacted content</w:t>
            </w:r>
            <w:r w:rsidRPr="008025D2">
              <w:t>%</w:t>
            </w:r>
          </w:p>
          <w:p w14:paraId="1D77253B" w14:textId="67BE7E4A" w:rsidR="00D969C9" w:rsidRPr="008025D2" w:rsidRDefault="00D969C9" w:rsidP="008B6633">
            <w:pPr>
              <w:pStyle w:val="TableText0"/>
              <w:keepNext w:val="0"/>
              <w:jc w:val="center"/>
            </w:pPr>
            <w:r w:rsidRPr="008025D2">
              <w:t>-</w:t>
            </w:r>
            <w:r w:rsidR="006C4DC1" w:rsidRPr="006C4DC1">
              <w:rPr>
                <w:sz w:val="2"/>
                <w:highlight w:val="black"/>
              </w:rPr>
              <w:t>redacted content</w:t>
            </w:r>
            <w:r w:rsidRPr="008025D2">
              <w:t>%</w:t>
            </w:r>
          </w:p>
        </w:tc>
      </w:tr>
      <w:tr w:rsidR="00DB35F7" w:rsidRPr="00275521" w14:paraId="342B72E1" w14:textId="77777777" w:rsidTr="004B5F9F">
        <w:trPr>
          <w:trHeight w:val="430"/>
        </w:trPr>
        <w:tc>
          <w:tcPr>
            <w:tcW w:w="4390" w:type="dxa"/>
          </w:tcPr>
          <w:p w14:paraId="582B0D84" w14:textId="77777777" w:rsidR="00D969C9" w:rsidRPr="008025D2" w:rsidRDefault="00D969C9" w:rsidP="008B6633">
            <w:pPr>
              <w:pStyle w:val="TableText0"/>
              <w:keepNext w:val="0"/>
              <w:keepLines w:val="0"/>
            </w:pPr>
            <w:r w:rsidRPr="008025D2">
              <w:t>Time horizon (base case 50 years)</w:t>
            </w:r>
          </w:p>
          <w:p w14:paraId="06B253C1" w14:textId="77777777" w:rsidR="00D969C9" w:rsidRPr="008025D2" w:rsidRDefault="00D969C9" w:rsidP="008B6633">
            <w:pPr>
              <w:pStyle w:val="TableText0"/>
              <w:keepNext w:val="0"/>
              <w:keepLines w:val="0"/>
              <w:numPr>
                <w:ilvl w:val="0"/>
                <w:numId w:val="5"/>
              </w:numPr>
            </w:pPr>
            <w:r w:rsidRPr="008025D2">
              <w:t>20 years</w:t>
            </w:r>
          </w:p>
          <w:p w14:paraId="7B7FD389" w14:textId="60F204A7" w:rsidR="00D969C9" w:rsidRPr="008025D2" w:rsidRDefault="00D969C9" w:rsidP="008B6633">
            <w:pPr>
              <w:pStyle w:val="TableText0"/>
              <w:keepNext w:val="0"/>
              <w:keepLines w:val="0"/>
              <w:numPr>
                <w:ilvl w:val="0"/>
                <w:numId w:val="5"/>
              </w:numPr>
            </w:pPr>
            <w:r w:rsidRPr="008025D2">
              <w:lastRenderedPageBreak/>
              <w:t>10 years</w:t>
            </w:r>
          </w:p>
        </w:tc>
        <w:tc>
          <w:tcPr>
            <w:tcW w:w="1275" w:type="dxa"/>
          </w:tcPr>
          <w:p w14:paraId="71E32681" w14:textId="77777777" w:rsidR="00D969C9" w:rsidRPr="008025D2" w:rsidRDefault="00D969C9" w:rsidP="008B6633">
            <w:pPr>
              <w:pStyle w:val="TableText0"/>
              <w:keepNext w:val="0"/>
              <w:keepLines w:val="0"/>
              <w:jc w:val="center"/>
            </w:pPr>
          </w:p>
          <w:p w14:paraId="32491DD2" w14:textId="1B64D99F" w:rsidR="00D969C9" w:rsidRPr="008025D2" w:rsidRDefault="00D969C9" w:rsidP="008B6633">
            <w:pPr>
              <w:pStyle w:val="TableText0"/>
              <w:keepNext w:val="0"/>
              <w:keepLines w:val="0"/>
              <w:jc w:val="center"/>
            </w:pPr>
            <w:r w:rsidRPr="008025D2">
              <w:t>$</w:t>
            </w:r>
            <w:r w:rsidR="006C4DC1" w:rsidRPr="006C4DC1">
              <w:rPr>
                <w:sz w:val="2"/>
                <w:highlight w:val="black"/>
              </w:rPr>
              <w:t>redacted content</w:t>
            </w:r>
          </w:p>
          <w:p w14:paraId="27958DBF" w14:textId="42944D24" w:rsidR="00D969C9" w:rsidRPr="008025D2" w:rsidRDefault="00D969C9" w:rsidP="008B6633">
            <w:pPr>
              <w:pStyle w:val="TableText0"/>
              <w:keepNext w:val="0"/>
              <w:keepLines w:val="0"/>
              <w:jc w:val="center"/>
            </w:pPr>
            <w:r w:rsidRPr="008025D2">
              <w:lastRenderedPageBreak/>
              <w:t>$</w:t>
            </w:r>
            <w:r w:rsidR="006C4DC1" w:rsidRPr="006C4DC1">
              <w:rPr>
                <w:sz w:val="2"/>
                <w:highlight w:val="black"/>
              </w:rPr>
              <w:t>redacted content</w:t>
            </w:r>
          </w:p>
        </w:tc>
        <w:tc>
          <w:tcPr>
            <w:tcW w:w="1276" w:type="dxa"/>
          </w:tcPr>
          <w:p w14:paraId="2F6BAEA1" w14:textId="77777777" w:rsidR="00D969C9" w:rsidRPr="008025D2" w:rsidRDefault="00D969C9" w:rsidP="008B6633">
            <w:pPr>
              <w:pStyle w:val="TableText0"/>
              <w:keepNext w:val="0"/>
              <w:keepLines w:val="0"/>
              <w:jc w:val="center"/>
            </w:pPr>
          </w:p>
          <w:p w14:paraId="511732F3" w14:textId="77777777" w:rsidR="00D969C9" w:rsidRPr="008025D2" w:rsidRDefault="00D969C9" w:rsidP="008B6633">
            <w:pPr>
              <w:pStyle w:val="TableText0"/>
              <w:keepNext w:val="0"/>
              <w:keepLines w:val="0"/>
              <w:jc w:val="center"/>
            </w:pPr>
            <w:r w:rsidRPr="008025D2">
              <w:t>1.97</w:t>
            </w:r>
          </w:p>
          <w:p w14:paraId="6603FD00" w14:textId="1C6C7297" w:rsidR="00D969C9" w:rsidRPr="008025D2" w:rsidRDefault="00D969C9" w:rsidP="008B6633">
            <w:pPr>
              <w:pStyle w:val="TableText0"/>
              <w:keepNext w:val="0"/>
              <w:keepLines w:val="0"/>
              <w:jc w:val="center"/>
            </w:pPr>
            <w:r w:rsidRPr="008025D2">
              <w:lastRenderedPageBreak/>
              <w:t>1.11</w:t>
            </w:r>
          </w:p>
        </w:tc>
        <w:tc>
          <w:tcPr>
            <w:tcW w:w="1276" w:type="dxa"/>
          </w:tcPr>
          <w:p w14:paraId="420DC457" w14:textId="77777777" w:rsidR="00D969C9" w:rsidRPr="008025D2" w:rsidRDefault="00D969C9" w:rsidP="008B6633">
            <w:pPr>
              <w:pStyle w:val="TableText0"/>
              <w:keepNext w:val="0"/>
              <w:keepLines w:val="0"/>
              <w:jc w:val="center"/>
            </w:pPr>
          </w:p>
          <w:p w14:paraId="25321832" w14:textId="5B28D13C" w:rsidR="00D969C9" w:rsidRPr="00FA5428" w:rsidRDefault="00911E56" w:rsidP="008B6633">
            <w:pPr>
              <w:pStyle w:val="TableText0"/>
              <w:keepNext w:val="0"/>
              <w:keepLines w:val="0"/>
              <w:jc w:val="center"/>
              <w:rPr>
                <w:vertAlign w:val="superscript"/>
              </w:rPr>
            </w:pPr>
            <w:r>
              <w:t>$</w:t>
            </w:r>
            <w:r w:rsidR="006C4DC1" w:rsidRPr="006C4DC1">
              <w:rPr>
                <w:sz w:val="2"/>
                <w:highlight w:val="black"/>
              </w:rPr>
              <w:t>redacted content</w:t>
            </w:r>
            <w:r w:rsidR="00FA5428">
              <w:rPr>
                <w:vertAlign w:val="superscript"/>
              </w:rPr>
              <w:t>1</w:t>
            </w:r>
          </w:p>
          <w:p w14:paraId="0C46424B" w14:textId="5406F682" w:rsidR="00D969C9" w:rsidRPr="00FA5428" w:rsidRDefault="00D969C9" w:rsidP="008B6633">
            <w:pPr>
              <w:pStyle w:val="TableText0"/>
              <w:keepNext w:val="0"/>
              <w:keepLines w:val="0"/>
              <w:jc w:val="center"/>
              <w:rPr>
                <w:vertAlign w:val="superscript"/>
              </w:rPr>
            </w:pPr>
            <w:r w:rsidRPr="008025D2">
              <w:lastRenderedPageBreak/>
              <w:t>$</w:t>
            </w:r>
            <w:r w:rsidR="006C4DC1" w:rsidRPr="006C4DC1">
              <w:rPr>
                <w:sz w:val="2"/>
                <w:highlight w:val="black"/>
              </w:rPr>
              <w:t>redacted content</w:t>
            </w:r>
            <w:r w:rsidR="00FA5428">
              <w:rPr>
                <w:vertAlign w:val="superscript"/>
              </w:rPr>
              <w:t>1</w:t>
            </w:r>
          </w:p>
        </w:tc>
        <w:tc>
          <w:tcPr>
            <w:tcW w:w="800" w:type="dxa"/>
          </w:tcPr>
          <w:p w14:paraId="7E69E2DA" w14:textId="77777777" w:rsidR="00D969C9" w:rsidRPr="008025D2" w:rsidRDefault="00D969C9" w:rsidP="008B6633">
            <w:pPr>
              <w:pStyle w:val="TableText0"/>
              <w:keepNext w:val="0"/>
              <w:keepLines w:val="0"/>
              <w:jc w:val="center"/>
            </w:pPr>
          </w:p>
          <w:p w14:paraId="3F30BA75" w14:textId="697BA51B" w:rsidR="00D969C9" w:rsidRPr="008025D2" w:rsidRDefault="006C4DC1" w:rsidP="008B6633">
            <w:pPr>
              <w:pStyle w:val="TableText0"/>
              <w:keepNext w:val="0"/>
              <w:keepLines w:val="0"/>
              <w:jc w:val="center"/>
            </w:pPr>
            <w:r w:rsidRPr="006C4DC1">
              <w:rPr>
                <w:sz w:val="2"/>
                <w:highlight w:val="black"/>
              </w:rPr>
              <w:t>redacted content</w:t>
            </w:r>
            <w:r w:rsidR="00D969C9" w:rsidRPr="008025D2">
              <w:t>%</w:t>
            </w:r>
          </w:p>
          <w:p w14:paraId="55D053CB" w14:textId="29576287" w:rsidR="00D969C9" w:rsidRPr="008025D2" w:rsidRDefault="006C4DC1" w:rsidP="008B6633">
            <w:pPr>
              <w:pStyle w:val="TableText0"/>
              <w:keepNext w:val="0"/>
              <w:keepLines w:val="0"/>
              <w:jc w:val="center"/>
            </w:pPr>
            <w:r w:rsidRPr="006C4DC1">
              <w:rPr>
                <w:sz w:val="2"/>
                <w:highlight w:val="black"/>
              </w:rPr>
              <w:lastRenderedPageBreak/>
              <w:t>redacted content</w:t>
            </w:r>
            <w:r w:rsidR="00D969C9" w:rsidRPr="008025D2">
              <w:t>%</w:t>
            </w:r>
          </w:p>
        </w:tc>
      </w:tr>
      <w:tr w:rsidR="00DB35F7" w:rsidRPr="00275521" w14:paraId="02E6871D" w14:textId="77777777" w:rsidTr="00DD6C0C">
        <w:trPr>
          <w:trHeight w:val="716"/>
        </w:trPr>
        <w:tc>
          <w:tcPr>
            <w:tcW w:w="4390" w:type="dxa"/>
          </w:tcPr>
          <w:p w14:paraId="01E2FD4E" w14:textId="77777777" w:rsidR="00D969C9" w:rsidRPr="008025D2" w:rsidRDefault="00D969C9" w:rsidP="008B6633">
            <w:pPr>
              <w:pStyle w:val="TableText0"/>
              <w:keepNext w:val="0"/>
              <w:keepLines w:val="0"/>
            </w:pPr>
            <w:r w:rsidRPr="008025D2">
              <w:lastRenderedPageBreak/>
              <w:t>Baseline age (base case 6 months)</w:t>
            </w:r>
          </w:p>
          <w:p w14:paraId="7C1C4B76" w14:textId="77777777" w:rsidR="00D969C9" w:rsidRPr="008025D2" w:rsidRDefault="00D969C9" w:rsidP="008B6633">
            <w:pPr>
              <w:pStyle w:val="TableText0"/>
              <w:keepNext w:val="0"/>
              <w:keepLines w:val="0"/>
              <w:numPr>
                <w:ilvl w:val="0"/>
                <w:numId w:val="5"/>
              </w:numPr>
            </w:pPr>
            <w:r w:rsidRPr="008025D2">
              <w:t>6.29 yrs (ASSERT mean baseline)</w:t>
            </w:r>
          </w:p>
          <w:p w14:paraId="6487DB90" w14:textId="77777777" w:rsidR="00D969C9" w:rsidRPr="008025D2" w:rsidRDefault="00D969C9" w:rsidP="008B6633">
            <w:pPr>
              <w:pStyle w:val="TableText0"/>
              <w:keepNext w:val="0"/>
              <w:numPr>
                <w:ilvl w:val="0"/>
                <w:numId w:val="5"/>
              </w:numPr>
            </w:pPr>
            <w:r w:rsidRPr="008025D2">
              <w:t>4.4 yrs (Australian EAP mean)</w:t>
            </w:r>
          </w:p>
        </w:tc>
        <w:tc>
          <w:tcPr>
            <w:tcW w:w="1275" w:type="dxa"/>
          </w:tcPr>
          <w:p w14:paraId="4AFF113B" w14:textId="77777777" w:rsidR="00D969C9" w:rsidRPr="008025D2" w:rsidRDefault="00D969C9" w:rsidP="008B6633">
            <w:pPr>
              <w:pStyle w:val="TableText0"/>
              <w:keepNext w:val="0"/>
              <w:keepLines w:val="0"/>
              <w:jc w:val="center"/>
            </w:pPr>
          </w:p>
          <w:p w14:paraId="3644F02E" w14:textId="7512B1ED" w:rsidR="00D969C9" w:rsidRPr="008025D2" w:rsidRDefault="00D969C9" w:rsidP="008B6633">
            <w:pPr>
              <w:pStyle w:val="TableText0"/>
              <w:keepNext w:val="0"/>
              <w:keepLines w:val="0"/>
              <w:jc w:val="center"/>
            </w:pPr>
            <w:r w:rsidRPr="008025D2">
              <w:t>$</w:t>
            </w:r>
            <w:r w:rsidR="006C4DC1" w:rsidRPr="006C4DC1">
              <w:rPr>
                <w:sz w:val="2"/>
                <w:highlight w:val="black"/>
              </w:rPr>
              <w:t>redacted content</w:t>
            </w:r>
          </w:p>
          <w:p w14:paraId="0DBEF632" w14:textId="7728C307" w:rsidR="00D969C9" w:rsidRPr="008025D2" w:rsidRDefault="00D969C9" w:rsidP="008B6633">
            <w:pPr>
              <w:pStyle w:val="TableText0"/>
              <w:keepNext w:val="0"/>
              <w:jc w:val="center"/>
            </w:pPr>
            <w:r w:rsidRPr="008025D2">
              <w:t>$</w:t>
            </w:r>
            <w:r w:rsidR="006C4DC1" w:rsidRPr="006C4DC1">
              <w:rPr>
                <w:sz w:val="2"/>
                <w:highlight w:val="black"/>
              </w:rPr>
              <w:t>redacted content</w:t>
            </w:r>
          </w:p>
        </w:tc>
        <w:tc>
          <w:tcPr>
            <w:tcW w:w="1276" w:type="dxa"/>
          </w:tcPr>
          <w:p w14:paraId="71F79BB3" w14:textId="77777777" w:rsidR="00D969C9" w:rsidRPr="008025D2" w:rsidRDefault="00D969C9" w:rsidP="008B6633">
            <w:pPr>
              <w:pStyle w:val="TableText0"/>
              <w:keepNext w:val="0"/>
              <w:keepLines w:val="0"/>
              <w:jc w:val="center"/>
            </w:pPr>
          </w:p>
          <w:p w14:paraId="431D236E" w14:textId="77777777" w:rsidR="00D969C9" w:rsidRPr="008025D2" w:rsidRDefault="00D969C9" w:rsidP="008B6633">
            <w:pPr>
              <w:pStyle w:val="TableText0"/>
              <w:keepNext w:val="0"/>
              <w:keepLines w:val="0"/>
              <w:jc w:val="center"/>
            </w:pPr>
            <w:r w:rsidRPr="008025D2">
              <w:t>2.86</w:t>
            </w:r>
          </w:p>
          <w:p w14:paraId="4FE5011C" w14:textId="77777777" w:rsidR="00D969C9" w:rsidRPr="008025D2" w:rsidRDefault="00D969C9" w:rsidP="008B6633">
            <w:pPr>
              <w:pStyle w:val="TableText0"/>
              <w:keepNext w:val="0"/>
              <w:jc w:val="center"/>
            </w:pPr>
            <w:r w:rsidRPr="008025D2">
              <w:t>2.87</w:t>
            </w:r>
          </w:p>
        </w:tc>
        <w:tc>
          <w:tcPr>
            <w:tcW w:w="1276" w:type="dxa"/>
          </w:tcPr>
          <w:p w14:paraId="1F687A52" w14:textId="77777777" w:rsidR="00D969C9" w:rsidRPr="008025D2" w:rsidRDefault="00D969C9" w:rsidP="008B6633">
            <w:pPr>
              <w:pStyle w:val="TableText0"/>
              <w:keepNext w:val="0"/>
              <w:keepLines w:val="0"/>
              <w:jc w:val="center"/>
            </w:pPr>
          </w:p>
          <w:p w14:paraId="06296BE4" w14:textId="25D0AD11" w:rsidR="00D969C9" w:rsidRPr="00FA5428" w:rsidRDefault="00D969C9" w:rsidP="008B6633">
            <w:pPr>
              <w:pStyle w:val="TableText0"/>
              <w:keepNext w:val="0"/>
              <w:keepLines w:val="0"/>
              <w:jc w:val="center"/>
              <w:rPr>
                <w:vertAlign w:val="superscript"/>
              </w:rPr>
            </w:pPr>
            <w:r w:rsidRPr="008025D2">
              <w:t>$</w:t>
            </w:r>
            <w:r w:rsidR="006C4DC1" w:rsidRPr="006C4DC1">
              <w:rPr>
                <w:sz w:val="2"/>
                <w:highlight w:val="black"/>
              </w:rPr>
              <w:t>redacted content</w:t>
            </w:r>
            <w:r w:rsidR="00FA5428">
              <w:rPr>
                <w:vertAlign w:val="superscript"/>
              </w:rPr>
              <w:t>1</w:t>
            </w:r>
          </w:p>
          <w:p w14:paraId="7E1CC3F8" w14:textId="0C2C5033" w:rsidR="00D969C9" w:rsidRPr="00FA5428" w:rsidRDefault="00D969C9" w:rsidP="008B6633">
            <w:pPr>
              <w:pStyle w:val="TableText0"/>
              <w:keepNext w:val="0"/>
              <w:jc w:val="center"/>
              <w:rPr>
                <w:vertAlign w:val="superscript"/>
              </w:rPr>
            </w:pPr>
            <w:r w:rsidRPr="008025D2">
              <w:t>$</w:t>
            </w:r>
            <w:r w:rsidR="006C4DC1" w:rsidRPr="006C4DC1">
              <w:rPr>
                <w:sz w:val="2"/>
                <w:highlight w:val="black"/>
              </w:rPr>
              <w:t>redacted content</w:t>
            </w:r>
            <w:r w:rsidR="00FA5428">
              <w:rPr>
                <w:vertAlign w:val="superscript"/>
              </w:rPr>
              <w:t>1</w:t>
            </w:r>
          </w:p>
        </w:tc>
        <w:tc>
          <w:tcPr>
            <w:tcW w:w="800" w:type="dxa"/>
          </w:tcPr>
          <w:p w14:paraId="3096FF80" w14:textId="77777777" w:rsidR="00D969C9" w:rsidRPr="008025D2" w:rsidRDefault="00D969C9" w:rsidP="008B6633">
            <w:pPr>
              <w:pStyle w:val="TableText0"/>
              <w:keepNext w:val="0"/>
              <w:keepLines w:val="0"/>
              <w:jc w:val="center"/>
            </w:pPr>
          </w:p>
          <w:p w14:paraId="2BD49576" w14:textId="6AAC936F" w:rsidR="00D969C9" w:rsidRPr="008025D2" w:rsidRDefault="006C4DC1" w:rsidP="008B6633">
            <w:pPr>
              <w:pStyle w:val="TableText0"/>
              <w:keepNext w:val="0"/>
              <w:keepLines w:val="0"/>
              <w:jc w:val="center"/>
            </w:pPr>
            <w:r w:rsidRPr="006C4DC1">
              <w:rPr>
                <w:sz w:val="2"/>
                <w:highlight w:val="black"/>
              </w:rPr>
              <w:t>redacted content</w:t>
            </w:r>
            <w:r w:rsidR="00D969C9" w:rsidRPr="008025D2">
              <w:t>%</w:t>
            </w:r>
          </w:p>
          <w:p w14:paraId="1576A00B" w14:textId="2CCD0D35" w:rsidR="00D969C9" w:rsidRPr="008025D2" w:rsidRDefault="006C4DC1" w:rsidP="008B6633">
            <w:pPr>
              <w:pStyle w:val="TableText0"/>
              <w:keepNext w:val="0"/>
              <w:jc w:val="center"/>
            </w:pPr>
            <w:r w:rsidRPr="006C4DC1">
              <w:rPr>
                <w:sz w:val="2"/>
                <w:highlight w:val="black"/>
              </w:rPr>
              <w:t>redacted content</w:t>
            </w:r>
            <w:r w:rsidR="00D969C9" w:rsidRPr="008025D2">
              <w:t>%</w:t>
            </w:r>
          </w:p>
        </w:tc>
      </w:tr>
      <w:tr w:rsidR="00DB35F7" w:rsidRPr="00275521" w14:paraId="1C385E37" w14:textId="77777777" w:rsidTr="00DD6C0C">
        <w:trPr>
          <w:trHeight w:val="694"/>
        </w:trPr>
        <w:tc>
          <w:tcPr>
            <w:tcW w:w="4390" w:type="dxa"/>
          </w:tcPr>
          <w:p w14:paraId="60DA1117" w14:textId="77777777" w:rsidR="00D969C9" w:rsidRPr="008025D2" w:rsidRDefault="00D969C9" w:rsidP="008B6633">
            <w:pPr>
              <w:pStyle w:val="TableText0"/>
              <w:keepNext w:val="0"/>
              <w:keepLines w:val="0"/>
            </w:pPr>
            <w:r w:rsidRPr="008025D2">
              <w:t>Odevixibat response rate (base case 82.4%, Sponsor pooled analysis)</w:t>
            </w:r>
          </w:p>
          <w:p w14:paraId="16903EDF" w14:textId="0B503B88" w:rsidR="00D969C9" w:rsidRPr="008025D2" w:rsidRDefault="00D969C9" w:rsidP="008B6633">
            <w:pPr>
              <w:pStyle w:val="TableText0"/>
              <w:keepNext w:val="0"/>
              <w:keepLines w:val="0"/>
              <w:numPr>
                <w:ilvl w:val="0"/>
                <w:numId w:val="5"/>
              </w:numPr>
            </w:pPr>
            <w:r w:rsidRPr="008025D2">
              <w:t>80% (ASSERT 24 weeks)</w:t>
            </w:r>
          </w:p>
        </w:tc>
        <w:tc>
          <w:tcPr>
            <w:tcW w:w="1275" w:type="dxa"/>
            <w:vAlign w:val="center"/>
          </w:tcPr>
          <w:p w14:paraId="4E51D36E" w14:textId="77777777" w:rsidR="00D969C9" w:rsidRPr="008025D2" w:rsidRDefault="00D969C9" w:rsidP="008B6633">
            <w:pPr>
              <w:pStyle w:val="TableText0"/>
              <w:keepNext w:val="0"/>
              <w:keepLines w:val="0"/>
            </w:pPr>
          </w:p>
          <w:p w14:paraId="4C634E24" w14:textId="77777777" w:rsidR="00D969C9" w:rsidRPr="008025D2" w:rsidRDefault="00D969C9" w:rsidP="008B6633">
            <w:pPr>
              <w:pStyle w:val="TableText0"/>
              <w:keepNext w:val="0"/>
              <w:keepLines w:val="0"/>
              <w:jc w:val="center"/>
            </w:pPr>
          </w:p>
          <w:p w14:paraId="23DBB19F" w14:textId="46EE85B5" w:rsidR="00D969C9" w:rsidRPr="008025D2" w:rsidRDefault="00D969C9" w:rsidP="008B6633">
            <w:pPr>
              <w:pStyle w:val="TableText0"/>
              <w:keepNext w:val="0"/>
              <w:keepLines w:val="0"/>
              <w:jc w:val="center"/>
            </w:pPr>
            <w:r w:rsidRPr="008025D2">
              <w:t>$</w:t>
            </w:r>
            <w:r w:rsidR="006C4DC1" w:rsidRPr="006C4DC1">
              <w:rPr>
                <w:sz w:val="2"/>
                <w:highlight w:val="black"/>
              </w:rPr>
              <w:t>redacted content</w:t>
            </w:r>
          </w:p>
        </w:tc>
        <w:tc>
          <w:tcPr>
            <w:tcW w:w="1276" w:type="dxa"/>
            <w:vAlign w:val="center"/>
          </w:tcPr>
          <w:p w14:paraId="4CE04AB3" w14:textId="77777777" w:rsidR="00D969C9" w:rsidRPr="008025D2" w:rsidRDefault="00D969C9" w:rsidP="008B6633">
            <w:pPr>
              <w:pStyle w:val="TableText0"/>
              <w:keepNext w:val="0"/>
              <w:keepLines w:val="0"/>
            </w:pPr>
          </w:p>
          <w:p w14:paraId="2079453B" w14:textId="77777777" w:rsidR="00D969C9" w:rsidRPr="008025D2" w:rsidRDefault="00D969C9" w:rsidP="008B6633">
            <w:pPr>
              <w:pStyle w:val="TableText0"/>
              <w:keepNext w:val="0"/>
              <w:keepLines w:val="0"/>
              <w:jc w:val="center"/>
            </w:pPr>
          </w:p>
          <w:p w14:paraId="0745B085" w14:textId="18B986E9" w:rsidR="00D969C9" w:rsidRPr="008025D2" w:rsidRDefault="00D969C9" w:rsidP="008B6633">
            <w:pPr>
              <w:pStyle w:val="TableText0"/>
              <w:keepNext w:val="0"/>
              <w:keepLines w:val="0"/>
              <w:jc w:val="center"/>
            </w:pPr>
            <w:r w:rsidRPr="008025D2">
              <w:t>2.79</w:t>
            </w:r>
          </w:p>
        </w:tc>
        <w:tc>
          <w:tcPr>
            <w:tcW w:w="1276" w:type="dxa"/>
            <w:vAlign w:val="center"/>
          </w:tcPr>
          <w:p w14:paraId="45F4D188" w14:textId="77777777" w:rsidR="00D969C9" w:rsidRPr="008025D2" w:rsidRDefault="00D969C9" w:rsidP="008B6633">
            <w:pPr>
              <w:pStyle w:val="TableText0"/>
              <w:keepNext w:val="0"/>
              <w:keepLines w:val="0"/>
            </w:pPr>
          </w:p>
          <w:p w14:paraId="27172646" w14:textId="77777777" w:rsidR="00D969C9" w:rsidRPr="008025D2" w:rsidRDefault="00D969C9" w:rsidP="008B6633">
            <w:pPr>
              <w:pStyle w:val="TableText0"/>
              <w:keepNext w:val="0"/>
              <w:keepLines w:val="0"/>
              <w:jc w:val="center"/>
            </w:pPr>
          </w:p>
          <w:p w14:paraId="7ED77169" w14:textId="6A0B526D" w:rsidR="00D969C9" w:rsidRPr="00FA5428" w:rsidRDefault="00D969C9" w:rsidP="008B6633">
            <w:pPr>
              <w:pStyle w:val="TableText0"/>
              <w:keepNext w:val="0"/>
              <w:keepLines w:val="0"/>
              <w:jc w:val="center"/>
              <w:rPr>
                <w:vertAlign w:val="superscript"/>
              </w:rPr>
            </w:pPr>
            <w:r w:rsidRPr="008025D2">
              <w:t>$</w:t>
            </w:r>
            <w:r w:rsidR="006C4DC1" w:rsidRPr="006C4DC1">
              <w:rPr>
                <w:sz w:val="2"/>
                <w:highlight w:val="black"/>
              </w:rPr>
              <w:t>redacted content</w:t>
            </w:r>
            <w:r w:rsidR="00FA5428">
              <w:rPr>
                <w:vertAlign w:val="superscript"/>
              </w:rPr>
              <w:t>1</w:t>
            </w:r>
          </w:p>
        </w:tc>
        <w:tc>
          <w:tcPr>
            <w:tcW w:w="800" w:type="dxa"/>
            <w:vAlign w:val="center"/>
          </w:tcPr>
          <w:p w14:paraId="2B32A216" w14:textId="77777777" w:rsidR="00D969C9" w:rsidRPr="008025D2" w:rsidRDefault="00D969C9" w:rsidP="008B6633">
            <w:pPr>
              <w:pStyle w:val="TableText0"/>
              <w:keepNext w:val="0"/>
              <w:keepLines w:val="0"/>
            </w:pPr>
          </w:p>
          <w:p w14:paraId="0A8E8710" w14:textId="77777777" w:rsidR="00D969C9" w:rsidRPr="008025D2" w:rsidRDefault="00D969C9" w:rsidP="008B6633">
            <w:pPr>
              <w:pStyle w:val="TableText0"/>
              <w:keepNext w:val="0"/>
              <w:keepLines w:val="0"/>
              <w:jc w:val="center"/>
            </w:pPr>
          </w:p>
          <w:p w14:paraId="7D00A149" w14:textId="19386BAB" w:rsidR="00D969C9" w:rsidRPr="008025D2" w:rsidRDefault="006C4DC1" w:rsidP="008B6633">
            <w:pPr>
              <w:pStyle w:val="TableText0"/>
              <w:keepNext w:val="0"/>
              <w:keepLines w:val="0"/>
              <w:jc w:val="center"/>
            </w:pPr>
            <w:r w:rsidRPr="006C4DC1">
              <w:rPr>
                <w:sz w:val="2"/>
                <w:highlight w:val="black"/>
              </w:rPr>
              <w:t>redacted content</w:t>
            </w:r>
            <w:r w:rsidR="00D969C9" w:rsidRPr="008025D2">
              <w:t>%</w:t>
            </w:r>
          </w:p>
        </w:tc>
      </w:tr>
      <w:tr w:rsidR="00DB35F7" w:rsidRPr="00275521" w14:paraId="3C71D2A1" w14:textId="77777777" w:rsidTr="00DD6C0C">
        <w:trPr>
          <w:trHeight w:val="716"/>
        </w:trPr>
        <w:tc>
          <w:tcPr>
            <w:tcW w:w="4390" w:type="dxa"/>
          </w:tcPr>
          <w:p w14:paraId="39831EA6" w14:textId="77777777" w:rsidR="00D969C9" w:rsidRPr="008025D2" w:rsidRDefault="00D969C9" w:rsidP="008B6633">
            <w:pPr>
              <w:pStyle w:val="TableText0"/>
              <w:keepNext w:val="0"/>
              <w:keepLines w:val="0"/>
            </w:pPr>
            <w:r w:rsidRPr="008025D2">
              <w:t>SoC response rate (base case 0% assumed)</w:t>
            </w:r>
          </w:p>
          <w:p w14:paraId="763BA8C2" w14:textId="77777777" w:rsidR="00D969C9" w:rsidRPr="008025D2" w:rsidRDefault="00D969C9" w:rsidP="008B6633">
            <w:pPr>
              <w:pStyle w:val="TableText0"/>
              <w:keepNext w:val="0"/>
              <w:keepLines w:val="0"/>
              <w:numPr>
                <w:ilvl w:val="0"/>
                <w:numId w:val="5"/>
              </w:numPr>
            </w:pPr>
            <w:r w:rsidRPr="008025D2">
              <w:t xml:space="preserve">35.3% (ASSERT 24 weeks) </w:t>
            </w:r>
            <w:r w:rsidRPr="008025D2">
              <w:rPr>
                <w:vertAlign w:val="superscript"/>
              </w:rPr>
              <w:t>a</w:t>
            </w:r>
          </w:p>
          <w:p w14:paraId="69C60E3D" w14:textId="77777777" w:rsidR="00D969C9" w:rsidRPr="008025D2" w:rsidRDefault="00D969C9" w:rsidP="008B6633">
            <w:pPr>
              <w:pStyle w:val="TableText0"/>
              <w:keepNext w:val="0"/>
              <w:numPr>
                <w:ilvl w:val="0"/>
                <w:numId w:val="5"/>
              </w:numPr>
            </w:pPr>
            <w:r w:rsidRPr="008025D2">
              <w:t xml:space="preserve">40% (Sponsor pooled analysis) </w:t>
            </w:r>
            <w:r w:rsidRPr="008025D2">
              <w:rPr>
                <w:vertAlign w:val="superscript"/>
              </w:rPr>
              <w:t>a</w:t>
            </w:r>
          </w:p>
        </w:tc>
        <w:tc>
          <w:tcPr>
            <w:tcW w:w="1275" w:type="dxa"/>
            <w:vAlign w:val="center"/>
          </w:tcPr>
          <w:p w14:paraId="6E1D2C6C" w14:textId="77777777" w:rsidR="00D969C9" w:rsidRPr="008025D2" w:rsidRDefault="00D969C9" w:rsidP="008B6633">
            <w:pPr>
              <w:pStyle w:val="TableText0"/>
              <w:keepNext w:val="0"/>
              <w:keepLines w:val="0"/>
              <w:jc w:val="center"/>
            </w:pPr>
          </w:p>
          <w:p w14:paraId="703E2B82" w14:textId="73A112C0" w:rsidR="00D969C9" w:rsidRPr="008025D2" w:rsidRDefault="00D969C9" w:rsidP="008B6633">
            <w:pPr>
              <w:pStyle w:val="TableText0"/>
              <w:keepNext w:val="0"/>
              <w:keepLines w:val="0"/>
              <w:jc w:val="center"/>
            </w:pPr>
            <w:r w:rsidRPr="008025D2">
              <w:t>$</w:t>
            </w:r>
            <w:r w:rsidR="006C4DC1" w:rsidRPr="006C4DC1">
              <w:rPr>
                <w:sz w:val="2"/>
                <w:highlight w:val="black"/>
              </w:rPr>
              <w:t>redacted content</w:t>
            </w:r>
          </w:p>
          <w:p w14:paraId="1C18193C" w14:textId="4A5243F2" w:rsidR="00D969C9" w:rsidRPr="008025D2" w:rsidRDefault="00D969C9" w:rsidP="008B6633">
            <w:pPr>
              <w:pStyle w:val="TableText0"/>
              <w:keepNext w:val="0"/>
              <w:jc w:val="center"/>
            </w:pPr>
            <w:r w:rsidRPr="008025D2">
              <w:t>$</w:t>
            </w:r>
            <w:r w:rsidR="006C4DC1" w:rsidRPr="006C4DC1">
              <w:rPr>
                <w:sz w:val="2"/>
                <w:highlight w:val="black"/>
              </w:rPr>
              <w:t>redacted content</w:t>
            </w:r>
          </w:p>
        </w:tc>
        <w:tc>
          <w:tcPr>
            <w:tcW w:w="1276" w:type="dxa"/>
            <w:vAlign w:val="center"/>
          </w:tcPr>
          <w:p w14:paraId="638CC1C6" w14:textId="77777777" w:rsidR="00D969C9" w:rsidRPr="008025D2" w:rsidRDefault="00D969C9" w:rsidP="008B6633">
            <w:pPr>
              <w:pStyle w:val="TableText0"/>
              <w:keepNext w:val="0"/>
              <w:keepLines w:val="0"/>
              <w:jc w:val="center"/>
            </w:pPr>
          </w:p>
          <w:p w14:paraId="29F2C4DD" w14:textId="77777777" w:rsidR="00D969C9" w:rsidRPr="008025D2" w:rsidRDefault="00D969C9" w:rsidP="008B6633">
            <w:pPr>
              <w:pStyle w:val="TableText0"/>
              <w:keepNext w:val="0"/>
              <w:keepLines w:val="0"/>
              <w:jc w:val="center"/>
            </w:pPr>
            <w:r w:rsidRPr="008025D2">
              <w:t>1.64</w:t>
            </w:r>
          </w:p>
          <w:p w14:paraId="61771665" w14:textId="77777777" w:rsidR="00D969C9" w:rsidRPr="008025D2" w:rsidRDefault="00D969C9" w:rsidP="008B6633">
            <w:pPr>
              <w:pStyle w:val="TableText0"/>
              <w:keepNext w:val="0"/>
              <w:jc w:val="center"/>
            </w:pPr>
            <w:r w:rsidRPr="008025D2">
              <w:t>1.48</w:t>
            </w:r>
          </w:p>
        </w:tc>
        <w:tc>
          <w:tcPr>
            <w:tcW w:w="1276" w:type="dxa"/>
            <w:vAlign w:val="center"/>
          </w:tcPr>
          <w:p w14:paraId="30A2FECD" w14:textId="77777777" w:rsidR="00D969C9" w:rsidRPr="008025D2" w:rsidRDefault="00D969C9" w:rsidP="008B6633">
            <w:pPr>
              <w:pStyle w:val="TableText0"/>
              <w:keepNext w:val="0"/>
              <w:keepLines w:val="0"/>
              <w:jc w:val="center"/>
            </w:pPr>
          </w:p>
          <w:p w14:paraId="7815DDB4" w14:textId="58740C42" w:rsidR="00D969C9" w:rsidRPr="00FA5428" w:rsidRDefault="00D969C9" w:rsidP="008B6633">
            <w:pPr>
              <w:pStyle w:val="TableText0"/>
              <w:keepNext w:val="0"/>
              <w:keepLines w:val="0"/>
              <w:jc w:val="center"/>
              <w:rPr>
                <w:vertAlign w:val="superscript"/>
              </w:rPr>
            </w:pPr>
            <w:r w:rsidRPr="008025D2">
              <w:t>$</w:t>
            </w:r>
            <w:r w:rsidR="006C4DC1" w:rsidRPr="006C4DC1">
              <w:rPr>
                <w:sz w:val="2"/>
                <w:highlight w:val="black"/>
              </w:rPr>
              <w:t>redacted content</w:t>
            </w:r>
            <w:r w:rsidR="00FA5428">
              <w:rPr>
                <w:vertAlign w:val="superscript"/>
              </w:rPr>
              <w:t>1</w:t>
            </w:r>
          </w:p>
          <w:p w14:paraId="79E73D6B" w14:textId="6A6CEAF1" w:rsidR="00D969C9" w:rsidRPr="00FA5428" w:rsidRDefault="00D969C9" w:rsidP="008B6633">
            <w:pPr>
              <w:pStyle w:val="TableText0"/>
              <w:keepNext w:val="0"/>
              <w:jc w:val="center"/>
              <w:rPr>
                <w:vertAlign w:val="superscript"/>
              </w:rPr>
            </w:pPr>
            <w:r w:rsidRPr="008025D2">
              <w:t>$</w:t>
            </w:r>
            <w:r w:rsidR="006C4DC1" w:rsidRPr="006C4DC1">
              <w:rPr>
                <w:sz w:val="2"/>
                <w:highlight w:val="black"/>
              </w:rPr>
              <w:t>redacted content</w:t>
            </w:r>
            <w:r w:rsidR="00FA5428">
              <w:rPr>
                <w:vertAlign w:val="superscript"/>
              </w:rPr>
              <w:t>1</w:t>
            </w:r>
          </w:p>
        </w:tc>
        <w:tc>
          <w:tcPr>
            <w:tcW w:w="800" w:type="dxa"/>
            <w:vAlign w:val="center"/>
          </w:tcPr>
          <w:p w14:paraId="372C3BF7" w14:textId="77777777" w:rsidR="00D969C9" w:rsidRPr="008025D2" w:rsidRDefault="00D969C9" w:rsidP="008B6633">
            <w:pPr>
              <w:pStyle w:val="TableText0"/>
              <w:keepNext w:val="0"/>
              <w:keepLines w:val="0"/>
              <w:jc w:val="center"/>
            </w:pPr>
          </w:p>
          <w:p w14:paraId="37054394" w14:textId="54FC7C21" w:rsidR="00D969C9" w:rsidRPr="008025D2" w:rsidRDefault="006C4DC1" w:rsidP="008B6633">
            <w:pPr>
              <w:pStyle w:val="TableText0"/>
              <w:keepNext w:val="0"/>
              <w:keepLines w:val="0"/>
              <w:jc w:val="center"/>
            </w:pPr>
            <w:r w:rsidRPr="006C4DC1">
              <w:rPr>
                <w:sz w:val="2"/>
                <w:highlight w:val="black"/>
              </w:rPr>
              <w:t>redacted content</w:t>
            </w:r>
            <w:r w:rsidR="00D969C9" w:rsidRPr="008025D2">
              <w:t>%</w:t>
            </w:r>
          </w:p>
          <w:p w14:paraId="5FFE5E3A" w14:textId="3B46A969" w:rsidR="00D969C9" w:rsidRPr="008025D2" w:rsidRDefault="006C4DC1" w:rsidP="008B6633">
            <w:pPr>
              <w:pStyle w:val="TableText0"/>
              <w:keepNext w:val="0"/>
              <w:jc w:val="center"/>
            </w:pPr>
            <w:r w:rsidRPr="006C4DC1">
              <w:rPr>
                <w:sz w:val="2"/>
                <w:highlight w:val="black"/>
              </w:rPr>
              <w:t>redacted content</w:t>
            </w:r>
            <w:r w:rsidR="00D969C9" w:rsidRPr="008025D2">
              <w:t>%</w:t>
            </w:r>
          </w:p>
        </w:tc>
      </w:tr>
      <w:tr w:rsidR="00DB35F7" w:rsidRPr="00275521" w14:paraId="0D479B29" w14:textId="77777777" w:rsidTr="00DD6C0C">
        <w:trPr>
          <w:trHeight w:val="1186"/>
        </w:trPr>
        <w:tc>
          <w:tcPr>
            <w:tcW w:w="4390" w:type="dxa"/>
          </w:tcPr>
          <w:p w14:paraId="75AA321E" w14:textId="77777777" w:rsidR="00D969C9" w:rsidRPr="008025D2" w:rsidRDefault="00D969C9" w:rsidP="008B6633">
            <w:pPr>
              <w:pStyle w:val="TableText0"/>
              <w:keepNext w:val="0"/>
              <w:keepLines w:val="0"/>
            </w:pPr>
            <w:r w:rsidRPr="008025D2">
              <w:t>Median time on treatment (base case 7.6 yrs; post hoc analysis</w:t>
            </w:r>
            <w:r w:rsidRPr="008025D2">
              <w:rPr>
                <w:vertAlign w:val="superscript"/>
              </w:rPr>
              <w:t xml:space="preserve">b </w:t>
            </w:r>
            <w:r w:rsidRPr="008025D2">
              <w:t>of 5/50 patients at 92.6 weeks)</w:t>
            </w:r>
          </w:p>
          <w:p w14:paraId="5ECBB378" w14:textId="11534E73" w:rsidR="00D969C9" w:rsidRPr="008025D2" w:rsidRDefault="00D969C9" w:rsidP="008B6633">
            <w:pPr>
              <w:pStyle w:val="TableText0"/>
              <w:keepNext w:val="0"/>
              <w:keepLines w:val="0"/>
              <w:numPr>
                <w:ilvl w:val="0"/>
                <w:numId w:val="5"/>
              </w:numPr>
            </w:pPr>
            <w:r w:rsidRPr="008025D2">
              <w:t xml:space="preserve">5.3 yrs (6/50 patients at 72 weeks; ASSERT-EXT) </w:t>
            </w:r>
            <w:r w:rsidRPr="008025D2">
              <w:rPr>
                <w:vertAlign w:val="superscript"/>
              </w:rPr>
              <w:t>b</w:t>
            </w:r>
          </w:p>
          <w:p w14:paraId="47B0EFD7" w14:textId="66247E3C" w:rsidR="00D969C9" w:rsidRPr="008025D2" w:rsidRDefault="00D969C9" w:rsidP="008B6633">
            <w:pPr>
              <w:pStyle w:val="TableText0"/>
              <w:keepNext w:val="0"/>
              <w:numPr>
                <w:ilvl w:val="0"/>
                <w:numId w:val="5"/>
              </w:numPr>
            </w:pPr>
            <w:r w:rsidRPr="008025D2">
              <w:t>10 yrs</w:t>
            </w:r>
          </w:p>
        </w:tc>
        <w:tc>
          <w:tcPr>
            <w:tcW w:w="1275" w:type="dxa"/>
            <w:vAlign w:val="center"/>
          </w:tcPr>
          <w:p w14:paraId="69EDDE80" w14:textId="77777777" w:rsidR="00D969C9" w:rsidRPr="008025D2" w:rsidRDefault="00D969C9" w:rsidP="008B6633">
            <w:pPr>
              <w:pStyle w:val="TableText0"/>
              <w:keepNext w:val="0"/>
              <w:keepLines w:val="0"/>
              <w:jc w:val="center"/>
            </w:pPr>
          </w:p>
          <w:p w14:paraId="228A6649" w14:textId="77777777" w:rsidR="00D969C9" w:rsidRPr="008025D2" w:rsidRDefault="00D969C9" w:rsidP="008B6633">
            <w:pPr>
              <w:pStyle w:val="TableText0"/>
              <w:keepNext w:val="0"/>
              <w:keepLines w:val="0"/>
            </w:pPr>
          </w:p>
          <w:p w14:paraId="44D08FBA" w14:textId="77777777" w:rsidR="00BF1FE0" w:rsidRPr="008025D2" w:rsidRDefault="00BF1FE0" w:rsidP="008B6633">
            <w:pPr>
              <w:pStyle w:val="TableText0"/>
              <w:keepNext w:val="0"/>
              <w:keepLines w:val="0"/>
            </w:pPr>
          </w:p>
          <w:p w14:paraId="3282D2E4" w14:textId="7F9EDF75" w:rsidR="00D969C9" w:rsidRPr="008025D2" w:rsidRDefault="00D969C9" w:rsidP="008B6633">
            <w:pPr>
              <w:pStyle w:val="TableText0"/>
              <w:keepNext w:val="0"/>
              <w:keepLines w:val="0"/>
              <w:jc w:val="center"/>
            </w:pPr>
            <w:r w:rsidRPr="008025D2">
              <w:t>$</w:t>
            </w:r>
            <w:r w:rsidR="006C4DC1" w:rsidRPr="006C4DC1">
              <w:rPr>
                <w:sz w:val="2"/>
                <w:highlight w:val="black"/>
              </w:rPr>
              <w:t>redacted content</w:t>
            </w:r>
          </w:p>
          <w:p w14:paraId="5EDC2717" w14:textId="5A2ECEC3" w:rsidR="00D969C9" w:rsidRPr="008025D2" w:rsidRDefault="00D969C9" w:rsidP="008B6633">
            <w:pPr>
              <w:pStyle w:val="TableText0"/>
              <w:keepNext w:val="0"/>
              <w:jc w:val="center"/>
            </w:pPr>
            <w:r w:rsidRPr="008025D2">
              <w:t>$</w:t>
            </w:r>
            <w:r w:rsidR="006C4DC1" w:rsidRPr="006C4DC1">
              <w:rPr>
                <w:sz w:val="2"/>
                <w:highlight w:val="black"/>
              </w:rPr>
              <w:t>redacted content</w:t>
            </w:r>
          </w:p>
        </w:tc>
        <w:tc>
          <w:tcPr>
            <w:tcW w:w="1276" w:type="dxa"/>
            <w:vAlign w:val="center"/>
          </w:tcPr>
          <w:p w14:paraId="3ED47698" w14:textId="77777777" w:rsidR="00D969C9" w:rsidRPr="008025D2" w:rsidRDefault="00D969C9" w:rsidP="008B6633">
            <w:pPr>
              <w:pStyle w:val="TableText0"/>
              <w:keepNext w:val="0"/>
              <w:keepLines w:val="0"/>
              <w:jc w:val="center"/>
            </w:pPr>
          </w:p>
          <w:p w14:paraId="341BE790" w14:textId="77777777" w:rsidR="00BF1FE0" w:rsidRPr="008025D2" w:rsidRDefault="00BF1FE0" w:rsidP="008B6633">
            <w:pPr>
              <w:pStyle w:val="TableText0"/>
              <w:keepNext w:val="0"/>
              <w:keepLines w:val="0"/>
              <w:jc w:val="center"/>
            </w:pPr>
          </w:p>
          <w:p w14:paraId="7CC0BE01" w14:textId="77777777" w:rsidR="00D969C9" w:rsidRPr="008025D2" w:rsidRDefault="00D969C9" w:rsidP="008B6633">
            <w:pPr>
              <w:pStyle w:val="TableText0"/>
              <w:keepNext w:val="0"/>
              <w:keepLines w:val="0"/>
            </w:pPr>
          </w:p>
          <w:p w14:paraId="09461E08" w14:textId="77777777" w:rsidR="00D969C9" w:rsidRPr="008025D2" w:rsidRDefault="00D969C9" w:rsidP="008B6633">
            <w:pPr>
              <w:pStyle w:val="TableText0"/>
              <w:keepNext w:val="0"/>
              <w:keepLines w:val="0"/>
              <w:jc w:val="center"/>
            </w:pPr>
            <w:r w:rsidRPr="008025D2">
              <w:t>2.28</w:t>
            </w:r>
          </w:p>
          <w:p w14:paraId="70AA38CD" w14:textId="77777777" w:rsidR="00D969C9" w:rsidRPr="008025D2" w:rsidRDefault="00D969C9" w:rsidP="008B6633">
            <w:pPr>
              <w:pStyle w:val="TableText0"/>
              <w:keepNext w:val="0"/>
              <w:jc w:val="center"/>
            </w:pPr>
            <w:r w:rsidRPr="008025D2">
              <w:t>3.35</w:t>
            </w:r>
          </w:p>
        </w:tc>
        <w:tc>
          <w:tcPr>
            <w:tcW w:w="1276" w:type="dxa"/>
            <w:vAlign w:val="center"/>
          </w:tcPr>
          <w:p w14:paraId="4D5204FC" w14:textId="77777777" w:rsidR="00D969C9" w:rsidRPr="008025D2" w:rsidRDefault="00D969C9" w:rsidP="008B6633">
            <w:pPr>
              <w:pStyle w:val="TableText0"/>
              <w:keepNext w:val="0"/>
              <w:keepLines w:val="0"/>
              <w:jc w:val="center"/>
            </w:pPr>
          </w:p>
          <w:p w14:paraId="6D9B9303" w14:textId="77777777" w:rsidR="00BF1FE0" w:rsidRPr="008025D2" w:rsidRDefault="00BF1FE0" w:rsidP="008B6633">
            <w:pPr>
              <w:pStyle w:val="TableText0"/>
              <w:keepNext w:val="0"/>
              <w:keepLines w:val="0"/>
              <w:jc w:val="center"/>
            </w:pPr>
          </w:p>
          <w:p w14:paraId="40C0B6A2" w14:textId="77777777" w:rsidR="00D969C9" w:rsidRPr="008025D2" w:rsidRDefault="00D969C9" w:rsidP="008B6633">
            <w:pPr>
              <w:pStyle w:val="TableText0"/>
              <w:keepNext w:val="0"/>
              <w:keepLines w:val="0"/>
            </w:pPr>
          </w:p>
          <w:p w14:paraId="3C2B413D" w14:textId="48B47894" w:rsidR="00D969C9" w:rsidRPr="007B2055" w:rsidRDefault="00D969C9" w:rsidP="008B6633">
            <w:pPr>
              <w:pStyle w:val="TableText0"/>
              <w:keepNext w:val="0"/>
              <w:keepLines w:val="0"/>
              <w:jc w:val="center"/>
              <w:rPr>
                <w:vertAlign w:val="superscript"/>
              </w:rPr>
            </w:pPr>
            <w:r w:rsidRPr="008025D2">
              <w:t>$</w:t>
            </w:r>
            <w:r w:rsidR="006C4DC1" w:rsidRPr="006C4DC1">
              <w:rPr>
                <w:sz w:val="2"/>
                <w:highlight w:val="black"/>
              </w:rPr>
              <w:t>redacted content</w:t>
            </w:r>
            <w:r w:rsidR="007B2055">
              <w:rPr>
                <w:vertAlign w:val="superscript"/>
              </w:rPr>
              <w:t>3</w:t>
            </w:r>
          </w:p>
          <w:p w14:paraId="617A8321" w14:textId="04E6E6D6" w:rsidR="00D969C9" w:rsidRPr="00FA5428" w:rsidRDefault="00D969C9" w:rsidP="008B6633">
            <w:pPr>
              <w:pStyle w:val="TableText0"/>
              <w:keepNext w:val="0"/>
              <w:jc w:val="center"/>
              <w:rPr>
                <w:vertAlign w:val="superscript"/>
              </w:rPr>
            </w:pPr>
            <w:r w:rsidRPr="008025D2">
              <w:t>$</w:t>
            </w:r>
            <w:r w:rsidR="006C4DC1" w:rsidRPr="006C4DC1">
              <w:rPr>
                <w:sz w:val="2"/>
                <w:highlight w:val="black"/>
              </w:rPr>
              <w:t>redacted content</w:t>
            </w:r>
            <w:r w:rsidR="00FA5428">
              <w:rPr>
                <w:vertAlign w:val="superscript"/>
              </w:rPr>
              <w:t>1</w:t>
            </w:r>
          </w:p>
        </w:tc>
        <w:tc>
          <w:tcPr>
            <w:tcW w:w="800" w:type="dxa"/>
            <w:vAlign w:val="center"/>
          </w:tcPr>
          <w:p w14:paraId="340563F4" w14:textId="77777777" w:rsidR="00D969C9" w:rsidRPr="008025D2" w:rsidRDefault="00D969C9" w:rsidP="008B6633">
            <w:pPr>
              <w:pStyle w:val="TableText0"/>
              <w:keepNext w:val="0"/>
              <w:keepLines w:val="0"/>
              <w:jc w:val="center"/>
            </w:pPr>
          </w:p>
          <w:p w14:paraId="044491CF" w14:textId="77777777" w:rsidR="00BF1FE0" w:rsidRPr="008025D2" w:rsidRDefault="00BF1FE0" w:rsidP="008B6633">
            <w:pPr>
              <w:pStyle w:val="TableText0"/>
              <w:keepNext w:val="0"/>
              <w:keepLines w:val="0"/>
              <w:jc w:val="center"/>
            </w:pPr>
          </w:p>
          <w:p w14:paraId="7E51DDAF" w14:textId="77777777" w:rsidR="00D969C9" w:rsidRPr="008025D2" w:rsidRDefault="00D969C9" w:rsidP="008B6633">
            <w:pPr>
              <w:pStyle w:val="TableText0"/>
              <w:keepNext w:val="0"/>
              <w:keepLines w:val="0"/>
            </w:pPr>
          </w:p>
          <w:p w14:paraId="25B27CC9" w14:textId="0BF42E68" w:rsidR="00D969C9" w:rsidRPr="008025D2" w:rsidRDefault="00D969C9" w:rsidP="008B6633">
            <w:pPr>
              <w:pStyle w:val="TableText0"/>
              <w:keepNext w:val="0"/>
              <w:keepLines w:val="0"/>
              <w:jc w:val="center"/>
            </w:pPr>
            <w:r w:rsidRPr="008025D2">
              <w:t>-</w:t>
            </w:r>
            <w:r w:rsidR="006C4DC1" w:rsidRPr="006C4DC1">
              <w:rPr>
                <w:sz w:val="2"/>
                <w:highlight w:val="black"/>
              </w:rPr>
              <w:t>redacted content</w:t>
            </w:r>
            <w:r w:rsidRPr="008025D2">
              <w:t>%</w:t>
            </w:r>
          </w:p>
          <w:p w14:paraId="3904EEBD" w14:textId="2104029C" w:rsidR="00D969C9" w:rsidRPr="008025D2" w:rsidRDefault="006C4DC1" w:rsidP="008B6633">
            <w:pPr>
              <w:pStyle w:val="TableText0"/>
              <w:keepNext w:val="0"/>
              <w:jc w:val="center"/>
            </w:pPr>
            <w:r w:rsidRPr="006C4DC1">
              <w:rPr>
                <w:sz w:val="2"/>
                <w:highlight w:val="black"/>
              </w:rPr>
              <w:t>redacted content</w:t>
            </w:r>
            <w:r w:rsidR="00D969C9" w:rsidRPr="008025D2">
              <w:t>%</w:t>
            </w:r>
          </w:p>
        </w:tc>
      </w:tr>
      <w:tr w:rsidR="00DB35F7" w:rsidRPr="00275521" w14:paraId="65381E75" w14:textId="77777777" w:rsidTr="00DD6C0C">
        <w:trPr>
          <w:trHeight w:val="1188"/>
        </w:trPr>
        <w:tc>
          <w:tcPr>
            <w:tcW w:w="4390" w:type="dxa"/>
          </w:tcPr>
          <w:p w14:paraId="7574C222" w14:textId="77777777" w:rsidR="00D969C9" w:rsidRPr="008025D2" w:rsidRDefault="00D969C9" w:rsidP="008B6633">
            <w:pPr>
              <w:pStyle w:val="TableText0"/>
              <w:keepNext w:val="0"/>
              <w:keepLines w:val="0"/>
              <w:rPr>
                <w:vertAlign w:val="superscript"/>
              </w:rPr>
            </w:pPr>
            <w:r w:rsidRPr="008025D2">
              <w:t>Rate from non-responder to LT (base case 2.7% per cycle; derived from 47% at 4 yrs; Quiros-Tejeira 1999)</w:t>
            </w:r>
          </w:p>
          <w:p w14:paraId="1B488897" w14:textId="77777777" w:rsidR="00D969C9" w:rsidRPr="008025D2" w:rsidRDefault="00D969C9" w:rsidP="008B6633">
            <w:pPr>
              <w:pStyle w:val="TableText0"/>
              <w:keepNext w:val="0"/>
              <w:keepLines w:val="0"/>
              <w:numPr>
                <w:ilvl w:val="0"/>
                <w:numId w:val="5"/>
              </w:numPr>
            </w:pPr>
            <w:r w:rsidRPr="008025D2">
              <w:t>1.2% (Vandriel 2022; 27.1% at 5 yrs)</w:t>
            </w:r>
          </w:p>
          <w:p w14:paraId="48ACD49C" w14:textId="77777777" w:rsidR="00D969C9" w:rsidRPr="008025D2" w:rsidRDefault="00D969C9" w:rsidP="008B6633">
            <w:pPr>
              <w:pStyle w:val="TableText0"/>
              <w:keepNext w:val="0"/>
              <w:keepLines w:val="0"/>
              <w:numPr>
                <w:ilvl w:val="0"/>
                <w:numId w:val="5"/>
              </w:numPr>
            </w:pPr>
            <w:r w:rsidRPr="008025D2">
              <w:t>0.9% (Vandriel 2022; 37.8% at 10 yrs)</w:t>
            </w:r>
          </w:p>
          <w:p w14:paraId="296530A7" w14:textId="77777777" w:rsidR="00D969C9" w:rsidRPr="008025D2" w:rsidRDefault="00D969C9" w:rsidP="008B6633">
            <w:pPr>
              <w:pStyle w:val="TableText0"/>
              <w:keepNext w:val="0"/>
              <w:numPr>
                <w:ilvl w:val="0"/>
                <w:numId w:val="5"/>
              </w:numPr>
              <w:rPr>
                <w:vertAlign w:val="superscript"/>
              </w:rPr>
            </w:pPr>
            <w:r w:rsidRPr="008025D2">
              <w:t>0.6% (Vandriel 2022; 50.4% at 18 yrs)</w:t>
            </w:r>
          </w:p>
        </w:tc>
        <w:tc>
          <w:tcPr>
            <w:tcW w:w="1275" w:type="dxa"/>
          </w:tcPr>
          <w:p w14:paraId="2A083130" w14:textId="77777777" w:rsidR="00D969C9" w:rsidRPr="008025D2" w:rsidRDefault="00D969C9" w:rsidP="008B6633">
            <w:pPr>
              <w:pStyle w:val="Tabletext"/>
              <w:jc w:val="center"/>
            </w:pPr>
          </w:p>
          <w:p w14:paraId="1753D2F6" w14:textId="77777777" w:rsidR="00D969C9" w:rsidRPr="008025D2" w:rsidRDefault="00D969C9" w:rsidP="008B6633">
            <w:pPr>
              <w:pStyle w:val="Tabletext"/>
              <w:jc w:val="center"/>
            </w:pPr>
          </w:p>
          <w:p w14:paraId="05D0D6A7" w14:textId="3343A847" w:rsidR="00D969C9" w:rsidRPr="008025D2" w:rsidRDefault="00D969C9" w:rsidP="008B6633">
            <w:pPr>
              <w:pStyle w:val="Tabletext"/>
              <w:jc w:val="center"/>
            </w:pPr>
            <w:r w:rsidRPr="008025D2">
              <w:t>$</w:t>
            </w:r>
            <w:r w:rsidR="006C4DC1" w:rsidRPr="006C4DC1">
              <w:rPr>
                <w:sz w:val="2"/>
                <w:highlight w:val="black"/>
              </w:rPr>
              <w:t>redacted content</w:t>
            </w:r>
          </w:p>
          <w:p w14:paraId="37C76962" w14:textId="78AA9D4F" w:rsidR="00D969C9" w:rsidRPr="008025D2" w:rsidRDefault="00D969C9" w:rsidP="008B6633">
            <w:pPr>
              <w:pStyle w:val="Tabletext"/>
              <w:jc w:val="center"/>
            </w:pPr>
            <w:r w:rsidRPr="008025D2">
              <w:t>$</w:t>
            </w:r>
            <w:r w:rsidR="006C4DC1" w:rsidRPr="006C4DC1">
              <w:rPr>
                <w:sz w:val="2"/>
                <w:highlight w:val="black"/>
              </w:rPr>
              <w:t>redacted content</w:t>
            </w:r>
          </w:p>
          <w:p w14:paraId="7822AE96" w14:textId="768778BD" w:rsidR="00D969C9" w:rsidRPr="008025D2" w:rsidRDefault="00D969C9" w:rsidP="008B6633">
            <w:pPr>
              <w:pStyle w:val="Tabletext"/>
              <w:jc w:val="center"/>
            </w:pPr>
            <w:r w:rsidRPr="008025D2">
              <w:t>$</w:t>
            </w:r>
            <w:r w:rsidR="006C4DC1" w:rsidRPr="006C4DC1">
              <w:rPr>
                <w:sz w:val="2"/>
                <w:highlight w:val="black"/>
              </w:rPr>
              <w:t>redacted content</w:t>
            </w:r>
          </w:p>
        </w:tc>
        <w:tc>
          <w:tcPr>
            <w:tcW w:w="1276" w:type="dxa"/>
          </w:tcPr>
          <w:p w14:paraId="6590B676" w14:textId="77777777" w:rsidR="00D969C9" w:rsidRPr="008025D2" w:rsidRDefault="00D969C9" w:rsidP="008B6633">
            <w:pPr>
              <w:pStyle w:val="Tabletext"/>
              <w:jc w:val="center"/>
            </w:pPr>
          </w:p>
          <w:p w14:paraId="7BB4C460" w14:textId="77777777" w:rsidR="00D969C9" w:rsidRPr="008025D2" w:rsidRDefault="00D969C9" w:rsidP="008B6633">
            <w:pPr>
              <w:pStyle w:val="Tabletext"/>
              <w:jc w:val="center"/>
            </w:pPr>
          </w:p>
          <w:p w14:paraId="60DE8C36" w14:textId="77777777" w:rsidR="00D969C9" w:rsidRPr="008025D2" w:rsidRDefault="00D969C9" w:rsidP="008B6633">
            <w:pPr>
              <w:pStyle w:val="Tabletext"/>
              <w:jc w:val="center"/>
            </w:pPr>
            <w:r w:rsidRPr="008025D2">
              <w:t>2.58</w:t>
            </w:r>
          </w:p>
          <w:p w14:paraId="54B5DED7" w14:textId="77777777" w:rsidR="00D969C9" w:rsidRPr="008025D2" w:rsidRDefault="00D969C9" w:rsidP="008B6633">
            <w:pPr>
              <w:pStyle w:val="Tabletext"/>
              <w:jc w:val="center"/>
            </w:pPr>
            <w:r w:rsidRPr="008025D2">
              <w:t>2.45</w:t>
            </w:r>
          </w:p>
          <w:p w14:paraId="6032B52C" w14:textId="77777777" w:rsidR="00D969C9" w:rsidRPr="008025D2" w:rsidRDefault="00D969C9" w:rsidP="008B6633">
            <w:pPr>
              <w:pStyle w:val="Tabletext"/>
              <w:jc w:val="center"/>
            </w:pPr>
            <w:r w:rsidRPr="008025D2">
              <w:t>2.36</w:t>
            </w:r>
          </w:p>
        </w:tc>
        <w:tc>
          <w:tcPr>
            <w:tcW w:w="1276" w:type="dxa"/>
          </w:tcPr>
          <w:p w14:paraId="145D3560" w14:textId="77777777" w:rsidR="00D969C9" w:rsidRPr="008025D2" w:rsidRDefault="00D969C9" w:rsidP="008B6633">
            <w:pPr>
              <w:pStyle w:val="Tabletext"/>
              <w:jc w:val="center"/>
            </w:pPr>
          </w:p>
          <w:p w14:paraId="56D555ED" w14:textId="77777777" w:rsidR="00D969C9" w:rsidRPr="008025D2" w:rsidRDefault="00D969C9" w:rsidP="008B6633">
            <w:pPr>
              <w:pStyle w:val="Tabletext"/>
              <w:jc w:val="center"/>
            </w:pPr>
          </w:p>
          <w:p w14:paraId="514E4BD3" w14:textId="3577A772" w:rsidR="00D969C9" w:rsidRPr="00FA5428" w:rsidRDefault="00D969C9" w:rsidP="008B6633">
            <w:pPr>
              <w:pStyle w:val="Tabletext"/>
              <w:jc w:val="center"/>
              <w:rPr>
                <w:vertAlign w:val="superscript"/>
              </w:rPr>
            </w:pPr>
            <w:r w:rsidRPr="008025D2">
              <w:t>$</w:t>
            </w:r>
            <w:r w:rsidR="006C4DC1" w:rsidRPr="006C4DC1">
              <w:rPr>
                <w:sz w:val="2"/>
                <w:highlight w:val="black"/>
              </w:rPr>
              <w:t>redacted content</w:t>
            </w:r>
            <w:r w:rsidR="00FA5428">
              <w:rPr>
                <w:vertAlign w:val="superscript"/>
              </w:rPr>
              <w:t>1</w:t>
            </w:r>
          </w:p>
          <w:p w14:paraId="43BFB89E" w14:textId="511D9C3E" w:rsidR="00D969C9" w:rsidRPr="00FA5428" w:rsidRDefault="00D969C9" w:rsidP="008B6633">
            <w:pPr>
              <w:pStyle w:val="Tabletext"/>
              <w:jc w:val="center"/>
              <w:rPr>
                <w:vertAlign w:val="superscript"/>
              </w:rPr>
            </w:pPr>
            <w:r w:rsidRPr="008025D2">
              <w:t>$</w:t>
            </w:r>
            <w:r w:rsidR="006C4DC1" w:rsidRPr="006C4DC1">
              <w:rPr>
                <w:sz w:val="2"/>
                <w:highlight w:val="black"/>
              </w:rPr>
              <w:t>redacted content</w:t>
            </w:r>
            <w:r w:rsidR="00FA5428">
              <w:rPr>
                <w:vertAlign w:val="superscript"/>
              </w:rPr>
              <w:t>1</w:t>
            </w:r>
          </w:p>
          <w:p w14:paraId="2D1A4C82" w14:textId="2AC13EC7" w:rsidR="00D969C9" w:rsidRPr="00FA5428" w:rsidRDefault="00D969C9" w:rsidP="008B6633">
            <w:pPr>
              <w:pStyle w:val="Tabletext"/>
              <w:jc w:val="center"/>
              <w:rPr>
                <w:vertAlign w:val="superscript"/>
              </w:rPr>
            </w:pPr>
            <w:r w:rsidRPr="008025D2">
              <w:t>$</w:t>
            </w:r>
            <w:r w:rsidR="006C4DC1" w:rsidRPr="006C4DC1">
              <w:rPr>
                <w:sz w:val="2"/>
                <w:highlight w:val="black"/>
              </w:rPr>
              <w:t>redacted content</w:t>
            </w:r>
            <w:r w:rsidR="00FA5428">
              <w:rPr>
                <w:vertAlign w:val="superscript"/>
              </w:rPr>
              <w:t>1</w:t>
            </w:r>
          </w:p>
        </w:tc>
        <w:tc>
          <w:tcPr>
            <w:tcW w:w="800" w:type="dxa"/>
          </w:tcPr>
          <w:p w14:paraId="64F5D929" w14:textId="77777777" w:rsidR="00D969C9" w:rsidRPr="008025D2" w:rsidRDefault="00D969C9" w:rsidP="008B6633">
            <w:pPr>
              <w:pStyle w:val="Tabletext"/>
              <w:jc w:val="center"/>
            </w:pPr>
          </w:p>
          <w:p w14:paraId="4698F41A" w14:textId="77777777" w:rsidR="00D969C9" w:rsidRPr="008025D2" w:rsidRDefault="00D969C9" w:rsidP="008B6633">
            <w:pPr>
              <w:pStyle w:val="Tabletext"/>
              <w:jc w:val="center"/>
            </w:pPr>
          </w:p>
          <w:p w14:paraId="74D96D19" w14:textId="4DEA9067" w:rsidR="00D969C9" w:rsidRPr="008025D2" w:rsidRDefault="006C4DC1" w:rsidP="008B6633">
            <w:pPr>
              <w:pStyle w:val="Tabletext"/>
              <w:jc w:val="center"/>
            </w:pPr>
            <w:r w:rsidRPr="006C4DC1">
              <w:rPr>
                <w:sz w:val="2"/>
                <w:highlight w:val="black"/>
              </w:rPr>
              <w:t>redacted content</w:t>
            </w:r>
            <w:r w:rsidR="00D969C9" w:rsidRPr="008025D2">
              <w:t>%</w:t>
            </w:r>
          </w:p>
          <w:p w14:paraId="543B4840" w14:textId="70918BF0" w:rsidR="00D969C9" w:rsidRPr="008025D2" w:rsidRDefault="006C4DC1" w:rsidP="008B6633">
            <w:pPr>
              <w:pStyle w:val="Tabletext"/>
              <w:jc w:val="center"/>
            </w:pPr>
            <w:r w:rsidRPr="006C4DC1">
              <w:rPr>
                <w:sz w:val="2"/>
                <w:highlight w:val="black"/>
              </w:rPr>
              <w:t>redacted content</w:t>
            </w:r>
            <w:r w:rsidR="00D969C9" w:rsidRPr="008025D2">
              <w:t>%</w:t>
            </w:r>
          </w:p>
          <w:p w14:paraId="014F95F2" w14:textId="4BD0A7F0" w:rsidR="00D969C9" w:rsidRPr="008025D2" w:rsidRDefault="006C4DC1" w:rsidP="008B6633">
            <w:pPr>
              <w:pStyle w:val="Tabletext"/>
              <w:jc w:val="center"/>
            </w:pPr>
            <w:r w:rsidRPr="006C4DC1">
              <w:rPr>
                <w:sz w:val="2"/>
                <w:highlight w:val="black"/>
              </w:rPr>
              <w:t>redacted content</w:t>
            </w:r>
            <w:r w:rsidR="00D969C9" w:rsidRPr="008025D2">
              <w:t>%</w:t>
            </w:r>
          </w:p>
        </w:tc>
      </w:tr>
      <w:tr w:rsidR="00DB35F7" w:rsidRPr="00275521" w14:paraId="008DE65D" w14:textId="77777777" w:rsidTr="00DD6C0C">
        <w:trPr>
          <w:trHeight w:val="473"/>
        </w:trPr>
        <w:tc>
          <w:tcPr>
            <w:tcW w:w="4390" w:type="dxa"/>
          </w:tcPr>
          <w:p w14:paraId="0201B981" w14:textId="77777777" w:rsidR="00D969C9" w:rsidRPr="008025D2" w:rsidRDefault="00D969C9" w:rsidP="008B6633">
            <w:pPr>
              <w:pStyle w:val="TableText0"/>
              <w:keepNext w:val="0"/>
              <w:keepLines w:val="0"/>
            </w:pPr>
            <w:r w:rsidRPr="008025D2">
              <w:t>Mortality at time of LT surgery (base case 25.17%)</w:t>
            </w:r>
          </w:p>
          <w:p w14:paraId="17363B52" w14:textId="77777777" w:rsidR="00D969C9" w:rsidRPr="008025D2" w:rsidRDefault="00D969C9" w:rsidP="008B6633">
            <w:pPr>
              <w:pStyle w:val="TableText0"/>
              <w:keepNext w:val="0"/>
              <w:numPr>
                <w:ilvl w:val="0"/>
                <w:numId w:val="9"/>
              </w:numPr>
            </w:pPr>
            <w:r w:rsidRPr="008025D2">
              <w:t>Once-off risk removed (0%)</w:t>
            </w:r>
          </w:p>
        </w:tc>
        <w:tc>
          <w:tcPr>
            <w:tcW w:w="1275" w:type="dxa"/>
            <w:vAlign w:val="center"/>
          </w:tcPr>
          <w:p w14:paraId="168E67C6" w14:textId="77777777" w:rsidR="00D969C9" w:rsidRPr="008025D2" w:rsidRDefault="00D969C9" w:rsidP="008B6633">
            <w:pPr>
              <w:pStyle w:val="Tabletext"/>
              <w:jc w:val="center"/>
            </w:pPr>
          </w:p>
          <w:p w14:paraId="702FDD23" w14:textId="64641BEE" w:rsidR="00D969C9" w:rsidRPr="008025D2" w:rsidRDefault="00D969C9" w:rsidP="008B6633">
            <w:pPr>
              <w:pStyle w:val="Tabletext"/>
              <w:jc w:val="center"/>
            </w:pPr>
            <w:r w:rsidRPr="008025D2">
              <w:t>$</w:t>
            </w:r>
            <w:r w:rsidR="006C4DC1" w:rsidRPr="006C4DC1">
              <w:rPr>
                <w:sz w:val="2"/>
                <w:highlight w:val="black"/>
              </w:rPr>
              <w:t>redacted content</w:t>
            </w:r>
          </w:p>
        </w:tc>
        <w:tc>
          <w:tcPr>
            <w:tcW w:w="1276" w:type="dxa"/>
            <w:vAlign w:val="center"/>
          </w:tcPr>
          <w:p w14:paraId="7743691E" w14:textId="77777777" w:rsidR="00D969C9" w:rsidRPr="008025D2" w:rsidRDefault="00D969C9" w:rsidP="008B6633">
            <w:pPr>
              <w:pStyle w:val="Tabletext"/>
              <w:jc w:val="center"/>
            </w:pPr>
          </w:p>
          <w:p w14:paraId="7024A931" w14:textId="77777777" w:rsidR="00D969C9" w:rsidRPr="008025D2" w:rsidRDefault="00D969C9" w:rsidP="008B6633">
            <w:pPr>
              <w:pStyle w:val="Tabletext"/>
              <w:jc w:val="center"/>
            </w:pPr>
            <w:r w:rsidRPr="008025D2">
              <w:t>2.23</w:t>
            </w:r>
          </w:p>
        </w:tc>
        <w:tc>
          <w:tcPr>
            <w:tcW w:w="1276" w:type="dxa"/>
            <w:vAlign w:val="center"/>
          </w:tcPr>
          <w:p w14:paraId="497BC266" w14:textId="77777777" w:rsidR="00D969C9" w:rsidRPr="008025D2" w:rsidRDefault="00D969C9" w:rsidP="008B6633">
            <w:pPr>
              <w:pStyle w:val="Tabletext"/>
              <w:jc w:val="center"/>
            </w:pPr>
          </w:p>
          <w:p w14:paraId="2BDD97CD" w14:textId="12E633F6" w:rsidR="00D969C9" w:rsidRPr="00FA5428" w:rsidRDefault="00D969C9" w:rsidP="008B6633">
            <w:pPr>
              <w:pStyle w:val="Tabletext"/>
              <w:jc w:val="center"/>
              <w:rPr>
                <w:vertAlign w:val="superscript"/>
              </w:rPr>
            </w:pPr>
            <w:r w:rsidRPr="008025D2">
              <w:t>$</w:t>
            </w:r>
            <w:r w:rsidR="006C4DC1" w:rsidRPr="006C4DC1">
              <w:rPr>
                <w:sz w:val="2"/>
                <w:highlight w:val="black"/>
              </w:rPr>
              <w:t>redacted content</w:t>
            </w:r>
            <w:r w:rsidR="00FA5428">
              <w:rPr>
                <w:vertAlign w:val="superscript"/>
              </w:rPr>
              <w:t>1</w:t>
            </w:r>
          </w:p>
        </w:tc>
        <w:tc>
          <w:tcPr>
            <w:tcW w:w="800" w:type="dxa"/>
            <w:vAlign w:val="center"/>
          </w:tcPr>
          <w:p w14:paraId="6F1557A8" w14:textId="77777777" w:rsidR="00D969C9" w:rsidRPr="008025D2" w:rsidRDefault="00D969C9" w:rsidP="008B6633">
            <w:pPr>
              <w:pStyle w:val="Tabletext"/>
              <w:jc w:val="center"/>
            </w:pPr>
          </w:p>
          <w:p w14:paraId="20D0AD1D" w14:textId="3029FD2D" w:rsidR="00D969C9" w:rsidRPr="008025D2" w:rsidRDefault="006C4DC1" w:rsidP="008B6633">
            <w:pPr>
              <w:pStyle w:val="Tabletext"/>
              <w:jc w:val="center"/>
            </w:pPr>
            <w:r w:rsidRPr="006C4DC1">
              <w:rPr>
                <w:sz w:val="2"/>
                <w:highlight w:val="black"/>
              </w:rPr>
              <w:t>redacted content</w:t>
            </w:r>
            <w:r w:rsidR="00D969C9" w:rsidRPr="008025D2">
              <w:t>%</w:t>
            </w:r>
          </w:p>
        </w:tc>
      </w:tr>
      <w:tr w:rsidR="00DB35F7" w:rsidRPr="00275521" w14:paraId="1C21AA0F" w14:textId="77777777" w:rsidTr="00DD6C0C">
        <w:trPr>
          <w:trHeight w:val="1175"/>
        </w:trPr>
        <w:tc>
          <w:tcPr>
            <w:tcW w:w="4390" w:type="dxa"/>
          </w:tcPr>
          <w:p w14:paraId="5ECB336F" w14:textId="77777777" w:rsidR="00D969C9" w:rsidRPr="008025D2" w:rsidRDefault="00D969C9" w:rsidP="008B6633">
            <w:pPr>
              <w:pStyle w:val="TableText0"/>
              <w:keepNext w:val="0"/>
              <w:keepLines w:val="0"/>
            </w:pPr>
            <w:r w:rsidRPr="008025D2">
              <w:t>Mortality post LT surgery (base case 0.92% per cycle; derived from 20% at 5 yrs; Hou 2021)</w:t>
            </w:r>
          </w:p>
          <w:p w14:paraId="34810543" w14:textId="77777777" w:rsidR="00D969C9" w:rsidRPr="008025D2" w:rsidRDefault="00D969C9" w:rsidP="008B6633">
            <w:pPr>
              <w:pStyle w:val="TableText0"/>
              <w:keepNext w:val="0"/>
              <w:keepLines w:val="0"/>
              <w:numPr>
                <w:ilvl w:val="0"/>
                <w:numId w:val="9"/>
              </w:numPr>
            </w:pPr>
            <w:r w:rsidRPr="008025D2">
              <w:t>0.21% (Vandriel 2022 and Aus/NZ transplant registry; 9% at 10 yrs)</w:t>
            </w:r>
          </w:p>
          <w:p w14:paraId="54B3BBC6" w14:textId="77777777" w:rsidR="00D969C9" w:rsidRPr="008025D2" w:rsidRDefault="00D969C9" w:rsidP="008B6633">
            <w:pPr>
              <w:pStyle w:val="TableText0"/>
              <w:keepNext w:val="0"/>
              <w:numPr>
                <w:ilvl w:val="0"/>
                <w:numId w:val="9"/>
              </w:numPr>
            </w:pPr>
            <w:r w:rsidRPr="008025D2">
              <w:t>0.14% (Vandriel 2022; 12% at 20 yrs)</w:t>
            </w:r>
          </w:p>
        </w:tc>
        <w:tc>
          <w:tcPr>
            <w:tcW w:w="1275" w:type="dxa"/>
            <w:vAlign w:val="center"/>
          </w:tcPr>
          <w:p w14:paraId="0E376C01" w14:textId="77777777" w:rsidR="00D969C9" w:rsidRPr="008025D2" w:rsidRDefault="00D969C9" w:rsidP="008B6633">
            <w:pPr>
              <w:pStyle w:val="Tabletext"/>
              <w:jc w:val="center"/>
            </w:pPr>
          </w:p>
          <w:p w14:paraId="7F372A5E" w14:textId="77777777" w:rsidR="00D969C9" w:rsidRPr="008025D2" w:rsidRDefault="00D969C9" w:rsidP="008B6633">
            <w:pPr>
              <w:pStyle w:val="Tabletext"/>
              <w:jc w:val="center"/>
            </w:pPr>
          </w:p>
          <w:p w14:paraId="02614759" w14:textId="77777777" w:rsidR="00D969C9" w:rsidRPr="008025D2" w:rsidRDefault="00D969C9" w:rsidP="008B6633">
            <w:pPr>
              <w:pStyle w:val="Tabletext"/>
              <w:jc w:val="center"/>
            </w:pPr>
          </w:p>
          <w:p w14:paraId="68FAC3B9" w14:textId="69FC48B7" w:rsidR="00D969C9" w:rsidRPr="008025D2" w:rsidRDefault="00D969C9" w:rsidP="008B6633">
            <w:pPr>
              <w:pStyle w:val="Tabletext"/>
              <w:jc w:val="center"/>
            </w:pPr>
            <w:r w:rsidRPr="008025D2">
              <w:t>$</w:t>
            </w:r>
            <w:r w:rsidR="006C4DC1" w:rsidRPr="006C4DC1">
              <w:rPr>
                <w:sz w:val="2"/>
                <w:highlight w:val="black"/>
              </w:rPr>
              <w:t>redacted content</w:t>
            </w:r>
          </w:p>
          <w:p w14:paraId="7733785B" w14:textId="277CE1DF" w:rsidR="00D969C9" w:rsidRPr="008025D2" w:rsidRDefault="00D969C9" w:rsidP="008B6633">
            <w:pPr>
              <w:pStyle w:val="Tabletext"/>
              <w:jc w:val="center"/>
            </w:pPr>
            <w:r w:rsidRPr="008025D2">
              <w:t>$</w:t>
            </w:r>
            <w:r w:rsidR="006C4DC1" w:rsidRPr="006C4DC1">
              <w:rPr>
                <w:sz w:val="2"/>
                <w:highlight w:val="black"/>
              </w:rPr>
              <w:t>redacted content</w:t>
            </w:r>
          </w:p>
        </w:tc>
        <w:tc>
          <w:tcPr>
            <w:tcW w:w="1276" w:type="dxa"/>
            <w:vAlign w:val="center"/>
          </w:tcPr>
          <w:p w14:paraId="0C9D3E56" w14:textId="77777777" w:rsidR="00D969C9" w:rsidRPr="008025D2" w:rsidRDefault="00D969C9" w:rsidP="008B6633">
            <w:pPr>
              <w:pStyle w:val="Tabletext"/>
              <w:jc w:val="center"/>
            </w:pPr>
          </w:p>
          <w:p w14:paraId="076D25B7" w14:textId="77777777" w:rsidR="00D969C9" w:rsidRPr="008025D2" w:rsidRDefault="00D969C9" w:rsidP="008B6633">
            <w:pPr>
              <w:pStyle w:val="Tabletext"/>
              <w:jc w:val="center"/>
            </w:pPr>
          </w:p>
          <w:p w14:paraId="014C8100" w14:textId="77777777" w:rsidR="00D969C9" w:rsidRPr="008025D2" w:rsidRDefault="00D969C9" w:rsidP="008B6633">
            <w:pPr>
              <w:pStyle w:val="Tabletext"/>
              <w:jc w:val="center"/>
            </w:pPr>
          </w:p>
          <w:p w14:paraId="6EFD9438" w14:textId="77777777" w:rsidR="00D969C9" w:rsidRPr="008025D2" w:rsidRDefault="00D969C9" w:rsidP="008B6633">
            <w:pPr>
              <w:pStyle w:val="Tabletext"/>
              <w:jc w:val="center"/>
            </w:pPr>
            <w:r w:rsidRPr="008025D2">
              <w:t>2.01</w:t>
            </w:r>
          </w:p>
          <w:p w14:paraId="112C2388" w14:textId="77777777" w:rsidR="00D969C9" w:rsidRPr="008025D2" w:rsidRDefault="00D969C9" w:rsidP="008B6633">
            <w:pPr>
              <w:pStyle w:val="Tabletext"/>
              <w:jc w:val="center"/>
            </w:pPr>
            <w:r w:rsidRPr="008025D2">
              <w:t>1.89</w:t>
            </w:r>
          </w:p>
        </w:tc>
        <w:tc>
          <w:tcPr>
            <w:tcW w:w="1276" w:type="dxa"/>
            <w:vAlign w:val="center"/>
          </w:tcPr>
          <w:p w14:paraId="655BC8BC" w14:textId="77777777" w:rsidR="00D969C9" w:rsidRPr="008025D2" w:rsidRDefault="00D969C9" w:rsidP="008B6633">
            <w:pPr>
              <w:pStyle w:val="Tabletext"/>
              <w:jc w:val="center"/>
            </w:pPr>
          </w:p>
          <w:p w14:paraId="0D30B435" w14:textId="77777777" w:rsidR="00D969C9" w:rsidRPr="008025D2" w:rsidRDefault="00D969C9" w:rsidP="008B6633">
            <w:pPr>
              <w:pStyle w:val="Tabletext"/>
              <w:jc w:val="center"/>
            </w:pPr>
          </w:p>
          <w:p w14:paraId="207E1BEA" w14:textId="77777777" w:rsidR="00D969C9" w:rsidRPr="008025D2" w:rsidRDefault="00D969C9" w:rsidP="008B6633">
            <w:pPr>
              <w:pStyle w:val="Tabletext"/>
              <w:jc w:val="center"/>
            </w:pPr>
          </w:p>
          <w:p w14:paraId="21019E80" w14:textId="681EBDD1" w:rsidR="00D969C9" w:rsidRPr="00FA5428" w:rsidRDefault="00D969C9" w:rsidP="008B6633">
            <w:pPr>
              <w:pStyle w:val="Tabletext"/>
              <w:jc w:val="center"/>
              <w:rPr>
                <w:vertAlign w:val="superscript"/>
              </w:rPr>
            </w:pPr>
            <w:r w:rsidRPr="008025D2">
              <w:t>$</w:t>
            </w:r>
            <w:r w:rsidR="006C4DC1" w:rsidRPr="006C4DC1">
              <w:rPr>
                <w:sz w:val="2"/>
                <w:highlight w:val="black"/>
              </w:rPr>
              <w:t>redacted content</w:t>
            </w:r>
            <w:r w:rsidR="00FA5428">
              <w:rPr>
                <w:vertAlign w:val="superscript"/>
              </w:rPr>
              <w:t>1</w:t>
            </w:r>
          </w:p>
          <w:p w14:paraId="562A5AB5" w14:textId="02287C7E" w:rsidR="00D969C9" w:rsidRPr="00FA5428" w:rsidRDefault="00D969C9" w:rsidP="008B6633">
            <w:pPr>
              <w:pStyle w:val="Tabletext"/>
              <w:jc w:val="center"/>
              <w:rPr>
                <w:vertAlign w:val="superscript"/>
              </w:rPr>
            </w:pPr>
            <w:r w:rsidRPr="008025D2">
              <w:t>$</w:t>
            </w:r>
            <w:r w:rsidR="006C4DC1" w:rsidRPr="006C4DC1">
              <w:rPr>
                <w:sz w:val="2"/>
                <w:highlight w:val="black"/>
              </w:rPr>
              <w:t>redacted content</w:t>
            </w:r>
            <w:r w:rsidR="00FA5428">
              <w:rPr>
                <w:vertAlign w:val="superscript"/>
              </w:rPr>
              <w:t>1</w:t>
            </w:r>
          </w:p>
        </w:tc>
        <w:tc>
          <w:tcPr>
            <w:tcW w:w="800" w:type="dxa"/>
            <w:vAlign w:val="center"/>
          </w:tcPr>
          <w:p w14:paraId="31E6B329" w14:textId="77777777" w:rsidR="00D969C9" w:rsidRPr="008025D2" w:rsidRDefault="00D969C9" w:rsidP="008B6633">
            <w:pPr>
              <w:pStyle w:val="Tabletext"/>
              <w:jc w:val="center"/>
            </w:pPr>
          </w:p>
          <w:p w14:paraId="7A740AD3" w14:textId="77777777" w:rsidR="00D969C9" w:rsidRPr="008025D2" w:rsidRDefault="00D969C9" w:rsidP="008B6633">
            <w:pPr>
              <w:pStyle w:val="Tabletext"/>
              <w:jc w:val="center"/>
            </w:pPr>
          </w:p>
          <w:p w14:paraId="50D0462D" w14:textId="77777777" w:rsidR="00D969C9" w:rsidRPr="008025D2" w:rsidRDefault="00D969C9" w:rsidP="008B6633">
            <w:pPr>
              <w:pStyle w:val="Tabletext"/>
              <w:jc w:val="center"/>
            </w:pPr>
          </w:p>
          <w:p w14:paraId="6120FA32" w14:textId="3FE8DB94" w:rsidR="00D969C9" w:rsidRPr="008025D2" w:rsidRDefault="006C4DC1" w:rsidP="008B6633">
            <w:pPr>
              <w:pStyle w:val="Tabletext"/>
              <w:jc w:val="center"/>
            </w:pPr>
            <w:r w:rsidRPr="006C4DC1">
              <w:rPr>
                <w:sz w:val="2"/>
                <w:highlight w:val="black"/>
              </w:rPr>
              <w:t>redacted content</w:t>
            </w:r>
            <w:r w:rsidR="00D969C9" w:rsidRPr="008025D2">
              <w:t>%</w:t>
            </w:r>
          </w:p>
          <w:p w14:paraId="492B45CD" w14:textId="2661EA5F" w:rsidR="00D969C9" w:rsidRPr="008025D2" w:rsidRDefault="006C4DC1" w:rsidP="008B6633">
            <w:pPr>
              <w:pStyle w:val="Tabletext"/>
              <w:jc w:val="center"/>
            </w:pPr>
            <w:r w:rsidRPr="006C4DC1">
              <w:rPr>
                <w:sz w:val="2"/>
                <w:highlight w:val="black"/>
              </w:rPr>
              <w:t>redacted content</w:t>
            </w:r>
            <w:r w:rsidR="00D969C9" w:rsidRPr="008025D2">
              <w:t>%</w:t>
            </w:r>
          </w:p>
        </w:tc>
      </w:tr>
      <w:tr w:rsidR="00DB35F7" w:rsidRPr="00275521" w14:paraId="491DCFAE" w14:textId="77777777" w:rsidTr="00DD6C0C">
        <w:trPr>
          <w:trHeight w:val="702"/>
        </w:trPr>
        <w:tc>
          <w:tcPr>
            <w:tcW w:w="4390" w:type="dxa"/>
          </w:tcPr>
          <w:p w14:paraId="15B87248" w14:textId="77777777" w:rsidR="00D969C9" w:rsidRPr="008025D2" w:rsidRDefault="00D969C9" w:rsidP="008B6633">
            <w:pPr>
              <w:pStyle w:val="TableText0"/>
              <w:keepNext w:val="0"/>
              <w:keepLines w:val="0"/>
            </w:pPr>
            <w:r w:rsidRPr="008025D2">
              <w:t>Post LT health state utility (base case 0.82 versus 0.881 in responder)</w:t>
            </w:r>
          </w:p>
          <w:p w14:paraId="6004FB69" w14:textId="77777777" w:rsidR="00D969C9" w:rsidRPr="008025D2" w:rsidRDefault="00D969C9" w:rsidP="008B6633">
            <w:pPr>
              <w:pStyle w:val="TableText0"/>
              <w:keepNext w:val="0"/>
              <w:numPr>
                <w:ilvl w:val="0"/>
                <w:numId w:val="9"/>
              </w:numPr>
            </w:pPr>
            <w:r w:rsidRPr="008025D2">
              <w:t>Equal to responder (0.881)</w:t>
            </w:r>
          </w:p>
        </w:tc>
        <w:tc>
          <w:tcPr>
            <w:tcW w:w="1275" w:type="dxa"/>
            <w:vAlign w:val="bottom"/>
          </w:tcPr>
          <w:p w14:paraId="3A2DE162" w14:textId="77777777" w:rsidR="00D969C9" w:rsidRPr="008025D2" w:rsidRDefault="00D969C9" w:rsidP="008B6633">
            <w:pPr>
              <w:pStyle w:val="Tabletext"/>
              <w:jc w:val="center"/>
            </w:pPr>
          </w:p>
          <w:p w14:paraId="0D2C3835" w14:textId="77777777" w:rsidR="00D969C9" w:rsidRPr="008025D2" w:rsidRDefault="00D969C9" w:rsidP="008B6633">
            <w:pPr>
              <w:pStyle w:val="Tabletext"/>
              <w:jc w:val="center"/>
            </w:pPr>
          </w:p>
          <w:p w14:paraId="7475074B" w14:textId="77E15404" w:rsidR="00D969C9" w:rsidRPr="008025D2" w:rsidRDefault="00D969C9" w:rsidP="008B6633">
            <w:pPr>
              <w:pStyle w:val="Tabletext"/>
              <w:jc w:val="center"/>
            </w:pPr>
            <w:r w:rsidRPr="008025D2">
              <w:t>$</w:t>
            </w:r>
            <w:r w:rsidR="006C4DC1" w:rsidRPr="006C4DC1">
              <w:rPr>
                <w:sz w:val="2"/>
                <w:highlight w:val="black"/>
              </w:rPr>
              <w:t>redacted content</w:t>
            </w:r>
          </w:p>
        </w:tc>
        <w:tc>
          <w:tcPr>
            <w:tcW w:w="1276" w:type="dxa"/>
            <w:vAlign w:val="bottom"/>
          </w:tcPr>
          <w:p w14:paraId="48A5B15F" w14:textId="77777777" w:rsidR="00D969C9" w:rsidRPr="008025D2" w:rsidRDefault="00D969C9" w:rsidP="008B6633">
            <w:pPr>
              <w:pStyle w:val="Tabletext"/>
              <w:jc w:val="center"/>
            </w:pPr>
          </w:p>
          <w:p w14:paraId="17925D5C" w14:textId="77777777" w:rsidR="00D969C9" w:rsidRPr="008025D2" w:rsidRDefault="00D969C9" w:rsidP="008B6633">
            <w:pPr>
              <w:pStyle w:val="Tabletext"/>
              <w:jc w:val="center"/>
            </w:pPr>
          </w:p>
          <w:p w14:paraId="65144FB6" w14:textId="77777777" w:rsidR="00D969C9" w:rsidRPr="008025D2" w:rsidRDefault="00D969C9" w:rsidP="008B6633">
            <w:pPr>
              <w:pStyle w:val="Tabletext"/>
              <w:jc w:val="center"/>
            </w:pPr>
            <w:r w:rsidRPr="008025D2">
              <w:t>2.74</w:t>
            </w:r>
          </w:p>
        </w:tc>
        <w:tc>
          <w:tcPr>
            <w:tcW w:w="1276" w:type="dxa"/>
            <w:vAlign w:val="bottom"/>
          </w:tcPr>
          <w:p w14:paraId="5742E949" w14:textId="77777777" w:rsidR="00D969C9" w:rsidRPr="008025D2" w:rsidRDefault="00D969C9" w:rsidP="008B6633">
            <w:pPr>
              <w:pStyle w:val="Tabletext"/>
              <w:jc w:val="center"/>
            </w:pPr>
          </w:p>
          <w:p w14:paraId="3CFC6C23" w14:textId="77777777" w:rsidR="00D969C9" w:rsidRPr="008025D2" w:rsidRDefault="00D969C9" w:rsidP="008B6633">
            <w:pPr>
              <w:pStyle w:val="Tabletext"/>
              <w:jc w:val="center"/>
            </w:pPr>
          </w:p>
          <w:p w14:paraId="3ACD53A8" w14:textId="1A346DC9" w:rsidR="00D969C9" w:rsidRPr="00FA5428" w:rsidRDefault="00D969C9" w:rsidP="008B6633">
            <w:pPr>
              <w:pStyle w:val="Tabletext"/>
              <w:jc w:val="center"/>
              <w:rPr>
                <w:vertAlign w:val="superscript"/>
              </w:rPr>
            </w:pPr>
            <w:r w:rsidRPr="008025D2">
              <w:t>$</w:t>
            </w:r>
            <w:r w:rsidR="006C4DC1" w:rsidRPr="006C4DC1">
              <w:rPr>
                <w:sz w:val="2"/>
                <w:highlight w:val="black"/>
              </w:rPr>
              <w:t>redacted content</w:t>
            </w:r>
            <w:r w:rsidR="00FA5428">
              <w:rPr>
                <w:vertAlign w:val="superscript"/>
              </w:rPr>
              <w:t>1</w:t>
            </w:r>
          </w:p>
        </w:tc>
        <w:tc>
          <w:tcPr>
            <w:tcW w:w="800" w:type="dxa"/>
            <w:vAlign w:val="bottom"/>
          </w:tcPr>
          <w:p w14:paraId="720F1ECF" w14:textId="6FB35659" w:rsidR="00D969C9" w:rsidRPr="008025D2" w:rsidRDefault="006C4DC1" w:rsidP="008B6633">
            <w:pPr>
              <w:pStyle w:val="Tabletext"/>
              <w:jc w:val="center"/>
            </w:pPr>
            <w:r w:rsidRPr="006C4DC1">
              <w:rPr>
                <w:sz w:val="2"/>
                <w:highlight w:val="black"/>
              </w:rPr>
              <w:t>redacted content</w:t>
            </w:r>
            <w:r w:rsidR="00D969C9" w:rsidRPr="008025D2">
              <w:t>%</w:t>
            </w:r>
          </w:p>
        </w:tc>
      </w:tr>
      <w:tr w:rsidR="00DB35F7" w:rsidRPr="00275521" w14:paraId="63EE3F0F" w14:textId="77777777" w:rsidTr="00DD6C0C">
        <w:tc>
          <w:tcPr>
            <w:tcW w:w="4390" w:type="dxa"/>
            <w:tcBorders>
              <w:bottom w:val="single" w:sz="4" w:space="0" w:color="auto"/>
            </w:tcBorders>
          </w:tcPr>
          <w:p w14:paraId="17B51005" w14:textId="77777777" w:rsidR="00D969C9" w:rsidRPr="008025D2" w:rsidRDefault="00D969C9" w:rsidP="008B6633">
            <w:pPr>
              <w:pStyle w:val="TableText0"/>
              <w:keepNext w:val="0"/>
              <w:keepLines w:val="0"/>
              <w:rPr>
                <w:b/>
                <w:bCs w:val="0"/>
              </w:rPr>
            </w:pPr>
            <w:r w:rsidRPr="008025D2">
              <w:rPr>
                <w:b/>
                <w:bCs w:val="0"/>
              </w:rPr>
              <w:t>Scenario analyses</w:t>
            </w:r>
          </w:p>
        </w:tc>
        <w:tc>
          <w:tcPr>
            <w:tcW w:w="1275" w:type="dxa"/>
            <w:tcBorders>
              <w:bottom w:val="single" w:sz="4" w:space="0" w:color="auto"/>
            </w:tcBorders>
            <w:vAlign w:val="center"/>
          </w:tcPr>
          <w:p w14:paraId="18344013" w14:textId="77777777" w:rsidR="00D969C9" w:rsidRPr="008025D2" w:rsidRDefault="00D969C9" w:rsidP="008B6633">
            <w:pPr>
              <w:pStyle w:val="Tabletext"/>
              <w:jc w:val="center"/>
            </w:pPr>
          </w:p>
        </w:tc>
        <w:tc>
          <w:tcPr>
            <w:tcW w:w="1276" w:type="dxa"/>
            <w:tcBorders>
              <w:bottom w:val="single" w:sz="4" w:space="0" w:color="auto"/>
            </w:tcBorders>
            <w:vAlign w:val="center"/>
          </w:tcPr>
          <w:p w14:paraId="278ACB7B" w14:textId="77777777" w:rsidR="00D969C9" w:rsidRPr="008025D2" w:rsidRDefault="00D969C9" w:rsidP="008B6633">
            <w:pPr>
              <w:pStyle w:val="Tabletext"/>
              <w:jc w:val="center"/>
            </w:pPr>
          </w:p>
        </w:tc>
        <w:tc>
          <w:tcPr>
            <w:tcW w:w="1276" w:type="dxa"/>
            <w:tcBorders>
              <w:bottom w:val="single" w:sz="4" w:space="0" w:color="auto"/>
            </w:tcBorders>
            <w:vAlign w:val="center"/>
          </w:tcPr>
          <w:p w14:paraId="12ACF877" w14:textId="77777777" w:rsidR="00D969C9" w:rsidRPr="008025D2" w:rsidRDefault="00D969C9" w:rsidP="008B6633">
            <w:pPr>
              <w:pStyle w:val="Tabletext"/>
              <w:jc w:val="center"/>
            </w:pPr>
          </w:p>
        </w:tc>
        <w:tc>
          <w:tcPr>
            <w:tcW w:w="800" w:type="dxa"/>
            <w:tcBorders>
              <w:bottom w:val="single" w:sz="4" w:space="0" w:color="auto"/>
            </w:tcBorders>
            <w:vAlign w:val="center"/>
          </w:tcPr>
          <w:p w14:paraId="10C4AB59" w14:textId="77777777" w:rsidR="00D969C9" w:rsidRPr="008025D2" w:rsidRDefault="00D969C9" w:rsidP="008B6633">
            <w:pPr>
              <w:pStyle w:val="Tabletext"/>
              <w:jc w:val="center"/>
            </w:pPr>
          </w:p>
        </w:tc>
      </w:tr>
      <w:tr w:rsidR="00E4147F" w:rsidRPr="00275521" w14:paraId="61DB2255" w14:textId="77777777" w:rsidTr="00E4147F">
        <w:trPr>
          <w:trHeight w:val="700"/>
        </w:trPr>
        <w:tc>
          <w:tcPr>
            <w:tcW w:w="4390" w:type="dxa"/>
          </w:tcPr>
          <w:p w14:paraId="0CFA09BA" w14:textId="52303220" w:rsidR="00E4147F" w:rsidRPr="008025D2" w:rsidRDefault="00E4147F" w:rsidP="008B6633">
            <w:pPr>
              <w:pStyle w:val="TableText0"/>
              <w:keepNext w:val="0"/>
              <w:keepLines w:val="0"/>
            </w:pPr>
            <w:r w:rsidRPr="008025D2">
              <w:t>Utility values (base case: responder =0.88; non-responder/cirrhosis/PHT/ascites =0.73; LT = 0.71; post-LT=0.82</w:t>
            </w:r>
          </w:p>
          <w:p w14:paraId="45F61876" w14:textId="5047232D" w:rsidR="00E4147F" w:rsidRPr="008025D2" w:rsidRDefault="00E4147F" w:rsidP="008B6633">
            <w:pPr>
              <w:pStyle w:val="TableText0"/>
              <w:keepNext w:val="0"/>
              <w:keepLines w:val="0"/>
              <w:numPr>
                <w:ilvl w:val="0"/>
                <w:numId w:val="9"/>
              </w:numPr>
            </w:pPr>
            <w:r w:rsidRPr="008025D2">
              <w:t xml:space="preserve">Kamath utilities </w:t>
            </w:r>
            <w:r w:rsidRPr="008025D2">
              <w:rPr>
                <w:vertAlign w:val="superscript"/>
              </w:rPr>
              <w:t xml:space="preserve">c </w:t>
            </w:r>
            <w:r w:rsidRPr="008025D2">
              <w:t>(responder =0.80; non-responder =0.76)</w:t>
            </w:r>
          </w:p>
        </w:tc>
        <w:tc>
          <w:tcPr>
            <w:tcW w:w="1275" w:type="dxa"/>
            <w:vAlign w:val="center"/>
          </w:tcPr>
          <w:p w14:paraId="303DDB39" w14:textId="77777777" w:rsidR="00E4147F" w:rsidRPr="008025D2" w:rsidRDefault="00E4147F" w:rsidP="008B6633">
            <w:pPr>
              <w:pStyle w:val="Tabletext"/>
              <w:jc w:val="center"/>
            </w:pPr>
          </w:p>
          <w:p w14:paraId="0325BD7E" w14:textId="77777777" w:rsidR="00E4147F" w:rsidRPr="008025D2" w:rsidRDefault="00E4147F" w:rsidP="008B6633">
            <w:pPr>
              <w:pStyle w:val="Tabletext"/>
              <w:jc w:val="center"/>
            </w:pPr>
          </w:p>
          <w:p w14:paraId="1918ABAA" w14:textId="77777777" w:rsidR="00E4147F" w:rsidRPr="008025D2" w:rsidRDefault="00E4147F" w:rsidP="008B6633">
            <w:pPr>
              <w:pStyle w:val="Tabletext"/>
              <w:jc w:val="center"/>
            </w:pPr>
          </w:p>
          <w:p w14:paraId="2ECC36E6" w14:textId="207580EF" w:rsidR="00E4147F" w:rsidRPr="008025D2" w:rsidRDefault="00E4147F" w:rsidP="008B6633">
            <w:pPr>
              <w:pStyle w:val="Tabletext"/>
              <w:jc w:val="center"/>
            </w:pPr>
            <w:r w:rsidRPr="008025D2">
              <w:t>$</w:t>
            </w:r>
            <w:r w:rsidR="006C4DC1" w:rsidRPr="006C4DC1">
              <w:rPr>
                <w:sz w:val="2"/>
                <w:highlight w:val="black"/>
              </w:rPr>
              <w:t>redacted content</w:t>
            </w:r>
          </w:p>
          <w:p w14:paraId="0D1543EE" w14:textId="751DA906" w:rsidR="00E4147F" w:rsidRPr="008025D2" w:rsidRDefault="00E4147F" w:rsidP="008B6633">
            <w:pPr>
              <w:pStyle w:val="Tabletext"/>
              <w:jc w:val="center"/>
            </w:pPr>
          </w:p>
        </w:tc>
        <w:tc>
          <w:tcPr>
            <w:tcW w:w="1276" w:type="dxa"/>
            <w:vAlign w:val="center"/>
          </w:tcPr>
          <w:p w14:paraId="67326CD0" w14:textId="77777777" w:rsidR="00E4147F" w:rsidRPr="008025D2" w:rsidRDefault="00E4147F" w:rsidP="008B6633">
            <w:pPr>
              <w:pStyle w:val="Tabletext"/>
              <w:jc w:val="center"/>
            </w:pPr>
          </w:p>
          <w:p w14:paraId="22FBC0B0" w14:textId="77777777" w:rsidR="00E4147F" w:rsidRPr="008025D2" w:rsidRDefault="00E4147F" w:rsidP="008B6633">
            <w:pPr>
              <w:pStyle w:val="Tabletext"/>
              <w:jc w:val="center"/>
            </w:pPr>
          </w:p>
          <w:p w14:paraId="067CCD71" w14:textId="77777777" w:rsidR="00E4147F" w:rsidRPr="008025D2" w:rsidRDefault="00E4147F" w:rsidP="008B6633">
            <w:pPr>
              <w:pStyle w:val="Tabletext"/>
              <w:jc w:val="center"/>
            </w:pPr>
          </w:p>
          <w:p w14:paraId="55BB579B" w14:textId="70EF3C14" w:rsidR="00E4147F" w:rsidRPr="00E4147F" w:rsidRDefault="00E4147F" w:rsidP="008B6633">
            <w:pPr>
              <w:pStyle w:val="Tabletext"/>
              <w:jc w:val="center"/>
            </w:pPr>
            <w:r w:rsidRPr="008025D2">
              <w:t>2.22</w:t>
            </w:r>
          </w:p>
          <w:p w14:paraId="03DBCBDE" w14:textId="0DEA2FF6" w:rsidR="00E4147F" w:rsidRPr="008025D2" w:rsidRDefault="00E4147F" w:rsidP="008B6633">
            <w:pPr>
              <w:pStyle w:val="Tabletext"/>
              <w:jc w:val="center"/>
            </w:pPr>
          </w:p>
        </w:tc>
        <w:tc>
          <w:tcPr>
            <w:tcW w:w="1276" w:type="dxa"/>
            <w:vAlign w:val="center"/>
          </w:tcPr>
          <w:p w14:paraId="615524C8" w14:textId="77777777" w:rsidR="00E4147F" w:rsidRPr="008025D2" w:rsidRDefault="00E4147F" w:rsidP="008B6633">
            <w:pPr>
              <w:pStyle w:val="Tabletext"/>
              <w:jc w:val="center"/>
            </w:pPr>
          </w:p>
          <w:p w14:paraId="2CBA7336" w14:textId="77777777" w:rsidR="00E4147F" w:rsidRPr="008025D2" w:rsidRDefault="00E4147F" w:rsidP="008B6633">
            <w:pPr>
              <w:pStyle w:val="Tabletext"/>
              <w:jc w:val="center"/>
            </w:pPr>
          </w:p>
          <w:p w14:paraId="1AC36C1E" w14:textId="77777777" w:rsidR="00E4147F" w:rsidRPr="008025D2" w:rsidRDefault="00E4147F" w:rsidP="008B6633">
            <w:pPr>
              <w:pStyle w:val="Tabletext"/>
              <w:jc w:val="center"/>
            </w:pPr>
          </w:p>
          <w:p w14:paraId="3CEBE80C" w14:textId="702DB4CC" w:rsidR="00E4147F" w:rsidRPr="00FA5428" w:rsidRDefault="00E4147F" w:rsidP="008B6633">
            <w:pPr>
              <w:pStyle w:val="Tabletext"/>
              <w:jc w:val="center"/>
              <w:rPr>
                <w:vertAlign w:val="superscript"/>
              </w:rPr>
            </w:pPr>
            <w:r w:rsidRPr="008025D2">
              <w:t>$</w:t>
            </w:r>
            <w:r w:rsidR="006C4DC1" w:rsidRPr="006C4DC1">
              <w:rPr>
                <w:sz w:val="2"/>
                <w:highlight w:val="black"/>
              </w:rPr>
              <w:t>redacted content</w:t>
            </w:r>
            <w:r w:rsidR="00FA5428">
              <w:rPr>
                <w:vertAlign w:val="superscript"/>
              </w:rPr>
              <w:t>1</w:t>
            </w:r>
          </w:p>
          <w:p w14:paraId="2228C54A" w14:textId="6C3EAFAE" w:rsidR="00E4147F" w:rsidRPr="008025D2" w:rsidRDefault="00E4147F" w:rsidP="008B6633">
            <w:pPr>
              <w:pStyle w:val="Tabletext"/>
              <w:jc w:val="center"/>
            </w:pPr>
          </w:p>
        </w:tc>
        <w:tc>
          <w:tcPr>
            <w:tcW w:w="800" w:type="dxa"/>
            <w:vAlign w:val="center"/>
          </w:tcPr>
          <w:p w14:paraId="164C834B" w14:textId="77777777" w:rsidR="00E4147F" w:rsidRPr="008025D2" w:rsidRDefault="00E4147F" w:rsidP="008B6633">
            <w:pPr>
              <w:pStyle w:val="Tabletext"/>
              <w:jc w:val="center"/>
            </w:pPr>
          </w:p>
          <w:p w14:paraId="01BC5639" w14:textId="77777777" w:rsidR="00E4147F" w:rsidRPr="008025D2" w:rsidRDefault="00E4147F" w:rsidP="008B6633">
            <w:pPr>
              <w:pStyle w:val="Tabletext"/>
              <w:jc w:val="center"/>
            </w:pPr>
          </w:p>
          <w:p w14:paraId="2A12579F" w14:textId="77777777" w:rsidR="00E4147F" w:rsidRPr="008025D2" w:rsidRDefault="00E4147F" w:rsidP="008B6633">
            <w:pPr>
              <w:pStyle w:val="Tabletext"/>
              <w:jc w:val="center"/>
            </w:pPr>
          </w:p>
          <w:p w14:paraId="09D97B96" w14:textId="1003055E" w:rsidR="00E4147F" w:rsidRPr="008025D2" w:rsidRDefault="006C4DC1" w:rsidP="008B6633">
            <w:pPr>
              <w:pStyle w:val="Tabletext"/>
              <w:jc w:val="center"/>
            </w:pPr>
            <w:r w:rsidRPr="006C4DC1">
              <w:rPr>
                <w:sz w:val="2"/>
                <w:highlight w:val="black"/>
              </w:rPr>
              <w:t>redacted content</w:t>
            </w:r>
            <w:r w:rsidR="00E4147F" w:rsidRPr="008025D2">
              <w:t>%</w:t>
            </w:r>
          </w:p>
          <w:p w14:paraId="11255FDC" w14:textId="3BE692B5" w:rsidR="00E4147F" w:rsidRPr="008025D2" w:rsidRDefault="00E4147F" w:rsidP="008B6633">
            <w:pPr>
              <w:pStyle w:val="Tabletext"/>
              <w:jc w:val="center"/>
            </w:pPr>
          </w:p>
        </w:tc>
      </w:tr>
      <w:tr w:rsidR="00DB35F7" w:rsidRPr="00275521" w14:paraId="22DAEE11" w14:textId="77777777" w:rsidTr="00DD6C0C">
        <w:tc>
          <w:tcPr>
            <w:tcW w:w="4390" w:type="dxa"/>
          </w:tcPr>
          <w:p w14:paraId="34ED88F0" w14:textId="13777086" w:rsidR="00D969C9" w:rsidRPr="008025D2" w:rsidRDefault="00D969C9" w:rsidP="008B6633">
            <w:pPr>
              <w:pStyle w:val="TableText0"/>
              <w:keepNext w:val="0"/>
              <w:keepLines w:val="0"/>
              <w:tabs>
                <w:tab w:val="left" w:pos="950"/>
              </w:tabs>
              <w:rPr>
                <w:vertAlign w:val="superscript"/>
              </w:rPr>
            </w:pPr>
            <w:r w:rsidRPr="008025D2">
              <w:t xml:space="preserve">Submission’s alternative mortality inputs </w:t>
            </w:r>
            <w:r w:rsidR="001B2253" w:rsidRPr="008025D2">
              <w:rPr>
                <w:vertAlign w:val="superscript"/>
              </w:rPr>
              <w:t>d</w:t>
            </w:r>
          </w:p>
        </w:tc>
        <w:tc>
          <w:tcPr>
            <w:tcW w:w="1275" w:type="dxa"/>
            <w:vAlign w:val="center"/>
          </w:tcPr>
          <w:p w14:paraId="17AB1D88" w14:textId="74FF66B8" w:rsidR="00D969C9" w:rsidRPr="008025D2" w:rsidRDefault="00D969C9" w:rsidP="008B6633">
            <w:pPr>
              <w:pStyle w:val="Tabletext"/>
              <w:jc w:val="center"/>
            </w:pPr>
            <w:r w:rsidRPr="008025D2">
              <w:t>$</w:t>
            </w:r>
            <w:r w:rsidR="006C4DC1" w:rsidRPr="006C4DC1">
              <w:rPr>
                <w:sz w:val="2"/>
                <w:highlight w:val="black"/>
              </w:rPr>
              <w:t>redacted content</w:t>
            </w:r>
          </w:p>
        </w:tc>
        <w:tc>
          <w:tcPr>
            <w:tcW w:w="1276" w:type="dxa"/>
            <w:vAlign w:val="center"/>
          </w:tcPr>
          <w:p w14:paraId="1A98A2AE" w14:textId="77777777" w:rsidR="00D969C9" w:rsidRPr="008025D2" w:rsidRDefault="00D969C9" w:rsidP="008B6633">
            <w:pPr>
              <w:pStyle w:val="Tabletext"/>
              <w:jc w:val="center"/>
            </w:pPr>
            <w:r w:rsidRPr="008025D2">
              <w:t>0.97</w:t>
            </w:r>
          </w:p>
        </w:tc>
        <w:tc>
          <w:tcPr>
            <w:tcW w:w="1276" w:type="dxa"/>
            <w:vAlign w:val="center"/>
          </w:tcPr>
          <w:p w14:paraId="6CA5B07F" w14:textId="0000A2BD" w:rsidR="00D969C9" w:rsidRPr="00FA5428" w:rsidRDefault="00D969C9" w:rsidP="008B6633">
            <w:pPr>
              <w:pStyle w:val="Tabletext"/>
              <w:jc w:val="center"/>
              <w:rPr>
                <w:vertAlign w:val="superscript"/>
              </w:rPr>
            </w:pPr>
            <w:r w:rsidRPr="008025D2">
              <w:t>$</w:t>
            </w:r>
            <w:r w:rsidR="006C4DC1" w:rsidRPr="006C4DC1">
              <w:rPr>
                <w:sz w:val="2"/>
                <w:highlight w:val="black"/>
              </w:rPr>
              <w:t>redacted content</w:t>
            </w:r>
            <w:r w:rsidR="00FA5428">
              <w:rPr>
                <w:vertAlign w:val="superscript"/>
              </w:rPr>
              <w:t>1</w:t>
            </w:r>
          </w:p>
        </w:tc>
        <w:tc>
          <w:tcPr>
            <w:tcW w:w="800" w:type="dxa"/>
            <w:vAlign w:val="center"/>
          </w:tcPr>
          <w:p w14:paraId="2B70D653" w14:textId="65C59296" w:rsidR="00D969C9" w:rsidRPr="008025D2" w:rsidRDefault="006C4DC1" w:rsidP="008B6633">
            <w:pPr>
              <w:pStyle w:val="Tabletext"/>
              <w:jc w:val="center"/>
            </w:pPr>
            <w:r w:rsidRPr="006C4DC1">
              <w:rPr>
                <w:sz w:val="2"/>
                <w:highlight w:val="black"/>
              </w:rPr>
              <w:t>redacted content</w:t>
            </w:r>
            <w:r w:rsidR="00D969C9" w:rsidRPr="008025D2">
              <w:t>%</w:t>
            </w:r>
          </w:p>
        </w:tc>
      </w:tr>
      <w:tr w:rsidR="00DB35F7" w:rsidRPr="00275521" w14:paraId="32B7F6FB" w14:textId="77777777" w:rsidTr="00DD6C0C">
        <w:trPr>
          <w:trHeight w:val="702"/>
        </w:trPr>
        <w:tc>
          <w:tcPr>
            <w:tcW w:w="4390" w:type="dxa"/>
          </w:tcPr>
          <w:p w14:paraId="43EBD9B1" w14:textId="77777777" w:rsidR="00D969C9" w:rsidRPr="008025D2" w:rsidRDefault="00D969C9" w:rsidP="008B6633">
            <w:pPr>
              <w:pStyle w:val="TableText0"/>
              <w:keepNext w:val="0"/>
              <w:keepLines w:val="0"/>
            </w:pPr>
            <w:r w:rsidRPr="008025D2">
              <w:t>Odevixibat arm including concomitant treatments (base case assumes no SoC treatments)</w:t>
            </w:r>
          </w:p>
          <w:p w14:paraId="4A0B3B22" w14:textId="41CE4C45" w:rsidR="00D969C9" w:rsidRPr="008025D2" w:rsidRDefault="00D969C9" w:rsidP="008B6633">
            <w:pPr>
              <w:pStyle w:val="TableText0"/>
              <w:keepNext w:val="0"/>
              <w:numPr>
                <w:ilvl w:val="0"/>
                <w:numId w:val="9"/>
              </w:numPr>
            </w:pPr>
            <w:r w:rsidRPr="008025D2">
              <w:t xml:space="preserve">SoC treatment costs included </w:t>
            </w:r>
            <w:r w:rsidR="001B2253" w:rsidRPr="008025D2">
              <w:rPr>
                <w:vertAlign w:val="superscript"/>
              </w:rPr>
              <w:t>e</w:t>
            </w:r>
          </w:p>
        </w:tc>
        <w:tc>
          <w:tcPr>
            <w:tcW w:w="1275" w:type="dxa"/>
            <w:vAlign w:val="center"/>
          </w:tcPr>
          <w:p w14:paraId="2BE86D68" w14:textId="77777777" w:rsidR="00D969C9" w:rsidRPr="008025D2" w:rsidRDefault="00D969C9" w:rsidP="008B6633">
            <w:pPr>
              <w:pStyle w:val="Tabletext"/>
              <w:jc w:val="center"/>
            </w:pPr>
          </w:p>
          <w:p w14:paraId="0EB9F165" w14:textId="77777777" w:rsidR="00D969C9" w:rsidRPr="008025D2" w:rsidRDefault="00D969C9" w:rsidP="008B6633">
            <w:pPr>
              <w:pStyle w:val="Tabletext"/>
              <w:jc w:val="center"/>
            </w:pPr>
          </w:p>
          <w:p w14:paraId="0E6E7587" w14:textId="6950890A" w:rsidR="00D969C9" w:rsidRPr="008025D2" w:rsidRDefault="00D969C9" w:rsidP="008B6633">
            <w:pPr>
              <w:pStyle w:val="Tabletext"/>
              <w:jc w:val="center"/>
            </w:pPr>
            <w:r w:rsidRPr="008025D2">
              <w:t>$</w:t>
            </w:r>
            <w:r w:rsidR="006C4DC1" w:rsidRPr="006C4DC1">
              <w:rPr>
                <w:sz w:val="2"/>
                <w:highlight w:val="black"/>
              </w:rPr>
              <w:t>redacted content</w:t>
            </w:r>
          </w:p>
        </w:tc>
        <w:tc>
          <w:tcPr>
            <w:tcW w:w="1276" w:type="dxa"/>
            <w:vAlign w:val="center"/>
          </w:tcPr>
          <w:p w14:paraId="3E9F7A9C" w14:textId="77777777" w:rsidR="00D969C9" w:rsidRPr="008025D2" w:rsidRDefault="00D969C9" w:rsidP="008B6633">
            <w:pPr>
              <w:pStyle w:val="Tabletext"/>
              <w:jc w:val="center"/>
            </w:pPr>
          </w:p>
          <w:p w14:paraId="072F7FDA" w14:textId="77777777" w:rsidR="00D969C9" w:rsidRPr="008025D2" w:rsidRDefault="00D969C9" w:rsidP="008B6633">
            <w:pPr>
              <w:pStyle w:val="Tabletext"/>
              <w:jc w:val="center"/>
            </w:pPr>
          </w:p>
          <w:p w14:paraId="4448851E" w14:textId="77777777" w:rsidR="00D969C9" w:rsidRPr="008025D2" w:rsidRDefault="00D969C9" w:rsidP="008B6633">
            <w:pPr>
              <w:pStyle w:val="Tabletext"/>
              <w:jc w:val="center"/>
            </w:pPr>
            <w:r w:rsidRPr="008025D2">
              <w:t>2.88</w:t>
            </w:r>
          </w:p>
        </w:tc>
        <w:tc>
          <w:tcPr>
            <w:tcW w:w="1276" w:type="dxa"/>
            <w:vAlign w:val="center"/>
          </w:tcPr>
          <w:p w14:paraId="2D27AF35" w14:textId="77777777" w:rsidR="00D969C9" w:rsidRPr="008025D2" w:rsidRDefault="00D969C9" w:rsidP="008B6633">
            <w:pPr>
              <w:pStyle w:val="Tabletext"/>
              <w:jc w:val="center"/>
            </w:pPr>
          </w:p>
          <w:p w14:paraId="66795FE4" w14:textId="77777777" w:rsidR="00D969C9" w:rsidRPr="008025D2" w:rsidRDefault="00D969C9" w:rsidP="008B6633">
            <w:pPr>
              <w:pStyle w:val="Tabletext"/>
              <w:jc w:val="center"/>
            </w:pPr>
          </w:p>
          <w:p w14:paraId="59608D49" w14:textId="6F615D4E" w:rsidR="00D969C9" w:rsidRPr="00FA5428" w:rsidRDefault="00D969C9" w:rsidP="008B6633">
            <w:pPr>
              <w:pStyle w:val="Tabletext"/>
              <w:jc w:val="center"/>
              <w:rPr>
                <w:vertAlign w:val="superscript"/>
              </w:rPr>
            </w:pPr>
            <w:r w:rsidRPr="008025D2">
              <w:t>$</w:t>
            </w:r>
            <w:r w:rsidR="006C4DC1" w:rsidRPr="006C4DC1">
              <w:rPr>
                <w:sz w:val="2"/>
                <w:highlight w:val="black"/>
              </w:rPr>
              <w:t>redacted content</w:t>
            </w:r>
            <w:r w:rsidR="00FA5428">
              <w:rPr>
                <w:vertAlign w:val="superscript"/>
              </w:rPr>
              <w:t>1</w:t>
            </w:r>
          </w:p>
        </w:tc>
        <w:tc>
          <w:tcPr>
            <w:tcW w:w="800" w:type="dxa"/>
            <w:vAlign w:val="center"/>
          </w:tcPr>
          <w:p w14:paraId="68191317" w14:textId="77777777" w:rsidR="00D969C9" w:rsidRPr="008025D2" w:rsidRDefault="00D969C9" w:rsidP="008B6633">
            <w:pPr>
              <w:pStyle w:val="Tabletext"/>
              <w:jc w:val="center"/>
            </w:pPr>
          </w:p>
          <w:p w14:paraId="24FE56F0" w14:textId="77777777" w:rsidR="00D969C9" w:rsidRPr="008025D2" w:rsidRDefault="00D969C9" w:rsidP="008B6633">
            <w:pPr>
              <w:pStyle w:val="Tabletext"/>
              <w:jc w:val="center"/>
            </w:pPr>
          </w:p>
          <w:p w14:paraId="4C59F926" w14:textId="523DF85E" w:rsidR="00D969C9" w:rsidRPr="008025D2" w:rsidRDefault="006C4DC1" w:rsidP="008B6633">
            <w:pPr>
              <w:pStyle w:val="Tabletext"/>
              <w:jc w:val="center"/>
            </w:pPr>
            <w:r w:rsidRPr="006C4DC1">
              <w:rPr>
                <w:sz w:val="2"/>
                <w:highlight w:val="black"/>
              </w:rPr>
              <w:t>redacted content</w:t>
            </w:r>
            <w:r w:rsidR="00D969C9" w:rsidRPr="008025D2">
              <w:t>%</w:t>
            </w:r>
          </w:p>
        </w:tc>
      </w:tr>
    </w:tbl>
    <w:p w14:paraId="568ABC4C" w14:textId="77777777" w:rsidR="00D969C9" w:rsidRPr="00275521" w:rsidRDefault="00D969C9" w:rsidP="008B6633">
      <w:pPr>
        <w:pStyle w:val="FooterTableFigure"/>
      </w:pPr>
      <w:r w:rsidRPr="00275521">
        <w:t>Source: Table 3-33, p142 of the submission, additional sensitivity analyses conducted during evaluation.</w:t>
      </w:r>
    </w:p>
    <w:p w14:paraId="23668388" w14:textId="73E83176" w:rsidR="00D969C9" w:rsidRPr="00275521" w:rsidRDefault="00D969C9" w:rsidP="008B6633">
      <w:pPr>
        <w:pStyle w:val="FooterTableFigure"/>
      </w:pPr>
      <w:r w:rsidRPr="00275521">
        <w:t>Aus = Australian; EAP = early access program; LT = liver transplant; NZ = New Zealand; SoC = standard of care;</w:t>
      </w:r>
      <w:r w:rsidR="008B6633">
        <w:t xml:space="preserve"> </w:t>
      </w:r>
      <w:r w:rsidRPr="00275521">
        <w:t xml:space="preserve">yrs = years </w:t>
      </w:r>
    </w:p>
    <w:p w14:paraId="2ED0BCAB" w14:textId="7FE12DE6" w:rsidR="00D969C9" w:rsidRPr="00425CF5" w:rsidRDefault="00D969C9" w:rsidP="008B6633">
      <w:pPr>
        <w:pStyle w:val="FooterTableFigure"/>
        <w:rPr>
          <w:szCs w:val="20"/>
        </w:rPr>
      </w:pPr>
      <w:r w:rsidRPr="00425CF5">
        <w:rPr>
          <w:szCs w:val="20"/>
          <w:vertAlign w:val="superscript"/>
        </w:rPr>
        <w:t xml:space="preserve">a </w:t>
      </w:r>
      <w:r w:rsidRPr="00425CF5">
        <w:rPr>
          <w:szCs w:val="20"/>
        </w:rPr>
        <w:t xml:space="preserve">The SoC response rate was changed by editing Cell P153 and Q153 in the ‘Data Store’ worksheet from 0% and 100%, to the selected response rate and its complement (i.e. 1  </w:t>
      </w:r>
      <w:r w:rsidRPr="00425CF5">
        <w:rPr>
          <w:rFonts w:ascii="Arial" w:hAnsi="Arial"/>
          <w:szCs w:val="20"/>
        </w:rPr>
        <w:t>̶</w:t>
      </w:r>
      <w:r w:rsidR="008B6633">
        <w:rPr>
          <w:szCs w:val="20"/>
        </w:rPr>
        <w:t xml:space="preserve"> </w:t>
      </w:r>
      <w:r w:rsidRPr="00425CF5">
        <w:rPr>
          <w:szCs w:val="20"/>
        </w:rPr>
        <w:t>response rate), respectively.</w:t>
      </w:r>
    </w:p>
    <w:p w14:paraId="18E2B1CF" w14:textId="77777777" w:rsidR="00D969C9" w:rsidRPr="00425CF5" w:rsidRDefault="00D969C9" w:rsidP="008B6633">
      <w:pPr>
        <w:pStyle w:val="FooterTableFigure"/>
        <w:rPr>
          <w:szCs w:val="20"/>
        </w:rPr>
      </w:pPr>
      <w:r w:rsidRPr="00425CF5">
        <w:rPr>
          <w:szCs w:val="20"/>
          <w:vertAlign w:val="superscript"/>
        </w:rPr>
        <w:t xml:space="preserve">b </w:t>
      </w:r>
      <w:r w:rsidRPr="00425CF5">
        <w:rPr>
          <w:szCs w:val="20"/>
        </w:rPr>
        <w:t>The flow of participants table in the submission reported 6/50 patients did not complete the 72-Week treatment period, which was inconsistent with the post-hoc analysis presented in the submission (5/50 patients at 92.6 weeks).</w:t>
      </w:r>
    </w:p>
    <w:p w14:paraId="4BCC02D4" w14:textId="4FB53799" w:rsidR="00D969C9" w:rsidRPr="00275521" w:rsidRDefault="00D969C9" w:rsidP="008B6633">
      <w:pPr>
        <w:pStyle w:val="FooterTableFigure"/>
        <w:rPr>
          <w:szCs w:val="20"/>
        </w:rPr>
      </w:pPr>
      <w:r w:rsidRPr="00275521">
        <w:rPr>
          <w:szCs w:val="20"/>
          <w:vertAlign w:val="superscript"/>
        </w:rPr>
        <w:t xml:space="preserve">c </w:t>
      </w:r>
      <w:r w:rsidRPr="00275521">
        <w:rPr>
          <w:szCs w:val="20"/>
        </w:rPr>
        <w:t xml:space="preserve">The submission’s </w:t>
      </w:r>
      <w:r w:rsidR="00976632" w:rsidRPr="00275521">
        <w:rPr>
          <w:szCs w:val="20"/>
        </w:rPr>
        <w:t>“</w:t>
      </w:r>
      <w:r w:rsidRPr="00275521">
        <w:rPr>
          <w:szCs w:val="20"/>
        </w:rPr>
        <w:t>Kamath utilities</w:t>
      </w:r>
      <w:r w:rsidR="00976632" w:rsidRPr="00275521">
        <w:rPr>
          <w:szCs w:val="20"/>
        </w:rPr>
        <w:t xml:space="preserve">” </w:t>
      </w:r>
      <w:r w:rsidRPr="00275521">
        <w:rPr>
          <w:szCs w:val="20"/>
        </w:rPr>
        <w:t xml:space="preserve">reduce the Responder utility from 0.88 to 0.80 and increase the Non-responder utility from 0.73 to 0.76. </w:t>
      </w:r>
      <w:r w:rsidR="003852A5" w:rsidRPr="00275521">
        <w:rPr>
          <w:szCs w:val="20"/>
        </w:rPr>
        <w:t>L</w:t>
      </w:r>
      <w:r w:rsidRPr="00275521">
        <w:rPr>
          <w:szCs w:val="20"/>
        </w:rPr>
        <w:t>owering the Responder utility to 0.80 results in the Post-LT health state having higher utility than the Responder health state (0.82 versus 0.80, respectively).</w:t>
      </w:r>
    </w:p>
    <w:p w14:paraId="678F5BC3" w14:textId="131B5AA5" w:rsidR="001B2253" w:rsidRPr="00275521" w:rsidRDefault="003852A5" w:rsidP="008B6633">
      <w:pPr>
        <w:pStyle w:val="FooterTableFigure"/>
        <w:rPr>
          <w:i/>
          <w:iCs/>
          <w:szCs w:val="20"/>
        </w:rPr>
      </w:pPr>
      <w:r w:rsidRPr="00275521">
        <w:rPr>
          <w:szCs w:val="20"/>
          <w:vertAlign w:val="superscript"/>
        </w:rPr>
        <w:t>d</w:t>
      </w:r>
      <w:r w:rsidR="001B2253" w:rsidRPr="00275521">
        <w:rPr>
          <w:szCs w:val="20"/>
          <w:vertAlign w:val="superscript"/>
        </w:rPr>
        <w:t xml:space="preserve"> </w:t>
      </w:r>
      <w:r w:rsidR="001B2253" w:rsidRPr="00275521">
        <w:rPr>
          <w:szCs w:val="20"/>
        </w:rPr>
        <w:t xml:space="preserve">The submission included an alternative set of mortality transition probabilities which applied a per cycle mortality risk for the responder, non-responder and cirrhosis health state of 0.28% derived from (Vandriel 2022; mortality prior to LT of 6.10% at 5 years). This scenario also reduced the post-LT mortality from 0.92% per cycle to 0.37% per </w:t>
      </w:r>
      <w:r w:rsidR="00692081" w:rsidRPr="00275521">
        <w:rPr>
          <w:szCs w:val="20"/>
        </w:rPr>
        <w:t>cycle and</w:t>
      </w:r>
      <w:r w:rsidR="00162A54" w:rsidRPr="00275521">
        <w:rPr>
          <w:szCs w:val="20"/>
        </w:rPr>
        <w:t xml:space="preserve"> reduced the risk of death at time of LT from 25.17% to 2.75%.</w:t>
      </w:r>
    </w:p>
    <w:p w14:paraId="7B68E106" w14:textId="77777777" w:rsidR="00AE1E39" w:rsidRDefault="001B2253" w:rsidP="00AE1E39">
      <w:pPr>
        <w:pStyle w:val="FooterTableFigure"/>
        <w:spacing w:before="160"/>
        <w:rPr>
          <w:i/>
          <w:szCs w:val="18"/>
        </w:rPr>
      </w:pPr>
      <w:r w:rsidRPr="00275521">
        <w:rPr>
          <w:szCs w:val="20"/>
          <w:vertAlign w:val="superscript"/>
        </w:rPr>
        <w:lastRenderedPageBreak/>
        <w:t>e</w:t>
      </w:r>
      <w:r w:rsidR="00D969C9" w:rsidRPr="00275521">
        <w:rPr>
          <w:szCs w:val="20"/>
          <w:vertAlign w:val="superscript"/>
        </w:rPr>
        <w:t xml:space="preserve"> </w:t>
      </w:r>
      <w:r w:rsidR="00D969C9" w:rsidRPr="00275521">
        <w:rPr>
          <w:szCs w:val="20"/>
        </w:rPr>
        <w:t>The treatment cost formula in columns BK:BN of 'Markov Trace (SoC)</w:t>
      </w:r>
      <w:r w:rsidR="00976632" w:rsidRPr="00275521">
        <w:rPr>
          <w:szCs w:val="20"/>
        </w:rPr>
        <w:t>’</w:t>
      </w:r>
      <w:r w:rsidR="00D969C9" w:rsidRPr="00275521">
        <w:rPr>
          <w:szCs w:val="20"/>
        </w:rPr>
        <w:t xml:space="preserve"> were </w:t>
      </w:r>
      <w:r w:rsidR="003852A5" w:rsidRPr="00275521">
        <w:rPr>
          <w:szCs w:val="20"/>
        </w:rPr>
        <w:t>copied</w:t>
      </w:r>
      <w:r w:rsidR="00D969C9" w:rsidRPr="00275521">
        <w:rPr>
          <w:szCs w:val="20"/>
        </w:rPr>
        <w:t xml:space="preserve"> to the respective columns in 'Markov Trace (Odevixibat)</w:t>
      </w:r>
      <w:r w:rsidR="00976632" w:rsidRPr="00275521">
        <w:rPr>
          <w:szCs w:val="20"/>
        </w:rPr>
        <w:t>’.</w:t>
      </w:r>
      <w:r w:rsidR="00D969C9" w:rsidRPr="00275521">
        <w:rPr>
          <w:szCs w:val="20"/>
        </w:rPr>
        <w:t xml:space="preserve"> For the responder health state, the treatment cost calculation in column BJ of 'Markov Trace (SoC) was added to the odevixibat treatment cost calculation in BJ 'Markov Trace (Odevixibat)". Cholestyramine use was excluded in this analysis (</w:t>
      </w:r>
      <w:r w:rsidR="00976632" w:rsidRPr="00275521">
        <w:rPr>
          <w:szCs w:val="20"/>
        </w:rPr>
        <w:t>usage</w:t>
      </w:r>
      <w:r w:rsidR="00D969C9" w:rsidRPr="00275521">
        <w:rPr>
          <w:szCs w:val="20"/>
        </w:rPr>
        <w:t xml:space="preserve"> set to </w:t>
      </w:r>
      <w:r w:rsidR="00976632" w:rsidRPr="00275521">
        <w:rPr>
          <w:szCs w:val="20"/>
        </w:rPr>
        <w:t>0%</w:t>
      </w:r>
      <w:r w:rsidR="00D969C9" w:rsidRPr="00275521">
        <w:rPr>
          <w:szCs w:val="20"/>
        </w:rPr>
        <w:t>) to align with the ASSERT trial as odevixibat patients were not permitted to receive cholestyramine.</w:t>
      </w:r>
    </w:p>
    <w:p w14:paraId="2E815A43" w14:textId="429C25F4" w:rsidR="00AE1E39" w:rsidRPr="00AE1E39" w:rsidRDefault="00AE1E39" w:rsidP="00AE1E39">
      <w:pPr>
        <w:pStyle w:val="FooterTableFigure"/>
        <w:spacing w:before="160"/>
        <w:rPr>
          <w:i/>
          <w:szCs w:val="20"/>
        </w:rPr>
      </w:pPr>
      <w:r w:rsidRPr="00AE1E39">
        <w:rPr>
          <w:i/>
          <w:szCs w:val="20"/>
        </w:rPr>
        <w:t xml:space="preserve">The redacted values correspond to the following ranges: </w:t>
      </w:r>
    </w:p>
    <w:p w14:paraId="337086AB" w14:textId="453BBCEC" w:rsidR="00AE1E39" w:rsidRPr="00AE1E39" w:rsidRDefault="00AE1E39" w:rsidP="00AE1E39">
      <w:pPr>
        <w:pStyle w:val="FooterTableFigure"/>
        <w:spacing w:before="160"/>
        <w:rPr>
          <w:i/>
          <w:szCs w:val="20"/>
        </w:rPr>
      </w:pPr>
      <w:r w:rsidRPr="00AE1E39">
        <w:rPr>
          <w:i/>
          <w:szCs w:val="20"/>
          <w:vertAlign w:val="superscript"/>
        </w:rPr>
        <w:t>1</w:t>
      </w:r>
      <w:r w:rsidRPr="00AE1E39">
        <w:rPr>
          <w:i/>
          <w:szCs w:val="20"/>
        </w:rPr>
        <w:t xml:space="preserve"> </w:t>
      </w:r>
      <w:r w:rsidR="00FA5428" w:rsidRPr="00FA5428">
        <w:rPr>
          <w:i/>
          <w:szCs w:val="20"/>
        </w:rPr>
        <w:t>&gt; $1,055,000</w:t>
      </w:r>
    </w:p>
    <w:p w14:paraId="7EEB2F26" w14:textId="29AEFF65" w:rsidR="00AE1E39" w:rsidRPr="00AE1E39" w:rsidRDefault="00AE1E39" w:rsidP="00AE1E39">
      <w:pPr>
        <w:pStyle w:val="FooterTableFigure"/>
        <w:spacing w:before="160"/>
        <w:rPr>
          <w:i/>
          <w:szCs w:val="20"/>
        </w:rPr>
      </w:pPr>
      <w:r w:rsidRPr="00AE1E39">
        <w:rPr>
          <w:i/>
          <w:szCs w:val="20"/>
          <w:vertAlign w:val="superscript"/>
        </w:rPr>
        <w:t>2</w:t>
      </w:r>
      <w:r w:rsidRPr="00AE1E39">
        <w:rPr>
          <w:i/>
          <w:szCs w:val="20"/>
        </w:rPr>
        <w:t xml:space="preserve"> </w:t>
      </w:r>
      <w:r w:rsidR="003C6009" w:rsidRPr="003C6009">
        <w:rPr>
          <w:i/>
          <w:szCs w:val="20"/>
        </w:rPr>
        <w:t>$455,000 to &lt; $555,000</w:t>
      </w:r>
    </w:p>
    <w:p w14:paraId="1F7CCDA0" w14:textId="2700F7A0" w:rsidR="00AE1E39" w:rsidRPr="00AE1E39" w:rsidRDefault="00AE1E39" w:rsidP="00AE1E39">
      <w:pPr>
        <w:pStyle w:val="FooterTableFigure"/>
        <w:spacing w:before="160"/>
        <w:rPr>
          <w:i/>
          <w:szCs w:val="20"/>
        </w:rPr>
      </w:pPr>
      <w:r w:rsidRPr="00AE1E39">
        <w:rPr>
          <w:i/>
          <w:szCs w:val="20"/>
          <w:vertAlign w:val="superscript"/>
        </w:rPr>
        <w:t>3</w:t>
      </w:r>
      <w:r w:rsidRPr="00AE1E39">
        <w:rPr>
          <w:i/>
          <w:szCs w:val="20"/>
        </w:rPr>
        <w:t xml:space="preserve"> </w:t>
      </w:r>
      <w:r w:rsidR="00987092" w:rsidRPr="00987092">
        <w:rPr>
          <w:i/>
          <w:szCs w:val="20"/>
        </w:rPr>
        <w:t>$855,000 to &lt; $955,000</w:t>
      </w:r>
    </w:p>
    <w:p w14:paraId="11E940AE" w14:textId="526CEF23" w:rsidR="00AE1E39" w:rsidRPr="00AE1E39" w:rsidRDefault="00AE1E39" w:rsidP="00AE1E39">
      <w:pPr>
        <w:pStyle w:val="FooterTableFigure"/>
        <w:spacing w:before="160"/>
        <w:rPr>
          <w:i/>
          <w:szCs w:val="20"/>
        </w:rPr>
      </w:pPr>
      <w:r w:rsidRPr="00AE1E39">
        <w:rPr>
          <w:i/>
          <w:szCs w:val="20"/>
          <w:vertAlign w:val="superscript"/>
        </w:rPr>
        <w:t>4</w:t>
      </w:r>
      <w:r w:rsidRPr="00AE1E39">
        <w:rPr>
          <w:i/>
          <w:szCs w:val="20"/>
        </w:rPr>
        <w:t xml:space="preserve"> </w:t>
      </w:r>
      <w:r w:rsidR="007B2055" w:rsidRPr="007B2055">
        <w:rPr>
          <w:i/>
          <w:szCs w:val="20"/>
        </w:rPr>
        <w:t>$955,000 to &lt; $1,055,000</w:t>
      </w:r>
    </w:p>
    <w:p w14:paraId="6C95546E" w14:textId="5A8E532B" w:rsidR="00D969C9" w:rsidRPr="00275521" w:rsidRDefault="00D969C9" w:rsidP="008B6633">
      <w:pPr>
        <w:pStyle w:val="FooterTableFigure"/>
        <w:spacing w:before="160"/>
        <w:rPr>
          <w:szCs w:val="20"/>
        </w:rPr>
      </w:pPr>
    </w:p>
    <w:p w14:paraId="7C1D0A0D" w14:textId="2C556512" w:rsidR="00C25D9C" w:rsidRPr="00E70EA7" w:rsidRDefault="00976632" w:rsidP="008B6633">
      <w:pPr>
        <w:pStyle w:val="3-BodyText"/>
        <w:spacing w:before="160" w:after="160"/>
        <w:rPr>
          <w:color w:val="000000" w:themeColor="text1"/>
        </w:rPr>
      </w:pPr>
      <w:bookmarkStart w:id="74" w:name="_Ref222741977"/>
      <w:r w:rsidRPr="00E70EA7">
        <w:rPr>
          <w:color w:val="000000" w:themeColor="text1"/>
        </w:rPr>
        <w:t xml:space="preserve">Overall, the </w:t>
      </w:r>
      <w:r w:rsidR="00FC51E4" w:rsidRPr="00E70EA7">
        <w:rPr>
          <w:color w:val="000000" w:themeColor="text1"/>
        </w:rPr>
        <w:t>evaluation</w:t>
      </w:r>
      <w:r w:rsidR="009772E0" w:rsidRPr="00E70EA7">
        <w:rPr>
          <w:color w:val="000000" w:themeColor="text1"/>
        </w:rPr>
        <w:t xml:space="preserve"> and the ESC</w:t>
      </w:r>
      <w:r w:rsidR="00FC51E4" w:rsidRPr="00E70EA7">
        <w:rPr>
          <w:color w:val="000000" w:themeColor="text1"/>
        </w:rPr>
        <w:t xml:space="preserve"> considered that the </w:t>
      </w:r>
      <w:r w:rsidRPr="00E70EA7">
        <w:rPr>
          <w:color w:val="000000" w:themeColor="text1"/>
        </w:rPr>
        <w:t xml:space="preserve">base case ICER of </w:t>
      </w:r>
      <w:r w:rsidR="007B2055" w:rsidRPr="007B2055">
        <w:rPr>
          <w:color w:val="000000" w:themeColor="text1"/>
        </w:rPr>
        <w:t>&gt; $1,055,000</w:t>
      </w:r>
      <w:r w:rsidRPr="00E70EA7">
        <w:rPr>
          <w:color w:val="000000" w:themeColor="text1"/>
        </w:rPr>
        <w:t xml:space="preserve"> per QALY gained </w:t>
      </w:r>
      <w:r w:rsidR="004045FB">
        <w:rPr>
          <w:color w:val="000000" w:themeColor="text1"/>
        </w:rPr>
        <w:t>to</w:t>
      </w:r>
      <w:r w:rsidR="004045FB" w:rsidRPr="00E70EA7">
        <w:rPr>
          <w:color w:val="000000" w:themeColor="text1"/>
        </w:rPr>
        <w:t xml:space="preserve"> </w:t>
      </w:r>
      <w:r w:rsidR="009D0214" w:rsidRPr="00E70EA7">
        <w:rPr>
          <w:color w:val="000000" w:themeColor="text1"/>
        </w:rPr>
        <w:t>be</w:t>
      </w:r>
      <w:r w:rsidRPr="00E70EA7">
        <w:rPr>
          <w:color w:val="000000" w:themeColor="text1"/>
        </w:rPr>
        <w:t xml:space="preserve"> unreliable, underestimated</w:t>
      </w:r>
      <w:r w:rsidR="002A0D89" w:rsidRPr="00E70EA7">
        <w:rPr>
          <w:color w:val="000000" w:themeColor="text1"/>
        </w:rPr>
        <w:t>,</w:t>
      </w:r>
      <w:r w:rsidRPr="00E70EA7">
        <w:rPr>
          <w:color w:val="000000" w:themeColor="text1"/>
        </w:rPr>
        <w:t xml:space="preserve"> and favour</w:t>
      </w:r>
      <w:r w:rsidR="004365E6">
        <w:rPr>
          <w:color w:val="000000" w:themeColor="text1"/>
        </w:rPr>
        <w:t>ed</w:t>
      </w:r>
      <w:r w:rsidRPr="00E70EA7">
        <w:rPr>
          <w:color w:val="000000" w:themeColor="text1"/>
        </w:rPr>
        <w:t xml:space="preserve"> odevixibat</w:t>
      </w:r>
      <w:r w:rsidR="002A0D89" w:rsidRPr="00E70EA7">
        <w:rPr>
          <w:color w:val="000000" w:themeColor="text1"/>
        </w:rPr>
        <w:t>,</w:t>
      </w:r>
      <w:r w:rsidRPr="00E70EA7">
        <w:rPr>
          <w:color w:val="000000" w:themeColor="text1"/>
        </w:rPr>
        <w:t xml:space="preserve"> as:</w:t>
      </w:r>
      <w:bookmarkEnd w:id="74"/>
    </w:p>
    <w:p w14:paraId="46AB5DD7" w14:textId="22ADB7E4" w:rsidR="00A153A4" w:rsidRPr="004045FB" w:rsidRDefault="00A153A4" w:rsidP="008B6633">
      <w:pPr>
        <w:pStyle w:val="3-BodyText"/>
        <w:numPr>
          <w:ilvl w:val="0"/>
          <w:numId w:val="9"/>
        </w:numPr>
        <w:spacing w:before="160" w:after="160"/>
        <w:ind w:left="993" w:hanging="284"/>
        <w:rPr>
          <w:color w:val="000000" w:themeColor="text1"/>
        </w:rPr>
      </w:pPr>
      <w:r w:rsidRPr="004045FB">
        <w:rPr>
          <w:color w:val="000000" w:themeColor="text1"/>
        </w:rPr>
        <w:t>A time horizon of 50 years was applied</w:t>
      </w:r>
      <w:r w:rsidR="00B41574">
        <w:rPr>
          <w:color w:val="000000" w:themeColor="text1"/>
        </w:rPr>
        <w:t>,</w:t>
      </w:r>
      <w:r w:rsidRPr="004045FB">
        <w:rPr>
          <w:color w:val="000000" w:themeColor="text1"/>
        </w:rPr>
        <w:t xml:space="preserve"> versus 24 weeks of comparative clinical evidence. It was </w:t>
      </w:r>
      <w:r w:rsidR="002E61A8">
        <w:rPr>
          <w:color w:val="000000" w:themeColor="text1"/>
        </w:rPr>
        <w:t xml:space="preserve">highly </w:t>
      </w:r>
      <w:r w:rsidRPr="004045FB">
        <w:rPr>
          <w:color w:val="000000" w:themeColor="text1"/>
        </w:rPr>
        <w:t>uncertain whether the clinical benefit from odevixibat treatment observed in the 24-week treatment period would be maintained for the model horizon</w:t>
      </w:r>
      <w:r w:rsidR="00A22ABE" w:rsidRPr="004045FB">
        <w:rPr>
          <w:color w:val="000000" w:themeColor="text1"/>
        </w:rPr>
        <w:t xml:space="preserve"> (see paragraph </w:t>
      </w:r>
      <w:r w:rsidR="00BF0616" w:rsidRPr="004045FB">
        <w:rPr>
          <w:color w:val="000000" w:themeColor="text1"/>
        </w:rPr>
        <w:fldChar w:fldCharType="begin"/>
      </w:r>
      <w:r w:rsidR="00BF0616" w:rsidRPr="004045FB">
        <w:rPr>
          <w:color w:val="000000" w:themeColor="text1"/>
        </w:rPr>
        <w:instrText xml:space="preserve"> REF _Ref222319032 \r \h </w:instrText>
      </w:r>
      <w:r w:rsidR="004045FB" w:rsidRPr="004045FB">
        <w:rPr>
          <w:color w:val="000000" w:themeColor="text1"/>
        </w:rPr>
        <w:instrText xml:space="preserve"> \* MERGEFORMAT </w:instrText>
      </w:r>
      <w:r w:rsidR="00BF0616" w:rsidRPr="004045FB">
        <w:rPr>
          <w:color w:val="000000" w:themeColor="text1"/>
        </w:rPr>
      </w:r>
      <w:r w:rsidR="00BF0616" w:rsidRPr="004045FB">
        <w:rPr>
          <w:color w:val="000000" w:themeColor="text1"/>
        </w:rPr>
        <w:fldChar w:fldCharType="separate"/>
      </w:r>
      <w:r w:rsidR="0060088A" w:rsidRPr="004045FB">
        <w:rPr>
          <w:color w:val="000000" w:themeColor="text1"/>
        </w:rPr>
        <w:t>6.46</w:t>
      </w:r>
      <w:r w:rsidR="00BF0616" w:rsidRPr="004045FB">
        <w:rPr>
          <w:color w:val="000000" w:themeColor="text1"/>
        </w:rPr>
        <w:fldChar w:fldCharType="end"/>
      </w:r>
      <w:r w:rsidR="00A22ABE" w:rsidRPr="004045FB">
        <w:rPr>
          <w:color w:val="000000" w:themeColor="text1"/>
        </w:rPr>
        <w:t>)</w:t>
      </w:r>
      <w:r w:rsidR="006B6F4A" w:rsidRPr="004045FB">
        <w:rPr>
          <w:color w:val="000000" w:themeColor="text1"/>
        </w:rPr>
        <w:t>.</w:t>
      </w:r>
    </w:p>
    <w:p w14:paraId="6D3EAEE9" w14:textId="4B2C88EB" w:rsidR="004045FB" w:rsidRPr="004045FB" w:rsidRDefault="004045FB" w:rsidP="008B6633">
      <w:pPr>
        <w:pStyle w:val="3-BodyText"/>
        <w:numPr>
          <w:ilvl w:val="0"/>
          <w:numId w:val="9"/>
        </w:numPr>
        <w:spacing w:before="160" w:after="160"/>
        <w:ind w:left="993" w:hanging="284"/>
        <w:rPr>
          <w:color w:val="000000" w:themeColor="text1"/>
        </w:rPr>
      </w:pPr>
      <w:r w:rsidRPr="004045FB">
        <w:rPr>
          <w:color w:val="000000" w:themeColor="text1"/>
        </w:rPr>
        <w:t xml:space="preserve">Patients in the odevixibat arm were assumed to not be at risk of liver complications or disease progression, including cirrhosis, ascites, PHT or requiring LT (see paragraph </w:t>
      </w:r>
      <w:r w:rsidRPr="004045FB">
        <w:rPr>
          <w:color w:val="000000" w:themeColor="text1"/>
        </w:rPr>
        <w:fldChar w:fldCharType="begin"/>
      </w:r>
      <w:r w:rsidRPr="004045FB">
        <w:rPr>
          <w:color w:val="000000" w:themeColor="text1"/>
        </w:rPr>
        <w:instrText xml:space="preserve"> REF _Ref222319398 \r \h </w:instrText>
      </w:r>
      <w:r>
        <w:rPr>
          <w:color w:val="000000" w:themeColor="text1"/>
        </w:rPr>
        <w:instrText xml:space="preserve"> \* MERGEFORMAT </w:instrText>
      </w:r>
      <w:r w:rsidRPr="004045FB">
        <w:rPr>
          <w:color w:val="000000" w:themeColor="text1"/>
        </w:rPr>
      </w:r>
      <w:r w:rsidRPr="004045FB">
        <w:rPr>
          <w:color w:val="000000" w:themeColor="text1"/>
        </w:rPr>
        <w:fldChar w:fldCharType="separate"/>
      </w:r>
      <w:r w:rsidRPr="004045FB">
        <w:rPr>
          <w:color w:val="000000" w:themeColor="text1"/>
        </w:rPr>
        <w:t>6.54</w:t>
      </w:r>
      <w:r w:rsidRPr="004045FB">
        <w:rPr>
          <w:color w:val="000000" w:themeColor="text1"/>
        </w:rPr>
        <w:fldChar w:fldCharType="end"/>
      </w:r>
      <w:r w:rsidRPr="004045FB">
        <w:rPr>
          <w:color w:val="000000" w:themeColor="text1"/>
        </w:rPr>
        <w:t>).</w:t>
      </w:r>
    </w:p>
    <w:p w14:paraId="04C14938" w14:textId="2A6227D5" w:rsidR="00711FEA" w:rsidRPr="00711FEA" w:rsidRDefault="00711FEA" w:rsidP="008B6633">
      <w:pPr>
        <w:pStyle w:val="3-BodyText"/>
        <w:numPr>
          <w:ilvl w:val="0"/>
          <w:numId w:val="9"/>
        </w:numPr>
        <w:spacing w:before="160" w:after="160"/>
        <w:ind w:left="993" w:hanging="284"/>
        <w:rPr>
          <w:color w:val="000000" w:themeColor="text1"/>
        </w:rPr>
      </w:pPr>
      <w:r w:rsidRPr="00711FEA">
        <w:rPr>
          <w:color w:val="000000" w:themeColor="text1"/>
        </w:rPr>
        <w:t>The base case extrapolated survival curves for the responder and non-responder health states lacked face validity, as median survival was not reached with the selected log-logistic curve, with 66.1% of patients alive at 100 years</w:t>
      </w:r>
      <w:r w:rsidR="00396DAE">
        <w:rPr>
          <w:color w:val="000000" w:themeColor="text1"/>
        </w:rPr>
        <w:t>,</w:t>
      </w:r>
      <w:r w:rsidRPr="00711FEA">
        <w:rPr>
          <w:color w:val="000000" w:themeColor="text1"/>
        </w:rPr>
        <w:t xml:space="preserve"> which was not plausible (see paragraph </w:t>
      </w:r>
      <w:r w:rsidRPr="00711FEA">
        <w:rPr>
          <w:color w:val="000000" w:themeColor="text1"/>
        </w:rPr>
        <w:fldChar w:fldCharType="begin"/>
      </w:r>
      <w:r w:rsidRPr="00711FEA">
        <w:rPr>
          <w:color w:val="000000" w:themeColor="text1"/>
        </w:rPr>
        <w:instrText xml:space="preserve"> REF _Ref222319326 \r \h  \* MERGEFORMAT </w:instrText>
      </w:r>
      <w:r w:rsidRPr="00711FEA">
        <w:rPr>
          <w:color w:val="000000" w:themeColor="text1"/>
        </w:rPr>
      </w:r>
      <w:r w:rsidRPr="00711FEA">
        <w:rPr>
          <w:color w:val="000000" w:themeColor="text1"/>
        </w:rPr>
        <w:fldChar w:fldCharType="separate"/>
      </w:r>
      <w:r w:rsidRPr="00711FEA">
        <w:rPr>
          <w:color w:val="000000" w:themeColor="text1"/>
        </w:rPr>
        <w:t>6.51</w:t>
      </w:r>
      <w:r w:rsidRPr="00711FEA">
        <w:rPr>
          <w:color w:val="000000" w:themeColor="text1"/>
        </w:rPr>
        <w:fldChar w:fldCharType="end"/>
      </w:r>
      <w:r w:rsidRPr="00711FEA">
        <w:rPr>
          <w:color w:val="000000" w:themeColor="text1"/>
        </w:rPr>
        <w:t>).</w:t>
      </w:r>
    </w:p>
    <w:p w14:paraId="1E260B2F" w14:textId="5FC71116" w:rsidR="00711FEA" w:rsidRPr="00711FEA" w:rsidRDefault="00711FEA" w:rsidP="008B6633">
      <w:pPr>
        <w:pStyle w:val="3-BodyText"/>
        <w:numPr>
          <w:ilvl w:val="0"/>
          <w:numId w:val="9"/>
        </w:numPr>
        <w:spacing w:before="160" w:after="160"/>
        <w:ind w:left="993" w:hanging="284"/>
        <w:rPr>
          <w:color w:val="000000" w:themeColor="text1"/>
        </w:rPr>
      </w:pPr>
      <w:r w:rsidRPr="00711FEA">
        <w:rPr>
          <w:color w:val="000000" w:themeColor="text1"/>
        </w:rPr>
        <w:t xml:space="preserve">The modelled early and sustained overall survival benefit with odevixibat treatment was not supported by any clinical evidence (see paragraph </w:t>
      </w:r>
      <w:r w:rsidRPr="00711FEA">
        <w:rPr>
          <w:color w:val="000000" w:themeColor="text1"/>
        </w:rPr>
        <w:fldChar w:fldCharType="begin"/>
      </w:r>
      <w:r w:rsidRPr="00711FEA">
        <w:rPr>
          <w:color w:val="000000" w:themeColor="text1"/>
        </w:rPr>
        <w:instrText xml:space="preserve"> REF _Ref222319398 \r \h  \* MERGEFORMAT </w:instrText>
      </w:r>
      <w:r w:rsidRPr="00711FEA">
        <w:rPr>
          <w:color w:val="000000" w:themeColor="text1"/>
        </w:rPr>
      </w:r>
      <w:r w:rsidRPr="00711FEA">
        <w:rPr>
          <w:color w:val="000000" w:themeColor="text1"/>
        </w:rPr>
        <w:fldChar w:fldCharType="separate"/>
      </w:r>
      <w:r w:rsidRPr="00711FEA">
        <w:rPr>
          <w:color w:val="000000" w:themeColor="text1"/>
        </w:rPr>
        <w:t>6.48</w:t>
      </w:r>
      <w:r w:rsidRPr="00711FEA">
        <w:rPr>
          <w:color w:val="000000" w:themeColor="text1"/>
        </w:rPr>
        <w:fldChar w:fldCharType="end"/>
      </w:r>
      <w:r>
        <w:rPr>
          <w:color w:val="000000" w:themeColor="text1"/>
        </w:rPr>
        <w:t xml:space="preserve"> and </w:t>
      </w:r>
      <w:r>
        <w:rPr>
          <w:color w:val="000000" w:themeColor="text1"/>
        </w:rPr>
        <w:fldChar w:fldCharType="begin"/>
      </w:r>
      <w:r>
        <w:rPr>
          <w:color w:val="000000" w:themeColor="text1"/>
        </w:rPr>
        <w:instrText xml:space="preserve"> REF _Ref218784255 \h </w:instrText>
      </w:r>
      <w:r>
        <w:rPr>
          <w:color w:val="000000" w:themeColor="text1"/>
        </w:rPr>
      </w:r>
      <w:r>
        <w:rPr>
          <w:color w:val="000000" w:themeColor="text1"/>
        </w:rPr>
        <w:fldChar w:fldCharType="separate"/>
      </w:r>
      <w:r w:rsidRPr="00275521">
        <w:t xml:space="preserve">Table </w:t>
      </w:r>
      <w:r>
        <w:rPr>
          <w:noProof/>
        </w:rPr>
        <w:t>14</w:t>
      </w:r>
      <w:r>
        <w:rPr>
          <w:color w:val="000000" w:themeColor="text1"/>
        </w:rPr>
        <w:fldChar w:fldCharType="end"/>
      </w:r>
      <w:r w:rsidRPr="00711FEA">
        <w:rPr>
          <w:color w:val="000000" w:themeColor="text1"/>
        </w:rPr>
        <w:t>).</w:t>
      </w:r>
    </w:p>
    <w:p w14:paraId="0670EA65" w14:textId="122F78D5" w:rsidR="00711FEA" w:rsidRPr="00711FEA" w:rsidRDefault="00711FEA" w:rsidP="008B6633">
      <w:pPr>
        <w:pStyle w:val="3-BodyText"/>
        <w:numPr>
          <w:ilvl w:val="0"/>
          <w:numId w:val="9"/>
        </w:numPr>
        <w:spacing w:before="160" w:after="160"/>
        <w:ind w:left="993" w:hanging="284"/>
        <w:rPr>
          <w:color w:val="000000" w:themeColor="text1"/>
        </w:rPr>
      </w:pPr>
      <w:r>
        <w:rPr>
          <w:color w:val="000000" w:themeColor="text1"/>
        </w:rPr>
        <w:t xml:space="preserve">The </w:t>
      </w:r>
      <w:r w:rsidRPr="00711FEA">
        <w:rPr>
          <w:color w:val="000000" w:themeColor="text1"/>
        </w:rPr>
        <w:t xml:space="preserve">QALY gain </w:t>
      </w:r>
      <w:r>
        <w:rPr>
          <w:color w:val="000000" w:themeColor="text1"/>
        </w:rPr>
        <w:t xml:space="preserve">was </w:t>
      </w:r>
      <w:r w:rsidRPr="00711FEA">
        <w:rPr>
          <w:color w:val="000000" w:themeColor="text1"/>
        </w:rPr>
        <w:t xml:space="preserve">much higher in </w:t>
      </w:r>
      <w:r>
        <w:rPr>
          <w:color w:val="000000" w:themeColor="text1"/>
        </w:rPr>
        <w:t xml:space="preserve">the </w:t>
      </w:r>
      <w:r w:rsidRPr="00711FEA">
        <w:rPr>
          <w:color w:val="000000" w:themeColor="text1"/>
        </w:rPr>
        <w:t xml:space="preserve">ALGS </w:t>
      </w:r>
      <w:r>
        <w:rPr>
          <w:color w:val="000000" w:themeColor="text1"/>
        </w:rPr>
        <w:t xml:space="preserve">model </w:t>
      </w:r>
      <w:r w:rsidRPr="00711FEA">
        <w:rPr>
          <w:color w:val="000000" w:themeColor="text1"/>
        </w:rPr>
        <w:t>than</w:t>
      </w:r>
      <w:r>
        <w:rPr>
          <w:color w:val="000000" w:themeColor="text1"/>
        </w:rPr>
        <w:t xml:space="preserve"> the</w:t>
      </w:r>
      <w:r w:rsidRPr="00711FEA">
        <w:rPr>
          <w:color w:val="000000" w:themeColor="text1"/>
        </w:rPr>
        <w:t xml:space="preserve"> PFIC model</w:t>
      </w:r>
      <w:r>
        <w:rPr>
          <w:color w:val="000000" w:themeColor="text1"/>
        </w:rPr>
        <w:t xml:space="preserve"> (see paragraph </w:t>
      </w:r>
      <w:r>
        <w:rPr>
          <w:color w:val="000000" w:themeColor="text1"/>
        </w:rPr>
        <w:fldChar w:fldCharType="begin"/>
      </w:r>
      <w:r>
        <w:rPr>
          <w:color w:val="000000" w:themeColor="text1"/>
        </w:rPr>
        <w:instrText xml:space="preserve"> REF _Ref226358130 \r \h </w:instrText>
      </w:r>
      <w:r>
        <w:rPr>
          <w:color w:val="000000" w:themeColor="text1"/>
        </w:rPr>
      </w:r>
      <w:r>
        <w:rPr>
          <w:color w:val="000000" w:themeColor="text1"/>
        </w:rPr>
        <w:fldChar w:fldCharType="separate"/>
      </w:r>
      <w:r>
        <w:rPr>
          <w:color w:val="000000" w:themeColor="text1"/>
        </w:rPr>
        <w:t>6.71</w:t>
      </w:r>
      <w:r>
        <w:rPr>
          <w:color w:val="000000" w:themeColor="text1"/>
        </w:rPr>
        <w:fldChar w:fldCharType="end"/>
      </w:r>
      <w:r>
        <w:rPr>
          <w:color w:val="000000" w:themeColor="text1"/>
        </w:rPr>
        <w:t>)</w:t>
      </w:r>
    </w:p>
    <w:p w14:paraId="237AE934" w14:textId="77777777" w:rsidR="00711FEA" w:rsidRPr="00711FEA" w:rsidRDefault="00711FEA" w:rsidP="008B6633">
      <w:pPr>
        <w:pStyle w:val="3-BodyText"/>
        <w:numPr>
          <w:ilvl w:val="0"/>
          <w:numId w:val="9"/>
        </w:numPr>
        <w:spacing w:before="160" w:after="160"/>
        <w:ind w:left="993" w:hanging="284"/>
        <w:rPr>
          <w:color w:val="000000" w:themeColor="text1"/>
        </w:rPr>
      </w:pPr>
      <w:r w:rsidRPr="00711FEA">
        <w:rPr>
          <w:color w:val="000000" w:themeColor="text1"/>
        </w:rPr>
        <w:t xml:space="preserve">There were zero SoC treatment costs accrued in the odevixibat arm, which was inconsistent with the clinical evidence from ASSERT and the proposed clinical algorithm (see paragraph </w:t>
      </w:r>
      <w:r w:rsidRPr="00711FEA">
        <w:rPr>
          <w:color w:val="000000" w:themeColor="text1"/>
        </w:rPr>
        <w:fldChar w:fldCharType="begin"/>
      </w:r>
      <w:r w:rsidRPr="00711FEA">
        <w:rPr>
          <w:color w:val="000000" w:themeColor="text1"/>
        </w:rPr>
        <w:instrText xml:space="preserve"> REF _Ref222319235 \r \h  \* MERGEFORMAT </w:instrText>
      </w:r>
      <w:r w:rsidRPr="00711FEA">
        <w:rPr>
          <w:color w:val="000000" w:themeColor="text1"/>
        </w:rPr>
      </w:r>
      <w:r w:rsidRPr="00711FEA">
        <w:rPr>
          <w:color w:val="000000" w:themeColor="text1"/>
        </w:rPr>
        <w:fldChar w:fldCharType="separate"/>
      </w:r>
      <w:r w:rsidRPr="00711FEA">
        <w:rPr>
          <w:color w:val="000000" w:themeColor="text1"/>
        </w:rPr>
        <w:t>6.58</w:t>
      </w:r>
      <w:r w:rsidRPr="00711FEA">
        <w:rPr>
          <w:color w:val="000000" w:themeColor="text1"/>
        </w:rPr>
        <w:fldChar w:fldCharType="end"/>
      </w:r>
      <w:r w:rsidRPr="00711FEA">
        <w:rPr>
          <w:color w:val="000000" w:themeColor="text1"/>
        </w:rPr>
        <w:t>).</w:t>
      </w:r>
    </w:p>
    <w:p w14:paraId="12D0DEF9" w14:textId="0EFE899E" w:rsidR="00976632" w:rsidRPr="00711FEA" w:rsidRDefault="00976632" w:rsidP="008B6633">
      <w:pPr>
        <w:pStyle w:val="3-BodyText"/>
        <w:numPr>
          <w:ilvl w:val="0"/>
          <w:numId w:val="9"/>
        </w:numPr>
        <w:spacing w:before="160" w:after="160"/>
        <w:ind w:left="993" w:hanging="284"/>
        <w:rPr>
          <w:color w:val="000000" w:themeColor="text1"/>
        </w:rPr>
      </w:pPr>
      <w:r w:rsidRPr="00711FEA">
        <w:rPr>
          <w:color w:val="000000" w:themeColor="text1"/>
        </w:rPr>
        <w:t>The baseline patient age of six months was younger than the ASSERT trial cohort (mean 6.29 years) or the Australian EAP (mean 4.4 years)</w:t>
      </w:r>
      <w:r w:rsidR="00587EF2" w:rsidRPr="00711FEA">
        <w:rPr>
          <w:color w:val="000000" w:themeColor="text1"/>
        </w:rPr>
        <w:t xml:space="preserve">, which meant that patients were assumed to commence treatment on the lowest possible dose (see paragraph </w:t>
      </w:r>
      <w:r w:rsidR="00BF0616" w:rsidRPr="00711FEA">
        <w:rPr>
          <w:color w:val="000000" w:themeColor="text1"/>
        </w:rPr>
        <w:fldChar w:fldCharType="begin"/>
      </w:r>
      <w:r w:rsidR="00BF0616" w:rsidRPr="00711FEA">
        <w:rPr>
          <w:color w:val="000000" w:themeColor="text1"/>
        </w:rPr>
        <w:instrText xml:space="preserve"> REF _Ref222319029 \r \h </w:instrText>
      </w:r>
      <w:r w:rsidR="004045FB" w:rsidRPr="00711FEA">
        <w:rPr>
          <w:color w:val="000000" w:themeColor="text1"/>
        </w:rPr>
        <w:instrText xml:space="preserve"> \* MERGEFORMAT </w:instrText>
      </w:r>
      <w:r w:rsidR="00BF0616" w:rsidRPr="00711FEA">
        <w:rPr>
          <w:color w:val="000000" w:themeColor="text1"/>
        </w:rPr>
      </w:r>
      <w:r w:rsidR="00BF0616" w:rsidRPr="00711FEA">
        <w:rPr>
          <w:color w:val="000000" w:themeColor="text1"/>
        </w:rPr>
        <w:fldChar w:fldCharType="separate"/>
      </w:r>
      <w:r w:rsidR="0060088A" w:rsidRPr="00711FEA">
        <w:rPr>
          <w:color w:val="000000" w:themeColor="text1"/>
        </w:rPr>
        <w:t>6.49</w:t>
      </w:r>
      <w:r w:rsidR="00BF0616" w:rsidRPr="00711FEA">
        <w:rPr>
          <w:color w:val="000000" w:themeColor="text1"/>
        </w:rPr>
        <w:fldChar w:fldCharType="end"/>
      </w:r>
      <w:r w:rsidR="00587EF2" w:rsidRPr="00711FEA">
        <w:rPr>
          <w:color w:val="000000" w:themeColor="text1"/>
        </w:rPr>
        <w:t>)</w:t>
      </w:r>
      <w:r w:rsidR="006B6F4A" w:rsidRPr="00711FEA">
        <w:rPr>
          <w:color w:val="000000" w:themeColor="text1"/>
        </w:rPr>
        <w:t>.</w:t>
      </w:r>
    </w:p>
    <w:p w14:paraId="6BB37BA3" w14:textId="329A6127" w:rsidR="00976632" w:rsidRPr="00711FEA" w:rsidRDefault="00976632" w:rsidP="008B6633">
      <w:pPr>
        <w:pStyle w:val="3-BodyText"/>
        <w:numPr>
          <w:ilvl w:val="0"/>
          <w:numId w:val="9"/>
        </w:numPr>
        <w:spacing w:before="160" w:after="160"/>
        <w:ind w:left="993" w:hanging="284"/>
        <w:rPr>
          <w:color w:val="000000" w:themeColor="text1"/>
        </w:rPr>
      </w:pPr>
      <w:r w:rsidRPr="00711FEA">
        <w:rPr>
          <w:color w:val="000000" w:themeColor="text1"/>
        </w:rPr>
        <w:t xml:space="preserve">The base case assumed a SoC response rate of 0%, which was </w:t>
      </w:r>
      <w:r w:rsidR="006B6F4A" w:rsidRPr="00711FEA">
        <w:rPr>
          <w:color w:val="000000" w:themeColor="text1"/>
        </w:rPr>
        <w:t xml:space="preserve">not </w:t>
      </w:r>
      <w:r w:rsidRPr="00711FEA">
        <w:rPr>
          <w:color w:val="000000" w:themeColor="text1"/>
        </w:rPr>
        <w:t>supported by the clinical evidence</w:t>
      </w:r>
      <w:r w:rsidR="00BF0616" w:rsidRPr="00711FEA">
        <w:rPr>
          <w:color w:val="000000" w:themeColor="text1"/>
        </w:rPr>
        <w:t xml:space="preserve"> (see paragraph </w:t>
      </w:r>
      <w:r w:rsidR="00544C07" w:rsidRPr="00711FEA">
        <w:rPr>
          <w:color w:val="000000" w:themeColor="text1"/>
        </w:rPr>
        <w:fldChar w:fldCharType="begin"/>
      </w:r>
      <w:r w:rsidR="00544C07" w:rsidRPr="00711FEA">
        <w:rPr>
          <w:color w:val="000000" w:themeColor="text1"/>
        </w:rPr>
        <w:instrText xml:space="preserve"> REF _Ref222319094 \r \h </w:instrText>
      </w:r>
      <w:r w:rsidR="004045FB" w:rsidRPr="00711FEA">
        <w:rPr>
          <w:color w:val="000000" w:themeColor="text1"/>
        </w:rPr>
        <w:instrText xml:space="preserve"> \* MERGEFORMAT </w:instrText>
      </w:r>
      <w:r w:rsidR="00544C07" w:rsidRPr="00711FEA">
        <w:rPr>
          <w:color w:val="000000" w:themeColor="text1"/>
        </w:rPr>
      </w:r>
      <w:r w:rsidR="00544C07" w:rsidRPr="00711FEA">
        <w:rPr>
          <w:color w:val="000000" w:themeColor="text1"/>
        </w:rPr>
        <w:fldChar w:fldCharType="separate"/>
      </w:r>
      <w:r w:rsidR="0060088A" w:rsidRPr="00711FEA">
        <w:rPr>
          <w:color w:val="000000" w:themeColor="text1"/>
        </w:rPr>
        <w:t>6.47</w:t>
      </w:r>
      <w:r w:rsidR="00544C07" w:rsidRPr="00711FEA">
        <w:rPr>
          <w:color w:val="000000" w:themeColor="text1"/>
        </w:rPr>
        <w:fldChar w:fldCharType="end"/>
      </w:r>
      <w:r w:rsidR="00BF0616" w:rsidRPr="00711FEA">
        <w:rPr>
          <w:color w:val="000000" w:themeColor="text1"/>
        </w:rPr>
        <w:t>)</w:t>
      </w:r>
      <w:r w:rsidR="006B6F4A" w:rsidRPr="00711FEA">
        <w:rPr>
          <w:color w:val="000000" w:themeColor="text1"/>
        </w:rPr>
        <w:t>.</w:t>
      </w:r>
    </w:p>
    <w:p w14:paraId="4ABED49D" w14:textId="678DE6FD" w:rsidR="00976632" w:rsidRPr="00711FEA" w:rsidRDefault="00976632" w:rsidP="008B6633">
      <w:pPr>
        <w:pStyle w:val="3-BodyText"/>
        <w:numPr>
          <w:ilvl w:val="0"/>
          <w:numId w:val="9"/>
        </w:numPr>
        <w:spacing w:before="160" w:after="160"/>
        <w:ind w:left="993" w:hanging="284"/>
        <w:rPr>
          <w:color w:val="000000" w:themeColor="text1"/>
        </w:rPr>
      </w:pPr>
      <w:r w:rsidRPr="00711FEA">
        <w:rPr>
          <w:color w:val="000000" w:themeColor="text1"/>
        </w:rPr>
        <w:t xml:space="preserve">The applied once-off risk of death at the time of LT of 25.17% </w:t>
      </w:r>
      <w:r w:rsidR="00A153A4" w:rsidRPr="00711FEA">
        <w:rPr>
          <w:color w:val="000000" w:themeColor="text1"/>
        </w:rPr>
        <w:t xml:space="preserve">lacked face validity and </w:t>
      </w:r>
      <w:r w:rsidRPr="00711FEA">
        <w:rPr>
          <w:color w:val="000000" w:themeColor="text1"/>
        </w:rPr>
        <w:t xml:space="preserve">was </w:t>
      </w:r>
      <w:r w:rsidR="00A153A4" w:rsidRPr="00711FEA">
        <w:rPr>
          <w:color w:val="000000" w:themeColor="text1"/>
        </w:rPr>
        <w:t xml:space="preserve">notably </w:t>
      </w:r>
      <w:r w:rsidRPr="00711FEA">
        <w:rPr>
          <w:color w:val="000000" w:themeColor="text1"/>
        </w:rPr>
        <w:t xml:space="preserve">higher than </w:t>
      </w:r>
      <w:r w:rsidR="00A153A4" w:rsidRPr="00711FEA">
        <w:rPr>
          <w:color w:val="000000" w:themeColor="text1"/>
        </w:rPr>
        <w:t xml:space="preserve">the </w:t>
      </w:r>
      <w:r w:rsidRPr="00711FEA">
        <w:rPr>
          <w:color w:val="000000" w:themeColor="text1"/>
        </w:rPr>
        <w:t>one</w:t>
      </w:r>
      <w:r w:rsidR="00A153A4" w:rsidRPr="00711FEA">
        <w:rPr>
          <w:color w:val="000000" w:themeColor="text1"/>
        </w:rPr>
        <w:t>-</w:t>
      </w:r>
      <w:r w:rsidRPr="00711FEA">
        <w:rPr>
          <w:color w:val="000000" w:themeColor="text1"/>
        </w:rPr>
        <w:t xml:space="preserve">year survival </w:t>
      </w:r>
      <w:r w:rsidR="00A153A4" w:rsidRPr="00711FEA">
        <w:rPr>
          <w:color w:val="000000" w:themeColor="text1"/>
        </w:rPr>
        <w:t>rate reported</w:t>
      </w:r>
      <w:r w:rsidRPr="00711FEA">
        <w:rPr>
          <w:color w:val="000000" w:themeColor="text1"/>
        </w:rPr>
        <w:t xml:space="preserve"> by ANZLITR for patients with ALGS post LT</w:t>
      </w:r>
      <w:r w:rsidR="00A153A4" w:rsidRPr="00711FEA">
        <w:rPr>
          <w:color w:val="000000" w:themeColor="text1"/>
        </w:rPr>
        <w:t xml:space="preserve"> (91%)</w:t>
      </w:r>
      <w:r w:rsidR="00544C07" w:rsidRPr="00711FEA">
        <w:rPr>
          <w:color w:val="000000" w:themeColor="text1"/>
        </w:rPr>
        <w:t xml:space="preserve"> (see paragraph </w:t>
      </w:r>
      <w:r w:rsidR="009D1C8C" w:rsidRPr="00711FEA">
        <w:rPr>
          <w:color w:val="000000" w:themeColor="text1"/>
        </w:rPr>
        <w:fldChar w:fldCharType="begin"/>
      </w:r>
      <w:r w:rsidR="009D1C8C" w:rsidRPr="00711FEA">
        <w:rPr>
          <w:color w:val="000000" w:themeColor="text1"/>
        </w:rPr>
        <w:instrText xml:space="preserve"> REF _Ref222319127 \r \h </w:instrText>
      </w:r>
      <w:r w:rsidR="004045FB" w:rsidRPr="00711FEA">
        <w:rPr>
          <w:color w:val="000000" w:themeColor="text1"/>
        </w:rPr>
        <w:instrText xml:space="preserve"> \* MERGEFORMAT </w:instrText>
      </w:r>
      <w:r w:rsidR="009D1C8C" w:rsidRPr="00711FEA">
        <w:rPr>
          <w:color w:val="000000" w:themeColor="text1"/>
        </w:rPr>
      </w:r>
      <w:r w:rsidR="009D1C8C" w:rsidRPr="00711FEA">
        <w:rPr>
          <w:color w:val="000000" w:themeColor="text1"/>
        </w:rPr>
        <w:fldChar w:fldCharType="separate"/>
      </w:r>
      <w:r w:rsidR="0060088A" w:rsidRPr="00711FEA">
        <w:rPr>
          <w:color w:val="000000" w:themeColor="text1"/>
        </w:rPr>
        <w:t>6.53</w:t>
      </w:r>
      <w:r w:rsidR="009D1C8C" w:rsidRPr="00711FEA">
        <w:rPr>
          <w:color w:val="000000" w:themeColor="text1"/>
        </w:rPr>
        <w:fldChar w:fldCharType="end"/>
      </w:r>
      <w:r w:rsidR="00544C07" w:rsidRPr="00711FEA">
        <w:rPr>
          <w:color w:val="000000" w:themeColor="text1"/>
        </w:rPr>
        <w:t>)</w:t>
      </w:r>
      <w:r w:rsidR="006B6F4A" w:rsidRPr="00711FEA">
        <w:rPr>
          <w:color w:val="000000" w:themeColor="text1"/>
        </w:rPr>
        <w:t>.</w:t>
      </w:r>
    </w:p>
    <w:p w14:paraId="3404D391" w14:textId="49E35F3C" w:rsidR="00976632" w:rsidRPr="00711FEA" w:rsidRDefault="00976632" w:rsidP="008B6633">
      <w:pPr>
        <w:pStyle w:val="3-BodyText"/>
        <w:numPr>
          <w:ilvl w:val="0"/>
          <w:numId w:val="9"/>
        </w:numPr>
        <w:spacing w:before="160" w:after="160"/>
        <w:ind w:left="993" w:hanging="284"/>
        <w:rPr>
          <w:color w:val="000000" w:themeColor="text1"/>
        </w:rPr>
      </w:pPr>
      <w:r w:rsidRPr="00711FEA">
        <w:rPr>
          <w:color w:val="000000" w:themeColor="text1"/>
        </w:rPr>
        <w:lastRenderedPageBreak/>
        <w:t>The per cycle mortality risk for patients post LT was derived from a five</w:t>
      </w:r>
      <w:r w:rsidR="00A153A4" w:rsidRPr="00711FEA">
        <w:rPr>
          <w:color w:val="000000" w:themeColor="text1"/>
        </w:rPr>
        <w:t>-</w:t>
      </w:r>
      <w:r w:rsidRPr="00711FEA">
        <w:rPr>
          <w:color w:val="000000" w:themeColor="text1"/>
        </w:rPr>
        <w:t xml:space="preserve">year survival of 80% (Hou 2021), which was </w:t>
      </w:r>
      <w:r w:rsidR="00A153A4" w:rsidRPr="00711FEA">
        <w:rPr>
          <w:color w:val="000000" w:themeColor="text1"/>
        </w:rPr>
        <w:t>lower than the GALA study and ANZLITR which both report a post</w:t>
      </w:r>
      <w:r w:rsidR="003F0D6C" w:rsidRPr="00711FEA">
        <w:rPr>
          <w:color w:val="000000" w:themeColor="text1"/>
        </w:rPr>
        <w:t>-</w:t>
      </w:r>
      <w:r w:rsidR="00A153A4" w:rsidRPr="00711FEA">
        <w:rPr>
          <w:color w:val="000000" w:themeColor="text1"/>
        </w:rPr>
        <w:t>LT survival of 91% at five years</w:t>
      </w:r>
      <w:r w:rsidR="009D1C8C" w:rsidRPr="00711FEA">
        <w:rPr>
          <w:color w:val="000000" w:themeColor="text1"/>
        </w:rPr>
        <w:t xml:space="preserve"> (see paragraph </w:t>
      </w:r>
      <w:r w:rsidR="00906B57" w:rsidRPr="00711FEA">
        <w:rPr>
          <w:color w:val="000000" w:themeColor="text1"/>
        </w:rPr>
        <w:fldChar w:fldCharType="begin"/>
      </w:r>
      <w:r w:rsidR="00906B57" w:rsidRPr="00711FEA">
        <w:rPr>
          <w:color w:val="000000" w:themeColor="text1"/>
        </w:rPr>
        <w:instrText xml:space="preserve"> REF _Ref222319188 \r \h </w:instrText>
      </w:r>
      <w:r w:rsidR="004045FB" w:rsidRPr="00711FEA">
        <w:rPr>
          <w:color w:val="000000" w:themeColor="text1"/>
        </w:rPr>
        <w:instrText xml:space="preserve"> \* MERGEFORMAT </w:instrText>
      </w:r>
      <w:r w:rsidR="00906B57" w:rsidRPr="00711FEA">
        <w:rPr>
          <w:color w:val="000000" w:themeColor="text1"/>
        </w:rPr>
      </w:r>
      <w:r w:rsidR="00906B57" w:rsidRPr="00711FEA">
        <w:rPr>
          <w:color w:val="000000" w:themeColor="text1"/>
        </w:rPr>
        <w:fldChar w:fldCharType="separate"/>
      </w:r>
      <w:r w:rsidR="0060088A" w:rsidRPr="00711FEA">
        <w:rPr>
          <w:color w:val="000000" w:themeColor="text1"/>
        </w:rPr>
        <w:t>6.52</w:t>
      </w:r>
      <w:r w:rsidR="00906B57" w:rsidRPr="00711FEA">
        <w:rPr>
          <w:color w:val="000000" w:themeColor="text1"/>
        </w:rPr>
        <w:fldChar w:fldCharType="end"/>
      </w:r>
      <w:r w:rsidR="009D1C8C" w:rsidRPr="00711FEA">
        <w:rPr>
          <w:color w:val="000000" w:themeColor="text1"/>
        </w:rPr>
        <w:t>)</w:t>
      </w:r>
      <w:r w:rsidR="006B6F4A" w:rsidRPr="00711FEA">
        <w:rPr>
          <w:color w:val="000000" w:themeColor="text1"/>
        </w:rPr>
        <w:t>.</w:t>
      </w:r>
    </w:p>
    <w:p w14:paraId="1D8CADD6" w14:textId="1F0134E5" w:rsidR="0035538F" w:rsidRPr="00081938" w:rsidRDefault="0035538F" w:rsidP="008B6633">
      <w:pPr>
        <w:pStyle w:val="3-BodyText"/>
      </w:pPr>
      <w:bookmarkStart w:id="75" w:name="_Ref226361081"/>
      <w:r w:rsidRPr="00081938">
        <w:t xml:space="preserve">The ESC noted the PBAC had previously considered odevixibat would be </w:t>
      </w:r>
      <w:r w:rsidR="00390C6F" w:rsidRPr="00081938">
        <w:t xml:space="preserve">cost effective </w:t>
      </w:r>
      <w:r w:rsidR="00E70EA7" w:rsidRPr="00081938">
        <w:t xml:space="preserve">(for PFIC) </w:t>
      </w:r>
      <w:r w:rsidR="00390C6F" w:rsidRPr="00081938">
        <w:t>with a cost per patient per year in the order of $</w:t>
      </w:r>
      <w:r w:rsidR="006C4DC1" w:rsidRPr="006C4DC1">
        <w:rPr>
          <w:sz w:val="2"/>
          <w:highlight w:val="black"/>
        </w:rPr>
        <w:t>redacted content</w:t>
      </w:r>
      <w:r w:rsidR="00D373F6" w:rsidRPr="00081938">
        <w:t xml:space="preserve"> (paragraph 1</w:t>
      </w:r>
      <w:r w:rsidR="00593481">
        <w:t>3</w:t>
      </w:r>
      <w:r w:rsidR="00D373F6" w:rsidRPr="00081938">
        <w:t xml:space="preserve">.3, odevixibat </w:t>
      </w:r>
      <w:r w:rsidR="006C4DC1">
        <w:t>PSD</w:t>
      </w:r>
      <w:r w:rsidR="00D373F6" w:rsidRPr="00081938">
        <w:t xml:space="preserve">, July </w:t>
      </w:r>
      <w:r w:rsidR="002545FD" w:rsidRPr="00081938">
        <w:t>2025 PBAC meeting)</w:t>
      </w:r>
      <w:r w:rsidR="00201165" w:rsidRPr="00081938">
        <w:t xml:space="preserve">. </w:t>
      </w:r>
      <w:r w:rsidR="002545FD" w:rsidRPr="00081938">
        <w:t xml:space="preserve">However, the ESC considered it remained highly uncertain if a similar cost per patient per year would be cost-effective for </w:t>
      </w:r>
      <w:r w:rsidR="00934C85" w:rsidRPr="00081938">
        <w:t>ALGS</w:t>
      </w:r>
      <w:r w:rsidR="00201165" w:rsidRPr="00081938">
        <w:t>.</w:t>
      </w:r>
      <w:bookmarkEnd w:id="75"/>
      <w:r w:rsidR="00201165" w:rsidRPr="00081938">
        <w:t xml:space="preserve"> </w:t>
      </w:r>
    </w:p>
    <w:p w14:paraId="472842D7" w14:textId="70C14107" w:rsidR="00C25D9C" w:rsidRPr="00275521" w:rsidRDefault="00C25D9C" w:rsidP="008B6633">
      <w:pPr>
        <w:pStyle w:val="4-SubsectionHeading"/>
      </w:pPr>
      <w:bookmarkStart w:id="76" w:name="_Toc22897646"/>
      <w:bookmarkStart w:id="77" w:name="_Toc219900853"/>
      <w:r w:rsidRPr="00275521">
        <w:t>Drug cost/patient/year</w:t>
      </w:r>
      <w:bookmarkEnd w:id="76"/>
      <w:bookmarkEnd w:id="77"/>
    </w:p>
    <w:p w14:paraId="51691BD3" w14:textId="069C4726" w:rsidR="00494207" w:rsidRPr="00275521" w:rsidRDefault="00E16AD8" w:rsidP="008B6633">
      <w:pPr>
        <w:pStyle w:val="Caption"/>
        <w:rPr>
          <w:rStyle w:val="CommentReference"/>
          <w:b/>
          <w:szCs w:val="24"/>
        </w:rPr>
      </w:pPr>
      <w:bookmarkStart w:id="78" w:name="_Ref104805102"/>
      <w:r w:rsidRPr="00275521">
        <w:t xml:space="preserve">Table </w:t>
      </w:r>
      <w:fldSimple w:instr=" SEQ Table \* ARABIC ">
        <w:r w:rsidR="0060088A">
          <w:rPr>
            <w:noProof/>
          </w:rPr>
          <w:t>18</w:t>
        </w:r>
      </w:fldSimple>
      <w:bookmarkEnd w:id="78"/>
      <w:r w:rsidRPr="00275521">
        <w:t>:</w:t>
      </w:r>
      <w:r w:rsidR="00494207" w:rsidRPr="00275521">
        <w:rPr>
          <w:rStyle w:val="CommentReference"/>
          <w:b/>
          <w:szCs w:val="24"/>
        </w:rPr>
        <w:t xml:space="preserve"> Drug cost per patient for proposed drug</w:t>
      </w:r>
      <w:r w:rsidR="005F5D93" w:rsidRPr="00275521">
        <w:rPr>
          <w:rStyle w:val="CommentReference"/>
          <w:b/>
          <w:szCs w:val="24"/>
        </w:rPr>
        <w:t xml:space="preserve"> (AEMP)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8: Drug cost per patient for proposed drug (AEMP)"/>
      </w:tblPr>
      <w:tblGrid>
        <w:gridCol w:w="1478"/>
        <w:gridCol w:w="1479"/>
        <w:gridCol w:w="1479"/>
        <w:gridCol w:w="1479"/>
        <w:gridCol w:w="1551"/>
        <w:gridCol w:w="1551"/>
      </w:tblGrid>
      <w:tr w:rsidR="00E11C0C" w:rsidRPr="00275521" w14:paraId="21AC90BD" w14:textId="1041AA0F" w:rsidTr="00E11C0C">
        <w:trPr>
          <w:cantSplit/>
          <w:tblHeader/>
          <w:jc w:val="center"/>
        </w:trPr>
        <w:tc>
          <w:tcPr>
            <w:tcW w:w="820" w:type="pct"/>
            <w:vAlign w:val="center"/>
          </w:tcPr>
          <w:p w14:paraId="485D48B1" w14:textId="77777777" w:rsidR="00E11C0C" w:rsidRPr="00275521" w:rsidRDefault="00E11C0C" w:rsidP="008B6633">
            <w:pPr>
              <w:pStyle w:val="In-tableHeading"/>
              <w:rPr>
                <w:lang w:val="en-AU"/>
              </w:rPr>
            </w:pPr>
          </w:p>
        </w:tc>
        <w:tc>
          <w:tcPr>
            <w:tcW w:w="820" w:type="pct"/>
            <w:vAlign w:val="center"/>
          </w:tcPr>
          <w:p w14:paraId="3642530E" w14:textId="023EBB89" w:rsidR="00E11C0C" w:rsidRPr="00275521" w:rsidRDefault="00E11C0C" w:rsidP="008B6633">
            <w:pPr>
              <w:pStyle w:val="In-tableHeading"/>
              <w:rPr>
                <w:lang w:val="en-AU"/>
              </w:rPr>
            </w:pPr>
            <w:r w:rsidRPr="00275521">
              <w:rPr>
                <w:lang w:val="en-AU"/>
              </w:rPr>
              <w:t>Trial (ASSERT)</w:t>
            </w:r>
          </w:p>
        </w:tc>
        <w:tc>
          <w:tcPr>
            <w:tcW w:w="820" w:type="pct"/>
            <w:vAlign w:val="center"/>
          </w:tcPr>
          <w:p w14:paraId="250CD479" w14:textId="77777777" w:rsidR="00E11C0C" w:rsidRPr="00275521" w:rsidRDefault="00E11C0C" w:rsidP="008B6633">
            <w:pPr>
              <w:pStyle w:val="In-tableHeading"/>
              <w:rPr>
                <w:lang w:val="en-AU"/>
              </w:rPr>
            </w:pPr>
            <w:r w:rsidRPr="00275521">
              <w:rPr>
                <w:lang w:val="en-AU"/>
              </w:rPr>
              <w:t>Model</w:t>
            </w:r>
          </w:p>
        </w:tc>
        <w:tc>
          <w:tcPr>
            <w:tcW w:w="820" w:type="pct"/>
            <w:vAlign w:val="center"/>
          </w:tcPr>
          <w:p w14:paraId="44C76606" w14:textId="77777777" w:rsidR="00E11C0C" w:rsidRPr="00275521" w:rsidRDefault="00E11C0C" w:rsidP="008B6633">
            <w:pPr>
              <w:pStyle w:val="In-tableHeading"/>
              <w:rPr>
                <w:lang w:val="en-AU"/>
              </w:rPr>
            </w:pPr>
            <w:r w:rsidRPr="00275521">
              <w:rPr>
                <w:lang w:val="en-AU"/>
              </w:rPr>
              <w:t>Financial estimates</w:t>
            </w:r>
          </w:p>
        </w:tc>
        <w:tc>
          <w:tcPr>
            <w:tcW w:w="860" w:type="pct"/>
            <w:shd w:val="clear" w:color="auto" w:fill="DBE5F1" w:themeFill="accent1" w:themeFillTint="33"/>
            <w:vAlign w:val="center"/>
          </w:tcPr>
          <w:p w14:paraId="53C80F41" w14:textId="1AECFB72" w:rsidR="00E11C0C" w:rsidRPr="00275521" w:rsidRDefault="00E11C0C" w:rsidP="008B6633">
            <w:pPr>
              <w:pStyle w:val="In-tableHeading"/>
              <w:rPr>
                <w:lang w:val="en-AU"/>
              </w:rPr>
            </w:pPr>
            <w:r w:rsidRPr="00275521">
              <w:rPr>
                <w:lang w:val="en-AU"/>
              </w:rPr>
              <w:t>July 2025 PFIC proposal</w:t>
            </w:r>
          </w:p>
        </w:tc>
        <w:tc>
          <w:tcPr>
            <w:tcW w:w="860" w:type="pct"/>
          </w:tcPr>
          <w:p w14:paraId="45E23DE6" w14:textId="64D3DAAF" w:rsidR="00E11C0C" w:rsidRPr="00275521" w:rsidRDefault="00E11C0C" w:rsidP="008B6633">
            <w:pPr>
              <w:pStyle w:val="In-tableHeading"/>
              <w:rPr>
                <w:lang w:val="en-AU"/>
              </w:rPr>
            </w:pPr>
            <w:r>
              <w:rPr>
                <w:lang w:val="en-AU"/>
              </w:rPr>
              <w:t>ALGS a</w:t>
            </w:r>
            <w:r w:rsidRPr="00275521">
              <w:rPr>
                <w:lang w:val="en-AU"/>
              </w:rPr>
              <w:t xml:space="preserve">ligned with July 2025 PFIC patient weight </w:t>
            </w:r>
          </w:p>
        </w:tc>
      </w:tr>
      <w:tr w:rsidR="00E11C0C" w:rsidRPr="00275521" w14:paraId="745DAF0B" w14:textId="6A24B0EF" w:rsidTr="00E11C0C">
        <w:trPr>
          <w:cantSplit/>
          <w:jc w:val="center"/>
        </w:trPr>
        <w:tc>
          <w:tcPr>
            <w:tcW w:w="820" w:type="pct"/>
            <w:vAlign w:val="center"/>
          </w:tcPr>
          <w:p w14:paraId="743973CE" w14:textId="77777777" w:rsidR="00E11C0C" w:rsidRPr="00275521" w:rsidRDefault="00E11C0C" w:rsidP="008B6633">
            <w:pPr>
              <w:pStyle w:val="TableText0"/>
            </w:pPr>
            <w:r w:rsidRPr="00275521">
              <w:t>Mean dose</w:t>
            </w:r>
          </w:p>
        </w:tc>
        <w:tc>
          <w:tcPr>
            <w:tcW w:w="820" w:type="pct"/>
            <w:vAlign w:val="center"/>
          </w:tcPr>
          <w:p w14:paraId="5B1C9B2C" w14:textId="21F96D7F" w:rsidR="00E11C0C" w:rsidRPr="00275521" w:rsidRDefault="00E11C0C" w:rsidP="008B6633">
            <w:pPr>
              <w:pStyle w:val="TableText0"/>
              <w:jc w:val="center"/>
            </w:pPr>
            <w:r w:rsidRPr="00275521">
              <w:t>120 µg/kg/day</w:t>
            </w:r>
          </w:p>
        </w:tc>
        <w:tc>
          <w:tcPr>
            <w:tcW w:w="820" w:type="pct"/>
            <w:vAlign w:val="center"/>
          </w:tcPr>
          <w:p w14:paraId="7379D234" w14:textId="27EA97E3" w:rsidR="00E11C0C" w:rsidRPr="00275521" w:rsidRDefault="00E11C0C" w:rsidP="008B6633">
            <w:pPr>
              <w:pStyle w:val="TableText0"/>
              <w:jc w:val="center"/>
            </w:pPr>
            <w:r w:rsidRPr="00275521">
              <w:t>120 µg/kg/day</w:t>
            </w:r>
          </w:p>
        </w:tc>
        <w:tc>
          <w:tcPr>
            <w:tcW w:w="820" w:type="pct"/>
            <w:vAlign w:val="center"/>
          </w:tcPr>
          <w:p w14:paraId="23821253" w14:textId="18294AD1" w:rsidR="00E11C0C" w:rsidRPr="00275521" w:rsidRDefault="00E11C0C" w:rsidP="008B6633">
            <w:pPr>
              <w:pStyle w:val="TableText0"/>
              <w:jc w:val="center"/>
            </w:pPr>
            <w:r w:rsidRPr="00275521">
              <w:t>120 µg/kg/day</w:t>
            </w:r>
          </w:p>
        </w:tc>
        <w:tc>
          <w:tcPr>
            <w:tcW w:w="860" w:type="pct"/>
            <w:shd w:val="clear" w:color="auto" w:fill="DBE5F1" w:themeFill="accent1" w:themeFillTint="33"/>
            <w:vAlign w:val="center"/>
          </w:tcPr>
          <w:p w14:paraId="7A930269" w14:textId="1076FBB7" w:rsidR="00E11C0C" w:rsidRPr="00275521" w:rsidRDefault="00E11C0C" w:rsidP="008B6633">
            <w:pPr>
              <w:pStyle w:val="TableText0"/>
              <w:jc w:val="center"/>
            </w:pPr>
            <w:r w:rsidRPr="00275521">
              <w:t>40 µg/kg/day</w:t>
            </w:r>
          </w:p>
        </w:tc>
        <w:tc>
          <w:tcPr>
            <w:tcW w:w="860" w:type="pct"/>
          </w:tcPr>
          <w:p w14:paraId="12D432B2" w14:textId="7EC77566" w:rsidR="00E11C0C" w:rsidRPr="00275521" w:rsidRDefault="00E11C0C" w:rsidP="008B6633">
            <w:pPr>
              <w:pStyle w:val="TableText0"/>
              <w:jc w:val="center"/>
            </w:pPr>
            <w:r w:rsidRPr="00275521">
              <w:t>120 µg/kg/day</w:t>
            </w:r>
          </w:p>
        </w:tc>
      </w:tr>
      <w:tr w:rsidR="00E11C0C" w:rsidRPr="00275521" w14:paraId="400E3786" w14:textId="7EC8C19E" w:rsidTr="00E11C0C">
        <w:trPr>
          <w:cantSplit/>
          <w:jc w:val="center"/>
        </w:trPr>
        <w:tc>
          <w:tcPr>
            <w:tcW w:w="820" w:type="pct"/>
            <w:vAlign w:val="center"/>
          </w:tcPr>
          <w:p w14:paraId="4B05288D" w14:textId="1EE03DD1" w:rsidR="00E11C0C" w:rsidRPr="00275521" w:rsidRDefault="00E11C0C" w:rsidP="008B6633">
            <w:pPr>
              <w:pStyle w:val="TableText0"/>
            </w:pPr>
            <w:r w:rsidRPr="00275521">
              <w:t>Patient age</w:t>
            </w:r>
          </w:p>
        </w:tc>
        <w:tc>
          <w:tcPr>
            <w:tcW w:w="820" w:type="pct"/>
            <w:vAlign w:val="center"/>
          </w:tcPr>
          <w:p w14:paraId="1FF1938C" w14:textId="6CF45AB2" w:rsidR="00E11C0C" w:rsidRPr="00275521" w:rsidRDefault="00E11C0C" w:rsidP="008B6633">
            <w:pPr>
              <w:pStyle w:val="TableText0"/>
              <w:jc w:val="center"/>
            </w:pPr>
            <w:r w:rsidRPr="00275521">
              <w:t>6.29 years</w:t>
            </w:r>
          </w:p>
        </w:tc>
        <w:tc>
          <w:tcPr>
            <w:tcW w:w="820" w:type="pct"/>
            <w:vAlign w:val="center"/>
          </w:tcPr>
          <w:p w14:paraId="11B63209" w14:textId="3070A846" w:rsidR="00E11C0C" w:rsidRPr="00275521" w:rsidRDefault="00E11C0C" w:rsidP="008B6633">
            <w:pPr>
              <w:pStyle w:val="TableText0"/>
              <w:jc w:val="center"/>
            </w:pPr>
            <w:r w:rsidRPr="00275521">
              <w:t>Starting age 6 months</w:t>
            </w:r>
          </w:p>
        </w:tc>
        <w:tc>
          <w:tcPr>
            <w:tcW w:w="820" w:type="pct"/>
            <w:vAlign w:val="center"/>
          </w:tcPr>
          <w:p w14:paraId="15AA4463" w14:textId="347CA10F" w:rsidR="00E11C0C" w:rsidRPr="00275521" w:rsidRDefault="00E11C0C" w:rsidP="008B6633">
            <w:pPr>
              <w:pStyle w:val="TableText0"/>
              <w:jc w:val="center"/>
            </w:pPr>
            <w:r w:rsidRPr="00275521">
              <w:t>4.4 years (EAP)</w:t>
            </w:r>
          </w:p>
        </w:tc>
        <w:tc>
          <w:tcPr>
            <w:tcW w:w="860" w:type="pct"/>
            <w:shd w:val="clear" w:color="auto" w:fill="DBE5F1" w:themeFill="accent1" w:themeFillTint="33"/>
            <w:vAlign w:val="center"/>
          </w:tcPr>
          <w:p w14:paraId="7BA10E5A" w14:textId="3FA350E8" w:rsidR="00E11C0C" w:rsidRPr="00275521" w:rsidRDefault="00E11C0C" w:rsidP="008B6633">
            <w:pPr>
              <w:pStyle w:val="TableText0"/>
              <w:jc w:val="center"/>
            </w:pPr>
            <w:r w:rsidRPr="00275521">
              <w:t>Mean age 13 years</w:t>
            </w:r>
          </w:p>
        </w:tc>
        <w:tc>
          <w:tcPr>
            <w:tcW w:w="860" w:type="pct"/>
            <w:vAlign w:val="center"/>
          </w:tcPr>
          <w:p w14:paraId="29E8F826" w14:textId="44EFC5C3" w:rsidR="00E11C0C" w:rsidRPr="00275521" w:rsidRDefault="00E11C0C" w:rsidP="008B6633">
            <w:pPr>
              <w:pStyle w:val="TableText0"/>
              <w:jc w:val="center"/>
            </w:pPr>
            <w:r w:rsidRPr="00275521">
              <w:t>-</w:t>
            </w:r>
          </w:p>
        </w:tc>
      </w:tr>
      <w:tr w:rsidR="00E11C0C" w:rsidRPr="00275521" w14:paraId="22EA156F" w14:textId="7C614210" w:rsidTr="00E11C0C">
        <w:trPr>
          <w:cantSplit/>
          <w:jc w:val="center"/>
        </w:trPr>
        <w:tc>
          <w:tcPr>
            <w:tcW w:w="820" w:type="pct"/>
            <w:vAlign w:val="center"/>
          </w:tcPr>
          <w:p w14:paraId="237882FD" w14:textId="6B496B1E" w:rsidR="00E11C0C" w:rsidRPr="00275521" w:rsidRDefault="00E11C0C" w:rsidP="008B6633">
            <w:pPr>
              <w:pStyle w:val="TableText0"/>
            </w:pPr>
            <w:r w:rsidRPr="00275521">
              <w:t>Patient weight</w:t>
            </w:r>
          </w:p>
        </w:tc>
        <w:tc>
          <w:tcPr>
            <w:tcW w:w="820" w:type="pct"/>
            <w:vAlign w:val="center"/>
          </w:tcPr>
          <w:p w14:paraId="6145F49B" w14:textId="603D2D16" w:rsidR="00E11C0C" w:rsidRPr="00275521" w:rsidRDefault="00E11C0C" w:rsidP="008B6633">
            <w:pPr>
              <w:pStyle w:val="TableText0"/>
              <w:jc w:val="center"/>
            </w:pPr>
            <w:r w:rsidRPr="00275521">
              <w:t>18.6kg</w:t>
            </w:r>
          </w:p>
        </w:tc>
        <w:tc>
          <w:tcPr>
            <w:tcW w:w="820" w:type="pct"/>
            <w:vAlign w:val="center"/>
          </w:tcPr>
          <w:p w14:paraId="53C5D033" w14:textId="57CA1227" w:rsidR="00E11C0C" w:rsidRPr="00275521" w:rsidRDefault="00E11C0C" w:rsidP="008B6633">
            <w:pPr>
              <w:pStyle w:val="TableText0"/>
              <w:jc w:val="center"/>
            </w:pPr>
            <w:r w:rsidRPr="00275521">
              <w:t>Starting weight 3.95kg</w:t>
            </w:r>
          </w:p>
        </w:tc>
        <w:tc>
          <w:tcPr>
            <w:tcW w:w="820" w:type="pct"/>
            <w:vAlign w:val="center"/>
          </w:tcPr>
          <w:p w14:paraId="66D111F6" w14:textId="14711597" w:rsidR="00E11C0C" w:rsidRPr="00275521" w:rsidRDefault="00E11C0C" w:rsidP="008B6633">
            <w:pPr>
              <w:pStyle w:val="TableText0"/>
              <w:jc w:val="center"/>
            </w:pPr>
            <w:r w:rsidRPr="00275521">
              <w:t>19.7kg (EAP)</w:t>
            </w:r>
          </w:p>
        </w:tc>
        <w:tc>
          <w:tcPr>
            <w:tcW w:w="860" w:type="pct"/>
            <w:vAlign w:val="center"/>
          </w:tcPr>
          <w:p w14:paraId="7DAAF79C" w14:textId="40076D3A" w:rsidR="00E11C0C" w:rsidRPr="005429C7" w:rsidRDefault="00E11C0C" w:rsidP="008B6633">
            <w:pPr>
              <w:pStyle w:val="TableText0"/>
              <w:jc w:val="center"/>
            </w:pPr>
            <w:r w:rsidRPr="005429C7">
              <w:t>45.1 kg</w:t>
            </w:r>
          </w:p>
        </w:tc>
        <w:tc>
          <w:tcPr>
            <w:tcW w:w="860" w:type="pct"/>
            <w:vAlign w:val="center"/>
          </w:tcPr>
          <w:p w14:paraId="4141D0E2" w14:textId="3D829F7C" w:rsidR="00E11C0C" w:rsidRPr="00E11C0C" w:rsidRDefault="00E11C0C" w:rsidP="008B6633">
            <w:pPr>
              <w:pStyle w:val="TableText0"/>
              <w:jc w:val="center"/>
            </w:pPr>
            <w:r w:rsidRPr="00E11C0C">
              <w:t>45.1kg</w:t>
            </w:r>
          </w:p>
        </w:tc>
      </w:tr>
      <w:tr w:rsidR="00E11C0C" w:rsidRPr="00275521" w14:paraId="65D4F71C" w14:textId="620D6B65" w:rsidTr="00E11C0C">
        <w:trPr>
          <w:cantSplit/>
          <w:jc w:val="center"/>
        </w:trPr>
        <w:tc>
          <w:tcPr>
            <w:tcW w:w="820" w:type="pct"/>
            <w:vAlign w:val="center"/>
          </w:tcPr>
          <w:p w14:paraId="67C17095" w14:textId="1A2768DD" w:rsidR="00E11C0C" w:rsidRPr="00275521" w:rsidRDefault="00E11C0C" w:rsidP="008B6633">
            <w:pPr>
              <w:pStyle w:val="TableText0"/>
              <w:rPr>
                <w:vertAlign w:val="superscript"/>
              </w:rPr>
            </w:pPr>
            <w:r w:rsidRPr="00275521">
              <w:t xml:space="preserve">Daily dose </w:t>
            </w:r>
            <w:r w:rsidRPr="00275521">
              <w:rPr>
                <w:vertAlign w:val="superscript"/>
              </w:rPr>
              <w:t>a</w:t>
            </w:r>
          </w:p>
        </w:tc>
        <w:tc>
          <w:tcPr>
            <w:tcW w:w="820" w:type="pct"/>
            <w:vAlign w:val="center"/>
          </w:tcPr>
          <w:p w14:paraId="0308FB0B" w14:textId="081AC0EF" w:rsidR="00E11C0C" w:rsidRPr="00232A26" w:rsidRDefault="00E11C0C" w:rsidP="008B6633">
            <w:pPr>
              <w:pStyle w:val="TableText0"/>
              <w:jc w:val="center"/>
            </w:pPr>
            <w:r w:rsidRPr="00232A26">
              <w:t>2,232 µg</w:t>
            </w:r>
          </w:p>
        </w:tc>
        <w:tc>
          <w:tcPr>
            <w:tcW w:w="820" w:type="pct"/>
            <w:vAlign w:val="center"/>
          </w:tcPr>
          <w:p w14:paraId="7CE6B778" w14:textId="77777777" w:rsidR="00E11C0C" w:rsidRPr="00275521" w:rsidRDefault="00E11C0C" w:rsidP="008B6633">
            <w:pPr>
              <w:pStyle w:val="TableText0"/>
              <w:jc w:val="center"/>
            </w:pPr>
            <w:r w:rsidRPr="00275521">
              <w:t xml:space="preserve">600 → 7200 </w:t>
            </w:r>
          </w:p>
          <w:p w14:paraId="0A939297" w14:textId="3A197A3E" w:rsidR="00E11C0C" w:rsidRPr="00275521" w:rsidRDefault="00E11C0C" w:rsidP="008B6633">
            <w:pPr>
              <w:pStyle w:val="TableText0"/>
              <w:jc w:val="center"/>
            </w:pPr>
            <w:r w:rsidRPr="00275521">
              <w:t>(increasing with age)</w:t>
            </w:r>
          </w:p>
        </w:tc>
        <w:tc>
          <w:tcPr>
            <w:tcW w:w="820" w:type="pct"/>
            <w:vAlign w:val="center"/>
          </w:tcPr>
          <w:p w14:paraId="5A6B6A2C" w14:textId="2896300C" w:rsidR="00E11C0C" w:rsidRPr="00275521" w:rsidRDefault="00E11C0C" w:rsidP="008B6633">
            <w:pPr>
              <w:pStyle w:val="TableText0"/>
              <w:jc w:val="center"/>
            </w:pPr>
            <w:r w:rsidRPr="00275521">
              <w:t>2</w:t>
            </w:r>
            <w:r>
              <w:t>,</w:t>
            </w:r>
            <w:r w:rsidRPr="00275521">
              <w:t>358 µg</w:t>
            </w:r>
          </w:p>
        </w:tc>
        <w:tc>
          <w:tcPr>
            <w:tcW w:w="860" w:type="pct"/>
            <w:vAlign w:val="center"/>
          </w:tcPr>
          <w:p w14:paraId="4D455032" w14:textId="5DB72F47" w:rsidR="00E11C0C" w:rsidRPr="005429C7" w:rsidRDefault="00E11C0C" w:rsidP="008B6633">
            <w:pPr>
              <w:pStyle w:val="TableText0"/>
              <w:jc w:val="center"/>
              <w:rPr>
                <w:vertAlign w:val="superscript"/>
              </w:rPr>
            </w:pPr>
            <w:r w:rsidRPr="005429C7">
              <w:t xml:space="preserve">1,804 </w:t>
            </w:r>
            <w:r w:rsidRPr="00275521">
              <w:t xml:space="preserve">µg </w:t>
            </w:r>
            <w:r w:rsidRPr="00275521">
              <w:rPr>
                <w:vertAlign w:val="superscript"/>
              </w:rPr>
              <w:t>c</w:t>
            </w:r>
          </w:p>
        </w:tc>
        <w:tc>
          <w:tcPr>
            <w:tcW w:w="860" w:type="pct"/>
            <w:vAlign w:val="center"/>
          </w:tcPr>
          <w:p w14:paraId="7EFFDB28" w14:textId="572D2320" w:rsidR="00E11C0C" w:rsidRPr="00E11C0C" w:rsidRDefault="00E11C0C" w:rsidP="008B6633">
            <w:pPr>
              <w:pStyle w:val="TableText0"/>
              <w:jc w:val="center"/>
            </w:pPr>
            <w:r w:rsidRPr="00E11C0C">
              <w:t>5,412 µg</w:t>
            </w:r>
          </w:p>
        </w:tc>
      </w:tr>
      <w:tr w:rsidR="00E11C0C" w:rsidRPr="00275521" w14:paraId="4BE888B9" w14:textId="7196A278" w:rsidTr="00E11C0C">
        <w:trPr>
          <w:cantSplit/>
          <w:jc w:val="center"/>
        </w:trPr>
        <w:tc>
          <w:tcPr>
            <w:tcW w:w="820" w:type="pct"/>
            <w:vAlign w:val="center"/>
          </w:tcPr>
          <w:p w14:paraId="20219C2C" w14:textId="77666019" w:rsidR="00E11C0C" w:rsidRPr="00275521" w:rsidRDefault="00E11C0C" w:rsidP="008B6633">
            <w:pPr>
              <w:pStyle w:val="TableText0"/>
            </w:pPr>
            <w:r w:rsidRPr="00275521">
              <w:t>Tablet strength</w:t>
            </w:r>
          </w:p>
        </w:tc>
        <w:tc>
          <w:tcPr>
            <w:tcW w:w="820" w:type="pct"/>
            <w:vAlign w:val="center"/>
          </w:tcPr>
          <w:p w14:paraId="44711A87" w14:textId="53B84C04" w:rsidR="00E11C0C" w:rsidRPr="00232A26" w:rsidRDefault="00E11C0C" w:rsidP="008B6633">
            <w:pPr>
              <w:pStyle w:val="TableText0"/>
              <w:jc w:val="center"/>
            </w:pPr>
            <w:r w:rsidRPr="00232A26">
              <w:t>1200 µg</w:t>
            </w:r>
          </w:p>
        </w:tc>
        <w:tc>
          <w:tcPr>
            <w:tcW w:w="820" w:type="pct"/>
            <w:vAlign w:val="center"/>
          </w:tcPr>
          <w:p w14:paraId="42137F04" w14:textId="58557231" w:rsidR="00E11C0C" w:rsidRPr="00275521" w:rsidRDefault="00E11C0C" w:rsidP="008B6633">
            <w:pPr>
              <w:pStyle w:val="TableText0"/>
              <w:jc w:val="center"/>
            </w:pPr>
            <w:r w:rsidRPr="00275521">
              <w:t>600 → 1200</w:t>
            </w:r>
          </w:p>
        </w:tc>
        <w:tc>
          <w:tcPr>
            <w:tcW w:w="820" w:type="pct"/>
            <w:vAlign w:val="center"/>
          </w:tcPr>
          <w:p w14:paraId="00FC8B5B" w14:textId="54C10E78" w:rsidR="00E11C0C" w:rsidRPr="00275521" w:rsidRDefault="00E11C0C" w:rsidP="008B6633">
            <w:pPr>
              <w:pStyle w:val="TableText0"/>
              <w:jc w:val="center"/>
            </w:pPr>
            <w:r w:rsidRPr="00275521">
              <w:t>1200 µg</w:t>
            </w:r>
          </w:p>
        </w:tc>
        <w:tc>
          <w:tcPr>
            <w:tcW w:w="860" w:type="pct"/>
            <w:shd w:val="clear" w:color="auto" w:fill="DBE5F1" w:themeFill="accent1" w:themeFillTint="33"/>
            <w:vAlign w:val="center"/>
          </w:tcPr>
          <w:p w14:paraId="737ADFCC" w14:textId="556BA9DF" w:rsidR="00E11C0C" w:rsidRPr="00275521" w:rsidRDefault="00E11C0C" w:rsidP="008B6633">
            <w:pPr>
              <w:pStyle w:val="TableText0"/>
              <w:jc w:val="center"/>
            </w:pPr>
            <w:r w:rsidRPr="00275521">
              <w:t>400 µg</w:t>
            </w:r>
          </w:p>
        </w:tc>
        <w:tc>
          <w:tcPr>
            <w:tcW w:w="860" w:type="pct"/>
          </w:tcPr>
          <w:p w14:paraId="04A740B3" w14:textId="79A95C9C" w:rsidR="00E11C0C" w:rsidRPr="00275521" w:rsidRDefault="00E11C0C" w:rsidP="008B6633">
            <w:pPr>
              <w:pStyle w:val="TableText0"/>
              <w:jc w:val="center"/>
            </w:pPr>
            <w:r w:rsidRPr="00275521">
              <w:t>1200 µg</w:t>
            </w:r>
          </w:p>
        </w:tc>
      </w:tr>
      <w:tr w:rsidR="00E11C0C" w:rsidRPr="00275521" w14:paraId="6737140C" w14:textId="461C8382" w:rsidTr="00E11C0C">
        <w:trPr>
          <w:cantSplit/>
          <w:jc w:val="center"/>
        </w:trPr>
        <w:tc>
          <w:tcPr>
            <w:tcW w:w="820" w:type="pct"/>
            <w:vAlign w:val="center"/>
          </w:tcPr>
          <w:p w14:paraId="23819072" w14:textId="749FB45C" w:rsidR="00E11C0C" w:rsidRPr="00275521" w:rsidRDefault="00E11C0C" w:rsidP="008B6633">
            <w:pPr>
              <w:pStyle w:val="TableText0"/>
            </w:pPr>
            <w:r w:rsidRPr="00275521">
              <w:t>Tablets per day</w:t>
            </w:r>
          </w:p>
        </w:tc>
        <w:tc>
          <w:tcPr>
            <w:tcW w:w="820" w:type="pct"/>
            <w:vAlign w:val="center"/>
          </w:tcPr>
          <w:p w14:paraId="3C8F1FA2" w14:textId="7979D523" w:rsidR="00E11C0C" w:rsidRPr="00275521" w:rsidRDefault="00E11C0C" w:rsidP="008B6633">
            <w:pPr>
              <w:pStyle w:val="TableText0"/>
              <w:jc w:val="center"/>
            </w:pPr>
            <w:r w:rsidRPr="00275521">
              <w:t>1.86</w:t>
            </w:r>
          </w:p>
        </w:tc>
        <w:tc>
          <w:tcPr>
            <w:tcW w:w="820" w:type="pct"/>
            <w:vAlign w:val="center"/>
          </w:tcPr>
          <w:p w14:paraId="59BD68DC" w14:textId="3A606BB7" w:rsidR="00E11C0C" w:rsidRPr="00275521" w:rsidRDefault="00E11C0C" w:rsidP="008B6633">
            <w:pPr>
              <w:pStyle w:val="TableText0"/>
              <w:jc w:val="center"/>
            </w:pPr>
            <w:r w:rsidRPr="00275521">
              <w:t>-</w:t>
            </w:r>
          </w:p>
        </w:tc>
        <w:tc>
          <w:tcPr>
            <w:tcW w:w="820" w:type="pct"/>
            <w:vAlign w:val="center"/>
          </w:tcPr>
          <w:p w14:paraId="526CA60C" w14:textId="58739AC0" w:rsidR="00E11C0C" w:rsidRPr="00275521" w:rsidRDefault="00E11C0C" w:rsidP="008B6633">
            <w:pPr>
              <w:pStyle w:val="TableText0"/>
              <w:jc w:val="center"/>
            </w:pPr>
            <w:r w:rsidRPr="00275521">
              <w:t>1.97</w:t>
            </w:r>
          </w:p>
        </w:tc>
        <w:tc>
          <w:tcPr>
            <w:tcW w:w="860" w:type="pct"/>
            <w:shd w:val="clear" w:color="auto" w:fill="DBE5F1" w:themeFill="accent1" w:themeFillTint="33"/>
            <w:vAlign w:val="center"/>
          </w:tcPr>
          <w:p w14:paraId="2D2B0A4E" w14:textId="1E60BE29" w:rsidR="00E11C0C" w:rsidRPr="00275521" w:rsidRDefault="00E11C0C" w:rsidP="008B6633">
            <w:pPr>
              <w:pStyle w:val="TableText0"/>
              <w:jc w:val="center"/>
            </w:pPr>
            <w:r w:rsidRPr="00275521">
              <w:t>4.51</w:t>
            </w:r>
          </w:p>
        </w:tc>
        <w:tc>
          <w:tcPr>
            <w:tcW w:w="860" w:type="pct"/>
          </w:tcPr>
          <w:p w14:paraId="0BC1889A" w14:textId="7152D2A4" w:rsidR="00E11C0C" w:rsidRPr="00275521" w:rsidRDefault="00E11C0C" w:rsidP="008B6633">
            <w:pPr>
              <w:pStyle w:val="TableText0"/>
              <w:jc w:val="center"/>
            </w:pPr>
            <w:r w:rsidRPr="00275521">
              <w:t>4.51</w:t>
            </w:r>
          </w:p>
        </w:tc>
      </w:tr>
      <w:tr w:rsidR="00E11C0C" w:rsidRPr="00275521" w14:paraId="3959BBCB" w14:textId="2F20790A" w:rsidTr="00266EB8">
        <w:trPr>
          <w:cantSplit/>
          <w:jc w:val="center"/>
        </w:trPr>
        <w:tc>
          <w:tcPr>
            <w:tcW w:w="820" w:type="pct"/>
            <w:vAlign w:val="center"/>
          </w:tcPr>
          <w:p w14:paraId="249FEE73" w14:textId="7F52D3D7" w:rsidR="00E11C0C" w:rsidRPr="00275521" w:rsidRDefault="00E11C0C" w:rsidP="008B6633">
            <w:pPr>
              <w:pStyle w:val="TableText0"/>
            </w:pPr>
            <w:r w:rsidRPr="00275521">
              <w:t>AEMP/pack (30 units)</w:t>
            </w:r>
          </w:p>
        </w:tc>
        <w:tc>
          <w:tcPr>
            <w:tcW w:w="820" w:type="pct"/>
            <w:vAlign w:val="center"/>
          </w:tcPr>
          <w:p w14:paraId="268B8420" w14:textId="36ABC639" w:rsidR="00E11C0C" w:rsidRPr="00275521" w:rsidRDefault="00E11C0C" w:rsidP="008B6633">
            <w:pPr>
              <w:pStyle w:val="TableText0"/>
              <w:jc w:val="center"/>
            </w:pPr>
            <w:r w:rsidRPr="00275521">
              <w:t>$</w:t>
            </w:r>
            <w:r w:rsidR="006C4DC1" w:rsidRPr="006C4DC1">
              <w:rPr>
                <w:sz w:val="2"/>
                <w:highlight w:val="black"/>
              </w:rPr>
              <w:t>redacted content</w:t>
            </w:r>
          </w:p>
        </w:tc>
        <w:tc>
          <w:tcPr>
            <w:tcW w:w="820" w:type="pct"/>
            <w:vAlign w:val="center"/>
          </w:tcPr>
          <w:p w14:paraId="51588B01" w14:textId="09ABF086" w:rsidR="00E11C0C" w:rsidRPr="00275521" w:rsidRDefault="00E11C0C" w:rsidP="008B6633">
            <w:pPr>
              <w:pStyle w:val="TableText0"/>
              <w:jc w:val="center"/>
            </w:pPr>
            <w:r w:rsidRPr="00275521">
              <w:t>$</w:t>
            </w:r>
            <w:r w:rsidR="006C4DC1" w:rsidRPr="006C4DC1">
              <w:rPr>
                <w:sz w:val="2"/>
                <w:highlight w:val="black"/>
              </w:rPr>
              <w:t>redacted content</w:t>
            </w:r>
            <w:r w:rsidRPr="00275521">
              <w:t xml:space="preserve"> → $</w:t>
            </w:r>
            <w:r w:rsidR="006C4DC1" w:rsidRPr="006C4DC1">
              <w:rPr>
                <w:sz w:val="2"/>
                <w:highlight w:val="black"/>
              </w:rPr>
              <w:t>redacted content</w:t>
            </w:r>
          </w:p>
        </w:tc>
        <w:tc>
          <w:tcPr>
            <w:tcW w:w="820" w:type="pct"/>
            <w:vAlign w:val="center"/>
          </w:tcPr>
          <w:p w14:paraId="4CD974DD" w14:textId="6A7C37FB" w:rsidR="00E11C0C" w:rsidRPr="00275521" w:rsidRDefault="00E11C0C" w:rsidP="008B6633">
            <w:pPr>
              <w:pStyle w:val="TableText0"/>
              <w:jc w:val="center"/>
            </w:pPr>
            <w:r w:rsidRPr="00275521">
              <w:t>$</w:t>
            </w:r>
            <w:r w:rsidR="006C4DC1" w:rsidRPr="006C4DC1">
              <w:rPr>
                <w:sz w:val="2"/>
                <w:highlight w:val="black"/>
              </w:rPr>
              <w:t>redacted content</w:t>
            </w:r>
          </w:p>
        </w:tc>
        <w:tc>
          <w:tcPr>
            <w:tcW w:w="8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651169" w14:textId="53B91BA5" w:rsidR="00E11C0C" w:rsidRPr="00275521" w:rsidRDefault="00E11C0C" w:rsidP="008B6633">
            <w:pPr>
              <w:pStyle w:val="TableText0"/>
              <w:jc w:val="center"/>
              <w:rPr>
                <w:rFonts w:cstheme="minorHAnsi"/>
                <w:color w:val="000000"/>
                <w:szCs w:val="20"/>
              </w:rPr>
            </w:pPr>
            <w:r w:rsidRPr="00275521">
              <w:rPr>
                <w:rFonts w:cstheme="minorHAnsi"/>
                <w:color w:val="000000"/>
                <w:szCs w:val="20"/>
              </w:rPr>
              <w:t>$</w:t>
            </w:r>
            <w:r w:rsidR="006C4DC1" w:rsidRPr="006C4DC1">
              <w:rPr>
                <w:rFonts w:cstheme="minorHAnsi"/>
                <w:color w:val="000000"/>
                <w:sz w:val="2"/>
                <w:szCs w:val="20"/>
                <w:highlight w:val="black"/>
              </w:rPr>
              <w:t>redacted content</w:t>
            </w:r>
          </w:p>
        </w:tc>
        <w:tc>
          <w:tcPr>
            <w:tcW w:w="860" w:type="pct"/>
            <w:vAlign w:val="center"/>
          </w:tcPr>
          <w:p w14:paraId="188E7E39" w14:textId="14F12F74" w:rsidR="00E11C0C" w:rsidRPr="00275521" w:rsidRDefault="00E11C0C" w:rsidP="008B6633">
            <w:pPr>
              <w:pStyle w:val="TableText0"/>
              <w:jc w:val="center"/>
              <w:rPr>
                <w:rFonts w:cstheme="minorHAnsi"/>
                <w:color w:val="000000"/>
                <w:szCs w:val="20"/>
              </w:rPr>
            </w:pPr>
            <w:r w:rsidRPr="00275521">
              <w:rPr>
                <w:rFonts w:cstheme="minorHAnsi"/>
                <w:color w:val="000000"/>
                <w:szCs w:val="20"/>
              </w:rPr>
              <w:t>$</w:t>
            </w:r>
            <w:r w:rsidR="006C4DC1" w:rsidRPr="006C4DC1">
              <w:rPr>
                <w:rFonts w:cstheme="minorHAnsi"/>
                <w:color w:val="000000"/>
                <w:sz w:val="2"/>
                <w:szCs w:val="20"/>
                <w:highlight w:val="black"/>
              </w:rPr>
              <w:t>redacted content</w:t>
            </w:r>
          </w:p>
        </w:tc>
      </w:tr>
      <w:tr w:rsidR="00E11C0C" w:rsidRPr="00275521" w14:paraId="2FE2A917" w14:textId="08B8D26B" w:rsidTr="00E11C0C">
        <w:trPr>
          <w:cantSplit/>
          <w:jc w:val="center"/>
        </w:trPr>
        <w:tc>
          <w:tcPr>
            <w:tcW w:w="820" w:type="pct"/>
            <w:vAlign w:val="center"/>
          </w:tcPr>
          <w:p w14:paraId="3EC3EA01" w14:textId="1337ECD8" w:rsidR="00E11C0C" w:rsidRPr="00275521" w:rsidRDefault="00E11C0C" w:rsidP="008B6633">
            <w:pPr>
              <w:pStyle w:val="TableText0"/>
            </w:pPr>
            <w:r w:rsidRPr="00275521">
              <w:t>Per tablet cost</w:t>
            </w:r>
          </w:p>
        </w:tc>
        <w:tc>
          <w:tcPr>
            <w:tcW w:w="820" w:type="pct"/>
            <w:vAlign w:val="center"/>
          </w:tcPr>
          <w:p w14:paraId="7CF4ED85" w14:textId="7F8E7811" w:rsidR="00E11C0C" w:rsidRPr="00275521" w:rsidRDefault="00E11C0C" w:rsidP="008B6633">
            <w:pPr>
              <w:pStyle w:val="TableText0"/>
              <w:jc w:val="center"/>
            </w:pPr>
            <w:r w:rsidRPr="00275521">
              <w:t>$</w:t>
            </w:r>
            <w:r w:rsidR="006C4DC1" w:rsidRPr="006C4DC1">
              <w:rPr>
                <w:sz w:val="2"/>
                <w:highlight w:val="black"/>
              </w:rPr>
              <w:t>redacted content</w:t>
            </w:r>
          </w:p>
        </w:tc>
        <w:tc>
          <w:tcPr>
            <w:tcW w:w="820" w:type="pct"/>
            <w:vAlign w:val="center"/>
          </w:tcPr>
          <w:p w14:paraId="5B48FA41" w14:textId="4B1CA01E" w:rsidR="00E11C0C" w:rsidRPr="00275521" w:rsidRDefault="00E11C0C" w:rsidP="008B6633">
            <w:pPr>
              <w:pStyle w:val="TableText0"/>
              <w:jc w:val="center"/>
            </w:pPr>
            <w:r w:rsidRPr="00275521">
              <w:t>-</w:t>
            </w:r>
          </w:p>
        </w:tc>
        <w:tc>
          <w:tcPr>
            <w:tcW w:w="820" w:type="pct"/>
            <w:vAlign w:val="center"/>
          </w:tcPr>
          <w:p w14:paraId="19B58208" w14:textId="1945CE49" w:rsidR="00E11C0C" w:rsidRPr="00275521" w:rsidRDefault="00E11C0C" w:rsidP="008B6633">
            <w:pPr>
              <w:pStyle w:val="TableText0"/>
              <w:jc w:val="center"/>
            </w:pPr>
            <w:r w:rsidRPr="00275521">
              <w:t>$</w:t>
            </w:r>
            <w:r w:rsidR="006C4DC1" w:rsidRPr="006C4DC1">
              <w:rPr>
                <w:sz w:val="2"/>
                <w:highlight w:val="black"/>
              </w:rPr>
              <w:t>redacted content</w:t>
            </w:r>
          </w:p>
        </w:tc>
        <w:tc>
          <w:tcPr>
            <w:tcW w:w="8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A2E64" w14:textId="08D45252" w:rsidR="00E11C0C" w:rsidRPr="00275521" w:rsidRDefault="00E11C0C" w:rsidP="008B6633">
            <w:pPr>
              <w:pStyle w:val="TableText0"/>
              <w:jc w:val="center"/>
              <w:rPr>
                <w:rFonts w:cstheme="minorHAnsi"/>
                <w:color w:val="000000"/>
                <w:szCs w:val="20"/>
              </w:rPr>
            </w:pPr>
            <w:r w:rsidRPr="00275521">
              <w:rPr>
                <w:rFonts w:cstheme="minorHAnsi"/>
                <w:color w:val="000000"/>
                <w:szCs w:val="20"/>
              </w:rPr>
              <w:t>$</w:t>
            </w:r>
            <w:r w:rsidR="006C4DC1" w:rsidRPr="006C4DC1">
              <w:rPr>
                <w:rFonts w:cstheme="minorHAnsi"/>
                <w:color w:val="000000"/>
                <w:sz w:val="2"/>
                <w:szCs w:val="20"/>
                <w:highlight w:val="black"/>
              </w:rPr>
              <w:t>redacted content</w:t>
            </w:r>
          </w:p>
        </w:tc>
        <w:tc>
          <w:tcPr>
            <w:tcW w:w="860" w:type="pct"/>
          </w:tcPr>
          <w:p w14:paraId="56345C0A" w14:textId="052576D2" w:rsidR="00E11C0C" w:rsidRPr="00275521" w:rsidRDefault="00E11C0C" w:rsidP="008B6633">
            <w:pPr>
              <w:pStyle w:val="TableText0"/>
              <w:jc w:val="center"/>
              <w:rPr>
                <w:rFonts w:cstheme="minorHAnsi"/>
                <w:color w:val="000000"/>
                <w:szCs w:val="20"/>
              </w:rPr>
            </w:pPr>
            <w:r w:rsidRPr="00275521">
              <w:rPr>
                <w:rFonts w:cstheme="minorHAnsi"/>
                <w:color w:val="000000"/>
                <w:szCs w:val="20"/>
              </w:rPr>
              <w:t>$</w:t>
            </w:r>
            <w:r w:rsidR="006C4DC1" w:rsidRPr="006C4DC1">
              <w:rPr>
                <w:rFonts w:cstheme="minorHAnsi"/>
                <w:color w:val="000000"/>
                <w:sz w:val="2"/>
                <w:szCs w:val="20"/>
                <w:highlight w:val="black"/>
              </w:rPr>
              <w:t>redacted content</w:t>
            </w:r>
          </w:p>
        </w:tc>
      </w:tr>
      <w:tr w:rsidR="00E11C0C" w:rsidRPr="00275521" w14:paraId="455F2922" w14:textId="4606D805" w:rsidTr="00E11C0C">
        <w:trPr>
          <w:cantSplit/>
          <w:jc w:val="center"/>
        </w:trPr>
        <w:tc>
          <w:tcPr>
            <w:tcW w:w="820" w:type="pct"/>
            <w:vAlign w:val="center"/>
          </w:tcPr>
          <w:p w14:paraId="0818A7F9" w14:textId="1564230C" w:rsidR="00E11C0C" w:rsidRPr="00275521" w:rsidRDefault="00E11C0C" w:rsidP="008B6633">
            <w:pPr>
              <w:pStyle w:val="TableText0"/>
            </w:pPr>
            <w:r w:rsidRPr="00275521">
              <w:t>Per day cost</w:t>
            </w:r>
          </w:p>
        </w:tc>
        <w:tc>
          <w:tcPr>
            <w:tcW w:w="820" w:type="pct"/>
            <w:vAlign w:val="center"/>
          </w:tcPr>
          <w:p w14:paraId="34F0ACD6" w14:textId="44256120" w:rsidR="00E11C0C" w:rsidRPr="00067215" w:rsidRDefault="00E11C0C" w:rsidP="008B6633">
            <w:pPr>
              <w:pStyle w:val="TableText0"/>
              <w:jc w:val="center"/>
            </w:pPr>
            <w:r w:rsidRPr="00067215">
              <w:t>$</w:t>
            </w:r>
            <w:r w:rsidR="006C4DC1" w:rsidRPr="006C4DC1">
              <w:rPr>
                <w:sz w:val="2"/>
                <w:highlight w:val="black"/>
              </w:rPr>
              <w:t>redacted content</w:t>
            </w:r>
          </w:p>
        </w:tc>
        <w:tc>
          <w:tcPr>
            <w:tcW w:w="820" w:type="pct"/>
            <w:vAlign w:val="center"/>
          </w:tcPr>
          <w:p w14:paraId="10235C1F" w14:textId="26D1EF27" w:rsidR="00E11C0C" w:rsidRPr="00275521" w:rsidRDefault="00E11C0C" w:rsidP="008B6633">
            <w:pPr>
              <w:pStyle w:val="TableText0"/>
              <w:jc w:val="center"/>
            </w:pPr>
            <w:r w:rsidRPr="00275521">
              <w:t>-</w:t>
            </w:r>
          </w:p>
        </w:tc>
        <w:tc>
          <w:tcPr>
            <w:tcW w:w="820" w:type="pct"/>
            <w:vAlign w:val="center"/>
          </w:tcPr>
          <w:p w14:paraId="3791C497" w14:textId="09E74ACB" w:rsidR="00E11C0C" w:rsidRPr="00067215" w:rsidRDefault="00E11C0C" w:rsidP="008B6633">
            <w:pPr>
              <w:pStyle w:val="TableText0"/>
              <w:jc w:val="center"/>
            </w:pPr>
            <w:r w:rsidRPr="00067215">
              <w:t>$</w:t>
            </w:r>
            <w:r w:rsidR="006C4DC1" w:rsidRPr="006C4DC1">
              <w:rPr>
                <w:sz w:val="2"/>
                <w:highlight w:val="black"/>
              </w:rPr>
              <w:t>redacted content</w:t>
            </w:r>
          </w:p>
        </w:tc>
        <w:tc>
          <w:tcPr>
            <w:tcW w:w="8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920901" w14:textId="1C64329A" w:rsidR="00E11C0C" w:rsidRPr="00275521" w:rsidRDefault="00E11C0C" w:rsidP="008B6633">
            <w:pPr>
              <w:pStyle w:val="TableText0"/>
              <w:jc w:val="center"/>
            </w:pPr>
            <w:r w:rsidRPr="00275521">
              <w:rPr>
                <w:rFonts w:cstheme="minorHAnsi"/>
                <w:color w:val="000000"/>
                <w:szCs w:val="20"/>
              </w:rPr>
              <w:t>$</w:t>
            </w:r>
            <w:r w:rsidR="006C4DC1" w:rsidRPr="006C4DC1">
              <w:rPr>
                <w:rFonts w:cstheme="minorHAnsi"/>
                <w:color w:val="000000"/>
                <w:sz w:val="2"/>
                <w:szCs w:val="20"/>
                <w:highlight w:val="black"/>
              </w:rPr>
              <w:t>redacted content</w:t>
            </w:r>
          </w:p>
        </w:tc>
        <w:tc>
          <w:tcPr>
            <w:tcW w:w="860" w:type="pct"/>
          </w:tcPr>
          <w:p w14:paraId="5CAFF5A7" w14:textId="57DCB22C" w:rsidR="00E11C0C" w:rsidRPr="00275521" w:rsidRDefault="00E11C0C" w:rsidP="008B6633">
            <w:pPr>
              <w:pStyle w:val="TableText0"/>
              <w:jc w:val="center"/>
              <w:rPr>
                <w:rFonts w:cstheme="minorHAnsi"/>
                <w:color w:val="000000"/>
                <w:szCs w:val="20"/>
              </w:rPr>
            </w:pPr>
            <w:r w:rsidRPr="00275521">
              <w:rPr>
                <w:rFonts w:cstheme="minorHAnsi"/>
                <w:color w:val="000000"/>
                <w:szCs w:val="20"/>
              </w:rPr>
              <w:t>$</w:t>
            </w:r>
            <w:r w:rsidR="006C4DC1" w:rsidRPr="006C4DC1">
              <w:rPr>
                <w:rFonts w:cstheme="minorHAnsi"/>
                <w:color w:val="000000"/>
                <w:sz w:val="2"/>
                <w:szCs w:val="20"/>
                <w:highlight w:val="black"/>
              </w:rPr>
              <w:t>redacted content</w:t>
            </w:r>
          </w:p>
        </w:tc>
      </w:tr>
      <w:tr w:rsidR="00E11C0C" w:rsidRPr="00275521" w14:paraId="06512171" w14:textId="36960FDD" w:rsidTr="00E11C0C">
        <w:trPr>
          <w:cantSplit/>
          <w:jc w:val="center"/>
        </w:trPr>
        <w:tc>
          <w:tcPr>
            <w:tcW w:w="820" w:type="pct"/>
            <w:vAlign w:val="center"/>
          </w:tcPr>
          <w:p w14:paraId="6EB9C80D" w14:textId="64295727" w:rsidR="00E11C0C" w:rsidRPr="00275521" w:rsidRDefault="00E11C0C" w:rsidP="008B6633">
            <w:pPr>
              <w:pStyle w:val="TableText0"/>
            </w:pPr>
            <w:r w:rsidRPr="00275521">
              <w:t>Cost per year</w:t>
            </w:r>
          </w:p>
        </w:tc>
        <w:tc>
          <w:tcPr>
            <w:tcW w:w="820" w:type="pct"/>
            <w:vAlign w:val="center"/>
          </w:tcPr>
          <w:p w14:paraId="683C9E98" w14:textId="10C4FC05" w:rsidR="00E11C0C" w:rsidRPr="00067215" w:rsidRDefault="00E11C0C" w:rsidP="008B6633">
            <w:pPr>
              <w:pStyle w:val="TableText0"/>
              <w:jc w:val="center"/>
            </w:pPr>
            <w:r w:rsidRPr="00067215">
              <w:t>$</w:t>
            </w:r>
            <w:r w:rsidR="006C4DC1" w:rsidRPr="006C4DC1">
              <w:rPr>
                <w:sz w:val="2"/>
                <w:highlight w:val="black"/>
              </w:rPr>
              <w:t>redacted content</w:t>
            </w:r>
          </w:p>
        </w:tc>
        <w:tc>
          <w:tcPr>
            <w:tcW w:w="820" w:type="pct"/>
            <w:vAlign w:val="center"/>
          </w:tcPr>
          <w:p w14:paraId="789D216E" w14:textId="0E912614" w:rsidR="00E11C0C" w:rsidRPr="00067215" w:rsidRDefault="00E11C0C" w:rsidP="008B6633">
            <w:pPr>
              <w:pStyle w:val="TableText0"/>
              <w:jc w:val="center"/>
              <w:rPr>
                <w:vertAlign w:val="superscript"/>
              </w:rPr>
            </w:pPr>
            <w:r w:rsidRPr="00067215">
              <w:t>$</w:t>
            </w:r>
            <w:r w:rsidR="006C4DC1" w:rsidRPr="006C4DC1">
              <w:rPr>
                <w:sz w:val="2"/>
                <w:highlight w:val="black"/>
              </w:rPr>
              <w:t>redacted content</w:t>
            </w:r>
            <w:r w:rsidRPr="00067215">
              <w:t xml:space="preserve"> </w:t>
            </w:r>
            <w:r w:rsidRPr="00067215">
              <w:rPr>
                <w:vertAlign w:val="superscript"/>
              </w:rPr>
              <w:t>b</w:t>
            </w:r>
          </w:p>
        </w:tc>
        <w:tc>
          <w:tcPr>
            <w:tcW w:w="820" w:type="pct"/>
            <w:vAlign w:val="center"/>
          </w:tcPr>
          <w:p w14:paraId="3F186E99" w14:textId="3A9AE4AD" w:rsidR="00E11C0C" w:rsidRPr="00067215" w:rsidRDefault="00E11C0C" w:rsidP="008B6633">
            <w:pPr>
              <w:pStyle w:val="TableText0"/>
              <w:jc w:val="center"/>
            </w:pPr>
            <w:r w:rsidRPr="00067215">
              <w:t>$</w:t>
            </w:r>
            <w:r w:rsidR="006C4DC1" w:rsidRPr="006C4DC1">
              <w:rPr>
                <w:sz w:val="2"/>
                <w:highlight w:val="black"/>
              </w:rPr>
              <w:t>redacted content</w:t>
            </w:r>
          </w:p>
        </w:tc>
        <w:tc>
          <w:tcPr>
            <w:tcW w:w="8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04DA1B" w14:textId="30284AED" w:rsidR="00E11C0C" w:rsidRPr="00275521" w:rsidRDefault="00E11C0C" w:rsidP="008B6633">
            <w:pPr>
              <w:pStyle w:val="TableText0"/>
              <w:jc w:val="center"/>
              <w:rPr>
                <w:vertAlign w:val="superscript"/>
              </w:rPr>
            </w:pPr>
            <w:r w:rsidRPr="00275521">
              <w:rPr>
                <w:rFonts w:cstheme="minorHAnsi"/>
                <w:color w:val="000000"/>
                <w:szCs w:val="20"/>
              </w:rPr>
              <w:t>$</w:t>
            </w:r>
            <w:r w:rsidR="006C4DC1" w:rsidRPr="006C4DC1">
              <w:rPr>
                <w:rFonts w:cstheme="minorHAnsi"/>
                <w:color w:val="000000"/>
                <w:sz w:val="2"/>
                <w:szCs w:val="20"/>
                <w:highlight w:val="black"/>
              </w:rPr>
              <w:t>redacted content</w:t>
            </w:r>
            <w:r w:rsidRPr="00275521">
              <w:rPr>
                <w:rFonts w:cstheme="minorHAnsi"/>
                <w:color w:val="000000"/>
                <w:szCs w:val="20"/>
              </w:rPr>
              <w:t xml:space="preserve"> </w:t>
            </w:r>
          </w:p>
        </w:tc>
        <w:tc>
          <w:tcPr>
            <w:tcW w:w="860" w:type="pct"/>
          </w:tcPr>
          <w:p w14:paraId="2E195200" w14:textId="6BC98365" w:rsidR="00E11C0C" w:rsidRPr="00275521" w:rsidRDefault="00E11C0C" w:rsidP="008B6633">
            <w:pPr>
              <w:pStyle w:val="TableText0"/>
              <w:jc w:val="center"/>
              <w:rPr>
                <w:rFonts w:cstheme="minorHAnsi"/>
                <w:color w:val="000000"/>
                <w:szCs w:val="20"/>
              </w:rPr>
            </w:pPr>
            <w:r w:rsidRPr="00275521">
              <w:rPr>
                <w:rFonts w:cstheme="minorHAnsi"/>
                <w:color w:val="000000"/>
                <w:szCs w:val="20"/>
              </w:rPr>
              <w:t>$</w:t>
            </w:r>
            <w:r w:rsidR="006C4DC1" w:rsidRPr="006C4DC1">
              <w:rPr>
                <w:rFonts w:cstheme="minorHAnsi"/>
                <w:color w:val="000000"/>
                <w:sz w:val="2"/>
                <w:szCs w:val="20"/>
                <w:highlight w:val="black"/>
              </w:rPr>
              <w:t>redacted content</w:t>
            </w:r>
          </w:p>
        </w:tc>
      </w:tr>
    </w:tbl>
    <w:p w14:paraId="3DBFE151" w14:textId="0FDA9128" w:rsidR="00494207" w:rsidRPr="00275521" w:rsidRDefault="00494207" w:rsidP="008B6633">
      <w:pPr>
        <w:pStyle w:val="FooterTableFigure"/>
      </w:pPr>
      <w:r w:rsidRPr="00275521">
        <w:t xml:space="preserve">Source: </w:t>
      </w:r>
      <w:bookmarkStart w:id="79" w:name="_Hlk107307804"/>
      <w:r w:rsidR="0097538F" w:rsidRPr="00275521">
        <w:t xml:space="preserve">Compiled from information in </w:t>
      </w:r>
      <w:r w:rsidR="0096784B" w:rsidRPr="00275521">
        <w:t xml:space="preserve">Table 24 March 2025 PBAC Meeting; ASSERT mean patient weight from Table 2-9, p54 of the submission; </w:t>
      </w:r>
      <w:r w:rsidR="0097538F" w:rsidRPr="00275521">
        <w:t>Undiscounted costs from Economic model ‘Results’ worksheet; Financial workbook ‘3c. Impact – proposed (eff)’.</w:t>
      </w:r>
    </w:p>
    <w:p w14:paraId="3756D11B" w14:textId="3FBD2091" w:rsidR="0097538F" w:rsidRPr="00275521" w:rsidRDefault="0097538F" w:rsidP="008B6633">
      <w:pPr>
        <w:pStyle w:val="FooterTableFigure"/>
      </w:pPr>
      <w:r w:rsidRPr="00275521">
        <w:t xml:space="preserve">Abbreviations: AEMP = approved ex-manufacturer price; </w:t>
      </w:r>
      <w:r w:rsidR="00E00449" w:rsidRPr="00275521">
        <w:t xml:space="preserve">EAP = early access program; </w:t>
      </w:r>
      <w:r w:rsidRPr="00275521">
        <w:t>NR = not reported; PFIC = progressive familial intrahepatic cholestasis</w:t>
      </w:r>
    </w:p>
    <w:p w14:paraId="2BAB0F80" w14:textId="3E26E18A" w:rsidR="0097538F" w:rsidRPr="00275521" w:rsidRDefault="0097538F" w:rsidP="008B6633">
      <w:pPr>
        <w:pStyle w:val="FooterTableFigure"/>
        <w:rPr>
          <w:color w:val="000000" w:themeColor="text1"/>
        </w:rPr>
      </w:pPr>
      <w:r w:rsidRPr="00275521">
        <w:rPr>
          <w:color w:val="000000" w:themeColor="text1"/>
          <w:vertAlign w:val="superscript"/>
        </w:rPr>
        <w:t xml:space="preserve">a </w:t>
      </w:r>
      <w:r w:rsidRPr="00275521">
        <w:rPr>
          <w:color w:val="000000" w:themeColor="text1"/>
        </w:rPr>
        <w:t>Daily dose calculated by multiplying patient weight and mean dose. For example, 120 µg x 18.6kg = 2,232 µg</w:t>
      </w:r>
    </w:p>
    <w:p w14:paraId="320313CB" w14:textId="15276376" w:rsidR="0097538F" w:rsidRPr="00275521" w:rsidRDefault="0097538F" w:rsidP="008B6633">
      <w:pPr>
        <w:pStyle w:val="FooterTableFigure"/>
        <w:rPr>
          <w:color w:val="000000" w:themeColor="text1"/>
        </w:rPr>
      </w:pPr>
      <w:r w:rsidRPr="00275521">
        <w:rPr>
          <w:color w:val="000000" w:themeColor="text1"/>
          <w:vertAlign w:val="superscript"/>
        </w:rPr>
        <w:t xml:space="preserve">b </w:t>
      </w:r>
      <w:r w:rsidRPr="00275521">
        <w:rPr>
          <w:color w:val="000000" w:themeColor="text1"/>
        </w:rPr>
        <w:t xml:space="preserve">Undiscounted </w:t>
      </w:r>
      <w:r w:rsidR="00016208" w:rsidRPr="00275521">
        <w:rPr>
          <w:color w:val="000000" w:themeColor="text1"/>
        </w:rPr>
        <w:t>odevixibat drug</w:t>
      </w:r>
      <w:r w:rsidRPr="00275521">
        <w:rPr>
          <w:color w:val="000000" w:themeColor="text1"/>
        </w:rPr>
        <w:t xml:space="preserve"> costs per patient $</w:t>
      </w:r>
      <w:r w:rsidR="006C4DC1" w:rsidRPr="006C4DC1">
        <w:rPr>
          <w:color w:val="000000" w:themeColor="text1"/>
          <w:sz w:val="2"/>
          <w:highlight w:val="black"/>
        </w:rPr>
        <w:t>redacted content</w:t>
      </w:r>
      <w:r w:rsidRPr="00275521">
        <w:rPr>
          <w:color w:val="000000" w:themeColor="text1"/>
        </w:rPr>
        <w:t xml:space="preserve"> (Cell </w:t>
      </w:r>
      <w:r w:rsidR="00016208" w:rsidRPr="00275521">
        <w:rPr>
          <w:color w:val="000000" w:themeColor="text1"/>
        </w:rPr>
        <w:t>E</w:t>
      </w:r>
      <w:r w:rsidRPr="00275521">
        <w:rPr>
          <w:color w:val="000000" w:themeColor="text1"/>
        </w:rPr>
        <w:t xml:space="preserve">67 ‘Results’) divided by </w:t>
      </w:r>
      <w:r w:rsidR="00016208" w:rsidRPr="00275521">
        <w:rPr>
          <w:color w:val="000000" w:themeColor="text1"/>
        </w:rPr>
        <w:t>modelled</w:t>
      </w:r>
      <w:r w:rsidRPr="00275521">
        <w:rPr>
          <w:color w:val="000000" w:themeColor="text1"/>
        </w:rPr>
        <w:t xml:space="preserve"> mean treatment duration (</w:t>
      </w:r>
      <w:r w:rsidR="00016208" w:rsidRPr="00275521">
        <w:rPr>
          <w:color w:val="000000" w:themeColor="text1"/>
        </w:rPr>
        <w:t xml:space="preserve">i.e. </w:t>
      </w:r>
      <w:r w:rsidRPr="00275521">
        <w:rPr>
          <w:color w:val="000000" w:themeColor="text1"/>
        </w:rPr>
        <w:t>$</w:t>
      </w:r>
      <w:r w:rsidR="006C4DC1" w:rsidRPr="006C4DC1">
        <w:rPr>
          <w:color w:val="000000" w:themeColor="text1"/>
          <w:sz w:val="2"/>
          <w:highlight w:val="black"/>
        </w:rPr>
        <w:t>redacted content</w:t>
      </w:r>
      <w:r w:rsidR="00016208" w:rsidRPr="00275521">
        <w:rPr>
          <w:color w:val="000000" w:themeColor="text1"/>
        </w:rPr>
        <w:t xml:space="preserve"> </w:t>
      </w:r>
      <w:r w:rsidRPr="00275521">
        <w:rPr>
          <w:color w:val="000000" w:themeColor="text1"/>
        </w:rPr>
        <w:t>/ 12.63</w:t>
      </w:r>
      <w:r w:rsidR="00016208" w:rsidRPr="00275521">
        <w:rPr>
          <w:color w:val="000000" w:themeColor="text1"/>
        </w:rPr>
        <w:t xml:space="preserve"> years</w:t>
      </w:r>
      <w:r w:rsidRPr="00275521">
        <w:rPr>
          <w:color w:val="000000" w:themeColor="text1"/>
        </w:rPr>
        <w:t xml:space="preserve"> =</w:t>
      </w:r>
      <w:r w:rsidR="00016208" w:rsidRPr="00275521">
        <w:rPr>
          <w:color w:val="000000" w:themeColor="text1"/>
        </w:rPr>
        <w:t xml:space="preserve"> $</w:t>
      </w:r>
      <w:r w:rsidR="006C4DC1" w:rsidRPr="006C4DC1">
        <w:rPr>
          <w:color w:val="000000" w:themeColor="text1"/>
          <w:sz w:val="2"/>
          <w:highlight w:val="black"/>
        </w:rPr>
        <w:t>redacted content</w:t>
      </w:r>
      <w:r w:rsidR="00016208" w:rsidRPr="00275521">
        <w:rPr>
          <w:color w:val="000000" w:themeColor="text1"/>
        </w:rPr>
        <w:t xml:space="preserve"> per year)</w:t>
      </w:r>
      <w:r w:rsidR="003E6BDA" w:rsidRPr="00275521">
        <w:rPr>
          <w:color w:val="000000" w:themeColor="text1"/>
        </w:rPr>
        <w:t xml:space="preserve">. </w:t>
      </w:r>
    </w:p>
    <w:p w14:paraId="18312CB1" w14:textId="77777777" w:rsidR="004B73F8" w:rsidRPr="00275521" w:rsidRDefault="00884823" w:rsidP="008B6633">
      <w:pPr>
        <w:pStyle w:val="FooterTableFigure"/>
        <w:rPr>
          <w:color w:val="000000" w:themeColor="text1"/>
        </w:rPr>
      </w:pPr>
      <w:r w:rsidRPr="00275521">
        <w:rPr>
          <w:color w:val="000000" w:themeColor="text1"/>
          <w:vertAlign w:val="superscript"/>
        </w:rPr>
        <w:t xml:space="preserve">c </w:t>
      </w:r>
      <w:r w:rsidRPr="00275521">
        <w:rPr>
          <w:color w:val="000000" w:themeColor="text1"/>
        </w:rPr>
        <w:t>400 µg x 4.51</w:t>
      </w:r>
      <w:r w:rsidR="004B73F8" w:rsidRPr="00275521">
        <w:rPr>
          <w:color w:val="000000" w:themeColor="text1"/>
        </w:rPr>
        <w:t xml:space="preserve"> </w:t>
      </w:r>
    </w:p>
    <w:p w14:paraId="635A52F5" w14:textId="2163A725" w:rsidR="0097538F" w:rsidRPr="0059385D" w:rsidRDefault="00016208" w:rsidP="008B6633">
      <w:pPr>
        <w:pStyle w:val="3-BodyText"/>
        <w:spacing w:before="160"/>
      </w:pPr>
      <w:bookmarkStart w:id="80" w:name="_Ref222746130"/>
      <w:r w:rsidRPr="0059385D">
        <w:t xml:space="preserve">The cost per patient per year varied between the ASSERT trial, economic </w:t>
      </w:r>
      <w:r w:rsidR="003E6BDA" w:rsidRPr="0059385D">
        <w:t>model,</w:t>
      </w:r>
      <w:r w:rsidRPr="0059385D">
        <w:t xml:space="preserve"> and financial estimates </w:t>
      </w:r>
      <w:r w:rsidR="00D87FE8" w:rsidRPr="0059385D">
        <w:t>due to the use of</w:t>
      </w:r>
      <w:r w:rsidRPr="0059385D">
        <w:t xml:space="preserve"> differ</w:t>
      </w:r>
      <w:r w:rsidR="00D87FE8" w:rsidRPr="0059385D">
        <w:t xml:space="preserve">ent </w:t>
      </w:r>
      <w:r w:rsidRPr="0059385D">
        <w:t xml:space="preserve">patient weights. </w:t>
      </w:r>
      <w:r w:rsidR="00DB3A1C">
        <w:t>I</w:t>
      </w:r>
      <w:r w:rsidRPr="0059385D">
        <w:t xml:space="preserve">n practice, the number of tablets per day would be rounded, i.e. the cost per year between a patient weighing 18.7kg and 19.7kg would likely be equivalent as both patients fall within the 17.5 </w:t>
      </w:r>
      <w:r w:rsidR="00C61918" w:rsidRPr="0059385D">
        <w:t xml:space="preserve">to </w:t>
      </w:r>
      <w:r w:rsidRPr="0059385D">
        <w:t>&lt;25.5kg weight category for dosing.</w:t>
      </w:r>
      <w:bookmarkEnd w:id="80"/>
    </w:p>
    <w:p w14:paraId="5788CF8B" w14:textId="16E67719" w:rsidR="00016208" w:rsidRPr="0059385D" w:rsidRDefault="00016208" w:rsidP="008B6633">
      <w:pPr>
        <w:pStyle w:val="3-BodyText"/>
        <w:spacing w:before="160"/>
      </w:pPr>
      <w:r w:rsidRPr="0059385D">
        <w:t xml:space="preserve">The economic model cost per patient per year was </w:t>
      </w:r>
      <w:r w:rsidR="00C1259D" w:rsidRPr="0059385D">
        <w:t xml:space="preserve">notably higher than the trial based and financial estimates. This was due to the model assuming a </w:t>
      </w:r>
      <w:r w:rsidR="009138E7" w:rsidRPr="0059385D">
        <w:t xml:space="preserve">substantial </w:t>
      </w:r>
      <w:r w:rsidR="00C1259D" w:rsidRPr="0059385D">
        <w:t xml:space="preserve">proportion of patients remain on treatment for </w:t>
      </w:r>
      <w:r w:rsidR="009138E7" w:rsidRPr="0059385D">
        <w:t>more than 10 years</w:t>
      </w:r>
      <w:r w:rsidR="00C1259D" w:rsidRPr="0059385D">
        <w:t xml:space="preserve">. For instance, </w:t>
      </w:r>
      <w:r w:rsidR="000F5DD7" w:rsidRPr="0059385D">
        <w:t xml:space="preserve">the </w:t>
      </w:r>
      <w:r w:rsidR="00C1259D" w:rsidRPr="0059385D">
        <w:t xml:space="preserve">responder population </w:t>
      </w:r>
      <w:r w:rsidR="00C61918" w:rsidRPr="0059385D">
        <w:t xml:space="preserve">in the odevixibat arm </w:t>
      </w:r>
      <w:r w:rsidR="00C1259D" w:rsidRPr="0059385D">
        <w:t>remains at 43% at Year 10,</w:t>
      </w:r>
      <w:r w:rsidR="009138E7" w:rsidRPr="0059385D">
        <w:t xml:space="preserve"> declining to</w:t>
      </w:r>
      <w:r w:rsidR="00C1259D" w:rsidRPr="0059385D">
        <w:t xml:space="preserve"> 23% at Year 20</w:t>
      </w:r>
      <w:r w:rsidR="009138E7" w:rsidRPr="0059385D">
        <w:t xml:space="preserve"> </w:t>
      </w:r>
      <w:r w:rsidR="00C1259D" w:rsidRPr="0059385D">
        <w:t>and 4% by Year 50</w:t>
      </w:r>
      <w:r w:rsidR="009138E7" w:rsidRPr="0059385D">
        <w:t>. Patients over 5</w:t>
      </w:r>
      <w:r w:rsidR="00225679" w:rsidRPr="0059385D">
        <w:t>5.5</w:t>
      </w:r>
      <w:r w:rsidR="009138E7" w:rsidRPr="0059385D">
        <w:t>kg (</w:t>
      </w:r>
      <w:r w:rsidR="009138E7" w:rsidRPr="0059385D">
        <w:rPr>
          <w:rFonts w:cstheme="minorHAnsi"/>
        </w:rPr>
        <w:t>≈</w:t>
      </w:r>
      <w:r w:rsidR="009138E7" w:rsidRPr="0059385D">
        <w:t xml:space="preserve">14–15 years and older per the submission’s weight assumptions) require the maximum dosing according to the </w:t>
      </w:r>
      <w:r w:rsidR="009138E7" w:rsidRPr="0059385D">
        <w:lastRenderedPageBreak/>
        <w:t>product information of 6 x 1,200 µg tablets (7,200 µg per day</w:t>
      </w:r>
      <w:r w:rsidR="00E00449" w:rsidRPr="0059385D">
        <w:t>; daily cost of $</w:t>
      </w:r>
      <w:r w:rsidR="006C4DC1" w:rsidRPr="006C4DC1">
        <w:rPr>
          <w:sz w:val="2"/>
          <w:highlight w:val="black"/>
        </w:rPr>
        <w:t>redacted content</w:t>
      </w:r>
      <w:r w:rsidR="00E00449" w:rsidRPr="0059385D">
        <w:t>; annual cost of $</w:t>
      </w:r>
      <w:r w:rsidR="006C4DC1" w:rsidRPr="006C4DC1">
        <w:rPr>
          <w:sz w:val="2"/>
          <w:highlight w:val="black"/>
        </w:rPr>
        <w:t>redacted content</w:t>
      </w:r>
      <w:r w:rsidR="006E5217" w:rsidRPr="0059385D">
        <w:t>) and</w:t>
      </w:r>
      <w:r w:rsidR="001A1D27" w:rsidRPr="0059385D">
        <w:t xml:space="preserve"> therefore accrue a higher average treatment cost</w:t>
      </w:r>
      <w:r w:rsidR="009138E7" w:rsidRPr="0059385D">
        <w:t>.</w:t>
      </w:r>
      <w:r w:rsidR="00E00449" w:rsidRPr="0059385D">
        <w:t xml:space="preserve"> </w:t>
      </w:r>
      <w:r w:rsidR="00DB3A1C">
        <w:t>T</w:t>
      </w:r>
      <w:r w:rsidR="00E00449" w:rsidRPr="0059385D">
        <w:t>he annual treatment cost increases significantly with patient weight.</w:t>
      </w:r>
    </w:p>
    <w:p w14:paraId="4567C700" w14:textId="7AC5880E" w:rsidR="00E00449" w:rsidRPr="00373E23" w:rsidRDefault="00E00449" w:rsidP="008B6633">
      <w:pPr>
        <w:pStyle w:val="3-BodyText"/>
        <w:spacing w:before="160"/>
      </w:pPr>
      <w:bookmarkStart w:id="81" w:name="_Ref226361999"/>
      <w:r w:rsidRPr="00373E23">
        <w:t xml:space="preserve">The submission claimed that the annual drug cost based on the </w:t>
      </w:r>
      <w:r w:rsidR="00943375">
        <w:t xml:space="preserve">average age of a patient in the </w:t>
      </w:r>
      <w:r w:rsidRPr="00373E23">
        <w:t xml:space="preserve">Australian early access program </w:t>
      </w:r>
      <w:r w:rsidR="00943375">
        <w:t>($</w:t>
      </w:r>
      <w:r w:rsidR="006C4DC1" w:rsidRPr="006C4DC1">
        <w:rPr>
          <w:sz w:val="2"/>
          <w:highlight w:val="black"/>
        </w:rPr>
        <w:t>redacted content</w:t>
      </w:r>
      <w:r w:rsidR="006C4DC1" w:rsidRPr="006C4DC1">
        <w:t xml:space="preserve"> </w:t>
      </w:r>
      <w:r w:rsidR="006C4DC1" w:rsidRPr="006C4DC1">
        <w:rPr>
          <w:sz w:val="2"/>
          <w:highlight w:val="black"/>
        </w:rPr>
        <w:t>redacted content</w:t>
      </w:r>
      <w:r w:rsidR="00943375">
        <w:t xml:space="preserve">) </w:t>
      </w:r>
      <w:r w:rsidRPr="00373E23">
        <w:t>closely aligned to the annual cost of $</w:t>
      </w:r>
      <w:r w:rsidR="006C4DC1" w:rsidRPr="006C4DC1">
        <w:rPr>
          <w:sz w:val="2"/>
          <w:highlight w:val="black"/>
        </w:rPr>
        <w:t>redacted content</w:t>
      </w:r>
      <w:r w:rsidRPr="00373E23">
        <w:t xml:space="preserve"> per patient accepted for the PFIC July-2025 submission. Th</w:t>
      </w:r>
      <w:r w:rsidR="00F77B7A" w:rsidRPr="00373E23">
        <w:t xml:space="preserve">e </w:t>
      </w:r>
      <w:r w:rsidR="00F77B7A" w:rsidRPr="00373E23">
        <w:rPr>
          <w:rFonts w:eastAsia="Calibri" w:cstheme="minorHAnsi"/>
        </w:rPr>
        <w:t>evaluation considered that th</w:t>
      </w:r>
      <w:r w:rsidRPr="00373E23">
        <w:t>is comparison may not be reasonable as different patient ages were used to estimate each annual cost. A much younger patient population was assumed for the ALGS population compared to the July 2025 PFIC proposal (4.4 years versus 13 years, respectively). All else being equal, a dosage of 120 µg/kg/day will be three times that of 40 µg/kg/day</w:t>
      </w:r>
      <w:r w:rsidR="001A1D27" w:rsidRPr="00373E23">
        <w:t xml:space="preserve"> </w:t>
      </w:r>
      <w:r w:rsidRPr="00373E23">
        <w:t>at an AEMP of $</w:t>
      </w:r>
      <w:r w:rsidR="006C4DC1" w:rsidRPr="006C4DC1">
        <w:rPr>
          <w:sz w:val="2"/>
          <w:highlight w:val="black"/>
        </w:rPr>
        <w:t>redacted content</w:t>
      </w:r>
      <w:r w:rsidRPr="00373E23">
        <w:t xml:space="preserve"> / mcg.</w:t>
      </w:r>
      <w:r w:rsidR="00E0614D" w:rsidRPr="00373E23">
        <w:t xml:space="preserve"> The PSCR claimed that ALGS patients are notably younger than those with </w:t>
      </w:r>
      <w:r w:rsidR="003011DE" w:rsidRPr="00373E23">
        <w:t>PFIC</w:t>
      </w:r>
      <w:r w:rsidR="00E0614D" w:rsidRPr="00373E23">
        <w:t xml:space="preserve">, commonly diagnosed within the first few months of life. However, </w:t>
      </w:r>
      <w:r w:rsidR="004046C9" w:rsidRPr="00373E23">
        <w:t>the ESC noted</w:t>
      </w:r>
      <w:r w:rsidR="00E0614D" w:rsidRPr="00373E23">
        <w:t xml:space="preserve"> patients with PFIC1 and PFIC2 (the most common subtypes) also frequently show clinical indications of cholestasis in the first few months of infancy. In addition, the mean age of the PEDFIC 1 (N=62) PFIC cohort was younger than the ASSERT (N=52) cohort (4.25 years and 6.29 years, respectively</w:t>
      </w:r>
      <w:r w:rsidR="00995E3B" w:rsidRPr="00373E23">
        <w:t>) and</w:t>
      </w:r>
      <w:r w:rsidR="00E4079A" w:rsidRPr="00373E23">
        <w:t xml:space="preserve"> differed to the </w:t>
      </w:r>
      <w:r w:rsidR="00E0614D" w:rsidRPr="00373E23">
        <w:t>baseline age of 0.5 years</w:t>
      </w:r>
      <w:r w:rsidR="006414C9" w:rsidRPr="00373E23">
        <w:t xml:space="preserve"> used in the economic model.</w:t>
      </w:r>
      <w:bookmarkEnd w:id="81"/>
      <w:r w:rsidR="00D95B81">
        <w:t xml:space="preserve"> The PBAC considered comparing </w:t>
      </w:r>
      <w:r w:rsidR="00663CAC">
        <w:t xml:space="preserve">the cost per patient per year across patients with different weights was not appropriate. </w:t>
      </w:r>
    </w:p>
    <w:p w14:paraId="268768EF" w14:textId="3626F292" w:rsidR="00B60939" w:rsidRPr="0059385D" w:rsidRDefault="00B60939" w:rsidP="008B6633">
      <w:pPr>
        <w:pStyle w:val="4-SubsectionHeading"/>
        <w:rPr>
          <w:iCs/>
        </w:rPr>
      </w:pPr>
      <w:bookmarkStart w:id="82" w:name="_Toc22897647"/>
      <w:bookmarkStart w:id="83" w:name="_Toc219900854"/>
      <w:bookmarkEnd w:id="79"/>
      <w:r w:rsidRPr="0059385D">
        <w:t>Estimated PBS usage &amp; financial implications</w:t>
      </w:r>
      <w:bookmarkEnd w:id="82"/>
      <w:bookmarkEnd w:id="83"/>
    </w:p>
    <w:p w14:paraId="208EF9FB" w14:textId="6BC278D2" w:rsidR="001A1D27" w:rsidRPr="0059385D" w:rsidRDefault="00C25D9C" w:rsidP="008B6633">
      <w:pPr>
        <w:pStyle w:val="3-BodyText"/>
        <w:spacing w:before="160"/>
        <w:rPr>
          <w:color w:val="0066FF"/>
        </w:rPr>
      </w:pPr>
      <w:r w:rsidRPr="0059385D">
        <w:t xml:space="preserve">This submission </w:t>
      </w:r>
      <w:r w:rsidR="00B201A4" w:rsidRPr="0059385D">
        <w:t>w</w:t>
      </w:r>
      <w:r w:rsidR="00C11C7B" w:rsidRPr="0059385D">
        <w:t xml:space="preserve">as </w:t>
      </w:r>
      <w:r w:rsidRPr="0059385D">
        <w:t>not considered by DUSC</w:t>
      </w:r>
      <w:r w:rsidR="001A1D27" w:rsidRPr="0059385D">
        <w:rPr>
          <w:color w:val="000000" w:themeColor="text1"/>
        </w:rPr>
        <w:t>.</w:t>
      </w:r>
    </w:p>
    <w:p w14:paraId="04B31D2D" w14:textId="20607629" w:rsidR="0072416F" w:rsidRPr="0059385D" w:rsidRDefault="001A1D27" w:rsidP="008B6633">
      <w:pPr>
        <w:pStyle w:val="3-BodyText"/>
        <w:spacing w:before="160"/>
        <w:rPr>
          <w:color w:val="000000" w:themeColor="text1"/>
        </w:rPr>
      </w:pPr>
      <w:r w:rsidRPr="0059385D">
        <w:rPr>
          <w:color w:val="000000" w:themeColor="text1"/>
        </w:rPr>
        <w:t>The submission used an epidemiological approach to estimate the use and financial implications of listing odevixibat for ALGS patients with cholestatic pruritus.</w:t>
      </w:r>
      <w:r w:rsidR="004658B5" w:rsidRPr="0059385D">
        <w:rPr>
          <w:color w:val="000000" w:themeColor="text1"/>
        </w:rPr>
        <w:t xml:space="preserve"> </w:t>
      </w:r>
      <w:r w:rsidRPr="0059385D">
        <w:rPr>
          <w:color w:val="000000" w:themeColor="text1"/>
        </w:rPr>
        <w:t xml:space="preserve">The key data sources and primary assumptions used in the submission’s utilisation and cost model are presented in </w:t>
      </w:r>
      <w:r w:rsidRPr="0059385D">
        <w:rPr>
          <w:color w:val="000000" w:themeColor="text1"/>
        </w:rPr>
        <w:fldChar w:fldCharType="begin"/>
      </w:r>
      <w:r w:rsidRPr="0059385D">
        <w:rPr>
          <w:color w:val="000000" w:themeColor="text1"/>
        </w:rPr>
        <w:instrText xml:space="preserve"> REF _Ref104805262 \h </w:instrText>
      </w:r>
      <w:r w:rsidR="0059385D" w:rsidRPr="0059385D">
        <w:rPr>
          <w:color w:val="000000" w:themeColor="text1"/>
        </w:rPr>
        <w:instrText xml:space="preserve"> \* MERGEFORMAT </w:instrText>
      </w:r>
      <w:r w:rsidRPr="0059385D">
        <w:rPr>
          <w:color w:val="000000" w:themeColor="text1"/>
        </w:rPr>
      </w:r>
      <w:r w:rsidRPr="0059385D">
        <w:rPr>
          <w:color w:val="000000" w:themeColor="text1"/>
        </w:rPr>
        <w:fldChar w:fldCharType="separate"/>
      </w:r>
      <w:r w:rsidR="0060088A" w:rsidRPr="00275521">
        <w:t xml:space="preserve">Table </w:t>
      </w:r>
      <w:r w:rsidR="0060088A">
        <w:rPr>
          <w:noProof/>
        </w:rPr>
        <w:t>19</w:t>
      </w:r>
      <w:r w:rsidRPr="0059385D">
        <w:rPr>
          <w:color w:val="000000" w:themeColor="text1"/>
        </w:rPr>
        <w:fldChar w:fldCharType="end"/>
      </w:r>
      <w:r w:rsidRPr="0059385D">
        <w:rPr>
          <w:color w:val="000000" w:themeColor="text1"/>
        </w:rPr>
        <w:t>.</w:t>
      </w:r>
    </w:p>
    <w:p w14:paraId="3393BCE7" w14:textId="3B47C549" w:rsidR="00E42F73" w:rsidRPr="00275521" w:rsidRDefault="00E16AD8" w:rsidP="008B6633">
      <w:pPr>
        <w:pStyle w:val="Caption"/>
        <w:spacing w:before="160"/>
        <w:rPr>
          <w:rStyle w:val="CommentReference"/>
          <w:b/>
          <w:szCs w:val="24"/>
        </w:rPr>
      </w:pPr>
      <w:bookmarkStart w:id="84" w:name="_Ref104805262"/>
      <w:r w:rsidRPr="00275521">
        <w:t xml:space="preserve">Table </w:t>
      </w:r>
      <w:fldSimple w:instr=" SEQ Table \* ARABIC ">
        <w:r w:rsidR="0060088A">
          <w:rPr>
            <w:noProof/>
          </w:rPr>
          <w:t>19</w:t>
        </w:r>
      </w:fldSimple>
      <w:bookmarkEnd w:id="84"/>
      <w:r w:rsidRPr="00275521">
        <w:t>:</w:t>
      </w:r>
      <w:r w:rsidR="00E42F73" w:rsidRPr="00275521">
        <w:rPr>
          <w:rStyle w:val="CommentReference"/>
          <w:b/>
          <w:szCs w:val="24"/>
        </w:rPr>
        <w:t xml:space="preserve">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Key inputs for financial estimates"/>
      </w:tblPr>
      <w:tblGrid>
        <w:gridCol w:w="1274"/>
        <w:gridCol w:w="4163"/>
        <w:gridCol w:w="3743"/>
      </w:tblGrid>
      <w:tr w:rsidR="00792603" w:rsidRPr="00275521" w14:paraId="1D726B92" w14:textId="77777777" w:rsidTr="00075F53">
        <w:trPr>
          <w:tblHeader/>
        </w:trPr>
        <w:tc>
          <w:tcPr>
            <w:tcW w:w="1129" w:type="dxa"/>
            <w:vAlign w:val="center"/>
          </w:tcPr>
          <w:p w14:paraId="14D6E1C5" w14:textId="77777777" w:rsidR="00E93504" w:rsidRPr="0059385D" w:rsidRDefault="00E93504" w:rsidP="008B6633">
            <w:pPr>
              <w:pStyle w:val="In-tableHeading"/>
              <w:rPr>
                <w:lang w:val="en-AU"/>
              </w:rPr>
            </w:pPr>
            <w:r w:rsidRPr="0059385D">
              <w:rPr>
                <w:lang w:val="en-AU"/>
              </w:rPr>
              <w:t>Data</w:t>
            </w:r>
          </w:p>
        </w:tc>
        <w:tc>
          <w:tcPr>
            <w:tcW w:w="4171" w:type="dxa"/>
            <w:vAlign w:val="center"/>
          </w:tcPr>
          <w:p w14:paraId="1F1BE53F" w14:textId="54B4D37D" w:rsidR="00E93504" w:rsidRPr="0059385D" w:rsidRDefault="00E93504" w:rsidP="008B6633">
            <w:pPr>
              <w:pStyle w:val="In-tableHeading"/>
              <w:rPr>
                <w:lang w:val="en-AU"/>
              </w:rPr>
            </w:pPr>
            <w:r w:rsidRPr="0059385D">
              <w:rPr>
                <w:lang w:val="en-AU"/>
              </w:rPr>
              <w:t>Value / Source</w:t>
            </w:r>
          </w:p>
        </w:tc>
        <w:tc>
          <w:tcPr>
            <w:tcW w:w="3880" w:type="dxa"/>
            <w:vAlign w:val="center"/>
          </w:tcPr>
          <w:p w14:paraId="0C3662A1" w14:textId="77777777" w:rsidR="00E93504" w:rsidRPr="0059385D" w:rsidRDefault="00E93504" w:rsidP="008B6633">
            <w:pPr>
              <w:pStyle w:val="In-tableHeading"/>
              <w:rPr>
                <w:lang w:val="en-AU"/>
              </w:rPr>
            </w:pPr>
            <w:r w:rsidRPr="0059385D">
              <w:rPr>
                <w:lang w:val="en-AU"/>
              </w:rPr>
              <w:t>Comment</w:t>
            </w:r>
          </w:p>
        </w:tc>
      </w:tr>
      <w:tr w:rsidR="00311DF9" w:rsidRPr="00275521" w14:paraId="0558024F" w14:textId="77777777">
        <w:tc>
          <w:tcPr>
            <w:tcW w:w="9180" w:type="dxa"/>
            <w:gridSpan w:val="3"/>
            <w:vAlign w:val="center"/>
          </w:tcPr>
          <w:p w14:paraId="4995728A" w14:textId="77777777" w:rsidR="001A1D27" w:rsidRPr="0059385D" w:rsidRDefault="001A1D27" w:rsidP="008B6633">
            <w:pPr>
              <w:pStyle w:val="In-tableHeading"/>
              <w:rPr>
                <w:lang w:val="en-AU"/>
              </w:rPr>
            </w:pPr>
            <w:r w:rsidRPr="0059385D">
              <w:rPr>
                <w:lang w:val="en-AU"/>
              </w:rPr>
              <w:t>Eligible population</w:t>
            </w:r>
          </w:p>
        </w:tc>
      </w:tr>
      <w:tr w:rsidR="00792603" w:rsidRPr="00275521" w14:paraId="454C6C8B" w14:textId="77777777" w:rsidTr="00075F53">
        <w:trPr>
          <w:cantSplit/>
        </w:trPr>
        <w:tc>
          <w:tcPr>
            <w:tcW w:w="1129" w:type="dxa"/>
          </w:tcPr>
          <w:p w14:paraId="1C5D52F0" w14:textId="77777777" w:rsidR="00E93504" w:rsidRPr="0059385D" w:rsidRDefault="00E93504" w:rsidP="008B6633">
            <w:pPr>
              <w:pStyle w:val="TableText0"/>
              <w:keepNext w:val="0"/>
              <w:keepLines w:val="0"/>
            </w:pPr>
            <w:r w:rsidRPr="0059385D">
              <w:t>Incident patients</w:t>
            </w:r>
          </w:p>
        </w:tc>
        <w:tc>
          <w:tcPr>
            <w:tcW w:w="4171" w:type="dxa"/>
          </w:tcPr>
          <w:p w14:paraId="76B520DF" w14:textId="77777777" w:rsidR="00E93504" w:rsidRPr="0059385D" w:rsidRDefault="00E93504" w:rsidP="008B6633">
            <w:pPr>
              <w:pStyle w:val="TableText0"/>
              <w:keepNext w:val="0"/>
              <w:keepLines w:val="0"/>
            </w:pPr>
            <w:r w:rsidRPr="0059385D">
              <w:t>Applied 1 in 30,000 live births.</w:t>
            </w:r>
          </w:p>
          <w:p w14:paraId="1DBB0705" w14:textId="77777777" w:rsidR="00E93504" w:rsidRPr="0059385D" w:rsidRDefault="00E93504" w:rsidP="008B6633">
            <w:pPr>
              <w:pStyle w:val="TableText0"/>
              <w:keepNext w:val="0"/>
              <w:keepLines w:val="0"/>
            </w:pPr>
            <w:r w:rsidRPr="0059385D">
              <w:t xml:space="preserve">Yr 1 (2026): 0 </w:t>
            </w:r>
          </w:p>
          <w:p w14:paraId="2B0915F9" w14:textId="77777777" w:rsidR="00E93504" w:rsidRPr="0059385D" w:rsidRDefault="00E93504" w:rsidP="008B6633">
            <w:pPr>
              <w:pStyle w:val="TableText0"/>
              <w:keepNext w:val="0"/>
              <w:keepLines w:val="0"/>
            </w:pPr>
            <w:r w:rsidRPr="0059385D">
              <w:t>Yr 2: 10</w:t>
            </w:r>
          </w:p>
          <w:p w14:paraId="169CAC0E" w14:textId="77777777" w:rsidR="00E93504" w:rsidRPr="0059385D" w:rsidRDefault="00E93504" w:rsidP="008B6633">
            <w:pPr>
              <w:pStyle w:val="TableText0"/>
              <w:keepNext w:val="0"/>
              <w:keepLines w:val="0"/>
            </w:pPr>
            <w:r w:rsidRPr="0059385D">
              <w:t>Yr 3: 10</w:t>
            </w:r>
          </w:p>
          <w:p w14:paraId="13814A37" w14:textId="77777777" w:rsidR="00E93504" w:rsidRPr="0059385D" w:rsidRDefault="00E93504" w:rsidP="008B6633">
            <w:pPr>
              <w:pStyle w:val="TableText0"/>
              <w:keepNext w:val="0"/>
              <w:keepLines w:val="0"/>
            </w:pPr>
            <w:r w:rsidRPr="0059385D">
              <w:t>Yr 4: 11</w:t>
            </w:r>
          </w:p>
          <w:p w14:paraId="6208CB23" w14:textId="77777777" w:rsidR="00E93504" w:rsidRPr="0059385D" w:rsidRDefault="00E93504" w:rsidP="008B6633">
            <w:pPr>
              <w:pStyle w:val="TableText0"/>
              <w:keepNext w:val="0"/>
              <w:keepLines w:val="0"/>
            </w:pPr>
            <w:r w:rsidRPr="0059385D">
              <w:t>Yr 5: 11</w:t>
            </w:r>
          </w:p>
          <w:p w14:paraId="7CE4FE60" w14:textId="77777777" w:rsidR="00E93504" w:rsidRPr="0059385D" w:rsidRDefault="00E93504" w:rsidP="008B6633">
            <w:pPr>
              <w:pStyle w:val="TableText0"/>
              <w:keepNext w:val="0"/>
              <w:keepLines w:val="0"/>
            </w:pPr>
            <w:r w:rsidRPr="0059385D">
              <w:t>Yr 6: 11</w:t>
            </w:r>
          </w:p>
          <w:p w14:paraId="2500A1B5" w14:textId="77777777" w:rsidR="00E93504" w:rsidRPr="0059385D" w:rsidRDefault="00E93504" w:rsidP="008B6633">
            <w:pPr>
              <w:pStyle w:val="TableText0"/>
              <w:keepNext w:val="0"/>
              <w:keepLines w:val="0"/>
              <w:rPr>
                <w:sz w:val="2"/>
                <w:szCs w:val="2"/>
              </w:rPr>
            </w:pPr>
          </w:p>
          <w:p w14:paraId="24486D9B" w14:textId="22F09A45" w:rsidR="00E93504" w:rsidRPr="0059385D" w:rsidRDefault="00E93504" w:rsidP="008B6633">
            <w:pPr>
              <w:pStyle w:val="TableText0"/>
              <w:keepNext w:val="0"/>
              <w:keepLines w:val="0"/>
            </w:pPr>
            <w:r w:rsidRPr="0059385D">
              <w:t>Source: Leonard 2014 and Powell 2003 reported an incidence of 1 in 30,000 live births. Leonard 2014 estimated an incidence of 1 in 30,000–50,000 live births, however the author does not provide details for how this estimate was calculated.</w:t>
            </w:r>
          </w:p>
          <w:p w14:paraId="14F6B04F" w14:textId="4668A937" w:rsidR="00E93504" w:rsidRPr="0059385D" w:rsidRDefault="0080331B" w:rsidP="008B6633">
            <w:pPr>
              <w:pStyle w:val="TableText0"/>
              <w:keepNext w:val="0"/>
              <w:keepLines w:val="0"/>
            </w:pPr>
            <w:r w:rsidRPr="0059385D">
              <w:t>I</w:t>
            </w:r>
            <w:r w:rsidR="00E93504" w:rsidRPr="0059385D">
              <w:t>ncidence rate was applied to ABS birth projections 2025-26.</w:t>
            </w:r>
          </w:p>
        </w:tc>
        <w:tc>
          <w:tcPr>
            <w:tcW w:w="3880" w:type="dxa"/>
          </w:tcPr>
          <w:p w14:paraId="7C8D085A" w14:textId="48BABE98" w:rsidR="00E93504" w:rsidRPr="0059385D" w:rsidRDefault="00E93504" w:rsidP="008B6633">
            <w:pPr>
              <w:pStyle w:val="TableText0"/>
              <w:keepNext w:val="0"/>
              <w:keepLines w:val="0"/>
              <w:spacing w:after="120"/>
            </w:pPr>
            <w:r w:rsidRPr="0059385D">
              <w:t>Uncertain</w:t>
            </w:r>
            <w:r w:rsidR="00141628" w:rsidRPr="0059385D">
              <w:t>, and likely over-estimated</w:t>
            </w:r>
            <w:r w:rsidRPr="0059385D">
              <w:t>. A large study from Victoria, Australia (Danks 1977) of 790,385 children reported an incidence at birth of 1 in 70,000. The ALGS Alliance reports the current estimated incidence of ALGS is between 1 in 30,000–70,000.</w:t>
            </w:r>
            <w:r w:rsidR="001669BF">
              <w:t xml:space="preserve"> </w:t>
            </w:r>
          </w:p>
          <w:p w14:paraId="49866E90" w14:textId="37936F03" w:rsidR="00E93504" w:rsidRPr="0059385D" w:rsidRDefault="00E93504" w:rsidP="008B6633">
            <w:pPr>
              <w:pStyle w:val="TableText0"/>
              <w:keepNext w:val="0"/>
              <w:keepLines w:val="0"/>
            </w:pPr>
            <w:r w:rsidRPr="0059385D">
              <w:t xml:space="preserve">For context, the July 2025 odevixibat PFIC resubmission, which was based on an incident rate of 1 in 50,000, adopted an incidence of 4 patients per year (Table 27, odevixibat </w:t>
            </w:r>
            <w:r w:rsidR="00C03D91">
              <w:t>PSD</w:t>
            </w:r>
            <w:r w:rsidRPr="0059385D">
              <w:t xml:space="preserve">, </w:t>
            </w:r>
            <w:r w:rsidR="00C8667B" w:rsidRPr="0059385D">
              <w:t xml:space="preserve">March 2025 PBAC Meeting with </w:t>
            </w:r>
            <w:r w:rsidR="006214A8" w:rsidRPr="0059385D">
              <w:t xml:space="preserve">Addendum </w:t>
            </w:r>
            <w:r w:rsidR="00C8667B" w:rsidRPr="0059385D">
              <w:t>July 2025</w:t>
            </w:r>
            <w:r w:rsidRPr="0059385D">
              <w:t>).</w:t>
            </w:r>
          </w:p>
        </w:tc>
      </w:tr>
      <w:tr w:rsidR="00792603" w:rsidRPr="00275521" w14:paraId="4D846136" w14:textId="77777777" w:rsidTr="00075F53">
        <w:tc>
          <w:tcPr>
            <w:tcW w:w="1129" w:type="dxa"/>
          </w:tcPr>
          <w:p w14:paraId="1FECEF5C" w14:textId="77777777" w:rsidR="00E93504" w:rsidRPr="0059385D" w:rsidRDefault="00E93504" w:rsidP="008B6633">
            <w:pPr>
              <w:pStyle w:val="TableText0"/>
              <w:keepNext w:val="0"/>
              <w:keepLines w:val="0"/>
            </w:pPr>
            <w:r w:rsidRPr="0059385D">
              <w:lastRenderedPageBreak/>
              <w:t>Prevalent patient pool</w:t>
            </w:r>
          </w:p>
        </w:tc>
        <w:tc>
          <w:tcPr>
            <w:tcW w:w="4171" w:type="dxa"/>
          </w:tcPr>
          <w:p w14:paraId="61180EC6" w14:textId="77777777" w:rsidR="00E93504" w:rsidRPr="0059385D" w:rsidRDefault="00E93504" w:rsidP="008B6633">
            <w:pPr>
              <w:pStyle w:val="TableText0"/>
              <w:keepNext w:val="0"/>
              <w:keepLines w:val="0"/>
              <w:spacing w:after="120"/>
            </w:pPr>
            <w:r w:rsidRPr="0059385D">
              <w:t>Applied 1 in 100,000 prevalence rate to the ABS 2025 population.</w:t>
            </w:r>
          </w:p>
          <w:p w14:paraId="3D4DFB4D" w14:textId="77777777" w:rsidR="00E93504" w:rsidRPr="0059385D" w:rsidRDefault="00E93504" w:rsidP="008B6633">
            <w:pPr>
              <w:pStyle w:val="TableText0"/>
              <w:keepNext w:val="0"/>
              <w:keepLines w:val="0"/>
            </w:pPr>
            <w:r w:rsidRPr="0059385D">
              <w:t>Yr 1 (2026): 280</w:t>
            </w:r>
          </w:p>
          <w:p w14:paraId="73AE9F66" w14:textId="695B1667" w:rsidR="00E93504" w:rsidRPr="0059385D" w:rsidRDefault="00E93504" w:rsidP="008B6633">
            <w:pPr>
              <w:pStyle w:val="TableText0"/>
              <w:keepNext w:val="0"/>
              <w:keepLines w:val="0"/>
            </w:pPr>
            <w:r w:rsidRPr="0059385D">
              <w:t xml:space="preserve">Yr 2: </w:t>
            </w:r>
            <w:r w:rsidR="00E80022" w:rsidRPr="0059385D">
              <w:t>0</w:t>
            </w:r>
          </w:p>
          <w:p w14:paraId="0D25F183" w14:textId="093EB959" w:rsidR="00E93504" w:rsidRPr="0059385D" w:rsidRDefault="00E93504" w:rsidP="008B6633">
            <w:pPr>
              <w:pStyle w:val="TableText0"/>
              <w:keepNext w:val="0"/>
              <w:keepLines w:val="0"/>
            </w:pPr>
            <w:r w:rsidRPr="0059385D">
              <w:t xml:space="preserve">Yr 3: </w:t>
            </w:r>
            <w:r w:rsidR="00E80022" w:rsidRPr="0059385D">
              <w:t>0</w:t>
            </w:r>
          </w:p>
          <w:p w14:paraId="03AEDFF9" w14:textId="77777777" w:rsidR="00E93504" w:rsidRPr="0059385D" w:rsidRDefault="00E93504" w:rsidP="008B6633">
            <w:pPr>
              <w:pStyle w:val="TableText0"/>
              <w:keepNext w:val="0"/>
              <w:keepLines w:val="0"/>
            </w:pPr>
            <w:r w:rsidRPr="0059385D">
              <w:t>Yr 4: 0</w:t>
            </w:r>
          </w:p>
          <w:p w14:paraId="66D2FB77" w14:textId="77777777" w:rsidR="00E93504" w:rsidRPr="0059385D" w:rsidRDefault="00E93504" w:rsidP="008B6633">
            <w:pPr>
              <w:pStyle w:val="TableText0"/>
              <w:keepNext w:val="0"/>
              <w:keepLines w:val="0"/>
            </w:pPr>
            <w:r w:rsidRPr="0059385D">
              <w:t>Yr 5: 0</w:t>
            </w:r>
          </w:p>
          <w:p w14:paraId="2818273F" w14:textId="77777777" w:rsidR="00E93504" w:rsidRPr="0059385D" w:rsidRDefault="00E93504" w:rsidP="008B6633">
            <w:pPr>
              <w:pStyle w:val="TableText0"/>
              <w:keepNext w:val="0"/>
              <w:keepLines w:val="0"/>
            </w:pPr>
            <w:r w:rsidRPr="0059385D">
              <w:t>Yr 6: 0</w:t>
            </w:r>
          </w:p>
          <w:p w14:paraId="2824E795" w14:textId="77777777" w:rsidR="00E93504" w:rsidRPr="0059385D" w:rsidRDefault="00E93504" w:rsidP="008B6633">
            <w:pPr>
              <w:pStyle w:val="TableText0"/>
              <w:keepNext w:val="0"/>
              <w:keepLines w:val="0"/>
              <w:rPr>
                <w:sz w:val="8"/>
                <w:szCs w:val="8"/>
              </w:rPr>
            </w:pPr>
          </w:p>
          <w:p w14:paraId="4AA85485" w14:textId="6FD6AAAF" w:rsidR="00E93504" w:rsidRPr="0059385D" w:rsidRDefault="00E93504" w:rsidP="008B6633">
            <w:pPr>
              <w:pStyle w:val="TableText0"/>
              <w:keepNext w:val="0"/>
              <w:keepLines w:val="0"/>
            </w:pPr>
            <w:r w:rsidRPr="0059385D">
              <w:t>Source: Diaz-Frias 2022 reported an estimated prevalence from 1 in 30,000 to 1 in 100,000.</w:t>
            </w:r>
          </w:p>
        </w:tc>
        <w:tc>
          <w:tcPr>
            <w:tcW w:w="3880" w:type="dxa"/>
          </w:tcPr>
          <w:p w14:paraId="36BF5586" w14:textId="5FC82324" w:rsidR="00E93504" w:rsidRPr="0059385D" w:rsidRDefault="00E93504" w:rsidP="008B6633">
            <w:pPr>
              <w:pStyle w:val="TableText0"/>
              <w:keepNext w:val="0"/>
              <w:keepLines w:val="0"/>
              <w:spacing w:after="120"/>
            </w:pPr>
            <w:r w:rsidRPr="0059385D">
              <w:t xml:space="preserve">Uncertain and likely overestimated. The proportion of prevalent patients with prior LT was not considered in the submission. </w:t>
            </w:r>
          </w:p>
          <w:p w14:paraId="7F7A949C" w14:textId="4FF5DFE0" w:rsidR="00E93504" w:rsidRPr="0059385D" w:rsidRDefault="00E93504" w:rsidP="008B6633">
            <w:pPr>
              <w:pStyle w:val="TableText0"/>
              <w:keepNext w:val="0"/>
              <w:keepLines w:val="0"/>
              <w:spacing w:after="120"/>
            </w:pPr>
            <w:r w:rsidRPr="0059385D">
              <w:t xml:space="preserve">In consideration of odevixibat for PFIC, DUSC noted that prevalence should not apply to the entire population, but to the population aged 0-19 years and adult patients estimated separately (para 6.56, odevixibat PSD, </w:t>
            </w:r>
            <w:r w:rsidR="00C8667B" w:rsidRPr="0059385D">
              <w:t>March 2025 PBAC Meeting with July 2025 Addendum</w:t>
            </w:r>
            <w:r w:rsidRPr="0059385D">
              <w:t xml:space="preserve">). The same approach may be appropriate for ALGS given the older population are more likely to have </w:t>
            </w:r>
            <w:r w:rsidR="00401153" w:rsidRPr="0059385D">
              <w:t xml:space="preserve">died or </w:t>
            </w:r>
            <w:r w:rsidRPr="0059385D">
              <w:t>undergone LT.</w:t>
            </w:r>
          </w:p>
          <w:p w14:paraId="5FAEBC8D" w14:textId="269A6453" w:rsidR="00E93504" w:rsidRPr="0059385D" w:rsidRDefault="00E93504" w:rsidP="008B6633">
            <w:pPr>
              <w:pStyle w:val="TableText0"/>
              <w:keepNext w:val="0"/>
              <w:keepLines w:val="0"/>
            </w:pPr>
            <w:r w:rsidRPr="0059385D">
              <w:t xml:space="preserve">For context, the July 2025 odevixibat PFIC resubmission applied 0.07 per 10,000 to people aged 0-19 years (n=48) in addition to n=10 adult patients with PFIC (Table 26, odevixibat PSD, </w:t>
            </w:r>
            <w:r w:rsidR="00C8667B" w:rsidRPr="0059385D">
              <w:t xml:space="preserve">March 2025 PBAC Meeting with </w:t>
            </w:r>
            <w:r w:rsidR="006214A8" w:rsidRPr="0059385D">
              <w:t xml:space="preserve">Addendum </w:t>
            </w:r>
            <w:r w:rsidR="00C8667B" w:rsidRPr="0059385D">
              <w:t xml:space="preserve">July 2025 </w:t>
            </w:r>
            <w:r w:rsidRPr="0059385D">
              <w:t>).</w:t>
            </w:r>
          </w:p>
        </w:tc>
      </w:tr>
      <w:tr w:rsidR="00792603" w:rsidRPr="00275521" w14:paraId="2E1505B8" w14:textId="77777777" w:rsidTr="00075F53">
        <w:tc>
          <w:tcPr>
            <w:tcW w:w="1129" w:type="dxa"/>
          </w:tcPr>
          <w:p w14:paraId="6A923559" w14:textId="77777777" w:rsidR="00E93504" w:rsidRPr="0059385D" w:rsidRDefault="00E93504" w:rsidP="008B6633">
            <w:pPr>
              <w:pStyle w:val="TableText0"/>
              <w:keepNext w:val="0"/>
              <w:keepLines w:val="0"/>
            </w:pPr>
            <w:r w:rsidRPr="0059385D">
              <w:t>Grandfathered patients</w:t>
            </w:r>
          </w:p>
        </w:tc>
        <w:tc>
          <w:tcPr>
            <w:tcW w:w="4171" w:type="dxa"/>
          </w:tcPr>
          <w:p w14:paraId="7AE0934D" w14:textId="24FACD7A" w:rsidR="00E93504" w:rsidRPr="00920C57" w:rsidRDefault="00E93504" w:rsidP="008B6633">
            <w:pPr>
              <w:pStyle w:val="TableText0"/>
              <w:keepNext w:val="0"/>
              <w:keepLines w:val="0"/>
              <w:rPr>
                <w:vertAlign w:val="superscript"/>
              </w:rPr>
            </w:pPr>
            <w:r w:rsidRPr="0059385D">
              <w:t>N=</w:t>
            </w:r>
            <w:r w:rsidR="006C4DC1" w:rsidRPr="006C4DC1">
              <w:rPr>
                <w:sz w:val="2"/>
                <w:highlight w:val="black"/>
              </w:rPr>
              <w:t>redacted content</w:t>
            </w:r>
            <w:r w:rsidR="00920C57">
              <w:rPr>
                <w:vertAlign w:val="superscript"/>
              </w:rPr>
              <w:t>1</w:t>
            </w:r>
          </w:p>
          <w:p w14:paraId="152F5E8B" w14:textId="38B1CFF2" w:rsidR="00E93504" w:rsidRPr="0059385D" w:rsidRDefault="00E93504" w:rsidP="008B6633">
            <w:pPr>
              <w:pStyle w:val="TableText0"/>
              <w:keepNext w:val="0"/>
              <w:keepLines w:val="0"/>
            </w:pPr>
            <w:r w:rsidRPr="0059385D">
              <w:t xml:space="preserve">Source: </w:t>
            </w:r>
            <w:r w:rsidR="006C4DC1" w:rsidRPr="006C4DC1">
              <w:rPr>
                <w:sz w:val="2"/>
                <w:highlight w:val="black"/>
              </w:rPr>
              <w:t>redacted content</w:t>
            </w:r>
            <w:r w:rsidR="00920C57">
              <w:rPr>
                <w:vertAlign w:val="superscript"/>
              </w:rPr>
              <w:t>1</w:t>
            </w:r>
            <w:r w:rsidRPr="0059385D">
              <w:t xml:space="preserve"> patients currently receive an iBAT inhibitor therapy via Sponsor EAPs. Of these patients, 13/</w:t>
            </w:r>
            <w:r w:rsidRPr="006C4DC1">
              <w:rPr>
                <w:highlight w:val="black"/>
              </w:rPr>
              <w:t>30</w:t>
            </w:r>
            <w:r w:rsidR="006C4DC1">
              <w:rPr>
                <w:vertAlign w:val="superscript"/>
              </w:rPr>
              <w:t>1</w:t>
            </w:r>
            <w:r w:rsidRPr="0059385D">
              <w:t xml:space="preserve"> are receiving odevixibat and 17/</w:t>
            </w:r>
            <w:r w:rsidRPr="006C4DC1">
              <w:rPr>
                <w:highlight w:val="black"/>
              </w:rPr>
              <w:t>30</w:t>
            </w:r>
            <w:r w:rsidR="006C4DC1">
              <w:rPr>
                <w:vertAlign w:val="superscript"/>
              </w:rPr>
              <w:t>1</w:t>
            </w:r>
            <w:r w:rsidRPr="0059385D">
              <w:t xml:space="preserve"> are receiving </w:t>
            </w:r>
            <w:proofErr w:type="spellStart"/>
            <w:r w:rsidRPr="0059385D">
              <w:t>maralixibat</w:t>
            </w:r>
            <w:proofErr w:type="spellEnd"/>
            <w:r w:rsidRPr="0059385D">
              <w:t>. The submission stated advisory board feedback indicated hepatologists will transition all ALGS patients currently on iBAT inhibitors to odevixibat once listed on the PBS.</w:t>
            </w:r>
          </w:p>
        </w:tc>
        <w:tc>
          <w:tcPr>
            <w:tcW w:w="3880" w:type="dxa"/>
          </w:tcPr>
          <w:p w14:paraId="554AB52B" w14:textId="713F9722" w:rsidR="00E93504" w:rsidRPr="0059385D" w:rsidRDefault="004C220C" w:rsidP="008B6633">
            <w:pPr>
              <w:pStyle w:val="TableText0"/>
              <w:keepNext w:val="0"/>
              <w:keepLines w:val="0"/>
            </w:pPr>
            <w:r w:rsidRPr="0059385D">
              <w:t>R</w:t>
            </w:r>
            <w:r w:rsidR="00E93504" w:rsidRPr="0059385D">
              <w:t>easonable</w:t>
            </w:r>
            <w:r w:rsidRPr="0059385D">
              <w:t>.</w:t>
            </w:r>
          </w:p>
        </w:tc>
      </w:tr>
      <w:tr w:rsidR="00792603" w:rsidRPr="00275521" w14:paraId="64860A8E" w14:textId="77777777" w:rsidTr="00075F53">
        <w:tc>
          <w:tcPr>
            <w:tcW w:w="1129" w:type="dxa"/>
          </w:tcPr>
          <w:p w14:paraId="7789282D" w14:textId="77777777" w:rsidR="00E93504" w:rsidRPr="0059385D" w:rsidRDefault="00E93504" w:rsidP="008B6633">
            <w:pPr>
              <w:pStyle w:val="TableText0"/>
              <w:keepNext w:val="0"/>
              <w:keepLines w:val="0"/>
            </w:pPr>
            <w:r w:rsidRPr="0059385D">
              <w:t>Cholestasis prevalence</w:t>
            </w:r>
          </w:p>
        </w:tc>
        <w:tc>
          <w:tcPr>
            <w:tcW w:w="4171" w:type="dxa"/>
          </w:tcPr>
          <w:p w14:paraId="5A02554E" w14:textId="77777777" w:rsidR="00E93504" w:rsidRPr="0059385D" w:rsidRDefault="00E93504" w:rsidP="008B6633">
            <w:pPr>
              <w:pStyle w:val="TableText0"/>
              <w:keepNext w:val="0"/>
              <w:keepLines w:val="0"/>
            </w:pPr>
            <w:r w:rsidRPr="0059385D">
              <w:t>92.1%</w:t>
            </w:r>
          </w:p>
          <w:p w14:paraId="52C077BB" w14:textId="06474416" w:rsidR="00E93504" w:rsidRPr="0059385D" w:rsidRDefault="00E93504" w:rsidP="008B6633">
            <w:pPr>
              <w:pStyle w:val="TableText0"/>
              <w:keepNext w:val="0"/>
              <w:keepLines w:val="0"/>
            </w:pPr>
            <w:r w:rsidRPr="0059385D">
              <w:t>Source: Kamath 2018b. ALGS patient data from of 4 studies was combined. There were 255 of 277 (92.1%) pooled patients with cholestasis.</w:t>
            </w:r>
          </w:p>
        </w:tc>
        <w:tc>
          <w:tcPr>
            <w:tcW w:w="3880" w:type="dxa"/>
          </w:tcPr>
          <w:p w14:paraId="3CBE1DB2" w14:textId="77777777" w:rsidR="00E93504" w:rsidRPr="0059385D" w:rsidRDefault="00E93504" w:rsidP="008B6633">
            <w:pPr>
              <w:pStyle w:val="TableText0"/>
              <w:keepNext w:val="0"/>
              <w:keepLines w:val="0"/>
            </w:pPr>
            <w:r w:rsidRPr="0059385D">
              <w:t>Reasonable. Vandriel 2022 (i.e. the GALA study) reported liver involvement at any age was reported in 95% (n=1321/1387) of children</w:t>
            </w:r>
          </w:p>
        </w:tc>
      </w:tr>
      <w:tr w:rsidR="00792603" w:rsidRPr="00275521" w14:paraId="18A631B0" w14:textId="77777777" w:rsidTr="00075F53">
        <w:tc>
          <w:tcPr>
            <w:tcW w:w="1129" w:type="dxa"/>
          </w:tcPr>
          <w:p w14:paraId="054FE213" w14:textId="41E07FBC" w:rsidR="00E93504" w:rsidRPr="0059385D" w:rsidRDefault="00E93504" w:rsidP="008B6633">
            <w:pPr>
              <w:pStyle w:val="TableText0"/>
              <w:keepNext w:val="0"/>
              <w:keepLines w:val="0"/>
            </w:pPr>
            <w:r w:rsidRPr="0059385D">
              <w:t>Moderate – severe</w:t>
            </w:r>
            <w:r w:rsidR="008B6633">
              <w:t xml:space="preserve"> </w:t>
            </w:r>
            <w:r w:rsidRPr="0059385D">
              <w:t>pruritus</w:t>
            </w:r>
          </w:p>
        </w:tc>
        <w:tc>
          <w:tcPr>
            <w:tcW w:w="4171" w:type="dxa"/>
          </w:tcPr>
          <w:p w14:paraId="3EFA32F3" w14:textId="77777777" w:rsidR="00E93504" w:rsidRPr="0059385D" w:rsidRDefault="00E93504" w:rsidP="008B6633">
            <w:pPr>
              <w:pStyle w:val="TableText0"/>
            </w:pPr>
            <w:r w:rsidRPr="0059385D">
              <w:t xml:space="preserve">46.2% </w:t>
            </w:r>
          </w:p>
          <w:p w14:paraId="0EF7A5A1" w14:textId="77777777" w:rsidR="00E93504" w:rsidRPr="0059385D" w:rsidRDefault="00E93504" w:rsidP="008B6633">
            <w:pPr>
              <w:pStyle w:val="TableText0"/>
            </w:pPr>
            <w:r w:rsidRPr="0059385D">
              <w:t>Source: Abetz-Webb 2014.</w:t>
            </w:r>
          </w:p>
          <w:p w14:paraId="4D99C7FD" w14:textId="0FD5256F" w:rsidR="00E93504" w:rsidRPr="0059385D" w:rsidRDefault="00E93504" w:rsidP="008B6633">
            <w:pPr>
              <w:pStyle w:val="TableText0"/>
              <w:keepNext w:val="0"/>
              <w:keepLines w:val="0"/>
            </w:pPr>
            <w:r w:rsidRPr="0059385D">
              <w:t>Abetz-Webb 2014 was a qualitative study with 24 interviews of caregivers for ALGS patients.</w:t>
            </w:r>
            <w:r w:rsidR="008D315B" w:rsidRPr="0059385D">
              <w:t xml:space="preserve"> The criteria for each level of pruritus severity was not described and therefore highly uncertain.</w:t>
            </w:r>
          </w:p>
          <w:p w14:paraId="028EA3BE" w14:textId="2A1156C5" w:rsidR="00E93504" w:rsidRPr="0059385D" w:rsidRDefault="00E93504" w:rsidP="008B6633">
            <w:pPr>
              <w:pStyle w:val="TableText0"/>
            </w:pPr>
          </w:p>
        </w:tc>
        <w:tc>
          <w:tcPr>
            <w:tcW w:w="3880" w:type="dxa"/>
          </w:tcPr>
          <w:p w14:paraId="082EE8A8" w14:textId="32AD5858" w:rsidR="00E93504" w:rsidRPr="0059385D" w:rsidRDefault="00633404" w:rsidP="008B6633">
            <w:pPr>
              <w:pStyle w:val="TableText0"/>
              <w:keepNext w:val="0"/>
              <w:keepLines w:val="0"/>
            </w:pPr>
            <w:r>
              <w:t xml:space="preserve">The evaluation noted </w:t>
            </w:r>
            <w:r w:rsidR="00E93504" w:rsidRPr="0059385D">
              <w:t>Vandriel 2022 (i.e. the GALA study) reported pruritus in 74% (n=761/1028) of children with ALGS.</w:t>
            </w:r>
          </w:p>
          <w:p w14:paraId="0AA0255D" w14:textId="77777777" w:rsidR="00E93504" w:rsidRPr="0059385D" w:rsidRDefault="00E93504" w:rsidP="008B6633">
            <w:pPr>
              <w:pStyle w:val="TableText0"/>
              <w:keepNext w:val="0"/>
              <w:keepLines w:val="0"/>
            </w:pPr>
          </w:p>
          <w:p w14:paraId="3CC625D5" w14:textId="33C448B7" w:rsidR="00E93504" w:rsidRPr="0059385D" w:rsidRDefault="00E93504" w:rsidP="008B6633">
            <w:pPr>
              <w:pStyle w:val="TableText0"/>
              <w:keepNext w:val="0"/>
              <w:keepLines w:val="0"/>
            </w:pPr>
            <w:r w:rsidRPr="0059385D">
              <w:t>In addition, given that there is likely overlap between patients with cholestasis and patients with pruritus, the use of both eligibility conditions (0.921 x 0.462 = 0.425) may underestimate the number of eligible patients owing to double counting.</w:t>
            </w:r>
          </w:p>
        </w:tc>
      </w:tr>
      <w:tr w:rsidR="00311DF9" w:rsidRPr="00275521" w14:paraId="6281E064" w14:textId="77777777">
        <w:tc>
          <w:tcPr>
            <w:tcW w:w="9180" w:type="dxa"/>
            <w:gridSpan w:val="3"/>
            <w:vAlign w:val="center"/>
          </w:tcPr>
          <w:p w14:paraId="3ACCEBE1" w14:textId="77777777" w:rsidR="001A1D27" w:rsidRPr="00275521" w:rsidRDefault="001A1D27" w:rsidP="008B6633">
            <w:pPr>
              <w:pStyle w:val="In-tableHeading"/>
              <w:rPr>
                <w:lang w:val="en-AU"/>
              </w:rPr>
            </w:pPr>
            <w:r w:rsidRPr="00275521">
              <w:rPr>
                <w:lang w:val="en-AU"/>
              </w:rPr>
              <w:t>Treatment utilisation</w:t>
            </w:r>
          </w:p>
        </w:tc>
      </w:tr>
      <w:tr w:rsidR="00792603" w:rsidRPr="00275521" w14:paraId="7EA3EA3A" w14:textId="77777777" w:rsidTr="00075F53">
        <w:tc>
          <w:tcPr>
            <w:tcW w:w="1129" w:type="dxa"/>
          </w:tcPr>
          <w:p w14:paraId="2B8A4B60" w14:textId="77777777" w:rsidR="00E93504" w:rsidRPr="0059385D" w:rsidRDefault="00E93504" w:rsidP="008B6633">
            <w:pPr>
              <w:pStyle w:val="TableText0"/>
              <w:keepNext w:val="0"/>
              <w:keepLines w:val="0"/>
            </w:pPr>
            <w:r w:rsidRPr="0059385D">
              <w:t>Uptake rate – incident patients</w:t>
            </w:r>
          </w:p>
        </w:tc>
        <w:tc>
          <w:tcPr>
            <w:tcW w:w="4171" w:type="dxa"/>
          </w:tcPr>
          <w:p w14:paraId="4486C294" w14:textId="6AAD136B" w:rsidR="00E93504" w:rsidRPr="0059385D" w:rsidRDefault="00E93504" w:rsidP="008B6633">
            <w:pPr>
              <w:pStyle w:val="TableText0"/>
              <w:keepNext w:val="0"/>
              <w:keepLines w:val="0"/>
            </w:pPr>
            <w:r w:rsidRPr="0059385D">
              <w:t xml:space="preserve">Initiating: </w:t>
            </w:r>
            <w:r w:rsidR="006C4DC1" w:rsidRPr="006C4DC1">
              <w:rPr>
                <w:sz w:val="2"/>
                <w:highlight w:val="black"/>
              </w:rPr>
              <w:t>redacted content</w:t>
            </w:r>
            <w:r w:rsidRPr="0059385D">
              <w:t>%</w:t>
            </w:r>
          </w:p>
          <w:p w14:paraId="3842E2B2" w14:textId="1F776F53" w:rsidR="00E93504" w:rsidRPr="0059385D" w:rsidRDefault="00E93504" w:rsidP="008B6633">
            <w:pPr>
              <w:pStyle w:val="TableText0"/>
              <w:keepNext w:val="0"/>
              <w:keepLines w:val="0"/>
            </w:pPr>
            <w:r w:rsidRPr="0059385D">
              <w:t xml:space="preserve">Source: Assumption. </w:t>
            </w:r>
          </w:p>
        </w:tc>
        <w:tc>
          <w:tcPr>
            <w:tcW w:w="3880" w:type="dxa"/>
          </w:tcPr>
          <w:p w14:paraId="78FF8BD2" w14:textId="1A282E22" w:rsidR="00E93504" w:rsidRPr="0059385D" w:rsidRDefault="00E93504" w:rsidP="008B6633">
            <w:pPr>
              <w:pStyle w:val="TableText0"/>
              <w:keepNext w:val="0"/>
              <w:keepLines w:val="0"/>
            </w:pPr>
            <w:r w:rsidRPr="0059385D">
              <w:t>The submission claimed this would be typical for new therapies in rare diseases that involve specialist care, and due to the heavy symptom burden and potential to delay LT.</w:t>
            </w:r>
          </w:p>
        </w:tc>
      </w:tr>
      <w:tr w:rsidR="00792603" w:rsidRPr="00275521" w14:paraId="3A29355C" w14:textId="77777777" w:rsidTr="00075F53">
        <w:tc>
          <w:tcPr>
            <w:tcW w:w="1129" w:type="dxa"/>
          </w:tcPr>
          <w:p w14:paraId="715DA57C" w14:textId="77777777" w:rsidR="00E93504" w:rsidRPr="0059385D" w:rsidRDefault="00E93504" w:rsidP="008B6633">
            <w:pPr>
              <w:pStyle w:val="TableText0"/>
              <w:keepNext w:val="0"/>
              <w:keepLines w:val="0"/>
            </w:pPr>
            <w:r w:rsidRPr="0059385D">
              <w:t>Uptake rate – prevalent patients</w:t>
            </w:r>
          </w:p>
        </w:tc>
        <w:tc>
          <w:tcPr>
            <w:tcW w:w="4171" w:type="dxa"/>
          </w:tcPr>
          <w:p w14:paraId="34997F87" w14:textId="3652B6B5" w:rsidR="00E93504" w:rsidRPr="0059385D" w:rsidRDefault="00E93504" w:rsidP="008B6633">
            <w:pPr>
              <w:pStyle w:val="TableText0"/>
              <w:keepNext w:val="0"/>
              <w:keepLines w:val="0"/>
            </w:pPr>
            <w:r w:rsidRPr="0059385D">
              <w:t xml:space="preserve">Yr 1: </w:t>
            </w:r>
            <w:r w:rsidR="006C4DC1" w:rsidRPr="006C4DC1">
              <w:rPr>
                <w:sz w:val="2"/>
                <w:highlight w:val="black"/>
              </w:rPr>
              <w:t>redacted content</w:t>
            </w:r>
            <w:r w:rsidRPr="0059385D">
              <w:t xml:space="preserve">%; Yr 2: </w:t>
            </w:r>
            <w:r w:rsidR="006C4DC1" w:rsidRPr="006C4DC1">
              <w:rPr>
                <w:sz w:val="2"/>
                <w:highlight w:val="black"/>
              </w:rPr>
              <w:t>redacted content</w:t>
            </w:r>
            <w:r w:rsidRPr="0059385D">
              <w:t xml:space="preserve">%; Yr 3: </w:t>
            </w:r>
            <w:r w:rsidR="006C4DC1" w:rsidRPr="006C4DC1">
              <w:rPr>
                <w:sz w:val="2"/>
                <w:highlight w:val="black"/>
              </w:rPr>
              <w:t>redacted content</w:t>
            </w:r>
            <w:r w:rsidRPr="0059385D">
              <w:t>% (Total 100%)</w:t>
            </w:r>
          </w:p>
          <w:p w14:paraId="40C36599" w14:textId="62C1E81B" w:rsidR="00E93504" w:rsidRPr="0059385D" w:rsidRDefault="00E93504" w:rsidP="008B6633">
            <w:pPr>
              <w:pStyle w:val="TableText0"/>
              <w:keepNext w:val="0"/>
              <w:keepLines w:val="0"/>
            </w:pPr>
            <w:r w:rsidRPr="0059385D">
              <w:t>Source: Advisory board input.</w:t>
            </w:r>
          </w:p>
        </w:tc>
        <w:tc>
          <w:tcPr>
            <w:tcW w:w="3880" w:type="dxa"/>
          </w:tcPr>
          <w:p w14:paraId="231D67F0" w14:textId="6EFE14E4" w:rsidR="00E93504" w:rsidRPr="0059385D" w:rsidRDefault="00AD313A" w:rsidP="008B6633">
            <w:pPr>
              <w:pStyle w:val="TableText0"/>
              <w:keepNext w:val="0"/>
              <w:keepLines w:val="0"/>
            </w:pPr>
            <w:r>
              <w:t xml:space="preserve">The PBAC considered uptake in Year 1 in the prevalent population may be higher than proposed. </w:t>
            </w:r>
          </w:p>
        </w:tc>
      </w:tr>
      <w:tr w:rsidR="00792603" w:rsidRPr="00275521" w14:paraId="3FB5BF3D" w14:textId="77777777" w:rsidTr="00075F53">
        <w:tc>
          <w:tcPr>
            <w:tcW w:w="1129" w:type="dxa"/>
          </w:tcPr>
          <w:p w14:paraId="59F0D5B9" w14:textId="77777777" w:rsidR="00E93504" w:rsidRPr="0059385D" w:rsidRDefault="00E93504" w:rsidP="008B6633">
            <w:pPr>
              <w:pStyle w:val="TableText0"/>
              <w:keepNext w:val="0"/>
              <w:keepLines w:val="0"/>
            </w:pPr>
            <w:r w:rsidRPr="0059385D">
              <w:t>Continuation/</w:t>
            </w:r>
          </w:p>
          <w:p w14:paraId="0744091B" w14:textId="77777777" w:rsidR="00E93504" w:rsidRPr="0059385D" w:rsidRDefault="00E93504" w:rsidP="008B6633">
            <w:pPr>
              <w:pStyle w:val="TableText0"/>
              <w:keepNext w:val="0"/>
              <w:keepLines w:val="0"/>
            </w:pPr>
            <w:r w:rsidRPr="0059385D">
              <w:t>response rate</w:t>
            </w:r>
          </w:p>
        </w:tc>
        <w:tc>
          <w:tcPr>
            <w:tcW w:w="4171" w:type="dxa"/>
          </w:tcPr>
          <w:p w14:paraId="4B0AD58D" w14:textId="77777777" w:rsidR="00E93504" w:rsidRPr="0059385D" w:rsidRDefault="00E93504" w:rsidP="008B6633">
            <w:pPr>
              <w:pStyle w:val="TableText0"/>
              <w:keepNext w:val="0"/>
              <w:keepLines w:val="0"/>
            </w:pPr>
            <w:r w:rsidRPr="0059385D">
              <w:t>87.4%</w:t>
            </w:r>
          </w:p>
          <w:p w14:paraId="3DB927E7" w14:textId="77777777" w:rsidR="00E93504" w:rsidRPr="0059385D" w:rsidRDefault="00E93504" w:rsidP="008B6633">
            <w:pPr>
              <w:pStyle w:val="TableText0"/>
              <w:keepNext w:val="0"/>
              <w:keepLines w:val="0"/>
              <w:spacing w:after="120"/>
            </w:pPr>
            <w:r w:rsidRPr="0059385D">
              <w:t>(88.5% - 1.1%)</w:t>
            </w:r>
          </w:p>
          <w:p w14:paraId="2A8E275D" w14:textId="559CBD20" w:rsidR="00E93504" w:rsidRPr="0059385D" w:rsidRDefault="00E93504" w:rsidP="008B6633">
            <w:pPr>
              <w:pStyle w:val="TableText0"/>
              <w:keepNext w:val="0"/>
              <w:keepLines w:val="0"/>
              <w:spacing w:after="120"/>
            </w:pPr>
            <w:r w:rsidRPr="0059385D">
              <w:t xml:space="preserve">Source: 88.5%: Sponsor post-hoc pooled analysis of pruritus responder (≥1.0 point pruritus reduction in the </w:t>
            </w:r>
            <w:r w:rsidRPr="0059385D">
              <w:lastRenderedPageBreak/>
              <w:t>AM scores) patients at 48 weeks in ASSERT and ASSERT-EXT</w:t>
            </w:r>
          </w:p>
          <w:p w14:paraId="62E524D2" w14:textId="546669CA" w:rsidR="00E93504" w:rsidRPr="0059385D" w:rsidRDefault="00E93504" w:rsidP="008B6633">
            <w:pPr>
              <w:pStyle w:val="TableText0"/>
              <w:keepNext w:val="0"/>
              <w:keepLines w:val="0"/>
            </w:pPr>
            <w:r w:rsidRPr="0059385D">
              <w:t>Source: 1.1%: Sponsor post-hoc pooled analysis of discontinuation of odevixibat at 92.6 weeks due to TEAE in pooled ASSERT and ASSERT-EXT (1/50 patients) converted to annual rate.</w:t>
            </w:r>
          </w:p>
        </w:tc>
        <w:tc>
          <w:tcPr>
            <w:tcW w:w="3880" w:type="dxa"/>
          </w:tcPr>
          <w:p w14:paraId="0BC288D3" w14:textId="474BD43C" w:rsidR="00E93504" w:rsidRPr="0059385D" w:rsidRDefault="00E93504" w:rsidP="008B6633">
            <w:pPr>
              <w:pStyle w:val="TableText0"/>
              <w:keepNext w:val="0"/>
              <w:keepLines w:val="0"/>
              <w:spacing w:after="120"/>
            </w:pPr>
            <w:r w:rsidRPr="0059385D">
              <w:lastRenderedPageBreak/>
              <w:t>The proportion of patients with ≥1.0 point pruritus reduction in AM scores was a secondary endpoint of ASSERT and ASSERT-EXT and therefore uncertain.</w:t>
            </w:r>
          </w:p>
          <w:p w14:paraId="5FD59D29" w14:textId="77777777" w:rsidR="00E93504" w:rsidRPr="0059385D" w:rsidRDefault="00E93504" w:rsidP="008B6633">
            <w:pPr>
              <w:pStyle w:val="TableText0"/>
              <w:keepNext w:val="0"/>
              <w:keepLines w:val="0"/>
              <w:spacing w:after="120"/>
            </w:pPr>
            <w:r w:rsidRPr="0059385D">
              <w:lastRenderedPageBreak/>
              <w:t>The response rate of 87.4% was also inconsistent with the economic model response rate (82.4%), and the 24-week response rate in ASSERT (80%)</w:t>
            </w:r>
          </w:p>
          <w:p w14:paraId="5AA67A7C" w14:textId="77777777" w:rsidR="00E93504" w:rsidRPr="0059385D" w:rsidRDefault="00E93504" w:rsidP="008B6633">
            <w:pPr>
              <w:pStyle w:val="TableText0"/>
              <w:keepNext w:val="0"/>
              <w:keepLines w:val="0"/>
            </w:pPr>
            <w:r w:rsidRPr="0059385D">
              <w:t>It was not reasonable to deduct discontinuation from the response rate, given these patients would still commence odevixibat.</w:t>
            </w:r>
          </w:p>
        </w:tc>
      </w:tr>
      <w:tr w:rsidR="00792603" w:rsidRPr="00275521" w14:paraId="56C67B37" w14:textId="77777777" w:rsidTr="00075F53">
        <w:tc>
          <w:tcPr>
            <w:tcW w:w="1129" w:type="dxa"/>
          </w:tcPr>
          <w:p w14:paraId="3A7658FC" w14:textId="77777777" w:rsidR="00E93504" w:rsidRPr="0059385D" w:rsidRDefault="00E93504" w:rsidP="008B6633">
            <w:pPr>
              <w:pStyle w:val="TableText0"/>
              <w:keepNext w:val="0"/>
              <w:keepLines w:val="0"/>
            </w:pPr>
            <w:r w:rsidRPr="0059385D">
              <w:lastRenderedPageBreak/>
              <w:t>Compliance</w:t>
            </w:r>
          </w:p>
        </w:tc>
        <w:tc>
          <w:tcPr>
            <w:tcW w:w="4171" w:type="dxa"/>
          </w:tcPr>
          <w:p w14:paraId="7AFAD74B" w14:textId="380A05A5" w:rsidR="00E93504" w:rsidRPr="0059385D" w:rsidRDefault="00E93504" w:rsidP="008B6633">
            <w:pPr>
              <w:pStyle w:val="TableText0"/>
            </w:pPr>
            <w:r w:rsidRPr="0059385D">
              <w:t>95.5%</w:t>
            </w:r>
          </w:p>
          <w:p w14:paraId="69F57392" w14:textId="409D6D28" w:rsidR="00E93504" w:rsidRPr="0059385D" w:rsidRDefault="00C8759F" w:rsidP="008B6633">
            <w:pPr>
              <w:pStyle w:val="TableText0"/>
            </w:pPr>
            <w:r w:rsidRPr="0059385D">
              <w:t xml:space="preserve">Source: </w:t>
            </w:r>
            <w:r w:rsidR="00E93504" w:rsidRPr="0059385D">
              <w:t>Mean compliance rate from ASSERT (n=35) at 24 weeks (95.51%, SD 8.17)</w:t>
            </w:r>
          </w:p>
        </w:tc>
        <w:tc>
          <w:tcPr>
            <w:tcW w:w="3880" w:type="dxa"/>
          </w:tcPr>
          <w:p w14:paraId="085F9AE8" w14:textId="33FE0224" w:rsidR="00E93504" w:rsidRPr="0059385D" w:rsidRDefault="00C8759F" w:rsidP="008B6633">
            <w:pPr>
              <w:pStyle w:val="TableText0"/>
              <w:keepNext w:val="0"/>
              <w:keepLines w:val="0"/>
            </w:pPr>
            <w:r w:rsidRPr="0059385D">
              <w:t>Reasonable.</w:t>
            </w:r>
          </w:p>
        </w:tc>
      </w:tr>
      <w:tr w:rsidR="00792603" w:rsidRPr="00275521" w14:paraId="554B0CD1" w14:textId="77777777" w:rsidTr="00075F53">
        <w:tc>
          <w:tcPr>
            <w:tcW w:w="1129" w:type="dxa"/>
          </w:tcPr>
          <w:p w14:paraId="36C70E25" w14:textId="77777777" w:rsidR="00E93504" w:rsidRPr="0059385D" w:rsidRDefault="00E93504" w:rsidP="008B6633">
            <w:pPr>
              <w:pStyle w:val="TableText0"/>
              <w:keepNext w:val="0"/>
              <w:keepLines w:val="0"/>
            </w:pPr>
            <w:r w:rsidRPr="0059385D">
              <w:t>Dosage</w:t>
            </w:r>
          </w:p>
        </w:tc>
        <w:tc>
          <w:tcPr>
            <w:tcW w:w="4171" w:type="dxa"/>
          </w:tcPr>
          <w:p w14:paraId="7F9B4B92" w14:textId="632F3E5E" w:rsidR="00E93504" w:rsidRPr="0059385D" w:rsidRDefault="00E93504" w:rsidP="008B6633">
            <w:pPr>
              <w:pStyle w:val="TableText0"/>
              <w:keepNext w:val="0"/>
              <w:keepLines w:val="0"/>
            </w:pPr>
            <w:r w:rsidRPr="0059385D">
              <w:t>Patient weight: 19.7kg</w:t>
            </w:r>
            <w:r w:rsidR="007B5962">
              <w:t xml:space="preserve"> (average age of 4.4 years)</w:t>
            </w:r>
          </w:p>
          <w:p w14:paraId="6D4FE07B" w14:textId="027A2F7B" w:rsidR="00E93504" w:rsidRPr="0059385D" w:rsidRDefault="00E93504" w:rsidP="008B6633">
            <w:pPr>
              <w:pStyle w:val="TableText0"/>
              <w:keepNext w:val="0"/>
              <w:keepLines w:val="0"/>
            </w:pPr>
            <w:r w:rsidRPr="0059385D">
              <w:t>Dos</w:t>
            </w:r>
            <w:r w:rsidR="00C8759F" w:rsidRPr="0059385D">
              <w:t>e</w:t>
            </w:r>
            <w:r w:rsidRPr="0059385D">
              <w:t>: 120 µg/kg/day</w:t>
            </w:r>
          </w:p>
          <w:p w14:paraId="526D13F1" w14:textId="48FE1820" w:rsidR="00E93504" w:rsidRPr="0059385D" w:rsidRDefault="00E93504" w:rsidP="008B6633">
            <w:pPr>
              <w:pStyle w:val="TableText0"/>
              <w:keepNext w:val="0"/>
              <w:keepLines w:val="0"/>
            </w:pPr>
            <w:r w:rsidRPr="0059385D">
              <w:t xml:space="preserve">Applied </w:t>
            </w:r>
            <w:r w:rsidR="00C8759F" w:rsidRPr="0059385D">
              <w:t>daily d</w:t>
            </w:r>
            <w:r w:rsidRPr="0059385D">
              <w:t>ose: 2,358 µg</w:t>
            </w:r>
          </w:p>
          <w:p w14:paraId="59E873B2" w14:textId="64C3BD73" w:rsidR="00E93504" w:rsidRPr="0059385D" w:rsidRDefault="00C8759F" w:rsidP="008B6633">
            <w:pPr>
              <w:pStyle w:val="TableText0"/>
              <w:keepNext w:val="0"/>
              <w:keepLines w:val="0"/>
            </w:pPr>
            <w:r w:rsidRPr="0059385D">
              <w:t xml:space="preserve">Source: </w:t>
            </w:r>
            <w:r w:rsidR="00E93504" w:rsidRPr="0059385D">
              <w:t xml:space="preserve">The </w:t>
            </w:r>
            <w:r w:rsidRPr="0059385D">
              <w:t>mean</w:t>
            </w:r>
            <w:r w:rsidR="00E93504" w:rsidRPr="0059385D">
              <w:t xml:space="preserve"> weight of patients in the Australian EAP (N=6) was 19.7kg (range 5.8 – 41.3kg).</w:t>
            </w:r>
          </w:p>
        </w:tc>
        <w:tc>
          <w:tcPr>
            <w:tcW w:w="3880" w:type="dxa"/>
          </w:tcPr>
          <w:p w14:paraId="7139E675" w14:textId="6F816AA2" w:rsidR="00E93504" w:rsidRPr="0059385D" w:rsidRDefault="00E93504" w:rsidP="008B6633">
            <w:pPr>
              <w:pStyle w:val="TableText0"/>
              <w:keepNext w:val="0"/>
              <w:keepLines w:val="0"/>
            </w:pPr>
            <w:r w:rsidRPr="0059385D">
              <w:t xml:space="preserve">The use of a constant patient weight across the incident and prevalent population </w:t>
            </w:r>
            <w:r w:rsidR="002E61A8">
              <w:t>would</w:t>
            </w:r>
            <w:r w:rsidR="002E61A8" w:rsidRPr="0059385D">
              <w:t xml:space="preserve"> </w:t>
            </w:r>
            <w:r w:rsidRPr="0059385D">
              <w:t>not be reasonable given that incident and prevalent patients are expected to differ significantly in age and weight.</w:t>
            </w:r>
          </w:p>
        </w:tc>
      </w:tr>
      <w:tr w:rsidR="00792603" w:rsidRPr="00275521" w14:paraId="4296933A" w14:textId="77777777" w:rsidTr="00A9130D">
        <w:trPr>
          <w:cantSplit/>
        </w:trPr>
        <w:tc>
          <w:tcPr>
            <w:tcW w:w="1129" w:type="dxa"/>
          </w:tcPr>
          <w:p w14:paraId="25DA9FDD" w14:textId="2AD1BF63" w:rsidR="0089632F" w:rsidRPr="0059385D" w:rsidRDefault="0005649C" w:rsidP="008B6633">
            <w:pPr>
              <w:pStyle w:val="TableText0"/>
              <w:keepNext w:val="0"/>
              <w:keepLines w:val="0"/>
            </w:pPr>
            <w:r w:rsidRPr="0059385D">
              <w:t>Scripts</w:t>
            </w:r>
          </w:p>
        </w:tc>
        <w:tc>
          <w:tcPr>
            <w:tcW w:w="4171" w:type="dxa"/>
          </w:tcPr>
          <w:tbl>
            <w:tblPr>
              <w:tblStyle w:val="TableGrid"/>
              <w:tblW w:w="3800" w:type="dxa"/>
              <w:tblLook w:val="04A0" w:firstRow="1" w:lastRow="0" w:firstColumn="1" w:lastColumn="0" w:noHBand="0" w:noVBand="1"/>
            </w:tblPr>
            <w:tblGrid>
              <w:gridCol w:w="938"/>
              <w:gridCol w:w="946"/>
              <w:gridCol w:w="833"/>
              <w:gridCol w:w="1083"/>
            </w:tblGrid>
            <w:tr w:rsidR="00DB35F7" w:rsidRPr="0059385D" w14:paraId="356DFC21" w14:textId="5D6D6106" w:rsidTr="00B97A3B">
              <w:trPr>
                <w:trHeight w:val="375"/>
              </w:trPr>
              <w:tc>
                <w:tcPr>
                  <w:tcW w:w="939" w:type="dxa"/>
                  <w:vAlign w:val="center"/>
                </w:tcPr>
                <w:p w14:paraId="07CBEDC9" w14:textId="77777777" w:rsidR="00B97A3B" w:rsidRPr="0059385D" w:rsidRDefault="00B97A3B" w:rsidP="008B6633">
                  <w:pPr>
                    <w:pStyle w:val="Tabletext"/>
                    <w:jc w:val="center"/>
                    <w:rPr>
                      <w:b/>
                      <w:bCs/>
                    </w:rPr>
                  </w:pPr>
                  <w:r w:rsidRPr="0059385D">
                    <w:rPr>
                      <w:b/>
                      <w:bCs/>
                    </w:rPr>
                    <w:t>Strength</w:t>
                  </w:r>
                </w:p>
              </w:tc>
              <w:tc>
                <w:tcPr>
                  <w:tcW w:w="944" w:type="dxa"/>
                </w:tcPr>
                <w:p w14:paraId="42056946" w14:textId="2BB91C75" w:rsidR="00B97A3B" w:rsidRPr="0059385D" w:rsidRDefault="0005649C" w:rsidP="008B6633">
                  <w:pPr>
                    <w:pStyle w:val="Tabletext"/>
                    <w:jc w:val="center"/>
                    <w:rPr>
                      <w:b/>
                      <w:bCs/>
                    </w:rPr>
                  </w:pPr>
                  <w:r w:rsidRPr="0059385D">
                    <w:rPr>
                      <w:b/>
                      <w:bCs/>
                    </w:rPr>
                    <w:t>Capsules</w:t>
                  </w:r>
                  <w:r w:rsidR="00B97A3B" w:rsidRPr="0059385D">
                    <w:rPr>
                      <w:b/>
                      <w:bCs/>
                    </w:rPr>
                    <w:t xml:space="preserve"> </w:t>
                  </w:r>
                  <w:r w:rsidRPr="0059385D">
                    <w:rPr>
                      <w:b/>
                      <w:bCs/>
                    </w:rPr>
                    <w:t>/</w:t>
                  </w:r>
                  <w:r w:rsidR="00B97A3B" w:rsidRPr="0059385D">
                    <w:rPr>
                      <w:b/>
                      <w:bCs/>
                    </w:rPr>
                    <w:t xml:space="preserve"> </w:t>
                  </w:r>
                  <w:r w:rsidRPr="0059385D">
                    <w:rPr>
                      <w:b/>
                      <w:bCs/>
                    </w:rPr>
                    <w:t xml:space="preserve">month </w:t>
                  </w:r>
                  <w:r w:rsidR="00B97A3B" w:rsidRPr="0059385D">
                    <w:rPr>
                      <w:b/>
                      <w:bCs/>
                      <w:vertAlign w:val="superscript"/>
                    </w:rPr>
                    <w:t>a</w:t>
                  </w:r>
                </w:p>
              </w:tc>
              <w:tc>
                <w:tcPr>
                  <w:tcW w:w="834" w:type="dxa"/>
                </w:tcPr>
                <w:p w14:paraId="7D2D5088" w14:textId="19341D55" w:rsidR="00B97A3B" w:rsidRPr="0059385D" w:rsidRDefault="00B97A3B" w:rsidP="008B6633">
                  <w:pPr>
                    <w:pStyle w:val="Tabletext"/>
                    <w:jc w:val="center"/>
                    <w:rPr>
                      <w:b/>
                      <w:bCs/>
                      <w:vertAlign w:val="superscript"/>
                    </w:rPr>
                  </w:pPr>
                  <w:r w:rsidRPr="0059385D">
                    <w:rPr>
                      <w:b/>
                      <w:bCs/>
                    </w:rPr>
                    <w:t>Scripts / year</w:t>
                  </w:r>
                  <w:r w:rsidR="0005649C" w:rsidRPr="0059385D">
                    <w:rPr>
                      <w:b/>
                      <w:bCs/>
                    </w:rPr>
                    <w:t xml:space="preserve"> </w:t>
                  </w:r>
                  <w:r w:rsidR="0005649C" w:rsidRPr="0059385D">
                    <w:rPr>
                      <w:b/>
                      <w:bCs/>
                      <w:vertAlign w:val="superscript"/>
                    </w:rPr>
                    <w:t>b</w:t>
                  </w:r>
                </w:p>
              </w:tc>
              <w:tc>
                <w:tcPr>
                  <w:tcW w:w="1083" w:type="dxa"/>
                </w:tcPr>
                <w:p w14:paraId="483002F0" w14:textId="194EB3C9" w:rsidR="00B97A3B" w:rsidRPr="0059385D" w:rsidRDefault="00B97A3B" w:rsidP="008B6633">
                  <w:pPr>
                    <w:pStyle w:val="Tabletext"/>
                    <w:jc w:val="center"/>
                    <w:rPr>
                      <w:b/>
                      <w:bCs/>
                    </w:rPr>
                  </w:pPr>
                  <w:r w:rsidRPr="0059385D">
                    <w:rPr>
                      <w:b/>
                      <w:bCs/>
                    </w:rPr>
                    <w:t>Population split %</w:t>
                  </w:r>
                </w:p>
              </w:tc>
            </w:tr>
            <w:tr w:rsidR="00DB35F7" w:rsidRPr="0059385D" w14:paraId="3FD00A51" w14:textId="74ED9045">
              <w:trPr>
                <w:trHeight w:val="187"/>
              </w:trPr>
              <w:tc>
                <w:tcPr>
                  <w:tcW w:w="939" w:type="dxa"/>
                  <w:vAlign w:val="center"/>
                </w:tcPr>
                <w:p w14:paraId="576E5C19" w14:textId="77777777" w:rsidR="0005649C" w:rsidRPr="0059385D" w:rsidRDefault="0005649C" w:rsidP="008B6633">
                  <w:pPr>
                    <w:pStyle w:val="Tabletext"/>
                    <w:jc w:val="center"/>
                  </w:pPr>
                  <w:r w:rsidRPr="0059385D">
                    <w:t>200</w:t>
                  </w:r>
                  <w:r w:rsidRPr="0059385D">
                    <w:rPr>
                      <w:color w:val="000000" w:themeColor="text1"/>
                    </w:rPr>
                    <w:t xml:space="preserve"> µg</w:t>
                  </w:r>
                </w:p>
              </w:tc>
              <w:tc>
                <w:tcPr>
                  <w:tcW w:w="944" w:type="dxa"/>
                  <w:tcBorders>
                    <w:top w:val="nil"/>
                    <w:left w:val="single" w:sz="4" w:space="0" w:color="auto"/>
                    <w:bottom w:val="single" w:sz="4" w:space="0" w:color="auto"/>
                    <w:right w:val="single" w:sz="4" w:space="0" w:color="auto"/>
                  </w:tcBorders>
                  <w:vAlign w:val="center"/>
                </w:tcPr>
                <w:p w14:paraId="127D148E" w14:textId="07051433" w:rsidR="0005649C" w:rsidRPr="0059385D" w:rsidRDefault="0005649C" w:rsidP="008B6633">
                  <w:pPr>
                    <w:pStyle w:val="Tabletext"/>
                    <w:jc w:val="center"/>
                  </w:pPr>
                  <w:r w:rsidRPr="0059385D">
                    <w:t>358.9</w:t>
                  </w:r>
                </w:p>
              </w:tc>
              <w:tc>
                <w:tcPr>
                  <w:tcW w:w="834" w:type="dxa"/>
                  <w:vAlign w:val="center"/>
                </w:tcPr>
                <w:p w14:paraId="5936E96F" w14:textId="4CCB44CD" w:rsidR="0005649C" w:rsidRPr="0059385D" w:rsidRDefault="0005649C" w:rsidP="008B6633">
                  <w:pPr>
                    <w:pStyle w:val="Tabletext"/>
                    <w:jc w:val="center"/>
                  </w:pPr>
                  <w:r w:rsidRPr="0059385D">
                    <w:t>11.4</w:t>
                  </w:r>
                </w:p>
              </w:tc>
              <w:tc>
                <w:tcPr>
                  <w:tcW w:w="1083" w:type="dxa"/>
                  <w:vAlign w:val="center"/>
                </w:tcPr>
                <w:p w14:paraId="58C49429" w14:textId="08CFF72D" w:rsidR="0005649C" w:rsidRPr="0059385D" w:rsidRDefault="0005649C" w:rsidP="008B6633">
                  <w:pPr>
                    <w:pStyle w:val="Tabletext"/>
                    <w:jc w:val="center"/>
                  </w:pPr>
                  <w:r w:rsidRPr="0059385D">
                    <w:t>5.0%</w:t>
                  </w:r>
                </w:p>
              </w:tc>
            </w:tr>
            <w:tr w:rsidR="00DB35F7" w:rsidRPr="0059385D" w14:paraId="4FAC6E4C" w14:textId="0874D4B8" w:rsidTr="00B97A3B">
              <w:trPr>
                <w:trHeight w:val="187"/>
              </w:trPr>
              <w:tc>
                <w:tcPr>
                  <w:tcW w:w="939" w:type="dxa"/>
                  <w:vAlign w:val="center"/>
                </w:tcPr>
                <w:p w14:paraId="2B289A19" w14:textId="77777777" w:rsidR="0005649C" w:rsidRPr="0059385D" w:rsidRDefault="0005649C" w:rsidP="008B6633">
                  <w:pPr>
                    <w:pStyle w:val="Tabletext"/>
                    <w:jc w:val="center"/>
                  </w:pPr>
                  <w:r w:rsidRPr="0059385D">
                    <w:t xml:space="preserve">400 </w:t>
                  </w:r>
                  <w:r w:rsidRPr="0059385D">
                    <w:rPr>
                      <w:color w:val="000000" w:themeColor="text1"/>
                    </w:rPr>
                    <w:t>µg</w:t>
                  </w:r>
                </w:p>
              </w:tc>
              <w:tc>
                <w:tcPr>
                  <w:tcW w:w="944" w:type="dxa"/>
                  <w:tcBorders>
                    <w:top w:val="nil"/>
                    <w:left w:val="single" w:sz="4" w:space="0" w:color="auto"/>
                    <w:bottom w:val="single" w:sz="4" w:space="0" w:color="auto"/>
                    <w:right w:val="single" w:sz="4" w:space="0" w:color="auto"/>
                  </w:tcBorders>
                  <w:vAlign w:val="center"/>
                </w:tcPr>
                <w:p w14:paraId="4C037F11" w14:textId="27BA0796" w:rsidR="0005649C" w:rsidRPr="0059385D" w:rsidRDefault="0005649C" w:rsidP="008B6633">
                  <w:pPr>
                    <w:pStyle w:val="Tabletext"/>
                    <w:jc w:val="center"/>
                  </w:pPr>
                  <w:r w:rsidRPr="0059385D">
                    <w:t>179.4</w:t>
                  </w:r>
                </w:p>
              </w:tc>
              <w:tc>
                <w:tcPr>
                  <w:tcW w:w="834" w:type="dxa"/>
                  <w:vAlign w:val="center"/>
                </w:tcPr>
                <w:p w14:paraId="41CC0002" w14:textId="0D959802" w:rsidR="0005649C" w:rsidRPr="0059385D" w:rsidRDefault="0005649C" w:rsidP="008B6633">
                  <w:pPr>
                    <w:pStyle w:val="Tabletext"/>
                    <w:jc w:val="center"/>
                  </w:pPr>
                  <w:r w:rsidRPr="0059385D">
                    <w:t>11.4</w:t>
                  </w:r>
                </w:p>
              </w:tc>
              <w:tc>
                <w:tcPr>
                  <w:tcW w:w="1083" w:type="dxa"/>
                  <w:vAlign w:val="center"/>
                </w:tcPr>
                <w:p w14:paraId="051158EF" w14:textId="2D4A293A" w:rsidR="0005649C" w:rsidRPr="0059385D" w:rsidRDefault="0005649C" w:rsidP="008B6633">
                  <w:pPr>
                    <w:pStyle w:val="Tabletext"/>
                    <w:jc w:val="center"/>
                  </w:pPr>
                  <w:r w:rsidRPr="0059385D">
                    <w:t>5.0%</w:t>
                  </w:r>
                </w:p>
              </w:tc>
            </w:tr>
            <w:tr w:rsidR="00DB35F7" w:rsidRPr="0059385D" w14:paraId="7BDFD9EF" w14:textId="058D843F" w:rsidTr="00B97A3B">
              <w:trPr>
                <w:trHeight w:val="187"/>
              </w:trPr>
              <w:tc>
                <w:tcPr>
                  <w:tcW w:w="939" w:type="dxa"/>
                  <w:vAlign w:val="center"/>
                </w:tcPr>
                <w:p w14:paraId="251042D0" w14:textId="77777777" w:rsidR="0005649C" w:rsidRPr="0059385D" w:rsidRDefault="0005649C" w:rsidP="008B6633">
                  <w:pPr>
                    <w:pStyle w:val="Tabletext"/>
                    <w:jc w:val="center"/>
                  </w:pPr>
                  <w:r w:rsidRPr="0059385D">
                    <w:t xml:space="preserve">600 </w:t>
                  </w:r>
                  <w:r w:rsidRPr="0059385D">
                    <w:rPr>
                      <w:color w:val="000000" w:themeColor="text1"/>
                    </w:rPr>
                    <w:t>µg</w:t>
                  </w:r>
                </w:p>
              </w:tc>
              <w:tc>
                <w:tcPr>
                  <w:tcW w:w="944" w:type="dxa"/>
                  <w:tcBorders>
                    <w:top w:val="nil"/>
                    <w:left w:val="single" w:sz="4" w:space="0" w:color="auto"/>
                    <w:bottom w:val="single" w:sz="4" w:space="0" w:color="auto"/>
                    <w:right w:val="single" w:sz="4" w:space="0" w:color="auto"/>
                  </w:tcBorders>
                  <w:vAlign w:val="center"/>
                </w:tcPr>
                <w:p w14:paraId="3E8761E6" w14:textId="72ECFC3A" w:rsidR="0005649C" w:rsidRPr="0059385D" w:rsidRDefault="0005649C" w:rsidP="008B6633">
                  <w:pPr>
                    <w:pStyle w:val="Tabletext"/>
                    <w:jc w:val="center"/>
                  </w:pPr>
                  <w:r w:rsidRPr="0059385D">
                    <w:t>119.6</w:t>
                  </w:r>
                </w:p>
              </w:tc>
              <w:tc>
                <w:tcPr>
                  <w:tcW w:w="834" w:type="dxa"/>
                  <w:vAlign w:val="center"/>
                </w:tcPr>
                <w:p w14:paraId="27EFF7E4" w14:textId="3EF54AA3" w:rsidR="0005649C" w:rsidRPr="0059385D" w:rsidRDefault="0005649C" w:rsidP="008B6633">
                  <w:pPr>
                    <w:pStyle w:val="Tabletext"/>
                    <w:jc w:val="center"/>
                  </w:pPr>
                  <w:r w:rsidRPr="0059385D">
                    <w:t>3.8</w:t>
                  </w:r>
                </w:p>
              </w:tc>
              <w:tc>
                <w:tcPr>
                  <w:tcW w:w="1083" w:type="dxa"/>
                  <w:vAlign w:val="center"/>
                </w:tcPr>
                <w:p w14:paraId="211719F0" w14:textId="111C7289" w:rsidR="0005649C" w:rsidRPr="0059385D" w:rsidRDefault="0005649C" w:rsidP="008B6633">
                  <w:pPr>
                    <w:pStyle w:val="Tabletext"/>
                    <w:jc w:val="center"/>
                  </w:pPr>
                  <w:r w:rsidRPr="0059385D">
                    <w:t>30.0%</w:t>
                  </w:r>
                </w:p>
              </w:tc>
            </w:tr>
            <w:tr w:rsidR="00DB35F7" w:rsidRPr="0059385D" w14:paraId="27954E91" w14:textId="0E4AD6BF">
              <w:trPr>
                <w:trHeight w:val="187"/>
              </w:trPr>
              <w:tc>
                <w:tcPr>
                  <w:tcW w:w="939" w:type="dxa"/>
                  <w:vAlign w:val="center"/>
                </w:tcPr>
                <w:p w14:paraId="55B8A4C0" w14:textId="77777777" w:rsidR="0005649C" w:rsidRPr="0059385D" w:rsidRDefault="0005649C" w:rsidP="008B6633">
                  <w:pPr>
                    <w:pStyle w:val="Tabletext"/>
                    <w:jc w:val="center"/>
                  </w:pPr>
                  <w:r w:rsidRPr="0059385D">
                    <w:t xml:space="preserve">1200 </w:t>
                  </w:r>
                  <w:r w:rsidRPr="0059385D">
                    <w:rPr>
                      <w:color w:val="000000" w:themeColor="text1"/>
                    </w:rPr>
                    <w:t>µg</w:t>
                  </w:r>
                </w:p>
              </w:tc>
              <w:tc>
                <w:tcPr>
                  <w:tcW w:w="944" w:type="dxa"/>
                  <w:tcBorders>
                    <w:top w:val="nil"/>
                    <w:left w:val="single" w:sz="4" w:space="0" w:color="auto"/>
                    <w:bottom w:val="single" w:sz="4" w:space="0" w:color="auto"/>
                    <w:right w:val="single" w:sz="4" w:space="0" w:color="auto"/>
                  </w:tcBorders>
                  <w:vAlign w:val="center"/>
                </w:tcPr>
                <w:p w14:paraId="6C377EFB" w14:textId="5D209D6C" w:rsidR="0005649C" w:rsidRPr="0059385D" w:rsidRDefault="0005649C" w:rsidP="008B6633">
                  <w:pPr>
                    <w:pStyle w:val="Tabletext"/>
                    <w:jc w:val="center"/>
                  </w:pPr>
                  <w:r w:rsidRPr="0059385D">
                    <w:t>59.8</w:t>
                  </w:r>
                </w:p>
              </w:tc>
              <w:tc>
                <w:tcPr>
                  <w:tcW w:w="834" w:type="dxa"/>
                  <w:vAlign w:val="center"/>
                </w:tcPr>
                <w:p w14:paraId="43493849" w14:textId="633D14BF" w:rsidR="0005649C" w:rsidRPr="0059385D" w:rsidRDefault="0005649C" w:rsidP="008B6633">
                  <w:pPr>
                    <w:pStyle w:val="Tabletext"/>
                    <w:jc w:val="center"/>
                  </w:pPr>
                  <w:r w:rsidRPr="0059385D">
                    <w:t>3.8</w:t>
                  </w:r>
                </w:p>
              </w:tc>
              <w:tc>
                <w:tcPr>
                  <w:tcW w:w="1083" w:type="dxa"/>
                  <w:vAlign w:val="center"/>
                </w:tcPr>
                <w:p w14:paraId="681D0698" w14:textId="3AAB8D86" w:rsidR="0005649C" w:rsidRPr="0059385D" w:rsidRDefault="0005649C" w:rsidP="008B6633">
                  <w:pPr>
                    <w:pStyle w:val="Tabletext"/>
                    <w:jc w:val="center"/>
                  </w:pPr>
                  <w:r w:rsidRPr="0059385D">
                    <w:t>60.0%</w:t>
                  </w:r>
                </w:p>
              </w:tc>
            </w:tr>
          </w:tbl>
          <w:p w14:paraId="12B68114" w14:textId="39346CFF" w:rsidR="0089632F" w:rsidRPr="0059385D" w:rsidRDefault="00B97A3B" w:rsidP="008B6633">
            <w:pPr>
              <w:pStyle w:val="TableText0"/>
              <w:keepNext w:val="0"/>
              <w:keepLines w:val="0"/>
              <w:rPr>
                <w:sz w:val="18"/>
                <w:szCs w:val="22"/>
              </w:rPr>
            </w:pPr>
            <w:r w:rsidRPr="0059385D">
              <w:rPr>
                <w:vertAlign w:val="superscript"/>
              </w:rPr>
              <w:t xml:space="preserve">a </w:t>
            </w:r>
            <w:r w:rsidR="0005649C" w:rsidRPr="0059385D">
              <w:t>(</w:t>
            </w:r>
            <w:r w:rsidRPr="0059385D">
              <w:rPr>
                <w:sz w:val="18"/>
                <w:szCs w:val="22"/>
              </w:rPr>
              <w:t>2,358 µg daily dose / strength</w:t>
            </w:r>
            <w:r w:rsidR="0005649C" w:rsidRPr="0059385D">
              <w:rPr>
                <w:sz w:val="18"/>
                <w:szCs w:val="22"/>
              </w:rPr>
              <w:t>) x (365.25/12)</w:t>
            </w:r>
          </w:p>
          <w:p w14:paraId="229EEEF6" w14:textId="4D17B2D5" w:rsidR="0005649C" w:rsidRPr="0059385D" w:rsidRDefault="0005649C" w:rsidP="008B6633">
            <w:pPr>
              <w:pStyle w:val="TableText0"/>
              <w:keepNext w:val="0"/>
              <w:keepLines w:val="0"/>
              <w:rPr>
                <w:sz w:val="18"/>
                <w:szCs w:val="22"/>
              </w:rPr>
            </w:pPr>
            <w:r w:rsidRPr="0059385D">
              <w:rPr>
                <w:sz w:val="18"/>
                <w:szCs w:val="22"/>
                <w:vertAlign w:val="superscript"/>
              </w:rPr>
              <w:t xml:space="preserve">b </w:t>
            </w:r>
            <w:r w:rsidRPr="0059385D">
              <w:rPr>
                <w:sz w:val="18"/>
                <w:szCs w:val="22"/>
              </w:rPr>
              <w:t>12.00 / (max units / capsules per month) * compliance</w:t>
            </w:r>
          </w:p>
          <w:p w14:paraId="71D13DB1" w14:textId="77777777" w:rsidR="00B97A3B" w:rsidRPr="0059385D" w:rsidRDefault="00B97A3B" w:rsidP="008B6633">
            <w:pPr>
              <w:pStyle w:val="TableText0"/>
              <w:keepNext w:val="0"/>
              <w:keepLines w:val="0"/>
              <w:rPr>
                <w:sz w:val="8"/>
                <w:szCs w:val="8"/>
              </w:rPr>
            </w:pPr>
          </w:p>
          <w:p w14:paraId="4F33AD43" w14:textId="4121951E" w:rsidR="00B97A3B" w:rsidRPr="0059385D" w:rsidRDefault="00B97A3B" w:rsidP="008B6633">
            <w:pPr>
              <w:pStyle w:val="TableText0"/>
              <w:keepNext w:val="0"/>
              <w:keepLines w:val="0"/>
            </w:pPr>
            <w:r w:rsidRPr="0059385D">
              <w:t xml:space="preserve">Source: </w:t>
            </w:r>
            <w:r w:rsidR="0005649C" w:rsidRPr="0059385D">
              <w:t>Population split assumed by submission</w:t>
            </w:r>
            <w:r w:rsidRPr="0059385D">
              <w:t xml:space="preserve"> </w:t>
            </w:r>
          </w:p>
        </w:tc>
        <w:tc>
          <w:tcPr>
            <w:tcW w:w="3880" w:type="dxa"/>
          </w:tcPr>
          <w:p w14:paraId="4CAB42C2" w14:textId="4A6459AF" w:rsidR="0089632F" w:rsidRPr="0059385D" w:rsidRDefault="00B97A3B" w:rsidP="008B6633">
            <w:pPr>
              <w:pStyle w:val="TableText0"/>
              <w:keepNext w:val="0"/>
              <w:keepLines w:val="0"/>
              <w:spacing w:after="120"/>
            </w:pPr>
            <w:r w:rsidRPr="0059385D">
              <w:t xml:space="preserve">The inclusion </w:t>
            </w:r>
            <w:r w:rsidR="0005649C" w:rsidRPr="0059385D">
              <w:t xml:space="preserve">of </w:t>
            </w:r>
            <w:r w:rsidRPr="0059385D">
              <w:t xml:space="preserve">200 </w:t>
            </w:r>
            <w:r w:rsidRPr="0059385D">
              <w:rPr>
                <w:color w:val="000000" w:themeColor="text1"/>
              </w:rPr>
              <w:t>µg and 400 µg</w:t>
            </w:r>
            <w:r w:rsidRPr="0059385D">
              <w:t xml:space="preserve"> capsule strengths </w:t>
            </w:r>
            <w:r w:rsidR="0005649C" w:rsidRPr="0059385D">
              <w:t xml:space="preserve">was inconsistent with the applied </w:t>
            </w:r>
            <w:r w:rsidRPr="0059385D">
              <w:t>120 µg/kg/day dosage and resulted in an inflated number of script</w:t>
            </w:r>
            <w:r w:rsidR="0005649C" w:rsidRPr="0059385D">
              <w:t>s (near 1 script per month) at these strengths which lacked face validity.</w:t>
            </w:r>
          </w:p>
          <w:p w14:paraId="0C8AC43A" w14:textId="15F0CD4C" w:rsidR="0005649C" w:rsidRPr="0059385D" w:rsidRDefault="0005649C" w:rsidP="008B6633">
            <w:pPr>
              <w:pStyle w:val="TableText0"/>
              <w:keepNext w:val="0"/>
              <w:keepLines w:val="0"/>
            </w:pPr>
            <w:r w:rsidRPr="0059385D">
              <w:t xml:space="preserve">The inflated </w:t>
            </w:r>
            <w:r w:rsidR="009C3708" w:rsidRPr="0059385D">
              <w:t xml:space="preserve">200 µg and 400 µg script </w:t>
            </w:r>
            <w:r w:rsidRPr="0059385D">
              <w:t>numbers resulted in</w:t>
            </w:r>
            <w:r w:rsidR="009C3708" w:rsidRPr="0059385D">
              <w:t xml:space="preserve"> </w:t>
            </w:r>
            <w:r w:rsidRPr="0059385D">
              <w:t>overestimated co-payments, dispensing and administration fees.</w:t>
            </w:r>
          </w:p>
        </w:tc>
      </w:tr>
      <w:tr w:rsidR="00792603" w:rsidRPr="00275521" w14:paraId="52D25A19" w14:textId="77777777" w:rsidTr="005461E5">
        <w:trPr>
          <w:cantSplit/>
        </w:trPr>
        <w:tc>
          <w:tcPr>
            <w:tcW w:w="1129" w:type="dxa"/>
          </w:tcPr>
          <w:p w14:paraId="3B378093" w14:textId="77777777" w:rsidR="00E93504" w:rsidRPr="0059385D" w:rsidRDefault="00E93504" w:rsidP="008B6633">
            <w:pPr>
              <w:pStyle w:val="TableText0"/>
              <w:keepNext w:val="0"/>
              <w:keepLines w:val="0"/>
            </w:pPr>
            <w:r w:rsidRPr="0059385D">
              <w:t>Duration of treatment</w:t>
            </w:r>
          </w:p>
        </w:tc>
        <w:tc>
          <w:tcPr>
            <w:tcW w:w="4171" w:type="dxa"/>
          </w:tcPr>
          <w:p w14:paraId="4965BF92" w14:textId="49221BB8" w:rsidR="00E93504" w:rsidRPr="0059385D" w:rsidRDefault="00E93504" w:rsidP="008B6633">
            <w:pPr>
              <w:pStyle w:val="TableText0"/>
              <w:keepNext w:val="0"/>
              <w:keepLines w:val="0"/>
            </w:pPr>
            <w:r w:rsidRPr="0059385D">
              <w:t>Initiating: 6 months; Continuing: 66 months</w:t>
            </w:r>
          </w:p>
          <w:p w14:paraId="3CB421D2" w14:textId="51265AA0" w:rsidR="00E93504" w:rsidRPr="0059385D" w:rsidRDefault="00C8759F" w:rsidP="008B6633">
            <w:pPr>
              <w:pStyle w:val="TableText0"/>
              <w:keepNext w:val="0"/>
              <w:keepLines w:val="0"/>
            </w:pPr>
            <w:r w:rsidRPr="0059385D">
              <w:t>(Total 72 months / 6 years)</w:t>
            </w:r>
          </w:p>
          <w:p w14:paraId="0E793E4B" w14:textId="3C8E2C06" w:rsidR="00E93504" w:rsidRPr="0059385D" w:rsidRDefault="00E93504" w:rsidP="008B6633">
            <w:pPr>
              <w:pStyle w:val="TableText0"/>
              <w:keepNext w:val="0"/>
              <w:keepLines w:val="0"/>
            </w:pPr>
            <w:r w:rsidRPr="0059385D">
              <w:t>The submission claimed patients are expected remain on odevixibat treatment for 72 months as supported by the ASSERT-EXT trial duration. However, the ASSERT-EXT trial duration was 72-weeks.</w:t>
            </w:r>
          </w:p>
        </w:tc>
        <w:tc>
          <w:tcPr>
            <w:tcW w:w="3880" w:type="dxa"/>
          </w:tcPr>
          <w:p w14:paraId="239A7B8F" w14:textId="42D256A2" w:rsidR="00E93504" w:rsidRPr="0059385D" w:rsidRDefault="00E93504" w:rsidP="008B6633">
            <w:pPr>
              <w:pStyle w:val="TableText0"/>
              <w:keepNext w:val="0"/>
              <w:keepLines w:val="0"/>
            </w:pPr>
            <w:r w:rsidRPr="0059385D">
              <w:t>Highly uncertain. The submission’s economic model calculated a median</w:t>
            </w:r>
            <w:r w:rsidR="00C8759F" w:rsidRPr="0059385D">
              <w:t xml:space="preserve"> and mean</w:t>
            </w:r>
            <w:r w:rsidRPr="0059385D">
              <w:t xml:space="preserve"> treatment duration of 7.59 and 12.63 years, respectively.</w:t>
            </w:r>
          </w:p>
          <w:p w14:paraId="5549A92C" w14:textId="77777777" w:rsidR="00E93504" w:rsidRPr="0059385D" w:rsidRDefault="00E93504" w:rsidP="008B6633">
            <w:pPr>
              <w:pStyle w:val="TableText0"/>
              <w:keepNext w:val="0"/>
              <w:keepLines w:val="0"/>
            </w:pPr>
            <w:r w:rsidRPr="0059385D">
              <w:t>In ASSERT-EXT, 12.00% (6/50) of patients did not complete the 72-week treatment period.</w:t>
            </w:r>
          </w:p>
          <w:p w14:paraId="7882F3DD" w14:textId="0C0796BA" w:rsidR="00287928" w:rsidRPr="0059385D" w:rsidRDefault="00287928" w:rsidP="008B6633">
            <w:pPr>
              <w:pStyle w:val="TableText0"/>
              <w:keepNext w:val="0"/>
              <w:keepLines w:val="0"/>
            </w:pPr>
            <w:r w:rsidRPr="0059385D">
              <w:t xml:space="preserve">The </w:t>
            </w:r>
            <w:r w:rsidR="00E1702F" w:rsidRPr="0059385D">
              <w:t>March 2025</w:t>
            </w:r>
            <w:r w:rsidRPr="0059385D">
              <w:t xml:space="preserve"> PFIC estimates applied an initial treatment duration of 3 months and a continuing treatment duration of 72 months (Table 19, odevixibat PSD, </w:t>
            </w:r>
            <w:r w:rsidR="00D17D2F" w:rsidRPr="0059385D">
              <w:t>March 2025 PBAC Meeting with Addendum July 2025</w:t>
            </w:r>
            <w:r w:rsidR="00E1702F" w:rsidRPr="0059385D">
              <w:t>)</w:t>
            </w:r>
            <w:r w:rsidRPr="0059385D">
              <w:t>.</w:t>
            </w:r>
          </w:p>
        </w:tc>
      </w:tr>
    </w:tbl>
    <w:p w14:paraId="5C2414D3" w14:textId="77777777" w:rsidR="001A1D27" w:rsidRPr="00275521" w:rsidRDefault="001A1D27" w:rsidP="008B6633">
      <w:pPr>
        <w:pStyle w:val="FooterTableFigure"/>
      </w:pPr>
      <w:r w:rsidRPr="00275521">
        <w:t>Source: Constructed during evaluation from Table 4-1, Table 4-2, Table 4-3, Table 4-4, Table 4-5, Table 4-6 of the submission and submission’s utilisation and cost model.</w:t>
      </w:r>
    </w:p>
    <w:p w14:paraId="2ABAA9F5" w14:textId="77777777" w:rsidR="00E539DB" w:rsidRDefault="001A1D27" w:rsidP="00E539DB">
      <w:pPr>
        <w:pStyle w:val="FooterTableFigure"/>
        <w:spacing w:before="160"/>
        <w:rPr>
          <w:i/>
          <w:szCs w:val="18"/>
        </w:rPr>
      </w:pPr>
      <w:r w:rsidRPr="00275521">
        <w:t>Abbreviations: ABS = Australian Bureau of Statistics; ALGS = Alagille syndrome;</w:t>
      </w:r>
      <w:r w:rsidR="00E93504" w:rsidRPr="00275521">
        <w:t xml:space="preserve"> CSR = clinical study report;</w:t>
      </w:r>
      <w:r w:rsidR="008B6633">
        <w:t xml:space="preserve"> </w:t>
      </w:r>
      <w:r w:rsidRPr="00275521">
        <w:t>iBAT = ileal bile acid transporter; LT = liver transplant; PBS = Pharmaceutical Benefits Scheme; PI = product information; RPBS = Repatriation Pharmaceutical Benefits Scheme: SD = standard deviation; UDCA = ursodeoxycholic acid; Yr = year</w:t>
      </w:r>
    </w:p>
    <w:p w14:paraId="731699E3" w14:textId="3F4DE799" w:rsidR="00E539DB" w:rsidRPr="00E539DB" w:rsidRDefault="00E539DB" w:rsidP="00E539DB">
      <w:pPr>
        <w:pStyle w:val="FooterTableFigure"/>
        <w:spacing w:before="160"/>
        <w:rPr>
          <w:i/>
        </w:rPr>
      </w:pPr>
      <w:r w:rsidRPr="00E539DB">
        <w:rPr>
          <w:i/>
        </w:rPr>
        <w:t xml:space="preserve">The redacted values correspond to the following ranges: </w:t>
      </w:r>
    </w:p>
    <w:p w14:paraId="451A92D9" w14:textId="639D58F2" w:rsidR="00E539DB" w:rsidRPr="00E539DB" w:rsidRDefault="00E539DB" w:rsidP="00E539DB">
      <w:pPr>
        <w:pStyle w:val="FooterTableFigure"/>
        <w:spacing w:before="160"/>
        <w:rPr>
          <w:i/>
        </w:rPr>
      </w:pPr>
      <w:r w:rsidRPr="00E539DB">
        <w:rPr>
          <w:i/>
          <w:vertAlign w:val="superscript"/>
        </w:rPr>
        <w:t>1</w:t>
      </w:r>
      <w:r w:rsidRPr="00E539DB">
        <w:rPr>
          <w:i/>
        </w:rPr>
        <w:t xml:space="preserve"> </w:t>
      </w:r>
      <w:r w:rsidR="00920C57">
        <w:rPr>
          <w:i/>
        </w:rPr>
        <w:t>&lt; 500</w:t>
      </w:r>
    </w:p>
    <w:p w14:paraId="220DA9D9" w14:textId="27807290" w:rsidR="007925DF" w:rsidRPr="00275521" w:rsidRDefault="007925DF" w:rsidP="008B6633">
      <w:pPr>
        <w:pStyle w:val="FooterTableFigure"/>
        <w:spacing w:before="160"/>
      </w:pPr>
    </w:p>
    <w:p w14:paraId="0DF6968E" w14:textId="6EC93389" w:rsidR="00932BA2" w:rsidRPr="0059385D" w:rsidRDefault="008D315B" w:rsidP="008B6633">
      <w:pPr>
        <w:pStyle w:val="3-BodyText"/>
        <w:spacing w:before="160"/>
        <w:rPr>
          <w:color w:val="000000" w:themeColor="text1"/>
        </w:rPr>
      </w:pPr>
      <w:r w:rsidRPr="0059385D">
        <w:rPr>
          <w:color w:val="000000" w:themeColor="text1"/>
        </w:rPr>
        <w:t xml:space="preserve">The estimated </w:t>
      </w:r>
      <w:r w:rsidR="00932BA2" w:rsidRPr="0059385D">
        <w:rPr>
          <w:color w:val="000000" w:themeColor="text1"/>
        </w:rPr>
        <w:t>use</w:t>
      </w:r>
      <w:r w:rsidRPr="0059385D">
        <w:rPr>
          <w:color w:val="000000" w:themeColor="text1"/>
        </w:rPr>
        <w:t xml:space="preserve"> </w:t>
      </w:r>
      <w:r w:rsidR="00932BA2" w:rsidRPr="0059385D">
        <w:rPr>
          <w:color w:val="000000" w:themeColor="text1"/>
        </w:rPr>
        <w:t>and financial impacts</w:t>
      </w:r>
      <w:r w:rsidRPr="0059385D">
        <w:rPr>
          <w:color w:val="000000" w:themeColor="text1"/>
        </w:rPr>
        <w:t xml:space="preserve"> </w:t>
      </w:r>
      <w:r w:rsidR="00932BA2" w:rsidRPr="0059385D">
        <w:rPr>
          <w:color w:val="000000" w:themeColor="text1"/>
        </w:rPr>
        <w:t>of listing odevixibat</w:t>
      </w:r>
      <w:r w:rsidRPr="0059385D">
        <w:rPr>
          <w:color w:val="000000" w:themeColor="text1"/>
        </w:rPr>
        <w:t xml:space="preserve"> is presented in </w:t>
      </w:r>
      <w:r w:rsidRPr="0059385D">
        <w:rPr>
          <w:color w:val="000000" w:themeColor="text1"/>
        </w:rPr>
        <w:fldChar w:fldCharType="begin"/>
      </w:r>
      <w:r w:rsidRPr="0059385D">
        <w:rPr>
          <w:color w:val="000000" w:themeColor="text1"/>
        </w:rPr>
        <w:instrText xml:space="preserve"> REF _Ref218866750 \h </w:instrText>
      </w:r>
      <w:r w:rsidR="0059385D" w:rsidRPr="0059385D">
        <w:rPr>
          <w:color w:val="000000" w:themeColor="text1"/>
        </w:rPr>
        <w:instrText xml:space="preserve"> \* MERGEFORMAT </w:instrText>
      </w:r>
      <w:r w:rsidRPr="0059385D">
        <w:rPr>
          <w:color w:val="000000" w:themeColor="text1"/>
        </w:rPr>
      </w:r>
      <w:r w:rsidRPr="0059385D">
        <w:rPr>
          <w:color w:val="000000" w:themeColor="text1"/>
        </w:rPr>
        <w:fldChar w:fldCharType="separate"/>
      </w:r>
      <w:r w:rsidR="0060088A" w:rsidRPr="00275521">
        <w:t xml:space="preserve">Table </w:t>
      </w:r>
      <w:r w:rsidR="0060088A">
        <w:rPr>
          <w:noProof/>
        </w:rPr>
        <w:t>20</w:t>
      </w:r>
      <w:r w:rsidRPr="0059385D">
        <w:rPr>
          <w:color w:val="000000" w:themeColor="text1"/>
        </w:rPr>
        <w:fldChar w:fldCharType="end"/>
      </w:r>
      <w:r w:rsidRPr="0059385D">
        <w:rPr>
          <w:color w:val="000000" w:themeColor="text1"/>
        </w:rPr>
        <w:t>.</w:t>
      </w:r>
      <w:r w:rsidR="00932BA2" w:rsidRPr="0059385D">
        <w:rPr>
          <w:color w:val="000000" w:themeColor="text1"/>
        </w:rPr>
        <w:t xml:space="preserve"> </w:t>
      </w:r>
    </w:p>
    <w:p w14:paraId="58D82402" w14:textId="38D0ED0C" w:rsidR="008D315B" w:rsidRPr="0059385D" w:rsidRDefault="00932BA2" w:rsidP="008B6633">
      <w:pPr>
        <w:pStyle w:val="3-BodyText"/>
        <w:spacing w:before="160"/>
        <w:rPr>
          <w:color w:val="000000" w:themeColor="text1"/>
        </w:rPr>
      </w:pPr>
      <w:r w:rsidRPr="0059385D">
        <w:rPr>
          <w:color w:val="000000" w:themeColor="text1"/>
        </w:rPr>
        <w:t xml:space="preserve">The submission assumed that uptake in the prevalent population would be split between the first three years of listing (Year 1: </w:t>
      </w:r>
      <w:r w:rsidR="006C4DC1" w:rsidRPr="006C4DC1">
        <w:rPr>
          <w:color w:val="000000" w:themeColor="text1"/>
          <w:sz w:val="2"/>
          <w:highlight w:val="black"/>
        </w:rPr>
        <w:t>redacted content</w:t>
      </w:r>
      <w:r w:rsidRPr="0059385D">
        <w:rPr>
          <w:color w:val="000000" w:themeColor="text1"/>
        </w:rPr>
        <w:t xml:space="preserve">%; Year 2: </w:t>
      </w:r>
      <w:r w:rsidR="006C4DC1" w:rsidRPr="006C4DC1">
        <w:rPr>
          <w:color w:val="000000" w:themeColor="text1"/>
          <w:sz w:val="2"/>
          <w:highlight w:val="black"/>
        </w:rPr>
        <w:t>redacted content</w:t>
      </w:r>
      <w:r w:rsidRPr="0059385D">
        <w:rPr>
          <w:color w:val="000000" w:themeColor="text1"/>
        </w:rPr>
        <w:t xml:space="preserve">%; Year 3: </w:t>
      </w:r>
      <w:r w:rsidR="006C4DC1" w:rsidRPr="006C4DC1">
        <w:rPr>
          <w:color w:val="000000" w:themeColor="text1"/>
          <w:sz w:val="2"/>
          <w:highlight w:val="black"/>
        </w:rPr>
        <w:t>redacted content</w:t>
      </w:r>
      <w:r w:rsidRPr="0059385D">
        <w:rPr>
          <w:color w:val="000000" w:themeColor="text1"/>
        </w:rPr>
        <w:t xml:space="preserve">%). However, </w:t>
      </w:r>
      <w:r w:rsidR="00F77B7A">
        <w:rPr>
          <w:color w:val="000000" w:themeColor="text1"/>
        </w:rPr>
        <w:t xml:space="preserve">the evaluation noted that </w:t>
      </w:r>
      <w:r w:rsidRPr="0059385D">
        <w:rPr>
          <w:color w:val="000000" w:themeColor="text1"/>
        </w:rPr>
        <w:t xml:space="preserve">grandfathered patients </w:t>
      </w:r>
      <w:r w:rsidR="00C61918" w:rsidRPr="0059385D">
        <w:rPr>
          <w:color w:val="000000" w:themeColor="text1"/>
        </w:rPr>
        <w:t xml:space="preserve">were </w:t>
      </w:r>
      <w:r w:rsidRPr="0059385D">
        <w:rPr>
          <w:color w:val="000000" w:themeColor="text1"/>
        </w:rPr>
        <w:t>only subtracted from the Year 1 prevalent patient pool, resulting in likely double counting of prevalent patients.</w:t>
      </w:r>
    </w:p>
    <w:p w14:paraId="1EB985D7" w14:textId="60ACEBFF" w:rsidR="004C220C" w:rsidRPr="0059385D" w:rsidRDefault="004C220C" w:rsidP="008B6633">
      <w:pPr>
        <w:pStyle w:val="3-BodyText"/>
        <w:spacing w:before="160"/>
        <w:rPr>
          <w:color w:val="000000" w:themeColor="text1"/>
        </w:rPr>
      </w:pPr>
      <w:r w:rsidRPr="0059385D">
        <w:rPr>
          <w:color w:val="000000" w:themeColor="text1"/>
        </w:rPr>
        <w:t xml:space="preserve">The submission claimed that as odevixibat is expected to be used as adjunctive therapy to SoC pharmacotherapy in patients with ALGS, no PBS-listed medicine is likely </w:t>
      </w:r>
      <w:r w:rsidRPr="0059385D">
        <w:rPr>
          <w:color w:val="000000" w:themeColor="text1"/>
        </w:rPr>
        <w:lastRenderedPageBreak/>
        <w:t>to be replaced by odevixibat. This was inconsistent with the submission’s base case economic model, which assumed that odevixibat would replace SoC therapies.</w:t>
      </w:r>
    </w:p>
    <w:p w14:paraId="3EFE1DB9" w14:textId="2304DCE3" w:rsidR="008D315B" w:rsidRPr="00275521" w:rsidRDefault="008D315B" w:rsidP="008B6633">
      <w:pPr>
        <w:pStyle w:val="Caption"/>
        <w:spacing w:before="160"/>
      </w:pPr>
      <w:bookmarkStart w:id="85" w:name="_Ref218866750"/>
      <w:r w:rsidRPr="00275521">
        <w:t xml:space="preserve">Table </w:t>
      </w:r>
      <w:fldSimple w:instr=" SEQ Table \* ARABIC ">
        <w:r w:rsidR="0060088A">
          <w:rPr>
            <w:noProof/>
          </w:rPr>
          <w:t>20</w:t>
        </w:r>
      </w:fldSimple>
      <w:bookmarkEnd w:id="85"/>
      <w:r w:rsidRPr="00275521">
        <w:t xml:space="preserve">: Estimation </w:t>
      </w:r>
      <w:r w:rsidR="00932BA2" w:rsidRPr="00275521">
        <w:t>usage and net financial impact of the propose listing at effective price</w:t>
      </w:r>
    </w:p>
    <w:tbl>
      <w:tblPr>
        <w:tblStyle w:val="Submissionstandar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0: Estimation usage and net financial impact of the propose listing at effective price"/>
      </w:tblPr>
      <w:tblGrid>
        <w:gridCol w:w="1691"/>
        <w:gridCol w:w="1220"/>
        <w:gridCol w:w="1211"/>
        <w:gridCol w:w="1210"/>
        <w:gridCol w:w="1211"/>
        <w:gridCol w:w="1252"/>
        <w:gridCol w:w="1222"/>
      </w:tblGrid>
      <w:tr w:rsidR="00792603" w:rsidRPr="00275521" w14:paraId="7E5087D8" w14:textId="77777777" w:rsidTr="00E80022">
        <w:trPr>
          <w:cnfStyle w:val="100000000000" w:firstRow="1" w:lastRow="0" w:firstColumn="0" w:lastColumn="0" w:oddVBand="0" w:evenVBand="0" w:oddHBand="0" w:evenHBand="0" w:firstRowFirstColumn="0" w:firstRowLastColumn="0" w:lastRowFirstColumn="0" w:lastRowLastColumn="0"/>
          <w:trHeight w:val="207"/>
        </w:trPr>
        <w:tc>
          <w:tcPr>
            <w:tcW w:w="1691" w:type="dxa"/>
            <w:noWrap/>
          </w:tcPr>
          <w:p w14:paraId="08A36C49" w14:textId="77777777" w:rsidR="00E80022" w:rsidRPr="00275521" w:rsidRDefault="00E80022" w:rsidP="008B6633">
            <w:pPr>
              <w:pStyle w:val="Tabletext"/>
              <w:keepNext/>
              <w:keepLines/>
              <w:rPr>
                <w:lang w:val="en-AU"/>
              </w:rPr>
            </w:pPr>
          </w:p>
        </w:tc>
        <w:tc>
          <w:tcPr>
            <w:tcW w:w="1220" w:type="dxa"/>
            <w:noWrap/>
            <w:hideMark/>
          </w:tcPr>
          <w:p w14:paraId="007DD86F" w14:textId="77777777" w:rsidR="00E80022" w:rsidRPr="00275521" w:rsidRDefault="00E80022" w:rsidP="008B6633">
            <w:pPr>
              <w:pStyle w:val="Tabletext"/>
              <w:keepNext/>
              <w:keepLines/>
              <w:jc w:val="center"/>
              <w:rPr>
                <w:lang w:val="en-AU"/>
              </w:rPr>
            </w:pPr>
            <w:r w:rsidRPr="00275521">
              <w:rPr>
                <w:bCs/>
                <w:lang w:val="en-AU"/>
              </w:rPr>
              <w:t xml:space="preserve">Year 1 </w:t>
            </w:r>
          </w:p>
        </w:tc>
        <w:tc>
          <w:tcPr>
            <w:tcW w:w="1211" w:type="dxa"/>
            <w:noWrap/>
            <w:hideMark/>
          </w:tcPr>
          <w:p w14:paraId="76E4B85E" w14:textId="77777777" w:rsidR="00E80022" w:rsidRPr="00275521" w:rsidRDefault="00E80022" w:rsidP="008B6633">
            <w:pPr>
              <w:pStyle w:val="Tabletext"/>
              <w:keepNext/>
              <w:keepLines/>
              <w:jc w:val="center"/>
              <w:rPr>
                <w:lang w:val="en-AU"/>
              </w:rPr>
            </w:pPr>
            <w:r w:rsidRPr="00275521">
              <w:rPr>
                <w:bCs/>
                <w:lang w:val="en-AU"/>
              </w:rPr>
              <w:t xml:space="preserve">Year 2 </w:t>
            </w:r>
          </w:p>
        </w:tc>
        <w:tc>
          <w:tcPr>
            <w:tcW w:w="1210" w:type="dxa"/>
            <w:noWrap/>
            <w:hideMark/>
          </w:tcPr>
          <w:p w14:paraId="3F81E822" w14:textId="77777777" w:rsidR="00E80022" w:rsidRPr="00275521" w:rsidRDefault="00E80022" w:rsidP="008B6633">
            <w:pPr>
              <w:pStyle w:val="Tabletext"/>
              <w:keepNext/>
              <w:keepLines/>
              <w:jc w:val="center"/>
              <w:rPr>
                <w:lang w:val="en-AU"/>
              </w:rPr>
            </w:pPr>
            <w:r w:rsidRPr="00275521">
              <w:rPr>
                <w:bCs/>
                <w:lang w:val="en-AU"/>
              </w:rPr>
              <w:t xml:space="preserve">Year 3 </w:t>
            </w:r>
          </w:p>
        </w:tc>
        <w:tc>
          <w:tcPr>
            <w:tcW w:w="1211" w:type="dxa"/>
            <w:noWrap/>
            <w:hideMark/>
          </w:tcPr>
          <w:p w14:paraId="75B33AA3" w14:textId="77777777" w:rsidR="00E80022" w:rsidRPr="00275521" w:rsidRDefault="00E80022" w:rsidP="008B6633">
            <w:pPr>
              <w:pStyle w:val="Tabletext"/>
              <w:keepNext/>
              <w:keepLines/>
              <w:jc w:val="center"/>
              <w:rPr>
                <w:lang w:val="en-AU"/>
              </w:rPr>
            </w:pPr>
            <w:r w:rsidRPr="00275521">
              <w:rPr>
                <w:bCs/>
                <w:lang w:val="en-AU"/>
              </w:rPr>
              <w:t xml:space="preserve">Year 4 </w:t>
            </w:r>
          </w:p>
        </w:tc>
        <w:tc>
          <w:tcPr>
            <w:tcW w:w="1252" w:type="dxa"/>
            <w:noWrap/>
            <w:hideMark/>
          </w:tcPr>
          <w:p w14:paraId="77DD7AB2" w14:textId="77777777" w:rsidR="00E80022" w:rsidRPr="00275521" w:rsidRDefault="00E80022" w:rsidP="008B6633">
            <w:pPr>
              <w:pStyle w:val="Tabletext"/>
              <w:keepNext/>
              <w:keepLines/>
              <w:jc w:val="center"/>
              <w:rPr>
                <w:lang w:val="en-AU"/>
              </w:rPr>
            </w:pPr>
            <w:r w:rsidRPr="00275521">
              <w:rPr>
                <w:bCs/>
                <w:lang w:val="en-AU"/>
              </w:rPr>
              <w:t xml:space="preserve">Year 5 </w:t>
            </w:r>
          </w:p>
        </w:tc>
        <w:tc>
          <w:tcPr>
            <w:tcW w:w="1222" w:type="dxa"/>
            <w:noWrap/>
            <w:hideMark/>
          </w:tcPr>
          <w:p w14:paraId="06B8E5B2" w14:textId="77777777" w:rsidR="00E80022" w:rsidRPr="00275521" w:rsidRDefault="00E80022" w:rsidP="008B6633">
            <w:pPr>
              <w:pStyle w:val="Tabletext"/>
              <w:keepNext/>
              <w:keepLines/>
              <w:jc w:val="center"/>
              <w:rPr>
                <w:lang w:val="en-AU"/>
              </w:rPr>
            </w:pPr>
            <w:r w:rsidRPr="00275521">
              <w:rPr>
                <w:bCs/>
                <w:lang w:val="en-AU"/>
              </w:rPr>
              <w:t xml:space="preserve">Year 6 </w:t>
            </w:r>
          </w:p>
        </w:tc>
      </w:tr>
      <w:tr w:rsidR="00311DF9" w:rsidRPr="00275521" w14:paraId="11FECBDA" w14:textId="77777777" w:rsidTr="00E80022">
        <w:trPr>
          <w:trHeight w:val="207"/>
        </w:trPr>
        <w:tc>
          <w:tcPr>
            <w:tcW w:w="9017" w:type="dxa"/>
            <w:gridSpan w:val="7"/>
            <w:noWrap/>
            <w:hideMark/>
          </w:tcPr>
          <w:p w14:paraId="727873C9" w14:textId="77777777" w:rsidR="00E80022" w:rsidRPr="00275521" w:rsidRDefault="00E80022" w:rsidP="008B6633">
            <w:pPr>
              <w:pStyle w:val="Tabletext"/>
              <w:keepNext/>
              <w:keepLines/>
              <w:rPr>
                <w:lang w:val="en-AU"/>
              </w:rPr>
            </w:pPr>
            <w:r w:rsidRPr="00275521">
              <w:rPr>
                <w:b/>
                <w:bCs/>
                <w:lang w:val="en-AU"/>
              </w:rPr>
              <w:t>Prevalent and incident patients</w:t>
            </w:r>
          </w:p>
        </w:tc>
      </w:tr>
      <w:tr w:rsidR="00792603" w:rsidRPr="00275521" w14:paraId="21FD2A77" w14:textId="77777777">
        <w:trPr>
          <w:trHeight w:val="207"/>
        </w:trPr>
        <w:tc>
          <w:tcPr>
            <w:tcW w:w="1691" w:type="dxa"/>
            <w:noWrap/>
            <w:hideMark/>
          </w:tcPr>
          <w:p w14:paraId="76DF17F9" w14:textId="77777777" w:rsidR="00E80022" w:rsidRPr="00275521" w:rsidRDefault="00E80022" w:rsidP="008B6633">
            <w:pPr>
              <w:pStyle w:val="Tabletext"/>
              <w:keepNext/>
              <w:keepLines/>
              <w:rPr>
                <w:lang w:val="en-AU"/>
              </w:rPr>
            </w:pPr>
            <w:r w:rsidRPr="00275521">
              <w:rPr>
                <w:lang w:val="en-AU"/>
              </w:rPr>
              <w:t>Prevalent patients</w:t>
            </w:r>
          </w:p>
        </w:tc>
        <w:tc>
          <w:tcPr>
            <w:tcW w:w="1220" w:type="dxa"/>
            <w:shd w:val="clear" w:color="auto" w:fill="auto"/>
            <w:noWrap/>
            <w:vAlign w:val="center"/>
          </w:tcPr>
          <w:p w14:paraId="67A7AAFC" w14:textId="43635526" w:rsidR="00E80022" w:rsidRPr="00275521" w:rsidRDefault="00E80022" w:rsidP="008B6633">
            <w:pPr>
              <w:pStyle w:val="Tabletext"/>
              <w:keepNext/>
              <w:keepLines/>
              <w:jc w:val="center"/>
              <w:rPr>
                <w:lang w:val="en-AU"/>
              </w:rPr>
            </w:pPr>
            <w:r w:rsidRPr="00275521">
              <w:rPr>
                <w:lang w:val="en-AU"/>
              </w:rPr>
              <w:t>280</w:t>
            </w:r>
          </w:p>
        </w:tc>
        <w:tc>
          <w:tcPr>
            <w:tcW w:w="1211" w:type="dxa"/>
            <w:shd w:val="clear" w:color="auto" w:fill="auto"/>
            <w:noWrap/>
            <w:vAlign w:val="center"/>
          </w:tcPr>
          <w:p w14:paraId="26576562" w14:textId="2864556B" w:rsidR="00E80022" w:rsidRPr="00275521" w:rsidRDefault="00932BA2" w:rsidP="008B6633">
            <w:pPr>
              <w:pStyle w:val="Tabletext"/>
              <w:keepNext/>
              <w:keepLines/>
              <w:jc w:val="center"/>
              <w:rPr>
                <w:lang w:val="en-AU"/>
              </w:rPr>
            </w:pPr>
            <w:r w:rsidRPr="00275521">
              <w:rPr>
                <w:lang w:val="en-AU"/>
              </w:rPr>
              <w:t>280</w:t>
            </w:r>
          </w:p>
        </w:tc>
        <w:tc>
          <w:tcPr>
            <w:tcW w:w="1210" w:type="dxa"/>
            <w:shd w:val="clear" w:color="auto" w:fill="auto"/>
            <w:noWrap/>
            <w:vAlign w:val="center"/>
          </w:tcPr>
          <w:p w14:paraId="01D9204B" w14:textId="0BDB4B23" w:rsidR="00E80022" w:rsidRPr="00275521" w:rsidRDefault="00932BA2" w:rsidP="008B6633">
            <w:pPr>
              <w:pStyle w:val="Tabletext"/>
              <w:keepNext/>
              <w:keepLines/>
              <w:jc w:val="center"/>
              <w:rPr>
                <w:lang w:val="en-AU"/>
              </w:rPr>
            </w:pPr>
            <w:r w:rsidRPr="00275521">
              <w:rPr>
                <w:lang w:val="en-AU"/>
              </w:rPr>
              <w:t>280</w:t>
            </w:r>
          </w:p>
        </w:tc>
        <w:tc>
          <w:tcPr>
            <w:tcW w:w="1211" w:type="dxa"/>
            <w:noWrap/>
          </w:tcPr>
          <w:p w14:paraId="01B89FDD" w14:textId="49CD9A9D" w:rsidR="00E80022" w:rsidRPr="00275521" w:rsidRDefault="00E80022" w:rsidP="008B6633">
            <w:pPr>
              <w:pStyle w:val="Tabletext"/>
              <w:keepNext/>
              <w:keepLines/>
              <w:jc w:val="center"/>
              <w:rPr>
                <w:lang w:val="en-AU"/>
              </w:rPr>
            </w:pPr>
            <w:r w:rsidRPr="00275521">
              <w:rPr>
                <w:lang w:val="en-AU"/>
              </w:rPr>
              <w:t>0</w:t>
            </w:r>
          </w:p>
        </w:tc>
        <w:tc>
          <w:tcPr>
            <w:tcW w:w="1252" w:type="dxa"/>
            <w:noWrap/>
          </w:tcPr>
          <w:p w14:paraId="22D980C2" w14:textId="6FB15618" w:rsidR="00E80022" w:rsidRPr="00275521" w:rsidRDefault="00E80022" w:rsidP="008B6633">
            <w:pPr>
              <w:pStyle w:val="Tabletext"/>
              <w:keepNext/>
              <w:keepLines/>
              <w:jc w:val="center"/>
              <w:rPr>
                <w:lang w:val="en-AU"/>
              </w:rPr>
            </w:pPr>
            <w:r w:rsidRPr="00275521">
              <w:rPr>
                <w:lang w:val="en-AU"/>
              </w:rPr>
              <w:t>0</w:t>
            </w:r>
          </w:p>
        </w:tc>
        <w:tc>
          <w:tcPr>
            <w:tcW w:w="1222" w:type="dxa"/>
            <w:noWrap/>
          </w:tcPr>
          <w:p w14:paraId="0D2D680B" w14:textId="0140C77D" w:rsidR="00E80022" w:rsidRPr="00275521" w:rsidRDefault="00E80022" w:rsidP="008B6633">
            <w:pPr>
              <w:pStyle w:val="Tabletext"/>
              <w:keepNext/>
              <w:keepLines/>
              <w:jc w:val="center"/>
              <w:rPr>
                <w:lang w:val="en-AU"/>
              </w:rPr>
            </w:pPr>
            <w:r w:rsidRPr="00275521">
              <w:rPr>
                <w:lang w:val="en-AU"/>
              </w:rPr>
              <w:t>0</w:t>
            </w:r>
          </w:p>
        </w:tc>
      </w:tr>
      <w:tr w:rsidR="00792603" w:rsidRPr="00275521" w14:paraId="1817A144" w14:textId="77777777" w:rsidTr="00E80022">
        <w:trPr>
          <w:trHeight w:val="207"/>
        </w:trPr>
        <w:tc>
          <w:tcPr>
            <w:tcW w:w="1691" w:type="dxa"/>
            <w:noWrap/>
            <w:hideMark/>
          </w:tcPr>
          <w:p w14:paraId="0852E11D" w14:textId="77777777" w:rsidR="00E80022" w:rsidRPr="00275521" w:rsidRDefault="00E80022" w:rsidP="008B6633">
            <w:pPr>
              <w:pStyle w:val="Tabletext"/>
              <w:keepNext/>
              <w:keepLines/>
              <w:rPr>
                <w:lang w:val="en-AU"/>
              </w:rPr>
            </w:pPr>
            <w:r w:rsidRPr="00275521">
              <w:rPr>
                <w:lang w:val="en-AU"/>
              </w:rPr>
              <w:t>Incident patients</w:t>
            </w:r>
          </w:p>
        </w:tc>
        <w:tc>
          <w:tcPr>
            <w:tcW w:w="1220" w:type="dxa"/>
            <w:noWrap/>
          </w:tcPr>
          <w:p w14:paraId="6E92CCC1" w14:textId="733442E8" w:rsidR="00E80022" w:rsidRPr="00275521" w:rsidRDefault="00E80022" w:rsidP="008B6633">
            <w:pPr>
              <w:pStyle w:val="Tabletext"/>
              <w:keepNext/>
              <w:keepLines/>
              <w:jc w:val="center"/>
              <w:rPr>
                <w:vertAlign w:val="superscript"/>
                <w:lang w:val="en-AU"/>
              </w:rPr>
            </w:pPr>
            <w:r w:rsidRPr="00275521">
              <w:rPr>
                <w:lang w:val="en-AU"/>
              </w:rPr>
              <w:t>0</w:t>
            </w:r>
            <w:r w:rsidR="00932BA2" w:rsidRPr="00275521">
              <w:rPr>
                <w:lang w:val="en-AU"/>
              </w:rPr>
              <w:t xml:space="preserve"> </w:t>
            </w:r>
            <w:r w:rsidR="00932BA2" w:rsidRPr="00275521">
              <w:rPr>
                <w:vertAlign w:val="superscript"/>
                <w:lang w:val="en-AU"/>
              </w:rPr>
              <w:t>a</w:t>
            </w:r>
          </w:p>
        </w:tc>
        <w:tc>
          <w:tcPr>
            <w:tcW w:w="1211" w:type="dxa"/>
            <w:noWrap/>
          </w:tcPr>
          <w:p w14:paraId="10C6034C" w14:textId="515CF7A9" w:rsidR="00E80022" w:rsidRPr="00275521" w:rsidRDefault="00E80022" w:rsidP="008B6633">
            <w:pPr>
              <w:pStyle w:val="Tabletext"/>
              <w:keepNext/>
              <w:keepLines/>
              <w:jc w:val="center"/>
              <w:rPr>
                <w:lang w:val="en-AU"/>
              </w:rPr>
            </w:pPr>
            <w:r w:rsidRPr="00275521">
              <w:rPr>
                <w:lang w:val="en-AU"/>
              </w:rPr>
              <w:t>10</w:t>
            </w:r>
          </w:p>
        </w:tc>
        <w:tc>
          <w:tcPr>
            <w:tcW w:w="1210" w:type="dxa"/>
            <w:noWrap/>
          </w:tcPr>
          <w:p w14:paraId="177945C4" w14:textId="6E90E7C3" w:rsidR="00E80022" w:rsidRPr="00275521" w:rsidRDefault="00E80022" w:rsidP="008B6633">
            <w:pPr>
              <w:pStyle w:val="Tabletext"/>
              <w:keepNext/>
              <w:keepLines/>
              <w:jc w:val="center"/>
              <w:rPr>
                <w:lang w:val="en-AU"/>
              </w:rPr>
            </w:pPr>
            <w:r w:rsidRPr="00275521">
              <w:rPr>
                <w:lang w:val="en-AU"/>
              </w:rPr>
              <w:t>10</w:t>
            </w:r>
          </w:p>
        </w:tc>
        <w:tc>
          <w:tcPr>
            <w:tcW w:w="1211" w:type="dxa"/>
            <w:noWrap/>
          </w:tcPr>
          <w:p w14:paraId="22762ACD" w14:textId="5E6E2B4C" w:rsidR="00E80022" w:rsidRPr="00275521" w:rsidRDefault="00E80022" w:rsidP="008B6633">
            <w:pPr>
              <w:pStyle w:val="Tabletext"/>
              <w:keepNext/>
              <w:keepLines/>
              <w:jc w:val="center"/>
              <w:rPr>
                <w:lang w:val="en-AU"/>
              </w:rPr>
            </w:pPr>
            <w:r w:rsidRPr="00275521">
              <w:rPr>
                <w:lang w:val="en-AU"/>
              </w:rPr>
              <w:t>11</w:t>
            </w:r>
          </w:p>
        </w:tc>
        <w:tc>
          <w:tcPr>
            <w:tcW w:w="1252" w:type="dxa"/>
            <w:noWrap/>
          </w:tcPr>
          <w:p w14:paraId="2A54AF99" w14:textId="1D69803C" w:rsidR="00E80022" w:rsidRPr="00275521" w:rsidRDefault="00E80022" w:rsidP="008B6633">
            <w:pPr>
              <w:pStyle w:val="Tabletext"/>
              <w:keepNext/>
              <w:keepLines/>
              <w:jc w:val="center"/>
              <w:rPr>
                <w:lang w:val="en-AU"/>
              </w:rPr>
            </w:pPr>
            <w:r w:rsidRPr="00275521">
              <w:rPr>
                <w:lang w:val="en-AU"/>
              </w:rPr>
              <w:t>11</w:t>
            </w:r>
          </w:p>
        </w:tc>
        <w:tc>
          <w:tcPr>
            <w:tcW w:w="1222" w:type="dxa"/>
            <w:noWrap/>
          </w:tcPr>
          <w:p w14:paraId="0DE1521B" w14:textId="25D07963" w:rsidR="00E80022" w:rsidRPr="00275521" w:rsidRDefault="00E80022" w:rsidP="008B6633">
            <w:pPr>
              <w:pStyle w:val="Tabletext"/>
              <w:keepNext/>
              <w:keepLines/>
              <w:jc w:val="center"/>
              <w:rPr>
                <w:lang w:val="en-AU"/>
              </w:rPr>
            </w:pPr>
            <w:r w:rsidRPr="00275521">
              <w:rPr>
                <w:lang w:val="en-AU"/>
              </w:rPr>
              <w:t>11</w:t>
            </w:r>
          </w:p>
        </w:tc>
      </w:tr>
      <w:tr w:rsidR="00311DF9" w:rsidRPr="00275521" w14:paraId="4C694BA6" w14:textId="77777777">
        <w:trPr>
          <w:trHeight w:val="207"/>
        </w:trPr>
        <w:tc>
          <w:tcPr>
            <w:tcW w:w="9017" w:type="dxa"/>
            <w:gridSpan w:val="7"/>
            <w:noWrap/>
            <w:hideMark/>
          </w:tcPr>
          <w:p w14:paraId="3274F860" w14:textId="434CDB7D" w:rsidR="00E80022" w:rsidRPr="00275521" w:rsidRDefault="00E80022" w:rsidP="008B6633">
            <w:pPr>
              <w:pStyle w:val="Tabletext"/>
              <w:keepNext/>
              <w:keepLines/>
              <w:rPr>
                <w:lang w:val="en-AU"/>
              </w:rPr>
            </w:pPr>
            <w:r w:rsidRPr="00275521">
              <w:rPr>
                <w:b/>
                <w:bCs/>
                <w:lang w:val="en-AU"/>
              </w:rPr>
              <w:t xml:space="preserve">Number of patients eligible </w:t>
            </w:r>
          </w:p>
        </w:tc>
      </w:tr>
      <w:tr w:rsidR="00792603" w:rsidRPr="00275521" w14:paraId="7B127661" w14:textId="77777777" w:rsidTr="00E80022">
        <w:trPr>
          <w:trHeight w:val="207"/>
        </w:trPr>
        <w:tc>
          <w:tcPr>
            <w:tcW w:w="1691" w:type="dxa"/>
            <w:noWrap/>
            <w:hideMark/>
          </w:tcPr>
          <w:p w14:paraId="7E87F1CC" w14:textId="77777777" w:rsidR="00E80022" w:rsidRPr="00275521" w:rsidRDefault="00E80022" w:rsidP="008B6633">
            <w:pPr>
              <w:pStyle w:val="Tabletext"/>
              <w:keepNext/>
              <w:keepLines/>
              <w:rPr>
                <w:lang w:val="en-AU"/>
              </w:rPr>
            </w:pPr>
            <w:r w:rsidRPr="00275521">
              <w:rPr>
                <w:lang w:val="en-AU"/>
              </w:rPr>
              <w:t>Prevalent patients</w:t>
            </w:r>
          </w:p>
        </w:tc>
        <w:tc>
          <w:tcPr>
            <w:tcW w:w="1220" w:type="dxa"/>
            <w:noWrap/>
          </w:tcPr>
          <w:p w14:paraId="40541ECA" w14:textId="56D82973" w:rsidR="00E80022" w:rsidRPr="00275521" w:rsidRDefault="00932BA2" w:rsidP="008B6633">
            <w:pPr>
              <w:pStyle w:val="Tabletext"/>
              <w:keepNext/>
              <w:keepLines/>
              <w:jc w:val="center"/>
              <w:rPr>
                <w:vertAlign w:val="superscript"/>
                <w:lang w:val="en-AU"/>
              </w:rPr>
            </w:pPr>
            <w:r w:rsidRPr="00275521">
              <w:rPr>
                <w:lang w:val="en-AU"/>
              </w:rPr>
              <w:t xml:space="preserve">89 </w:t>
            </w:r>
            <w:r w:rsidRPr="00275521">
              <w:rPr>
                <w:vertAlign w:val="superscript"/>
                <w:lang w:val="en-AU"/>
              </w:rPr>
              <w:t>b</w:t>
            </w:r>
          </w:p>
        </w:tc>
        <w:tc>
          <w:tcPr>
            <w:tcW w:w="1211" w:type="dxa"/>
            <w:noWrap/>
          </w:tcPr>
          <w:p w14:paraId="762DF2A3" w14:textId="1F55A890" w:rsidR="00E80022" w:rsidRPr="00275521" w:rsidRDefault="00932BA2" w:rsidP="008B6633">
            <w:pPr>
              <w:pStyle w:val="Tabletext"/>
              <w:keepNext/>
              <w:keepLines/>
              <w:jc w:val="center"/>
              <w:rPr>
                <w:lang w:val="en-AU"/>
              </w:rPr>
            </w:pPr>
            <w:r w:rsidRPr="00275521">
              <w:rPr>
                <w:lang w:val="en-AU"/>
              </w:rPr>
              <w:t>119</w:t>
            </w:r>
          </w:p>
        </w:tc>
        <w:tc>
          <w:tcPr>
            <w:tcW w:w="1210" w:type="dxa"/>
            <w:noWrap/>
          </w:tcPr>
          <w:p w14:paraId="5BC24D73" w14:textId="03B79219" w:rsidR="00E80022" w:rsidRPr="00275521" w:rsidRDefault="00932BA2" w:rsidP="008B6633">
            <w:pPr>
              <w:pStyle w:val="Tabletext"/>
              <w:keepNext/>
              <w:keepLines/>
              <w:jc w:val="center"/>
              <w:rPr>
                <w:lang w:val="en-AU"/>
              </w:rPr>
            </w:pPr>
            <w:r w:rsidRPr="00275521">
              <w:rPr>
                <w:lang w:val="en-AU"/>
              </w:rPr>
              <w:t>119</w:t>
            </w:r>
          </w:p>
        </w:tc>
        <w:tc>
          <w:tcPr>
            <w:tcW w:w="1211" w:type="dxa"/>
            <w:noWrap/>
          </w:tcPr>
          <w:p w14:paraId="482226E5" w14:textId="630ABB37" w:rsidR="00E80022" w:rsidRPr="00275521" w:rsidRDefault="00932BA2" w:rsidP="008B6633">
            <w:pPr>
              <w:pStyle w:val="Tabletext"/>
              <w:keepNext/>
              <w:keepLines/>
              <w:jc w:val="center"/>
              <w:rPr>
                <w:lang w:val="en-AU"/>
              </w:rPr>
            </w:pPr>
            <w:r w:rsidRPr="00275521">
              <w:rPr>
                <w:lang w:val="en-AU"/>
              </w:rPr>
              <w:t>0</w:t>
            </w:r>
          </w:p>
        </w:tc>
        <w:tc>
          <w:tcPr>
            <w:tcW w:w="1252" w:type="dxa"/>
            <w:noWrap/>
          </w:tcPr>
          <w:p w14:paraId="613AEB2B" w14:textId="2DBD150F" w:rsidR="00E80022" w:rsidRPr="00275521" w:rsidRDefault="00932BA2" w:rsidP="008B6633">
            <w:pPr>
              <w:pStyle w:val="Tabletext"/>
              <w:keepNext/>
              <w:keepLines/>
              <w:jc w:val="center"/>
              <w:rPr>
                <w:lang w:val="en-AU"/>
              </w:rPr>
            </w:pPr>
            <w:r w:rsidRPr="00275521">
              <w:rPr>
                <w:lang w:val="en-AU"/>
              </w:rPr>
              <w:t>0</w:t>
            </w:r>
          </w:p>
        </w:tc>
        <w:tc>
          <w:tcPr>
            <w:tcW w:w="1222" w:type="dxa"/>
            <w:noWrap/>
          </w:tcPr>
          <w:p w14:paraId="2C5CB181" w14:textId="49DD9F64" w:rsidR="00E80022" w:rsidRPr="00275521" w:rsidRDefault="00932BA2" w:rsidP="008B6633">
            <w:pPr>
              <w:pStyle w:val="Tabletext"/>
              <w:keepNext/>
              <w:keepLines/>
              <w:jc w:val="center"/>
              <w:rPr>
                <w:lang w:val="en-AU"/>
              </w:rPr>
            </w:pPr>
            <w:r w:rsidRPr="00275521">
              <w:rPr>
                <w:lang w:val="en-AU"/>
              </w:rPr>
              <w:t>0</w:t>
            </w:r>
          </w:p>
        </w:tc>
      </w:tr>
      <w:tr w:rsidR="00792603" w:rsidRPr="00275521" w14:paraId="73EF7522" w14:textId="77777777" w:rsidTr="00E80022">
        <w:trPr>
          <w:trHeight w:val="207"/>
        </w:trPr>
        <w:tc>
          <w:tcPr>
            <w:tcW w:w="1691" w:type="dxa"/>
            <w:noWrap/>
            <w:hideMark/>
          </w:tcPr>
          <w:p w14:paraId="0E54633F" w14:textId="77777777" w:rsidR="00E80022" w:rsidRPr="00275521" w:rsidRDefault="00E80022" w:rsidP="008B6633">
            <w:pPr>
              <w:pStyle w:val="Tabletext"/>
              <w:keepNext/>
              <w:keepLines/>
              <w:rPr>
                <w:lang w:val="en-AU"/>
              </w:rPr>
            </w:pPr>
            <w:r w:rsidRPr="00275521">
              <w:rPr>
                <w:lang w:val="en-AU"/>
              </w:rPr>
              <w:t>Incident patients</w:t>
            </w:r>
          </w:p>
        </w:tc>
        <w:tc>
          <w:tcPr>
            <w:tcW w:w="1220" w:type="dxa"/>
            <w:noWrap/>
          </w:tcPr>
          <w:p w14:paraId="5670330A" w14:textId="563888FB" w:rsidR="00E80022" w:rsidRPr="00275521" w:rsidRDefault="00932BA2" w:rsidP="008B6633">
            <w:pPr>
              <w:pStyle w:val="Tabletext"/>
              <w:keepNext/>
              <w:keepLines/>
              <w:jc w:val="center"/>
              <w:rPr>
                <w:lang w:val="en-AU"/>
              </w:rPr>
            </w:pPr>
            <w:r w:rsidRPr="00275521">
              <w:rPr>
                <w:lang w:val="en-AU"/>
              </w:rPr>
              <w:t>0</w:t>
            </w:r>
          </w:p>
        </w:tc>
        <w:tc>
          <w:tcPr>
            <w:tcW w:w="1211" w:type="dxa"/>
            <w:noWrap/>
          </w:tcPr>
          <w:p w14:paraId="2962E797" w14:textId="51EBF43A" w:rsidR="00E80022" w:rsidRPr="00275521" w:rsidRDefault="00932BA2" w:rsidP="008B6633">
            <w:pPr>
              <w:pStyle w:val="Tabletext"/>
              <w:keepNext/>
              <w:keepLines/>
              <w:jc w:val="center"/>
              <w:rPr>
                <w:lang w:val="en-AU"/>
              </w:rPr>
            </w:pPr>
            <w:r w:rsidRPr="00275521">
              <w:rPr>
                <w:lang w:val="en-AU"/>
              </w:rPr>
              <w:t>4</w:t>
            </w:r>
          </w:p>
        </w:tc>
        <w:tc>
          <w:tcPr>
            <w:tcW w:w="1210" w:type="dxa"/>
            <w:noWrap/>
          </w:tcPr>
          <w:p w14:paraId="525B6758" w14:textId="64053640" w:rsidR="00E80022" w:rsidRPr="00275521" w:rsidRDefault="00932BA2" w:rsidP="008B6633">
            <w:pPr>
              <w:pStyle w:val="Tabletext"/>
              <w:keepNext/>
              <w:keepLines/>
              <w:jc w:val="center"/>
              <w:rPr>
                <w:lang w:val="en-AU"/>
              </w:rPr>
            </w:pPr>
            <w:r w:rsidRPr="00275521">
              <w:rPr>
                <w:lang w:val="en-AU"/>
              </w:rPr>
              <w:t>4</w:t>
            </w:r>
          </w:p>
        </w:tc>
        <w:tc>
          <w:tcPr>
            <w:tcW w:w="1211" w:type="dxa"/>
            <w:noWrap/>
          </w:tcPr>
          <w:p w14:paraId="17986C7E" w14:textId="36FF25A5" w:rsidR="00E80022" w:rsidRPr="00275521" w:rsidRDefault="00932BA2" w:rsidP="008B6633">
            <w:pPr>
              <w:pStyle w:val="Tabletext"/>
              <w:keepNext/>
              <w:keepLines/>
              <w:jc w:val="center"/>
              <w:rPr>
                <w:lang w:val="en-AU"/>
              </w:rPr>
            </w:pPr>
            <w:r w:rsidRPr="00275521">
              <w:rPr>
                <w:lang w:val="en-AU"/>
              </w:rPr>
              <w:t>5</w:t>
            </w:r>
          </w:p>
        </w:tc>
        <w:tc>
          <w:tcPr>
            <w:tcW w:w="1252" w:type="dxa"/>
            <w:noWrap/>
          </w:tcPr>
          <w:p w14:paraId="4D86E93A" w14:textId="7553F019" w:rsidR="00E80022" w:rsidRPr="00275521" w:rsidRDefault="00932BA2" w:rsidP="008B6633">
            <w:pPr>
              <w:pStyle w:val="Tabletext"/>
              <w:keepNext/>
              <w:keepLines/>
              <w:jc w:val="center"/>
              <w:rPr>
                <w:lang w:val="en-AU"/>
              </w:rPr>
            </w:pPr>
            <w:r w:rsidRPr="00275521">
              <w:rPr>
                <w:lang w:val="en-AU"/>
              </w:rPr>
              <w:t>5</w:t>
            </w:r>
          </w:p>
        </w:tc>
        <w:tc>
          <w:tcPr>
            <w:tcW w:w="1222" w:type="dxa"/>
            <w:noWrap/>
          </w:tcPr>
          <w:p w14:paraId="4BAE2C8A" w14:textId="302EE206" w:rsidR="00E80022" w:rsidRPr="00275521" w:rsidRDefault="00932BA2" w:rsidP="008B6633">
            <w:pPr>
              <w:pStyle w:val="Tabletext"/>
              <w:keepNext/>
              <w:keepLines/>
              <w:jc w:val="center"/>
              <w:rPr>
                <w:lang w:val="en-AU"/>
              </w:rPr>
            </w:pPr>
            <w:r w:rsidRPr="00275521">
              <w:rPr>
                <w:lang w:val="en-AU"/>
              </w:rPr>
              <w:t>5</w:t>
            </w:r>
          </w:p>
        </w:tc>
      </w:tr>
      <w:tr w:rsidR="00311DF9" w:rsidRPr="00275521" w14:paraId="05518A8E" w14:textId="77777777">
        <w:trPr>
          <w:trHeight w:val="207"/>
        </w:trPr>
        <w:tc>
          <w:tcPr>
            <w:tcW w:w="9017" w:type="dxa"/>
            <w:gridSpan w:val="7"/>
            <w:noWrap/>
          </w:tcPr>
          <w:p w14:paraId="063A4ABB" w14:textId="02060E0A" w:rsidR="00E80022" w:rsidRPr="00275521" w:rsidRDefault="00E80022" w:rsidP="008B6633">
            <w:pPr>
              <w:pStyle w:val="Tabletext"/>
              <w:keepNext/>
              <w:keepLines/>
              <w:rPr>
                <w:b/>
                <w:bCs/>
                <w:lang w:val="en-AU"/>
              </w:rPr>
            </w:pPr>
            <w:r w:rsidRPr="00275521">
              <w:rPr>
                <w:b/>
                <w:bCs/>
                <w:lang w:val="en-AU"/>
              </w:rPr>
              <w:t>Number of initiating patients</w:t>
            </w:r>
          </w:p>
        </w:tc>
      </w:tr>
      <w:tr w:rsidR="00792603" w:rsidRPr="00275521" w14:paraId="1D7AE2A2" w14:textId="77777777" w:rsidTr="00E80022">
        <w:trPr>
          <w:trHeight w:val="207"/>
        </w:trPr>
        <w:tc>
          <w:tcPr>
            <w:tcW w:w="1691" w:type="dxa"/>
            <w:noWrap/>
          </w:tcPr>
          <w:p w14:paraId="649F8AD6" w14:textId="39FC2CE7" w:rsidR="00932BA2" w:rsidRPr="00275521" w:rsidRDefault="00932BA2" w:rsidP="008B6633">
            <w:pPr>
              <w:pStyle w:val="Tabletext"/>
              <w:keepNext/>
              <w:keepLines/>
              <w:rPr>
                <w:lang w:val="en-AU"/>
              </w:rPr>
            </w:pPr>
            <w:r w:rsidRPr="00275521">
              <w:rPr>
                <w:lang w:val="en-AU"/>
              </w:rPr>
              <w:t>Prevalent patients</w:t>
            </w:r>
          </w:p>
        </w:tc>
        <w:tc>
          <w:tcPr>
            <w:tcW w:w="1220" w:type="dxa"/>
            <w:noWrap/>
          </w:tcPr>
          <w:p w14:paraId="579E282E" w14:textId="4BA326F7"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11" w:type="dxa"/>
            <w:noWrap/>
          </w:tcPr>
          <w:p w14:paraId="697850E3" w14:textId="124BFC30"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10" w:type="dxa"/>
            <w:noWrap/>
          </w:tcPr>
          <w:p w14:paraId="47C40F0C" w14:textId="63ED4507"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11" w:type="dxa"/>
            <w:noWrap/>
          </w:tcPr>
          <w:p w14:paraId="47821F7E" w14:textId="1BECD7C0"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52" w:type="dxa"/>
            <w:noWrap/>
          </w:tcPr>
          <w:p w14:paraId="65FF0055" w14:textId="531C979C"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22" w:type="dxa"/>
            <w:noWrap/>
          </w:tcPr>
          <w:p w14:paraId="02BCBBBD" w14:textId="603D1874"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r>
      <w:tr w:rsidR="00792603" w:rsidRPr="00275521" w14:paraId="53908438" w14:textId="77777777" w:rsidTr="00E80022">
        <w:trPr>
          <w:trHeight w:val="207"/>
        </w:trPr>
        <w:tc>
          <w:tcPr>
            <w:tcW w:w="1691" w:type="dxa"/>
            <w:noWrap/>
          </w:tcPr>
          <w:p w14:paraId="4AA5BB2E" w14:textId="1A536FDD" w:rsidR="00932BA2" w:rsidRPr="00275521" w:rsidRDefault="00932BA2" w:rsidP="008B6633">
            <w:pPr>
              <w:pStyle w:val="Tabletext"/>
              <w:keepNext/>
              <w:keepLines/>
              <w:rPr>
                <w:lang w:val="en-AU"/>
              </w:rPr>
            </w:pPr>
            <w:r w:rsidRPr="00275521">
              <w:rPr>
                <w:lang w:val="en-AU"/>
              </w:rPr>
              <w:t>Incident patients</w:t>
            </w:r>
          </w:p>
        </w:tc>
        <w:tc>
          <w:tcPr>
            <w:tcW w:w="1220" w:type="dxa"/>
            <w:noWrap/>
          </w:tcPr>
          <w:p w14:paraId="530AAA41" w14:textId="09C15AC2"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11" w:type="dxa"/>
            <w:noWrap/>
          </w:tcPr>
          <w:p w14:paraId="5B325195" w14:textId="3A45442B"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10" w:type="dxa"/>
            <w:noWrap/>
          </w:tcPr>
          <w:p w14:paraId="3470B665" w14:textId="6C04989E"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11" w:type="dxa"/>
            <w:noWrap/>
          </w:tcPr>
          <w:p w14:paraId="6311FE6E" w14:textId="02155802"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52" w:type="dxa"/>
            <w:noWrap/>
          </w:tcPr>
          <w:p w14:paraId="445AB593" w14:textId="694B5747"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22" w:type="dxa"/>
            <w:noWrap/>
          </w:tcPr>
          <w:p w14:paraId="66F4ACA8" w14:textId="28773CA5"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r>
      <w:tr w:rsidR="00325B30" w:rsidRPr="00275521" w14:paraId="63C19CFA" w14:textId="77777777" w:rsidTr="00E80022">
        <w:trPr>
          <w:trHeight w:val="207"/>
        </w:trPr>
        <w:tc>
          <w:tcPr>
            <w:tcW w:w="4122" w:type="dxa"/>
            <w:gridSpan w:val="3"/>
            <w:noWrap/>
            <w:hideMark/>
          </w:tcPr>
          <w:p w14:paraId="446D92BC" w14:textId="504CDDC5" w:rsidR="00932BA2" w:rsidRPr="00275521" w:rsidRDefault="00932BA2" w:rsidP="008B6633">
            <w:pPr>
              <w:pStyle w:val="Tabletext"/>
              <w:keepNext/>
              <w:keepLines/>
              <w:rPr>
                <w:lang w:val="en-AU"/>
              </w:rPr>
            </w:pPr>
            <w:r w:rsidRPr="00275521">
              <w:rPr>
                <w:b/>
                <w:bCs/>
                <w:lang w:val="en-AU"/>
              </w:rPr>
              <w:t>Scripts (95.5% compliance)</w:t>
            </w:r>
          </w:p>
        </w:tc>
        <w:tc>
          <w:tcPr>
            <w:tcW w:w="1210" w:type="dxa"/>
            <w:noWrap/>
          </w:tcPr>
          <w:p w14:paraId="3AA31A07" w14:textId="77777777" w:rsidR="00932BA2" w:rsidRPr="00275521" w:rsidRDefault="00932BA2" w:rsidP="008B6633">
            <w:pPr>
              <w:pStyle w:val="Tabletext"/>
              <w:keepNext/>
              <w:keepLines/>
              <w:jc w:val="center"/>
              <w:rPr>
                <w:lang w:val="en-AU"/>
              </w:rPr>
            </w:pPr>
          </w:p>
        </w:tc>
        <w:tc>
          <w:tcPr>
            <w:tcW w:w="1211" w:type="dxa"/>
            <w:noWrap/>
          </w:tcPr>
          <w:p w14:paraId="1E2A4F51" w14:textId="77777777" w:rsidR="00932BA2" w:rsidRPr="00275521" w:rsidRDefault="00932BA2" w:rsidP="008B6633">
            <w:pPr>
              <w:pStyle w:val="Tabletext"/>
              <w:keepNext/>
              <w:keepLines/>
              <w:jc w:val="center"/>
              <w:rPr>
                <w:lang w:val="en-AU"/>
              </w:rPr>
            </w:pPr>
          </w:p>
        </w:tc>
        <w:tc>
          <w:tcPr>
            <w:tcW w:w="1252" w:type="dxa"/>
            <w:noWrap/>
          </w:tcPr>
          <w:p w14:paraId="5831A8EC" w14:textId="77777777" w:rsidR="00932BA2" w:rsidRPr="00275521" w:rsidRDefault="00932BA2" w:rsidP="008B6633">
            <w:pPr>
              <w:pStyle w:val="Tabletext"/>
              <w:keepNext/>
              <w:keepLines/>
              <w:jc w:val="center"/>
              <w:rPr>
                <w:lang w:val="en-AU"/>
              </w:rPr>
            </w:pPr>
          </w:p>
        </w:tc>
        <w:tc>
          <w:tcPr>
            <w:tcW w:w="1222" w:type="dxa"/>
            <w:noWrap/>
          </w:tcPr>
          <w:p w14:paraId="042A3F0E" w14:textId="77777777" w:rsidR="00932BA2" w:rsidRPr="00275521" w:rsidRDefault="00932BA2" w:rsidP="008B6633">
            <w:pPr>
              <w:pStyle w:val="Tabletext"/>
              <w:keepNext/>
              <w:keepLines/>
              <w:jc w:val="center"/>
              <w:rPr>
                <w:lang w:val="en-AU"/>
              </w:rPr>
            </w:pPr>
          </w:p>
        </w:tc>
      </w:tr>
      <w:tr w:rsidR="00792603" w:rsidRPr="00275521" w14:paraId="760D1020" w14:textId="77777777">
        <w:trPr>
          <w:trHeight w:val="207"/>
        </w:trPr>
        <w:tc>
          <w:tcPr>
            <w:tcW w:w="1691" w:type="dxa"/>
            <w:noWrap/>
            <w:hideMark/>
          </w:tcPr>
          <w:p w14:paraId="15B0190F" w14:textId="77777777" w:rsidR="00932BA2" w:rsidRPr="00275521" w:rsidRDefault="00932BA2" w:rsidP="008B6633">
            <w:pPr>
              <w:pStyle w:val="Tabletext"/>
              <w:keepNext/>
              <w:keepLines/>
              <w:rPr>
                <w:vertAlign w:val="superscript"/>
                <w:lang w:val="en-AU"/>
              </w:rPr>
            </w:pPr>
            <w:r w:rsidRPr="00275521">
              <w:rPr>
                <w:lang w:val="en-AU"/>
              </w:rPr>
              <w:t xml:space="preserve">Total scripts </w:t>
            </w:r>
            <w:r w:rsidRPr="00275521">
              <w:rPr>
                <w:vertAlign w:val="superscript"/>
                <w:lang w:val="en-AU"/>
              </w:rPr>
              <w:t>b</w:t>
            </w:r>
          </w:p>
        </w:tc>
        <w:tc>
          <w:tcPr>
            <w:tcW w:w="1220" w:type="dxa"/>
            <w:shd w:val="clear" w:color="auto" w:fill="auto"/>
            <w:noWrap/>
            <w:vAlign w:val="center"/>
          </w:tcPr>
          <w:p w14:paraId="1FBE200E" w14:textId="19D5ACA1" w:rsidR="00932BA2" w:rsidRPr="00FC6545" w:rsidRDefault="006C4DC1" w:rsidP="008B6633">
            <w:pPr>
              <w:pStyle w:val="Tabletext"/>
              <w:keepNext/>
              <w:keepLines/>
              <w:jc w:val="center"/>
              <w:rPr>
                <w:vertAlign w:val="superscript"/>
                <w:lang w:val="en-AU"/>
              </w:rPr>
            </w:pPr>
            <w:r w:rsidRPr="006C4DC1">
              <w:rPr>
                <w:sz w:val="2"/>
                <w:highlight w:val="black"/>
                <w:lang w:val="en-AU"/>
              </w:rPr>
              <w:t>redacted content</w:t>
            </w:r>
            <w:r w:rsidR="00FC6545">
              <w:rPr>
                <w:vertAlign w:val="superscript"/>
                <w:lang w:val="en-AU"/>
              </w:rPr>
              <w:t>1</w:t>
            </w:r>
          </w:p>
        </w:tc>
        <w:tc>
          <w:tcPr>
            <w:tcW w:w="1211" w:type="dxa"/>
            <w:shd w:val="clear" w:color="auto" w:fill="auto"/>
            <w:noWrap/>
            <w:vAlign w:val="center"/>
          </w:tcPr>
          <w:p w14:paraId="5BE07720" w14:textId="4B8D94F0" w:rsidR="00932BA2" w:rsidRPr="00BB4757" w:rsidRDefault="006C4DC1" w:rsidP="008B6633">
            <w:pPr>
              <w:pStyle w:val="Tabletext"/>
              <w:keepNext/>
              <w:keepLines/>
              <w:jc w:val="center"/>
              <w:rPr>
                <w:vertAlign w:val="superscript"/>
                <w:lang w:val="en-AU"/>
              </w:rPr>
            </w:pPr>
            <w:r w:rsidRPr="006C4DC1">
              <w:rPr>
                <w:sz w:val="2"/>
                <w:highlight w:val="black"/>
                <w:lang w:val="en-AU"/>
              </w:rPr>
              <w:t>redacted content</w:t>
            </w:r>
            <w:r w:rsidR="00BB4757">
              <w:rPr>
                <w:vertAlign w:val="superscript"/>
                <w:lang w:val="en-AU"/>
              </w:rPr>
              <w:t>2</w:t>
            </w:r>
          </w:p>
        </w:tc>
        <w:tc>
          <w:tcPr>
            <w:tcW w:w="1210" w:type="dxa"/>
            <w:shd w:val="clear" w:color="auto" w:fill="auto"/>
            <w:noWrap/>
            <w:vAlign w:val="center"/>
          </w:tcPr>
          <w:p w14:paraId="4D46EFC0" w14:textId="008EC010" w:rsidR="00932BA2" w:rsidRPr="00BB4757" w:rsidRDefault="006C4DC1" w:rsidP="008B6633">
            <w:pPr>
              <w:pStyle w:val="Tabletext"/>
              <w:keepNext/>
              <w:keepLines/>
              <w:jc w:val="center"/>
              <w:rPr>
                <w:vertAlign w:val="superscript"/>
                <w:lang w:val="en-AU"/>
              </w:rPr>
            </w:pPr>
            <w:r w:rsidRPr="006C4DC1">
              <w:rPr>
                <w:sz w:val="2"/>
                <w:highlight w:val="black"/>
                <w:lang w:val="en-AU"/>
              </w:rPr>
              <w:t>redacted content</w:t>
            </w:r>
            <w:r w:rsidR="00BB4757">
              <w:rPr>
                <w:vertAlign w:val="superscript"/>
                <w:lang w:val="en-AU"/>
              </w:rPr>
              <w:t>2</w:t>
            </w:r>
          </w:p>
        </w:tc>
        <w:tc>
          <w:tcPr>
            <w:tcW w:w="1211" w:type="dxa"/>
            <w:shd w:val="clear" w:color="auto" w:fill="auto"/>
            <w:noWrap/>
            <w:vAlign w:val="center"/>
          </w:tcPr>
          <w:p w14:paraId="35686C85" w14:textId="3DFFA182" w:rsidR="00932BA2" w:rsidRPr="00BB4757" w:rsidRDefault="006C4DC1" w:rsidP="008B6633">
            <w:pPr>
              <w:pStyle w:val="Tabletext"/>
              <w:keepNext/>
              <w:keepLines/>
              <w:jc w:val="center"/>
              <w:rPr>
                <w:vertAlign w:val="superscript"/>
                <w:lang w:val="en-AU"/>
              </w:rPr>
            </w:pPr>
            <w:r w:rsidRPr="006C4DC1">
              <w:rPr>
                <w:sz w:val="2"/>
                <w:highlight w:val="black"/>
                <w:lang w:val="en-AU"/>
              </w:rPr>
              <w:t>redacted content</w:t>
            </w:r>
            <w:r w:rsidR="00BB4757">
              <w:rPr>
                <w:vertAlign w:val="superscript"/>
                <w:lang w:val="en-AU"/>
              </w:rPr>
              <w:t>2</w:t>
            </w:r>
          </w:p>
        </w:tc>
        <w:tc>
          <w:tcPr>
            <w:tcW w:w="1252" w:type="dxa"/>
            <w:shd w:val="clear" w:color="auto" w:fill="auto"/>
            <w:noWrap/>
            <w:vAlign w:val="center"/>
          </w:tcPr>
          <w:p w14:paraId="02180702" w14:textId="49DEDDC3" w:rsidR="00932BA2" w:rsidRPr="00BB4757" w:rsidRDefault="006C4DC1" w:rsidP="008B6633">
            <w:pPr>
              <w:pStyle w:val="Tabletext"/>
              <w:keepNext/>
              <w:keepLines/>
              <w:jc w:val="center"/>
              <w:rPr>
                <w:vertAlign w:val="superscript"/>
                <w:lang w:val="en-AU"/>
              </w:rPr>
            </w:pPr>
            <w:r w:rsidRPr="006C4DC1">
              <w:rPr>
                <w:sz w:val="2"/>
                <w:highlight w:val="black"/>
                <w:lang w:val="en-AU"/>
              </w:rPr>
              <w:t>redacted content</w:t>
            </w:r>
            <w:r w:rsidR="00BB4757">
              <w:rPr>
                <w:vertAlign w:val="superscript"/>
                <w:lang w:val="en-AU"/>
              </w:rPr>
              <w:t>2</w:t>
            </w:r>
          </w:p>
        </w:tc>
        <w:tc>
          <w:tcPr>
            <w:tcW w:w="1222" w:type="dxa"/>
            <w:shd w:val="clear" w:color="auto" w:fill="auto"/>
            <w:noWrap/>
            <w:vAlign w:val="center"/>
          </w:tcPr>
          <w:p w14:paraId="6ED17F49" w14:textId="22010DC0" w:rsidR="00932BA2" w:rsidRPr="00BB4757" w:rsidRDefault="006C4DC1" w:rsidP="008B6633">
            <w:pPr>
              <w:pStyle w:val="Tabletext"/>
              <w:keepNext/>
              <w:keepLines/>
              <w:jc w:val="center"/>
              <w:rPr>
                <w:vertAlign w:val="superscript"/>
                <w:lang w:val="en-AU"/>
              </w:rPr>
            </w:pPr>
            <w:r w:rsidRPr="006C4DC1">
              <w:rPr>
                <w:sz w:val="2"/>
                <w:highlight w:val="black"/>
                <w:lang w:val="en-AU"/>
              </w:rPr>
              <w:t>redacted content</w:t>
            </w:r>
            <w:r w:rsidR="00BB4757">
              <w:rPr>
                <w:vertAlign w:val="superscript"/>
                <w:lang w:val="en-AU"/>
              </w:rPr>
              <w:t>2</w:t>
            </w:r>
          </w:p>
        </w:tc>
      </w:tr>
      <w:tr w:rsidR="00311DF9" w:rsidRPr="00275521" w14:paraId="57EE3BBF" w14:textId="77777777" w:rsidTr="00E80022">
        <w:trPr>
          <w:trHeight w:val="207"/>
        </w:trPr>
        <w:tc>
          <w:tcPr>
            <w:tcW w:w="9017" w:type="dxa"/>
            <w:gridSpan w:val="7"/>
            <w:noWrap/>
            <w:hideMark/>
          </w:tcPr>
          <w:p w14:paraId="6E308F16" w14:textId="77777777" w:rsidR="00932BA2" w:rsidRPr="00275521" w:rsidRDefault="00932BA2" w:rsidP="008B6633">
            <w:pPr>
              <w:pStyle w:val="Tabletext"/>
              <w:keepNext/>
              <w:keepLines/>
              <w:rPr>
                <w:b/>
                <w:bCs/>
                <w:lang w:val="en-AU"/>
              </w:rPr>
            </w:pPr>
            <w:r w:rsidRPr="00275521">
              <w:rPr>
                <w:b/>
                <w:bCs/>
                <w:lang w:val="en-AU"/>
              </w:rPr>
              <w:t>Net cost to PBS/RPBS</w:t>
            </w:r>
          </w:p>
        </w:tc>
      </w:tr>
      <w:tr w:rsidR="00792603" w:rsidRPr="00275521" w14:paraId="4030D204" w14:textId="77777777">
        <w:trPr>
          <w:trHeight w:val="207"/>
        </w:trPr>
        <w:tc>
          <w:tcPr>
            <w:tcW w:w="1691" w:type="dxa"/>
            <w:noWrap/>
            <w:hideMark/>
          </w:tcPr>
          <w:p w14:paraId="6949E5BB" w14:textId="7739ED2D" w:rsidR="00932BA2" w:rsidRPr="00275521" w:rsidRDefault="00932BA2" w:rsidP="008B6633">
            <w:pPr>
              <w:pStyle w:val="Tabletext"/>
              <w:keepNext/>
              <w:keepLines/>
              <w:rPr>
                <w:lang w:val="en-AU"/>
              </w:rPr>
            </w:pPr>
            <w:r w:rsidRPr="00275521">
              <w:rPr>
                <w:lang w:val="en-AU"/>
              </w:rPr>
              <w:t>Net impact</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F32F0" w14:textId="50404D72" w:rsidR="00932BA2" w:rsidRPr="00723780" w:rsidRDefault="00932BA2" w:rsidP="008B6633">
            <w:pPr>
              <w:pStyle w:val="Tabletext"/>
              <w:keepNext/>
              <w:keepLines/>
              <w:jc w:val="center"/>
              <w:rPr>
                <w:vertAlign w:val="superscript"/>
                <w:lang w:val="en-AU"/>
              </w:rPr>
            </w:pPr>
            <w:r w:rsidRPr="00275521">
              <w:rPr>
                <w:b/>
                <w:bCs/>
                <w:lang w:val="en-AU"/>
              </w:rPr>
              <w:t>$</w:t>
            </w:r>
            <w:r w:rsidR="006C4DC1" w:rsidRPr="006C4DC1">
              <w:rPr>
                <w:b/>
                <w:bCs/>
                <w:sz w:val="2"/>
                <w:highlight w:val="black"/>
                <w:lang w:val="en-AU"/>
              </w:rPr>
              <w:t>redacted content</w:t>
            </w:r>
            <w:r w:rsidR="00723780">
              <w:rPr>
                <w:b/>
                <w:bCs/>
                <w:vertAlign w:val="superscript"/>
                <w:lang w:val="en-AU"/>
              </w:rPr>
              <w:t>3</w:t>
            </w:r>
          </w:p>
        </w:tc>
        <w:tc>
          <w:tcPr>
            <w:tcW w:w="1211" w:type="dxa"/>
            <w:tcBorders>
              <w:top w:val="single" w:sz="4" w:space="0" w:color="auto"/>
              <w:left w:val="nil"/>
              <w:bottom w:val="single" w:sz="4" w:space="0" w:color="auto"/>
              <w:right w:val="single" w:sz="4" w:space="0" w:color="auto"/>
            </w:tcBorders>
            <w:shd w:val="clear" w:color="auto" w:fill="auto"/>
            <w:noWrap/>
            <w:vAlign w:val="center"/>
          </w:tcPr>
          <w:p w14:paraId="235212A2" w14:textId="54BA57CD" w:rsidR="00932BA2" w:rsidRPr="009D29CF" w:rsidRDefault="00932BA2" w:rsidP="008B6633">
            <w:pPr>
              <w:pStyle w:val="Tabletext"/>
              <w:keepNext/>
              <w:keepLines/>
              <w:jc w:val="center"/>
              <w:rPr>
                <w:vertAlign w:val="superscript"/>
                <w:lang w:val="en-AU"/>
              </w:rPr>
            </w:pPr>
            <w:r w:rsidRPr="00275521">
              <w:rPr>
                <w:b/>
                <w:bCs/>
                <w:lang w:val="en-AU"/>
              </w:rPr>
              <w:t>$</w:t>
            </w:r>
            <w:r w:rsidR="006C4DC1" w:rsidRPr="006C4DC1">
              <w:rPr>
                <w:b/>
                <w:bCs/>
                <w:sz w:val="2"/>
                <w:highlight w:val="black"/>
                <w:lang w:val="en-AU"/>
              </w:rPr>
              <w:t>redacted content</w:t>
            </w:r>
            <w:r w:rsidR="009D29CF">
              <w:rPr>
                <w:b/>
                <w:bCs/>
                <w:vertAlign w:val="superscript"/>
                <w:lang w:val="en-AU"/>
              </w:rPr>
              <w:t>4</w:t>
            </w:r>
          </w:p>
        </w:tc>
        <w:tc>
          <w:tcPr>
            <w:tcW w:w="1210" w:type="dxa"/>
            <w:tcBorders>
              <w:top w:val="single" w:sz="4" w:space="0" w:color="auto"/>
              <w:left w:val="nil"/>
              <w:bottom w:val="single" w:sz="4" w:space="0" w:color="auto"/>
              <w:right w:val="single" w:sz="4" w:space="0" w:color="auto"/>
            </w:tcBorders>
            <w:shd w:val="clear" w:color="auto" w:fill="auto"/>
            <w:noWrap/>
            <w:vAlign w:val="center"/>
          </w:tcPr>
          <w:p w14:paraId="1EA1847B" w14:textId="75894C0E" w:rsidR="00932BA2" w:rsidRPr="00212BFE" w:rsidRDefault="00932BA2" w:rsidP="008B6633">
            <w:pPr>
              <w:pStyle w:val="Tabletext"/>
              <w:keepNext/>
              <w:keepLines/>
              <w:jc w:val="center"/>
              <w:rPr>
                <w:vertAlign w:val="superscript"/>
                <w:lang w:val="en-AU"/>
              </w:rPr>
            </w:pPr>
            <w:r w:rsidRPr="00275521">
              <w:rPr>
                <w:b/>
                <w:bCs/>
                <w:lang w:val="en-AU"/>
              </w:rPr>
              <w:t>$</w:t>
            </w:r>
            <w:r w:rsidR="006C4DC1" w:rsidRPr="006C4DC1">
              <w:rPr>
                <w:b/>
                <w:bCs/>
                <w:sz w:val="2"/>
                <w:highlight w:val="black"/>
                <w:lang w:val="en-AU"/>
              </w:rPr>
              <w:t>redacted content</w:t>
            </w:r>
            <w:r w:rsidR="00212BFE">
              <w:rPr>
                <w:b/>
                <w:bCs/>
                <w:vertAlign w:val="superscript"/>
                <w:lang w:val="en-AU"/>
              </w:rPr>
              <w:t>5</w:t>
            </w:r>
          </w:p>
        </w:tc>
        <w:tc>
          <w:tcPr>
            <w:tcW w:w="1211" w:type="dxa"/>
            <w:tcBorders>
              <w:top w:val="single" w:sz="4" w:space="0" w:color="auto"/>
              <w:left w:val="nil"/>
              <w:bottom w:val="single" w:sz="4" w:space="0" w:color="auto"/>
              <w:right w:val="single" w:sz="4" w:space="0" w:color="auto"/>
            </w:tcBorders>
            <w:shd w:val="clear" w:color="auto" w:fill="auto"/>
            <w:noWrap/>
            <w:vAlign w:val="center"/>
          </w:tcPr>
          <w:p w14:paraId="35641BEE" w14:textId="0732A9A2" w:rsidR="00932BA2" w:rsidRPr="00212BFE" w:rsidRDefault="00932BA2" w:rsidP="008B6633">
            <w:pPr>
              <w:pStyle w:val="Tabletext"/>
              <w:keepNext/>
              <w:keepLines/>
              <w:jc w:val="center"/>
              <w:rPr>
                <w:vertAlign w:val="superscript"/>
                <w:lang w:val="en-AU"/>
              </w:rPr>
            </w:pPr>
            <w:r w:rsidRPr="00275521">
              <w:rPr>
                <w:b/>
                <w:bCs/>
                <w:lang w:val="en-AU"/>
              </w:rPr>
              <w:t>$</w:t>
            </w:r>
            <w:r w:rsidR="006C4DC1" w:rsidRPr="006C4DC1">
              <w:rPr>
                <w:b/>
                <w:bCs/>
                <w:sz w:val="2"/>
                <w:highlight w:val="black"/>
                <w:lang w:val="en-AU"/>
              </w:rPr>
              <w:t>redacted content</w:t>
            </w:r>
            <w:r w:rsidR="00212BFE">
              <w:rPr>
                <w:b/>
                <w:bCs/>
                <w:vertAlign w:val="superscript"/>
                <w:lang w:val="en-AU"/>
              </w:rPr>
              <w:t>5</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5C904A9B" w14:textId="1A29FFF0" w:rsidR="00932BA2" w:rsidRPr="00212BFE" w:rsidRDefault="00932BA2" w:rsidP="008B6633">
            <w:pPr>
              <w:pStyle w:val="Tabletext"/>
              <w:keepNext/>
              <w:keepLines/>
              <w:jc w:val="center"/>
              <w:rPr>
                <w:vertAlign w:val="superscript"/>
                <w:lang w:val="en-AU"/>
              </w:rPr>
            </w:pPr>
            <w:r w:rsidRPr="00275521">
              <w:rPr>
                <w:b/>
                <w:bCs/>
                <w:lang w:val="en-AU"/>
              </w:rPr>
              <w:t>$</w:t>
            </w:r>
            <w:r w:rsidR="006C4DC1" w:rsidRPr="006C4DC1">
              <w:rPr>
                <w:b/>
                <w:bCs/>
                <w:sz w:val="2"/>
                <w:highlight w:val="black"/>
                <w:lang w:val="en-AU"/>
              </w:rPr>
              <w:t>redacted content</w:t>
            </w:r>
            <w:r w:rsidR="00212BFE">
              <w:rPr>
                <w:b/>
                <w:bCs/>
                <w:vertAlign w:val="superscript"/>
                <w:lang w:val="en-AU"/>
              </w:rPr>
              <w:t>5</w:t>
            </w:r>
          </w:p>
        </w:tc>
        <w:tc>
          <w:tcPr>
            <w:tcW w:w="1222" w:type="dxa"/>
            <w:tcBorders>
              <w:top w:val="single" w:sz="4" w:space="0" w:color="auto"/>
              <w:left w:val="nil"/>
              <w:bottom w:val="single" w:sz="4" w:space="0" w:color="auto"/>
              <w:right w:val="single" w:sz="4" w:space="0" w:color="auto"/>
            </w:tcBorders>
            <w:shd w:val="clear" w:color="auto" w:fill="auto"/>
            <w:noWrap/>
            <w:vAlign w:val="center"/>
          </w:tcPr>
          <w:p w14:paraId="268B11A6" w14:textId="05FDF9E3" w:rsidR="00932BA2" w:rsidRPr="00212BFE" w:rsidRDefault="00932BA2" w:rsidP="008B6633">
            <w:pPr>
              <w:pStyle w:val="Tabletext"/>
              <w:keepNext/>
              <w:keepLines/>
              <w:jc w:val="center"/>
              <w:rPr>
                <w:vertAlign w:val="superscript"/>
                <w:lang w:val="en-AU"/>
              </w:rPr>
            </w:pPr>
            <w:r w:rsidRPr="00275521">
              <w:rPr>
                <w:b/>
                <w:bCs/>
                <w:lang w:val="en-AU"/>
              </w:rPr>
              <w:t>$</w:t>
            </w:r>
            <w:r w:rsidR="006C4DC1" w:rsidRPr="006C4DC1">
              <w:rPr>
                <w:b/>
                <w:bCs/>
                <w:sz w:val="2"/>
                <w:highlight w:val="black"/>
                <w:lang w:val="en-AU"/>
              </w:rPr>
              <w:t>redacted content</w:t>
            </w:r>
            <w:r w:rsidR="00212BFE">
              <w:rPr>
                <w:b/>
                <w:bCs/>
                <w:vertAlign w:val="superscript"/>
                <w:lang w:val="en-AU"/>
              </w:rPr>
              <w:t>5</w:t>
            </w:r>
          </w:p>
        </w:tc>
      </w:tr>
    </w:tbl>
    <w:p w14:paraId="4EF85717" w14:textId="20CA0212" w:rsidR="008D315B" w:rsidRPr="00275521" w:rsidRDefault="008D315B" w:rsidP="008B6633">
      <w:pPr>
        <w:pStyle w:val="FooterTableFigure"/>
        <w:keepNext/>
        <w:keepLines/>
      </w:pPr>
      <w:r w:rsidRPr="00275521">
        <w:t>Source: Constructed from Table 4-5 and Table 4-6 of the submission, and Sheets 2a. and 2b. of the submission’s cost model.</w:t>
      </w:r>
      <w:r w:rsidRPr="00275521">
        <w:br/>
      </w:r>
      <w:r w:rsidRPr="00275521">
        <w:rPr>
          <w:vertAlign w:val="superscript"/>
        </w:rPr>
        <w:t xml:space="preserve">a </w:t>
      </w:r>
      <w:r w:rsidRPr="00275521">
        <w:t>Year 1 incident patients were assumed to be included in the prevalent pool.</w:t>
      </w:r>
    </w:p>
    <w:p w14:paraId="2831E0D4" w14:textId="35F6A623" w:rsidR="008D315B" w:rsidRDefault="008D315B" w:rsidP="008B6633">
      <w:pPr>
        <w:pStyle w:val="FooterTableFigure"/>
        <w:keepNext/>
        <w:keepLines/>
        <w:jc w:val="left"/>
      </w:pPr>
      <w:r w:rsidRPr="00275521">
        <w:rPr>
          <w:vertAlign w:val="superscript"/>
        </w:rPr>
        <w:t xml:space="preserve">b </w:t>
      </w:r>
      <w:r w:rsidRPr="00275521">
        <w:t>Excluding n=</w:t>
      </w:r>
      <w:r w:rsidR="00186645">
        <w:t>&lt; 500</w:t>
      </w:r>
      <w:r w:rsidR="00186645" w:rsidRPr="00275521">
        <w:t xml:space="preserve"> </w:t>
      </w:r>
      <w:r w:rsidRPr="00275521">
        <w:t>grandfathered patients</w:t>
      </w:r>
    </w:p>
    <w:p w14:paraId="4C280D1F" w14:textId="77777777" w:rsidR="001E2924" w:rsidRPr="001E2924" w:rsidRDefault="001E2924" w:rsidP="001E2924">
      <w:pPr>
        <w:pStyle w:val="FooterTableFigure"/>
        <w:keepNext/>
        <w:keepLines/>
        <w:rPr>
          <w:i/>
        </w:rPr>
      </w:pPr>
      <w:r w:rsidRPr="001E2924">
        <w:rPr>
          <w:i/>
        </w:rPr>
        <w:t xml:space="preserve">The redacted values correspond to the following ranges: </w:t>
      </w:r>
    </w:p>
    <w:p w14:paraId="378C2C7D" w14:textId="71E4510E" w:rsidR="001E2924" w:rsidRPr="001E2924" w:rsidRDefault="001E2924" w:rsidP="001E2924">
      <w:pPr>
        <w:pStyle w:val="FooterTableFigure"/>
        <w:keepNext/>
        <w:keepLines/>
        <w:rPr>
          <w:i/>
        </w:rPr>
      </w:pPr>
      <w:r w:rsidRPr="001E2924">
        <w:rPr>
          <w:i/>
          <w:vertAlign w:val="superscript"/>
        </w:rPr>
        <w:t>1</w:t>
      </w:r>
      <w:r w:rsidRPr="001E2924">
        <w:rPr>
          <w:i/>
        </w:rPr>
        <w:t xml:space="preserve"> </w:t>
      </w:r>
      <w:r w:rsidR="00FC6545" w:rsidRPr="00FC6545">
        <w:rPr>
          <w:i/>
        </w:rPr>
        <w:t>&lt; 500</w:t>
      </w:r>
    </w:p>
    <w:p w14:paraId="1793832A" w14:textId="6ED8C4F8" w:rsidR="001E2924" w:rsidRPr="001E2924" w:rsidRDefault="001E2924" w:rsidP="001E2924">
      <w:pPr>
        <w:pStyle w:val="FooterTableFigure"/>
        <w:keepNext/>
        <w:keepLines/>
        <w:rPr>
          <w:i/>
        </w:rPr>
      </w:pPr>
      <w:r w:rsidRPr="001E2924">
        <w:rPr>
          <w:i/>
          <w:vertAlign w:val="superscript"/>
        </w:rPr>
        <w:t>2</w:t>
      </w:r>
      <w:r w:rsidRPr="001E2924">
        <w:rPr>
          <w:i/>
        </w:rPr>
        <w:t xml:space="preserve"> </w:t>
      </w:r>
      <w:r w:rsidR="00BB4757" w:rsidRPr="00BB4757">
        <w:rPr>
          <w:i/>
        </w:rPr>
        <w:t>500 to &lt; 5,000</w:t>
      </w:r>
    </w:p>
    <w:p w14:paraId="111BAE3D" w14:textId="5605D2DC" w:rsidR="001E2924" w:rsidRPr="001E2924" w:rsidRDefault="001E2924" w:rsidP="001E2924">
      <w:pPr>
        <w:pStyle w:val="FooterTableFigure"/>
        <w:keepNext/>
        <w:keepLines/>
        <w:rPr>
          <w:i/>
        </w:rPr>
      </w:pPr>
      <w:r w:rsidRPr="001E2924">
        <w:rPr>
          <w:i/>
          <w:vertAlign w:val="superscript"/>
        </w:rPr>
        <w:t>3</w:t>
      </w:r>
      <w:r w:rsidRPr="001E2924">
        <w:rPr>
          <w:i/>
        </w:rPr>
        <w:t xml:space="preserve"> </w:t>
      </w:r>
      <w:r w:rsidR="00723780" w:rsidRPr="00723780">
        <w:rPr>
          <w:i/>
        </w:rPr>
        <w:t>$10 million to &lt; $20 million</w:t>
      </w:r>
    </w:p>
    <w:p w14:paraId="6DF814AD" w14:textId="01B0C022" w:rsidR="001E2924" w:rsidRPr="001E2924" w:rsidRDefault="001E2924" w:rsidP="001E2924">
      <w:pPr>
        <w:pStyle w:val="FooterTableFigure"/>
        <w:keepNext/>
        <w:keepLines/>
        <w:rPr>
          <w:i/>
        </w:rPr>
      </w:pPr>
      <w:r w:rsidRPr="001E2924">
        <w:rPr>
          <w:i/>
          <w:vertAlign w:val="superscript"/>
        </w:rPr>
        <w:t>4</w:t>
      </w:r>
      <w:r w:rsidRPr="001E2924">
        <w:rPr>
          <w:i/>
        </w:rPr>
        <w:t xml:space="preserve"> </w:t>
      </w:r>
      <w:r w:rsidR="009D29CF" w:rsidRPr="009D29CF">
        <w:rPr>
          <w:i/>
        </w:rPr>
        <w:t>$20 million to &lt; $30 million</w:t>
      </w:r>
    </w:p>
    <w:p w14:paraId="5545871C" w14:textId="4655E928" w:rsidR="001E2924" w:rsidRPr="00212BFE" w:rsidRDefault="001E2924" w:rsidP="003E3AE6">
      <w:pPr>
        <w:pStyle w:val="FooterTableFigure"/>
        <w:keepNext/>
        <w:keepLines/>
        <w:rPr>
          <w:i/>
        </w:rPr>
      </w:pPr>
      <w:r w:rsidRPr="001E2924">
        <w:rPr>
          <w:i/>
          <w:vertAlign w:val="superscript"/>
        </w:rPr>
        <w:t>5</w:t>
      </w:r>
      <w:r w:rsidRPr="001E2924">
        <w:rPr>
          <w:i/>
        </w:rPr>
        <w:t xml:space="preserve"> </w:t>
      </w:r>
      <w:r w:rsidR="00212BFE" w:rsidRPr="00212BFE">
        <w:rPr>
          <w:i/>
        </w:rPr>
        <w:t>$30 million to &lt; $40 million</w:t>
      </w:r>
    </w:p>
    <w:p w14:paraId="75586731" w14:textId="6C790099" w:rsidR="000902D9" w:rsidRPr="00E85C80" w:rsidRDefault="000902D9" w:rsidP="008B6633">
      <w:pPr>
        <w:pStyle w:val="3-BodyText"/>
        <w:spacing w:before="160"/>
        <w:rPr>
          <w:color w:val="0066FF"/>
        </w:rPr>
      </w:pPr>
      <w:r w:rsidRPr="0059385D">
        <w:t xml:space="preserve">The </w:t>
      </w:r>
      <w:r w:rsidR="00932BA2" w:rsidRPr="0059385D">
        <w:t>net</w:t>
      </w:r>
      <w:r w:rsidRPr="0059385D">
        <w:t xml:space="preserve"> cost to the PBS/RPBS of listing </w:t>
      </w:r>
      <w:r w:rsidR="004C220C" w:rsidRPr="0059385D">
        <w:t xml:space="preserve">odevixibat </w:t>
      </w:r>
      <w:r w:rsidRPr="0059385D">
        <w:t xml:space="preserve">was estimated </w:t>
      </w:r>
      <w:r w:rsidR="00A05C32" w:rsidRPr="0059385D">
        <w:t>to be</w:t>
      </w:r>
      <w:r w:rsidRPr="0059385D">
        <w:t xml:space="preserve"> </w:t>
      </w:r>
      <w:r w:rsidR="00924371" w:rsidRPr="00924371">
        <w:t>$10 million to &lt; $20 million</w:t>
      </w:r>
      <w:r w:rsidR="004C220C" w:rsidRPr="00E85C80">
        <w:t xml:space="preserve"> </w:t>
      </w:r>
      <w:r w:rsidRPr="00E85C80">
        <w:t xml:space="preserve">in Year </w:t>
      </w:r>
      <w:r w:rsidR="004C220C" w:rsidRPr="00E85C80">
        <w:t>1</w:t>
      </w:r>
      <w:r w:rsidRPr="00E85C80">
        <w:t xml:space="preserve">, </w:t>
      </w:r>
      <w:r w:rsidR="004C220C" w:rsidRPr="00E85C80">
        <w:t xml:space="preserve">increasing to </w:t>
      </w:r>
      <w:r w:rsidR="009C111A" w:rsidRPr="009C111A">
        <w:t>$30 million to &lt; $40 million</w:t>
      </w:r>
      <w:r w:rsidR="004C220C" w:rsidRPr="00E85C80">
        <w:t xml:space="preserve"> in Year 6, totalling </w:t>
      </w:r>
      <w:r w:rsidR="001F624C" w:rsidRPr="001F624C">
        <w:t>$100 million to &lt; $200 million</w:t>
      </w:r>
      <w:r w:rsidR="004C220C" w:rsidRPr="00E85C80">
        <w:t xml:space="preserve"> over the first 6 years of listing.</w:t>
      </w:r>
    </w:p>
    <w:p w14:paraId="61C92AC6" w14:textId="4BE2886B" w:rsidR="004C220C" w:rsidRPr="00E85C80" w:rsidRDefault="004C220C" w:rsidP="008B6633">
      <w:pPr>
        <w:pStyle w:val="3-BodyText"/>
        <w:spacing w:before="160"/>
        <w:rPr>
          <w:color w:val="000000" w:themeColor="text1"/>
        </w:rPr>
      </w:pPr>
      <w:bookmarkStart w:id="86" w:name="_Ref222743275"/>
      <w:r w:rsidRPr="00E85C80">
        <w:rPr>
          <w:color w:val="000000" w:themeColor="text1"/>
        </w:rPr>
        <w:t>The</w:t>
      </w:r>
      <w:r w:rsidR="00260DB6" w:rsidRPr="00E85C80">
        <w:rPr>
          <w:color w:val="000000" w:themeColor="text1"/>
        </w:rPr>
        <w:t xml:space="preserve"> </w:t>
      </w:r>
      <w:r w:rsidR="00260DB6" w:rsidRPr="00E85C80">
        <w:rPr>
          <w:rFonts w:eastAsia="Calibri" w:cstheme="minorHAnsi"/>
        </w:rPr>
        <w:t>evaluation</w:t>
      </w:r>
      <w:r w:rsidR="00DB48D8" w:rsidRPr="00E85C80">
        <w:rPr>
          <w:rFonts w:eastAsia="Calibri" w:cstheme="minorHAnsi"/>
        </w:rPr>
        <w:t xml:space="preserve"> and the ESC</w:t>
      </w:r>
      <w:r w:rsidR="00260DB6" w:rsidRPr="00E85C80">
        <w:rPr>
          <w:rFonts w:eastAsia="Calibri" w:cstheme="minorHAnsi"/>
        </w:rPr>
        <w:t xml:space="preserve"> considered that the</w:t>
      </w:r>
      <w:r w:rsidRPr="00E85C80">
        <w:rPr>
          <w:color w:val="000000" w:themeColor="text1"/>
        </w:rPr>
        <w:t xml:space="preserve"> incident and prevalent </w:t>
      </w:r>
      <w:r w:rsidR="007505CF" w:rsidRPr="00E85C80">
        <w:rPr>
          <w:color w:val="000000" w:themeColor="text1"/>
        </w:rPr>
        <w:t>patient pool</w:t>
      </w:r>
      <w:r w:rsidRPr="00E85C80">
        <w:rPr>
          <w:color w:val="000000" w:themeColor="text1"/>
        </w:rPr>
        <w:t xml:space="preserve"> </w:t>
      </w:r>
      <w:r w:rsidR="00EF4189" w:rsidRPr="00E85C80">
        <w:rPr>
          <w:color w:val="000000" w:themeColor="text1"/>
        </w:rPr>
        <w:t>was likely overestimated</w:t>
      </w:r>
      <w:r w:rsidR="0061190E" w:rsidRPr="00E85C80">
        <w:rPr>
          <w:color w:val="000000" w:themeColor="text1"/>
        </w:rPr>
        <w:t>,</w:t>
      </w:r>
      <w:r w:rsidR="00EF4189" w:rsidRPr="00E85C80">
        <w:rPr>
          <w:color w:val="000000" w:themeColor="text1"/>
        </w:rPr>
        <w:t xml:space="preserve"> </w:t>
      </w:r>
      <w:r w:rsidRPr="00E85C80">
        <w:rPr>
          <w:color w:val="000000" w:themeColor="text1"/>
        </w:rPr>
        <w:t>as:</w:t>
      </w:r>
      <w:bookmarkEnd w:id="86"/>
    </w:p>
    <w:p w14:paraId="7D7ACC1C" w14:textId="404C9CD2" w:rsidR="004C220C" w:rsidRPr="00E85C80" w:rsidRDefault="004C220C" w:rsidP="008B6633">
      <w:pPr>
        <w:pStyle w:val="3-BodyText"/>
        <w:numPr>
          <w:ilvl w:val="0"/>
          <w:numId w:val="10"/>
        </w:numPr>
        <w:spacing w:before="160"/>
        <w:ind w:left="1134" w:hanging="425"/>
        <w:rPr>
          <w:color w:val="000000" w:themeColor="text1"/>
        </w:rPr>
      </w:pPr>
      <w:r w:rsidRPr="00E85C80">
        <w:rPr>
          <w:color w:val="000000" w:themeColor="text1"/>
        </w:rPr>
        <w:t>The applied incidence rate of 1 in 30,000 live births (10–11 patients per year) was the highest rate identified in the literature, which range from 1 in 30,000 to 1 in 70,000 live births</w:t>
      </w:r>
      <w:r w:rsidR="00C61918" w:rsidRPr="00E85C80">
        <w:rPr>
          <w:color w:val="000000" w:themeColor="text1"/>
        </w:rPr>
        <w:t>.</w:t>
      </w:r>
    </w:p>
    <w:p w14:paraId="6AF55ABC" w14:textId="676AAE35" w:rsidR="004C220C" w:rsidRPr="00E85C80" w:rsidRDefault="004C220C" w:rsidP="008B6633">
      <w:pPr>
        <w:pStyle w:val="3-BodyText"/>
        <w:numPr>
          <w:ilvl w:val="0"/>
          <w:numId w:val="10"/>
        </w:numPr>
        <w:spacing w:before="160"/>
        <w:ind w:left="1134" w:hanging="425"/>
        <w:rPr>
          <w:color w:val="000000" w:themeColor="text1"/>
        </w:rPr>
      </w:pPr>
      <w:r w:rsidRPr="00E85C80">
        <w:rPr>
          <w:color w:val="000000" w:themeColor="text1"/>
        </w:rPr>
        <w:t xml:space="preserve">The prevalence rate of 1 in 100,000 was applied to the entire population which may not be appropriate given the older ALGS population are more likely to have undergone LT or died. Previous DUSC advice in consideration of odevixibat for PFIC noted that prevalence should be estimated separately in adult patients (para 6.56, odevixibat PSD, </w:t>
      </w:r>
      <w:r w:rsidR="00D17D2F" w:rsidRPr="00E85C80">
        <w:rPr>
          <w:color w:val="000000" w:themeColor="text1"/>
        </w:rPr>
        <w:t>March 2025 PBAC Meeting with Addendum July 2025</w:t>
      </w:r>
      <w:r w:rsidRPr="00E85C80">
        <w:rPr>
          <w:color w:val="000000" w:themeColor="text1"/>
        </w:rPr>
        <w:t>)</w:t>
      </w:r>
      <w:r w:rsidR="00C61918" w:rsidRPr="00E85C80">
        <w:rPr>
          <w:color w:val="000000" w:themeColor="text1"/>
        </w:rPr>
        <w:t>.</w:t>
      </w:r>
    </w:p>
    <w:p w14:paraId="4F18A5B3" w14:textId="428E057C" w:rsidR="00523B63" w:rsidRPr="00E85C80" w:rsidRDefault="00523B63" w:rsidP="008B6633">
      <w:pPr>
        <w:pStyle w:val="3-BodyText"/>
        <w:numPr>
          <w:ilvl w:val="0"/>
          <w:numId w:val="10"/>
        </w:numPr>
        <w:spacing w:before="160"/>
        <w:ind w:left="1134" w:hanging="425"/>
        <w:rPr>
          <w:color w:val="000000" w:themeColor="text1"/>
        </w:rPr>
      </w:pPr>
      <w:r w:rsidRPr="00E85C80">
        <w:rPr>
          <w:color w:val="000000" w:themeColor="text1"/>
        </w:rPr>
        <w:t>Grandfathered patients were not subtracted when estimating the Year 2 and Year 3 prevalent patient pool, resulting in likely double counting.</w:t>
      </w:r>
    </w:p>
    <w:p w14:paraId="24549B70" w14:textId="66BB3DAB" w:rsidR="004C220C" w:rsidRPr="00E85C80" w:rsidRDefault="004C3D18" w:rsidP="008B6633">
      <w:pPr>
        <w:pStyle w:val="3-BodyText"/>
        <w:spacing w:before="160"/>
        <w:rPr>
          <w:color w:val="000000" w:themeColor="text1"/>
        </w:rPr>
      </w:pPr>
      <w:bookmarkStart w:id="87" w:name="_Ref226364612"/>
      <w:bookmarkStart w:id="88" w:name="_Ref222743274"/>
      <w:r w:rsidRPr="00E85C80">
        <w:rPr>
          <w:color w:val="000000" w:themeColor="text1"/>
        </w:rPr>
        <w:t>The</w:t>
      </w:r>
      <w:r w:rsidR="004C220C" w:rsidRPr="00E85C80">
        <w:rPr>
          <w:color w:val="000000" w:themeColor="text1"/>
        </w:rPr>
        <w:t xml:space="preserve"> </w:t>
      </w:r>
      <w:r w:rsidR="00260DB6" w:rsidRPr="00E85C80">
        <w:rPr>
          <w:rFonts w:eastAsia="Calibri" w:cstheme="minorHAnsi"/>
        </w:rPr>
        <w:t xml:space="preserve">evaluation </w:t>
      </w:r>
      <w:r w:rsidR="00E91802" w:rsidRPr="00E85C80">
        <w:rPr>
          <w:rFonts w:eastAsia="Calibri" w:cstheme="minorHAnsi"/>
        </w:rPr>
        <w:t xml:space="preserve">and the ESCs </w:t>
      </w:r>
      <w:r w:rsidR="00260DB6" w:rsidRPr="00E85C80">
        <w:rPr>
          <w:rFonts w:eastAsia="Calibri" w:cstheme="minorHAnsi"/>
        </w:rPr>
        <w:t xml:space="preserve">considered that </w:t>
      </w:r>
      <w:r w:rsidR="00523B63" w:rsidRPr="00E85C80">
        <w:rPr>
          <w:color w:val="000000" w:themeColor="text1"/>
        </w:rPr>
        <w:t>proportion</w:t>
      </w:r>
      <w:r w:rsidR="004C220C" w:rsidRPr="00E85C80">
        <w:rPr>
          <w:color w:val="000000" w:themeColor="text1"/>
        </w:rPr>
        <w:t xml:space="preserve"> of eligible patients may be underestimated </w:t>
      </w:r>
      <w:r w:rsidR="00150468" w:rsidRPr="00E85C80">
        <w:rPr>
          <w:color w:val="000000" w:themeColor="text1"/>
        </w:rPr>
        <w:t xml:space="preserve">as the applied proportion of ALGS </w:t>
      </w:r>
      <w:r w:rsidR="004C220C" w:rsidRPr="00E85C80">
        <w:rPr>
          <w:color w:val="000000" w:themeColor="text1"/>
        </w:rPr>
        <w:t xml:space="preserve">patients </w:t>
      </w:r>
      <w:r w:rsidR="00150468" w:rsidRPr="00E85C80">
        <w:rPr>
          <w:color w:val="000000" w:themeColor="text1"/>
        </w:rPr>
        <w:t>with</w:t>
      </w:r>
      <w:r w:rsidR="004C220C" w:rsidRPr="00E85C80">
        <w:rPr>
          <w:color w:val="000000" w:themeColor="text1"/>
        </w:rPr>
        <w:t xml:space="preserve"> moderate to severe pruritus</w:t>
      </w:r>
      <w:r w:rsidR="00150468" w:rsidRPr="00E85C80">
        <w:rPr>
          <w:color w:val="000000" w:themeColor="text1"/>
        </w:rPr>
        <w:t xml:space="preserve"> (46.2%; Abetz-Webb 2014</w:t>
      </w:r>
      <w:r w:rsidR="004C220C" w:rsidRPr="00E85C80">
        <w:rPr>
          <w:color w:val="000000" w:themeColor="text1"/>
        </w:rPr>
        <w:t xml:space="preserve">) </w:t>
      </w:r>
      <w:r w:rsidR="00150468" w:rsidRPr="00E85C80">
        <w:rPr>
          <w:color w:val="000000" w:themeColor="text1"/>
        </w:rPr>
        <w:t xml:space="preserve">was lower than reported in </w:t>
      </w:r>
      <w:r w:rsidR="004C220C" w:rsidRPr="00E85C80">
        <w:rPr>
          <w:color w:val="000000" w:themeColor="text1"/>
        </w:rPr>
        <w:t>the GALA study</w:t>
      </w:r>
      <w:r w:rsidR="00150468" w:rsidRPr="00E85C80">
        <w:rPr>
          <w:color w:val="000000" w:themeColor="text1"/>
        </w:rPr>
        <w:t xml:space="preserve"> (</w:t>
      </w:r>
      <w:r w:rsidR="004C220C" w:rsidRPr="00E85C80">
        <w:rPr>
          <w:color w:val="000000" w:themeColor="text1"/>
        </w:rPr>
        <w:t>74%</w:t>
      </w:r>
      <w:r w:rsidR="00150468" w:rsidRPr="00E85C80">
        <w:rPr>
          <w:color w:val="000000" w:themeColor="text1"/>
        </w:rPr>
        <w:t xml:space="preserve">; </w:t>
      </w:r>
      <w:r w:rsidR="004C220C" w:rsidRPr="00E85C80">
        <w:rPr>
          <w:color w:val="000000" w:themeColor="text1"/>
        </w:rPr>
        <w:t>n=761/1028). In addition,</w:t>
      </w:r>
      <w:r w:rsidR="00A24CAF" w:rsidRPr="00E85C80">
        <w:rPr>
          <w:color w:val="000000" w:themeColor="text1"/>
        </w:rPr>
        <w:t xml:space="preserve"> </w:t>
      </w:r>
      <w:r w:rsidR="00D2156F" w:rsidRPr="00E85C80">
        <w:rPr>
          <w:color w:val="000000" w:themeColor="text1"/>
        </w:rPr>
        <w:t xml:space="preserve">the </w:t>
      </w:r>
      <w:r w:rsidR="00D2156F" w:rsidRPr="00E85C80">
        <w:rPr>
          <w:rFonts w:eastAsia="Calibri" w:cstheme="minorHAnsi"/>
        </w:rPr>
        <w:t xml:space="preserve">evaluation and the ESC considered </w:t>
      </w:r>
      <w:r w:rsidR="00A24CAF" w:rsidRPr="00E85C80">
        <w:rPr>
          <w:color w:val="000000" w:themeColor="text1"/>
        </w:rPr>
        <w:t xml:space="preserve">it </w:t>
      </w:r>
      <w:r w:rsidR="001C30A5" w:rsidRPr="00E85C80">
        <w:rPr>
          <w:color w:val="000000" w:themeColor="text1"/>
        </w:rPr>
        <w:t xml:space="preserve">may not be </w:t>
      </w:r>
      <w:r w:rsidR="001C30A5" w:rsidRPr="00E85C80">
        <w:rPr>
          <w:color w:val="000000" w:themeColor="text1"/>
        </w:rPr>
        <w:lastRenderedPageBreak/>
        <w:t>reasonable to</w:t>
      </w:r>
      <w:r w:rsidR="00A24CAF" w:rsidRPr="00E85C80">
        <w:rPr>
          <w:color w:val="000000" w:themeColor="text1"/>
        </w:rPr>
        <w:t xml:space="preserve"> </w:t>
      </w:r>
      <w:r w:rsidR="00150468" w:rsidRPr="00E85C80">
        <w:rPr>
          <w:color w:val="000000" w:themeColor="text1"/>
        </w:rPr>
        <w:t>appl</w:t>
      </w:r>
      <w:r w:rsidR="001C30A5" w:rsidRPr="00E85C80">
        <w:rPr>
          <w:color w:val="000000" w:themeColor="text1"/>
        </w:rPr>
        <w:t>y</w:t>
      </w:r>
      <w:r w:rsidR="00150468" w:rsidRPr="00E85C80">
        <w:rPr>
          <w:color w:val="000000" w:themeColor="text1"/>
        </w:rPr>
        <w:t xml:space="preserve"> </w:t>
      </w:r>
      <w:r w:rsidR="00A24CAF" w:rsidRPr="00E85C80">
        <w:rPr>
          <w:color w:val="000000" w:themeColor="text1"/>
        </w:rPr>
        <w:t>independent</w:t>
      </w:r>
      <w:r w:rsidR="00150468" w:rsidRPr="00E85C80">
        <w:rPr>
          <w:color w:val="000000" w:themeColor="text1"/>
        </w:rPr>
        <w:t xml:space="preserve"> pruritus and cholestasis eligibility</w:t>
      </w:r>
      <w:r w:rsidR="001C30A5" w:rsidRPr="00E85C80">
        <w:rPr>
          <w:color w:val="000000" w:themeColor="text1"/>
        </w:rPr>
        <w:t xml:space="preserve"> filters</w:t>
      </w:r>
      <w:r w:rsidR="00A24CAF" w:rsidRPr="00E85C80">
        <w:rPr>
          <w:color w:val="000000" w:themeColor="text1"/>
        </w:rPr>
        <w:t xml:space="preserve"> </w:t>
      </w:r>
      <w:r w:rsidR="00F41AB2" w:rsidRPr="00E85C80">
        <w:rPr>
          <w:color w:val="000000" w:themeColor="text1"/>
        </w:rPr>
        <w:t xml:space="preserve">(46.2% and 92.1%, respectively) </w:t>
      </w:r>
      <w:r w:rsidR="00A24CAF" w:rsidRPr="00E85C80">
        <w:rPr>
          <w:color w:val="000000" w:themeColor="text1"/>
        </w:rPr>
        <w:t>as these criteria</w:t>
      </w:r>
      <w:r w:rsidR="001C30A5" w:rsidRPr="00E85C80">
        <w:rPr>
          <w:color w:val="000000" w:themeColor="text1"/>
        </w:rPr>
        <w:t xml:space="preserve"> are likely to substantially overlap</w:t>
      </w:r>
      <w:r w:rsidR="00A24CAF" w:rsidRPr="00E85C80">
        <w:rPr>
          <w:color w:val="000000" w:themeColor="text1"/>
        </w:rPr>
        <w:t>.</w:t>
      </w:r>
      <w:bookmarkEnd w:id="87"/>
      <w:bookmarkEnd w:id="88"/>
      <w:r w:rsidR="008B6633">
        <w:rPr>
          <w:color w:val="000000" w:themeColor="text1"/>
        </w:rPr>
        <w:t xml:space="preserve"> </w:t>
      </w:r>
    </w:p>
    <w:p w14:paraId="0CF66461" w14:textId="5A33D522" w:rsidR="00523B63" w:rsidRPr="00E85C80" w:rsidRDefault="00523B63" w:rsidP="008B6633">
      <w:pPr>
        <w:pStyle w:val="3-BodyText"/>
        <w:spacing w:before="160"/>
        <w:rPr>
          <w:color w:val="000000" w:themeColor="text1"/>
        </w:rPr>
      </w:pPr>
      <w:r w:rsidRPr="00E85C80">
        <w:rPr>
          <w:color w:val="000000" w:themeColor="text1"/>
        </w:rPr>
        <w:t xml:space="preserve">The </w:t>
      </w:r>
      <w:r w:rsidR="00140FFC" w:rsidRPr="00E85C80">
        <w:rPr>
          <w:rFonts w:eastAsia="Calibri" w:cstheme="minorHAnsi"/>
        </w:rPr>
        <w:t xml:space="preserve">evaluation and the ESCs considered </w:t>
      </w:r>
      <w:r w:rsidR="0062321E">
        <w:rPr>
          <w:rFonts w:eastAsia="Calibri" w:cstheme="minorHAnsi"/>
        </w:rPr>
        <w:t xml:space="preserve">the </w:t>
      </w:r>
      <w:r w:rsidRPr="00E85C80">
        <w:rPr>
          <w:color w:val="000000" w:themeColor="text1"/>
        </w:rPr>
        <w:t xml:space="preserve">applied continuation/response rate (87.4%) was uncertain as it was based on a Sponsor conducted post-hoc pooled analysis of pruritus responders (≥1.0 point pruritus reduction in the AM scores) at 48 </w:t>
      </w:r>
      <w:r w:rsidR="002E1C7B" w:rsidRPr="00E85C80">
        <w:rPr>
          <w:color w:val="000000" w:themeColor="text1"/>
        </w:rPr>
        <w:t>weeks and</w:t>
      </w:r>
      <w:r w:rsidRPr="00E85C80">
        <w:rPr>
          <w:color w:val="000000" w:themeColor="text1"/>
        </w:rPr>
        <w:t xml:space="preserve"> was inconsistent with the economic model response rate (82.4%). In addition, the assumed duration of treatment of 6 years was uncertain.</w:t>
      </w:r>
    </w:p>
    <w:p w14:paraId="7E011082" w14:textId="686DA006" w:rsidR="004C3D18" w:rsidRPr="00F5537F" w:rsidRDefault="004C3D18" w:rsidP="008B6633">
      <w:pPr>
        <w:pStyle w:val="3-BodyText"/>
        <w:spacing w:before="160"/>
        <w:rPr>
          <w:color w:val="000000" w:themeColor="text1"/>
        </w:rPr>
      </w:pPr>
      <w:bookmarkStart w:id="89" w:name="_Ref226364632"/>
      <w:r w:rsidRPr="00F5537F">
        <w:rPr>
          <w:color w:val="000000" w:themeColor="text1"/>
        </w:rPr>
        <w:t xml:space="preserve">Dosage was based on the mean weight of patients in the Australian EAP (19.7kg, N=6). The use of a constant weight across the incident and prevalent population </w:t>
      </w:r>
      <w:r w:rsidR="003B581F" w:rsidRPr="00F5537F">
        <w:rPr>
          <w:color w:val="000000" w:themeColor="text1"/>
        </w:rPr>
        <w:t>was uncertain</w:t>
      </w:r>
      <w:r w:rsidRPr="00F5537F">
        <w:rPr>
          <w:color w:val="000000" w:themeColor="text1"/>
        </w:rPr>
        <w:t xml:space="preserve"> given these patients are expected to differ in age and weight</w:t>
      </w:r>
      <w:r w:rsidR="006728C0" w:rsidRPr="00F5537F">
        <w:rPr>
          <w:color w:val="000000" w:themeColor="text1"/>
        </w:rPr>
        <w:t xml:space="preserve"> (see also paragraph </w:t>
      </w:r>
      <w:r w:rsidR="00F5537F" w:rsidRPr="00F5537F">
        <w:rPr>
          <w:color w:val="000000" w:themeColor="text1"/>
        </w:rPr>
        <w:fldChar w:fldCharType="begin"/>
      </w:r>
      <w:r w:rsidR="00F5537F" w:rsidRPr="00F5537F">
        <w:rPr>
          <w:color w:val="000000" w:themeColor="text1"/>
        </w:rPr>
        <w:instrText xml:space="preserve"> REF _Ref222746130 \r \h </w:instrText>
      </w:r>
      <w:r w:rsidR="00F5537F">
        <w:rPr>
          <w:color w:val="000000" w:themeColor="text1"/>
        </w:rPr>
        <w:instrText xml:space="preserve"> \* MERGEFORMAT </w:instrText>
      </w:r>
      <w:r w:rsidR="00F5537F" w:rsidRPr="00F5537F">
        <w:rPr>
          <w:color w:val="000000" w:themeColor="text1"/>
        </w:rPr>
      </w:r>
      <w:r w:rsidR="00F5537F" w:rsidRPr="00F5537F">
        <w:rPr>
          <w:color w:val="000000" w:themeColor="text1"/>
        </w:rPr>
        <w:fldChar w:fldCharType="separate"/>
      </w:r>
      <w:r w:rsidR="00F5537F" w:rsidRPr="00F5537F">
        <w:rPr>
          <w:color w:val="000000" w:themeColor="text1"/>
        </w:rPr>
        <w:t>6.69</w:t>
      </w:r>
      <w:r w:rsidR="00F5537F" w:rsidRPr="00F5537F">
        <w:rPr>
          <w:color w:val="000000" w:themeColor="text1"/>
        </w:rPr>
        <w:fldChar w:fldCharType="end"/>
      </w:r>
      <w:r w:rsidR="006728C0" w:rsidRPr="00F5537F">
        <w:rPr>
          <w:color w:val="000000" w:themeColor="text1"/>
        </w:rPr>
        <w:t>)</w:t>
      </w:r>
      <w:r w:rsidRPr="00F5537F">
        <w:rPr>
          <w:color w:val="000000" w:themeColor="text1"/>
        </w:rPr>
        <w:t>.</w:t>
      </w:r>
      <w:bookmarkEnd w:id="89"/>
      <w:r w:rsidRPr="00F5537F">
        <w:rPr>
          <w:color w:val="000000" w:themeColor="text1"/>
        </w:rPr>
        <w:t xml:space="preserve"> </w:t>
      </w:r>
    </w:p>
    <w:p w14:paraId="135D363F" w14:textId="0A6150F4" w:rsidR="004C3D18" w:rsidRPr="00D96E39" w:rsidRDefault="004C3D18" w:rsidP="008B6633">
      <w:pPr>
        <w:pStyle w:val="3-BodyText"/>
        <w:spacing w:before="160"/>
        <w:rPr>
          <w:color w:val="000000" w:themeColor="text1"/>
        </w:rPr>
      </w:pPr>
      <w:r w:rsidRPr="00F5537F">
        <w:rPr>
          <w:color w:val="000000" w:themeColor="text1"/>
        </w:rPr>
        <w:t>The estimates assumed that no patients would discontinue odevixibat over the financial estimates. T</w:t>
      </w:r>
      <w:r w:rsidR="00DE1746" w:rsidRPr="00F5537F">
        <w:rPr>
          <w:rFonts w:eastAsia="Calibri" w:cstheme="minorHAnsi"/>
        </w:rPr>
        <w:t>he evaluation considered that t</w:t>
      </w:r>
      <w:r w:rsidRPr="00F5537F">
        <w:rPr>
          <w:color w:val="000000" w:themeColor="text1"/>
        </w:rPr>
        <w:t>his may not be</w:t>
      </w:r>
      <w:r w:rsidRPr="0059385D">
        <w:rPr>
          <w:color w:val="000000" w:themeColor="text1"/>
        </w:rPr>
        <w:t xml:space="preserve"> reasonable as in ASSERT-EXT, 12% (6/50) of patients did not complete the 72-</w:t>
      </w:r>
      <w:r w:rsidRPr="00D96E39">
        <w:rPr>
          <w:color w:val="000000" w:themeColor="text1"/>
        </w:rPr>
        <w:t>week treatment period.</w:t>
      </w:r>
    </w:p>
    <w:p w14:paraId="49F66DA8" w14:textId="13D79096" w:rsidR="004C3D18" w:rsidRPr="00E85C80" w:rsidRDefault="00AF2F42" w:rsidP="008B6633">
      <w:pPr>
        <w:pStyle w:val="3-BodyText"/>
        <w:spacing w:before="160"/>
        <w:rPr>
          <w:color w:val="000000" w:themeColor="text1"/>
        </w:rPr>
      </w:pPr>
      <w:r w:rsidRPr="00E85C80">
        <w:rPr>
          <w:color w:val="000000" w:themeColor="text1"/>
        </w:rPr>
        <w:t xml:space="preserve">Overall, </w:t>
      </w:r>
      <w:r w:rsidR="00DE1746" w:rsidRPr="00E85C80">
        <w:rPr>
          <w:rFonts w:eastAsia="Calibri" w:cstheme="minorHAnsi"/>
        </w:rPr>
        <w:t>the evaluation</w:t>
      </w:r>
      <w:r w:rsidR="00D96E39" w:rsidRPr="00E85C80">
        <w:rPr>
          <w:rFonts w:eastAsia="Calibri" w:cstheme="minorHAnsi"/>
        </w:rPr>
        <w:t xml:space="preserve"> and the ESC</w:t>
      </w:r>
      <w:r w:rsidR="00DE1746" w:rsidRPr="00E85C80">
        <w:rPr>
          <w:rFonts w:eastAsia="Calibri" w:cstheme="minorHAnsi"/>
        </w:rPr>
        <w:t xml:space="preserve"> considered that </w:t>
      </w:r>
      <w:r w:rsidRPr="00E85C80">
        <w:rPr>
          <w:color w:val="000000" w:themeColor="text1"/>
        </w:rPr>
        <w:t xml:space="preserve">it was unclear whether the </w:t>
      </w:r>
      <w:r w:rsidR="00EF4189" w:rsidRPr="00E85C80">
        <w:rPr>
          <w:color w:val="000000" w:themeColor="text1"/>
        </w:rPr>
        <w:t>net impact to the PBS/RPBS of listing odevixibat</w:t>
      </w:r>
      <w:r w:rsidRPr="00E85C80">
        <w:rPr>
          <w:color w:val="000000" w:themeColor="text1"/>
        </w:rPr>
        <w:t xml:space="preserve"> was overestimated or underestimated, as whilst the number of incident and prevalent patients was likely overestimated, the proportion of eligible patients may be underestimated. </w:t>
      </w:r>
      <w:r w:rsidR="00CC3FA0">
        <w:rPr>
          <w:color w:val="000000" w:themeColor="text1"/>
        </w:rPr>
        <w:t xml:space="preserve">In the Pre-PBAC </w:t>
      </w:r>
      <w:r w:rsidR="00C7766A">
        <w:rPr>
          <w:color w:val="000000" w:themeColor="text1"/>
        </w:rPr>
        <w:t>R</w:t>
      </w:r>
      <w:r w:rsidR="00CC3FA0">
        <w:rPr>
          <w:color w:val="000000" w:themeColor="text1"/>
        </w:rPr>
        <w:t>esponse</w:t>
      </w:r>
      <w:r w:rsidR="00C7766A">
        <w:rPr>
          <w:color w:val="000000" w:themeColor="text1"/>
        </w:rPr>
        <w:t xml:space="preserve"> </w:t>
      </w:r>
      <w:r w:rsidR="00CC3FA0">
        <w:rPr>
          <w:color w:val="000000" w:themeColor="text1"/>
        </w:rPr>
        <w:t xml:space="preserve"> the sponsor </w:t>
      </w:r>
      <w:r w:rsidR="00231AB4">
        <w:rPr>
          <w:color w:val="000000" w:themeColor="text1"/>
        </w:rPr>
        <w:t xml:space="preserve">acknowledged the </w:t>
      </w:r>
      <w:r w:rsidR="00CC3FA0" w:rsidRPr="00CC3FA0">
        <w:rPr>
          <w:color w:val="000000" w:themeColor="text1"/>
        </w:rPr>
        <w:t xml:space="preserve">uncertainties highlighted by </w:t>
      </w:r>
      <w:r w:rsidR="00231AB4">
        <w:rPr>
          <w:color w:val="000000" w:themeColor="text1"/>
        </w:rPr>
        <w:t xml:space="preserve">the </w:t>
      </w:r>
      <w:r w:rsidR="00CC3FA0" w:rsidRPr="00CC3FA0">
        <w:rPr>
          <w:color w:val="000000" w:themeColor="text1"/>
        </w:rPr>
        <w:t>ESC and</w:t>
      </w:r>
      <w:r w:rsidR="00231AB4">
        <w:rPr>
          <w:color w:val="000000" w:themeColor="text1"/>
        </w:rPr>
        <w:t xml:space="preserve"> indicated it</w:t>
      </w:r>
      <w:r w:rsidR="00CC3FA0" w:rsidRPr="00CC3FA0">
        <w:rPr>
          <w:color w:val="000000" w:themeColor="text1"/>
        </w:rPr>
        <w:t xml:space="preserve"> </w:t>
      </w:r>
      <w:r w:rsidR="00231AB4">
        <w:rPr>
          <w:color w:val="000000" w:themeColor="text1"/>
        </w:rPr>
        <w:t>“</w:t>
      </w:r>
      <w:r w:rsidR="00CC3FA0" w:rsidRPr="00CC3FA0">
        <w:rPr>
          <w:color w:val="000000" w:themeColor="text1"/>
        </w:rPr>
        <w:t>is willing to revisit the epidemiological framework of the financial estimates, including reviewing both incidence and prevalence assumptions and exploring modelling prevalent paediatric and adult ALGS populations separately to provide a more accurate reflection of real</w:t>
      </w:r>
      <w:r w:rsidR="00CC3FA0" w:rsidRPr="00CC3FA0">
        <w:rPr>
          <w:rFonts w:ascii="Cambria Math" w:hAnsi="Cambria Math" w:cs="Cambria Math"/>
          <w:color w:val="000000" w:themeColor="text1"/>
        </w:rPr>
        <w:t>‑</w:t>
      </w:r>
      <w:r w:rsidR="00CC3FA0" w:rsidRPr="00CC3FA0">
        <w:rPr>
          <w:color w:val="000000" w:themeColor="text1"/>
        </w:rPr>
        <w:t>world utilisation</w:t>
      </w:r>
      <w:r w:rsidR="00C7766A">
        <w:rPr>
          <w:color w:val="000000" w:themeColor="text1"/>
        </w:rPr>
        <w:t>.”</w:t>
      </w:r>
    </w:p>
    <w:p w14:paraId="2238DEE9" w14:textId="3E6A228B" w:rsidR="00576972" w:rsidRPr="0059385D" w:rsidRDefault="00576972" w:rsidP="008B6633">
      <w:pPr>
        <w:pStyle w:val="4-SubsectionHeading"/>
        <w:rPr>
          <w:iCs/>
        </w:rPr>
      </w:pPr>
      <w:bookmarkStart w:id="90" w:name="_Toc22897648"/>
      <w:bookmarkStart w:id="91" w:name="_Toc219900855"/>
      <w:r w:rsidRPr="0059385D">
        <w:t>Quality Use of Medicines</w:t>
      </w:r>
      <w:bookmarkEnd w:id="90"/>
      <w:bookmarkEnd w:id="91"/>
    </w:p>
    <w:p w14:paraId="79CA87A7" w14:textId="3995BD65" w:rsidR="00751F21" w:rsidRPr="0059385D" w:rsidRDefault="00751F21" w:rsidP="008B6633">
      <w:pPr>
        <w:pStyle w:val="3-BodyText"/>
        <w:spacing w:before="160"/>
      </w:pPr>
      <w:r w:rsidRPr="0059385D">
        <w:t xml:space="preserve">The submission stated that the Sponsor will provide educational materials to specialist prescribers upon PBS listing, available to all relevant prescribers and hospitals, </w:t>
      </w:r>
      <w:r w:rsidR="00D80031" w:rsidRPr="0059385D">
        <w:t>including</w:t>
      </w:r>
      <w:r w:rsidRPr="0059385D">
        <w:t xml:space="preserve"> diagnostic criteria for ALGS, instructions for using the ObsRO instrument, guidance on treatment initiation, dose reduction, and monitoring, and Information on when to consider treatment discontinuation.</w:t>
      </w:r>
    </w:p>
    <w:p w14:paraId="38BD0AEF" w14:textId="22832BB4" w:rsidR="00576972" w:rsidRPr="0059385D" w:rsidRDefault="00751F21" w:rsidP="008B6633">
      <w:pPr>
        <w:pStyle w:val="3-BodyText"/>
        <w:spacing w:before="160"/>
      </w:pPr>
      <w:r w:rsidRPr="0059385D">
        <w:t>The submission proposed that The Department of Health should monitor PBS claims data utilisation patterns against epidemiological projections, investigating any sustained deviation exceeding forecast; and that establishment of an Australian ALGS patient registry would improve epidemiological data and facilitate detection of usage beyond the restriction.</w:t>
      </w:r>
    </w:p>
    <w:p w14:paraId="0F3D01C9" w14:textId="77777777" w:rsidR="006D289F" w:rsidRDefault="006D289F" w:rsidP="008B6633">
      <w:pPr>
        <w:contextualSpacing/>
        <w:rPr>
          <w:rFonts w:eastAsia="Calibri"/>
          <w:i/>
          <w:szCs w:val="22"/>
        </w:rPr>
      </w:pPr>
      <w:bookmarkStart w:id="92" w:name="_Hlk103934877"/>
    </w:p>
    <w:bookmarkEnd w:id="92"/>
    <w:p w14:paraId="7E3FC201" w14:textId="77777777" w:rsidR="00C62470" w:rsidRDefault="001256E6" w:rsidP="00936F72">
      <w:pPr>
        <w:ind w:firstLine="720"/>
        <w:rPr>
          <w:rFonts w:asciiTheme="minorHAnsi" w:hAnsiTheme="minorHAnsi"/>
          <w:iCs/>
        </w:rPr>
      </w:pPr>
      <w:r w:rsidRPr="00936F72">
        <w:rPr>
          <w:rFonts w:asciiTheme="minorHAnsi" w:hAnsiTheme="minorHAnsi"/>
          <w:i/>
        </w:rPr>
        <w:t>For more detail on PBAC’s view, see section 7 PBAC outcome</w:t>
      </w:r>
      <w:r w:rsidR="00E0234B">
        <w:rPr>
          <w:rFonts w:asciiTheme="minorHAnsi" w:hAnsiTheme="minorHAnsi"/>
          <w:iCs/>
        </w:rPr>
        <w:t>.</w:t>
      </w:r>
    </w:p>
    <w:p w14:paraId="064DA9CA" w14:textId="1FBE3111" w:rsidR="009B7219" w:rsidRPr="009B7219" w:rsidRDefault="009B7219" w:rsidP="008B6633">
      <w:pPr>
        <w:tabs>
          <w:tab w:val="left" w:pos="4822"/>
        </w:tabs>
        <w:sectPr w:rsidR="009B7219" w:rsidRPr="009B7219" w:rsidSect="009B7219">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cols w:space="708"/>
          <w:docGrid w:linePitch="360"/>
        </w:sectPr>
      </w:pPr>
    </w:p>
    <w:p w14:paraId="0EB61F90" w14:textId="77777777" w:rsidR="00F165AE" w:rsidRPr="009027B9" w:rsidRDefault="00F165AE" w:rsidP="008B6633">
      <w:pPr>
        <w:pStyle w:val="2-SectionHeading"/>
      </w:pPr>
      <w:bookmarkStart w:id="93" w:name="_Hlk76381249"/>
      <w:bookmarkStart w:id="94" w:name="_Toc219900858"/>
      <w:r w:rsidRPr="009027B9">
        <w:lastRenderedPageBreak/>
        <w:t>PBAC Outcome</w:t>
      </w:r>
    </w:p>
    <w:p w14:paraId="440F276D" w14:textId="17610567" w:rsidR="00E61D23" w:rsidRPr="00A72EF3" w:rsidRDefault="00E61D23" w:rsidP="008B6633">
      <w:pPr>
        <w:pStyle w:val="3-BodyText"/>
        <w:rPr>
          <w:snapToGrid w:val="0"/>
          <w:lang w:val="en-GB"/>
        </w:rPr>
      </w:pPr>
      <w:r w:rsidRPr="00A72EF3">
        <w:rPr>
          <w:rFonts w:eastAsia="Times New Roman" w:cs="Arial"/>
          <w:snapToGrid w:val="0"/>
          <w:szCs w:val="24"/>
          <w:lang w:val="en-GB"/>
        </w:rPr>
        <w:t>The PBAC did not recommend odevixibat for the treatment of cholestatic pruritus in Alagille syndrome (ALGS) in patients aged six months and older.</w:t>
      </w:r>
      <w:r w:rsidR="003315D0" w:rsidRPr="00A72EF3">
        <w:rPr>
          <w:rFonts w:eastAsia="Times New Roman" w:cs="Arial"/>
          <w:snapToGrid w:val="0"/>
          <w:szCs w:val="24"/>
          <w:lang w:val="en-GB"/>
        </w:rPr>
        <w:t xml:space="preserve"> The PBAC considered that there is high unmet clinical need for this rare genetic condition, which </w:t>
      </w:r>
      <w:r w:rsidR="000E6962" w:rsidRPr="00A72EF3">
        <w:rPr>
          <w:rFonts w:eastAsia="Times New Roman" w:cs="Arial"/>
          <w:snapToGrid w:val="0"/>
          <w:szCs w:val="24"/>
          <w:lang w:val="en-GB"/>
        </w:rPr>
        <w:t xml:space="preserve">has </w:t>
      </w:r>
      <w:r w:rsidRPr="00A72EF3">
        <w:rPr>
          <w:rFonts w:eastAsia="Times New Roman" w:cs="Arial"/>
          <w:snapToGrid w:val="0"/>
          <w:szCs w:val="24"/>
          <w:lang w:val="en-GB"/>
        </w:rPr>
        <w:t xml:space="preserve">severe impacts on quality of life, including sleep, comfort, and wellbeing. The PBAC considered </w:t>
      </w:r>
      <w:r w:rsidR="00691AEE">
        <w:rPr>
          <w:rFonts w:eastAsia="Times New Roman" w:cs="Arial"/>
          <w:snapToGrid w:val="0"/>
          <w:szCs w:val="24"/>
          <w:lang w:val="en-GB"/>
        </w:rPr>
        <w:t xml:space="preserve">that </w:t>
      </w:r>
      <w:r w:rsidR="000E6962" w:rsidRPr="00A72EF3">
        <w:rPr>
          <w:rFonts w:eastAsia="Times New Roman" w:cs="Arial"/>
          <w:snapToGrid w:val="0"/>
          <w:szCs w:val="24"/>
          <w:lang w:val="en-GB"/>
        </w:rPr>
        <w:t xml:space="preserve">there is </w:t>
      </w:r>
      <w:r w:rsidRPr="00A72EF3">
        <w:rPr>
          <w:rFonts w:eastAsia="Times New Roman" w:cs="Arial"/>
          <w:snapToGrid w:val="0"/>
          <w:szCs w:val="24"/>
          <w:lang w:val="en-GB"/>
        </w:rPr>
        <w:t>evidence that odevixibat can reduce itching more than current standard</w:t>
      </w:r>
      <w:r w:rsidR="000E6962" w:rsidRPr="00A72EF3">
        <w:rPr>
          <w:rFonts w:eastAsia="Times New Roman" w:cs="Arial"/>
          <w:snapToGrid w:val="0"/>
          <w:szCs w:val="24"/>
          <w:lang w:val="en-GB"/>
        </w:rPr>
        <w:t xml:space="preserve"> of care</w:t>
      </w:r>
      <w:r w:rsidRPr="00A72EF3">
        <w:rPr>
          <w:rFonts w:eastAsia="Times New Roman" w:cs="Arial"/>
          <w:snapToGrid w:val="0"/>
          <w:szCs w:val="24"/>
          <w:lang w:val="en-GB"/>
        </w:rPr>
        <w:t xml:space="preserve"> </w:t>
      </w:r>
      <w:r w:rsidR="00B65815">
        <w:rPr>
          <w:rFonts w:eastAsia="Times New Roman" w:cs="Arial"/>
          <w:snapToGrid w:val="0"/>
          <w:szCs w:val="24"/>
          <w:lang w:val="en-GB"/>
        </w:rPr>
        <w:t xml:space="preserve">(SoC) </w:t>
      </w:r>
      <w:r w:rsidRPr="00A72EF3">
        <w:rPr>
          <w:rFonts w:eastAsia="Times New Roman" w:cs="Arial"/>
          <w:snapToGrid w:val="0"/>
          <w:szCs w:val="24"/>
          <w:lang w:val="en-GB"/>
        </w:rPr>
        <w:t xml:space="preserve">treatments for some patients with ALGS. However, the PBAC noted that odevixibat </w:t>
      </w:r>
      <w:r w:rsidR="001E152B" w:rsidRPr="00A72EF3">
        <w:rPr>
          <w:rFonts w:eastAsia="Times New Roman" w:cs="Arial"/>
          <w:snapToGrid w:val="0"/>
          <w:szCs w:val="24"/>
          <w:lang w:val="en-GB"/>
        </w:rPr>
        <w:t>is not</w:t>
      </w:r>
      <w:r w:rsidRPr="00A72EF3">
        <w:rPr>
          <w:rFonts w:eastAsia="Times New Roman" w:cs="Arial"/>
          <w:snapToGrid w:val="0"/>
          <w:szCs w:val="24"/>
          <w:lang w:val="en-GB"/>
        </w:rPr>
        <w:t xml:space="preserve"> disease</w:t>
      </w:r>
      <w:r w:rsidR="001E152B" w:rsidRPr="00A72EF3">
        <w:rPr>
          <w:rFonts w:eastAsia="Times New Roman" w:cs="Arial"/>
          <w:snapToGrid w:val="0"/>
          <w:szCs w:val="24"/>
          <w:lang w:val="en-GB"/>
        </w:rPr>
        <w:t>-modifying</w:t>
      </w:r>
      <w:r w:rsidRPr="00A72EF3">
        <w:rPr>
          <w:rFonts w:eastAsia="Times New Roman" w:cs="Arial"/>
          <w:snapToGrid w:val="0"/>
          <w:szCs w:val="24"/>
          <w:lang w:val="en-GB"/>
        </w:rPr>
        <w:t xml:space="preserve">, and </w:t>
      </w:r>
      <w:r w:rsidR="00C37B33">
        <w:rPr>
          <w:rFonts w:eastAsia="Times New Roman" w:cs="Arial"/>
          <w:snapToGrid w:val="0"/>
          <w:szCs w:val="24"/>
          <w:lang w:val="en-GB"/>
        </w:rPr>
        <w:t>no</w:t>
      </w:r>
      <w:r w:rsidRPr="00A72EF3">
        <w:rPr>
          <w:rFonts w:eastAsia="Times New Roman" w:cs="Arial"/>
          <w:snapToGrid w:val="0"/>
          <w:szCs w:val="24"/>
          <w:lang w:val="en-GB"/>
        </w:rPr>
        <w:t xml:space="preserve"> evidence </w:t>
      </w:r>
      <w:r w:rsidR="00C37B33">
        <w:rPr>
          <w:rFonts w:eastAsia="Times New Roman" w:cs="Arial"/>
          <w:snapToGrid w:val="0"/>
          <w:szCs w:val="24"/>
          <w:lang w:val="en-GB"/>
        </w:rPr>
        <w:t xml:space="preserve">was </w:t>
      </w:r>
      <w:r w:rsidR="00B65815">
        <w:rPr>
          <w:rFonts w:eastAsia="Times New Roman" w:cs="Arial"/>
          <w:snapToGrid w:val="0"/>
          <w:szCs w:val="24"/>
          <w:lang w:val="en-GB"/>
        </w:rPr>
        <w:t xml:space="preserve">presented </w:t>
      </w:r>
      <w:r w:rsidRPr="00A72EF3">
        <w:rPr>
          <w:rFonts w:eastAsia="Times New Roman" w:cs="Arial"/>
          <w:snapToGrid w:val="0"/>
          <w:szCs w:val="24"/>
          <w:lang w:val="en-GB"/>
        </w:rPr>
        <w:t xml:space="preserve">to support </w:t>
      </w:r>
      <w:r w:rsidR="005F60DE" w:rsidRPr="00A72EF3">
        <w:rPr>
          <w:rFonts w:eastAsia="Times New Roman" w:cs="Arial"/>
          <w:snapToGrid w:val="0"/>
          <w:szCs w:val="24"/>
          <w:lang w:val="en-GB"/>
        </w:rPr>
        <w:t xml:space="preserve">survival </w:t>
      </w:r>
      <w:r w:rsidRPr="00A72EF3">
        <w:rPr>
          <w:rFonts w:eastAsia="Times New Roman" w:cs="Arial"/>
          <w:snapToGrid w:val="0"/>
          <w:szCs w:val="24"/>
          <w:lang w:val="en-GB"/>
        </w:rPr>
        <w:t>benefit. Additionally, the long</w:t>
      </w:r>
      <w:r w:rsidRPr="00A72EF3">
        <w:rPr>
          <w:rFonts w:ascii="Cambria Math" w:eastAsia="Times New Roman" w:hAnsi="Cambria Math" w:cs="Cambria Math"/>
          <w:snapToGrid w:val="0"/>
          <w:szCs w:val="24"/>
          <w:lang w:val="en-GB"/>
        </w:rPr>
        <w:t>‑</w:t>
      </w:r>
      <w:r w:rsidRPr="00A72EF3">
        <w:rPr>
          <w:rFonts w:eastAsia="Times New Roman" w:cs="Arial"/>
          <w:snapToGrid w:val="0"/>
          <w:szCs w:val="24"/>
          <w:lang w:val="en-GB"/>
        </w:rPr>
        <w:t>term benefits remain uncertain.</w:t>
      </w:r>
      <w:r w:rsidR="005F60DE" w:rsidRPr="00A72EF3">
        <w:rPr>
          <w:rFonts w:eastAsia="Times New Roman" w:cs="Arial"/>
          <w:snapToGrid w:val="0"/>
          <w:szCs w:val="24"/>
          <w:lang w:val="en-GB"/>
        </w:rPr>
        <w:t xml:space="preserve"> </w:t>
      </w:r>
      <w:r w:rsidRPr="00A72EF3">
        <w:rPr>
          <w:rFonts w:eastAsia="Times New Roman" w:cs="Arial"/>
          <w:snapToGrid w:val="0"/>
          <w:szCs w:val="24"/>
          <w:lang w:val="en-GB"/>
        </w:rPr>
        <w:t xml:space="preserve">The PBAC </w:t>
      </w:r>
      <w:r w:rsidR="005F60DE" w:rsidRPr="00A72EF3">
        <w:rPr>
          <w:rFonts w:eastAsia="Times New Roman" w:cs="Arial"/>
          <w:snapToGrid w:val="0"/>
          <w:szCs w:val="24"/>
          <w:lang w:val="en-GB"/>
        </w:rPr>
        <w:t xml:space="preserve">considered </w:t>
      </w:r>
      <w:r w:rsidRPr="00A72EF3">
        <w:rPr>
          <w:rFonts w:eastAsia="Times New Roman" w:cs="Arial"/>
          <w:snapToGrid w:val="0"/>
          <w:szCs w:val="24"/>
          <w:lang w:val="en-GB"/>
        </w:rPr>
        <w:t xml:space="preserve">the economic model </w:t>
      </w:r>
      <w:r w:rsidR="00867D19" w:rsidRPr="00A72EF3">
        <w:rPr>
          <w:rFonts w:eastAsia="Times New Roman" w:cs="Arial"/>
          <w:snapToGrid w:val="0"/>
          <w:szCs w:val="24"/>
          <w:lang w:val="en-GB"/>
        </w:rPr>
        <w:t>to be un</w:t>
      </w:r>
      <w:r w:rsidRPr="00A72EF3">
        <w:rPr>
          <w:rFonts w:eastAsia="Times New Roman" w:cs="Arial"/>
          <w:snapToGrid w:val="0"/>
          <w:szCs w:val="24"/>
          <w:lang w:val="en-GB"/>
        </w:rPr>
        <w:t xml:space="preserve">reliable due to unsupported </w:t>
      </w:r>
      <w:r w:rsidR="00165296">
        <w:rPr>
          <w:rFonts w:eastAsia="Times New Roman" w:cs="Arial"/>
          <w:snapToGrid w:val="0"/>
          <w:szCs w:val="24"/>
          <w:lang w:val="en-GB"/>
        </w:rPr>
        <w:t xml:space="preserve">and optimistic </w:t>
      </w:r>
      <w:r w:rsidR="00A72EF3">
        <w:rPr>
          <w:rFonts w:eastAsia="Times New Roman" w:cs="Arial"/>
          <w:snapToGrid w:val="0"/>
          <w:szCs w:val="24"/>
          <w:lang w:val="en-GB"/>
        </w:rPr>
        <w:t xml:space="preserve">structural </w:t>
      </w:r>
      <w:r w:rsidRPr="00A72EF3">
        <w:rPr>
          <w:rFonts w:eastAsia="Times New Roman" w:cs="Arial"/>
          <w:snapToGrid w:val="0"/>
          <w:szCs w:val="24"/>
          <w:lang w:val="en-GB"/>
        </w:rPr>
        <w:t>assumptions</w:t>
      </w:r>
      <w:r w:rsidR="00A72EF3">
        <w:rPr>
          <w:rFonts w:eastAsia="Times New Roman" w:cs="Arial"/>
          <w:snapToGrid w:val="0"/>
          <w:szCs w:val="24"/>
          <w:lang w:val="en-GB"/>
        </w:rPr>
        <w:t xml:space="preserve"> and inputs</w:t>
      </w:r>
      <w:r w:rsidR="004E2C10">
        <w:rPr>
          <w:rFonts w:eastAsia="Times New Roman" w:cs="Arial"/>
          <w:snapToGrid w:val="0"/>
          <w:szCs w:val="24"/>
          <w:lang w:val="en-GB"/>
        </w:rPr>
        <w:t>.</w:t>
      </w:r>
      <w:r w:rsidR="008B6633">
        <w:rPr>
          <w:rFonts w:eastAsia="Times New Roman" w:cs="Arial"/>
          <w:snapToGrid w:val="0"/>
          <w:szCs w:val="24"/>
          <w:lang w:val="en-GB"/>
        </w:rPr>
        <w:t xml:space="preserve"> </w:t>
      </w:r>
      <w:r w:rsidR="00EB3BC5">
        <w:rPr>
          <w:rFonts w:eastAsia="Times New Roman" w:cs="Arial"/>
          <w:snapToGrid w:val="0"/>
          <w:szCs w:val="24"/>
          <w:lang w:val="en-GB"/>
        </w:rPr>
        <w:t xml:space="preserve">The PBAC considered that </w:t>
      </w:r>
      <w:r w:rsidR="00110B13">
        <w:rPr>
          <w:rFonts w:eastAsia="Times New Roman" w:cs="Arial"/>
          <w:snapToGrid w:val="0"/>
          <w:szCs w:val="24"/>
          <w:lang w:val="en-GB"/>
        </w:rPr>
        <w:t>odevixibat</w:t>
      </w:r>
      <w:r w:rsidR="00EB3BC5">
        <w:rPr>
          <w:rFonts w:eastAsia="Times New Roman" w:cs="Arial"/>
          <w:snapToGrid w:val="0"/>
          <w:szCs w:val="24"/>
          <w:lang w:val="en-GB"/>
        </w:rPr>
        <w:t xml:space="preserve"> would be cost</w:t>
      </w:r>
      <w:r w:rsidR="00A04C4C">
        <w:rPr>
          <w:rFonts w:eastAsia="Times New Roman" w:cs="Arial"/>
          <w:snapToGrid w:val="0"/>
          <w:szCs w:val="24"/>
          <w:lang w:val="en-GB"/>
        </w:rPr>
        <w:t>-</w:t>
      </w:r>
      <w:r w:rsidR="00EB3BC5">
        <w:rPr>
          <w:rFonts w:eastAsia="Times New Roman" w:cs="Arial"/>
          <w:snapToGrid w:val="0"/>
          <w:szCs w:val="24"/>
          <w:lang w:val="en-GB"/>
        </w:rPr>
        <w:t xml:space="preserve">effective </w:t>
      </w:r>
      <w:r w:rsidR="00110B13">
        <w:rPr>
          <w:rFonts w:eastAsia="Times New Roman" w:cs="Arial"/>
          <w:snapToGrid w:val="0"/>
          <w:szCs w:val="24"/>
          <w:lang w:val="en-GB"/>
        </w:rPr>
        <w:t>for</w:t>
      </w:r>
      <w:r w:rsidR="00EB3BC5">
        <w:rPr>
          <w:rFonts w:eastAsia="Times New Roman" w:cs="Arial"/>
          <w:snapToGrid w:val="0"/>
          <w:szCs w:val="24"/>
          <w:lang w:val="en-GB"/>
        </w:rPr>
        <w:t xml:space="preserve"> ALGS </w:t>
      </w:r>
      <w:r w:rsidR="00110B13">
        <w:rPr>
          <w:rFonts w:eastAsia="Times New Roman" w:cs="Arial"/>
          <w:snapToGrid w:val="0"/>
          <w:szCs w:val="24"/>
          <w:lang w:val="en-GB"/>
        </w:rPr>
        <w:t>at</w:t>
      </w:r>
      <w:r w:rsidR="00E56A8C">
        <w:rPr>
          <w:rFonts w:eastAsia="Times New Roman" w:cs="Arial"/>
          <w:snapToGrid w:val="0"/>
          <w:szCs w:val="24"/>
          <w:lang w:val="en-GB"/>
        </w:rPr>
        <w:t xml:space="preserve"> </w:t>
      </w:r>
      <w:r w:rsidR="001048E2">
        <w:rPr>
          <w:rFonts w:eastAsia="Times New Roman" w:cs="Arial"/>
          <w:snapToGrid w:val="0"/>
          <w:szCs w:val="24"/>
          <w:lang w:val="en-GB"/>
        </w:rPr>
        <w:t xml:space="preserve">a </w:t>
      </w:r>
      <w:r w:rsidR="00E56A8C">
        <w:rPr>
          <w:rFonts w:eastAsia="Times New Roman" w:cs="Arial"/>
          <w:snapToGrid w:val="0"/>
          <w:szCs w:val="24"/>
          <w:lang w:val="en-GB"/>
        </w:rPr>
        <w:t xml:space="preserve">cost per patient per year </w:t>
      </w:r>
      <w:r w:rsidR="001048E2">
        <w:rPr>
          <w:rFonts w:eastAsia="Times New Roman" w:cs="Arial"/>
          <w:snapToGrid w:val="0"/>
          <w:szCs w:val="24"/>
          <w:lang w:val="en-GB"/>
        </w:rPr>
        <w:t xml:space="preserve">no higher than for </w:t>
      </w:r>
      <w:r w:rsidR="00E56A8C">
        <w:rPr>
          <w:rFonts w:eastAsia="Times New Roman" w:cs="Arial"/>
          <w:snapToGrid w:val="0"/>
          <w:szCs w:val="24"/>
          <w:lang w:val="en-GB"/>
        </w:rPr>
        <w:t xml:space="preserve">PFIC. </w:t>
      </w:r>
      <w:r w:rsidR="00A72EF3" w:rsidRPr="00A72EF3">
        <w:rPr>
          <w:snapToGrid w:val="0"/>
          <w:lang w:val="en-GB"/>
        </w:rPr>
        <w:t xml:space="preserve">The PBAC </w:t>
      </w:r>
      <w:r w:rsidR="00BD5B18">
        <w:rPr>
          <w:snapToGrid w:val="0"/>
          <w:lang w:val="en-GB"/>
        </w:rPr>
        <w:t xml:space="preserve">considered the financial estimates </w:t>
      </w:r>
      <w:r w:rsidR="009D0BF3">
        <w:rPr>
          <w:snapToGrid w:val="0"/>
          <w:lang w:val="en-GB"/>
        </w:rPr>
        <w:t xml:space="preserve">need to </w:t>
      </w:r>
      <w:r w:rsidR="000565D0">
        <w:rPr>
          <w:snapToGrid w:val="0"/>
          <w:lang w:val="en-GB"/>
        </w:rPr>
        <w:t xml:space="preserve">be </w:t>
      </w:r>
      <w:r w:rsidR="009D0BF3">
        <w:rPr>
          <w:snapToGrid w:val="0"/>
          <w:lang w:val="en-GB"/>
        </w:rPr>
        <w:t>revised.</w:t>
      </w:r>
      <w:r w:rsidR="008B6633">
        <w:rPr>
          <w:snapToGrid w:val="0"/>
          <w:lang w:val="en-GB"/>
        </w:rPr>
        <w:t xml:space="preserve"> </w:t>
      </w:r>
      <w:r w:rsidR="00746B83">
        <w:rPr>
          <w:snapToGrid w:val="0"/>
          <w:lang w:val="en-GB"/>
        </w:rPr>
        <w:t xml:space="preserve">The PBAC </w:t>
      </w:r>
      <w:r w:rsidR="002A2BE3">
        <w:rPr>
          <w:snapToGrid w:val="0"/>
          <w:lang w:val="en-GB"/>
        </w:rPr>
        <w:t>considered that a risk sharing arrangement (RSA) would be required</w:t>
      </w:r>
      <w:r w:rsidR="00A72EF3" w:rsidRPr="00A72EF3">
        <w:rPr>
          <w:snapToGrid w:val="0"/>
          <w:lang w:val="en-GB"/>
        </w:rPr>
        <w:t>.</w:t>
      </w:r>
    </w:p>
    <w:p w14:paraId="77D93FC8" w14:textId="0A80FD5B" w:rsidR="00484CB8" w:rsidRPr="00BC5F8F" w:rsidRDefault="00D269E3" w:rsidP="008B6633">
      <w:pPr>
        <w:pStyle w:val="3-BodyText"/>
        <w:rPr>
          <w:rFonts w:eastAsia="Times New Roman" w:cs="Arial"/>
          <w:bCs/>
          <w:iCs/>
          <w:snapToGrid w:val="0"/>
          <w:szCs w:val="24"/>
        </w:rPr>
      </w:pPr>
      <w:r w:rsidRPr="00BC5F8F">
        <w:rPr>
          <w:snapToGrid w:val="0"/>
        </w:rPr>
        <w:t xml:space="preserve">The PBAC acknowledged the input from </w:t>
      </w:r>
      <w:r w:rsidR="001215D9">
        <w:rPr>
          <w:snapToGrid w:val="0"/>
        </w:rPr>
        <w:t>consumers</w:t>
      </w:r>
      <w:r w:rsidRPr="00BC5F8F">
        <w:rPr>
          <w:snapToGrid w:val="0"/>
        </w:rPr>
        <w:t>, healthcare professionals and organisations</w:t>
      </w:r>
      <w:r w:rsidR="0037726B" w:rsidRPr="00BC5F8F">
        <w:rPr>
          <w:snapToGrid w:val="0"/>
        </w:rPr>
        <w:t xml:space="preserve"> describing the</w:t>
      </w:r>
      <w:r w:rsidR="001215D9">
        <w:rPr>
          <w:snapToGrid w:val="0"/>
        </w:rPr>
        <w:t xml:space="preserve"> substantial</w:t>
      </w:r>
      <w:r w:rsidR="0037726B" w:rsidRPr="00BC5F8F">
        <w:rPr>
          <w:snapToGrid w:val="0"/>
        </w:rPr>
        <w:t xml:space="preserve"> burden of cholestatic pruritus in ALGS</w:t>
      </w:r>
      <w:r w:rsidR="00340C3C">
        <w:rPr>
          <w:snapToGrid w:val="0"/>
        </w:rPr>
        <w:t xml:space="preserve"> in this vulnerable population</w:t>
      </w:r>
      <w:r w:rsidR="001E47EB" w:rsidRPr="00BC5F8F">
        <w:rPr>
          <w:snapToGrid w:val="0"/>
        </w:rPr>
        <w:t xml:space="preserve">. </w:t>
      </w:r>
      <w:r w:rsidR="00465C9B">
        <w:rPr>
          <w:snapToGrid w:val="0"/>
        </w:rPr>
        <w:t xml:space="preserve">The PBAC noted that </w:t>
      </w:r>
      <w:r w:rsidR="001E47EB" w:rsidRPr="00BC5F8F">
        <w:rPr>
          <w:snapToGrid w:val="0"/>
        </w:rPr>
        <w:t>that persistent and severe pruritus may significantly impair sleep, schooling, development, family functioning and mental health, and that</w:t>
      </w:r>
      <w:r w:rsidR="00465C9B">
        <w:rPr>
          <w:snapToGrid w:val="0"/>
        </w:rPr>
        <w:t xml:space="preserve"> </w:t>
      </w:r>
      <w:r w:rsidR="001E47EB" w:rsidRPr="00BC5F8F">
        <w:rPr>
          <w:snapToGrid w:val="0"/>
        </w:rPr>
        <w:t xml:space="preserve">intractable pruritus </w:t>
      </w:r>
      <w:r w:rsidR="00465C9B" w:rsidRPr="00BC5F8F">
        <w:rPr>
          <w:snapToGrid w:val="0"/>
        </w:rPr>
        <w:t xml:space="preserve">in children </w:t>
      </w:r>
      <w:r w:rsidR="001E47EB" w:rsidRPr="00BC5F8F">
        <w:rPr>
          <w:snapToGrid w:val="0"/>
        </w:rPr>
        <w:t xml:space="preserve">can be a reason for liver transplantation in the absence of liver failure. The PBAC </w:t>
      </w:r>
      <w:r w:rsidR="0087420C" w:rsidRPr="00BC5F8F">
        <w:rPr>
          <w:snapToGrid w:val="0"/>
        </w:rPr>
        <w:t xml:space="preserve">noted that </w:t>
      </w:r>
      <w:r w:rsidR="00BC5F8F" w:rsidRPr="00BC5F8F">
        <w:rPr>
          <w:snapToGrid w:val="0"/>
        </w:rPr>
        <w:t xml:space="preserve">current treatments </w:t>
      </w:r>
      <w:r w:rsidR="00235696">
        <w:rPr>
          <w:snapToGrid w:val="0"/>
        </w:rPr>
        <w:t xml:space="preserve">for this condition are not PBS listed, and </w:t>
      </w:r>
      <w:r w:rsidR="006E34E4">
        <w:rPr>
          <w:snapToGrid w:val="0"/>
        </w:rPr>
        <w:t>are non-specific</w:t>
      </w:r>
      <w:r w:rsidR="00980D7D">
        <w:rPr>
          <w:snapToGrid w:val="0"/>
        </w:rPr>
        <w:t xml:space="preserve">, with </w:t>
      </w:r>
      <w:r w:rsidR="00BC5F8F" w:rsidRPr="00BC5F8F">
        <w:rPr>
          <w:snapToGrid w:val="0"/>
        </w:rPr>
        <w:t>limited effectiveness</w:t>
      </w:r>
      <w:r w:rsidR="00980D7D">
        <w:rPr>
          <w:snapToGrid w:val="0"/>
        </w:rPr>
        <w:t xml:space="preserve">. Therefore, the PBAC </w:t>
      </w:r>
      <w:r w:rsidR="002D7DC8">
        <w:rPr>
          <w:snapToGrid w:val="0"/>
        </w:rPr>
        <w:t xml:space="preserve">considered </w:t>
      </w:r>
      <w:r w:rsidR="00BC5F8F" w:rsidRPr="00BC5F8F">
        <w:rPr>
          <w:snapToGrid w:val="0"/>
        </w:rPr>
        <w:t xml:space="preserve">that there is </w:t>
      </w:r>
      <w:r w:rsidR="00BC5F8F">
        <w:rPr>
          <w:snapToGrid w:val="0"/>
        </w:rPr>
        <w:t>a</w:t>
      </w:r>
      <w:r w:rsidR="0062657A" w:rsidRPr="00BC5F8F">
        <w:rPr>
          <w:rFonts w:eastAsia="Times New Roman" w:cs="Arial"/>
          <w:snapToGrid w:val="0"/>
          <w:szCs w:val="24"/>
          <w:lang w:val="en-GB"/>
        </w:rPr>
        <w:t xml:space="preserve"> high unmet clinical need </w:t>
      </w:r>
      <w:r w:rsidR="002D7DC8">
        <w:rPr>
          <w:rFonts w:eastAsia="Times New Roman" w:cs="Arial"/>
          <w:snapToGrid w:val="0"/>
          <w:szCs w:val="24"/>
          <w:lang w:val="en-GB"/>
        </w:rPr>
        <w:t>in</w:t>
      </w:r>
      <w:r w:rsidR="0062657A" w:rsidRPr="00BC5F8F">
        <w:rPr>
          <w:rFonts w:eastAsia="Times New Roman" w:cs="Arial"/>
          <w:snapToGrid w:val="0"/>
          <w:szCs w:val="24"/>
          <w:lang w:val="en-GB"/>
        </w:rPr>
        <w:t xml:space="preserve"> this rare genetic condition.</w:t>
      </w:r>
    </w:p>
    <w:p w14:paraId="76FA64B4" w14:textId="1D537B67" w:rsidR="006B6F23" w:rsidRDefault="0064551E" w:rsidP="008B6633">
      <w:pPr>
        <w:numPr>
          <w:ilvl w:val="1"/>
          <w:numId w:val="1"/>
        </w:numPr>
        <w:spacing w:after="120"/>
        <w:rPr>
          <w:snapToGrid w:val="0"/>
          <w:lang w:val="en-GB"/>
        </w:rPr>
      </w:pPr>
      <w:r w:rsidRPr="0064551E">
        <w:rPr>
          <w:snapToGrid w:val="0"/>
          <w:lang w:val="en-GB"/>
        </w:rPr>
        <w:t>The PBAC considered that odevixibat would be used primarily for the symptomatic management of cholestatic pruritus in ALGS</w:t>
      </w:r>
      <w:r w:rsidR="0071057D">
        <w:rPr>
          <w:snapToGrid w:val="0"/>
          <w:lang w:val="en-GB"/>
        </w:rPr>
        <w:t xml:space="preserve">, </w:t>
      </w:r>
      <w:r w:rsidR="00D61C89">
        <w:rPr>
          <w:snapToGrid w:val="0"/>
          <w:lang w:val="en-GB"/>
        </w:rPr>
        <w:t xml:space="preserve">noting that </w:t>
      </w:r>
      <w:r w:rsidR="00D61C89" w:rsidRPr="0064551E">
        <w:rPr>
          <w:snapToGrid w:val="0"/>
          <w:lang w:val="en-GB"/>
        </w:rPr>
        <w:t xml:space="preserve">odevixibat </w:t>
      </w:r>
      <w:r w:rsidR="0071057D">
        <w:rPr>
          <w:snapToGrid w:val="0"/>
          <w:lang w:val="en-GB"/>
        </w:rPr>
        <w:t xml:space="preserve">is not considered to be </w:t>
      </w:r>
      <w:r w:rsidRPr="0064551E">
        <w:rPr>
          <w:snapToGrid w:val="0"/>
          <w:lang w:val="en-GB"/>
        </w:rPr>
        <w:t>disease</w:t>
      </w:r>
      <w:r w:rsidRPr="0064551E">
        <w:rPr>
          <w:rFonts w:ascii="Cambria Math" w:hAnsi="Cambria Math" w:cs="Cambria Math"/>
          <w:snapToGrid w:val="0"/>
          <w:lang w:val="en-GB"/>
        </w:rPr>
        <w:t>‑</w:t>
      </w:r>
      <w:r w:rsidRPr="0064551E">
        <w:rPr>
          <w:snapToGrid w:val="0"/>
          <w:lang w:val="en-GB"/>
        </w:rPr>
        <w:t xml:space="preserve">modifying </w:t>
      </w:r>
      <w:r w:rsidR="008D10C9">
        <w:rPr>
          <w:snapToGrid w:val="0"/>
          <w:lang w:val="en-GB"/>
        </w:rPr>
        <w:t xml:space="preserve">in ALGS </w:t>
      </w:r>
      <w:r w:rsidRPr="0064551E">
        <w:rPr>
          <w:snapToGrid w:val="0"/>
          <w:lang w:val="en-GB"/>
        </w:rPr>
        <w:t>and its impact on underlying liver disease progression or long</w:t>
      </w:r>
      <w:r w:rsidRPr="0064551E">
        <w:rPr>
          <w:rFonts w:ascii="Cambria Math" w:hAnsi="Cambria Math" w:cs="Cambria Math"/>
          <w:snapToGrid w:val="0"/>
          <w:lang w:val="en-GB"/>
        </w:rPr>
        <w:t>‑</w:t>
      </w:r>
      <w:r w:rsidRPr="0064551E">
        <w:rPr>
          <w:snapToGrid w:val="0"/>
          <w:lang w:val="en-GB"/>
        </w:rPr>
        <w:t>term outcomes</w:t>
      </w:r>
      <w:r w:rsidR="008637B8">
        <w:rPr>
          <w:snapToGrid w:val="0"/>
          <w:lang w:val="en-GB"/>
        </w:rPr>
        <w:t xml:space="preserve"> is unclear</w:t>
      </w:r>
      <w:r w:rsidRPr="0064551E">
        <w:rPr>
          <w:snapToGrid w:val="0"/>
          <w:lang w:val="en-GB"/>
        </w:rPr>
        <w:t>.</w:t>
      </w:r>
      <w:r w:rsidR="00F53D21">
        <w:rPr>
          <w:snapToGrid w:val="0"/>
          <w:lang w:val="en-GB"/>
        </w:rPr>
        <w:t xml:space="preserve"> T</w:t>
      </w:r>
      <w:r w:rsidRPr="0064551E">
        <w:rPr>
          <w:snapToGrid w:val="0"/>
          <w:lang w:val="en-GB"/>
        </w:rPr>
        <w:t xml:space="preserve">he PBAC also noted that evidence demonstrating improvements in </w:t>
      </w:r>
      <w:r w:rsidR="00A9259B" w:rsidRPr="0064551E">
        <w:rPr>
          <w:snapToGrid w:val="0"/>
          <w:lang w:val="en-GB"/>
        </w:rPr>
        <w:t>quality-of-life</w:t>
      </w:r>
      <w:r w:rsidRPr="0064551E">
        <w:rPr>
          <w:snapToGrid w:val="0"/>
          <w:lang w:val="en-GB"/>
        </w:rPr>
        <w:t xml:space="preserve"> outcomes with odevixibat was limited and uncertain. </w:t>
      </w:r>
    </w:p>
    <w:p w14:paraId="7666AE6A" w14:textId="3C71D88F" w:rsidR="00E80E1E" w:rsidRPr="00B17279" w:rsidRDefault="00B23C51" w:rsidP="008B6633">
      <w:pPr>
        <w:numPr>
          <w:ilvl w:val="1"/>
          <w:numId w:val="1"/>
        </w:numPr>
        <w:spacing w:after="120"/>
        <w:rPr>
          <w:snapToGrid w:val="0"/>
          <w:lang w:val="en-GB"/>
        </w:rPr>
      </w:pPr>
      <w:r w:rsidRPr="00B17279">
        <w:rPr>
          <w:snapToGrid w:val="0"/>
          <w:lang w:val="en-GB"/>
        </w:rPr>
        <w:t>The PBAC considered that the proposed c</w:t>
      </w:r>
      <w:r w:rsidR="00EF00F3" w:rsidRPr="00B17279">
        <w:rPr>
          <w:rFonts w:asciiTheme="minorHAnsi" w:hAnsiTheme="minorHAnsi"/>
          <w:snapToGrid w:val="0"/>
          <w:lang w:val="en-GB"/>
        </w:rPr>
        <w:t>omparator</w:t>
      </w:r>
      <w:r w:rsidRPr="00B17279">
        <w:rPr>
          <w:rFonts w:asciiTheme="minorHAnsi" w:hAnsiTheme="minorHAnsi"/>
          <w:snapToGrid w:val="0"/>
          <w:lang w:val="en-GB"/>
        </w:rPr>
        <w:t>, SoC</w:t>
      </w:r>
      <w:r w:rsidR="006B6F23" w:rsidRPr="00B17279">
        <w:t>, including medicines used off-label (UDCA, rifampicin and cholestyramine) and surgical procedures (</w:t>
      </w:r>
      <w:r w:rsidR="007237E4" w:rsidRPr="00B17279">
        <w:t>biliary diversion surgery [SBD] and liver transplant [LT]</w:t>
      </w:r>
      <w:r w:rsidR="002F6F16" w:rsidRPr="00B17279">
        <w:t xml:space="preserve">), </w:t>
      </w:r>
      <w:r w:rsidR="002F6F16" w:rsidRPr="00B17279">
        <w:rPr>
          <w:rFonts w:asciiTheme="minorHAnsi" w:hAnsiTheme="minorHAnsi"/>
          <w:snapToGrid w:val="0"/>
          <w:lang w:val="en-GB"/>
        </w:rPr>
        <w:t>was</w:t>
      </w:r>
      <w:r w:rsidRPr="00B17279">
        <w:rPr>
          <w:rFonts w:asciiTheme="minorHAnsi" w:hAnsiTheme="minorHAnsi"/>
          <w:snapToGrid w:val="0"/>
          <w:lang w:val="en-GB"/>
        </w:rPr>
        <w:t xml:space="preserve"> </w:t>
      </w:r>
      <w:r w:rsidR="006D736E" w:rsidRPr="00B17279">
        <w:rPr>
          <w:rFonts w:asciiTheme="minorHAnsi" w:hAnsiTheme="minorHAnsi"/>
          <w:snapToGrid w:val="0"/>
          <w:lang w:val="en-GB"/>
        </w:rPr>
        <w:t>reasonable</w:t>
      </w:r>
      <w:r w:rsidR="006B6F23" w:rsidRPr="00B17279">
        <w:rPr>
          <w:rFonts w:asciiTheme="minorHAnsi" w:hAnsiTheme="minorHAnsi"/>
          <w:snapToGrid w:val="0"/>
          <w:lang w:val="en-GB"/>
        </w:rPr>
        <w:t xml:space="preserve">. </w:t>
      </w:r>
    </w:p>
    <w:p w14:paraId="1E36BEBF" w14:textId="2C71487A" w:rsidR="00C009CF" w:rsidRPr="00C009CF" w:rsidRDefault="00C009CF" w:rsidP="008B6633">
      <w:pPr>
        <w:numPr>
          <w:ilvl w:val="1"/>
          <w:numId w:val="1"/>
        </w:numPr>
        <w:spacing w:after="120"/>
        <w:rPr>
          <w:rFonts w:eastAsiaTheme="minorHAnsi" w:cstheme="minorBidi"/>
          <w:szCs w:val="22"/>
          <w:lang w:val="en-GB"/>
        </w:rPr>
      </w:pPr>
      <w:bookmarkStart w:id="95" w:name="_Ref227068461"/>
      <w:r w:rsidRPr="00C009CF">
        <w:rPr>
          <w:rFonts w:eastAsiaTheme="minorHAnsi" w:cstheme="minorBidi"/>
          <w:szCs w:val="22"/>
          <w:lang w:val="en-GB"/>
        </w:rPr>
        <w:t xml:space="preserve">The PBAC noted that the proposed restrictions were broadly consistent with the listing for </w:t>
      </w:r>
      <w:r w:rsidRPr="00C009CF">
        <w:rPr>
          <w:rFonts w:asciiTheme="minorHAnsi" w:hAnsiTheme="minorHAnsi"/>
          <w:snapToGrid w:val="0"/>
          <w:lang w:val="en-GB"/>
        </w:rPr>
        <w:t>PFIC</w:t>
      </w:r>
      <w:r w:rsidR="007E7474">
        <w:rPr>
          <w:rFonts w:eastAsiaTheme="minorHAnsi" w:cstheme="minorBidi"/>
          <w:szCs w:val="22"/>
          <w:lang w:val="en-GB"/>
        </w:rPr>
        <w:t>.</w:t>
      </w:r>
      <w:r w:rsidRPr="00C009CF">
        <w:rPr>
          <w:rFonts w:eastAsiaTheme="minorHAnsi" w:cstheme="minorBidi"/>
          <w:szCs w:val="22"/>
          <w:lang w:val="en-GB"/>
        </w:rPr>
        <w:t xml:space="preserve"> While noting that the restrictions set a relatively low threshold for continuation of therapy in ALGS, the PBAC considered that, given this alignment, the following would be appropriate:</w:t>
      </w:r>
      <w:bookmarkEnd w:id="95"/>
    </w:p>
    <w:p w14:paraId="56A5F532" w14:textId="40D56ED3" w:rsidR="00E36F72" w:rsidRPr="00B14D8E" w:rsidRDefault="00E36F72" w:rsidP="008B6633">
      <w:pPr>
        <w:pStyle w:val="ListParagraph"/>
      </w:pPr>
      <w:r w:rsidRPr="00B14D8E">
        <w:t>Age agnostic</w:t>
      </w:r>
      <w:r w:rsidR="00A72EF3">
        <w:t>.</w:t>
      </w:r>
    </w:p>
    <w:p w14:paraId="077121AE" w14:textId="714AE191" w:rsidR="00E36F72" w:rsidRDefault="00E36F72" w:rsidP="008B6633">
      <w:pPr>
        <w:pStyle w:val="ListParagraph"/>
      </w:pPr>
      <w:r>
        <w:t>No requirement for genetic testing</w:t>
      </w:r>
      <w:r w:rsidR="00165296">
        <w:t xml:space="preserve"> for initiation of therapy</w:t>
      </w:r>
      <w:r>
        <w:t xml:space="preserve">. </w:t>
      </w:r>
    </w:p>
    <w:p w14:paraId="74C0BDC1" w14:textId="61AADD24" w:rsidR="00A72EF3" w:rsidRPr="001B137F" w:rsidRDefault="00A72EF3" w:rsidP="008B6633">
      <w:pPr>
        <w:pStyle w:val="ListParagraph"/>
      </w:pPr>
      <w:r w:rsidRPr="001B137F">
        <w:t xml:space="preserve">Written authority for initial and grandfather prescriptions, and telephone authority for continuing prescriptions. </w:t>
      </w:r>
    </w:p>
    <w:p w14:paraId="4AB1E0A3" w14:textId="11125DD4" w:rsidR="007644E8" w:rsidRPr="001B137F" w:rsidRDefault="007644E8" w:rsidP="008B6633">
      <w:pPr>
        <w:pStyle w:val="ListParagraph"/>
      </w:pPr>
      <w:r w:rsidRPr="001B137F">
        <w:lastRenderedPageBreak/>
        <w:t xml:space="preserve">Continuing restriction to include </w:t>
      </w:r>
      <w:r w:rsidR="0082152A" w:rsidRPr="001B137F">
        <w:t xml:space="preserve">requirement for </w:t>
      </w:r>
      <w:r w:rsidRPr="001B137F">
        <w:t>improvement in pruritis score</w:t>
      </w:r>
      <w:r w:rsidR="00E31392" w:rsidRPr="001B137F">
        <w:t xml:space="preserve"> and </w:t>
      </w:r>
      <w:r w:rsidR="008D3857" w:rsidRPr="001B137F">
        <w:t xml:space="preserve">initial restriction to require </w:t>
      </w:r>
      <w:r w:rsidR="00BB4EF1" w:rsidRPr="001B137F">
        <w:t>demonstration</w:t>
      </w:r>
      <w:r w:rsidR="00E31392" w:rsidRPr="001B137F">
        <w:t xml:space="preserve"> of response </w:t>
      </w:r>
      <w:r w:rsidR="00B5693B" w:rsidRPr="001B137F">
        <w:t>by</w:t>
      </w:r>
      <w:r w:rsidR="008137C7" w:rsidRPr="001B137F">
        <w:t xml:space="preserve"> 3 </w:t>
      </w:r>
      <w:r w:rsidR="00EF3946" w:rsidRPr="001B137F">
        <w:t xml:space="preserve">(rather than 6) </w:t>
      </w:r>
      <w:r w:rsidR="008137C7" w:rsidRPr="001B137F">
        <w:t>cumulative months of treatment</w:t>
      </w:r>
      <w:r w:rsidR="00A72EF3" w:rsidRPr="001B137F">
        <w:t>.</w:t>
      </w:r>
    </w:p>
    <w:p w14:paraId="730FA216" w14:textId="2D4A0FB9" w:rsidR="00360085" w:rsidRPr="001452B5" w:rsidRDefault="00360085" w:rsidP="008B6633">
      <w:pPr>
        <w:pStyle w:val="ListParagraph"/>
      </w:pPr>
      <w:r w:rsidRPr="001B137F">
        <w:t xml:space="preserve">2 </w:t>
      </w:r>
      <w:r w:rsidRPr="001452B5">
        <w:t xml:space="preserve">repeats for initial treatment </w:t>
      </w:r>
      <w:r w:rsidR="00EE1FF2" w:rsidRPr="001452B5">
        <w:t xml:space="preserve">listing to allow for 3 months’ initial treatment, as per PFIC. 5 repeats for continuing. </w:t>
      </w:r>
    </w:p>
    <w:p w14:paraId="251EC909" w14:textId="77777777" w:rsidR="001452B5" w:rsidRPr="001452B5" w:rsidRDefault="0066612C" w:rsidP="008B6633">
      <w:pPr>
        <w:pStyle w:val="ListParagraph"/>
      </w:pPr>
      <w:r w:rsidRPr="001452B5">
        <w:t>D</w:t>
      </w:r>
      <w:r w:rsidR="00D2762D" w:rsidRPr="001452B5">
        <w:t xml:space="preserve">ose reductions </w:t>
      </w:r>
      <w:r w:rsidRPr="001452B5">
        <w:t xml:space="preserve">should be allowed </w:t>
      </w:r>
      <w:r w:rsidR="00D2762D" w:rsidRPr="001452B5">
        <w:t xml:space="preserve">in initial and continuing </w:t>
      </w:r>
      <w:r w:rsidR="00FD520E" w:rsidRPr="001452B5">
        <w:t xml:space="preserve">restrictions and patients </w:t>
      </w:r>
      <w:r w:rsidR="00EA43C0" w:rsidRPr="001452B5">
        <w:t xml:space="preserve">should be allowed to continue on the lower dose providing they demonstrate </w:t>
      </w:r>
      <w:r w:rsidR="009004DA" w:rsidRPr="001452B5">
        <w:t>and maintain an</w:t>
      </w:r>
      <w:r w:rsidR="00D2762D" w:rsidRPr="001452B5">
        <w:t xml:space="preserve"> </w:t>
      </w:r>
      <w:r w:rsidR="00FD520E" w:rsidRPr="001452B5">
        <w:t>adequate</w:t>
      </w:r>
      <w:r w:rsidR="00D2762D" w:rsidRPr="001452B5">
        <w:t xml:space="preserve"> clinical response </w:t>
      </w:r>
      <w:r w:rsidR="00035315" w:rsidRPr="001452B5">
        <w:t>(</w:t>
      </w:r>
      <w:r w:rsidR="00D2762D" w:rsidRPr="001452B5">
        <w:t>via</w:t>
      </w:r>
      <w:r w:rsidR="009004DA" w:rsidRPr="001452B5">
        <w:t xml:space="preserve"> the</w:t>
      </w:r>
      <w:r w:rsidR="00D2762D" w:rsidRPr="001452B5">
        <w:t xml:space="preserve"> ObSRO</w:t>
      </w:r>
      <w:r w:rsidR="008B0997" w:rsidRPr="001452B5">
        <w:t xml:space="preserve"> </w:t>
      </w:r>
      <w:r w:rsidR="00D2762D" w:rsidRPr="001452B5">
        <w:t>score</w:t>
      </w:r>
      <w:r w:rsidR="009004DA" w:rsidRPr="001452B5">
        <w:t xml:space="preserve">). </w:t>
      </w:r>
    </w:p>
    <w:p w14:paraId="2A13A7B5" w14:textId="1C516CFA" w:rsidR="00EB5E5B" w:rsidRPr="001B137F" w:rsidRDefault="00EB5E5B" w:rsidP="008B6633">
      <w:pPr>
        <w:pStyle w:val="ListParagraph"/>
      </w:pPr>
      <w:r w:rsidRPr="001452B5">
        <w:t xml:space="preserve">No stopping rule is required providing patients continue to </w:t>
      </w:r>
      <w:r w:rsidR="001519F6">
        <w:t>maintain</w:t>
      </w:r>
      <w:r w:rsidR="001519F6" w:rsidRPr="001452B5">
        <w:t xml:space="preserve"> </w:t>
      </w:r>
      <w:r w:rsidRPr="001452B5">
        <w:t xml:space="preserve">a positive response. </w:t>
      </w:r>
      <w:r w:rsidR="00A958F0" w:rsidRPr="001452B5">
        <w:t>Assessment of response should occur for each continuing prescription</w:t>
      </w:r>
      <w:r w:rsidR="00A958F0" w:rsidRPr="001B137F">
        <w:t xml:space="preserve">. </w:t>
      </w:r>
    </w:p>
    <w:p w14:paraId="5704B75F" w14:textId="01D20273" w:rsidR="00021773" w:rsidRPr="00D6091E" w:rsidRDefault="00181132" w:rsidP="008B6633">
      <w:pPr>
        <w:pStyle w:val="ListParagraph"/>
      </w:pPr>
      <w:r>
        <w:t>Restrictions</w:t>
      </w:r>
      <w:r w:rsidR="00021773">
        <w:t xml:space="preserve"> to specify wh</w:t>
      </w:r>
      <w:r>
        <w:t>ere recommen</w:t>
      </w:r>
      <w:r w:rsidR="003318DD">
        <w:t>c</w:t>
      </w:r>
      <w:r>
        <w:t>e</w:t>
      </w:r>
      <w:r w:rsidR="003318DD">
        <w:t>me</w:t>
      </w:r>
      <w:r>
        <w:t>nt of treatment can occur</w:t>
      </w:r>
      <w:r w:rsidR="00755807">
        <w:t xml:space="preserve"> (i.e., initial </w:t>
      </w:r>
      <w:r w:rsidR="00BA1EB1">
        <w:t xml:space="preserve">criteria </w:t>
      </w:r>
      <w:r w:rsidR="00144FB3">
        <w:t xml:space="preserve">if less than 3 months of treatment </w:t>
      </w:r>
      <w:r w:rsidR="00984D10">
        <w:t xml:space="preserve">received </w:t>
      </w:r>
      <w:r w:rsidR="00755807">
        <w:t>or continuing criteria)</w:t>
      </w:r>
      <w:r w:rsidR="0015448D">
        <w:t xml:space="preserve"> </w:t>
      </w:r>
      <w:r>
        <w:t xml:space="preserve">if treatment is ceased for </w:t>
      </w:r>
      <w:r w:rsidR="003318DD">
        <w:t xml:space="preserve">reasons other than lack of response. </w:t>
      </w:r>
    </w:p>
    <w:p w14:paraId="4CFD69C8" w14:textId="57BBF096" w:rsidR="00D173E9" w:rsidRPr="0077630A" w:rsidRDefault="00C75885" w:rsidP="008B6633">
      <w:pPr>
        <w:pStyle w:val="3-BodyText"/>
        <w:numPr>
          <w:ilvl w:val="1"/>
          <w:numId w:val="1"/>
        </w:numPr>
        <w:spacing w:after="120"/>
        <w:rPr>
          <w:rFonts w:ascii="Calibri" w:eastAsia="Times New Roman" w:hAnsi="Calibri" w:cs="Arial"/>
          <w:szCs w:val="24"/>
        </w:rPr>
      </w:pPr>
      <w:bookmarkStart w:id="96" w:name="_Ref226363427"/>
      <w:bookmarkStart w:id="97" w:name="_Ref227056516"/>
      <w:r w:rsidRPr="000A5E3E">
        <w:t xml:space="preserve">The PBAC noted that the submission relied on </w:t>
      </w:r>
      <w:r w:rsidR="00191097">
        <w:t>a single</w:t>
      </w:r>
      <w:r w:rsidRPr="000A5E3E">
        <w:t xml:space="preserve"> small randomised controlled trial (RCT</w:t>
      </w:r>
      <w:r w:rsidR="00D77320">
        <w:t xml:space="preserve">, </w:t>
      </w:r>
      <w:r w:rsidR="000363B1">
        <w:t>ASSERT</w:t>
      </w:r>
      <w:r w:rsidR="00704743">
        <w:t xml:space="preserve"> n=52</w:t>
      </w:r>
      <w:r w:rsidRPr="000A5E3E">
        <w:t>)</w:t>
      </w:r>
      <w:r w:rsidR="00BB348B">
        <w:t xml:space="preserve"> of odevixibat vs placebo</w:t>
      </w:r>
      <w:r w:rsidRPr="000A5E3E">
        <w:t xml:space="preserve">, supplemented by </w:t>
      </w:r>
      <w:r w:rsidR="00A72EF3">
        <w:t>a 72 week</w:t>
      </w:r>
      <w:r w:rsidR="00A72EF3" w:rsidRPr="000A5E3E">
        <w:t xml:space="preserve"> </w:t>
      </w:r>
      <w:r w:rsidR="00D77320">
        <w:t>single-arm</w:t>
      </w:r>
      <w:r w:rsidR="0063061F">
        <w:t xml:space="preserve"> </w:t>
      </w:r>
      <w:r w:rsidRPr="000A5E3E">
        <w:t>open</w:t>
      </w:r>
      <w:r w:rsidRPr="0077630A">
        <w:rPr>
          <w:rFonts w:ascii="Cambria Math" w:hAnsi="Cambria Math" w:cs="Cambria Math"/>
        </w:rPr>
        <w:t>‑</w:t>
      </w:r>
      <w:r w:rsidRPr="000A5E3E">
        <w:t xml:space="preserve">label extension </w:t>
      </w:r>
      <w:r w:rsidR="0063061F">
        <w:t>(</w:t>
      </w:r>
      <w:r w:rsidR="000363B1">
        <w:t>ASSERT-EXT</w:t>
      </w:r>
      <w:r w:rsidR="0063061F">
        <w:t>)</w:t>
      </w:r>
      <w:r w:rsidR="009F5163">
        <w:t xml:space="preserve">. </w:t>
      </w:r>
      <w:r w:rsidR="0077630A">
        <w:t>The PBAC noted that there was m</w:t>
      </w:r>
      <w:r w:rsidR="0077630A" w:rsidRPr="0077630A">
        <w:t>inimal long</w:t>
      </w:r>
      <w:r w:rsidR="0077630A">
        <w:t>-</w:t>
      </w:r>
      <w:r w:rsidR="0077630A" w:rsidRPr="0077630A">
        <w:t>term comparative efficacy data</w:t>
      </w:r>
      <w:r w:rsidR="0077630A">
        <w:t xml:space="preserve"> (24 weeks), and limited</w:t>
      </w:r>
      <w:r w:rsidR="0077630A" w:rsidRPr="00D173E9">
        <w:rPr>
          <w:rFonts w:ascii="Calibri" w:eastAsia="Times New Roman" w:hAnsi="Calibri" w:cs="Arial"/>
          <w:szCs w:val="24"/>
        </w:rPr>
        <w:t xml:space="preserve"> long</w:t>
      </w:r>
      <w:r w:rsidR="0077630A" w:rsidRPr="0077630A">
        <w:rPr>
          <w:rFonts w:ascii="Calibri" w:eastAsia="Times New Roman" w:hAnsi="Calibri" w:cs="Arial"/>
          <w:szCs w:val="24"/>
        </w:rPr>
        <w:t>-</w:t>
      </w:r>
      <w:r w:rsidR="0077630A" w:rsidRPr="00D173E9">
        <w:rPr>
          <w:rFonts w:ascii="Calibri" w:eastAsia="Times New Roman" w:hAnsi="Calibri" w:cs="Arial"/>
          <w:szCs w:val="24"/>
        </w:rPr>
        <w:t xml:space="preserve">term </w:t>
      </w:r>
      <w:r w:rsidR="0077630A" w:rsidRPr="0077630A">
        <w:rPr>
          <w:rFonts w:ascii="Calibri" w:eastAsia="Times New Roman" w:hAnsi="Calibri" w:cs="Arial"/>
          <w:szCs w:val="24"/>
        </w:rPr>
        <w:t>safety</w:t>
      </w:r>
      <w:r w:rsidR="0077630A" w:rsidRPr="00D173E9">
        <w:rPr>
          <w:rFonts w:ascii="Calibri" w:eastAsia="Times New Roman" w:hAnsi="Calibri" w:cs="Arial"/>
          <w:szCs w:val="24"/>
        </w:rPr>
        <w:t xml:space="preserve"> data</w:t>
      </w:r>
      <w:r w:rsidR="0077630A" w:rsidRPr="0077630A">
        <w:rPr>
          <w:rFonts w:ascii="Calibri" w:eastAsia="Times New Roman" w:hAnsi="Calibri" w:cs="Arial"/>
          <w:szCs w:val="24"/>
        </w:rPr>
        <w:t>, which</w:t>
      </w:r>
      <w:r w:rsidR="005B154C">
        <w:t xml:space="preserve"> </w:t>
      </w:r>
      <w:r w:rsidR="007D6E9D" w:rsidRPr="007D6E9D">
        <w:t>limit</w:t>
      </w:r>
      <w:r w:rsidR="00A70613">
        <w:t>ed</w:t>
      </w:r>
      <w:r w:rsidR="004C49D2">
        <w:t xml:space="preserve"> assessment of </w:t>
      </w:r>
      <w:r w:rsidR="007D6E9D" w:rsidRPr="007D6E9D">
        <w:t>long</w:t>
      </w:r>
      <w:r w:rsidR="007D6E9D" w:rsidRPr="0077630A">
        <w:rPr>
          <w:rFonts w:ascii="Cambria Math" w:hAnsi="Cambria Math" w:cs="Cambria Math"/>
        </w:rPr>
        <w:t>‑</w:t>
      </w:r>
      <w:r w:rsidR="007D6E9D" w:rsidRPr="007D6E9D">
        <w:t>term outcomes</w:t>
      </w:r>
      <w:r w:rsidR="00A97E0F">
        <w:t xml:space="preserve">, </w:t>
      </w:r>
      <w:r w:rsidR="00AD460C">
        <w:t>particularly</w:t>
      </w:r>
      <w:r w:rsidR="00A97E0F">
        <w:t xml:space="preserve"> as </w:t>
      </w:r>
      <w:r w:rsidR="00AD460C">
        <w:t xml:space="preserve">a response was </w:t>
      </w:r>
      <w:r w:rsidR="006D62F1" w:rsidRPr="006D62F1">
        <w:t>observed in the placebo arm</w:t>
      </w:r>
      <w:r w:rsidR="00D173E9">
        <w:t xml:space="preserve">. Further, the PBAC noted </w:t>
      </w:r>
      <w:r w:rsidR="006D62F1" w:rsidRPr="006D62F1">
        <w:t>that clinical outcomes associated with disease progression</w:t>
      </w:r>
      <w:r w:rsidR="00824967">
        <w:t xml:space="preserve"> (</w:t>
      </w:r>
      <w:r w:rsidR="006D62F1" w:rsidRPr="006D62F1">
        <w:t>including native liver survival</w:t>
      </w:r>
      <w:r w:rsidR="00824967">
        <w:t>)</w:t>
      </w:r>
      <w:r w:rsidR="006D46AC">
        <w:t xml:space="preserve"> </w:t>
      </w:r>
      <w:r w:rsidR="00D173E9">
        <w:t>and overall</w:t>
      </w:r>
      <w:r w:rsidR="006D46AC">
        <w:t xml:space="preserve"> </w:t>
      </w:r>
      <w:r w:rsidR="009217EB">
        <w:t>survival</w:t>
      </w:r>
      <w:r w:rsidR="006D62F1" w:rsidRPr="006D62F1">
        <w:t xml:space="preserve"> </w:t>
      </w:r>
      <w:r w:rsidR="00627F23">
        <w:t xml:space="preserve">(OS) </w:t>
      </w:r>
      <w:r w:rsidR="006D62F1" w:rsidRPr="006D62F1">
        <w:t>were not assessed</w:t>
      </w:r>
      <w:r w:rsidR="0077630A">
        <w:t xml:space="preserve">, and </w:t>
      </w:r>
      <w:r w:rsidR="0077630A" w:rsidRPr="0077630A">
        <w:t>that efficacy data were limited to a 120 mcg/kg dose</w:t>
      </w:r>
      <w:r w:rsidR="00FE6FA4">
        <w:t>,</w:t>
      </w:r>
      <w:r w:rsidR="00FE4078">
        <w:t xml:space="preserve"> with no data for the 40 </w:t>
      </w:r>
      <w:r w:rsidR="00FE4078" w:rsidRPr="005A1063">
        <w:rPr>
          <w:rFonts w:eastAsia="Times New Roman" w:cs="Arial"/>
          <w:snapToGrid w:val="0"/>
          <w:szCs w:val="24"/>
        </w:rPr>
        <w:t>µg/kg/day</w:t>
      </w:r>
      <w:r w:rsidR="00FE4078">
        <w:rPr>
          <w:rFonts w:eastAsia="Times New Roman" w:cs="Arial"/>
          <w:snapToGrid w:val="0"/>
          <w:szCs w:val="24"/>
        </w:rPr>
        <w:t xml:space="preserve"> dose </w:t>
      </w:r>
      <w:r w:rsidR="00EE6B06">
        <w:rPr>
          <w:rFonts w:eastAsia="Times New Roman" w:cs="Arial"/>
          <w:snapToGrid w:val="0"/>
          <w:szCs w:val="24"/>
        </w:rPr>
        <w:t>available</w:t>
      </w:r>
      <w:r w:rsidR="006D62F1" w:rsidRPr="006D62F1">
        <w:t>.</w:t>
      </w:r>
      <w:r w:rsidR="00D173E9">
        <w:t xml:space="preserve"> </w:t>
      </w:r>
      <w:bookmarkEnd w:id="96"/>
      <w:r w:rsidR="00ED611C">
        <w:rPr>
          <w:rFonts w:ascii="Calibri" w:eastAsia="Times New Roman" w:hAnsi="Calibri" w:cs="Arial"/>
          <w:szCs w:val="24"/>
        </w:rPr>
        <w:t>Additionally, t</w:t>
      </w:r>
      <w:r w:rsidR="00690142">
        <w:rPr>
          <w:rFonts w:ascii="Calibri" w:eastAsia="Times New Roman" w:hAnsi="Calibri" w:cs="Arial"/>
          <w:szCs w:val="24"/>
        </w:rPr>
        <w:t xml:space="preserve">he PBAC noted placebo in the trial did not fully </w:t>
      </w:r>
      <w:r w:rsidR="00690142" w:rsidRPr="001B372E">
        <w:rPr>
          <w:rFonts w:ascii="Calibri" w:eastAsia="Times New Roman" w:hAnsi="Calibri" w:cs="Arial"/>
          <w:szCs w:val="24"/>
        </w:rPr>
        <w:t xml:space="preserve">represent the comparator </w:t>
      </w:r>
      <w:r w:rsidR="00204852" w:rsidRPr="001B372E">
        <w:rPr>
          <w:rFonts w:ascii="Calibri" w:eastAsia="Times New Roman" w:hAnsi="Calibri" w:cs="Arial"/>
          <w:szCs w:val="24"/>
        </w:rPr>
        <w:t>(</w:t>
      </w:r>
      <w:r w:rsidR="00690142" w:rsidRPr="001B372E">
        <w:rPr>
          <w:rFonts w:ascii="Calibri" w:eastAsia="Times New Roman" w:hAnsi="Calibri" w:cs="Arial"/>
          <w:szCs w:val="24"/>
        </w:rPr>
        <w:t>SOC</w:t>
      </w:r>
      <w:r w:rsidR="00204852" w:rsidRPr="001B372E">
        <w:rPr>
          <w:rFonts w:ascii="Calibri" w:eastAsia="Times New Roman" w:hAnsi="Calibri" w:cs="Arial"/>
          <w:szCs w:val="24"/>
        </w:rPr>
        <w:t>) as</w:t>
      </w:r>
      <w:r w:rsidR="007E77F5" w:rsidRPr="001B372E">
        <w:rPr>
          <w:rFonts w:ascii="Calibri" w:eastAsia="Times New Roman" w:hAnsi="Calibri" w:cs="Arial"/>
          <w:szCs w:val="24"/>
        </w:rPr>
        <w:t xml:space="preserve"> the comparative clinical evidence did not include </w:t>
      </w:r>
      <w:r w:rsidR="00BF44C0">
        <w:rPr>
          <w:rFonts w:ascii="Calibri" w:eastAsia="Times New Roman" w:hAnsi="Calibri" w:cs="Arial"/>
          <w:szCs w:val="24"/>
        </w:rPr>
        <w:t xml:space="preserve">treatment </w:t>
      </w:r>
      <w:r w:rsidR="00F844FB" w:rsidRPr="001B372E">
        <w:rPr>
          <w:rFonts w:ascii="Calibri" w:eastAsia="Times New Roman" w:hAnsi="Calibri" w:cs="Arial"/>
          <w:szCs w:val="24"/>
        </w:rPr>
        <w:t xml:space="preserve">with </w:t>
      </w:r>
      <w:r w:rsidR="00A54F1F" w:rsidRPr="001B372E">
        <w:rPr>
          <w:rFonts w:ascii="Calibri" w:eastAsia="Times New Roman" w:hAnsi="Calibri" w:cs="Arial"/>
          <w:szCs w:val="24"/>
        </w:rPr>
        <w:t xml:space="preserve">SBD </w:t>
      </w:r>
      <w:r w:rsidR="00036A87" w:rsidRPr="001B372E">
        <w:rPr>
          <w:rFonts w:ascii="Calibri" w:eastAsia="Times New Roman" w:hAnsi="Calibri" w:cs="Arial"/>
          <w:szCs w:val="24"/>
        </w:rPr>
        <w:t>or LT (</w:t>
      </w:r>
      <w:r w:rsidR="00CD6EEA" w:rsidRPr="001B372E">
        <w:rPr>
          <w:rFonts w:ascii="Calibri" w:eastAsia="Times New Roman" w:hAnsi="Calibri" w:cs="Arial"/>
          <w:szCs w:val="24"/>
        </w:rPr>
        <w:t>previous</w:t>
      </w:r>
      <w:r w:rsidR="007E77F5" w:rsidRPr="001B372E">
        <w:rPr>
          <w:rFonts w:ascii="Calibri" w:eastAsia="Times New Roman" w:hAnsi="Calibri" w:cs="Arial"/>
          <w:szCs w:val="24"/>
        </w:rPr>
        <w:t xml:space="preserve"> or planned</w:t>
      </w:r>
      <w:r w:rsidR="00036A87" w:rsidRPr="001B372E">
        <w:rPr>
          <w:rFonts w:ascii="Calibri" w:eastAsia="Times New Roman" w:hAnsi="Calibri" w:cs="Arial"/>
          <w:szCs w:val="24"/>
        </w:rPr>
        <w:t>)</w:t>
      </w:r>
      <w:r w:rsidR="00585F57" w:rsidRPr="001B372E">
        <w:rPr>
          <w:rFonts w:ascii="Calibri" w:eastAsia="Times New Roman" w:hAnsi="Calibri" w:cs="Arial"/>
          <w:szCs w:val="24"/>
        </w:rPr>
        <w:t>, or</w:t>
      </w:r>
      <w:r w:rsidR="008B6633">
        <w:rPr>
          <w:rFonts w:ascii="Calibri" w:eastAsia="Times New Roman" w:hAnsi="Calibri" w:cs="Arial"/>
          <w:szCs w:val="24"/>
        </w:rPr>
        <w:t xml:space="preserve"> </w:t>
      </w:r>
      <w:r w:rsidR="00F028E5" w:rsidRPr="001B372E">
        <w:rPr>
          <w:rFonts w:ascii="Calibri" w:eastAsia="Times New Roman" w:hAnsi="Calibri" w:cs="Arial"/>
          <w:szCs w:val="24"/>
        </w:rPr>
        <w:t xml:space="preserve">cholestyramine </w:t>
      </w:r>
      <w:r w:rsidR="00B37F5B" w:rsidRPr="001B372E">
        <w:rPr>
          <w:rFonts w:ascii="Calibri" w:eastAsia="Times New Roman" w:hAnsi="Calibri" w:cs="Arial"/>
          <w:szCs w:val="24"/>
        </w:rPr>
        <w:t>(</w:t>
      </w:r>
      <w:r w:rsidR="00F028E5" w:rsidRPr="001B372E">
        <w:rPr>
          <w:rFonts w:ascii="Calibri" w:eastAsia="Times New Roman" w:hAnsi="Calibri" w:cs="Arial"/>
          <w:szCs w:val="24"/>
        </w:rPr>
        <w:t xml:space="preserve">see </w:t>
      </w:r>
      <w:r w:rsidR="006A0B9A" w:rsidRPr="001B372E">
        <w:rPr>
          <w:rFonts w:ascii="Calibri" w:eastAsia="Times New Roman" w:hAnsi="Calibri" w:cs="Arial"/>
          <w:szCs w:val="24"/>
        </w:rPr>
        <w:t xml:space="preserve">paragraph </w:t>
      </w:r>
      <w:bookmarkEnd w:id="97"/>
      <w:r w:rsidR="006A0B9A" w:rsidRPr="001B372E">
        <w:rPr>
          <w:rFonts w:ascii="Calibri" w:eastAsia="Times New Roman" w:hAnsi="Calibri" w:cs="Arial"/>
          <w:szCs w:val="24"/>
        </w:rPr>
        <w:fldChar w:fldCharType="begin"/>
      </w:r>
      <w:r w:rsidR="006A0B9A" w:rsidRPr="001B372E">
        <w:rPr>
          <w:rFonts w:ascii="Calibri" w:eastAsia="Times New Roman" w:hAnsi="Calibri" w:cs="Arial"/>
          <w:szCs w:val="24"/>
        </w:rPr>
        <w:instrText xml:space="preserve"> REF _Ref227052234 \r \h </w:instrText>
      </w:r>
      <w:r w:rsidR="001B372E">
        <w:rPr>
          <w:rFonts w:ascii="Calibri" w:eastAsia="Times New Roman" w:hAnsi="Calibri" w:cs="Arial"/>
          <w:szCs w:val="24"/>
        </w:rPr>
        <w:instrText xml:space="preserve"> \* MERGEFORMAT </w:instrText>
      </w:r>
      <w:r w:rsidR="006A0B9A" w:rsidRPr="001B372E">
        <w:rPr>
          <w:rFonts w:ascii="Calibri" w:eastAsia="Times New Roman" w:hAnsi="Calibri" w:cs="Arial"/>
          <w:szCs w:val="24"/>
        </w:rPr>
      </w:r>
      <w:r w:rsidR="006A0B9A" w:rsidRPr="001B372E">
        <w:rPr>
          <w:rFonts w:ascii="Calibri" w:eastAsia="Times New Roman" w:hAnsi="Calibri" w:cs="Arial"/>
          <w:szCs w:val="24"/>
        </w:rPr>
        <w:fldChar w:fldCharType="separate"/>
      </w:r>
      <w:r w:rsidR="006A0B9A" w:rsidRPr="001B372E">
        <w:rPr>
          <w:rFonts w:ascii="Calibri" w:eastAsia="Times New Roman" w:hAnsi="Calibri" w:cs="Arial"/>
          <w:szCs w:val="24"/>
        </w:rPr>
        <w:t>5.1</w:t>
      </w:r>
      <w:r w:rsidR="006A0B9A" w:rsidRPr="001B372E">
        <w:rPr>
          <w:rFonts w:ascii="Calibri" w:eastAsia="Times New Roman" w:hAnsi="Calibri" w:cs="Arial"/>
          <w:szCs w:val="24"/>
        </w:rPr>
        <w:fldChar w:fldCharType="end"/>
      </w:r>
      <w:r w:rsidR="006A0B9A" w:rsidRPr="001B372E">
        <w:rPr>
          <w:rFonts w:ascii="Calibri" w:eastAsia="Times New Roman" w:hAnsi="Calibri" w:cs="Arial"/>
          <w:szCs w:val="24"/>
        </w:rPr>
        <w:t>)</w:t>
      </w:r>
      <w:r w:rsidR="00ED611C" w:rsidRPr="001B372E">
        <w:rPr>
          <w:rFonts w:ascii="Calibri" w:eastAsia="Times New Roman" w:hAnsi="Calibri" w:cs="Arial"/>
          <w:szCs w:val="24"/>
        </w:rPr>
        <w:t>.</w:t>
      </w:r>
      <w:r w:rsidR="00ED611C">
        <w:rPr>
          <w:rFonts w:ascii="Calibri" w:eastAsia="Times New Roman" w:hAnsi="Calibri" w:cs="Arial"/>
          <w:szCs w:val="24"/>
        </w:rPr>
        <w:t xml:space="preserve"> </w:t>
      </w:r>
      <w:r w:rsidR="009F5163">
        <w:t>The PBAC</w:t>
      </w:r>
      <w:r w:rsidR="002648F7">
        <w:t xml:space="preserve"> </w:t>
      </w:r>
      <w:r w:rsidR="009F5163" w:rsidRPr="000A5E3E">
        <w:t>acknowledged the inherent challenges of evidence generation in rare diseases.</w:t>
      </w:r>
    </w:p>
    <w:p w14:paraId="2FF8B4DD" w14:textId="6B73AA2A" w:rsidR="00301020" w:rsidRPr="00C2651D" w:rsidRDefault="009F78F1" w:rsidP="008B6633">
      <w:pPr>
        <w:pStyle w:val="3-BodyText"/>
        <w:numPr>
          <w:ilvl w:val="1"/>
          <w:numId w:val="1"/>
        </w:numPr>
        <w:spacing w:after="120"/>
      </w:pPr>
      <w:r w:rsidRPr="00C2651D">
        <w:t>T</w:t>
      </w:r>
      <w:r w:rsidR="00705EA5" w:rsidRPr="00C2651D">
        <w:t xml:space="preserve">he PBAC considered </w:t>
      </w:r>
      <w:r w:rsidRPr="00C2651D">
        <w:t>that the claim of superior comparative effectiveness of odevixibat compared to placebo</w:t>
      </w:r>
      <w:r w:rsidR="006F2DE9">
        <w:t xml:space="preserve"> (as a proxy for SOC</w:t>
      </w:r>
      <w:r w:rsidRPr="00C2651D">
        <w:t>) was</w:t>
      </w:r>
      <w:r w:rsidR="00705EA5" w:rsidRPr="00C2651D">
        <w:t xml:space="preserve"> reasonable, </w:t>
      </w:r>
      <w:r w:rsidR="001E2432" w:rsidRPr="00C2651D">
        <w:t>based on</w:t>
      </w:r>
      <w:r w:rsidR="008B6633">
        <w:t xml:space="preserve"> </w:t>
      </w:r>
      <w:r w:rsidR="000D7145" w:rsidRPr="00C2651D">
        <w:t xml:space="preserve">statistically significant </w:t>
      </w:r>
      <w:r w:rsidR="001E2432" w:rsidRPr="00C2651D">
        <w:t>improvements in pruritus</w:t>
      </w:r>
      <w:r w:rsidR="00DC263F" w:rsidRPr="00C2651D">
        <w:t xml:space="preserve"> </w:t>
      </w:r>
      <w:r w:rsidR="001E2432" w:rsidRPr="00C2651D">
        <w:t xml:space="preserve">as measured by the </w:t>
      </w:r>
      <w:r w:rsidR="000D7145" w:rsidRPr="00C2651D">
        <w:t>observer</w:t>
      </w:r>
      <w:r w:rsidR="000D7145" w:rsidRPr="00C2651D">
        <w:noBreakHyphen/>
        <w:t>reported (</w:t>
      </w:r>
      <w:r w:rsidR="001E2432" w:rsidRPr="00C2651D">
        <w:t>ObsRO</w:t>
      </w:r>
      <w:r w:rsidR="000D7145" w:rsidRPr="00C2651D">
        <w:t>)</w:t>
      </w:r>
      <w:r w:rsidR="001E2432" w:rsidRPr="00C2651D">
        <w:t xml:space="preserve"> pruritus scratching score</w:t>
      </w:r>
      <w:r w:rsidR="00A50C28" w:rsidRPr="00C2651D">
        <w:t xml:space="preserve"> </w:t>
      </w:r>
      <w:r w:rsidR="00207F6B" w:rsidRPr="00C2651D">
        <w:t xml:space="preserve">(least square [LS] mean difference </w:t>
      </w:r>
      <w:r w:rsidR="00A50C28" w:rsidRPr="00C2651D">
        <w:t xml:space="preserve">24 weeks = </w:t>
      </w:r>
      <w:r w:rsidR="00207F6B" w:rsidRPr="00C2651D">
        <w:t xml:space="preserve">-0.88 [95% confidence interval </w:t>
      </w:r>
      <w:r w:rsidR="003620B8">
        <w:t>(</w:t>
      </w:r>
      <w:r w:rsidR="00207F6B" w:rsidRPr="00C2651D">
        <w:t>CI</w:t>
      </w:r>
      <w:r w:rsidR="003620B8">
        <w:t>)</w:t>
      </w:r>
      <w:r w:rsidR="00207F6B" w:rsidRPr="00C2651D">
        <w:t xml:space="preserve">: -1.44, -0.33]). </w:t>
      </w:r>
      <w:r w:rsidR="00976656">
        <w:t xml:space="preserve">The PBAC noted that </w:t>
      </w:r>
      <w:r w:rsidR="00976656" w:rsidRPr="009C3085">
        <w:rPr>
          <w:rFonts w:eastAsia="Calibri" w:cstheme="minorHAnsi"/>
        </w:rPr>
        <w:t xml:space="preserve">there was a statistically significant difference in the proportion of patients with a ≥1.5-point ObsRO scratching score reduction from baseline </w:t>
      </w:r>
      <w:r w:rsidR="00683349" w:rsidRPr="009C3085">
        <w:rPr>
          <w:rFonts w:eastAsia="Calibri" w:cstheme="minorHAnsi"/>
        </w:rPr>
        <w:t xml:space="preserve">(exceeding the proposed Minimal Clinically Important Difference (MCID) of 1.0 to 1.5 score reduction) </w:t>
      </w:r>
      <w:r w:rsidR="00976656" w:rsidRPr="009C3085">
        <w:rPr>
          <w:rFonts w:eastAsia="Calibri" w:cstheme="minorHAnsi"/>
        </w:rPr>
        <w:t xml:space="preserve">for odevixibat treated patients compared with placebo at </w:t>
      </w:r>
      <w:r w:rsidR="00976656" w:rsidRPr="009C3085" w:rsidDel="00281458">
        <w:rPr>
          <w:rFonts w:eastAsia="Calibri" w:cstheme="minorHAnsi"/>
        </w:rPr>
        <w:t xml:space="preserve">Weeks 21–24 (difference 36.7%, </w:t>
      </w:r>
      <w:r w:rsidR="003620B8">
        <w:rPr>
          <w:rFonts w:eastAsia="Calibri" w:cstheme="minorHAnsi"/>
        </w:rPr>
        <w:t xml:space="preserve">odds ratio </w:t>
      </w:r>
      <w:r w:rsidR="00976656" w:rsidRPr="009C3085" w:rsidDel="00281458">
        <w:rPr>
          <w:rFonts w:eastAsia="Calibri" w:cstheme="minorHAnsi"/>
        </w:rPr>
        <w:t>5.15</w:t>
      </w:r>
      <w:r w:rsidR="00612AD7">
        <w:rPr>
          <w:rFonts w:eastAsia="Calibri" w:cstheme="minorHAnsi"/>
        </w:rPr>
        <w:t xml:space="preserve"> </w:t>
      </w:r>
      <w:r w:rsidR="0052063D">
        <w:rPr>
          <w:rFonts w:eastAsia="Calibri" w:cstheme="minorHAnsi"/>
        </w:rPr>
        <w:t>[</w:t>
      </w:r>
      <w:r w:rsidR="00612AD7">
        <w:rPr>
          <w:rFonts w:eastAsia="Calibri" w:cstheme="minorHAnsi"/>
        </w:rPr>
        <w:t>95% CI: 1.17, 34.16</w:t>
      </w:r>
      <w:r w:rsidR="0052063D">
        <w:rPr>
          <w:rFonts w:eastAsia="Calibri" w:cstheme="minorHAnsi"/>
        </w:rPr>
        <w:t>]</w:t>
      </w:r>
      <w:r w:rsidR="00612AD7">
        <w:rPr>
          <w:rFonts w:eastAsia="Calibri" w:cstheme="minorHAnsi"/>
        </w:rPr>
        <w:t>)</w:t>
      </w:r>
      <w:r w:rsidR="00BD1F92">
        <w:rPr>
          <w:rFonts w:eastAsia="Calibri" w:cstheme="minorHAnsi"/>
        </w:rPr>
        <w:t>.</w:t>
      </w:r>
      <w:r w:rsidR="0052063D">
        <w:t xml:space="preserve"> </w:t>
      </w:r>
      <w:r w:rsidR="0088309C">
        <w:t>A</w:t>
      </w:r>
      <w:r w:rsidR="0077630A" w:rsidRPr="00E038FD">
        <w:t>lthough i</w:t>
      </w:r>
      <w:r w:rsidR="0077630A" w:rsidRPr="00D173E9">
        <w:t>mprovement</w:t>
      </w:r>
      <w:r w:rsidR="00A72EF3">
        <w:t>s</w:t>
      </w:r>
      <w:r w:rsidR="0077630A" w:rsidRPr="00D173E9">
        <w:t xml:space="preserve"> in some sleep parameters</w:t>
      </w:r>
      <w:r w:rsidR="0077630A" w:rsidRPr="00E038FD">
        <w:t xml:space="preserve"> </w:t>
      </w:r>
      <w:r w:rsidR="009378E1">
        <w:t>were</w:t>
      </w:r>
      <w:r w:rsidR="009378E1" w:rsidRPr="00E038FD">
        <w:t xml:space="preserve"> </w:t>
      </w:r>
      <w:r w:rsidR="0077630A" w:rsidRPr="00E038FD">
        <w:t xml:space="preserve">noted (see paragraph </w:t>
      </w:r>
      <w:r w:rsidR="00A72EF3">
        <w:fldChar w:fldCharType="begin"/>
      </w:r>
      <w:r w:rsidR="00A72EF3">
        <w:instrText xml:space="preserve"> REF _Ref226366481 \r \h </w:instrText>
      </w:r>
      <w:r w:rsidR="00A72EF3">
        <w:fldChar w:fldCharType="separate"/>
      </w:r>
      <w:r w:rsidR="00A72EF3">
        <w:t>6.45</w:t>
      </w:r>
      <w:r w:rsidR="00A72EF3">
        <w:fldChar w:fldCharType="end"/>
      </w:r>
      <w:r w:rsidR="0077630A" w:rsidRPr="00E038FD">
        <w:t>), n</w:t>
      </w:r>
      <w:r w:rsidR="0077630A" w:rsidRPr="00D173E9">
        <w:t xml:space="preserve">o evidence of improvement in </w:t>
      </w:r>
      <w:r w:rsidR="002F4157">
        <w:t xml:space="preserve">quality </w:t>
      </w:r>
      <w:r w:rsidR="0042120E">
        <w:t>o</w:t>
      </w:r>
      <w:r w:rsidR="002F4157">
        <w:t>f life</w:t>
      </w:r>
      <w:r w:rsidR="0077630A" w:rsidRPr="00D173E9">
        <w:t xml:space="preserve"> (</w:t>
      </w:r>
      <w:r w:rsidR="00E00267">
        <w:t xml:space="preserve">QoL, </w:t>
      </w:r>
      <w:r w:rsidR="00602B6A">
        <w:t xml:space="preserve">i.e. </w:t>
      </w:r>
      <w:r w:rsidR="0077630A" w:rsidRPr="00D173E9">
        <w:t>PedsQL)</w:t>
      </w:r>
      <w:r w:rsidR="0077630A" w:rsidRPr="00E038FD">
        <w:t xml:space="preserve"> was reported. </w:t>
      </w:r>
      <w:r w:rsidR="000C38FF" w:rsidRPr="009C3085">
        <w:t>The</w:t>
      </w:r>
      <w:r w:rsidR="00F77A4F">
        <w:t xml:space="preserve"> </w:t>
      </w:r>
      <w:r w:rsidR="004E27F2">
        <w:t xml:space="preserve">lack of </w:t>
      </w:r>
      <w:r w:rsidR="00A75E8A">
        <w:t xml:space="preserve">demonstrated </w:t>
      </w:r>
      <w:r w:rsidR="00E00267">
        <w:t xml:space="preserve">QoL or survival </w:t>
      </w:r>
      <w:r w:rsidR="00E00267">
        <w:lastRenderedPageBreak/>
        <w:t>benefit</w:t>
      </w:r>
      <w:r w:rsidR="00CD1E11">
        <w:t xml:space="preserve"> and</w:t>
      </w:r>
      <w:r w:rsidR="00E00267">
        <w:t xml:space="preserve"> </w:t>
      </w:r>
      <w:r w:rsidR="00BA6588">
        <w:t xml:space="preserve">short </w:t>
      </w:r>
      <w:r w:rsidR="00AD2209">
        <w:t xml:space="preserve">comparative </w:t>
      </w:r>
      <w:r w:rsidR="00793150">
        <w:t>data</w:t>
      </w:r>
      <w:r w:rsidR="000C38FF" w:rsidRPr="009C3085">
        <w:t xml:space="preserve"> </w:t>
      </w:r>
      <w:r w:rsidR="00036B0F">
        <w:t xml:space="preserve">(paragraph </w:t>
      </w:r>
      <w:r w:rsidR="00036B0F">
        <w:fldChar w:fldCharType="begin"/>
      </w:r>
      <w:r w:rsidR="00036B0F">
        <w:instrText xml:space="preserve"> REF _Ref227056516 \r \h </w:instrText>
      </w:r>
      <w:r w:rsidR="00036B0F">
        <w:fldChar w:fldCharType="separate"/>
      </w:r>
      <w:r w:rsidR="00036B0F">
        <w:t>7.6</w:t>
      </w:r>
      <w:r w:rsidR="00036B0F">
        <w:fldChar w:fldCharType="end"/>
      </w:r>
      <w:r w:rsidR="00036B0F">
        <w:t xml:space="preserve">) </w:t>
      </w:r>
      <w:r w:rsidR="000C38FF" w:rsidRPr="009C3085">
        <w:t>limited confidence in the clinical relevance</w:t>
      </w:r>
      <w:r w:rsidR="00325A9D">
        <w:t xml:space="preserve"> and duration</w:t>
      </w:r>
      <w:r w:rsidR="000C38FF" w:rsidRPr="009C3085">
        <w:t xml:space="preserve"> of the observed treatment effects beyond the trial setting.</w:t>
      </w:r>
    </w:p>
    <w:p w14:paraId="7AA54DA2" w14:textId="63819D0C" w:rsidR="000D7145" w:rsidRPr="00D6091E" w:rsidRDefault="00F17B17" w:rsidP="008B6633">
      <w:pPr>
        <w:pStyle w:val="3-BodyText"/>
      </w:pPr>
      <w:r w:rsidRPr="00F17B17">
        <w:t xml:space="preserve">The PBAC considered that the claim of non-inferior comparative safety was reasonable, </w:t>
      </w:r>
      <w:r w:rsidR="00E038FD">
        <w:t>while</w:t>
      </w:r>
      <w:r>
        <w:t xml:space="preserve"> not</w:t>
      </w:r>
      <w:r w:rsidR="00E038FD">
        <w:t>ing</w:t>
      </w:r>
      <w:r>
        <w:t xml:space="preserve"> that the available evidence was limited by small patient numbers and the short duration of comparative follow</w:t>
      </w:r>
      <w:r w:rsidRPr="00F17B17">
        <w:rPr>
          <w:rFonts w:ascii="Cambria Math" w:hAnsi="Cambria Math" w:cs="Cambria Math"/>
        </w:rPr>
        <w:t>‑</w:t>
      </w:r>
      <w:r>
        <w:t>up</w:t>
      </w:r>
      <w:r w:rsidRPr="00F17B17">
        <w:t>. The PBAC noted</w:t>
      </w:r>
      <w:r w:rsidR="008B6633">
        <w:t xml:space="preserve"> </w:t>
      </w:r>
      <w:r w:rsidRPr="00F17B17">
        <w:t>the increase of</w:t>
      </w:r>
      <w:r w:rsidR="003C6781">
        <w:t xml:space="preserve"> </w:t>
      </w:r>
      <w:r w:rsidRPr="00F17B17">
        <w:t xml:space="preserve">gastrointestinal adverse events, especially diarrhoea, </w:t>
      </w:r>
      <w:r>
        <w:t xml:space="preserve">were more </w:t>
      </w:r>
      <w:r w:rsidRPr="00F17B17">
        <w:rPr>
          <w:snapToGrid w:val="0"/>
          <w:lang w:val="en-GB"/>
        </w:rPr>
        <w:t>frequently</w:t>
      </w:r>
      <w:r>
        <w:t xml:space="preserve"> reported with</w:t>
      </w:r>
      <w:r w:rsidRPr="00F17B17">
        <w:t xml:space="preserve"> odevixibat</w:t>
      </w:r>
      <w:r>
        <w:t xml:space="preserve"> compared with </w:t>
      </w:r>
      <w:r w:rsidR="00B32F51">
        <w:t>placebo</w:t>
      </w:r>
      <w:r w:rsidR="000D7145">
        <w:t>; however, these events were mostly mild to moderate in severity, manageable, and rarely led to treatment discontinuation. Overall, odevixibat was considered to be well tolerated, with no statistically significant differences observed between treatment groups for serious adverse events or treatment</w:t>
      </w:r>
      <w:r w:rsidR="000D7145" w:rsidRPr="00F17B17">
        <w:rPr>
          <w:rFonts w:ascii="Cambria Math" w:hAnsi="Cambria Math" w:cs="Cambria Math"/>
        </w:rPr>
        <w:t>‑</w:t>
      </w:r>
      <w:r w:rsidR="000D7145">
        <w:t>emergent adverse events leading to discontinuation.</w:t>
      </w:r>
    </w:p>
    <w:p w14:paraId="172DA11E" w14:textId="5ADDB5CA" w:rsidR="00E038FD" w:rsidRPr="00E038FD" w:rsidRDefault="00F0166B" w:rsidP="008B6633">
      <w:pPr>
        <w:pStyle w:val="3-BodyText"/>
      </w:pPr>
      <w:bookmarkStart w:id="98" w:name="_Ref226365164"/>
      <w:r w:rsidRPr="00E038FD">
        <w:t>The</w:t>
      </w:r>
      <w:r w:rsidR="004365E6" w:rsidRPr="00E038FD">
        <w:t xml:space="preserve"> PBAC</w:t>
      </w:r>
      <w:r w:rsidRPr="00E038FD">
        <w:t xml:space="preserve"> </w:t>
      </w:r>
      <w:r w:rsidR="004365E6" w:rsidRPr="00E038FD">
        <w:t>agreed with the ESC</w:t>
      </w:r>
      <w:r w:rsidR="00A71E79" w:rsidRPr="00E038FD">
        <w:t xml:space="preserve"> that</w:t>
      </w:r>
      <w:r w:rsidR="004139C9" w:rsidRPr="00E038FD">
        <w:t xml:space="preserve">, as with the similar model submitted for PFIC, </w:t>
      </w:r>
      <w:r w:rsidRPr="00E038FD">
        <w:t xml:space="preserve">the economic model </w:t>
      </w:r>
      <w:r w:rsidR="00E038FD" w:rsidRPr="00E038FD">
        <w:t xml:space="preserve">for ALGS </w:t>
      </w:r>
      <w:r w:rsidRPr="00E038FD">
        <w:t>was not reliable for decision</w:t>
      </w:r>
      <w:r w:rsidRPr="00E038FD">
        <w:rPr>
          <w:rFonts w:ascii="Cambria Math" w:hAnsi="Cambria Math" w:cs="Cambria Math"/>
        </w:rPr>
        <w:t>‑</w:t>
      </w:r>
      <w:r w:rsidRPr="00E038FD">
        <w:t>making</w:t>
      </w:r>
      <w:r w:rsidR="00A71E79" w:rsidRPr="00E038FD">
        <w:t xml:space="preserve"> </w:t>
      </w:r>
      <w:r w:rsidR="004139C9" w:rsidRPr="00E038FD">
        <w:t xml:space="preserve">because of both implausible structural assumptions and </w:t>
      </w:r>
      <w:r w:rsidR="00165296" w:rsidRPr="00E038FD">
        <w:t>uncertain</w:t>
      </w:r>
      <w:r w:rsidR="00165296">
        <w:t xml:space="preserve"> and highly optimistic</w:t>
      </w:r>
      <w:r w:rsidR="004139C9" w:rsidRPr="00E038FD">
        <w:t xml:space="preserve"> data inputs </w:t>
      </w:r>
      <w:r w:rsidR="00A71E79" w:rsidRPr="00E038FD">
        <w:t>(see paragraph</w:t>
      </w:r>
      <w:r w:rsidR="00E70EA7" w:rsidRPr="00E038FD">
        <w:t xml:space="preserve"> </w:t>
      </w:r>
      <w:r w:rsidR="00E70EA7" w:rsidRPr="00E038FD">
        <w:fldChar w:fldCharType="begin"/>
      </w:r>
      <w:r w:rsidR="00E70EA7" w:rsidRPr="00E038FD">
        <w:instrText xml:space="preserve"> REF _Ref222741977 \r \h  \* MERGEFORMAT </w:instrText>
      </w:r>
      <w:r w:rsidR="00E70EA7" w:rsidRPr="00E038FD">
        <w:fldChar w:fldCharType="separate"/>
      </w:r>
      <w:r w:rsidR="00E70EA7" w:rsidRPr="00E038FD">
        <w:t>6.73</w:t>
      </w:r>
      <w:r w:rsidR="00E70EA7" w:rsidRPr="00E038FD">
        <w:fldChar w:fldCharType="end"/>
      </w:r>
      <w:r w:rsidR="004139C9" w:rsidRPr="00E038FD">
        <w:rPr>
          <w:rStyle w:val="CommentReference"/>
          <w:rFonts w:asciiTheme="minorHAnsi" w:hAnsiTheme="minorHAnsi"/>
          <w:b w:val="0"/>
          <w:sz w:val="24"/>
          <w:szCs w:val="22"/>
        </w:rPr>
        <w:t xml:space="preserve">, and </w:t>
      </w:r>
      <w:r w:rsidR="00F53A2F" w:rsidRPr="00E038FD">
        <w:t>paragraphs 6.63 and 13.3</w:t>
      </w:r>
      <w:r w:rsidR="00F53A2F">
        <w:t xml:space="preserve">, </w:t>
      </w:r>
      <w:r w:rsidR="00B0361F">
        <w:t>o</w:t>
      </w:r>
      <w:r w:rsidR="004365E6" w:rsidRPr="00E038FD">
        <w:t xml:space="preserve">devixibat </w:t>
      </w:r>
      <w:r w:rsidR="00F53A2F">
        <w:t xml:space="preserve">PSD, </w:t>
      </w:r>
      <w:r w:rsidR="004365E6" w:rsidRPr="00E038FD">
        <w:t>July</w:t>
      </w:r>
      <w:r w:rsidR="00F53A2F">
        <w:t xml:space="preserve"> </w:t>
      </w:r>
      <w:r w:rsidR="004365E6" w:rsidRPr="00E038FD">
        <w:t>2025</w:t>
      </w:r>
      <w:r w:rsidR="00F53A2F">
        <w:t xml:space="preserve"> PBAC meeeting</w:t>
      </w:r>
      <w:r w:rsidR="004365E6" w:rsidRPr="00E038FD">
        <w:t>).</w:t>
      </w:r>
      <w:r w:rsidR="004139C9" w:rsidRPr="00E038FD">
        <w:t xml:space="preserve"> </w:t>
      </w:r>
      <w:r w:rsidR="00E038FD" w:rsidRPr="00E038FD">
        <w:t>The PBAC</w:t>
      </w:r>
      <w:r w:rsidR="000A764B" w:rsidRPr="00E038FD">
        <w:t xml:space="preserve"> recalled that it had previously considered odevixibat would be cost effective (for PFIC) with a cost per patient per year in the order of </w:t>
      </w:r>
      <w:r w:rsidR="00373E23" w:rsidRPr="00E038FD">
        <w:t>$2</w:t>
      </w:r>
      <w:r w:rsidR="00F83455">
        <w:t>00,000</w:t>
      </w:r>
      <w:r w:rsidR="00373E23" w:rsidRPr="00E038FD">
        <w:t xml:space="preserve"> </w:t>
      </w:r>
      <w:r w:rsidR="000A764B" w:rsidRPr="00E038FD">
        <w:t>(paragraph 1</w:t>
      </w:r>
      <w:r w:rsidR="00C03D91">
        <w:t>3</w:t>
      </w:r>
      <w:r w:rsidR="000A764B" w:rsidRPr="00E038FD">
        <w:t xml:space="preserve">.3, odevixibat </w:t>
      </w:r>
      <w:r w:rsidR="00C03D91">
        <w:t>PSD</w:t>
      </w:r>
      <w:r w:rsidR="000A764B" w:rsidRPr="00E038FD">
        <w:t>, July 2025 PBAC meeting).</w:t>
      </w:r>
      <w:r w:rsidR="007420E3">
        <w:t>T</w:t>
      </w:r>
      <w:r w:rsidR="004139C9" w:rsidRPr="00E038FD">
        <w:t xml:space="preserve">he PBAC agreed with the ESC that it remained highly uncertain if a similar cost per </w:t>
      </w:r>
      <w:r w:rsidR="004139C9" w:rsidRPr="0052063D">
        <w:t xml:space="preserve">patient per year would be cost-effective for ALGS (see paragraph </w:t>
      </w:r>
      <w:r w:rsidR="004139C9" w:rsidRPr="0052063D">
        <w:fldChar w:fldCharType="begin"/>
      </w:r>
      <w:r w:rsidR="004139C9" w:rsidRPr="0052063D">
        <w:instrText xml:space="preserve"> REF _Ref226361081 \r \h </w:instrText>
      </w:r>
      <w:r w:rsidR="005A1063" w:rsidRPr="0052063D">
        <w:instrText xml:space="preserve"> \* MERGEFORMAT </w:instrText>
      </w:r>
      <w:r w:rsidR="004139C9" w:rsidRPr="0052063D">
        <w:fldChar w:fldCharType="separate"/>
      </w:r>
      <w:r w:rsidR="004139C9" w:rsidRPr="0052063D">
        <w:t>6.74</w:t>
      </w:r>
      <w:r w:rsidR="004139C9" w:rsidRPr="0052063D">
        <w:fldChar w:fldCharType="end"/>
      </w:r>
      <w:r w:rsidR="004139C9" w:rsidRPr="0052063D">
        <w:t>)</w:t>
      </w:r>
      <w:r w:rsidR="000F71B9" w:rsidRPr="0052063D">
        <w:t>, noting the lack of clinical data on long term outcomes</w:t>
      </w:r>
      <w:r w:rsidR="001463A4" w:rsidRPr="0052063D">
        <w:t>.</w:t>
      </w:r>
      <w:r w:rsidR="008B6633">
        <w:t xml:space="preserve"> </w:t>
      </w:r>
      <w:r w:rsidR="006B5CA4" w:rsidRPr="0052063D">
        <w:t xml:space="preserve">However, </w:t>
      </w:r>
      <w:r w:rsidR="00BE57BD" w:rsidRPr="0052063D">
        <w:t xml:space="preserve">the PBAC considered that </w:t>
      </w:r>
      <w:r w:rsidR="007438E8" w:rsidRPr="0052063D">
        <w:t xml:space="preserve">in </w:t>
      </w:r>
      <w:r w:rsidR="00CE301F" w:rsidRPr="0052063D">
        <w:t xml:space="preserve">the context of the </w:t>
      </w:r>
      <w:r w:rsidR="00317C2E" w:rsidRPr="0052063D">
        <w:t>small</w:t>
      </w:r>
      <w:r w:rsidR="00121966" w:rsidRPr="0052063D">
        <w:t xml:space="preserve"> and vulnerable population with</w:t>
      </w:r>
      <w:r w:rsidR="00317C2E" w:rsidRPr="0052063D">
        <w:t xml:space="preserve"> </w:t>
      </w:r>
      <w:r w:rsidR="00121966" w:rsidRPr="0052063D">
        <w:t xml:space="preserve">a </w:t>
      </w:r>
      <w:r w:rsidR="00317C2E" w:rsidRPr="0052063D">
        <w:t xml:space="preserve">high </w:t>
      </w:r>
      <w:r w:rsidR="00121966" w:rsidRPr="0052063D">
        <w:t xml:space="preserve">clinical </w:t>
      </w:r>
      <w:r w:rsidR="00317C2E" w:rsidRPr="0052063D">
        <w:t>need</w:t>
      </w:r>
      <w:r w:rsidR="00121966" w:rsidRPr="0052063D">
        <w:t xml:space="preserve"> for effective treatments, </w:t>
      </w:r>
      <w:r w:rsidR="00D33D91" w:rsidRPr="0052063D">
        <w:t>odevixibat may be</w:t>
      </w:r>
      <w:r w:rsidR="00317C2E" w:rsidRPr="0052063D">
        <w:t xml:space="preserve"> </w:t>
      </w:r>
      <w:r w:rsidR="006B5CA4" w:rsidRPr="0052063D">
        <w:t xml:space="preserve">cost effective for ALGS with a </w:t>
      </w:r>
      <w:r w:rsidR="00D33D91" w:rsidRPr="0052063D">
        <w:t>cost</w:t>
      </w:r>
      <w:r w:rsidR="006B5CA4" w:rsidRPr="0052063D">
        <w:t xml:space="preserve"> per patient </w:t>
      </w:r>
      <w:r w:rsidR="0036304E">
        <w:t xml:space="preserve">per year </w:t>
      </w:r>
      <w:r w:rsidR="006B5CA4" w:rsidRPr="0052063D">
        <w:t>no higher than for PFIC</w:t>
      </w:r>
      <w:r w:rsidR="0035470C">
        <w:t xml:space="preserve"> (assuming the same patient weight)</w:t>
      </w:r>
      <w:r w:rsidR="00A77740" w:rsidRPr="0052063D">
        <w:t>.</w:t>
      </w:r>
      <w:r w:rsidR="00A65685">
        <w:t xml:space="preserve"> </w:t>
      </w:r>
    </w:p>
    <w:p w14:paraId="224EC934" w14:textId="2D732E20" w:rsidR="00F572DC" w:rsidRPr="000303FD" w:rsidRDefault="006173E1" w:rsidP="008B6633">
      <w:pPr>
        <w:pStyle w:val="3-BodyText"/>
        <w:rPr>
          <w:lang w:val="en-GB"/>
        </w:rPr>
      </w:pPr>
      <w:bookmarkStart w:id="99" w:name="_Ref226365564"/>
      <w:bookmarkEnd w:id="98"/>
      <w:r>
        <w:rPr>
          <w:lang w:val="en-GB"/>
        </w:rPr>
        <w:t xml:space="preserve">In terms of the estimated number of </w:t>
      </w:r>
      <w:r w:rsidR="00893FB9">
        <w:rPr>
          <w:lang w:val="en-GB"/>
        </w:rPr>
        <w:t>eligible</w:t>
      </w:r>
      <w:r>
        <w:rPr>
          <w:lang w:val="en-GB"/>
        </w:rPr>
        <w:t xml:space="preserve"> patients, t</w:t>
      </w:r>
      <w:r w:rsidR="00F572DC" w:rsidRPr="00844285">
        <w:rPr>
          <w:lang w:val="en-GB"/>
        </w:rPr>
        <w:t xml:space="preserve">he PBAC agreed with the ESC that the </w:t>
      </w:r>
      <w:r w:rsidR="00E038FD" w:rsidRPr="00844285">
        <w:rPr>
          <w:lang w:val="en-GB"/>
        </w:rPr>
        <w:t xml:space="preserve">estimated </w:t>
      </w:r>
      <w:r w:rsidR="00F572DC" w:rsidRPr="00844285">
        <w:rPr>
          <w:rFonts w:ascii="Calibri" w:eastAsia="Times New Roman" w:hAnsi="Calibri" w:cs="Arial"/>
          <w:szCs w:val="24"/>
        </w:rPr>
        <w:t>incident and prevalent patient pool was overestimated</w:t>
      </w:r>
      <w:r w:rsidR="005C75EC" w:rsidRPr="00844285">
        <w:rPr>
          <w:rFonts w:ascii="Calibri" w:eastAsia="Times New Roman" w:hAnsi="Calibri" w:cs="Arial"/>
          <w:szCs w:val="24"/>
        </w:rPr>
        <w:t xml:space="preserve"> and</w:t>
      </w:r>
      <w:r w:rsidR="00E95011" w:rsidRPr="00E95011">
        <w:rPr>
          <w:lang w:val="en-GB"/>
        </w:rPr>
        <w:t xml:space="preserve"> </w:t>
      </w:r>
      <w:r w:rsidR="00E95011" w:rsidRPr="00E038FD">
        <w:rPr>
          <w:lang w:val="en-GB"/>
        </w:rPr>
        <w:t xml:space="preserve">noted that the </w:t>
      </w:r>
      <w:r w:rsidR="005455E4">
        <w:rPr>
          <w:lang w:val="en-GB"/>
        </w:rPr>
        <w:t>financials were</w:t>
      </w:r>
      <w:r w:rsidR="00E95011" w:rsidRPr="00E038FD">
        <w:rPr>
          <w:lang w:val="en-GB"/>
        </w:rPr>
        <w:t xml:space="preserve"> informed by </w:t>
      </w:r>
      <w:r w:rsidR="0036304E">
        <w:rPr>
          <w:lang w:val="en-GB"/>
        </w:rPr>
        <w:t>the upper range of</w:t>
      </w:r>
      <w:r w:rsidR="00E95011" w:rsidRPr="00E038FD">
        <w:rPr>
          <w:lang w:val="en-GB"/>
        </w:rPr>
        <w:t xml:space="preserve"> </w:t>
      </w:r>
      <w:r w:rsidR="0036304E">
        <w:rPr>
          <w:lang w:val="en-GB"/>
        </w:rPr>
        <w:t xml:space="preserve">the </w:t>
      </w:r>
      <w:r w:rsidR="00E95011" w:rsidRPr="00E038FD">
        <w:rPr>
          <w:lang w:val="en-GB"/>
        </w:rPr>
        <w:t xml:space="preserve">epidemiological estimates, and considered that more conservative assumptions, including reductions to the estimated </w:t>
      </w:r>
      <w:r w:rsidR="00E95011" w:rsidRPr="000303FD">
        <w:rPr>
          <w:lang w:val="en-GB"/>
        </w:rPr>
        <w:t>incidence and prevalence, may be appropriate.</w:t>
      </w:r>
      <w:r w:rsidR="008B6633">
        <w:rPr>
          <w:lang w:val="en-GB"/>
        </w:rPr>
        <w:t xml:space="preserve"> </w:t>
      </w:r>
      <w:r w:rsidR="005455E4" w:rsidRPr="000303FD">
        <w:rPr>
          <w:rFonts w:ascii="Calibri" w:eastAsia="Times New Roman" w:hAnsi="Calibri" w:cs="Arial"/>
          <w:szCs w:val="24"/>
        </w:rPr>
        <w:t>The PBAC</w:t>
      </w:r>
      <w:r w:rsidR="00E86077" w:rsidRPr="000303FD">
        <w:rPr>
          <w:rFonts w:ascii="Calibri" w:eastAsia="Times New Roman" w:hAnsi="Calibri" w:cs="Arial"/>
          <w:szCs w:val="24"/>
        </w:rPr>
        <w:t xml:space="preserve"> advised</w:t>
      </w:r>
      <w:r w:rsidR="005455E4" w:rsidRPr="000303FD">
        <w:rPr>
          <w:rFonts w:ascii="Calibri" w:eastAsia="Times New Roman" w:hAnsi="Calibri" w:cs="Arial"/>
          <w:szCs w:val="24"/>
        </w:rPr>
        <w:t xml:space="preserve"> </w:t>
      </w:r>
      <w:r w:rsidR="005C75EC" w:rsidRPr="000303FD">
        <w:rPr>
          <w:rFonts w:ascii="Calibri" w:eastAsia="Times New Roman" w:hAnsi="Calibri" w:cs="Arial"/>
          <w:szCs w:val="24"/>
        </w:rPr>
        <w:t>it would be appropriate</w:t>
      </w:r>
      <w:r w:rsidR="001D771D" w:rsidRPr="000303FD">
        <w:rPr>
          <w:rFonts w:ascii="Calibri" w:eastAsia="Times New Roman" w:hAnsi="Calibri" w:cs="Arial"/>
          <w:szCs w:val="24"/>
        </w:rPr>
        <w:t xml:space="preserve"> to</w:t>
      </w:r>
      <w:r w:rsidR="005455E4" w:rsidRPr="000303FD">
        <w:rPr>
          <w:rFonts w:ascii="Calibri" w:eastAsia="Times New Roman" w:hAnsi="Calibri" w:cs="Arial"/>
          <w:szCs w:val="24"/>
        </w:rPr>
        <w:t xml:space="preserve"> </w:t>
      </w:r>
      <w:r w:rsidR="00043D8A" w:rsidRPr="000303FD">
        <w:rPr>
          <w:lang w:val="en-GB"/>
        </w:rPr>
        <w:t>estimate</w:t>
      </w:r>
      <w:r w:rsidR="00322634" w:rsidRPr="000303FD">
        <w:rPr>
          <w:lang w:val="en-GB"/>
        </w:rPr>
        <w:t xml:space="preserve"> prevalence </w:t>
      </w:r>
      <w:r w:rsidR="00043D8A" w:rsidRPr="000303FD">
        <w:rPr>
          <w:lang w:val="en-GB"/>
        </w:rPr>
        <w:t xml:space="preserve">separately in </w:t>
      </w:r>
      <w:r w:rsidR="00F614DF" w:rsidRPr="000303FD">
        <w:rPr>
          <w:lang w:val="en-GB"/>
        </w:rPr>
        <w:t xml:space="preserve">paediatric and </w:t>
      </w:r>
      <w:r w:rsidR="00043D8A" w:rsidRPr="000303FD">
        <w:rPr>
          <w:lang w:val="en-GB"/>
        </w:rPr>
        <w:t>adult patients</w:t>
      </w:r>
      <w:r w:rsidR="00A07F04" w:rsidRPr="000303FD">
        <w:rPr>
          <w:lang w:val="en-GB"/>
        </w:rPr>
        <w:t xml:space="preserve"> </w:t>
      </w:r>
      <w:r w:rsidR="00F572DC" w:rsidRPr="000303FD">
        <w:rPr>
          <w:rFonts w:ascii="Calibri" w:eastAsia="Times New Roman" w:hAnsi="Calibri" w:cs="Arial"/>
          <w:szCs w:val="24"/>
        </w:rPr>
        <w:t>(</w:t>
      </w:r>
      <w:r w:rsidR="00F572DC" w:rsidRPr="000303FD">
        <w:t xml:space="preserve">see paragraph </w:t>
      </w:r>
      <w:r w:rsidR="003F7965" w:rsidRPr="000303FD">
        <w:t>6.56 odevixibat PSD</w:t>
      </w:r>
      <w:r w:rsidR="003A38B0" w:rsidRPr="000303FD">
        <w:t>, March 2025 PBAC Meeting with Addendum July 2025</w:t>
      </w:r>
      <w:r w:rsidR="00F572DC" w:rsidRPr="000303FD">
        <w:t>)</w:t>
      </w:r>
      <w:r w:rsidR="00EF3E56" w:rsidRPr="000303FD">
        <w:t>.</w:t>
      </w:r>
      <w:r w:rsidR="00F572DC" w:rsidRPr="000303FD">
        <w:t xml:space="preserve"> </w:t>
      </w:r>
      <w:r w:rsidR="00E85C80" w:rsidRPr="000303FD">
        <w:t>The PBAC also noted that the price would need to be updated</w:t>
      </w:r>
      <w:r w:rsidR="003152C6" w:rsidRPr="000303FD">
        <w:t xml:space="preserve">, as per paragraph </w:t>
      </w:r>
      <w:r w:rsidR="003152C6" w:rsidRPr="000303FD">
        <w:fldChar w:fldCharType="begin"/>
      </w:r>
      <w:r w:rsidR="003152C6" w:rsidRPr="000303FD">
        <w:instrText xml:space="preserve"> REF _Ref226365164 \r \h </w:instrText>
      </w:r>
      <w:r w:rsidR="000303FD">
        <w:instrText xml:space="preserve"> \* MERGEFORMAT </w:instrText>
      </w:r>
      <w:r w:rsidR="003152C6" w:rsidRPr="000303FD">
        <w:fldChar w:fldCharType="separate"/>
      </w:r>
      <w:r w:rsidR="003152C6" w:rsidRPr="000303FD">
        <w:t>7.9</w:t>
      </w:r>
      <w:r w:rsidR="003152C6" w:rsidRPr="000303FD">
        <w:fldChar w:fldCharType="end"/>
      </w:r>
      <w:r w:rsidR="003152C6" w:rsidRPr="000303FD">
        <w:t>.</w:t>
      </w:r>
      <w:bookmarkEnd w:id="99"/>
      <w:r w:rsidR="003152C6" w:rsidRPr="000303FD">
        <w:t xml:space="preserve"> </w:t>
      </w:r>
    </w:p>
    <w:p w14:paraId="7468B9AD" w14:textId="4AC3B518" w:rsidR="00E038FD" w:rsidRPr="000303FD" w:rsidRDefault="00E85C80" w:rsidP="008B6633">
      <w:pPr>
        <w:pStyle w:val="3-BodyText"/>
      </w:pPr>
      <w:bookmarkStart w:id="100" w:name="_Ref226365627"/>
      <w:r w:rsidRPr="000303FD">
        <w:rPr>
          <w:lang w:val="en-GB"/>
        </w:rPr>
        <w:t>The PBAC considered that a risk sharing arrangement (</w:t>
      </w:r>
      <w:r w:rsidR="004347C8" w:rsidRPr="000303FD">
        <w:rPr>
          <w:lang w:val="en-GB"/>
        </w:rPr>
        <w:t>RSA</w:t>
      </w:r>
      <w:r w:rsidRPr="000303FD">
        <w:rPr>
          <w:lang w:val="en-GB"/>
        </w:rPr>
        <w:t>) would be</w:t>
      </w:r>
      <w:r w:rsidR="004347C8" w:rsidRPr="000303FD">
        <w:rPr>
          <w:lang w:val="en-GB"/>
        </w:rPr>
        <w:t xml:space="preserve"> necessary</w:t>
      </w:r>
      <w:r w:rsidRPr="000303FD">
        <w:rPr>
          <w:rFonts w:ascii="Calibri" w:hAnsi="Calibri"/>
        </w:rPr>
        <w:t xml:space="preserve"> to mitigate </w:t>
      </w:r>
      <w:r w:rsidR="00C8142D" w:rsidRPr="000303FD">
        <w:rPr>
          <w:rFonts w:ascii="Calibri" w:hAnsi="Calibri"/>
        </w:rPr>
        <w:t>any outstanding uncertainty regarding</w:t>
      </w:r>
      <w:r w:rsidR="009573F2" w:rsidRPr="000303FD">
        <w:rPr>
          <w:rFonts w:ascii="Calibri" w:hAnsi="Calibri"/>
        </w:rPr>
        <w:t xml:space="preserve"> the eligible number of patients </w:t>
      </w:r>
      <w:r w:rsidR="00FA0E00" w:rsidRPr="000303FD">
        <w:rPr>
          <w:rFonts w:ascii="Calibri" w:hAnsi="Calibri"/>
        </w:rPr>
        <w:t xml:space="preserve">and </w:t>
      </w:r>
      <w:r w:rsidRPr="000303FD">
        <w:rPr>
          <w:lang w:val="en-GB"/>
        </w:rPr>
        <w:t>utilisation</w:t>
      </w:r>
      <w:r w:rsidR="00C8142D" w:rsidRPr="000303FD">
        <w:rPr>
          <w:lang w:val="en-GB"/>
        </w:rPr>
        <w:t xml:space="preserve">. </w:t>
      </w:r>
    </w:p>
    <w:bookmarkEnd w:id="100"/>
    <w:p w14:paraId="6D1762FC" w14:textId="40F5FC51" w:rsidR="00F165AE" w:rsidRPr="003152C6" w:rsidRDefault="00F165AE" w:rsidP="008B6633">
      <w:pPr>
        <w:pStyle w:val="3-BodyText"/>
        <w:rPr>
          <w:snapToGrid w:val="0"/>
          <w:lang w:val="en-GB"/>
        </w:rPr>
      </w:pPr>
      <w:r w:rsidRPr="003152C6">
        <w:rPr>
          <w:snapToGrid w:val="0"/>
          <w:lang w:val="en-GB"/>
        </w:rPr>
        <w:t xml:space="preserve">The PBAC considered the outstanding issues could be easily resolved in a simple resubmission for </w:t>
      </w:r>
      <w:r w:rsidR="002F6F16" w:rsidRPr="003152C6">
        <w:rPr>
          <w:snapToGrid w:val="0"/>
          <w:lang w:val="en-GB"/>
        </w:rPr>
        <w:t>odevixibat</w:t>
      </w:r>
      <w:r w:rsidRPr="003152C6">
        <w:rPr>
          <w:snapToGrid w:val="0"/>
          <w:lang w:val="en-GB"/>
        </w:rPr>
        <w:t xml:space="preserve"> using the early re-entry pathway. If the sponsor accepts this pathway, the following changes may address these outstanding issues without requiring further re-evaluation. </w:t>
      </w:r>
    </w:p>
    <w:p w14:paraId="714E1DA8" w14:textId="0CE0B1C0" w:rsidR="00AA564E" w:rsidRDefault="00AA564E" w:rsidP="008B6633">
      <w:pPr>
        <w:pStyle w:val="ListBullet"/>
        <w:tabs>
          <w:tab w:val="clear" w:pos="360"/>
        </w:tabs>
        <w:ind w:left="993" w:hanging="284"/>
        <w:rPr>
          <w:snapToGrid w:val="0"/>
          <w:lang w:val="en-GB"/>
        </w:rPr>
      </w:pPr>
      <w:r>
        <w:rPr>
          <w:snapToGrid w:val="0"/>
          <w:lang w:val="en-GB"/>
        </w:rPr>
        <w:t xml:space="preserve">Provide revised restriction criteria, as per paragraph </w:t>
      </w:r>
      <w:r>
        <w:rPr>
          <w:snapToGrid w:val="0"/>
          <w:lang w:val="en-GB"/>
        </w:rPr>
        <w:fldChar w:fldCharType="begin"/>
      </w:r>
      <w:r>
        <w:rPr>
          <w:snapToGrid w:val="0"/>
          <w:lang w:val="en-GB"/>
        </w:rPr>
        <w:instrText xml:space="preserve"> REF _Ref227068461 \r \h </w:instrText>
      </w:r>
      <w:r>
        <w:rPr>
          <w:snapToGrid w:val="0"/>
          <w:lang w:val="en-GB"/>
        </w:rPr>
      </w:r>
      <w:r>
        <w:rPr>
          <w:snapToGrid w:val="0"/>
          <w:lang w:val="en-GB"/>
        </w:rPr>
        <w:fldChar w:fldCharType="separate"/>
      </w:r>
      <w:r>
        <w:rPr>
          <w:snapToGrid w:val="0"/>
          <w:lang w:val="en-GB"/>
        </w:rPr>
        <w:t>7.5</w:t>
      </w:r>
      <w:r>
        <w:rPr>
          <w:snapToGrid w:val="0"/>
          <w:lang w:val="en-GB"/>
        </w:rPr>
        <w:fldChar w:fldCharType="end"/>
      </w:r>
      <w:r>
        <w:rPr>
          <w:snapToGrid w:val="0"/>
          <w:lang w:val="en-GB"/>
        </w:rPr>
        <w:t>.</w:t>
      </w:r>
    </w:p>
    <w:p w14:paraId="353D4E17" w14:textId="480FFAC2" w:rsidR="00F165AE" w:rsidRPr="003152C6" w:rsidRDefault="00DD3FF9" w:rsidP="008B6633">
      <w:pPr>
        <w:pStyle w:val="ListBullet"/>
        <w:tabs>
          <w:tab w:val="clear" w:pos="360"/>
        </w:tabs>
        <w:ind w:left="993" w:hanging="284"/>
        <w:rPr>
          <w:snapToGrid w:val="0"/>
          <w:lang w:val="en-GB"/>
        </w:rPr>
      </w:pPr>
      <w:r>
        <w:rPr>
          <w:snapToGrid w:val="0"/>
          <w:lang w:val="en-GB"/>
        </w:rPr>
        <w:t>Propose a cost per patient per year no higher than</w:t>
      </w:r>
      <w:r w:rsidR="009573F2">
        <w:rPr>
          <w:snapToGrid w:val="0"/>
          <w:lang w:val="en-GB"/>
        </w:rPr>
        <w:t xml:space="preserve"> recommended for PFIC</w:t>
      </w:r>
      <w:r>
        <w:rPr>
          <w:snapToGrid w:val="0"/>
          <w:lang w:val="en-GB"/>
        </w:rPr>
        <w:t xml:space="preserve"> </w:t>
      </w:r>
      <w:r w:rsidR="00447B08">
        <w:rPr>
          <w:snapToGrid w:val="0"/>
          <w:lang w:val="en-GB"/>
        </w:rPr>
        <w:t>assuming a dose of 120 mcg/day</w:t>
      </w:r>
      <w:r w:rsidR="00147264">
        <w:rPr>
          <w:snapToGrid w:val="0"/>
          <w:lang w:val="en-GB"/>
        </w:rPr>
        <w:t xml:space="preserve"> </w:t>
      </w:r>
      <w:r w:rsidR="00165296">
        <w:rPr>
          <w:snapToGrid w:val="0"/>
          <w:lang w:val="en-GB"/>
        </w:rPr>
        <w:t xml:space="preserve">and </w:t>
      </w:r>
      <w:r w:rsidR="00147264">
        <w:rPr>
          <w:snapToGrid w:val="0"/>
          <w:lang w:val="en-GB"/>
        </w:rPr>
        <w:t xml:space="preserve">the same </w:t>
      </w:r>
      <w:r w:rsidR="00165296">
        <w:rPr>
          <w:snapToGrid w:val="0"/>
          <w:lang w:val="en-GB"/>
        </w:rPr>
        <w:t>patient weight</w:t>
      </w:r>
      <w:r w:rsidR="003152C6" w:rsidRPr="003152C6">
        <w:rPr>
          <w:snapToGrid w:val="0"/>
          <w:lang w:val="en-GB"/>
        </w:rPr>
        <w:t xml:space="preserve">, as per paragraph </w:t>
      </w:r>
      <w:r w:rsidR="003152C6" w:rsidRPr="003152C6">
        <w:rPr>
          <w:snapToGrid w:val="0"/>
          <w:lang w:val="en-GB"/>
        </w:rPr>
        <w:fldChar w:fldCharType="begin"/>
      </w:r>
      <w:r w:rsidR="003152C6" w:rsidRPr="003152C6">
        <w:rPr>
          <w:snapToGrid w:val="0"/>
          <w:lang w:val="en-GB"/>
        </w:rPr>
        <w:instrText xml:space="preserve"> REF _Ref226365164 \r \h </w:instrText>
      </w:r>
      <w:r w:rsidR="003152C6">
        <w:rPr>
          <w:snapToGrid w:val="0"/>
          <w:lang w:val="en-GB"/>
        </w:rPr>
        <w:instrText xml:space="preserve"> \* MERGEFORMAT </w:instrText>
      </w:r>
      <w:r w:rsidR="003152C6" w:rsidRPr="003152C6">
        <w:rPr>
          <w:snapToGrid w:val="0"/>
          <w:lang w:val="en-GB"/>
        </w:rPr>
      </w:r>
      <w:r w:rsidR="003152C6" w:rsidRPr="003152C6">
        <w:rPr>
          <w:snapToGrid w:val="0"/>
          <w:lang w:val="en-GB"/>
        </w:rPr>
        <w:fldChar w:fldCharType="separate"/>
      </w:r>
      <w:r w:rsidR="003152C6" w:rsidRPr="003152C6">
        <w:rPr>
          <w:snapToGrid w:val="0"/>
          <w:lang w:val="en-GB"/>
        </w:rPr>
        <w:t>7.9</w:t>
      </w:r>
      <w:r w:rsidR="003152C6" w:rsidRPr="003152C6">
        <w:rPr>
          <w:snapToGrid w:val="0"/>
          <w:lang w:val="en-GB"/>
        </w:rPr>
        <w:fldChar w:fldCharType="end"/>
      </w:r>
      <w:r w:rsidR="003152C6" w:rsidRPr="003152C6">
        <w:rPr>
          <w:snapToGrid w:val="0"/>
          <w:lang w:val="en-GB"/>
        </w:rPr>
        <w:t xml:space="preserve">. </w:t>
      </w:r>
    </w:p>
    <w:p w14:paraId="4CCDCDD0" w14:textId="4B3EC67E" w:rsidR="003152C6" w:rsidRPr="003152C6" w:rsidRDefault="003152C6" w:rsidP="008B6633">
      <w:pPr>
        <w:pStyle w:val="ListBullet"/>
        <w:tabs>
          <w:tab w:val="clear" w:pos="360"/>
        </w:tabs>
        <w:ind w:left="993" w:hanging="284"/>
        <w:rPr>
          <w:snapToGrid w:val="0"/>
          <w:lang w:val="en-GB"/>
        </w:rPr>
      </w:pPr>
      <w:r w:rsidRPr="003152C6">
        <w:rPr>
          <w:snapToGrid w:val="0"/>
          <w:lang w:val="en-GB"/>
        </w:rPr>
        <w:lastRenderedPageBreak/>
        <w:t xml:space="preserve">Financial estimates should be updated to use more conservative, lower-end utilisation estimates, </w:t>
      </w:r>
      <w:r w:rsidR="00487BAA">
        <w:rPr>
          <w:snapToGrid w:val="0"/>
          <w:lang w:val="en-GB"/>
        </w:rPr>
        <w:t xml:space="preserve">separated into paediatric and adult patients, </w:t>
      </w:r>
      <w:r w:rsidRPr="003152C6">
        <w:rPr>
          <w:snapToGrid w:val="0"/>
          <w:lang w:val="en-GB"/>
        </w:rPr>
        <w:t xml:space="preserve">and the updated cost-effective price, as per paragraph </w:t>
      </w:r>
      <w:r w:rsidRPr="003152C6">
        <w:rPr>
          <w:snapToGrid w:val="0"/>
          <w:lang w:val="en-GB"/>
        </w:rPr>
        <w:fldChar w:fldCharType="begin"/>
      </w:r>
      <w:r w:rsidRPr="003152C6">
        <w:rPr>
          <w:snapToGrid w:val="0"/>
          <w:lang w:val="en-GB"/>
        </w:rPr>
        <w:instrText xml:space="preserve"> REF _Ref226365564 \r \h </w:instrText>
      </w:r>
      <w:r>
        <w:rPr>
          <w:snapToGrid w:val="0"/>
          <w:lang w:val="en-GB"/>
        </w:rPr>
        <w:instrText xml:space="preserve"> \* MERGEFORMAT </w:instrText>
      </w:r>
      <w:r w:rsidRPr="003152C6">
        <w:rPr>
          <w:snapToGrid w:val="0"/>
          <w:lang w:val="en-GB"/>
        </w:rPr>
      </w:r>
      <w:r w:rsidRPr="003152C6">
        <w:rPr>
          <w:snapToGrid w:val="0"/>
          <w:lang w:val="en-GB"/>
        </w:rPr>
        <w:fldChar w:fldCharType="separate"/>
      </w:r>
      <w:r w:rsidRPr="003152C6">
        <w:rPr>
          <w:snapToGrid w:val="0"/>
          <w:lang w:val="en-GB"/>
        </w:rPr>
        <w:t>7.10</w:t>
      </w:r>
      <w:r w:rsidRPr="003152C6">
        <w:rPr>
          <w:snapToGrid w:val="0"/>
          <w:lang w:val="en-GB"/>
        </w:rPr>
        <w:fldChar w:fldCharType="end"/>
      </w:r>
      <w:r w:rsidRPr="003152C6">
        <w:rPr>
          <w:snapToGrid w:val="0"/>
          <w:lang w:val="en-GB"/>
        </w:rPr>
        <w:t xml:space="preserve">. </w:t>
      </w:r>
    </w:p>
    <w:p w14:paraId="4B7F96B5" w14:textId="53F056A4" w:rsidR="003152C6" w:rsidRPr="003152C6" w:rsidRDefault="00487BAA" w:rsidP="008B6633">
      <w:pPr>
        <w:pStyle w:val="ListBullet"/>
        <w:tabs>
          <w:tab w:val="clear" w:pos="360"/>
        </w:tabs>
        <w:ind w:left="993" w:hanging="284"/>
        <w:rPr>
          <w:snapToGrid w:val="0"/>
          <w:lang w:val="en-GB"/>
        </w:rPr>
      </w:pPr>
      <w:r>
        <w:rPr>
          <w:snapToGrid w:val="0"/>
          <w:lang w:val="en-GB"/>
        </w:rPr>
        <w:t xml:space="preserve">Propose an </w:t>
      </w:r>
      <w:r w:rsidR="003152C6" w:rsidRPr="003152C6">
        <w:rPr>
          <w:snapToGrid w:val="0"/>
          <w:lang w:val="en-GB"/>
        </w:rPr>
        <w:t xml:space="preserve">RSA, as per paragraph </w:t>
      </w:r>
      <w:r w:rsidR="003152C6" w:rsidRPr="003152C6">
        <w:rPr>
          <w:snapToGrid w:val="0"/>
          <w:lang w:val="en-GB"/>
        </w:rPr>
        <w:fldChar w:fldCharType="begin"/>
      </w:r>
      <w:r w:rsidR="003152C6" w:rsidRPr="003152C6">
        <w:rPr>
          <w:snapToGrid w:val="0"/>
          <w:lang w:val="en-GB"/>
        </w:rPr>
        <w:instrText xml:space="preserve"> REF _Ref226365627 \r \h </w:instrText>
      </w:r>
      <w:r w:rsidR="003152C6">
        <w:rPr>
          <w:snapToGrid w:val="0"/>
          <w:lang w:val="en-GB"/>
        </w:rPr>
        <w:instrText xml:space="preserve"> \* MERGEFORMAT </w:instrText>
      </w:r>
      <w:r w:rsidR="003152C6" w:rsidRPr="003152C6">
        <w:rPr>
          <w:snapToGrid w:val="0"/>
          <w:lang w:val="en-GB"/>
        </w:rPr>
      </w:r>
      <w:r w:rsidR="003152C6" w:rsidRPr="003152C6">
        <w:rPr>
          <w:snapToGrid w:val="0"/>
          <w:lang w:val="en-GB"/>
        </w:rPr>
        <w:fldChar w:fldCharType="separate"/>
      </w:r>
      <w:r w:rsidR="003152C6" w:rsidRPr="003152C6">
        <w:rPr>
          <w:snapToGrid w:val="0"/>
          <w:lang w:val="en-GB"/>
        </w:rPr>
        <w:t>7.11</w:t>
      </w:r>
      <w:r w:rsidR="003152C6" w:rsidRPr="003152C6">
        <w:rPr>
          <w:snapToGrid w:val="0"/>
          <w:lang w:val="en-GB"/>
        </w:rPr>
        <w:fldChar w:fldCharType="end"/>
      </w:r>
      <w:r w:rsidR="003152C6" w:rsidRPr="003152C6">
        <w:rPr>
          <w:snapToGrid w:val="0"/>
          <w:lang w:val="en-GB"/>
        </w:rPr>
        <w:t xml:space="preserve">. </w:t>
      </w:r>
    </w:p>
    <w:p w14:paraId="68BCC8AF" w14:textId="77777777" w:rsidR="00CE4D56" w:rsidRDefault="00CE4D56" w:rsidP="008B6633">
      <w:pPr>
        <w:ind w:left="720"/>
        <w:rPr>
          <w:rFonts w:asciiTheme="minorHAnsi" w:hAnsiTheme="minorHAnsi"/>
          <w:snapToGrid w:val="0"/>
          <w:lang w:val="en-GB"/>
        </w:rPr>
      </w:pPr>
    </w:p>
    <w:p w14:paraId="0BE99B9B" w14:textId="10AA1A39" w:rsidR="00F165AE" w:rsidRDefault="00F165AE" w:rsidP="008B6633">
      <w:pPr>
        <w:ind w:left="720"/>
        <w:rPr>
          <w:rFonts w:asciiTheme="minorHAnsi" w:hAnsiTheme="minorHAnsi"/>
          <w:snapToGrid w:val="0"/>
          <w:lang w:val="en-GB"/>
        </w:rPr>
      </w:pPr>
      <w:r w:rsidRPr="003152C6">
        <w:rPr>
          <w:rFonts w:asciiTheme="minorHAnsi" w:hAnsiTheme="minorHAnsi"/>
          <w:snapToGrid w:val="0"/>
          <w:lang w:val="en-GB"/>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0CD78C32" w14:textId="4B6CB753" w:rsidR="00F165AE" w:rsidRPr="007D4707" w:rsidRDefault="00F165AE" w:rsidP="008B6633">
      <w:pPr>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 xml:space="preserve">The PBAC noted that this submission is eligible for an Independent Review. </w:t>
      </w:r>
    </w:p>
    <w:p w14:paraId="442A0792" w14:textId="77777777" w:rsidR="00F165AE" w:rsidRPr="00525B39" w:rsidRDefault="00F165AE" w:rsidP="008B6633">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EBC1104" w14:textId="77777777" w:rsidR="00E231DB" w:rsidRDefault="00F165AE" w:rsidP="005E1751">
      <w:pPr>
        <w:keepNext/>
        <w:spacing w:before="240" w:after="120"/>
        <w:ind w:left="720" w:hanging="720"/>
        <w:jc w:val="left"/>
        <w:outlineLvl w:val="0"/>
        <w:rPr>
          <w:rFonts w:asciiTheme="minorHAnsi" w:hAnsiTheme="minorHAnsi"/>
          <w:bCs/>
          <w:snapToGrid w:val="0"/>
          <w:lang w:val="en-GB"/>
        </w:rPr>
      </w:pPr>
      <w:r>
        <w:rPr>
          <w:rFonts w:asciiTheme="minorHAnsi" w:hAnsiTheme="minorHAnsi"/>
          <w:bCs/>
          <w:snapToGrid w:val="0"/>
          <w:lang w:val="en-GB"/>
        </w:rPr>
        <w:t>Not recommended</w:t>
      </w:r>
    </w:p>
    <w:p w14:paraId="6EF6D3AE" w14:textId="5F53038D" w:rsidR="005E1751" w:rsidRPr="005E1751" w:rsidRDefault="005E1751" w:rsidP="005E1751">
      <w:pPr>
        <w:keepNext/>
        <w:spacing w:before="240" w:after="120"/>
        <w:ind w:left="720" w:hanging="720"/>
        <w:jc w:val="left"/>
        <w:outlineLvl w:val="0"/>
        <w:rPr>
          <w:rFonts w:asciiTheme="minorHAnsi" w:hAnsiTheme="minorHAnsi"/>
          <w:b/>
          <w:snapToGrid w:val="0"/>
          <w:sz w:val="32"/>
          <w:szCs w:val="32"/>
          <w:lang w:val="en-GB" w:eastAsia="en-US"/>
        </w:rPr>
      </w:pPr>
      <w:r>
        <w:rPr>
          <w:rFonts w:asciiTheme="minorHAnsi" w:hAnsiTheme="minorHAnsi"/>
          <w:b/>
          <w:snapToGrid w:val="0"/>
          <w:sz w:val="32"/>
          <w:szCs w:val="32"/>
          <w:lang w:eastAsia="en-US"/>
        </w:rPr>
        <w:t>8</w:t>
      </w:r>
      <w:r w:rsidRPr="005E1751">
        <w:rPr>
          <w:rFonts w:asciiTheme="minorHAnsi" w:hAnsiTheme="minorHAnsi"/>
          <w:b/>
          <w:snapToGrid w:val="0"/>
          <w:sz w:val="32"/>
          <w:szCs w:val="32"/>
          <w:lang w:eastAsia="en-US"/>
        </w:rPr>
        <w:tab/>
        <w:t>Context for Decision</w:t>
      </w:r>
    </w:p>
    <w:p w14:paraId="0E23AD87" w14:textId="77777777" w:rsidR="005E1751" w:rsidRPr="005E1751" w:rsidRDefault="005E1751" w:rsidP="005E1751">
      <w:pPr>
        <w:spacing w:after="120"/>
        <w:ind w:left="720"/>
        <w:rPr>
          <w:rFonts w:cs="Calibri"/>
          <w:bCs/>
          <w:szCs w:val="22"/>
          <w:lang w:val="en-GB"/>
        </w:rPr>
      </w:pPr>
      <w:r w:rsidRPr="005E1751">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9C4DC81" w14:textId="6C65887B" w:rsidR="005E1751" w:rsidRPr="005E1751" w:rsidRDefault="005E1751" w:rsidP="005E1751">
      <w:pPr>
        <w:keepNext/>
        <w:spacing w:before="240" w:after="120"/>
        <w:ind w:left="720" w:hanging="720"/>
        <w:jc w:val="left"/>
        <w:outlineLvl w:val="0"/>
        <w:rPr>
          <w:rFonts w:asciiTheme="minorHAnsi" w:hAnsiTheme="minorHAnsi"/>
          <w:b/>
          <w:snapToGrid w:val="0"/>
          <w:sz w:val="32"/>
          <w:szCs w:val="32"/>
          <w:lang w:eastAsia="en-US"/>
        </w:rPr>
      </w:pPr>
      <w:r>
        <w:rPr>
          <w:rFonts w:asciiTheme="minorHAnsi" w:hAnsiTheme="minorHAnsi"/>
          <w:b/>
          <w:snapToGrid w:val="0"/>
          <w:sz w:val="32"/>
          <w:szCs w:val="32"/>
          <w:lang w:eastAsia="en-US"/>
        </w:rPr>
        <w:t>9</w:t>
      </w:r>
      <w:r w:rsidRPr="005E1751">
        <w:rPr>
          <w:rFonts w:asciiTheme="minorHAnsi" w:hAnsiTheme="minorHAnsi"/>
          <w:b/>
          <w:snapToGrid w:val="0"/>
          <w:sz w:val="32"/>
          <w:szCs w:val="32"/>
          <w:lang w:eastAsia="en-US"/>
        </w:rPr>
        <w:tab/>
        <w:t>Sponsor’s Comment</w:t>
      </w:r>
    </w:p>
    <w:p w14:paraId="1010F28D" w14:textId="5AE136AF" w:rsidR="00397641" w:rsidRPr="00525B39" w:rsidRDefault="005E1751" w:rsidP="005E1751">
      <w:pPr>
        <w:ind w:firstLine="720"/>
        <w:rPr>
          <w:rFonts w:asciiTheme="minorHAnsi" w:hAnsiTheme="minorHAnsi"/>
          <w:bCs/>
          <w:snapToGrid w:val="0"/>
          <w:lang w:val="en-GB"/>
        </w:rPr>
      </w:pPr>
      <w:r w:rsidRPr="005E1751">
        <w:rPr>
          <w:rFonts w:cs="Calibri"/>
          <w:bCs/>
          <w:szCs w:val="22"/>
          <w:lang w:eastAsia="en-US"/>
        </w:rPr>
        <w:t>The sponsor had no comment.</w:t>
      </w:r>
    </w:p>
    <w:bookmarkEnd w:id="93"/>
    <w:bookmarkEnd w:id="94"/>
    <w:p w14:paraId="0AF89EA1" w14:textId="479A83AB" w:rsidR="00E55915" w:rsidRPr="00275521" w:rsidRDefault="00E55915" w:rsidP="008B6633">
      <w:pPr>
        <w:jc w:val="left"/>
        <w:rPr>
          <w:rFonts w:asciiTheme="minorHAnsi" w:hAnsiTheme="minorHAnsi"/>
          <w:b/>
          <w:snapToGrid w:val="0"/>
          <w:sz w:val="32"/>
          <w:szCs w:val="32"/>
        </w:rPr>
      </w:pPr>
    </w:p>
    <w:sectPr w:rsidR="00E55915" w:rsidRPr="00275521" w:rsidSect="00D71B10">
      <w:headerReference w:type="even" r:id="rId23"/>
      <w:footerReference w:type="even" r:id="rId24"/>
      <w:headerReference w:type="first" r:id="rId25"/>
      <w:footerReference w:type="first" r:id="rId2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9ACC" w14:textId="77777777" w:rsidR="00B0302D" w:rsidRPr="00275521" w:rsidRDefault="00B0302D" w:rsidP="00124A51">
      <w:r w:rsidRPr="00275521">
        <w:separator/>
      </w:r>
    </w:p>
    <w:p w14:paraId="390D7B3F" w14:textId="77777777" w:rsidR="00B0302D" w:rsidRPr="00275521" w:rsidRDefault="00B0302D"/>
  </w:endnote>
  <w:endnote w:type="continuationSeparator" w:id="0">
    <w:p w14:paraId="448872EB" w14:textId="77777777" w:rsidR="00B0302D" w:rsidRPr="00275521" w:rsidRDefault="00B0302D" w:rsidP="00124A51">
      <w:r w:rsidRPr="00275521">
        <w:continuationSeparator/>
      </w:r>
    </w:p>
    <w:p w14:paraId="41AD68A1" w14:textId="77777777" w:rsidR="00B0302D" w:rsidRPr="00275521" w:rsidRDefault="00B03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hnschrift Condensed">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B485" w14:textId="5E97336E" w:rsidR="005D54B0" w:rsidRPr="00275521" w:rsidRDefault="00FD53BB">
    <w:pPr>
      <w:pStyle w:val="Footer"/>
    </w:pPr>
    <w:r>
      <w:rPr>
        <w:noProof/>
      </w:rPr>
      <mc:AlternateContent>
        <mc:Choice Requires="wps">
          <w:drawing>
            <wp:anchor distT="0" distB="0" distL="0" distR="0" simplePos="0" relativeHeight="251658246" behindDoc="0" locked="0" layoutInCell="1" allowOverlap="1" wp14:anchorId="699CFBF8" wp14:editId="5CF82A34">
              <wp:simplePos x="635" y="635"/>
              <wp:positionH relativeFrom="page">
                <wp:align>center</wp:align>
              </wp:positionH>
              <wp:positionV relativeFrom="page">
                <wp:align>bottom</wp:align>
              </wp:positionV>
              <wp:extent cx="622300" cy="376555"/>
              <wp:effectExtent l="0" t="0" r="6350" b="0"/>
              <wp:wrapNone/>
              <wp:docPr id="2296685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60555A" w14:textId="67B707F4"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CFBF8"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0160555A" w14:textId="67B707F4"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0E206281" w:rsidR="00D843F2" w:rsidRPr="00275521" w:rsidRDefault="00FD53BB" w:rsidP="00753B29">
    <w:pPr>
      <w:pStyle w:val="Footer"/>
      <w:jc w:val="center"/>
    </w:pPr>
    <w:r>
      <w:rPr>
        <w:noProof/>
      </w:rPr>
      <mc:AlternateContent>
        <mc:Choice Requires="wps">
          <w:drawing>
            <wp:anchor distT="0" distB="0" distL="0" distR="0" simplePos="0" relativeHeight="251658247" behindDoc="0" locked="0" layoutInCell="1" allowOverlap="1" wp14:anchorId="0B6FB214" wp14:editId="067D937B">
              <wp:simplePos x="635" y="635"/>
              <wp:positionH relativeFrom="page">
                <wp:align>center</wp:align>
              </wp:positionH>
              <wp:positionV relativeFrom="page">
                <wp:align>bottom</wp:align>
              </wp:positionV>
              <wp:extent cx="622300" cy="376555"/>
              <wp:effectExtent l="0" t="0" r="6350" b="0"/>
              <wp:wrapNone/>
              <wp:docPr id="136554531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011B3A" w14:textId="5C7E29E1"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FB21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03011B3A" w14:textId="5C7E29E1"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v:textbox>
              <w10:wrap anchorx="page" anchory="page"/>
            </v:shape>
          </w:pict>
        </mc:Fallback>
      </mc:AlternateContent>
    </w:r>
  </w:p>
  <w:p w14:paraId="37484CD3" w14:textId="1FFC0198" w:rsidR="00D843F2" w:rsidRPr="00275521" w:rsidRDefault="00B0302D" w:rsidP="006028D3">
    <w:pPr>
      <w:pStyle w:val="PageFooter"/>
    </w:pPr>
    <w:sdt>
      <w:sdtPr>
        <w:id w:val="1036156457"/>
        <w:docPartObj>
          <w:docPartGallery w:val="Page Numbers (Bottom of Page)"/>
          <w:docPartUnique/>
        </w:docPartObj>
      </w:sdtPr>
      <w:sdtEndPr/>
      <w:sdtContent>
        <w:r w:rsidR="00D843F2" w:rsidRPr="00275521">
          <w:fldChar w:fldCharType="begin"/>
        </w:r>
        <w:r w:rsidR="00D843F2" w:rsidRPr="00275521">
          <w:instrText xml:space="preserve"> PAGE   \* MERGEFORMAT </w:instrText>
        </w:r>
        <w:r w:rsidR="00D843F2" w:rsidRPr="00275521">
          <w:fldChar w:fldCharType="separate"/>
        </w:r>
        <w:r w:rsidR="00D843F2" w:rsidRPr="00275521">
          <w:t>2</w:t>
        </w:r>
        <w:r w:rsidR="00D843F2" w:rsidRPr="0027552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054C" w14:textId="22E79A1B" w:rsidR="005D54B0" w:rsidRPr="00275521" w:rsidRDefault="00FD53BB">
    <w:pPr>
      <w:pStyle w:val="Footer"/>
    </w:pPr>
    <w:r>
      <w:rPr>
        <w:noProof/>
      </w:rPr>
      <mc:AlternateContent>
        <mc:Choice Requires="wps">
          <w:drawing>
            <wp:anchor distT="0" distB="0" distL="0" distR="0" simplePos="0" relativeHeight="251658249" behindDoc="0" locked="0" layoutInCell="1" allowOverlap="1" wp14:anchorId="2A0FBA34" wp14:editId="480427D7">
              <wp:simplePos x="635" y="635"/>
              <wp:positionH relativeFrom="page">
                <wp:align>center</wp:align>
              </wp:positionH>
              <wp:positionV relativeFrom="page">
                <wp:align>bottom</wp:align>
              </wp:positionV>
              <wp:extent cx="622300" cy="376555"/>
              <wp:effectExtent l="0" t="0" r="6350" b="0"/>
              <wp:wrapNone/>
              <wp:docPr id="7464471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3BDD2D" w14:textId="7EA10227"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0FBA34"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673BDD2D" w14:textId="7EA10227"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F064" w14:textId="77777777" w:rsidR="009768DB" w:rsidRDefault="009768DB">
    <w:pPr>
      <w:pStyle w:val="Footer"/>
    </w:pPr>
    <w:r>
      <w:rPr>
        <w:noProof/>
      </w:rPr>
      <mc:AlternateContent>
        <mc:Choice Requires="wps">
          <w:drawing>
            <wp:anchor distT="0" distB="0" distL="0" distR="0" simplePos="0" relativeHeight="251658242" behindDoc="0" locked="0" layoutInCell="1" allowOverlap="1" wp14:anchorId="7E065B82" wp14:editId="54F17646">
              <wp:simplePos x="635" y="635"/>
              <wp:positionH relativeFrom="page">
                <wp:align>center</wp:align>
              </wp:positionH>
              <wp:positionV relativeFrom="page">
                <wp:align>bottom</wp:align>
              </wp:positionV>
              <wp:extent cx="551815" cy="376555"/>
              <wp:effectExtent l="0" t="0" r="635" b="0"/>
              <wp:wrapNone/>
              <wp:docPr id="15020488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3DC78E" w14:textId="77777777" w:rsidR="009768DB" w:rsidRPr="00290A93" w:rsidRDefault="009768DB">
                          <w:pPr>
                            <w:rPr>
                              <w:rFonts w:eastAsia="Calibri" w:cs="Calibri"/>
                              <w:noProof/>
                              <w:color w:val="FF0000"/>
                            </w:rPr>
                          </w:pPr>
                          <w:r w:rsidRPr="00290A9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65B82" id="_x0000_t202" coordsize="21600,21600" o:spt="202" path="m,l,21600r21600,l21600,xe">
              <v:stroke joinstyle="miter"/>
              <v:path gradientshapeok="t" o:connecttype="rect"/>
            </v:shapetype>
            <v:shape id="_x0000_s1033"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7E3DC78E" w14:textId="77777777" w:rsidR="009768DB" w:rsidRPr="00290A93" w:rsidRDefault="009768DB">
                    <w:pPr>
                      <w:rPr>
                        <w:rFonts w:eastAsia="Calibri" w:cs="Calibri"/>
                        <w:noProof/>
                        <w:color w:val="FF0000"/>
                      </w:rPr>
                    </w:pPr>
                    <w:r w:rsidRPr="00290A93">
                      <w:rPr>
                        <w:rFonts w:eastAsia="Calibri" w:cs="Calibri"/>
                        <w:noProof/>
                        <w:color w:val="FF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858B" w14:textId="77777777" w:rsidR="009768DB" w:rsidRDefault="009768DB">
    <w:pPr>
      <w:pStyle w:val="Footer"/>
    </w:pPr>
    <w:r>
      <w:rPr>
        <w:noProof/>
      </w:rPr>
      <mc:AlternateContent>
        <mc:Choice Requires="wps">
          <w:drawing>
            <wp:anchor distT="0" distB="0" distL="0" distR="0" simplePos="0" relativeHeight="251658243" behindDoc="0" locked="0" layoutInCell="1" allowOverlap="1" wp14:anchorId="1EBDA8EB" wp14:editId="6D05F578">
              <wp:simplePos x="635" y="635"/>
              <wp:positionH relativeFrom="page">
                <wp:align>center</wp:align>
              </wp:positionH>
              <wp:positionV relativeFrom="page">
                <wp:align>bottom</wp:align>
              </wp:positionV>
              <wp:extent cx="551815" cy="376555"/>
              <wp:effectExtent l="0" t="0" r="635" b="0"/>
              <wp:wrapNone/>
              <wp:docPr id="178841836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DBF788" w14:textId="77777777" w:rsidR="009768DB" w:rsidRPr="00290A93" w:rsidRDefault="009768DB">
                          <w:pPr>
                            <w:rPr>
                              <w:rFonts w:eastAsia="Calibri" w:cs="Calibri"/>
                              <w:noProof/>
                              <w:color w:val="FF0000"/>
                            </w:rPr>
                          </w:pPr>
                          <w:r w:rsidRPr="00290A93">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BDA8EB" id="_x0000_t202" coordsize="21600,21600" o:spt="202" path="m,l,21600r21600,l21600,xe">
              <v:stroke joinstyle="miter"/>
              <v:path gradientshapeok="t" o:connecttype="rect"/>
            </v:shapetype>
            <v:shape id="_x0000_s1035"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0DDBF788" w14:textId="77777777" w:rsidR="009768DB" w:rsidRPr="00290A93" w:rsidRDefault="009768DB">
                    <w:pPr>
                      <w:rPr>
                        <w:rFonts w:eastAsia="Calibri" w:cs="Calibri"/>
                        <w:noProof/>
                        <w:color w:val="FF0000"/>
                      </w:rPr>
                    </w:pPr>
                    <w:r w:rsidRPr="00290A93">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4F0D" w14:textId="77777777" w:rsidR="00B0302D" w:rsidRPr="00275521" w:rsidRDefault="00B0302D" w:rsidP="00124A51">
      <w:r w:rsidRPr="00275521">
        <w:separator/>
      </w:r>
    </w:p>
    <w:p w14:paraId="1CF89D9C" w14:textId="77777777" w:rsidR="00B0302D" w:rsidRPr="00275521" w:rsidRDefault="00B0302D"/>
  </w:footnote>
  <w:footnote w:type="continuationSeparator" w:id="0">
    <w:p w14:paraId="43D9E318" w14:textId="77777777" w:rsidR="00B0302D" w:rsidRPr="00275521" w:rsidRDefault="00B0302D" w:rsidP="00124A51">
      <w:r w:rsidRPr="00275521">
        <w:continuationSeparator/>
      </w:r>
    </w:p>
    <w:p w14:paraId="18E9DABA" w14:textId="77777777" w:rsidR="00B0302D" w:rsidRPr="00275521" w:rsidRDefault="00B0302D"/>
  </w:footnote>
  <w:footnote w:id="1">
    <w:p w14:paraId="75D7EF21" w14:textId="0C9E360C" w:rsidR="00F062E2" w:rsidRPr="00275521" w:rsidRDefault="00F062E2" w:rsidP="00F062E2">
      <w:pPr>
        <w:pStyle w:val="FootnoteText"/>
        <w:rPr>
          <w:sz w:val="18"/>
          <w:szCs w:val="18"/>
        </w:rPr>
      </w:pPr>
      <w:r w:rsidRPr="00275521">
        <w:rPr>
          <w:rStyle w:val="FootnoteReference"/>
          <w:sz w:val="18"/>
          <w:szCs w:val="18"/>
        </w:rPr>
        <w:footnoteRef/>
      </w:r>
      <w:r w:rsidRPr="00275521">
        <w:rPr>
          <w:sz w:val="18"/>
          <w:szCs w:val="18"/>
        </w:rPr>
        <w:t xml:space="preserve"> Singh SP, Pati GK. Alagille Syndrome and the Liver: Current Insights. Euroasian J Hepatogastroenterol, 2018;8(2):140-147</w:t>
      </w:r>
    </w:p>
  </w:footnote>
  <w:footnote w:id="2">
    <w:p w14:paraId="4AAF1E50" w14:textId="6924CD4E" w:rsidR="00285518" w:rsidRPr="00275521" w:rsidRDefault="00285518">
      <w:pPr>
        <w:pStyle w:val="FootnoteText"/>
        <w:rPr>
          <w:sz w:val="18"/>
          <w:szCs w:val="18"/>
        </w:rPr>
      </w:pPr>
      <w:r w:rsidRPr="00275521">
        <w:rPr>
          <w:rStyle w:val="FootnoteReference"/>
          <w:sz w:val="18"/>
          <w:szCs w:val="18"/>
        </w:rPr>
        <w:footnoteRef/>
      </w:r>
      <w:r w:rsidRPr="00275521">
        <w:rPr>
          <w:sz w:val="18"/>
          <w:szCs w:val="18"/>
        </w:rPr>
        <w:t xml:space="preserve"> Mouzaki et al. Early life predictive markers of liver disease outcome in an International, Multicentre Cohort of children with Alagille syndrome. Liver Int. 2016 May;36(5):755-60. doi: 10.1111/liv.12920.</w:t>
      </w:r>
    </w:p>
  </w:footnote>
  <w:footnote w:id="3">
    <w:p w14:paraId="1D3F630A" w14:textId="5E3D681E" w:rsidR="001D2F51" w:rsidRPr="00275521" w:rsidRDefault="001D2F51" w:rsidP="001D2F51">
      <w:pPr>
        <w:pStyle w:val="FootnoteText"/>
        <w:rPr>
          <w:sz w:val="18"/>
          <w:szCs w:val="18"/>
        </w:rPr>
      </w:pPr>
      <w:r w:rsidRPr="00275521">
        <w:rPr>
          <w:rStyle w:val="FootnoteReference"/>
          <w:sz w:val="18"/>
          <w:szCs w:val="18"/>
        </w:rPr>
        <w:footnoteRef/>
      </w:r>
      <w:r w:rsidRPr="00275521">
        <w:rPr>
          <w:sz w:val="18"/>
          <w:szCs w:val="18"/>
        </w:rPr>
        <w:t xml:space="preserve"> Zhou et al. (2022) Notch </w:t>
      </w:r>
      <w:r w:rsidR="002F6F16" w:rsidRPr="00275521">
        <w:rPr>
          <w:sz w:val="18"/>
          <w:szCs w:val="18"/>
        </w:rPr>
        <w:t>signalling</w:t>
      </w:r>
      <w:r w:rsidRPr="00275521">
        <w:rPr>
          <w:sz w:val="18"/>
          <w:szCs w:val="18"/>
        </w:rPr>
        <w:t xml:space="preserve"> pathway: architecture, disease, and therapeutics. Signal Transduct Target Ther, 7, 95.</w:t>
      </w:r>
    </w:p>
  </w:footnote>
  <w:footnote w:id="4">
    <w:p w14:paraId="06539F7B" w14:textId="0B1C84BA" w:rsidR="001B0193" w:rsidRPr="00275521" w:rsidRDefault="001B0193" w:rsidP="001B0193">
      <w:pPr>
        <w:pStyle w:val="FootnoteText"/>
        <w:rPr>
          <w:sz w:val="18"/>
          <w:szCs w:val="18"/>
        </w:rPr>
      </w:pPr>
      <w:r w:rsidRPr="00275521">
        <w:rPr>
          <w:rStyle w:val="FootnoteReference"/>
          <w:sz w:val="18"/>
          <w:szCs w:val="18"/>
        </w:rPr>
        <w:footnoteRef/>
      </w:r>
      <w:r w:rsidRPr="00275521">
        <w:rPr>
          <w:sz w:val="18"/>
          <w:szCs w:val="18"/>
        </w:rPr>
        <w:t xml:space="preserve"> Turnpenny 2012. Alagille syndrome: pathogenesis, diagnosis and management. European Journal of Human Genetics (2012) 20, 251–257. doi:10.1038/ejhg.2011.181</w:t>
      </w:r>
    </w:p>
  </w:footnote>
  <w:footnote w:id="5">
    <w:p w14:paraId="13DACE8D" w14:textId="77777777" w:rsidR="003C341D" w:rsidRPr="00275521" w:rsidRDefault="003C341D" w:rsidP="003C341D">
      <w:pPr>
        <w:pStyle w:val="FootnoteText"/>
      </w:pPr>
      <w:r w:rsidRPr="00275521">
        <w:rPr>
          <w:rStyle w:val="FootnoteReference"/>
          <w:sz w:val="18"/>
          <w:szCs w:val="18"/>
        </w:rPr>
        <w:footnoteRef/>
      </w:r>
      <w:r w:rsidRPr="00275521">
        <w:rPr>
          <w:sz w:val="18"/>
          <w:szCs w:val="18"/>
        </w:rPr>
        <w:t xml:space="preserve"> Kamath BM, Bason L, Piccoli DA, Krantz ID, Spinner NB. Consequences of JAG1 mutations. J Med Genet. 2003 Dec;40(12):891-5. doi: 10.1136/jmg.40.12.891.</w:t>
      </w:r>
    </w:p>
  </w:footnote>
  <w:footnote w:id="6">
    <w:p w14:paraId="28260358" w14:textId="77777777" w:rsidR="00BD32C4" w:rsidRPr="00275521" w:rsidRDefault="00BD32C4" w:rsidP="00BD32C4">
      <w:pPr>
        <w:pStyle w:val="FootnoteText"/>
        <w:rPr>
          <w:sz w:val="18"/>
          <w:szCs w:val="18"/>
        </w:rPr>
      </w:pPr>
      <w:r w:rsidRPr="00275521">
        <w:rPr>
          <w:rStyle w:val="FootnoteReference"/>
          <w:sz w:val="18"/>
          <w:szCs w:val="18"/>
        </w:rPr>
        <w:footnoteRef/>
      </w:r>
      <w:r w:rsidRPr="00275521">
        <w:rPr>
          <w:sz w:val="18"/>
          <w:szCs w:val="18"/>
        </w:rPr>
        <w:t xml:space="preserve"> Vandriel et al. Global ALagille Alliance (GALA) Study Group. Natural history of liver disease in a large international cohort of children with Alagille syndrome: Results from the GALA study. Hepatology. 2023 Feb 1;77(2):512-529. doi: 10.1002/hep.32761. </w:t>
      </w:r>
    </w:p>
  </w:footnote>
  <w:footnote w:id="7">
    <w:p w14:paraId="12A90BA3" w14:textId="77777777" w:rsidR="00191D62" w:rsidRPr="00275521" w:rsidRDefault="00191D62" w:rsidP="00191D62">
      <w:pPr>
        <w:pStyle w:val="FootnoteText"/>
        <w:rPr>
          <w:sz w:val="18"/>
          <w:szCs w:val="18"/>
        </w:rPr>
      </w:pPr>
      <w:r w:rsidRPr="00275521">
        <w:rPr>
          <w:rStyle w:val="FootnoteReference"/>
          <w:sz w:val="18"/>
          <w:szCs w:val="18"/>
        </w:rPr>
        <w:footnoteRef/>
      </w:r>
      <w:r w:rsidRPr="00275521">
        <w:rPr>
          <w:sz w:val="18"/>
          <w:szCs w:val="18"/>
        </w:rPr>
        <w:t xml:space="preserve"> Verkade, Henkjan J. et al. EASL Clinical Practice Guidelines on genetic cholestatic liver diseases. Journal of Hepatology, Volume 81, Issue 2, 303 - 325</w:t>
      </w:r>
    </w:p>
  </w:footnote>
  <w:footnote w:id="8">
    <w:p w14:paraId="64380A02" w14:textId="77777777" w:rsidR="008545F4" w:rsidRPr="00275521" w:rsidRDefault="008545F4" w:rsidP="008545F4">
      <w:pPr>
        <w:pStyle w:val="FootnoteText"/>
      </w:pPr>
      <w:r w:rsidRPr="00275521">
        <w:rPr>
          <w:rStyle w:val="FootnoteReference"/>
          <w:sz w:val="18"/>
          <w:szCs w:val="18"/>
        </w:rPr>
        <w:footnoteRef/>
      </w:r>
      <w:r w:rsidRPr="00275521">
        <w:rPr>
          <w:sz w:val="18"/>
          <w:szCs w:val="18"/>
        </w:rPr>
        <w:t xml:space="preserve"> Verkade, Henkjan J. et al. EASL Clinical Practice Guidelines on genetic cholestatic liver diseases. Journal of Hepatology, Volume 81, Issue 2, 303 - 325</w:t>
      </w:r>
    </w:p>
  </w:footnote>
  <w:footnote w:id="9">
    <w:p w14:paraId="4EBFE16E" w14:textId="77777777" w:rsidR="009039CB" w:rsidRPr="00275521" w:rsidRDefault="009039CB" w:rsidP="009039CB">
      <w:pPr>
        <w:pStyle w:val="FootnoteText"/>
        <w:rPr>
          <w:sz w:val="18"/>
          <w:szCs w:val="18"/>
        </w:rPr>
      </w:pPr>
      <w:r w:rsidRPr="00275521">
        <w:rPr>
          <w:rStyle w:val="FootnoteReference"/>
          <w:sz w:val="18"/>
          <w:szCs w:val="18"/>
        </w:rPr>
        <w:footnoteRef/>
      </w:r>
      <w:r w:rsidRPr="00275521">
        <w:rPr>
          <w:sz w:val="18"/>
          <w:szCs w:val="18"/>
        </w:rPr>
        <w:t xml:space="preserve"> Perez CFM et al., Elevated Serum Bile Acids Predict Poor Liver Outcomes in Children With Alagille Syndrome: Results From the GALA Study Group. Liver Int. 2025 Dec;45(12):e70423. doi: 10.1111/liv.70423. PMID: 41250932; PMCID: PMC12625800.</w:t>
      </w:r>
    </w:p>
  </w:footnote>
  <w:footnote w:id="10">
    <w:p w14:paraId="77B038A0" w14:textId="276B2351" w:rsidR="008561B5" w:rsidRPr="00275521" w:rsidRDefault="008561B5">
      <w:pPr>
        <w:pStyle w:val="FootnoteText"/>
        <w:rPr>
          <w:sz w:val="18"/>
          <w:szCs w:val="18"/>
        </w:rPr>
      </w:pPr>
      <w:r w:rsidRPr="00275521">
        <w:rPr>
          <w:rStyle w:val="FootnoteReference"/>
          <w:sz w:val="18"/>
          <w:szCs w:val="18"/>
        </w:rPr>
        <w:footnoteRef/>
      </w:r>
      <w:r w:rsidRPr="00275521">
        <w:rPr>
          <w:sz w:val="18"/>
          <w:szCs w:val="18"/>
        </w:rPr>
        <w:t xml:space="preserve"> https://www.ema.europa.eu/en/documents/variation-report/kayfanda-h-c-006462-ii-0001-g-epar-assessment-report-variation_en.pdf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DB46" w14:textId="7009B422" w:rsidR="005D54B0" w:rsidRPr="00275521" w:rsidRDefault="00FD53BB">
    <w:pPr>
      <w:pStyle w:val="Header"/>
    </w:pPr>
    <w:r>
      <w:rPr>
        <w:noProof/>
      </w:rPr>
      <mc:AlternateContent>
        <mc:Choice Requires="wps">
          <w:drawing>
            <wp:anchor distT="0" distB="0" distL="0" distR="0" simplePos="0" relativeHeight="251658244" behindDoc="0" locked="0" layoutInCell="1" allowOverlap="1" wp14:anchorId="3F506986" wp14:editId="330FFD93">
              <wp:simplePos x="635" y="635"/>
              <wp:positionH relativeFrom="page">
                <wp:align>center</wp:align>
              </wp:positionH>
              <wp:positionV relativeFrom="page">
                <wp:align>top</wp:align>
              </wp:positionV>
              <wp:extent cx="622300" cy="376555"/>
              <wp:effectExtent l="0" t="0" r="6350" b="4445"/>
              <wp:wrapNone/>
              <wp:docPr id="9326700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12FE02" w14:textId="6DA770C2"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06986"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212FE02" w14:textId="6DA770C2"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1B700FB7" w:rsidR="00D843F2" w:rsidRPr="00275521" w:rsidRDefault="00521339" w:rsidP="00D822E2">
    <w:pPr>
      <w:pStyle w:val="Header"/>
      <w:rPr>
        <w:rFonts w:asciiTheme="minorHAnsi" w:hAnsiTheme="minorHAnsi"/>
        <w:i w:val="0"/>
        <w:color w:val="808080"/>
      </w:rPr>
    </w:pPr>
    <w:r>
      <w:rPr>
        <w:rFonts w:asciiTheme="minorHAnsi" w:hAnsiTheme="minorHAnsi"/>
        <w:color w:val="808080"/>
      </w:rPr>
      <w:t xml:space="preserve">Public Summary Document </w:t>
    </w:r>
    <w:r w:rsidR="006F71F4" w:rsidRPr="00056684">
      <w:rPr>
        <w:rFonts w:asciiTheme="minorHAnsi" w:hAnsiTheme="minorHAnsi"/>
        <w:color w:val="808080"/>
      </w:rPr>
      <w:t xml:space="preserve">– </w:t>
    </w:r>
    <w:r w:rsidR="00FD53BB">
      <w:rPr>
        <w:rFonts w:asciiTheme="minorHAnsi" w:hAnsiTheme="minorHAnsi"/>
        <w:noProof/>
        <w:color w:val="808080"/>
      </w:rPr>
      <mc:AlternateContent>
        <mc:Choice Requires="wps">
          <w:drawing>
            <wp:anchor distT="0" distB="0" distL="0" distR="0" simplePos="0" relativeHeight="251658245" behindDoc="0" locked="0" layoutInCell="1" allowOverlap="1" wp14:anchorId="005009C3" wp14:editId="24315C79">
              <wp:simplePos x="635" y="635"/>
              <wp:positionH relativeFrom="page">
                <wp:align>center</wp:align>
              </wp:positionH>
              <wp:positionV relativeFrom="page">
                <wp:align>top</wp:align>
              </wp:positionV>
              <wp:extent cx="622300" cy="376555"/>
              <wp:effectExtent l="0" t="0" r="6350" b="4445"/>
              <wp:wrapNone/>
              <wp:docPr id="16662949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13F3E0" w14:textId="587FA0D0"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5009C3"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013F3E0" w14:textId="587FA0D0"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v:textbox>
              <w10:wrap anchorx="page" anchory="page"/>
            </v:shape>
          </w:pict>
        </mc:Fallback>
      </mc:AlternateContent>
    </w:r>
    <w:r w:rsidR="00FF7458" w:rsidRPr="00275521">
      <w:rPr>
        <w:rFonts w:asciiTheme="minorHAnsi" w:hAnsiTheme="minorHAnsi"/>
        <w:color w:val="808080"/>
      </w:rPr>
      <w:t>March 2026</w:t>
    </w:r>
    <w:r w:rsidR="00D843F2" w:rsidRPr="00275521">
      <w:rPr>
        <w:rFonts w:asciiTheme="minorHAnsi" w:hAnsiTheme="minorHAnsi"/>
        <w:color w:val="808080"/>
      </w:rPr>
      <w:t xml:space="preserve"> PBAC Meeting</w:t>
    </w:r>
  </w:p>
  <w:p w14:paraId="03AF943B" w14:textId="77777777" w:rsidR="00D843F2" w:rsidRPr="00275521"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D82C" w14:textId="24C98A47" w:rsidR="005D54B0" w:rsidRPr="00275521" w:rsidRDefault="00FD53BB">
    <w:pPr>
      <w:pStyle w:val="Header"/>
    </w:pPr>
    <w:r>
      <w:rPr>
        <w:noProof/>
      </w:rPr>
      <mc:AlternateContent>
        <mc:Choice Requires="wps">
          <w:drawing>
            <wp:anchor distT="0" distB="0" distL="0" distR="0" simplePos="0" relativeHeight="251658248" behindDoc="0" locked="0" layoutInCell="1" allowOverlap="1" wp14:anchorId="62CA8315" wp14:editId="069F9DF2">
              <wp:simplePos x="635" y="635"/>
              <wp:positionH relativeFrom="page">
                <wp:align>center</wp:align>
              </wp:positionH>
              <wp:positionV relativeFrom="page">
                <wp:align>top</wp:align>
              </wp:positionV>
              <wp:extent cx="622300" cy="376555"/>
              <wp:effectExtent l="0" t="0" r="6350" b="4445"/>
              <wp:wrapNone/>
              <wp:docPr id="9531541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D8E4BB" w14:textId="52CB8C82"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CA8315"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3D8E4BB" w14:textId="52CB8C82" w:rsidR="00FD53BB" w:rsidRPr="00FD53BB" w:rsidRDefault="00FD53BB" w:rsidP="00FD53BB">
                    <w:pPr>
                      <w:rPr>
                        <w:rFonts w:ascii="Aptos" w:eastAsia="Aptos" w:hAnsi="Aptos" w:cs="Aptos"/>
                        <w:noProof/>
                        <w:color w:val="FF0000"/>
                      </w:rPr>
                    </w:pPr>
                    <w:r w:rsidRPr="00FD53BB">
                      <w:rPr>
                        <w:rFonts w:ascii="Aptos" w:eastAsia="Aptos" w:hAnsi="Aptos" w:cs="Aptos"/>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15C1" w14:textId="77777777" w:rsidR="009768DB" w:rsidRDefault="009768DB">
    <w:pPr>
      <w:pStyle w:val="Header"/>
    </w:pPr>
    <w:r>
      <w:rPr>
        <w:noProof/>
      </w:rPr>
      <mc:AlternateContent>
        <mc:Choice Requires="wps">
          <w:drawing>
            <wp:anchor distT="0" distB="0" distL="0" distR="0" simplePos="0" relativeHeight="251658240" behindDoc="0" locked="0" layoutInCell="1" allowOverlap="1" wp14:anchorId="0CE5C018" wp14:editId="65070FCA">
              <wp:simplePos x="635" y="635"/>
              <wp:positionH relativeFrom="page">
                <wp:align>center</wp:align>
              </wp:positionH>
              <wp:positionV relativeFrom="page">
                <wp:align>top</wp:align>
              </wp:positionV>
              <wp:extent cx="551815" cy="376555"/>
              <wp:effectExtent l="0" t="0" r="635" b="4445"/>
              <wp:wrapNone/>
              <wp:docPr id="5385020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D95A97" w14:textId="77777777" w:rsidR="009768DB" w:rsidRPr="00290A93" w:rsidRDefault="009768DB">
                          <w:pPr>
                            <w:rPr>
                              <w:rFonts w:eastAsia="Calibri" w:cs="Calibri"/>
                              <w:noProof/>
                              <w:color w:val="FF0000"/>
                            </w:rPr>
                          </w:pPr>
                          <w:r w:rsidRPr="00290A9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E5C018" id="_x0000_t202" coordsize="21600,21600" o:spt="202" path="m,l,21600r21600,l21600,xe">
              <v:stroke joinstyle="miter"/>
              <v:path gradientshapeok="t" o:connecttype="rect"/>
            </v:shapetype>
            <v:shape id="_x0000_s1032"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45D95A97" w14:textId="77777777" w:rsidR="009768DB" w:rsidRPr="00290A93" w:rsidRDefault="009768DB">
                    <w:pPr>
                      <w:rPr>
                        <w:rFonts w:eastAsia="Calibri" w:cs="Calibri"/>
                        <w:noProof/>
                        <w:color w:val="FF0000"/>
                      </w:rPr>
                    </w:pPr>
                    <w:r w:rsidRPr="00290A93">
                      <w:rPr>
                        <w:rFonts w:eastAsia="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8E40" w14:textId="77777777" w:rsidR="009768DB" w:rsidRDefault="009768DB">
    <w:pPr>
      <w:pStyle w:val="Header"/>
    </w:pPr>
    <w:r>
      <w:rPr>
        <w:noProof/>
      </w:rPr>
      <mc:AlternateContent>
        <mc:Choice Requires="wps">
          <w:drawing>
            <wp:anchor distT="0" distB="0" distL="0" distR="0" simplePos="0" relativeHeight="251658241" behindDoc="0" locked="0" layoutInCell="1" allowOverlap="1" wp14:anchorId="43F2E5E7" wp14:editId="586AA22A">
              <wp:simplePos x="635" y="635"/>
              <wp:positionH relativeFrom="page">
                <wp:align>center</wp:align>
              </wp:positionH>
              <wp:positionV relativeFrom="page">
                <wp:align>top</wp:align>
              </wp:positionV>
              <wp:extent cx="551815" cy="376555"/>
              <wp:effectExtent l="0" t="0" r="635" b="4445"/>
              <wp:wrapNone/>
              <wp:docPr id="7696057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7F85D6" w14:textId="77777777" w:rsidR="009768DB" w:rsidRPr="00290A93" w:rsidRDefault="009768DB">
                          <w:pPr>
                            <w:rPr>
                              <w:rFonts w:eastAsia="Calibri" w:cs="Calibri"/>
                              <w:noProof/>
                              <w:color w:val="FF0000"/>
                            </w:rPr>
                          </w:pPr>
                          <w:r w:rsidRPr="00290A93">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F2E5E7" id="_x0000_t202" coordsize="21600,21600" o:spt="202" path="m,l,21600r21600,l21600,xe">
              <v:stroke joinstyle="miter"/>
              <v:path gradientshapeok="t" o:connecttype="rect"/>
            </v:shapetype>
            <v:shape id="_x0000_s1034"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157F85D6" w14:textId="77777777" w:rsidR="009768DB" w:rsidRPr="00290A93" w:rsidRDefault="009768DB">
                    <w:pPr>
                      <w:rPr>
                        <w:rFonts w:eastAsia="Calibri" w:cs="Calibri"/>
                        <w:noProof/>
                        <w:color w:val="FF0000"/>
                      </w:rPr>
                    </w:pPr>
                    <w:r w:rsidRPr="00290A93">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166FC"/>
    <w:multiLevelType w:val="hybridMultilevel"/>
    <w:tmpl w:val="BD0AAAEC"/>
    <w:lvl w:ilvl="0" w:tplc="0C090001">
      <w:start w:val="1"/>
      <w:numFmt w:val="bullet"/>
      <w:lvlText w:val=""/>
      <w:lvlJc w:val="left"/>
      <w:pPr>
        <w:ind w:left="742" w:hanging="360"/>
      </w:pPr>
      <w:rPr>
        <w:rFonts w:ascii="Symbol" w:hAnsi="Symbol" w:hint="default"/>
      </w:rPr>
    </w:lvl>
    <w:lvl w:ilvl="1" w:tplc="0C090003">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2" w15:restartNumberingAfterBreak="0">
    <w:nsid w:val="05250F2D"/>
    <w:multiLevelType w:val="hybridMultilevel"/>
    <w:tmpl w:val="ECEEEA16"/>
    <w:lvl w:ilvl="0" w:tplc="E402AF5A">
      <w:start w:val="1"/>
      <w:numFmt w:val="bullet"/>
      <w:lvlText w:val=""/>
      <w:lvlJc w:val="left"/>
      <w:pPr>
        <w:ind w:left="1020" w:hanging="360"/>
      </w:pPr>
      <w:rPr>
        <w:rFonts w:ascii="Symbol" w:hAnsi="Symbol"/>
      </w:rPr>
    </w:lvl>
    <w:lvl w:ilvl="1" w:tplc="85429F70">
      <w:start w:val="1"/>
      <w:numFmt w:val="bullet"/>
      <w:lvlText w:val=""/>
      <w:lvlJc w:val="left"/>
      <w:pPr>
        <w:ind w:left="1020" w:hanging="360"/>
      </w:pPr>
      <w:rPr>
        <w:rFonts w:ascii="Symbol" w:hAnsi="Symbol"/>
      </w:rPr>
    </w:lvl>
    <w:lvl w:ilvl="2" w:tplc="2F1C9A92">
      <w:start w:val="1"/>
      <w:numFmt w:val="bullet"/>
      <w:lvlText w:val=""/>
      <w:lvlJc w:val="left"/>
      <w:pPr>
        <w:ind w:left="1020" w:hanging="360"/>
      </w:pPr>
      <w:rPr>
        <w:rFonts w:ascii="Symbol" w:hAnsi="Symbol"/>
      </w:rPr>
    </w:lvl>
    <w:lvl w:ilvl="3" w:tplc="5A2CD2C2">
      <w:start w:val="1"/>
      <w:numFmt w:val="bullet"/>
      <w:lvlText w:val=""/>
      <w:lvlJc w:val="left"/>
      <w:pPr>
        <w:ind w:left="1020" w:hanging="360"/>
      </w:pPr>
      <w:rPr>
        <w:rFonts w:ascii="Symbol" w:hAnsi="Symbol"/>
      </w:rPr>
    </w:lvl>
    <w:lvl w:ilvl="4" w:tplc="04163F20">
      <w:start w:val="1"/>
      <w:numFmt w:val="bullet"/>
      <w:lvlText w:val=""/>
      <w:lvlJc w:val="left"/>
      <w:pPr>
        <w:ind w:left="1020" w:hanging="360"/>
      </w:pPr>
      <w:rPr>
        <w:rFonts w:ascii="Symbol" w:hAnsi="Symbol"/>
      </w:rPr>
    </w:lvl>
    <w:lvl w:ilvl="5" w:tplc="09DC89E8">
      <w:start w:val="1"/>
      <w:numFmt w:val="bullet"/>
      <w:lvlText w:val=""/>
      <w:lvlJc w:val="left"/>
      <w:pPr>
        <w:ind w:left="1020" w:hanging="360"/>
      </w:pPr>
      <w:rPr>
        <w:rFonts w:ascii="Symbol" w:hAnsi="Symbol"/>
      </w:rPr>
    </w:lvl>
    <w:lvl w:ilvl="6" w:tplc="FB627A2E">
      <w:start w:val="1"/>
      <w:numFmt w:val="bullet"/>
      <w:lvlText w:val=""/>
      <w:lvlJc w:val="left"/>
      <w:pPr>
        <w:ind w:left="1020" w:hanging="360"/>
      </w:pPr>
      <w:rPr>
        <w:rFonts w:ascii="Symbol" w:hAnsi="Symbol"/>
      </w:rPr>
    </w:lvl>
    <w:lvl w:ilvl="7" w:tplc="AB06AF26">
      <w:start w:val="1"/>
      <w:numFmt w:val="bullet"/>
      <w:lvlText w:val=""/>
      <w:lvlJc w:val="left"/>
      <w:pPr>
        <w:ind w:left="1020" w:hanging="360"/>
      </w:pPr>
      <w:rPr>
        <w:rFonts w:ascii="Symbol" w:hAnsi="Symbol"/>
      </w:rPr>
    </w:lvl>
    <w:lvl w:ilvl="8" w:tplc="F9E800B6">
      <w:start w:val="1"/>
      <w:numFmt w:val="bullet"/>
      <w:lvlText w:val=""/>
      <w:lvlJc w:val="left"/>
      <w:pPr>
        <w:ind w:left="1020" w:hanging="360"/>
      </w:pPr>
      <w:rPr>
        <w:rFonts w:ascii="Symbol" w:hAnsi="Symbol"/>
      </w:rPr>
    </w:lvl>
  </w:abstractNum>
  <w:abstractNum w:abstractNumId="3" w15:restartNumberingAfterBreak="0">
    <w:nsid w:val="092A43B8"/>
    <w:multiLevelType w:val="hybridMultilevel"/>
    <w:tmpl w:val="77489D72"/>
    <w:lvl w:ilvl="0" w:tplc="CDB2B806">
      <w:start w:val="1"/>
      <w:numFmt w:val="bullet"/>
      <w:lvlText w:val=""/>
      <w:lvlJc w:val="left"/>
      <w:pPr>
        <w:ind w:left="1420" w:hanging="360"/>
      </w:pPr>
      <w:rPr>
        <w:rFonts w:ascii="Symbol" w:hAnsi="Symbol"/>
      </w:rPr>
    </w:lvl>
    <w:lvl w:ilvl="1" w:tplc="5DB0C5AC">
      <w:start w:val="1"/>
      <w:numFmt w:val="bullet"/>
      <w:lvlText w:val=""/>
      <w:lvlJc w:val="left"/>
      <w:pPr>
        <w:ind w:left="1420" w:hanging="360"/>
      </w:pPr>
      <w:rPr>
        <w:rFonts w:ascii="Symbol" w:hAnsi="Symbol"/>
      </w:rPr>
    </w:lvl>
    <w:lvl w:ilvl="2" w:tplc="0E1A53CA">
      <w:start w:val="1"/>
      <w:numFmt w:val="bullet"/>
      <w:lvlText w:val=""/>
      <w:lvlJc w:val="left"/>
      <w:pPr>
        <w:ind w:left="1420" w:hanging="360"/>
      </w:pPr>
      <w:rPr>
        <w:rFonts w:ascii="Symbol" w:hAnsi="Symbol"/>
      </w:rPr>
    </w:lvl>
    <w:lvl w:ilvl="3" w:tplc="C680D06C">
      <w:start w:val="1"/>
      <w:numFmt w:val="bullet"/>
      <w:lvlText w:val=""/>
      <w:lvlJc w:val="left"/>
      <w:pPr>
        <w:ind w:left="1420" w:hanging="360"/>
      </w:pPr>
      <w:rPr>
        <w:rFonts w:ascii="Symbol" w:hAnsi="Symbol"/>
      </w:rPr>
    </w:lvl>
    <w:lvl w:ilvl="4" w:tplc="3DC2946A">
      <w:start w:val="1"/>
      <w:numFmt w:val="bullet"/>
      <w:lvlText w:val=""/>
      <w:lvlJc w:val="left"/>
      <w:pPr>
        <w:ind w:left="1420" w:hanging="360"/>
      </w:pPr>
      <w:rPr>
        <w:rFonts w:ascii="Symbol" w:hAnsi="Symbol"/>
      </w:rPr>
    </w:lvl>
    <w:lvl w:ilvl="5" w:tplc="0AD62236">
      <w:start w:val="1"/>
      <w:numFmt w:val="bullet"/>
      <w:lvlText w:val=""/>
      <w:lvlJc w:val="left"/>
      <w:pPr>
        <w:ind w:left="1420" w:hanging="360"/>
      </w:pPr>
      <w:rPr>
        <w:rFonts w:ascii="Symbol" w:hAnsi="Symbol"/>
      </w:rPr>
    </w:lvl>
    <w:lvl w:ilvl="6" w:tplc="FE70C990">
      <w:start w:val="1"/>
      <w:numFmt w:val="bullet"/>
      <w:lvlText w:val=""/>
      <w:lvlJc w:val="left"/>
      <w:pPr>
        <w:ind w:left="1420" w:hanging="360"/>
      </w:pPr>
      <w:rPr>
        <w:rFonts w:ascii="Symbol" w:hAnsi="Symbol"/>
      </w:rPr>
    </w:lvl>
    <w:lvl w:ilvl="7" w:tplc="354AD376">
      <w:start w:val="1"/>
      <w:numFmt w:val="bullet"/>
      <w:lvlText w:val=""/>
      <w:lvlJc w:val="left"/>
      <w:pPr>
        <w:ind w:left="1420" w:hanging="360"/>
      </w:pPr>
      <w:rPr>
        <w:rFonts w:ascii="Symbol" w:hAnsi="Symbol"/>
      </w:rPr>
    </w:lvl>
    <w:lvl w:ilvl="8" w:tplc="DE20FD20">
      <w:start w:val="1"/>
      <w:numFmt w:val="bullet"/>
      <w:lvlText w:val=""/>
      <w:lvlJc w:val="left"/>
      <w:pPr>
        <w:ind w:left="1420" w:hanging="360"/>
      </w:pPr>
      <w:rPr>
        <w:rFonts w:ascii="Symbol" w:hAnsi="Symbol"/>
      </w:rPr>
    </w:lvl>
  </w:abstractNum>
  <w:abstractNum w:abstractNumId="4" w15:restartNumberingAfterBreak="0">
    <w:nsid w:val="0A121391"/>
    <w:multiLevelType w:val="hybridMultilevel"/>
    <w:tmpl w:val="8C46E790"/>
    <w:lvl w:ilvl="0" w:tplc="123A7B82">
      <w:start w:val="1"/>
      <w:numFmt w:val="bullet"/>
      <w:lvlText w:val=""/>
      <w:lvlJc w:val="left"/>
      <w:pPr>
        <w:ind w:left="2520" w:hanging="360"/>
      </w:pPr>
      <w:rPr>
        <w:rFonts w:ascii="Symbol" w:hAnsi="Symbol"/>
      </w:rPr>
    </w:lvl>
    <w:lvl w:ilvl="1" w:tplc="9E2CA59A">
      <w:start w:val="1"/>
      <w:numFmt w:val="bullet"/>
      <w:lvlText w:val=""/>
      <w:lvlJc w:val="left"/>
      <w:pPr>
        <w:ind w:left="2520" w:hanging="360"/>
      </w:pPr>
      <w:rPr>
        <w:rFonts w:ascii="Symbol" w:hAnsi="Symbol"/>
      </w:rPr>
    </w:lvl>
    <w:lvl w:ilvl="2" w:tplc="AAB09C46">
      <w:start w:val="1"/>
      <w:numFmt w:val="bullet"/>
      <w:lvlText w:val=""/>
      <w:lvlJc w:val="left"/>
      <w:pPr>
        <w:ind w:left="2520" w:hanging="360"/>
      </w:pPr>
      <w:rPr>
        <w:rFonts w:ascii="Symbol" w:hAnsi="Symbol"/>
      </w:rPr>
    </w:lvl>
    <w:lvl w:ilvl="3" w:tplc="97841362">
      <w:start w:val="1"/>
      <w:numFmt w:val="bullet"/>
      <w:lvlText w:val=""/>
      <w:lvlJc w:val="left"/>
      <w:pPr>
        <w:ind w:left="2520" w:hanging="360"/>
      </w:pPr>
      <w:rPr>
        <w:rFonts w:ascii="Symbol" w:hAnsi="Symbol"/>
      </w:rPr>
    </w:lvl>
    <w:lvl w:ilvl="4" w:tplc="01E4C84E">
      <w:start w:val="1"/>
      <w:numFmt w:val="bullet"/>
      <w:lvlText w:val=""/>
      <w:lvlJc w:val="left"/>
      <w:pPr>
        <w:ind w:left="2520" w:hanging="360"/>
      </w:pPr>
      <w:rPr>
        <w:rFonts w:ascii="Symbol" w:hAnsi="Symbol"/>
      </w:rPr>
    </w:lvl>
    <w:lvl w:ilvl="5" w:tplc="FC004A60">
      <w:start w:val="1"/>
      <w:numFmt w:val="bullet"/>
      <w:lvlText w:val=""/>
      <w:lvlJc w:val="left"/>
      <w:pPr>
        <w:ind w:left="2520" w:hanging="360"/>
      </w:pPr>
      <w:rPr>
        <w:rFonts w:ascii="Symbol" w:hAnsi="Symbol"/>
      </w:rPr>
    </w:lvl>
    <w:lvl w:ilvl="6" w:tplc="A9ACCD10">
      <w:start w:val="1"/>
      <w:numFmt w:val="bullet"/>
      <w:lvlText w:val=""/>
      <w:lvlJc w:val="left"/>
      <w:pPr>
        <w:ind w:left="2520" w:hanging="360"/>
      </w:pPr>
      <w:rPr>
        <w:rFonts w:ascii="Symbol" w:hAnsi="Symbol"/>
      </w:rPr>
    </w:lvl>
    <w:lvl w:ilvl="7" w:tplc="81EEF878">
      <w:start w:val="1"/>
      <w:numFmt w:val="bullet"/>
      <w:lvlText w:val=""/>
      <w:lvlJc w:val="left"/>
      <w:pPr>
        <w:ind w:left="2520" w:hanging="360"/>
      </w:pPr>
      <w:rPr>
        <w:rFonts w:ascii="Symbol" w:hAnsi="Symbol"/>
      </w:rPr>
    </w:lvl>
    <w:lvl w:ilvl="8" w:tplc="9656D192">
      <w:start w:val="1"/>
      <w:numFmt w:val="bullet"/>
      <w:lvlText w:val=""/>
      <w:lvlJc w:val="left"/>
      <w:pPr>
        <w:ind w:left="2520" w:hanging="360"/>
      </w:pPr>
      <w:rPr>
        <w:rFonts w:ascii="Symbol" w:hAnsi="Symbol"/>
      </w:rPr>
    </w:lvl>
  </w:abstractNum>
  <w:abstractNum w:abstractNumId="5" w15:restartNumberingAfterBreak="0">
    <w:nsid w:val="0BAD154B"/>
    <w:multiLevelType w:val="hybridMultilevel"/>
    <w:tmpl w:val="3F6C7F52"/>
    <w:lvl w:ilvl="0" w:tplc="FE04A5FE">
      <w:start w:val="1"/>
      <w:numFmt w:val="bullet"/>
      <w:lvlText w:val=""/>
      <w:lvlJc w:val="left"/>
      <w:pPr>
        <w:ind w:left="720" w:hanging="360"/>
      </w:pPr>
      <w:rPr>
        <w:rFonts w:ascii="Symbol" w:hAnsi="Symbol"/>
      </w:rPr>
    </w:lvl>
    <w:lvl w:ilvl="1" w:tplc="9F445F80">
      <w:start w:val="1"/>
      <w:numFmt w:val="bullet"/>
      <w:lvlText w:val=""/>
      <w:lvlJc w:val="left"/>
      <w:pPr>
        <w:ind w:left="720" w:hanging="360"/>
      </w:pPr>
      <w:rPr>
        <w:rFonts w:ascii="Symbol" w:hAnsi="Symbol"/>
      </w:rPr>
    </w:lvl>
    <w:lvl w:ilvl="2" w:tplc="171ABBDA">
      <w:start w:val="1"/>
      <w:numFmt w:val="bullet"/>
      <w:lvlText w:val=""/>
      <w:lvlJc w:val="left"/>
      <w:pPr>
        <w:ind w:left="720" w:hanging="360"/>
      </w:pPr>
      <w:rPr>
        <w:rFonts w:ascii="Symbol" w:hAnsi="Symbol"/>
      </w:rPr>
    </w:lvl>
    <w:lvl w:ilvl="3" w:tplc="305CBDF4">
      <w:start w:val="1"/>
      <w:numFmt w:val="bullet"/>
      <w:lvlText w:val=""/>
      <w:lvlJc w:val="left"/>
      <w:pPr>
        <w:ind w:left="720" w:hanging="360"/>
      </w:pPr>
      <w:rPr>
        <w:rFonts w:ascii="Symbol" w:hAnsi="Symbol"/>
      </w:rPr>
    </w:lvl>
    <w:lvl w:ilvl="4" w:tplc="BD3AEE5A">
      <w:start w:val="1"/>
      <w:numFmt w:val="bullet"/>
      <w:lvlText w:val=""/>
      <w:lvlJc w:val="left"/>
      <w:pPr>
        <w:ind w:left="720" w:hanging="360"/>
      </w:pPr>
      <w:rPr>
        <w:rFonts w:ascii="Symbol" w:hAnsi="Symbol"/>
      </w:rPr>
    </w:lvl>
    <w:lvl w:ilvl="5" w:tplc="B49E91D4">
      <w:start w:val="1"/>
      <w:numFmt w:val="bullet"/>
      <w:lvlText w:val=""/>
      <w:lvlJc w:val="left"/>
      <w:pPr>
        <w:ind w:left="720" w:hanging="360"/>
      </w:pPr>
      <w:rPr>
        <w:rFonts w:ascii="Symbol" w:hAnsi="Symbol"/>
      </w:rPr>
    </w:lvl>
    <w:lvl w:ilvl="6" w:tplc="0C12576E">
      <w:start w:val="1"/>
      <w:numFmt w:val="bullet"/>
      <w:lvlText w:val=""/>
      <w:lvlJc w:val="left"/>
      <w:pPr>
        <w:ind w:left="720" w:hanging="360"/>
      </w:pPr>
      <w:rPr>
        <w:rFonts w:ascii="Symbol" w:hAnsi="Symbol"/>
      </w:rPr>
    </w:lvl>
    <w:lvl w:ilvl="7" w:tplc="6E22727E">
      <w:start w:val="1"/>
      <w:numFmt w:val="bullet"/>
      <w:lvlText w:val=""/>
      <w:lvlJc w:val="left"/>
      <w:pPr>
        <w:ind w:left="720" w:hanging="360"/>
      </w:pPr>
      <w:rPr>
        <w:rFonts w:ascii="Symbol" w:hAnsi="Symbol"/>
      </w:rPr>
    </w:lvl>
    <w:lvl w:ilvl="8" w:tplc="C0505FEE">
      <w:start w:val="1"/>
      <w:numFmt w:val="bullet"/>
      <w:lvlText w:val=""/>
      <w:lvlJc w:val="left"/>
      <w:pPr>
        <w:ind w:left="720" w:hanging="360"/>
      </w:pPr>
      <w:rPr>
        <w:rFonts w:ascii="Symbol" w:hAnsi="Symbol"/>
      </w:rPr>
    </w:lvl>
  </w:abstractNum>
  <w:abstractNum w:abstractNumId="6" w15:restartNumberingAfterBreak="0">
    <w:nsid w:val="135429DE"/>
    <w:multiLevelType w:val="hybridMultilevel"/>
    <w:tmpl w:val="B4BAC2EC"/>
    <w:lvl w:ilvl="0" w:tplc="5840EC38">
      <w:start w:val="1"/>
      <w:numFmt w:val="bullet"/>
      <w:lvlText w:val=""/>
      <w:lvlJc w:val="left"/>
      <w:pPr>
        <w:ind w:left="1800" w:hanging="360"/>
      </w:pPr>
      <w:rPr>
        <w:rFonts w:ascii="Symbol" w:hAnsi="Symbol"/>
      </w:rPr>
    </w:lvl>
    <w:lvl w:ilvl="1" w:tplc="DD50C90C">
      <w:start w:val="1"/>
      <w:numFmt w:val="bullet"/>
      <w:lvlText w:val=""/>
      <w:lvlJc w:val="left"/>
      <w:pPr>
        <w:ind w:left="1800" w:hanging="360"/>
      </w:pPr>
      <w:rPr>
        <w:rFonts w:ascii="Symbol" w:hAnsi="Symbol"/>
      </w:rPr>
    </w:lvl>
    <w:lvl w:ilvl="2" w:tplc="4C98C298">
      <w:start w:val="1"/>
      <w:numFmt w:val="bullet"/>
      <w:lvlText w:val=""/>
      <w:lvlJc w:val="left"/>
      <w:pPr>
        <w:ind w:left="1800" w:hanging="360"/>
      </w:pPr>
      <w:rPr>
        <w:rFonts w:ascii="Symbol" w:hAnsi="Symbol"/>
      </w:rPr>
    </w:lvl>
    <w:lvl w:ilvl="3" w:tplc="B8AAC7E2">
      <w:start w:val="1"/>
      <w:numFmt w:val="bullet"/>
      <w:lvlText w:val=""/>
      <w:lvlJc w:val="left"/>
      <w:pPr>
        <w:ind w:left="1800" w:hanging="360"/>
      </w:pPr>
      <w:rPr>
        <w:rFonts w:ascii="Symbol" w:hAnsi="Symbol"/>
      </w:rPr>
    </w:lvl>
    <w:lvl w:ilvl="4" w:tplc="BB16B54E">
      <w:start w:val="1"/>
      <w:numFmt w:val="bullet"/>
      <w:lvlText w:val=""/>
      <w:lvlJc w:val="left"/>
      <w:pPr>
        <w:ind w:left="1800" w:hanging="360"/>
      </w:pPr>
      <w:rPr>
        <w:rFonts w:ascii="Symbol" w:hAnsi="Symbol"/>
      </w:rPr>
    </w:lvl>
    <w:lvl w:ilvl="5" w:tplc="25D2575E">
      <w:start w:val="1"/>
      <w:numFmt w:val="bullet"/>
      <w:lvlText w:val=""/>
      <w:lvlJc w:val="left"/>
      <w:pPr>
        <w:ind w:left="1800" w:hanging="360"/>
      </w:pPr>
      <w:rPr>
        <w:rFonts w:ascii="Symbol" w:hAnsi="Symbol"/>
      </w:rPr>
    </w:lvl>
    <w:lvl w:ilvl="6" w:tplc="1B366E3A">
      <w:start w:val="1"/>
      <w:numFmt w:val="bullet"/>
      <w:lvlText w:val=""/>
      <w:lvlJc w:val="left"/>
      <w:pPr>
        <w:ind w:left="1800" w:hanging="360"/>
      </w:pPr>
      <w:rPr>
        <w:rFonts w:ascii="Symbol" w:hAnsi="Symbol"/>
      </w:rPr>
    </w:lvl>
    <w:lvl w:ilvl="7" w:tplc="11AE894C">
      <w:start w:val="1"/>
      <w:numFmt w:val="bullet"/>
      <w:lvlText w:val=""/>
      <w:lvlJc w:val="left"/>
      <w:pPr>
        <w:ind w:left="1800" w:hanging="360"/>
      </w:pPr>
      <w:rPr>
        <w:rFonts w:ascii="Symbol" w:hAnsi="Symbol"/>
      </w:rPr>
    </w:lvl>
    <w:lvl w:ilvl="8" w:tplc="AD0C52E8">
      <w:start w:val="1"/>
      <w:numFmt w:val="bullet"/>
      <w:lvlText w:val=""/>
      <w:lvlJc w:val="left"/>
      <w:pPr>
        <w:ind w:left="1800" w:hanging="360"/>
      </w:pPr>
      <w:rPr>
        <w:rFonts w:ascii="Symbol" w:hAnsi="Symbol"/>
      </w:rPr>
    </w:lvl>
  </w:abstractNum>
  <w:abstractNum w:abstractNumId="7" w15:restartNumberingAfterBreak="0">
    <w:nsid w:val="1BB10F7B"/>
    <w:multiLevelType w:val="hybridMultilevel"/>
    <w:tmpl w:val="34DAF10A"/>
    <w:lvl w:ilvl="0" w:tplc="C62C2074">
      <w:start w:val="1"/>
      <w:numFmt w:val="bullet"/>
      <w:lvlText w:val=""/>
      <w:lvlJc w:val="left"/>
      <w:pPr>
        <w:ind w:left="720" w:hanging="360"/>
      </w:pPr>
      <w:rPr>
        <w:rFonts w:ascii="Symbol" w:hAnsi="Symbol"/>
      </w:rPr>
    </w:lvl>
    <w:lvl w:ilvl="1" w:tplc="51F82720">
      <w:start w:val="1"/>
      <w:numFmt w:val="bullet"/>
      <w:lvlText w:val=""/>
      <w:lvlJc w:val="left"/>
      <w:pPr>
        <w:ind w:left="720" w:hanging="360"/>
      </w:pPr>
      <w:rPr>
        <w:rFonts w:ascii="Symbol" w:hAnsi="Symbol"/>
      </w:rPr>
    </w:lvl>
    <w:lvl w:ilvl="2" w:tplc="5406CA38">
      <w:start w:val="1"/>
      <w:numFmt w:val="bullet"/>
      <w:lvlText w:val=""/>
      <w:lvlJc w:val="left"/>
      <w:pPr>
        <w:ind w:left="720" w:hanging="360"/>
      </w:pPr>
      <w:rPr>
        <w:rFonts w:ascii="Symbol" w:hAnsi="Symbol"/>
      </w:rPr>
    </w:lvl>
    <w:lvl w:ilvl="3" w:tplc="5F4089AE">
      <w:start w:val="1"/>
      <w:numFmt w:val="bullet"/>
      <w:lvlText w:val=""/>
      <w:lvlJc w:val="left"/>
      <w:pPr>
        <w:ind w:left="720" w:hanging="360"/>
      </w:pPr>
      <w:rPr>
        <w:rFonts w:ascii="Symbol" w:hAnsi="Symbol"/>
      </w:rPr>
    </w:lvl>
    <w:lvl w:ilvl="4" w:tplc="4A9004EE">
      <w:start w:val="1"/>
      <w:numFmt w:val="bullet"/>
      <w:lvlText w:val=""/>
      <w:lvlJc w:val="left"/>
      <w:pPr>
        <w:ind w:left="720" w:hanging="360"/>
      </w:pPr>
      <w:rPr>
        <w:rFonts w:ascii="Symbol" w:hAnsi="Symbol"/>
      </w:rPr>
    </w:lvl>
    <w:lvl w:ilvl="5" w:tplc="842E5CA8">
      <w:start w:val="1"/>
      <w:numFmt w:val="bullet"/>
      <w:lvlText w:val=""/>
      <w:lvlJc w:val="left"/>
      <w:pPr>
        <w:ind w:left="720" w:hanging="360"/>
      </w:pPr>
      <w:rPr>
        <w:rFonts w:ascii="Symbol" w:hAnsi="Symbol"/>
      </w:rPr>
    </w:lvl>
    <w:lvl w:ilvl="6" w:tplc="F8F460BE">
      <w:start w:val="1"/>
      <w:numFmt w:val="bullet"/>
      <w:lvlText w:val=""/>
      <w:lvlJc w:val="left"/>
      <w:pPr>
        <w:ind w:left="720" w:hanging="360"/>
      </w:pPr>
      <w:rPr>
        <w:rFonts w:ascii="Symbol" w:hAnsi="Symbol"/>
      </w:rPr>
    </w:lvl>
    <w:lvl w:ilvl="7" w:tplc="B088CE74">
      <w:start w:val="1"/>
      <w:numFmt w:val="bullet"/>
      <w:lvlText w:val=""/>
      <w:lvlJc w:val="left"/>
      <w:pPr>
        <w:ind w:left="720" w:hanging="360"/>
      </w:pPr>
      <w:rPr>
        <w:rFonts w:ascii="Symbol" w:hAnsi="Symbol"/>
      </w:rPr>
    </w:lvl>
    <w:lvl w:ilvl="8" w:tplc="C74C2F34">
      <w:start w:val="1"/>
      <w:numFmt w:val="bullet"/>
      <w:lvlText w:val=""/>
      <w:lvlJc w:val="left"/>
      <w:pPr>
        <w:ind w:left="720" w:hanging="360"/>
      </w:pPr>
      <w:rPr>
        <w:rFonts w:ascii="Symbol" w:hAnsi="Symbol"/>
      </w:rPr>
    </w:lvl>
  </w:abstractNum>
  <w:abstractNum w:abstractNumId="8" w15:restartNumberingAfterBreak="0">
    <w:nsid w:val="1F511FD4"/>
    <w:multiLevelType w:val="hybridMultilevel"/>
    <w:tmpl w:val="2062A9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2D160FE"/>
    <w:multiLevelType w:val="hybridMultilevel"/>
    <w:tmpl w:val="48184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8640C8"/>
    <w:multiLevelType w:val="hybridMultilevel"/>
    <w:tmpl w:val="DCD2EFB6"/>
    <w:lvl w:ilvl="0" w:tplc="A88CACB4">
      <w:start w:val="1"/>
      <w:numFmt w:val="bullet"/>
      <w:lvlText w:val=""/>
      <w:lvlJc w:val="left"/>
      <w:pPr>
        <w:ind w:left="1520" w:hanging="360"/>
      </w:pPr>
      <w:rPr>
        <w:rFonts w:ascii="Symbol" w:hAnsi="Symbol"/>
      </w:rPr>
    </w:lvl>
    <w:lvl w:ilvl="1" w:tplc="F69698E6">
      <w:start w:val="1"/>
      <w:numFmt w:val="bullet"/>
      <w:lvlText w:val=""/>
      <w:lvlJc w:val="left"/>
      <w:pPr>
        <w:ind w:left="1520" w:hanging="360"/>
      </w:pPr>
      <w:rPr>
        <w:rFonts w:ascii="Symbol" w:hAnsi="Symbol"/>
      </w:rPr>
    </w:lvl>
    <w:lvl w:ilvl="2" w:tplc="4DF41D7A">
      <w:start w:val="1"/>
      <w:numFmt w:val="bullet"/>
      <w:lvlText w:val=""/>
      <w:lvlJc w:val="left"/>
      <w:pPr>
        <w:ind w:left="1520" w:hanging="360"/>
      </w:pPr>
      <w:rPr>
        <w:rFonts w:ascii="Symbol" w:hAnsi="Symbol"/>
      </w:rPr>
    </w:lvl>
    <w:lvl w:ilvl="3" w:tplc="180E108A">
      <w:start w:val="1"/>
      <w:numFmt w:val="bullet"/>
      <w:lvlText w:val=""/>
      <w:lvlJc w:val="left"/>
      <w:pPr>
        <w:ind w:left="1520" w:hanging="360"/>
      </w:pPr>
      <w:rPr>
        <w:rFonts w:ascii="Symbol" w:hAnsi="Symbol"/>
      </w:rPr>
    </w:lvl>
    <w:lvl w:ilvl="4" w:tplc="C80E590A">
      <w:start w:val="1"/>
      <w:numFmt w:val="bullet"/>
      <w:lvlText w:val=""/>
      <w:lvlJc w:val="left"/>
      <w:pPr>
        <w:ind w:left="1520" w:hanging="360"/>
      </w:pPr>
      <w:rPr>
        <w:rFonts w:ascii="Symbol" w:hAnsi="Symbol"/>
      </w:rPr>
    </w:lvl>
    <w:lvl w:ilvl="5" w:tplc="48FC6E10">
      <w:start w:val="1"/>
      <w:numFmt w:val="bullet"/>
      <w:lvlText w:val=""/>
      <w:lvlJc w:val="left"/>
      <w:pPr>
        <w:ind w:left="1520" w:hanging="360"/>
      </w:pPr>
      <w:rPr>
        <w:rFonts w:ascii="Symbol" w:hAnsi="Symbol"/>
      </w:rPr>
    </w:lvl>
    <w:lvl w:ilvl="6" w:tplc="EB245BA4">
      <w:start w:val="1"/>
      <w:numFmt w:val="bullet"/>
      <w:lvlText w:val=""/>
      <w:lvlJc w:val="left"/>
      <w:pPr>
        <w:ind w:left="1520" w:hanging="360"/>
      </w:pPr>
      <w:rPr>
        <w:rFonts w:ascii="Symbol" w:hAnsi="Symbol"/>
      </w:rPr>
    </w:lvl>
    <w:lvl w:ilvl="7" w:tplc="0504AFD0">
      <w:start w:val="1"/>
      <w:numFmt w:val="bullet"/>
      <w:lvlText w:val=""/>
      <w:lvlJc w:val="left"/>
      <w:pPr>
        <w:ind w:left="1520" w:hanging="360"/>
      </w:pPr>
      <w:rPr>
        <w:rFonts w:ascii="Symbol" w:hAnsi="Symbol"/>
      </w:rPr>
    </w:lvl>
    <w:lvl w:ilvl="8" w:tplc="2DE87FFA">
      <w:start w:val="1"/>
      <w:numFmt w:val="bullet"/>
      <w:lvlText w:val=""/>
      <w:lvlJc w:val="left"/>
      <w:pPr>
        <w:ind w:left="1520" w:hanging="360"/>
      </w:pPr>
      <w:rPr>
        <w:rFonts w:ascii="Symbol" w:hAnsi="Symbol"/>
      </w:rPr>
    </w:lvl>
  </w:abstractNum>
  <w:abstractNum w:abstractNumId="11" w15:restartNumberingAfterBreak="0">
    <w:nsid w:val="29D05BED"/>
    <w:multiLevelType w:val="hybridMultilevel"/>
    <w:tmpl w:val="24C4B606"/>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46AD7"/>
    <w:multiLevelType w:val="hybridMultilevel"/>
    <w:tmpl w:val="08DAE206"/>
    <w:lvl w:ilvl="0" w:tplc="8E8AE1F6">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28B48BC"/>
    <w:multiLevelType w:val="hybridMultilevel"/>
    <w:tmpl w:val="0B9242A0"/>
    <w:lvl w:ilvl="0" w:tplc="802696E6">
      <w:start w:val="1"/>
      <w:numFmt w:val="bullet"/>
      <w:lvlText w:val=""/>
      <w:lvlJc w:val="left"/>
      <w:pPr>
        <w:ind w:left="1800" w:hanging="360"/>
      </w:pPr>
      <w:rPr>
        <w:rFonts w:ascii="Symbol" w:hAnsi="Symbol"/>
      </w:rPr>
    </w:lvl>
    <w:lvl w:ilvl="1" w:tplc="99AE19D8">
      <w:start w:val="1"/>
      <w:numFmt w:val="bullet"/>
      <w:lvlText w:val=""/>
      <w:lvlJc w:val="left"/>
      <w:pPr>
        <w:ind w:left="1800" w:hanging="360"/>
      </w:pPr>
      <w:rPr>
        <w:rFonts w:ascii="Symbol" w:hAnsi="Symbol"/>
      </w:rPr>
    </w:lvl>
    <w:lvl w:ilvl="2" w:tplc="B96ABAB2">
      <w:start w:val="1"/>
      <w:numFmt w:val="bullet"/>
      <w:lvlText w:val=""/>
      <w:lvlJc w:val="left"/>
      <w:pPr>
        <w:ind w:left="1800" w:hanging="360"/>
      </w:pPr>
      <w:rPr>
        <w:rFonts w:ascii="Symbol" w:hAnsi="Symbol"/>
      </w:rPr>
    </w:lvl>
    <w:lvl w:ilvl="3" w:tplc="F85A4404">
      <w:start w:val="1"/>
      <w:numFmt w:val="bullet"/>
      <w:lvlText w:val=""/>
      <w:lvlJc w:val="left"/>
      <w:pPr>
        <w:ind w:left="1800" w:hanging="360"/>
      </w:pPr>
      <w:rPr>
        <w:rFonts w:ascii="Symbol" w:hAnsi="Symbol"/>
      </w:rPr>
    </w:lvl>
    <w:lvl w:ilvl="4" w:tplc="AF6C383C">
      <w:start w:val="1"/>
      <w:numFmt w:val="bullet"/>
      <w:lvlText w:val=""/>
      <w:lvlJc w:val="left"/>
      <w:pPr>
        <w:ind w:left="1800" w:hanging="360"/>
      </w:pPr>
      <w:rPr>
        <w:rFonts w:ascii="Symbol" w:hAnsi="Symbol"/>
      </w:rPr>
    </w:lvl>
    <w:lvl w:ilvl="5" w:tplc="D5ACA396">
      <w:start w:val="1"/>
      <w:numFmt w:val="bullet"/>
      <w:lvlText w:val=""/>
      <w:lvlJc w:val="left"/>
      <w:pPr>
        <w:ind w:left="1800" w:hanging="360"/>
      </w:pPr>
      <w:rPr>
        <w:rFonts w:ascii="Symbol" w:hAnsi="Symbol"/>
      </w:rPr>
    </w:lvl>
    <w:lvl w:ilvl="6" w:tplc="57EEB86A">
      <w:start w:val="1"/>
      <w:numFmt w:val="bullet"/>
      <w:lvlText w:val=""/>
      <w:lvlJc w:val="left"/>
      <w:pPr>
        <w:ind w:left="1800" w:hanging="360"/>
      </w:pPr>
      <w:rPr>
        <w:rFonts w:ascii="Symbol" w:hAnsi="Symbol"/>
      </w:rPr>
    </w:lvl>
    <w:lvl w:ilvl="7" w:tplc="6FBE568A">
      <w:start w:val="1"/>
      <w:numFmt w:val="bullet"/>
      <w:lvlText w:val=""/>
      <w:lvlJc w:val="left"/>
      <w:pPr>
        <w:ind w:left="1800" w:hanging="360"/>
      </w:pPr>
      <w:rPr>
        <w:rFonts w:ascii="Symbol" w:hAnsi="Symbol"/>
      </w:rPr>
    </w:lvl>
    <w:lvl w:ilvl="8" w:tplc="62D6141C">
      <w:start w:val="1"/>
      <w:numFmt w:val="bullet"/>
      <w:lvlText w:val=""/>
      <w:lvlJc w:val="left"/>
      <w:pPr>
        <w:ind w:left="1800" w:hanging="360"/>
      </w:pPr>
      <w:rPr>
        <w:rFonts w:ascii="Symbol" w:hAnsi="Symbol"/>
      </w:rPr>
    </w:lvl>
  </w:abstractNum>
  <w:abstractNum w:abstractNumId="14" w15:restartNumberingAfterBreak="0">
    <w:nsid w:val="333A05F6"/>
    <w:multiLevelType w:val="hybridMultilevel"/>
    <w:tmpl w:val="BD8632F4"/>
    <w:lvl w:ilvl="0" w:tplc="3BCC4C68">
      <w:start w:val="1"/>
      <w:numFmt w:val="bullet"/>
      <w:lvlText w:val=""/>
      <w:lvlJc w:val="left"/>
      <w:pPr>
        <w:ind w:left="1020" w:hanging="360"/>
      </w:pPr>
      <w:rPr>
        <w:rFonts w:ascii="Symbol" w:hAnsi="Symbol"/>
      </w:rPr>
    </w:lvl>
    <w:lvl w:ilvl="1" w:tplc="AAEEEDAE">
      <w:start w:val="1"/>
      <w:numFmt w:val="bullet"/>
      <w:lvlText w:val=""/>
      <w:lvlJc w:val="left"/>
      <w:pPr>
        <w:ind w:left="1020" w:hanging="360"/>
      </w:pPr>
      <w:rPr>
        <w:rFonts w:ascii="Symbol" w:hAnsi="Symbol"/>
      </w:rPr>
    </w:lvl>
    <w:lvl w:ilvl="2" w:tplc="D9B0EFF0">
      <w:start w:val="1"/>
      <w:numFmt w:val="bullet"/>
      <w:lvlText w:val=""/>
      <w:lvlJc w:val="left"/>
      <w:pPr>
        <w:ind w:left="1020" w:hanging="360"/>
      </w:pPr>
      <w:rPr>
        <w:rFonts w:ascii="Symbol" w:hAnsi="Symbol"/>
      </w:rPr>
    </w:lvl>
    <w:lvl w:ilvl="3" w:tplc="633C4FCC">
      <w:start w:val="1"/>
      <w:numFmt w:val="bullet"/>
      <w:lvlText w:val=""/>
      <w:lvlJc w:val="left"/>
      <w:pPr>
        <w:ind w:left="1020" w:hanging="360"/>
      </w:pPr>
      <w:rPr>
        <w:rFonts w:ascii="Symbol" w:hAnsi="Symbol"/>
      </w:rPr>
    </w:lvl>
    <w:lvl w:ilvl="4" w:tplc="A596DDB6">
      <w:start w:val="1"/>
      <w:numFmt w:val="bullet"/>
      <w:lvlText w:val=""/>
      <w:lvlJc w:val="left"/>
      <w:pPr>
        <w:ind w:left="1020" w:hanging="360"/>
      </w:pPr>
      <w:rPr>
        <w:rFonts w:ascii="Symbol" w:hAnsi="Symbol"/>
      </w:rPr>
    </w:lvl>
    <w:lvl w:ilvl="5" w:tplc="1898FE72">
      <w:start w:val="1"/>
      <w:numFmt w:val="bullet"/>
      <w:lvlText w:val=""/>
      <w:lvlJc w:val="left"/>
      <w:pPr>
        <w:ind w:left="1020" w:hanging="360"/>
      </w:pPr>
      <w:rPr>
        <w:rFonts w:ascii="Symbol" w:hAnsi="Symbol"/>
      </w:rPr>
    </w:lvl>
    <w:lvl w:ilvl="6" w:tplc="0630A2BC">
      <w:start w:val="1"/>
      <w:numFmt w:val="bullet"/>
      <w:lvlText w:val=""/>
      <w:lvlJc w:val="left"/>
      <w:pPr>
        <w:ind w:left="1020" w:hanging="360"/>
      </w:pPr>
      <w:rPr>
        <w:rFonts w:ascii="Symbol" w:hAnsi="Symbol"/>
      </w:rPr>
    </w:lvl>
    <w:lvl w:ilvl="7" w:tplc="A9E8A7BE">
      <w:start w:val="1"/>
      <w:numFmt w:val="bullet"/>
      <w:lvlText w:val=""/>
      <w:lvlJc w:val="left"/>
      <w:pPr>
        <w:ind w:left="1020" w:hanging="360"/>
      </w:pPr>
      <w:rPr>
        <w:rFonts w:ascii="Symbol" w:hAnsi="Symbol"/>
      </w:rPr>
    </w:lvl>
    <w:lvl w:ilvl="8" w:tplc="C7548026">
      <w:start w:val="1"/>
      <w:numFmt w:val="bullet"/>
      <w:lvlText w:val=""/>
      <w:lvlJc w:val="left"/>
      <w:pPr>
        <w:ind w:left="1020" w:hanging="360"/>
      </w:pPr>
      <w:rPr>
        <w:rFonts w:ascii="Symbol" w:hAnsi="Symbol"/>
      </w:rPr>
    </w:lvl>
  </w:abstractNum>
  <w:abstractNum w:abstractNumId="15" w15:restartNumberingAfterBreak="0">
    <w:nsid w:val="337E369B"/>
    <w:multiLevelType w:val="hybridMultilevel"/>
    <w:tmpl w:val="47EE00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764477E"/>
    <w:multiLevelType w:val="hybridMultilevel"/>
    <w:tmpl w:val="CA780180"/>
    <w:lvl w:ilvl="0" w:tplc="D4B25F24">
      <w:start w:val="1"/>
      <w:numFmt w:val="bullet"/>
      <w:lvlText w:val=""/>
      <w:lvlJc w:val="left"/>
      <w:pPr>
        <w:ind w:left="1800" w:hanging="360"/>
      </w:pPr>
      <w:rPr>
        <w:rFonts w:ascii="Symbol" w:hAnsi="Symbol"/>
      </w:rPr>
    </w:lvl>
    <w:lvl w:ilvl="1" w:tplc="4080DE1C">
      <w:start w:val="1"/>
      <w:numFmt w:val="bullet"/>
      <w:lvlText w:val=""/>
      <w:lvlJc w:val="left"/>
      <w:pPr>
        <w:ind w:left="1800" w:hanging="360"/>
      </w:pPr>
      <w:rPr>
        <w:rFonts w:ascii="Symbol" w:hAnsi="Symbol"/>
      </w:rPr>
    </w:lvl>
    <w:lvl w:ilvl="2" w:tplc="83026B2A">
      <w:start w:val="1"/>
      <w:numFmt w:val="bullet"/>
      <w:lvlText w:val=""/>
      <w:lvlJc w:val="left"/>
      <w:pPr>
        <w:ind w:left="1800" w:hanging="360"/>
      </w:pPr>
      <w:rPr>
        <w:rFonts w:ascii="Symbol" w:hAnsi="Symbol"/>
      </w:rPr>
    </w:lvl>
    <w:lvl w:ilvl="3" w:tplc="BD4A3DB8">
      <w:start w:val="1"/>
      <w:numFmt w:val="bullet"/>
      <w:lvlText w:val=""/>
      <w:lvlJc w:val="left"/>
      <w:pPr>
        <w:ind w:left="1800" w:hanging="360"/>
      </w:pPr>
      <w:rPr>
        <w:rFonts w:ascii="Symbol" w:hAnsi="Symbol"/>
      </w:rPr>
    </w:lvl>
    <w:lvl w:ilvl="4" w:tplc="24902252">
      <w:start w:val="1"/>
      <w:numFmt w:val="bullet"/>
      <w:lvlText w:val=""/>
      <w:lvlJc w:val="left"/>
      <w:pPr>
        <w:ind w:left="1800" w:hanging="360"/>
      </w:pPr>
      <w:rPr>
        <w:rFonts w:ascii="Symbol" w:hAnsi="Symbol"/>
      </w:rPr>
    </w:lvl>
    <w:lvl w:ilvl="5" w:tplc="FF3670FC">
      <w:start w:val="1"/>
      <w:numFmt w:val="bullet"/>
      <w:lvlText w:val=""/>
      <w:lvlJc w:val="left"/>
      <w:pPr>
        <w:ind w:left="1800" w:hanging="360"/>
      </w:pPr>
      <w:rPr>
        <w:rFonts w:ascii="Symbol" w:hAnsi="Symbol"/>
      </w:rPr>
    </w:lvl>
    <w:lvl w:ilvl="6" w:tplc="D1C04E1A">
      <w:start w:val="1"/>
      <w:numFmt w:val="bullet"/>
      <w:lvlText w:val=""/>
      <w:lvlJc w:val="left"/>
      <w:pPr>
        <w:ind w:left="1800" w:hanging="360"/>
      </w:pPr>
      <w:rPr>
        <w:rFonts w:ascii="Symbol" w:hAnsi="Symbol"/>
      </w:rPr>
    </w:lvl>
    <w:lvl w:ilvl="7" w:tplc="D55CDABC">
      <w:start w:val="1"/>
      <w:numFmt w:val="bullet"/>
      <w:lvlText w:val=""/>
      <w:lvlJc w:val="left"/>
      <w:pPr>
        <w:ind w:left="1800" w:hanging="360"/>
      </w:pPr>
      <w:rPr>
        <w:rFonts w:ascii="Symbol" w:hAnsi="Symbol"/>
      </w:rPr>
    </w:lvl>
    <w:lvl w:ilvl="8" w:tplc="1E4A642C">
      <w:start w:val="1"/>
      <w:numFmt w:val="bullet"/>
      <w:lvlText w:val=""/>
      <w:lvlJc w:val="left"/>
      <w:pPr>
        <w:ind w:left="1800" w:hanging="360"/>
      </w:pPr>
      <w:rPr>
        <w:rFonts w:ascii="Symbol" w:hAnsi="Symbol"/>
      </w:rPr>
    </w:lvl>
  </w:abstractNum>
  <w:abstractNum w:abstractNumId="17" w15:restartNumberingAfterBreak="0">
    <w:nsid w:val="37840671"/>
    <w:multiLevelType w:val="hybridMultilevel"/>
    <w:tmpl w:val="AC54BC34"/>
    <w:lvl w:ilvl="0" w:tplc="A380ED62">
      <w:start w:val="1"/>
      <w:numFmt w:val="bullet"/>
      <w:lvlText w:val=""/>
      <w:lvlJc w:val="left"/>
      <w:pPr>
        <w:ind w:left="1020" w:hanging="360"/>
      </w:pPr>
      <w:rPr>
        <w:rFonts w:ascii="Symbol" w:hAnsi="Symbol"/>
      </w:rPr>
    </w:lvl>
    <w:lvl w:ilvl="1" w:tplc="47BC53D4">
      <w:start w:val="1"/>
      <w:numFmt w:val="bullet"/>
      <w:lvlText w:val=""/>
      <w:lvlJc w:val="left"/>
      <w:pPr>
        <w:ind w:left="1020" w:hanging="360"/>
      </w:pPr>
      <w:rPr>
        <w:rFonts w:ascii="Symbol" w:hAnsi="Symbol"/>
      </w:rPr>
    </w:lvl>
    <w:lvl w:ilvl="2" w:tplc="704C7E1E">
      <w:start w:val="1"/>
      <w:numFmt w:val="bullet"/>
      <w:lvlText w:val=""/>
      <w:lvlJc w:val="left"/>
      <w:pPr>
        <w:ind w:left="1020" w:hanging="360"/>
      </w:pPr>
      <w:rPr>
        <w:rFonts w:ascii="Symbol" w:hAnsi="Symbol"/>
      </w:rPr>
    </w:lvl>
    <w:lvl w:ilvl="3" w:tplc="C98818C2">
      <w:start w:val="1"/>
      <w:numFmt w:val="bullet"/>
      <w:lvlText w:val=""/>
      <w:lvlJc w:val="left"/>
      <w:pPr>
        <w:ind w:left="1020" w:hanging="360"/>
      </w:pPr>
      <w:rPr>
        <w:rFonts w:ascii="Symbol" w:hAnsi="Symbol"/>
      </w:rPr>
    </w:lvl>
    <w:lvl w:ilvl="4" w:tplc="26005400">
      <w:start w:val="1"/>
      <w:numFmt w:val="bullet"/>
      <w:lvlText w:val=""/>
      <w:lvlJc w:val="left"/>
      <w:pPr>
        <w:ind w:left="1020" w:hanging="360"/>
      </w:pPr>
      <w:rPr>
        <w:rFonts w:ascii="Symbol" w:hAnsi="Symbol"/>
      </w:rPr>
    </w:lvl>
    <w:lvl w:ilvl="5" w:tplc="DA8A8006">
      <w:start w:val="1"/>
      <w:numFmt w:val="bullet"/>
      <w:lvlText w:val=""/>
      <w:lvlJc w:val="left"/>
      <w:pPr>
        <w:ind w:left="1020" w:hanging="360"/>
      </w:pPr>
      <w:rPr>
        <w:rFonts w:ascii="Symbol" w:hAnsi="Symbol"/>
      </w:rPr>
    </w:lvl>
    <w:lvl w:ilvl="6" w:tplc="D7C428EE">
      <w:start w:val="1"/>
      <w:numFmt w:val="bullet"/>
      <w:lvlText w:val=""/>
      <w:lvlJc w:val="left"/>
      <w:pPr>
        <w:ind w:left="1020" w:hanging="360"/>
      </w:pPr>
      <w:rPr>
        <w:rFonts w:ascii="Symbol" w:hAnsi="Symbol"/>
      </w:rPr>
    </w:lvl>
    <w:lvl w:ilvl="7" w:tplc="9C08720E">
      <w:start w:val="1"/>
      <w:numFmt w:val="bullet"/>
      <w:lvlText w:val=""/>
      <w:lvlJc w:val="left"/>
      <w:pPr>
        <w:ind w:left="1020" w:hanging="360"/>
      </w:pPr>
      <w:rPr>
        <w:rFonts w:ascii="Symbol" w:hAnsi="Symbol"/>
      </w:rPr>
    </w:lvl>
    <w:lvl w:ilvl="8" w:tplc="EC02B128">
      <w:start w:val="1"/>
      <w:numFmt w:val="bullet"/>
      <w:lvlText w:val=""/>
      <w:lvlJc w:val="left"/>
      <w:pPr>
        <w:ind w:left="1020" w:hanging="360"/>
      </w:pPr>
      <w:rPr>
        <w:rFonts w:ascii="Symbol" w:hAnsi="Symbol"/>
      </w:rPr>
    </w:lvl>
  </w:abstractNum>
  <w:abstractNum w:abstractNumId="18" w15:restartNumberingAfterBreak="0">
    <w:nsid w:val="3C0435A2"/>
    <w:multiLevelType w:val="multilevel"/>
    <w:tmpl w:val="336E76DE"/>
    <w:styleLink w:val="FieconAppendixHeadings"/>
    <w:lvl w:ilvl="0">
      <w:start w:val="1"/>
      <w:numFmt w:val="decimal"/>
      <w:lvlText w:val="%1"/>
      <w:lvlJc w:val="left"/>
      <w:pPr>
        <w:ind w:left="432" w:hanging="432"/>
      </w:pPr>
      <w:rPr>
        <w:b/>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540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3D2104D"/>
    <w:multiLevelType w:val="hybridMultilevel"/>
    <w:tmpl w:val="247AAFE2"/>
    <w:lvl w:ilvl="0" w:tplc="0C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168CD"/>
    <w:multiLevelType w:val="hybridMultilevel"/>
    <w:tmpl w:val="A620CDAE"/>
    <w:lvl w:ilvl="0" w:tplc="FFFFFFFF">
      <w:start w:val="1"/>
      <w:numFmt w:val="lowerRoman"/>
      <w:lvlText w:val="(%1)"/>
      <w:lvlJc w:val="left"/>
      <w:pPr>
        <w:ind w:left="720" w:hanging="360"/>
      </w:pPr>
      <w:rPr>
        <w:rFonts w:ascii="Arial Narrow" w:eastAsia="Times New Roman" w:hAnsi="Arial Narrow" w:cs="Open San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706627"/>
    <w:multiLevelType w:val="hybridMultilevel"/>
    <w:tmpl w:val="52981D14"/>
    <w:lvl w:ilvl="0" w:tplc="08EA46EA">
      <w:start w:val="1"/>
      <w:numFmt w:val="bullet"/>
      <w:lvlText w:val=""/>
      <w:lvlJc w:val="left"/>
      <w:pPr>
        <w:ind w:left="2520" w:hanging="360"/>
      </w:pPr>
      <w:rPr>
        <w:rFonts w:ascii="Symbol" w:hAnsi="Symbol"/>
      </w:rPr>
    </w:lvl>
    <w:lvl w:ilvl="1" w:tplc="D242C200">
      <w:start w:val="1"/>
      <w:numFmt w:val="bullet"/>
      <w:lvlText w:val=""/>
      <w:lvlJc w:val="left"/>
      <w:pPr>
        <w:ind w:left="2520" w:hanging="360"/>
      </w:pPr>
      <w:rPr>
        <w:rFonts w:ascii="Symbol" w:hAnsi="Symbol"/>
      </w:rPr>
    </w:lvl>
    <w:lvl w:ilvl="2" w:tplc="14B6EB16">
      <w:start w:val="1"/>
      <w:numFmt w:val="bullet"/>
      <w:lvlText w:val=""/>
      <w:lvlJc w:val="left"/>
      <w:pPr>
        <w:ind w:left="2520" w:hanging="360"/>
      </w:pPr>
      <w:rPr>
        <w:rFonts w:ascii="Symbol" w:hAnsi="Symbol"/>
      </w:rPr>
    </w:lvl>
    <w:lvl w:ilvl="3" w:tplc="5686ED42">
      <w:start w:val="1"/>
      <w:numFmt w:val="bullet"/>
      <w:lvlText w:val=""/>
      <w:lvlJc w:val="left"/>
      <w:pPr>
        <w:ind w:left="2520" w:hanging="360"/>
      </w:pPr>
      <w:rPr>
        <w:rFonts w:ascii="Symbol" w:hAnsi="Symbol"/>
      </w:rPr>
    </w:lvl>
    <w:lvl w:ilvl="4" w:tplc="C6285E5A">
      <w:start w:val="1"/>
      <w:numFmt w:val="bullet"/>
      <w:lvlText w:val=""/>
      <w:lvlJc w:val="left"/>
      <w:pPr>
        <w:ind w:left="2520" w:hanging="360"/>
      </w:pPr>
      <w:rPr>
        <w:rFonts w:ascii="Symbol" w:hAnsi="Symbol"/>
      </w:rPr>
    </w:lvl>
    <w:lvl w:ilvl="5" w:tplc="16B8FD88">
      <w:start w:val="1"/>
      <w:numFmt w:val="bullet"/>
      <w:lvlText w:val=""/>
      <w:lvlJc w:val="left"/>
      <w:pPr>
        <w:ind w:left="2520" w:hanging="360"/>
      </w:pPr>
      <w:rPr>
        <w:rFonts w:ascii="Symbol" w:hAnsi="Symbol"/>
      </w:rPr>
    </w:lvl>
    <w:lvl w:ilvl="6" w:tplc="085E6FE2">
      <w:start w:val="1"/>
      <w:numFmt w:val="bullet"/>
      <w:lvlText w:val=""/>
      <w:lvlJc w:val="left"/>
      <w:pPr>
        <w:ind w:left="2520" w:hanging="360"/>
      </w:pPr>
      <w:rPr>
        <w:rFonts w:ascii="Symbol" w:hAnsi="Symbol"/>
      </w:rPr>
    </w:lvl>
    <w:lvl w:ilvl="7" w:tplc="944A89E8">
      <w:start w:val="1"/>
      <w:numFmt w:val="bullet"/>
      <w:lvlText w:val=""/>
      <w:lvlJc w:val="left"/>
      <w:pPr>
        <w:ind w:left="2520" w:hanging="360"/>
      </w:pPr>
      <w:rPr>
        <w:rFonts w:ascii="Symbol" w:hAnsi="Symbol"/>
      </w:rPr>
    </w:lvl>
    <w:lvl w:ilvl="8" w:tplc="23026CF0">
      <w:start w:val="1"/>
      <w:numFmt w:val="bullet"/>
      <w:lvlText w:val=""/>
      <w:lvlJc w:val="left"/>
      <w:pPr>
        <w:ind w:left="2520" w:hanging="360"/>
      </w:pPr>
      <w:rPr>
        <w:rFonts w:ascii="Symbol" w:hAnsi="Symbol"/>
      </w:rPr>
    </w:lvl>
  </w:abstractNum>
  <w:abstractNum w:abstractNumId="23" w15:restartNumberingAfterBreak="0">
    <w:nsid w:val="4FA94EF0"/>
    <w:multiLevelType w:val="hybridMultilevel"/>
    <w:tmpl w:val="59B4C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E4697C"/>
    <w:multiLevelType w:val="hybridMultilevel"/>
    <w:tmpl w:val="FDD8FD7E"/>
    <w:lvl w:ilvl="0" w:tplc="61047640">
      <w:start w:val="1"/>
      <w:numFmt w:val="bullet"/>
      <w:lvlText w:val=""/>
      <w:lvlJc w:val="left"/>
      <w:pPr>
        <w:ind w:left="1800" w:hanging="360"/>
      </w:pPr>
      <w:rPr>
        <w:rFonts w:ascii="Symbol" w:hAnsi="Symbol"/>
      </w:rPr>
    </w:lvl>
    <w:lvl w:ilvl="1" w:tplc="DC38FB44">
      <w:start w:val="1"/>
      <w:numFmt w:val="bullet"/>
      <w:lvlText w:val=""/>
      <w:lvlJc w:val="left"/>
      <w:pPr>
        <w:ind w:left="1800" w:hanging="360"/>
      </w:pPr>
      <w:rPr>
        <w:rFonts w:ascii="Symbol" w:hAnsi="Symbol"/>
      </w:rPr>
    </w:lvl>
    <w:lvl w:ilvl="2" w:tplc="0994F1CC">
      <w:start w:val="1"/>
      <w:numFmt w:val="bullet"/>
      <w:lvlText w:val=""/>
      <w:lvlJc w:val="left"/>
      <w:pPr>
        <w:ind w:left="1800" w:hanging="360"/>
      </w:pPr>
      <w:rPr>
        <w:rFonts w:ascii="Symbol" w:hAnsi="Symbol"/>
      </w:rPr>
    </w:lvl>
    <w:lvl w:ilvl="3" w:tplc="D7766120">
      <w:start w:val="1"/>
      <w:numFmt w:val="bullet"/>
      <w:lvlText w:val=""/>
      <w:lvlJc w:val="left"/>
      <w:pPr>
        <w:ind w:left="1800" w:hanging="360"/>
      </w:pPr>
      <w:rPr>
        <w:rFonts w:ascii="Symbol" w:hAnsi="Symbol"/>
      </w:rPr>
    </w:lvl>
    <w:lvl w:ilvl="4" w:tplc="8C14560C">
      <w:start w:val="1"/>
      <w:numFmt w:val="bullet"/>
      <w:lvlText w:val=""/>
      <w:lvlJc w:val="left"/>
      <w:pPr>
        <w:ind w:left="1800" w:hanging="360"/>
      </w:pPr>
      <w:rPr>
        <w:rFonts w:ascii="Symbol" w:hAnsi="Symbol"/>
      </w:rPr>
    </w:lvl>
    <w:lvl w:ilvl="5" w:tplc="8C44A720">
      <w:start w:val="1"/>
      <w:numFmt w:val="bullet"/>
      <w:lvlText w:val=""/>
      <w:lvlJc w:val="left"/>
      <w:pPr>
        <w:ind w:left="1800" w:hanging="360"/>
      </w:pPr>
      <w:rPr>
        <w:rFonts w:ascii="Symbol" w:hAnsi="Symbol"/>
      </w:rPr>
    </w:lvl>
    <w:lvl w:ilvl="6" w:tplc="E8103BEA">
      <w:start w:val="1"/>
      <w:numFmt w:val="bullet"/>
      <w:lvlText w:val=""/>
      <w:lvlJc w:val="left"/>
      <w:pPr>
        <w:ind w:left="1800" w:hanging="360"/>
      </w:pPr>
      <w:rPr>
        <w:rFonts w:ascii="Symbol" w:hAnsi="Symbol"/>
      </w:rPr>
    </w:lvl>
    <w:lvl w:ilvl="7" w:tplc="1212C3D6">
      <w:start w:val="1"/>
      <w:numFmt w:val="bullet"/>
      <w:lvlText w:val=""/>
      <w:lvlJc w:val="left"/>
      <w:pPr>
        <w:ind w:left="1800" w:hanging="360"/>
      </w:pPr>
      <w:rPr>
        <w:rFonts w:ascii="Symbol" w:hAnsi="Symbol"/>
      </w:rPr>
    </w:lvl>
    <w:lvl w:ilvl="8" w:tplc="72E08430">
      <w:start w:val="1"/>
      <w:numFmt w:val="bullet"/>
      <w:lvlText w:val=""/>
      <w:lvlJc w:val="left"/>
      <w:pPr>
        <w:ind w:left="1800" w:hanging="360"/>
      </w:pPr>
      <w:rPr>
        <w:rFonts w:ascii="Symbol" w:hAnsi="Symbol"/>
      </w:rPr>
    </w:lvl>
  </w:abstractNum>
  <w:abstractNum w:abstractNumId="25" w15:restartNumberingAfterBreak="0">
    <w:nsid w:val="566A634E"/>
    <w:multiLevelType w:val="hybridMultilevel"/>
    <w:tmpl w:val="FCC6ED72"/>
    <w:lvl w:ilvl="0" w:tplc="F12A9020">
      <w:start w:val="1"/>
      <w:numFmt w:val="bullet"/>
      <w:lvlText w:val=""/>
      <w:lvlJc w:val="left"/>
      <w:pPr>
        <w:ind w:left="1440" w:hanging="360"/>
      </w:pPr>
      <w:rPr>
        <w:rFonts w:ascii="Symbol" w:hAnsi="Symbol"/>
      </w:rPr>
    </w:lvl>
    <w:lvl w:ilvl="1" w:tplc="7FC66860">
      <w:start w:val="1"/>
      <w:numFmt w:val="bullet"/>
      <w:lvlText w:val=""/>
      <w:lvlJc w:val="left"/>
      <w:pPr>
        <w:ind w:left="1440" w:hanging="360"/>
      </w:pPr>
      <w:rPr>
        <w:rFonts w:ascii="Symbol" w:hAnsi="Symbol"/>
      </w:rPr>
    </w:lvl>
    <w:lvl w:ilvl="2" w:tplc="C96E0DE0">
      <w:start w:val="1"/>
      <w:numFmt w:val="bullet"/>
      <w:lvlText w:val=""/>
      <w:lvlJc w:val="left"/>
      <w:pPr>
        <w:ind w:left="1440" w:hanging="360"/>
      </w:pPr>
      <w:rPr>
        <w:rFonts w:ascii="Symbol" w:hAnsi="Symbol"/>
      </w:rPr>
    </w:lvl>
    <w:lvl w:ilvl="3" w:tplc="C1E044E2">
      <w:start w:val="1"/>
      <w:numFmt w:val="bullet"/>
      <w:lvlText w:val=""/>
      <w:lvlJc w:val="left"/>
      <w:pPr>
        <w:ind w:left="1440" w:hanging="360"/>
      </w:pPr>
      <w:rPr>
        <w:rFonts w:ascii="Symbol" w:hAnsi="Symbol"/>
      </w:rPr>
    </w:lvl>
    <w:lvl w:ilvl="4" w:tplc="F9168578">
      <w:start w:val="1"/>
      <w:numFmt w:val="bullet"/>
      <w:lvlText w:val=""/>
      <w:lvlJc w:val="left"/>
      <w:pPr>
        <w:ind w:left="1440" w:hanging="360"/>
      </w:pPr>
      <w:rPr>
        <w:rFonts w:ascii="Symbol" w:hAnsi="Symbol"/>
      </w:rPr>
    </w:lvl>
    <w:lvl w:ilvl="5" w:tplc="D7A43454">
      <w:start w:val="1"/>
      <w:numFmt w:val="bullet"/>
      <w:lvlText w:val=""/>
      <w:lvlJc w:val="left"/>
      <w:pPr>
        <w:ind w:left="1440" w:hanging="360"/>
      </w:pPr>
      <w:rPr>
        <w:rFonts w:ascii="Symbol" w:hAnsi="Symbol"/>
      </w:rPr>
    </w:lvl>
    <w:lvl w:ilvl="6" w:tplc="0302DC02">
      <w:start w:val="1"/>
      <w:numFmt w:val="bullet"/>
      <w:lvlText w:val=""/>
      <w:lvlJc w:val="left"/>
      <w:pPr>
        <w:ind w:left="1440" w:hanging="360"/>
      </w:pPr>
      <w:rPr>
        <w:rFonts w:ascii="Symbol" w:hAnsi="Symbol"/>
      </w:rPr>
    </w:lvl>
    <w:lvl w:ilvl="7" w:tplc="D0D2BB36">
      <w:start w:val="1"/>
      <w:numFmt w:val="bullet"/>
      <w:lvlText w:val=""/>
      <w:lvlJc w:val="left"/>
      <w:pPr>
        <w:ind w:left="1440" w:hanging="360"/>
      </w:pPr>
      <w:rPr>
        <w:rFonts w:ascii="Symbol" w:hAnsi="Symbol"/>
      </w:rPr>
    </w:lvl>
    <w:lvl w:ilvl="8" w:tplc="84E84F2E">
      <w:start w:val="1"/>
      <w:numFmt w:val="bullet"/>
      <w:lvlText w:val=""/>
      <w:lvlJc w:val="left"/>
      <w:pPr>
        <w:ind w:left="1440" w:hanging="360"/>
      </w:pPr>
      <w:rPr>
        <w:rFonts w:ascii="Symbol" w:hAnsi="Symbol"/>
      </w:rPr>
    </w:lvl>
  </w:abstractNum>
  <w:abstractNum w:abstractNumId="26" w15:restartNumberingAfterBreak="0">
    <w:nsid w:val="6185662A"/>
    <w:multiLevelType w:val="hybridMultilevel"/>
    <w:tmpl w:val="6EB80B38"/>
    <w:lvl w:ilvl="0" w:tplc="D7C40248">
      <w:start w:val="1"/>
      <w:numFmt w:val="bullet"/>
      <w:lvlText w:val=""/>
      <w:lvlJc w:val="left"/>
      <w:pPr>
        <w:ind w:left="720" w:hanging="360"/>
      </w:pPr>
      <w:rPr>
        <w:rFonts w:ascii="Symbol" w:hAnsi="Symbol"/>
      </w:rPr>
    </w:lvl>
    <w:lvl w:ilvl="1" w:tplc="FDB0038E">
      <w:start w:val="1"/>
      <w:numFmt w:val="bullet"/>
      <w:lvlText w:val=""/>
      <w:lvlJc w:val="left"/>
      <w:pPr>
        <w:ind w:left="720" w:hanging="360"/>
      </w:pPr>
      <w:rPr>
        <w:rFonts w:ascii="Symbol" w:hAnsi="Symbol"/>
      </w:rPr>
    </w:lvl>
    <w:lvl w:ilvl="2" w:tplc="C0200C62">
      <w:start w:val="1"/>
      <w:numFmt w:val="bullet"/>
      <w:lvlText w:val=""/>
      <w:lvlJc w:val="left"/>
      <w:pPr>
        <w:ind w:left="720" w:hanging="360"/>
      </w:pPr>
      <w:rPr>
        <w:rFonts w:ascii="Symbol" w:hAnsi="Symbol"/>
      </w:rPr>
    </w:lvl>
    <w:lvl w:ilvl="3" w:tplc="86B41074">
      <w:start w:val="1"/>
      <w:numFmt w:val="bullet"/>
      <w:lvlText w:val=""/>
      <w:lvlJc w:val="left"/>
      <w:pPr>
        <w:ind w:left="720" w:hanging="360"/>
      </w:pPr>
      <w:rPr>
        <w:rFonts w:ascii="Symbol" w:hAnsi="Symbol"/>
      </w:rPr>
    </w:lvl>
    <w:lvl w:ilvl="4" w:tplc="8326E5B4">
      <w:start w:val="1"/>
      <w:numFmt w:val="bullet"/>
      <w:lvlText w:val=""/>
      <w:lvlJc w:val="left"/>
      <w:pPr>
        <w:ind w:left="720" w:hanging="360"/>
      </w:pPr>
      <w:rPr>
        <w:rFonts w:ascii="Symbol" w:hAnsi="Symbol"/>
      </w:rPr>
    </w:lvl>
    <w:lvl w:ilvl="5" w:tplc="DB0A8E5A">
      <w:start w:val="1"/>
      <w:numFmt w:val="bullet"/>
      <w:lvlText w:val=""/>
      <w:lvlJc w:val="left"/>
      <w:pPr>
        <w:ind w:left="720" w:hanging="360"/>
      </w:pPr>
      <w:rPr>
        <w:rFonts w:ascii="Symbol" w:hAnsi="Symbol"/>
      </w:rPr>
    </w:lvl>
    <w:lvl w:ilvl="6" w:tplc="B1D6CA42">
      <w:start w:val="1"/>
      <w:numFmt w:val="bullet"/>
      <w:lvlText w:val=""/>
      <w:lvlJc w:val="left"/>
      <w:pPr>
        <w:ind w:left="720" w:hanging="360"/>
      </w:pPr>
      <w:rPr>
        <w:rFonts w:ascii="Symbol" w:hAnsi="Symbol"/>
      </w:rPr>
    </w:lvl>
    <w:lvl w:ilvl="7" w:tplc="E7CC0E18">
      <w:start w:val="1"/>
      <w:numFmt w:val="bullet"/>
      <w:lvlText w:val=""/>
      <w:lvlJc w:val="left"/>
      <w:pPr>
        <w:ind w:left="720" w:hanging="360"/>
      </w:pPr>
      <w:rPr>
        <w:rFonts w:ascii="Symbol" w:hAnsi="Symbol"/>
      </w:rPr>
    </w:lvl>
    <w:lvl w:ilvl="8" w:tplc="FB70C556">
      <w:start w:val="1"/>
      <w:numFmt w:val="bullet"/>
      <w:lvlText w:val=""/>
      <w:lvlJc w:val="left"/>
      <w:pPr>
        <w:ind w:left="720" w:hanging="360"/>
      </w:pPr>
      <w:rPr>
        <w:rFonts w:ascii="Symbol" w:hAnsi="Symbol"/>
      </w:rPr>
    </w:lvl>
  </w:abstractNum>
  <w:abstractNum w:abstractNumId="2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900028A"/>
    <w:multiLevelType w:val="hybridMultilevel"/>
    <w:tmpl w:val="4BE4E3A2"/>
    <w:lvl w:ilvl="0" w:tplc="46FE097A">
      <w:start w:val="1"/>
      <w:numFmt w:val="bullet"/>
      <w:lvlText w:val=""/>
      <w:lvlJc w:val="left"/>
      <w:pPr>
        <w:ind w:left="1080" w:hanging="360"/>
      </w:pPr>
      <w:rPr>
        <w:rFonts w:ascii="Symbol" w:hAnsi="Symbol"/>
      </w:rPr>
    </w:lvl>
    <w:lvl w:ilvl="1" w:tplc="CAAA92F6">
      <w:start w:val="1"/>
      <w:numFmt w:val="bullet"/>
      <w:lvlText w:val=""/>
      <w:lvlJc w:val="left"/>
      <w:pPr>
        <w:ind w:left="1080" w:hanging="360"/>
      </w:pPr>
      <w:rPr>
        <w:rFonts w:ascii="Symbol" w:hAnsi="Symbol"/>
      </w:rPr>
    </w:lvl>
    <w:lvl w:ilvl="2" w:tplc="5D982DB6">
      <w:start w:val="1"/>
      <w:numFmt w:val="bullet"/>
      <w:lvlText w:val=""/>
      <w:lvlJc w:val="left"/>
      <w:pPr>
        <w:ind w:left="1080" w:hanging="360"/>
      </w:pPr>
      <w:rPr>
        <w:rFonts w:ascii="Symbol" w:hAnsi="Symbol"/>
      </w:rPr>
    </w:lvl>
    <w:lvl w:ilvl="3" w:tplc="E3FA93D4">
      <w:start w:val="1"/>
      <w:numFmt w:val="bullet"/>
      <w:lvlText w:val=""/>
      <w:lvlJc w:val="left"/>
      <w:pPr>
        <w:ind w:left="1080" w:hanging="360"/>
      </w:pPr>
      <w:rPr>
        <w:rFonts w:ascii="Symbol" w:hAnsi="Symbol"/>
      </w:rPr>
    </w:lvl>
    <w:lvl w:ilvl="4" w:tplc="C7046264">
      <w:start w:val="1"/>
      <w:numFmt w:val="bullet"/>
      <w:lvlText w:val=""/>
      <w:lvlJc w:val="left"/>
      <w:pPr>
        <w:ind w:left="1080" w:hanging="360"/>
      </w:pPr>
      <w:rPr>
        <w:rFonts w:ascii="Symbol" w:hAnsi="Symbol"/>
      </w:rPr>
    </w:lvl>
    <w:lvl w:ilvl="5" w:tplc="1A7A002A">
      <w:start w:val="1"/>
      <w:numFmt w:val="bullet"/>
      <w:lvlText w:val=""/>
      <w:lvlJc w:val="left"/>
      <w:pPr>
        <w:ind w:left="1080" w:hanging="360"/>
      </w:pPr>
      <w:rPr>
        <w:rFonts w:ascii="Symbol" w:hAnsi="Symbol"/>
      </w:rPr>
    </w:lvl>
    <w:lvl w:ilvl="6" w:tplc="ACBC4860">
      <w:start w:val="1"/>
      <w:numFmt w:val="bullet"/>
      <w:lvlText w:val=""/>
      <w:lvlJc w:val="left"/>
      <w:pPr>
        <w:ind w:left="1080" w:hanging="360"/>
      </w:pPr>
      <w:rPr>
        <w:rFonts w:ascii="Symbol" w:hAnsi="Symbol"/>
      </w:rPr>
    </w:lvl>
    <w:lvl w:ilvl="7" w:tplc="2116B8D4">
      <w:start w:val="1"/>
      <w:numFmt w:val="bullet"/>
      <w:lvlText w:val=""/>
      <w:lvlJc w:val="left"/>
      <w:pPr>
        <w:ind w:left="1080" w:hanging="360"/>
      </w:pPr>
      <w:rPr>
        <w:rFonts w:ascii="Symbol" w:hAnsi="Symbol"/>
      </w:rPr>
    </w:lvl>
    <w:lvl w:ilvl="8" w:tplc="15D6061E">
      <w:start w:val="1"/>
      <w:numFmt w:val="bullet"/>
      <w:lvlText w:val=""/>
      <w:lvlJc w:val="left"/>
      <w:pPr>
        <w:ind w:left="1080" w:hanging="360"/>
      </w:pPr>
      <w:rPr>
        <w:rFonts w:ascii="Symbol" w:hAnsi="Symbol"/>
      </w:rPr>
    </w:lvl>
  </w:abstractNum>
  <w:abstractNum w:abstractNumId="29" w15:restartNumberingAfterBreak="0">
    <w:nsid w:val="6A95350E"/>
    <w:multiLevelType w:val="hybridMultilevel"/>
    <w:tmpl w:val="3A0ADEA8"/>
    <w:lvl w:ilvl="0" w:tplc="640A397E">
      <w:start w:val="1"/>
      <w:numFmt w:val="bullet"/>
      <w:lvlText w:val=""/>
      <w:lvlJc w:val="left"/>
      <w:pPr>
        <w:ind w:left="1800" w:hanging="360"/>
      </w:pPr>
      <w:rPr>
        <w:rFonts w:ascii="Symbol" w:hAnsi="Symbol"/>
      </w:rPr>
    </w:lvl>
    <w:lvl w:ilvl="1" w:tplc="21D2CD56">
      <w:start w:val="1"/>
      <w:numFmt w:val="bullet"/>
      <w:lvlText w:val=""/>
      <w:lvlJc w:val="left"/>
      <w:pPr>
        <w:ind w:left="1800" w:hanging="360"/>
      </w:pPr>
      <w:rPr>
        <w:rFonts w:ascii="Symbol" w:hAnsi="Symbol"/>
      </w:rPr>
    </w:lvl>
    <w:lvl w:ilvl="2" w:tplc="03AACF9A">
      <w:start w:val="1"/>
      <w:numFmt w:val="bullet"/>
      <w:lvlText w:val=""/>
      <w:lvlJc w:val="left"/>
      <w:pPr>
        <w:ind w:left="1800" w:hanging="360"/>
      </w:pPr>
      <w:rPr>
        <w:rFonts w:ascii="Symbol" w:hAnsi="Symbol"/>
      </w:rPr>
    </w:lvl>
    <w:lvl w:ilvl="3" w:tplc="C82818D0">
      <w:start w:val="1"/>
      <w:numFmt w:val="bullet"/>
      <w:lvlText w:val=""/>
      <w:lvlJc w:val="left"/>
      <w:pPr>
        <w:ind w:left="1800" w:hanging="360"/>
      </w:pPr>
      <w:rPr>
        <w:rFonts w:ascii="Symbol" w:hAnsi="Symbol"/>
      </w:rPr>
    </w:lvl>
    <w:lvl w:ilvl="4" w:tplc="40660DC2">
      <w:start w:val="1"/>
      <w:numFmt w:val="bullet"/>
      <w:lvlText w:val=""/>
      <w:lvlJc w:val="left"/>
      <w:pPr>
        <w:ind w:left="1800" w:hanging="360"/>
      </w:pPr>
      <w:rPr>
        <w:rFonts w:ascii="Symbol" w:hAnsi="Symbol"/>
      </w:rPr>
    </w:lvl>
    <w:lvl w:ilvl="5" w:tplc="0A024FBC">
      <w:start w:val="1"/>
      <w:numFmt w:val="bullet"/>
      <w:lvlText w:val=""/>
      <w:lvlJc w:val="left"/>
      <w:pPr>
        <w:ind w:left="1800" w:hanging="360"/>
      </w:pPr>
      <w:rPr>
        <w:rFonts w:ascii="Symbol" w:hAnsi="Symbol"/>
      </w:rPr>
    </w:lvl>
    <w:lvl w:ilvl="6" w:tplc="52AAD566">
      <w:start w:val="1"/>
      <w:numFmt w:val="bullet"/>
      <w:lvlText w:val=""/>
      <w:lvlJc w:val="left"/>
      <w:pPr>
        <w:ind w:left="1800" w:hanging="360"/>
      </w:pPr>
      <w:rPr>
        <w:rFonts w:ascii="Symbol" w:hAnsi="Symbol"/>
      </w:rPr>
    </w:lvl>
    <w:lvl w:ilvl="7" w:tplc="56EE8480">
      <w:start w:val="1"/>
      <w:numFmt w:val="bullet"/>
      <w:lvlText w:val=""/>
      <w:lvlJc w:val="left"/>
      <w:pPr>
        <w:ind w:left="1800" w:hanging="360"/>
      </w:pPr>
      <w:rPr>
        <w:rFonts w:ascii="Symbol" w:hAnsi="Symbol"/>
      </w:rPr>
    </w:lvl>
    <w:lvl w:ilvl="8" w:tplc="A64E6A5C">
      <w:start w:val="1"/>
      <w:numFmt w:val="bullet"/>
      <w:lvlText w:val=""/>
      <w:lvlJc w:val="left"/>
      <w:pPr>
        <w:ind w:left="1800" w:hanging="360"/>
      </w:pPr>
      <w:rPr>
        <w:rFonts w:ascii="Symbol" w:hAnsi="Symbol"/>
      </w:rPr>
    </w:lvl>
  </w:abstractNum>
  <w:abstractNum w:abstractNumId="30" w15:restartNumberingAfterBreak="0">
    <w:nsid w:val="6E5A4A39"/>
    <w:multiLevelType w:val="hybridMultilevel"/>
    <w:tmpl w:val="72746448"/>
    <w:lvl w:ilvl="0" w:tplc="8654BB88">
      <w:start w:val="1"/>
      <w:numFmt w:val="bullet"/>
      <w:lvlText w:val=""/>
      <w:lvlJc w:val="left"/>
      <w:pPr>
        <w:ind w:left="1080" w:hanging="360"/>
      </w:pPr>
      <w:rPr>
        <w:rFonts w:ascii="Symbol" w:hAnsi="Symbol"/>
      </w:rPr>
    </w:lvl>
    <w:lvl w:ilvl="1" w:tplc="E6481772">
      <w:start w:val="1"/>
      <w:numFmt w:val="bullet"/>
      <w:lvlText w:val=""/>
      <w:lvlJc w:val="left"/>
      <w:pPr>
        <w:ind w:left="1080" w:hanging="360"/>
      </w:pPr>
      <w:rPr>
        <w:rFonts w:ascii="Symbol" w:hAnsi="Symbol"/>
      </w:rPr>
    </w:lvl>
    <w:lvl w:ilvl="2" w:tplc="BD8AD958">
      <w:start w:val="1"/>
      <w:numFmt w:val="bullet"/>
      <w:lvlText w:val=""/>
      <w:lvlJc w:val="left"/>
      <w:pPr>
        <w:ind w:left="1080" w:hanging="360"/>
      </w:pPr>
      <w:rPr>
        <w:rFonts w:ascii="Symbol" w:hAnsi="Symbol"/>
      </w:rPr>
    </w:lvl>
    <w:lvl w:ilvl="3" w:tplc="7F8A3186">
      <w:start w:val="1"/>
      <w:numFmt w:val="bullet"/>
      <w:lvlText w:val=""/>
      <w:lvlJc w:val="left"/>
      <w:pPr>
        <w:ind w:left="1080" w:hanging="360"/>
      </w:pPr>
      <w:rPr>
        <w:rFonts w:ascii="Symbol" w:hAnsi="Symbol"/>
      </w:rPr>
    </w:lvl>
    <w:lvl w:ilvl="4" w:tplc="2DF0D6F8">
      <w:start w:val="1"/>
      <w:numFmt w:val="bullet"/>
      <w:lvlText w:val=""/>
      <w:lvlJc w:val="left"/>
      <w:pPr>
        <w:ind w:left="1080" w:hanging="360"/>
      </w:pPr>
      <w:rPr>
        <w:rFonts w:ascii="Symbol" w:hAnsi="Symbol"/>
      </w:rPr>
    </w:lvl>
    <w:lvl w:ilvl="5" w:tplc="7E1A0FB6">
      <w:start w:val="1"/>
      <w:numFmt w:val="bullet"/>
      <w:lvlText w:val=""/>
      <w:lvlJc w:val="left"/>
      <w:pPr>
        <w:ind w:left="1080" w:hanging="360"/>
      </w:pPr>
      <w:rPr>
        <w:rFonts w:ascii="Symbol" w:hAnsi="Symbol"/>
      </w:rPr>
    </w:lvl>
    <w:lvl w:ilvl="6" w:tplc="0C7A2AD8">
      <w:start w:val="1"/>
      <w:numFmt w:val="bullet"/>
      <w:lvlText w:val=""/>
      <w:lvlJc w:val="left"/>
      <w:pPr>
        <w:ind w:left="1080" w:hanging="360"/>
      </w:pPr>
      <w:rPr>
        <w:rFonts w:ascii="Symbol" w:hAnsi="Symbol"/>
      </w:rPr>
    </w:lvl>
    <w:lvl w:ilvl="7" w:tplc="02C6E6A4">
      <w:start w:val="1"/>
      <w:numFmt w:val="bullet"/>
      <w:lvlText w:val=""/>
      <w:lvlJc w:val="left"/>
      <w:pPr>
        <w:ind w:left="1080" w:hanging="360"/>
      </w:pPr>
      <w:rPr>
        <w:rFonts w:ascii="Symbol" w:hAnsi="Symbol"/>
      </w:rPr>
    </w:lvl>
    <w:lvl w:ilvl="8" w:tplc="D4901ED4">
      <w:start w:val="1"/>
      <w:numFmt w:val="bullet"/>
      <w:lvlText w:val=""/>
      <w:lvlJc w:val="left"/>
      <w:pPr>
        <w:ind w:left="1080" w:hanging="360"/>
      </w:pPr>
      <w:rPr>
        <w:rFonts w:ascii="Symbol" w:hAnsi="Symbol"/>
      </w:rPr>
    </w:lvl>
  </w:abstractNum>
  <w:abstractNum w:abstractNumId="31" w15:restartNumberingAfterBreak="0">
    <w:nsid w:val="73182D17"/>
    <w:multiLevelType w:val="hybridMultilevel"/>
    <w:tmpl w:val="F5568808"/>
    <w:lvl w:ilvl="0" w:tplc="16A4D6D8">
      <w:start w:val="1"/>
      <w:numFmt w:val="bullet"/>
      <w:lvlText w:val=""/>
      <w:lvlJc w:val="left"/>
      <w:pPr>
        <w:ind w:left="1520" w:hanging="360"/>
      </w:pPr>
      <w:rPr>
        <w:rFonts w:ascii="Symbol" w:hAnsi="Symbol"/>
      </w:rPr>
    </w:lvl>
    <w:lvl w:ilvl="1" w:tplc="C3C04898">
      <w:start w:val="1"/>
      <w:numFmt w:val="bullet"/>
      <w:lvlText w:val=""/>
      <w:lvlJc w:val="left"/>
      <w:pPr>
        <w:ind w:left="1520" w:hanging="360"/>
      </w:pPr>
      <w:rPr>
        <w:rFonts w:ascii="Symbol" w:hAnsi="Symbol"/>
      </w:rPr>
    </w:lvl>
    <w:lvl w:ilvl="2" w:tplc="82EE7CE0">
      <w:start w:val="1"/>
      <w:numFmt w:val="bullet"/>
      <w:lvlText w:val=""/>
      <w:lvlJc w:val="left"/>
      <w:pPr>
        <w:ind w:left="1520" w:hanging="360"/>
      </w:pPr>
      <w:rPr>
        <w:rFonts w:ascii="Symbol" w:hAnsi="Symbol"/>
      </w:rPr>
    </w:lvl>
    <w:lvl w:ilvl="3" w:tplc="3EE8952E">
      <w:start w:val="1"/>
      <w:numFmt w:val="bullet"/>
      <w:lvlText w:val=""/>
      <w:lvlJc w:val="left"/>
      <w:pPr>
        <w:ind w:left="1520" w:hanging="360"/>
      </w:pPr>
      <w:rPr>
        <w:rFonts w:ascii="Symbol" w:hAnsi="Symbol"/>
      </w:rPr>
    </w:lvl>
    <w:lvl w:ilvl="4" w:tplc="6A7C83E0">
      <w:start w:val="1"/>
      <w:numFmt w:val="bullet"/>
      <w:lvlText w:val=""/>
      <w:lvlJc w:val="left"/>
      <w:pPr>
        <w:ind w:left="1520" w:hanging="360"/>
      </w:pPr>
      <w:rPr>
        <w:rFonts w:ascii="Symbol" w:hAnsi="Symbol"/>
      </w:rPr>
    </w:lvl>
    <w:lvl w:ilvl="5" w:tplc="91284B28">
      <w:start w:val="1"/>
      <w:numFmt w:val="bullet"/>
      <w:lvlText w:val=""/>
      <w:lvlJc w:val="left"/>
      <w:pPr>
        <w:ind w:left="1520" w:hanging="360"/>
      </w:pPr>
      <w:rPr>
        <w:rFonts w:ascii="Symbol" w:hAnsi="Symbol"/>
      </w:rPr>
    </w:lvl>
    <w:lvl w:ilvl="6" w:tplc="B37C3E24">
      <w:start w:val="1"/>
      <w:numFmt w:val="bullet"/>
      <w:lvlText w:val=""/>
      <w:lvlJc w:val="left"/>
      <w:pPr>
        <w:ind w:left="1520" w:hanging="360"/>
      </w:pPr>
      <w:rPr>
        <w:rFonts w:ascii="Symbol" w:hAnsi="Symbol"/>
      </w:rPr>
    </w:lvl>
    <w:lvl w:ilvl="7" w:tplc="47722EF8">
      <w:start w:val="1"/>
      <w:numFmt w:val="bullet"/>
      <w:lvlText w:val=""/>
      <w:lvlJc w:val="left"/>
      <w:pPr>
        <w:ind w:left="1520" w:hanging="360"/>
      </w:pPr>
      <w:rPr>
        <w:rFonts w:ascii="Symbol" w:hAnsi="Symbol"/>
      </w:rPr>
    </w:lvl>
    <w:lvl w:ilvl="8" w:tplc="50B473C2">
      <w:start w:val="1"/>
      <w:numFmt w:val="bullet"/>
      <w:lvlText w:val=""/>
      <w:lvlJc w:val="left"/>
      <w:pPr>
        <w:ind w:left="1520" w:hanging="360"/>
      </w:pPr>
      <w:rPr>
        <w:rFonts w:ascii="Symbol" w:hAnsi="Symbol"/>
      </w:rPr>
    </w:lvl>
  </w:abstractNum>
  <w:abstractNum w:abstractNumId="32"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AE4E5A"/>
    <w:multiLevelType w:val="hybridMultilevel"/>
    <w:tmpl w:val="428685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B03042D"/>
    <w:multiLevelType w:val="hybridMultilevel"/>
    <w:tmpl w:val="98766AD4"/>
    <w:lvl w:ilvl="0" w:tplc="2338A4B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16186631">
    <w:abstractNumId w:val="32"/>
  </w:num>
  <w:num w:numId="2" w16cid:durableId="917793048">
    <w:abstractNumId w:val="20"/>
  </w:num>
  <w:num w:numId="3" w16cid:durableId="263461728">
    <w:abstractNumId w:val="0"/>
  </w:num>
  <w:num w:numId="4" w16cid:durableId="1177577810">
    <w:abstractNumId w:val="9"/>
  </w:num>
  <w:num w:numId="5" w16cid:durableId="704645582">
    <w:abstractNumId w:val="23"/>
  </w:num>
  <w:num w:numId="6" w16cid:durableId="220360847">
    <w:abstractNumId w:val="27"/>
  </w:num>
  <w:num w:numId="7" w16cid:durableId="268196418">
    <w:abstractNumId w:val="12"/>
  </w:num>
  <w:num w:numId="8" w16cid:durableId="1048839230">
    <w:abstractNumId w:val="32"/>
  </w:num>
  <w:num w:numId="9" w16cid:durableId="251397022">
    <w:abstractNumId w:val="1"/>
  </w:num>
  <w:num w:numId="10" w16cid:durableId="152843808">
    <w:abstractNumId w:val="8"/>
  </w:num>
  <w:num w:numId="11" w16cid:durableId="1284267854">
    <w:abstractNumId w:val="33"/>
  </w:num>
  <w:num w:numId="12" w16cid:durableId="1541281464">
    <w:abstractNumId w:val="15"/>
  </w:num>
  <w:num w:numId="13" w16cid:durableId="36512677">
    <w:abstractNumId w:val="19"/>
  </w:num>
  <w:num w:numId="14" w16cid:durableId="1611620833">
    <w:abstractNumId w:val="21"/>
  </w:num>
  <w:num w:numId="15" w16cid:durableId="759956009">
    <w:abstractNumId w:val="18"/>
  </w:num>
  <w:num w:numId="16" w16cid:durableId="996348152">
    <w:abstractNumId w:val="11"/>
  </w:num>
  <w:num w:numId="17" w16cid:durableId="1293289582">
    <w:abstractNumId w:val="34"/>
  </w:num>
  <w:num w:numId="18" w16cid:durableId="2038502587">
    <w:abstractNumId w:val="26"/>
  </w:num>
  <w:num w:numId="19" w16cid:durableId="1566531004">
    <w:abstractNumId w:val="5"/>
  </w:num>
  <w:num w:numId="20" w16cid:durableId="532235053">
    <w:abstractNumId w:val="7"/>
  </w:num>
  <w:num w:numId="21" w16cid:durableId="1960449661">
    <w:abstractNumId w:val="25"/>
  </w:num>
  <w:num w:numId="22" w16cid:durableId="1028141216">
    <w:abstractNumId w:val="3"/>
  </w:num>
  <w:num w:numId="23" w16cid:durableId="666829526">
    <w:abstractNumId w:val="31"/>
  </w:num>
  <w:num w:numId="24" w16cid:durableId="2118594583">
    <w:abstractNumId w:val="10"/>
  </w:num>
  <w:num w:numId="25" w16cid:durableId="49115662">
    <w:abstractNumId w:val="28"/>
  </w:num>
  <w:num w:numId="26" w16cid:durableId="1591111985">
    <w:abstractNumId w:val="13"/>
  </w:num>
  <w:num w:numId="27" w16cid:durableId="864368755">
    <w:abstractNumId w:val="4"/>
  </w:num>
  <w:num w:numId="28" w16cid:durableId="1885949535">
    <w:abstractNumId w:val="6"/>
  </w:num>
  <w:num w:numId="29" w16cid:durableId="1170102807">
    <w:abstractNumId w:val="22"/>
  </w:num>
  <w:num w:numId="30" w16cid:durableId="729502021">
    <w:abstractNumId w:val="16"/>
  </w:num>
  <w:num w:numId="31" w16cid:durableId="345132153">
    <w:abstractNumId w:val="30"/>
  </w:num>
  <w:num w:numId="32" w16cid:durableId="1216157769">
    <w:abstractNumId w:val="24"/>
  </w:num>
  <w:num w:numId="33" w16cid:durableId="711075660">
    <w:abstractNumId w:val="32"/>
  </w:num>
  <w:num w:numId="34" w16cid:durableId="1987665457">
    <w:abstractNumId w:val="29"/>
  </w:num>
  <w:num w:numId="35" w16cid:durableId="1447232170">
    <w:abstractNumId w:val="32"/>
  </w:num>
  <w:num w:numId="36" w16cid:durableId="1385644302">
    <w:abstractNumId w:val="14"/>
  </w:num>
  <w:num w:numId="37" w16cid:durableId="1083063318">
    <w:abstractNumId w:val="2"/>
  </w:num>
  <w:num w:numId="38" w16cid:durableId="1854108794">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66"/>
    <w:rsid w:val="00000790"/>
    <w:rsid w:val="00000862"/>
    <w:rsid w:val="0000110B"/>
    <w:rsid w:val="000017D9"/>
    <w:rsid w:val="0000192F"/>
    <w:rsid w:val="00001B09"/>
    <w:rsid w:val="00002379"/>
    <w:rsid w:val="00002570"/>
    <w:rsid w:val="000030A3"/>
    <w:rsid w:val="00003499"/>
    <w:rsid w:val="000039B7"/>
    <w:rsid w:val="00003CC1"/>
    <w:rsid w:val="00003D0D"/>
    <w:rsid w:val="00004234"/>
    <w:rsid w:val="00004420"/>
    <w:rsid w:val="000044F9"/>
    <w:rsid w:val="000056B9"/>
    <w:rsid w:val="000056E5"/>
    <w:rsid w:val="000058ED"/>
    <w:rsid w:val="00005A90"/>
    <w:rsid w:val="00005F0D"/>
    <w:rsid w:val="0000639A"/>
    <w:rsid w:val="000072BE"/>
    <w:rsid w:val="000073D5"/>
    <w:rsid w:val="000075D8"/>
    <w:rsid w:val="000079D5"/>
    <w:rsid w:val="00007CE1"/>
    <w:rsid w:val="00007DFE"/>
    <w:rsid w:val="00007ECB"/>
    <w:rsid w:val="000101B4"/>
    <w:rsid w:val="00010F67"/>
    <w:rsid w:val="000114E5"/>
    <w:rsid w:val="000115AC"/>
    <w:rsid w:val="000116F2"/>
    <w:rsid w:val="00011D65"/>
    <w:rsid w:val="00012103"/>
    <w:rsid w:val="00012946"/>
    <w:rsid w:val="00012F14"/>
    <w:rsid w:val="00012FA2"/>
    <w:rsid w:val="00013247"/>
    <w:rsid w:val="000137BE"/>
    <w:rsid w:val="00013AE8"/>
    <w:rsid w:val="00013EF5"/>
    <w:rsid w:val="00015886"/>
    <w:rsid w:val="00016208"/>
    <w:rsid w:val="000162EF"/>
    <w:rsid w:val="00017B1F"/>
    <w:rsid w:val="00017E98"/>
    <w:rsid w:val="00020571"/>
    <w:rsid w:val="000207C9"/>
    <w:rsid w:val="00021676"/>
    <w:rsid w:val="00021773"/>
    <w:rsid w:val="00021BAD"/>
    <w:rsid w:val="0002225F"/>
    <w:rsid w:val="00022AF2"/>
    <w:rsid w:val="00023763"/>
    <w:rsid w:val="00023D0D"/>
    <w:rsid w:val="00023DF2"/>
    <w:rsid w:val="00024EB5"/>
    <w:rsid w:val="00025776"/>
    <w:rsid w:val="00025D18"/>
    <w:rsid w:val="00025E6B"/>
    <w:rsid w:val="000268B7"/>
    <w:rsid w:val="00026A3D"/>
    <w:rsid w:val="00026E1B"/>
    <w:rsid w:val="00027284"/>
    <w:rsid w:val="000274B8"/>
    <w:rsid w:val="0002759B"/>
    <w:rsid w:val="00027D9F"/>
    <w:rsid w:val="000303FD"/>
    <w:rsid w:val="000307E6"/>
    <w:rsid w:val="00030BFF"/>
    <w:rsid w:val="00031EDE"/>
    <w:rsid w:val="000327BC"/>
    <w:rsid w:val="0003292E"/>
    <w:rsid w:val="00033396"/>
    <w:rsid w:val="00033863"/>
    <w:rsid w:val="000339F6"/>
    <w:rsid w:val="00033C32"/>
    <w:rsid w:val="00033F37"/>
    <w:rsid w:val="00034235"/>
    <w:rsid w:val="00034C94"/>
    <w:rsid w:val="00034E87"/>
    <w:rsid w:val="00034EF6"/>
    <w:rsid w:val="00035019"/>
    <w:rsid w:val="000352CF"/>
    <w:rsid w:val="00035315"/>
    <w:rsid w:val="0003595B"/>
    <w:rsid w:val="00035D90"/>
    <w:rsid w:val="00035DC0"/>
    <w:rsid w:val="000363B1"/>
    <w:rsid w:val="00036492"/>
    <w:rsid w:val="00036829"/>
    <w:rsid w:val="00036A87"/>
    <w:rsid w:val="00036B0F"/>
    <w:rsid w:val="000370F6"/>
    <w:rsid w:val="00037C13"/>
    <w:rsid w:val="00037E0F"/>
    <w:rsid w:val="000402E2"/>
    <w:rsid w:val="00040330"/>
    <w:rsid w:val="00040453"/>
    <w:rsid w:val="000406F7"/>
    <w:rsid w:val="00040895"/>
    <w:rsid w:val="000408CF"/>
    <w:rsid w:val="00040F6B"/>
    <w:rsid w:val="000410A0"/>
    <w:rsid w:val="000419D4"/>
    <w:rsid w:val="00041C18"/>
    <w:rsid w:val="00042723"/>
    <w:rsid w:val="0004289B"/>
    <w:rsid w:val="00042D4E"/>
    <w:rsid w:val="00042DFE"/>
    <w:rsid w:val="00042F68"/>
    <w:rsid w:val="00043090"/>
    <w:rsid w:val="000432B6"/>
    <w:rsid w:val="000435EE"/>
    <w:rsid w:val="000436FD"/>
    <w:rsid w:val="00043C37"/>
    <w:rsid w:val="00043D8A"/>
    <w:rsid w:val="00043FDF"/>
    <w:rsid w:val="0004496F"/>
    <w:rsid w:val="00045017"/>
    <w:rsid w:val="000458E9"/>
    <w:rsid w:val="00045A2B"/>
    <w:rsid w:val="00045F5B"/>
    <w:rsid w:val="00045FA2"/>
    <w:rsid w:val="0004663D"/>
    <w:rsid w:val="00046951"/>
    <w:rsid w:val="0004696D"/>
    <w:rsid w:val="0004698F"/>
    <w:rsid w:val="00046AF3"/>
    <w:rsid w:val="00046D64"/>
    <w:rsid w:val="0004728D"/>
    <w:rsid w:val="00047961"/>
    <w:rsid w:val="00050543"/>
    <w:rsid w:val="000508C2"/>
    <w:rsid w:val="00050B37"/>
    <w:rsid w:val="00051E1E"/>
    <w:rsid w:val="000523A8"/>
    <w:rsid w:val="000523F6"/>
    <w:rsid w:val="00052FBD"/>
    <w:rsid w:val="0005335B"/>
    <w:rsid w:val="00053734"/>
    <w:rsid w:val="000539D0"/>
    <w:rsid w:val="00053A67"/>
    <w:rsid w:val="00054621"/>
    <w:rsid w:val="000546D7"/>
    <w:rsid w:val="00054A8D"/>
    <w:rsid w:val="00054F2A"/>
    <w:rsid w:val="00054F4E"/>
    <w:rsid w:val="00055531"/>
    <w:rsid w:val="00055D1D"/>
    <w:rsid w:val="00055D4D"/>
    <w:rsid w:val="0005649C"/>
    <w:rsid w:val="000565D0"/>
    <w:rsid w:val="0005660B"/>
    <w:rsid w:val="00056EAC"/>
    <w:rsid w:val="00056ECF"/>
    <w:rsid w:val="00057031"/>
    <w:rsid w:val="00057386"/>
    <w:rsid w:val="00057F95"/>
    <w:rsid w:val="00057FBD"/>
    <w:rsid w:val="00060104"/>
    <w:rsid w:val="000604DF"/>
    <w:rsid w:val="000613CC"/>
    <w:rsid w:val="00062324"/>
    <w:rsid w:val="0006259D"/>
    <w:rsid w:val="00063563"/>
    <w:rsid w:val="000638AC"/>
    <w:rsid w:val="00064087"/>
    <w:rsid w:val="00064483"/>
    <w:rsid w:val="000645C5"/>
    <w:rsid w:val="00064652"/>
    <w:rsid w:val="000647B1"/>
    <w:rsid w:val="00064C93"/>
    <w:rsid w:val="00065205"/>
    <w:rsid w:val="000653B5"/>
    <w:rsid w:val="00066360"/>
    <w:rsid w:val="00066AF8"/>
    <w:rsid w:val="00066F07"/>
    <w:rsid w:val="00067215"/>
    <w:rsid w:val="0007085B"/>
    <w:rsid w:val="00070E21"/>
    <w:rsid w:val="00071248"/>
    <w:rsid w:val="000720B9"/>
    <w:rsid w:val="00072577"/>
    <w:rsid w:val="00072BA5"/>
    <w:rsid w:val="0007332F"/>
    <w:rsid w:val="00073647"/>
    <w:rsid w:val="000736E3"/>
    <w:rsid w:val="000737E3"/>
    <w:rsid w:val="000737F7"/>
    <w:rsid w:val="00074205"/>
    <w:rsid w:val="000745B7"/>
    <w:rsid w:val="00074CB4"/>
    <w:rsid w:val="000759E0"/>
    <w:rsid w:val="00075F53"/>
    <w:rsid w:val="0007672F"/>
    <w:rsid w:val="00076B54"/>
    <w:rsid w:val="000773F9"/>
    <w:rsid w:val="000774F0"/>
    <w:rsid w:val="00077F56"/>
    <w:rsid w:val="00080414"/>
    <w:rsid w:val="000805B5"/>
    <w:rsid w:val="00080909"/>
    <w:rsid w:val="000809FF"/>
    <w:rsid w:val="00080E30"/>
    <w:rsid w:val="0008116D"/>
    <w:rsid w:val="000812CA"/>
    <w:rsid w:val="00081938"/>
    <w:rsid w:val="00081E63"/>
    <w:rsid w:val="00082523"/>
    <w:rsid w:val="0008258D"/>
    <w:rsid w:val="0008271A"/>
    <w:rsid w:val="00082944"/>
    <w:rsid w:val="00082960"/>
    <w:rsid w:val="00082B8D"/>
    <w:rsid w:val="00083E99"/>
    <w:rsid w:val="00084526"/>
    <w:rsid w:val="000848BB"/>
    <w:rsid w:val="00084FA8"/>
    <w:rsid w:val="00085089"/>
    <w:rsid w:val="00085221"/>
    <w:rsid w:val="000856C5"/>
    <w:rsid w:val="00085C31"/>
    <w:rsid w:val="000866B7"/>
    <w:rsid w:val="00086A4D"/>
    <w:rsid w:val="00086AD8"/>
    <w:rsid w:val="0008706F"/>
    <w:rsid w:val="00087480"/>
    <w:rsid w:val="00087E54"/>
    <w:rsid w:val="000902D9"/>
    <w:rsid w:val="00090952"/>
    <w:rsid w:val="00090C7E"/>
    <w:rsid w:val="000911AC"/>
    <w:rsid w:val="00091492"/>
    <w:rsid w:val="0009158B"/>
    <w:rsid w:val="000916A4"/>
    <w:rsid w:val="00091BDF"/>
    <w:rsid w:val="00092600"/>
    <w:rsid w:val="0009262B"/>
    <w:rsid w:val="00092F71"/>
    <w:rsid w:val="00093310"/>
    <w:rsid w:val="000942F1"/>
    <w:rsid w:val="0009445C"/>
    <w:rsid w:val="00094797"/>
    <w:rsid w:val="00095200"/>
    <w:rsid w:val="000954A9"/>
    <w:rsid w:val="00095684"/>
    <w:rsid w:val="00095797"/>
    <w:rsid w:val="00095FE5"/>
    <w:rsid w:val="000960BB"/>
    <w:rsid w:val="00096284"/>
    <w:rsid w:val="0009699A"/>
    <w:rsid w:val="00096D22"/>
    <w:rsid w:val="00097C9E"/>
    <w:rsid w:val="00097D3B"/>
    <w:rsid w:val="000A04FC"/>
    <w:rsid w:val="000A0884"/>
    <w:rsid w:val="000A0B8C"/>
    <w:rsid w:val="000A0B98"/>
    <w:rsid w:val="000A0E70"/>
    <w:rsid w:val="000A0F89"/>
    <w:rsid w:val="000A1735"/>
    <w:rsid w:val="000A1BC0"/>
    <w:rsid w:val="000A2842"/>
    <w:rsid w:val="000A2F9E"/>
    <w:rsid w:val="000A35CA"/>
    <w:rsid w:val="000A36D6"/>
    <w:rsid w:val="000A3DB0"/>
    <w:rsid w:val="000A3E47"/>
    <w:rsid w:val="000A3F0F"/>
    <w:rsid w:val="000A47FF"/>
    <w:rsid w:val="000A5055"/>
    <w:rsid w:val="000A522B"/>
    <w:rsid w:val="000A5A1E"/>
    <w:rsid w:val="000A5BD4"/>
    <w:rsid w:val="000A5E3E"/>
    <w:rsid w:val="000A5F78"/>
    <w:rsid w:val="000A5FE3"/>
    <w:rsid w:val="000A6039"/>
    <w:rsid w:val="000A6644"/>
    <w:rsid w:val="000A68CB"/>
    <w:rsid w:val="000A69D6"/>
    <w:rsid w:val="000A7453"/>
    <w:rsid w:val="000A764B"/>
    <w:rsid w:val="000A7A76"/>
    <w:rsid w:val="000A7AE5"/>
    <w:rsid w:val="000A7CDD"/>
    <w:rsid w:val="000A7D08"/>
    <w:rsid w:val="000A7D55"/>
    <w:rsid w:val="000B0121"/>
    <w:rsid w:val="000B04CA"/>
    <w:rsid w:val="000B0670"/>
    <w:rsid w:val="000B0C00"/>
    <w:rsid w:val="000B0D45"/>
    <w:rsid w:val="000B0E75"/>
    <w:rsid w:val="000B0E96"/>
    <w:rsid w:val="000B1020"/>
    <w:rsid w:val="000B1FC6"/>
    <w:rsid w:val="000B2055"/>
    <w:rsid w:val="000B2785"/>
    <w:rsid w:val="000B2DCB"/>
    <w:rsid w:val="000B3BE7"/>
    <w:rsid w:val="000B4429"/>
    <w:rsid w:val="000B4953"/>
    <w:rsid w:val="000B5292"/>
    <w:rsid w:val="000B5391"/>
    <w:rsid w:val="000B54BE"/>
    <w:rsid w:val="000B5CE0"/>
    <w:rsid w:val="000B605F"/>
    <w:rsid w:val="000B607C"/>
    <w:rsid w:val="000B62C7"/>
    <w:rsid w:val="000B6379"/>
    <w:rsid w:val="000B6800"/>
    <w:rsid w:val="000B6CAC"/>
    <w:rsid w:val="000B7612"/>
    <w:rsid w:val="000B7882"/>
    <w:rsid w:val="000B78AE"/>
    <w:rsid w:val="000B794A"/>
    <w:rsid w:val="000B7CF5"/>
    <w:rsid w:val="000C0052"/>
    <w:rsid w:val="000C0266"/>
    <w:rsid w:val="000C0F33"/>
    <w:rsid w:val="000C1076"/>
    <w:rsid w:val="000C2912"/>
    <w:rsid w:val="000C2CD4"/>
    <w:rsid w:val="000C312C"/>
    <w:rsid w:val="000C3257"/>
    <w:rsid w:val="000C3707"/>
    <w:rsid w:val="000C38FF"/>
    <w:rsid w:val="000C3DF9"/>
    <w:rsid w:val="000C4889"/>
    <w:rsid w:val="000C4CF2"/>
    <w:rsid w:val="000C52CD"/>
    <w:rsid w:val="000C52D7"/>
    <w:rsid w:val="000C6713"/>
    <w:rsid w:val="000D052A"/>
    <w:rsid w:val="000D1BFC"/>
    <w:rsid w:val="000D1D5D"/>
    <w:rsid w:val="000D267A"/>
    <w:rsid w:val="000D281A"/>
    <w:rsid w:val="000D2848"/>
    <w:rsid w:val="000D2EE7"/>
    <w:rsid w:val="000D305D"/>
    <w:rsid w:val="000D3088"/>
    <w:rsid w:val="000D326A"/>
    <w:rsid w:val="000D41EC"/>
    <w:rsid w:val="000D499D"/>
    <w:rsid w:val="000D4B0C"/>
    <w:rsid w:val="000D4FED"/>
    <w:rsid w:val="000D5189"/>
    <w:rsid w:val="000D51FB"/>
    <w:rsid w:val="000D54AD"/>
    <w:rsid w:val="000D5694"/>
    <w:rsid w:val="000D5A4A"/>
    <w:rsid w:val="000D63AF"/>
    <w:rsid w:val="000D6434"/>
    <w:rsid w:val="000D681D"/>
    <w:rsid w:val="000D68CB"/>
    <w:rsid w:val="000D7145"/>
    <w:rsid w:val="000D7387"/>
    <w:rsid w:val="000E02FB"/>
    <w:rsid w:val="000E0640"/>
    <w:rsid w:val="000E09FA"/>
    <w:rsid w:val="000E0B2E"/>
    <w:rsid w:val="000E0B44"/>
    <w:rsid w:val="000E135D"/>
    <w:rsid w:val="000E1371"/>
    <w:rsid w:val="000E1A37"/>
    <w:rsid w:val="000E1D76"/>
    <w:rsid w:val="000E2152"/>
    <w:rsid w:val="000E279D"/>
    <w:rsid w:val="000E2D4C"/>
    <w:rsid w:val="000E4570"/>
    <w:rsid w:val="000E4FE4"/>
    <w:rsid w:val="000E505D"/>
    <w:rsid w:val="000E537D"/>
    <w:rsid w:val="000E5DCA"/>
    <w:rsid w:val="000E5E51"/>
    <w:rsid w:val="000E5FE9"/>
    <w:rsid w:val="000E6703"/>
    <w:rsid w:val="000E6962"/>
    <w:rsid w:val="000E69EE"/>
    <w:rsid w:val="000E73B0"/>
    <w:rsid w:val="000E7779"/>
    <w:rsid w:val="000E7B81"/>
    <w:rsid w:val="000E7C7C"/>
    <w:rsid w:val="000F00BA"/>
    <w:rsid w:val="000F0964"/>
    <w:rsid w:val="000F23C2"/>
    <w:rsid w:val="000F29E3"/>
    <w:rsid w:val="000F316A"/>
    <w:rsid w:val="000F31D8"/>
    <w:rsid w:val="000F3C08"/>
    <w:rsid w:val="000F3C74"/>
    <w:rsid w:val="000F4573"/>
    <w:rsid w:val="000F4BB8"/>
    <w:rsid w:val="000F4BF6"/>
    <w:rsid w:val="000F4D15"/>
    <w:rsid w:val="000F4FA9"/>
    <w:rsid w:val="000F53FB"/>
    <w:rsid w:val="000F58C2"/>
    <w:rsid w:val="000F5CC7"/>
    <w:rsid w:val="000F5DD7"/>
    <w:rsid w:val="000F6341"/>
    <w:rsid w:val="000F7127"/>
    <w:rsid w:val="000F71B9"/>
    <w:rsid w:val="000F74D9"/>
    <w:rsid w:val="000F7B54"/>
    <w:rsid w:val="000F7EE8"/>
    <w:rsid w:val="001000B3"/>
    <w:rsid w:val="001001DE"/>
    <w:rsid w:val="00100214"/>
    <w:rsid w:val="00100581"/>
    <w:rsid w:val="0010096A"/>
    <w:rsid w:val="00100F8A"/>
    <w:rsid w:val="00101085"/>
    <w:rsid w:val="00101830"/>
    <w:rsid w:val="00101A7F"/>
    <w:rsid w:val="00101B6D"/>
    <w:rsid w:val="00101E42"/>
    <w:rsid w:val="00102285"/>
    <w:rsid w:val="001023DE"/>
    <w:rsid w:val="00102967"/>
    <w:rsid w:val="00102A56"/>
    <w:rsid w:val="001035DB"/>
    <w:rsid w:val="00103763"/>
    <w:rsid w:val="0010452E"/>
    <w:rsid w:val="001048E2"/>
    <w:rsid w:val="00104BE5"/>
    <w:rsid w:val="00105AE2"/>
    <w:rsid w:val="00105B8A"/>
    <w:rsid w:val="001060C6"/>
    <w:rsid w:val="00106B80"/>
    <w:rsid w:val="00106CA2"/>
    <w:rsid w:val="001071F8"/>
    <w:rsid w:val="00107DD5"/>
    <w:rsid w:val="00107E3D"/>
    <w:rsid w:val="00110323"/>
    <w:rsid w:val="0011032E"/>
    <w:rsid w:val="00110501"/>
    <w:rsid w:val="0011051E"/>
    <w:rsid w:val="00110614"/>
    <w:rsid w:val="00110B13"/>
    <w:rsid w:val="00110D4B"/>
    <w:rsid w:val="00110ECD"/>
    <w:rsid w:val="001120F1"/>
    <w:rsid w:val="00112EBE"/>
    <w:rsid w:val="00113342"/>
    <w:rsid w:val="0011348B"/>
    <w:rsid w:val="00113E90"/>
    <w:rsid w:val="00113F20"/>
    <w:rsid w:val="00113F4F"/>
    <w:rsid w:val="00115006"/>
    <w:rsid w:val="0011587D"/>
    <w:rsid w:val="00115982"/>
    <w:rsid w:val="00115EBD"/>
    <w:rsid w:val="00116327"/>
    <w:rsid w:val="00116804"/>
    <w:rsid w:val="00116C53"/>
    <w:rsid w:val="00117170"/>
    <w:rsid w:val="0012085F"/>
    <w:rsid w:val="001215D9"/>
    <w:rsid w:val="00121799"/>
    <w:rsid w:val="001218F3"/>
    <w:rsid w:val="0012195B"/>
    <w:rsid w:val="00121966"/>
    <w:rsid w:val="001222A4"/>
    <w:rsid w:val="001222FC"/>
    <w:rsid w:val="00122DB2"/>
    <w:rsid w:val="00123902"/>
    <w:rsid w:val="00124A51"/>
    <w:rsid w:val="00125127"/>
    <w:rsid w:val="001253C5"/>
    <w:rsid w:val="001256E6"/>
    <w:rsid w:val="0012646A"/>
    <w:rsid w:val="00126621"/>
    <w:rsid w:val="00126B1D"/>
    <w:rsid w:val="001301E9"/>
    <w:rsid w:val="0013049F"/>
    <w:rsid w:val="00131B76"/>
    <w:rsid w:val="00131D82"/>
    <w:rsid w:val="00131DD9"/>
    <w:rsid w:val="00131FE4"/>
    <w:rsid w:val="00132A49"/>
    <w:rsid w:val="00132B22"/>
    <w:rsid w:val="001330CE"/>
    <w:rsid w:val="001336F3"/>
    <w:rsid w:val="00133D36"/>
    <w:rsid w:val="00135212"/>
    <w:rsid w:val="00135955"/>
    <w:rsid w:val="00135E06"/>
    <w:rsid w:val="001364A3"/>
    <w:rsid w:val="00136713"/>
    <w:rsid w:val="00136832"/>
    <w:rsid w:val="0013694B"/>
    <w:rsid w:val="00136FA4"/>
    <w:rsid w:val="0013716D"/>
    <w:rsid w:val="00137282"/>
    <w:rsid w:val="001374D4"/>
    <w:rsid w:val="00137645"/>
    <w:rsid w:val="00137AA2"/>
    <w:rsid w:val="00137B18"/>
    <w:rsid w:val="0014015A"/>
    <w:rsid w:val="00140607"/>
    <w:rsid w:val="00140DB3"/>
    <w:rsid w:val="00140E99"/>
    <w:rsid w:val="00140FFC"/>
    <w:rsid w:val="001415BD"/>
    <w:rsid w:val="00141628"/>
    <w:rsid w:val="00141F57"/>
    <w:rsid w:val="00142433"/>
    <w:rsid w:val="00142B0A"/>
    <w:rsid w:val="00143179"/>
    <w:rsid w:val="0014368B"/>
    <w:rsid w:val="00143F67"/>
    <w:rsid w:val="0014408E"/>
    <w:rsid w:val="00144FB3"/>
    <w:rsid w:val="00145234"/>
    <w:rsid w:val="001452B5"/>
    <w:rsid w:val="00145540"/>
    <w:rsid w:val="0014558A"/>
    <w:rsid w:val="001456B0"/>
    <w:rsid w:val="00145C32"/>
    <w:rsid w:val="001463A4"/>
    <w:rsid w:val="0014646B"/>
    <w:rsid w:val="00147264"/>
    <w:rsid w:val="001474F6"/>
    <w:rsid w:val="00147BBF"/>
    <w:rsid w:val="001503AE"/>
    <w:rsid w:val="00150468"/>
    <w:rsid w:val="001506EF"/>
    <w:rsid w:val="00151926"/>
    <w:rsid w:val="001519F6"/>
    <w:rsid w:val="00151D65"/>
    <w:rsid w:val="001525B4"/>
    <w:rsid w:val="001526A1"/>
    <w:rsid w:val="001527F3"/>
    <w:rsid w:val="00152A0C"/>
    <w:rsid w:val="00152AFA"/>
    <w:rsid w:val="001535A2"/>
    <w:rsid w:val="001538B9"/>
    <w:rsid w:val="001539EC"/>
    <w:rsid w:val="00153EAD"/>
    <w:rsid w:val="00153FF2"/>
    <w:rsid w:val="0015448D"/>
    <w:rsid w:val="001547AB"/>
    <w:rsid w:val="00154809"/>
    <w:rsid w:val="00154A78"/>
    <w:rsid w:val="00154CAA"/>
    <w:rsid w:val="00154FAF"/>
    <w:rsid w:val="0015558D"/>
    <w:rsid w:val="0015585D"/>
    <w:rsid w:val="00155C4B"/>
    <w:rsid w:val="001562F9"/>
    <w:rsid w:val="00156583"/>
    <w:rsid w:val="00156ACB"/>
    <w:rsid w:val="00156F22"/>
    <w:rsid w:val="00156F8F"/>
    <w:rsid w:val="00157130"/>
    <w:rsid w:val="001576B1"/>
    <w:rsid w:val="00157891"/>
    <w:rsid w:val="00160000"/>
    <w:rsid w:val="0016047B"/>
    <w:rsid w:val="0016098B"/>
    <w:rsid w:val="00160A4C"/>
    <w:rsid w:val="00160EF6"/>
    <w:rsid w:val="0016173A"/>
    <w:rsid w:val="0016191E"/>
    <w:rsid w:val="00161A81"/>
    <w:rsid w:val="00161DA3"/>
    <w:rsid w:val="00162650"/>
    <w:rsid w:val="00162913"/>
    <w:rsid w:val="00162A54"/>
    <w:rsid w:val="00162B8C"/>
    <w:rsid w:val="00162BCF"/>
    <w:rsid w:val="00162E24"/>
    <w:rsid w:val="001639BA"/>
    <w:rsid w:val="00163EFF"/>
    <w:rsid w:val="00163F66"/>
    <w:rsid w:val="00164408"/>
    <w:rsid w:val="001646B5"/>
    <w:rsid w:val="0016478E"/>
    <w:rsid w:val="00164A68"/>
    <w:rsid w:val="00165296"/>
    <w:rsid w:val="0016550C"/>
    <w:rsid w:val="00165EC4"/>
    <w:rsid w:val="001661D6"/>
    <w:rsid w:val="001661FB"/>
    <w:rsid w:val="0016627C"/>
    <w:rsid w:val="001662AE"/>
    <w:rsid w:val="001669BF"/>
    <w:rsid w:val="00166F96"/>
    <w:rsid w:val="001670BB"/>
    <w:rsid w:val="001671A0"/>
    <w:rsid w:val="001672CB"/>
    <w:rsid w:val="0016767F"/>
    <w:rsid w:val="00167988"/>
    <w:rsid w:val="00167DD1"/>
    <w:rsid w:val="0017035D"/>
    <w:rsid w:val="00170376"/>
    <w:rsid w:val="00170C95"/>
    <w:rsid w:val="00170F01"/>
    <w:rsid w:val="00171B5A"/>
    <w:rsid w:val="001727B1"/>
    <w:rsid w:val="00172B73"/>
    <w:rsid w:val="00172B89"/>
    <w:rsid w:val="00172F9C"/>
    <w:rsid w:val="00173565"/>
    <w:rsid w:val="00173B07"/>
    <w:rsid w:val="00173C7E"/>
    <w:rsid w:val="00174D15"/>
    <w:rsid w:val="00175086"/>
    <w:rsid w:val="001751FA"/>
    <w:rsid w:val="00175388"/>
    <w:rsid w:val="00175A54"/>
    <w:rsid w:val="00177310"/>
    <w:rsid w:val="00177985"/>
    <w:rsid w:val="00180B33"/>
    <w:rsid w:val="00181132"/>
    <w:rsid w:val="001811D6"/>
    <w:rsid w:val="00181C10"/>
    <w:rsid w:val="00181D9C"/>
    <w:rsid w:val="00181FBF"/>
    <w:rsid w:val="0018206A"/>
    <w:rsid w:val="0018218F"/>
    <w:rsid w:val="001824F9"/>
    <w:rsid w:val="00182B06"/>
    <w:rsid w:val="00182B61"/>
    <w:rsid w:val="00182ECC"/>
    <w:rsid w:val="001837FF"/>
    <w:rsid w:val="001838B9"/>
    <w:rsid w:val="0018398C"/>
    <w:rsid w:val="00183DBA"/>
    <w:rsid w:val="00184B0E"/>
    <w:rsid w:val="00184BFB"/>
    <w:rsid w:val="00185B4F"/>
    <w:rsid w:val="00185F71"/>
    <w:rsid w:val="00186645"/>
    <w:rsid w:val="00186B4B"/>
    <w:rsid w:val="00186E50"/>
    <w:rsid w:val="0018752F"/>
    <w:rsid w:val="00187882"/>
    <w:rsid w:val="00190521"/>
    <w:rsid w:val="00190A6F"/>
    <w:rsid w:val="00191097"/>
    <w:rsid w:val="0019166A"/>
    <w:rsid w:val="00191D62"/>
    <w:rsid w:val="00192198"/>
    <w:rsid w:val="001922A4"/>
    <w:rsid w:val="00192D3C"/>
    <w:rsid w:val="00193838"/>
    <w:rsid w:val="00194137"/>
    <w:rsid w:val="001941FC"/>
    <w:rsid w:val="00194AD3"/>
    <w:rsid w:val="00194AD8"/>
    <w:rsid w:val="00194B30"/>
    <w:rsid w:val="00195222"/>
    <w:rsid w:val="0019529A"/>
    <w:rsid w:val="00195452"/>
    <w:rsid w:val="00195838"/>
    <w:rsid w:val="00195F65"/>
    <w:rsid w:val="00196272"/>
    <w:rsid w:val="001967C0"/>
    <w:rsid w:val="00196923"/>
    <w:rsid w:val="00196CE3"/>
    <w:rsid w:val="00196DA8"/>
    <w:rsid w:val="001975D8"/>
    <w:rsid w:val="00197A5A"/>
    <w:rsid w:val="00197E31"/>
    <w:rsid w:val="001A178E"/>
    <w:rsid w:val="001A18FF"/>
    <w:rsid w:val="001A1AF5"/>
    <w:rsid w:val="001A1D27"/>
    <w:rsid w:val="001A2296"/>
    <w:rsid w:val="001A259D"/>
    <w:rsid w:val="001A2852"/>
    <w:rsid w:val="001A3407"/>
    <w:rsid w:val="001A35A1"/>
    <w:rsid w:val="001A35ED"/>
    <w:rsid w:val="001A3808"/>
    <w:rsid w:val="001A3E8F"/>
    <w:rsid w:val="001A43FA"/>
    <w:rsid w:val="001A45FE"/>
    <w:rsid w:val="001A47C5"/>
    <w:rsid w:val="001A48DE"/>
    <w:rsid w:val="001A4AED"/>
    <w:rsid w:val="001A59FB"/>
    <w:rsid w:val="001A5E9E"/>
    <w:rsid w:val="001A6354"/>
    <w:rsid w:val="001A6366"/>
    <w:rsid w:val="001A695A"/>
    <w:rsid w:val="001A7AE8"/>
    <w:rsid w:val="001B0193"/>
    <w:rsid w:val="001B0E6F"/>
    <w:rsid w:val="001B0E9A"/>
    <w:rsid w:val="001B137F"/>
    <w:rsid w:val="001B1EFC"/>
    <w:rsid w:val="001B204E"/>
    <w:rsid w:val="001B2253"/>
    <w:rsid w:val="001B2372"/>
    <w:rsid w:val="001B250C"/>
    <w:rsid w:val="001B2C3B"/>
    <w:rsid w:val="001B3239"/>
    <w:rsid w:val="001B3443"/>
    <w:rsid w:val="001B35D2"/>
    <w:rsid w:val="001B372E"/>
    <w:rsid w:val="001B48AE"/>
    <w:rsid w:val="001B4999"/>
    <w:rsid w:val="001B4D20"/>
    <w:rsid w:val="001B5AD5"/>
    <w:rsid w:val="001B5CB9"/>
    <w:rsid w:val="001B5D8A"/>
    <w:rsid w:val="001B6644"/>
    <w:rsid w:val="001B71DD"/>
    <w:rsid w:val="001B7BA0"/>
    <w:rsid w:val="001B7F84"/>
    <w:rsid w:val="001C000E"/>
    <w:rsid w:val="001C01F4"/>
    <w:rsid w:val="001C0C84"/>
    <w:rsid w:val="001C2491"/>
    <w:rsid w:val="001C2A9B"/>
    <w:rsid w:val="001C2ADE"/>
    <w:rsid w:val="001C30A5"/>
    <w:rsid w:val="001C335B"/>
    <w:rsid w:val="001C34AB"/>
    <w:rsid w:val="001C3DD6"/>
    <w:rsid w:val="001C425C"/>
    <w:rsid w:val="001C4299"/>
    <w:rsid w:val="001C4874"/>
    <w:rsid w:val="001C487A"/>
    <w:rsid w:val="001C49C3"/>
    <w:rsid w:val="001C5B14"/>
    <w:rsid w:val="001C5F94"/>
    <w:rsid w:val="001C6151"/>
    <w:rsid w:val="001C657B"/>
    <w:rsid w:val="001C6DE7"/>
    <w:rsid w:val="001C6E48"/>
    <w:rsid w:val="001C6E66"/>
    <w:rsid w:val="001C74CE"/>
    <w:rsid w:val="001C7D03"/>
    <w:rsid w:val="001D0D98"/>
    <w:rsid w:val="001D1100"/>
    <w:rsid w:val="001D1391"/>
    <w:rsid w:val="001D25D7"/>
    <w:rsid w:val="001D2889"/>
    <w:rsid w:val="001D2D9D"/>
    <w:rsid w:val="001D2F51"/>
    <w:rsid w:val="001D3C50"/>
    <w:rsid w:val="001D50B2"/>
    <w:rsid w:val="001D57BC"/>
    <w:rsid w:val="001D6B3B"/>
    <w:rsid w:val="001D6BFF"/>
    <w:rsid w:val="001D71F4"/>
    <w:rsid w:val="001D7645"/>
    <w:rsid w:val="001D771D"/>
    <w:rsid w:val="001D7A7E"/>
    <w:rsid w:val="001D7C8C"/>
    <w:rsid w:val="001D7CD4"/>
    <w:rsid w:val="001E0634"/>
    <w:rsid w:val="001E0E79"/>
    <w:rsid w:val="001E1168"/>
    <w:rsid w:val="001E126C"/>
    <w:rsid w:val="001E152B"/>
    <w:rsid w:val="001E1E86"/>
    <w:rsid w:val="001E238E"/>
    <w:rsid w:val="001E2432"/>
    <w:rsid w:val="001E2483"/>
    <w:rsid w:val="001E2777"/>
    <w:rsid w:val="001E2924"/>
    <w:rsid w:val="001E2B1E"/>
    <w:rsid w:val="001E2CFF"/>
    <w:rsid w:val="001E2F24"/>
    <w:rsid w:val="001E2FB4"/>
    <w:rsid w:val="001E30D4"/>
    <w:rsid w:val="001E3186"/>
    <w:rsid w:val="001E34DF"/>
    <w:rsid w:val="001E38A1"/>
    <w:rsid w:val="001E3C6D"/>
    <w:rsid w:val="001E3E67"/>
    <w:rsid w:val="001E451A"/>
    <w:rsid w:val="001E45AA"/>
    <w:rsid w:val="001E47EB"/>
    <w:rsid w:val="001E4A26"/>
    <w:rsid w:val="001E4E8E"/>
    <w:rsid w:val="001E4ED4"/>
    <w:rsid w:val="001E4F4F"/>
    <w:rsid w:val="001E52EB"/>
    <w:rsid w:val="001E53F4"/>
    <w:rsid w:val="001E5871"/>
    <w:rsid w:val="001E5A4A"/>
    <w:rsid w:val="001E5C1D"/>
    <w:rsid w:val="001E5FF1"/>
    <w:rsid w:val="001E61D2"/>
    <w:rsid w:val="001E6447"/>
    <w:rsid w:val="001E6842"/>
    <w:rsid w:val="001E692D"/>
    <w:rsid w:val="001E740C"/>
    <w:rsid w:val="001F0518"/>
    <w:rsid w:val="001F06F7"/>
    <w:rsid w:val="001F0982"/>
    <w:rsid w:val="001F11F2"/>
    <w:rsid w:val="001F1235"/>
    <w:rsid w:val="001F12F2"/>
    <w:rsid w:val="001F1550"/>
    <w:rsid w:val="001F1B75"/>
    <w:rsid w:val="001F1CB3"/>
    <w:rsid w:val="001F1E70"/>
    <w:rsid w:val="001F1F89"/>
    <w:rsid w:val="001F32E3"/>
    <w:rsid w:val="001F38B5"/>
    <w:rsid w:val="001F3B3D"/>
    <w:rsid w:val="001F3C16"/>
    <w:rsid w:val="001F4081"/>
    <w:rsid w:val="001F41AB"/>
    <w:rsid w:val="001F4634"/>
    <w:rsid w:val="001F4C7D"/>
    <w:rsid w:val="001F624C"/>
    <w:rsid w:val="001F655F"/>
    <w:rsid w:val="001F6B71"/>
    <w:rsid w:val="001F6F12"/>
    <w:rsid w:val="001F7361"/>
    <w:rsid w:val="001F7515"/>
    <w:rsid w:val="00200143"/>
    <w:rsid w:val="00200796"/>
    <w:rsid w:val="00200AC1"/>
    <w:rsid w:val="00201165"/>
    <w:rsid w:val="002011B0"/>
    <w:rsid w:val="0020129F"/>
    <w:rsid w:val="00201C77"/>
    <w:rsid w:val="00201D7D"/>
    <w:rsid w:val="00202A15"/>
    <w:rsid w:val="00202B10"/>
    <w:rsid w:val="00202DD3"/>
    <w:rsid w:val="00203181"/>
    <w:rsid w:val="00203456"/>
    <w:rsid w:val="0020366B"/>
    <w:rsid w:val="00203783"/>
    <w:rsid w:val="0020385F"/>
    <w:rsid w:val="00203D19"/>
    <w:rsid w:val="00204050"/>
    <w:rsid w:val="002045A4"/>
    <w:rsid w:val="00204852"/>
    <w:rsid w:val="00204CD4"/>
    <w:rsid w:val="00204DA3"/>
    <w:rsid w:val="0020508E"/>
    <w:rsid w:val="002065DE"/>
    <w:rsid w:val="002068A0"/>
    <w:rsid w:val="00207021"/>
    <w:rsid w:val="0020716C"/>
    <w:rsid w:val="0020732F"/>
    <w:rsid w:val="00207D00"/>
    <w:rsid w:val="00207E64"/>
    <w:rsid w:val="00207F6B"/>
    <w:rsid w:val="002105C1"/>
    <w:rsid w:val="00210921"/>
    <w:rsid w:val="00210FBD"/>
    <w:rsid w:val="002116FD"/>
    <w:rsid w:val="00211704"/>
    <w:rsid w:val="00212BFE"/>
    <w:rsid w:val="0021321E"/>
    <w:rsid w:val="00213B7E"/>
    <w:rsid w:val="00213CC9"/>
    <w:rsid w:val="00213EF5"/>
    <w:rsid w:val="0021427A"/>
    <w:rsid w:val="002149BA"/>
    <w:rsid w:val="002164B2"/>
    <w:rsid w:val="00216695"/>
    <w:rsid w:val="00216BF5"/>
    <w:rsid w:val="00216CAD"/>
    <w:rsid w:val="0021757A"/>
    <w:rsid w:val="00217A7B"/>
    <w:rsid w:val="00217DAF"/>
    <w:rsid w:val="00220497"/>
    <w:rsid w:val="0022055A"/>
    <w:rsid w:val="002205C2"/>
    <w:rsid w:val="00220DC4"/>
    <w:rsid w:val="00223675"/>
    <w:rsid w:val="0022397A"/>
    <w:rsid w:val="00223B49"/>
    <w:rsid w:val="00223D5A"/>
    <w:rsid w:val="002241C3"/>
    <w:rsid w:val="00224DD4"/>
    <w:rsid w:val="00225537"/>
    <w:rsid w:val="00225679"/>
    <w:rsid w:val="00225820"/>
    <w:rsid w:val="00225A92"/>
    <w:rsid w:val="002278A0"/>
    <w:rsid w:val="00227D89"/>
    <w:rsid w:val="00230133"/>
    <w:rsid w:val="002301CF"/>
    <w:rsid w:val="0023084A"/>
    <w:rsid w:val="002309CC"/>
    <w:rsid w:val="00231505"/>
    <w:rsid w:val="0023177C"/>
    <w:rsid w:val="00231AB4"/>
    <w:rsid w:val="00231BA9"/>
    <w:rsid w:val="00231DD2"/>
    <w:rsid w:val="0023209F"/>
    <w:rsid w:val="002323C6"/>
    <w:rsid w:val="00232A26"/>
    <w:rsid w:val="002332C1"/>
    <w:rsid w:val="00233C01"/>
    <w:rsid w:val="0023413C"/>
    <w:rsid w:val="002346C8"/>
    <w:rsid w:val="002346F0"/>
    <w:rsid w:val="002346FC"/>
    <w:rsid w:val="0023488D"/>
    <w:rsid w:val="00234C4F"/>
    <w:rsid w:val="00235696"/>
    <w:rsid w:val="002361D8"/>
    <w:rsid w:val="00236250"/>
    <w:rsid w:val="0023629D"/>
    <w:rsid w:val="0023692B"/>
    <w:rsid w:val="00236EC8"/>
    <w:rsid w:val="00237255"/>
    <w:rsid w:val="002375FD"/>
    <w:rsid w:val="002376F2"/>
    <w:rsid w:val="0024038B"/>
    <w:rsid w:val="002409E1"/>
    <w:rsid w:val="0024101E"/>
    <w:rsid w:val="0024120D"/>
    <w:rsid w:val="00241B76"/>
    <w:rsid w:val="00241BAC"/>
    <w:rsid w:val="00241D2B"/>
    <w:rsid w:val="002424AF"/>
    <w:rsid w:val="002424B1"/>
    <w:rsid w:val="00242543"/>
    <w:rsid w:val="00242753"/>
    <w:rsid w:val="0024281C"/>
    <w:rsid w:val="00242967"/>
    <w:rsid w:val="00242D88"/>
    <w:rsid w:val="002438E6"/>
    <w:rsid w:val="002439DC"/>
    <w:rsid w:val="00243AA0"/>
    <w:rsid w:val="002441D2"/>
    <w:rsid w:val="00244853"/>
    <w:rsid w:val="002448BD"/>
    <w:rsid w:val="00244A91"/>
    <w:rsid w:val="00244DC8"/>
    <w:rsid w:val="002458A2"/>
    <w:rsid w:val="002458BA"/>
    <w:rsid w:val="00245CE9"/>
    <w:rsid w:val="00245F01"/>
    <w:rsid w:val="00246266"/>
    <w:rsid w:val="0024636C"/>
    <w:rsid w:val="002467AE"/>
    <w:rsid w:val="002472A6"/>
    <w:rsid w:val="00247441"/>
    <w:rsid w:val="00247925"/>
    <w:rsid w:val="00247B7F"/>
    <w:rsid w:val="0025026B"/>
    <w:rsid w:val="002504A1"/>
    <w:rsid w:val="0025067B"/>
    <w:rsid w:val="00250E39"/>
    <w:rsid w:val="00251006"/>
    <w:rsid w:val="0025116A"/>
    <w:rsid w:val="002520EE"/>
    <w:rsid w:val="00252314"/>
    <w:rsid w:val="002524D5"/>
    <w:rsid w:val="0025354D"/>
    <w:rsid w:val="0025390E"/>
    <w:rsid w:val="00253B1D"/>
    <w:rsid w:val="00253BFA"/>
    <w:rsid w:val="002545FD"/>
    <w:rsid w:val="00254AFA"/>
    <w:rsid w:val="00254BEA"/>
    <w:rsid w:val="00254DCF"/>
    <w:rsid w:val="00255216"/>
    <w:rsid w:val="0025532C"/>
    <w:rsid w:val="0025534B"/>
    <w:rsid w:val="00255BB7"/>
    <w:rsid w:val="00255CCF"/>
    <w:rsid w:val="00255E89"/>
    <w:rsid w:val="00256FDA"/>
    <w:rsid w:val="00257541"/>
    <w:rsid w:val="00257A39"/>
    <w:rsid w:val="00257AC4"/>
    <w:rsid w:val="00257BBE"/>
    <w:rsid w:val="00260076"/>
    <w:rsid w:val="00260127"/>
    <w:rsid w:val="0026093D"/>
    <w:rsid w:val="00260DB6"/>
    <w:rsid w:val="0026109F"/>
    <w:rsid w:val="00261182"/>
    <w:rsid w:val="0026191B"/>
    <w:rsid w:val="00261EEF"/>
    <w:rsid w:val="00262A1A"/>
    <w:rsid w:val="00262A87"/>
    <w:rsid w:val="00263218"/>
    <w:rsid w:val="00263B29"/>
    <w:rsid w:val="002648F7"/>
    <w:rsid w:val="00264D26"/>
    <w:rsid w:val="00264F91"/>
    <w:rsid w:val="00265306"/>
    <w:rsid w:val="00265F0A"/>
    <w:rsid w:val="00266050"/>
    <w:rsid w:val="00266286"/>
    <w:rsid w:val="00266B7B"/>
    <w:rsid w:val="00266EB8"/>
    <w:rsid w:val="00267073"/>
    <w:rsid w:val="002670B7"/>
    <w:rsid w:val="002674D8"/>
    <w:rsid w:val="002675B3"/>
    <w:rsid w:val="00267642"/>
    <w:rsid w:val="0026767D"/>
    <w:rsid w:val="002679CB"/>
    <w:rsid w:val="00267AEA"/>
    <w:rsid w:val="00267E45"/>
    <w:rsid w:val="002700E6"/>
    <w:rsid w:val="0027168A"/>
    <w:rsid w:val="0027294B"/>
    <w:rsid w:val="00272C96"/>
    <w:rsid w:val="002730D7"/>
    <w:rsid w:val="002734CB"/>
    <w:rsid w:val="00273EB4"/>
    <w:rsid w:val="0027435C"/>
    <w:rsid w:val="002745B5"/>
    <w:rsid w:val="00274645"/>
    <w:rsid w:val="00274682"/>
    <w:rsid w:val="0027484A"/>
    <w:rsid w:val="00275158"/>
    <w:rsid w:val="00275281"/>
    <w:rsid w:val="002753E8"/>
    <w:rsid w:val="002754B6"/>
    <w:rsid w:val="00275521"/>
    <w:rsid w:val="0027566B"/>
    <w:rsid w:val="00275C5A"/>
    <w:rsid w:val="00275DD2"/>
    <w:rsid w:val="0027611B"/>
    <w:rsid w:val="002770BB"/>
    <w:rsid w:val="00277378"/>
    <w:rsid w:val="00277747"/>
    <w:rsid w:val="00277C95"/>
    <w:rsid w:val="00280414"/>
    <w:rsid w:val="00280973"/>
    <w:rsid w:val="00280F5E"/>
    <w:rsid w:val="00281014"/>
    <w:rsid w:val="00281085"/>
    <w:rsid w:val="00281458"/>
    <w:rsid w:val="00281A25"/>
    <w:rsid w:val="0028202B"/>
    <w:rsid w:val="002832C8"/>
    <w:rsid w:val="00283D0C"/>
    <w:rsid w:val="0028469F"/>
    <w:rsid w:val="00284DF8"/>
    <w:rsid w:val="00284E31"/>
    <w:rsid w:val="00284E66"/>
    <w:rsid w:val="002852D6"/>
    <w:rsid w:val="00285518"/>
    <w:rsid w:val="00285BB9"/>
    <w:rsid w:val="00285BCE"/>
    <w:rsid w:val="00286252"/>
    <w:rsid w:val="00286544"/>
    <w:rsid w:val="0028665D"/>
    <w:rsid w:val="00286C3A"/>
    <w:rsid w:val="00286CAE"/>
    <w:rsid w:val="0028712B"/>
    <w:rsid w:val="00287345"/>
    <w:rsid w:val="0028775F"/>
    <w:rsid w:val="00287928"/>
    <w:rsid w:val="00290097"/>
    <w:rsid w:val="002900A0"/>
    <w:rsid w:val="002903BE"/>
    <w:rsid w:val="002911AD"/>
    <w:rsid w:val="0029132B"/>
    <w:rsid w:val="00291686"/>
    <w:rsid w:val="00291793"/>
    <w:rsid w:val="0029181C"/>
    <w:rsid w:val="00291D88"/>
    <w:rsid w:val="00291E26"/>
    <w:rsid w:val="00291FDF"/>
    <w:rsid w:val="0029227B"/>
    <w:rsid w:val="002923E6"/>
    <w:rsid w:val="00292536"/>
    <w:rsid w:val="00292DE2"/>
    <w:rsid w:val="00292E97"/>
    <w:rsid w:val="0029326C"/>
    <w:rsid w:val="00293E6D"/>
    <w:rsid w:val="00294063"/>
    <w:rsid w:val="002942B7"/>
    <w:rsid w:val="00294677"/>
    <w:rsid w:val="00294774"/>
    <w:rsid w:val="00295202"/>
    <w:rsid w:val="0029571B"/>
    <w:rsid w:val="002957FC"/>
    <w:rsid w:val="002960D3"/>
    <w:rsid w:val="00296AC4"/>
    <w:rsid w:val="00296AD9"/>
    <w:rsid w:val="0029758A"/>
    <w:rsid w:val="00297EEA"/>
    <w:rsid w:val="002A0AAC"/>
    <w:rsid w:val="002A0D89"/>
    <w:rsid w:val="002A0F21"/>
    <w:rsid w:val="002A11B9"/>
    <w:rsid w:val="002A14AB"/>
    <w:rsid w:val="002A1B98"/>
    <w:rsid w:val="002A1C09"/>
    <w:rsid w:val="002A1D4B"/>
    <w:rsid w:val="002A2ADE"/>
    <w:rsid w:val="002A2BE3"/>
    <w:rsid w:val="002A2F50"/>
    <w:rsid w:val="002A2F6D"/>
    <w:rsid w:val="002A3267"/>
    <w:rsid w:val="002A413E"/>
    <w:rsid w:val="002A421A"/>
    <w:rsid w:val="002A479D"/>
    <w:rsid w:val="002A50F9"/>
    <w:rsid w:val="002A51C7"/>
    <w:rsid w:val="002A571C"/>
    <w:rsid w:val="002A60F6"/>
    <w:rsid w:val="002A6359"/>
    <w:rsid w:val="002A696D"/>
    <w:rsid w:val="002A6EAC"/>
    <w:rsid w:val="002A737C"/>
    <w:rsid w:val="002A7406"/>
    <w:rsid w:val="002A7943"/>
    <w:rsid w:val="002A79B6"/>
    <w:rsid w:val="002B05A1"/>
    <w:rsid w:val="002B077C"/>
    <w:rsid w:val="002B09A4"/>
    <w:rsid w:val="002B12E4"/>
    <w:rsid w:val="002B13C4"/>
    <w:rsid w:val="002B15E0"/>
    <w:rsid w:val="002B1C1F"/>
    <w:rsid w:val="002B2609"/>
    <w:rsid w:val="002B2FC9"/>
    <w:rsid w:val="002B432F"/>
    <w:rsid w:val="002B44A4"/>
    <w:rsid w:val="002B53F1"/>
    <w:rsid w:val="002B6038"/>
    <w:rsid w:val="002B62B3"/>
    <w:rsid w:val="002B6643"/>
    <w:rsid w:val="002B6754"/>
    <w:rsid w:val="002B6CCE"/>
    <w:rsid w:val="002B73D2"/>
    <w:rsid w:val="002C0205"/>
    <w:rsid w:val="002C036F"/>
    <w:rsid w:val="002C0506"/>
    <w:rsid w:val="002C0777"/>
    <w:rsid w:val="002C0859"/>
    <w:rsid w:val="002C0AC4"/>
    <w:rsid w:val="002C0C1B"/>
    <w:rsid w:val="002C1682"/>
    <w:rsid w:val="002C2510"/>
    <w:rsid w:val="002C2775"/>
    <w:rsid w:val="002C27C1"/>
    <w:rsid w:val="002C290D"/>
    <w:rsid w:val="002C30DB"/>
    <w:rsid w:val="002C34F3"/>
    <w:rsid w:val="002C36E3"/>
    <w:rsid w:val="002C457E"/>
    <w:rsid w:val="002C47B0"/>
    <w:rsid w:val="002C5099"/>
    <w:rsid w:val="002C5246"/>
    <w:rsid w:val="002C525C"/>
    <w:rsid w:val="002C56FD"/>
    <w:rsid w:val="002C5889"/>
    <w:rsid w:val="002C5E29"/>
    <w:rsid w:val="002C5EE3"/>
    <w:rsid w:val="002C5FEF"/>
    <w:rsid w:val="002C64F2"/>
    <w:rsid w:val="002C678D"/>
    <w:rsid w:val="002C67C3"/>
    <w:rsid w:val="002C6B86"/>
    <w:rsid w:val="002C71CE"/>
    <w:rsid w:val="002C71F4"/>
    <w:rsid w:val="002D06D9"/>
    <w:rsid w:val="002D08F8"/>
    <w:rsid w:val="002D0C13"/>
    <w:rsid w:val="002D0C38"/>
    <w:rsid w:val="002D10C6"/>
    <w:rsid w:val="002D1995"/>
    <w:rsid w:val="002D21E2"/>
    <w:rsid w:val="002D23B2"/>
    <w:rsid w:val="002D4791"/>
    <w:rsid w:val="002D4A53"/>
    <w:rsid w:val="002D4D15"/>
    <w:rsid w:val="002D4E74"/>
    <w:rsid w:val="002D577C"/>
    <w:rsid w:val="002D5F86"/>
    <w:rsid w:val="002D6629"/>
    <w:rsid w:val="002D7832"/>
    <w:rsid w:val="002D7C46"/>
    <w:rsid w:val="002D7DBA"/>
    <w:rsid w:val="002D7DC8"/>
    <w:rsid w:val="002D7F4F"/>
    <w:rsid w:val="002E098C"/>
    <w:rsid w:val="002E0D17"/>
    <w:rsid w:val="002E0E20"/>
    <w:rsid w:val="002E1071"/>
    <w:rsid w:val="002E119F"/>
    <w:rsid w:val="002E1466"/>
    <w:rsid w:val="002E15B9"/>
    <w:rsid w:val="002E15F8"/>
    <w:rsid w:val="002E163C"/>
    <w:rsid w:val="002E16B4"/>
    <w:rsid w:val="002E1A9B"/>
    <w:rsid w:val="002E1C7B"/>
    <w:rsid w:val="002E1EF8"/>
    <w:rsid w:val="002E1FD5"/>
    <w:rsid w:val="002E2158"/>
    <w:rsid w:val="002E32BE"/>
    <w:rsid w:val="002E3377"/>
    <w:rsid w:val="002E3EAA"/>
    <w:rsid w:val="002E46A6"/>
    <w:rsid w:val="002E48DE"/>
    <w:rsid w:val="002E4DE4"/>
    <w:rsid w:val="002E4F02"/>
    <w:rsid w:val="002E515D"/>
    <w:rsid w:val="002E61A8"/>
    <w:rsid w:val="002E6682"/>
    <w:rsid w:val="002E6928"/>
    <w:rsid w:val="002E7722"/>
    <w:rsid w:val="002E7728"/>
    <w:rsid w:val="002E77A6"/>
    <w:rsid w:val="002F07BA"/>
    <w:rsid w:val="002F0BB4"/>
    <w:rsid w:val="002F0DA9"/>
    <w:rsid w:val="002F0DF4"/>
    <w:rsid w:val="002F1014"/>
    <w:rsid w:val="002F115B"/>
    <w:rsid w:val="002F16DA"/>
    <w:rsid w:val="002F1E3B"/>
    <w:rsid w:val="002F21A0"/>
    <w:rsid w:val="002F2772"/>
    <w:rsid w:val="002F2C30"/>
    <w:rsid w:val="002F2C3C"/>
    <w:rsid w:val="002F3062"/>
    <w:rsid w:val="002F3765"/>
    <w:rsid w:val="002F3804"/>
    <w:rsid w:val="002F4157"/>
    <w:rsid w:val="002F41AA"/>
    <w:rsid w:val="002F445A"/>
    <w:rsid w:val="002F50F7"/>
    <w:rsid w:val="002F52DB"/>
    <w:rsid w:val="002F643C"/>
    <w:rsid w:val="002F6E9B"/>
    <w:rsid w:val="002F6F16"/>
    <w:rsid w:val="002F71C0"/>
    <w:rsid w:val="002F74F1"/>
    <w:rsid w:val="002F75A6"/>
    <w:rsid w:val="002F7B4D"/>
    <w:rsid w:val="002F7CCB"/>
    <w:rsid w:val="0030068C"/>
    <w:rsid w:val="00300F5C"/>
    <w:rsid w:val="00301017"/>
    <w:rsid w:val="00301020"/>
    <w:rsid w:val="003011DE"/>
    <w:rsid w:val="0030147D"/>
    <w:rsid w:val="0030155F"/>
    <w:rsid w:val="00301B6C"/>
    <w:rsid w:val="00301C5B"/>
    <w:rsid w:val="00301D07"/>
    <w:rsid w:val="003030B9"/>
    <w:rsid w:val="0030333C"/>
    <w:rsid w:val="003033A1"/>
    <w:rsid w:val="003034C1"/>
    <w:rsid w:val="003036C6"/>
    <w:rsid w:val="00303900"/>
    <w:rsid w:val="00303E1F"/>
    <w:rsid w:val="0030477A"/>
    <w:rsid w:val="00304D6F"/>
    <w:rsid w:val="00305292"/>
    <w:rsid w:val="0030587B"/>
    <w:rsid w:val="00305D88"/>
    <w:rsid w:val="003065B4"/>
    <w:rsid w:val="00306A6A"/>
    <w:rsid w:val="00306D98"/>
    <w:rsid w:val="00306FE2"/>
    <w:rsid w:val="003070D6"/>
    <w:rsid w:val="003073AD"/>
    <w:rsid w:val="00307598"/>
    <w:rsid w:val="0030786C"/>
    <w:rsid w:val="00307EF5"/>
    <w:rsid w:val="0031031A"/>
    <w:rsid w:val="00310981"/>
    <w:rsid w:val="00310D68"/>
    <w:rsid w:val="00310E75"/>
    <w:rsid w:val="0031180D"/>
    <w:rsid w:val="003119DB"/>
    <w:rsid w:val="00311D9B"/>
    <w:rsid w:val="00311DF9"/>
    <w:rsid w:val="00312122"/>
    <w:rsid w:val="003124D9"/>
    <w:rsid w:val="00312594"/>
    <w:rsid w:val="0031270C"/>
    <w:rsid w:val="003128E6"/>
    <w:rsid w:val="00312A87"/>
    <w:rsid w:val="00312E01"/>
    <w:rsid w:val="0031300F"/>
    <w:rsid w:val="003141CF"/>
    <w:rsid w:val="00314D37"/>
    <w:rsid w:val="003152C6"/>
    <w:rsid w:val="00315498"/>
    <w:rsid w:val="00315505"/>
    <w:rsid w:val="003157A2"/>
    <w:rsid w:val="00315DA5"/>
    <w:rsid w:val="00315DC6"/>
    <w:rsid w:val="00315E06"/>
    <w:rsid w:val="0031614A"/>
    <w:rsid w:val="00316272"/>
    <w:rsid w:val="0031646A"/>
    <w:rsid w:val="00316474"/>
    <w:rsid w:val="00316DB7"/>
    <w:rsid w:val="003172DA"/>
    <w:rsid w:val="003175AB"/>
    <w:rsid w:val="0031775D"/>
    <w:rsid w:val="00317C2E"/>
    <w:rsid w:val="00317C91"/>
    <w:rsid w:val="00317CBF"/>
    <w:rsid w:val="00317D84"/>
    <w:rsid w:val="00317DF2"/>
    <w:rsid w:val="003200FA"/>
    <w:rsid w:val="003203EC"/>
    <w:rsid w:val="003204A3"/>
    <w:rsid w:val="00320925"/>
    <w:rsid w:val="003209E9"/>
    <w:rsid w:val="00321A4B"/>
    <w:rsid w:val="00321BE8"/>
    <w:rsid w:val="00322107"/>
    <w:rsid w:val="00322252"/>
    <w:rsid w:val="00322355"/>
    <w:rsid w:val="00322634"/>
    <w:rsid w:val="00322846"/>
    <w:rsid w:val="0032307A"/>
    <w:rsid w:val="003247B4"/>
    <w:rsid w:val="00325A9D"/>
    <w:rsid w:val="00325B30"/>
    <w:rsid w:val="00325ED4"/>
    <w:rsid w:val="00326734"/>
    <w:rsid w:val="00326DA7"/>
    <w:rsid w:val="003270E4"/>
    <w:rsid w:val="003276C0"/>
    <w:rsid w:val="00330000"/>
    <w:rsid w:val="00330568"/>
    <w:rsid w:val="00330B1F"/>
    <w:rsid w:val="00330DAA"/>
    <w:rsid w:val="00330F5C"/>
    <w:rsid w:val="003315D0"/>
    <w:rsid w:val="003318DD"/>
    <w:rsid w:val="00332098"/>
    <w:rsid w:val="00332614"/>
    <w:rsid w:val="00332721"/>
    <w:rsid w:val="00332DF4"/>
    <w:rsid w:val="00332F56"/>
    <w:rsid w:val="0033370B"/>
    <w:rsid w:val="00333E85"/>
    <w:rsid w:val="0033429F"/>
    <w:rsid w:val="003344F7"/>
    <w:rsid w:val="003348E6"/>
    <w:rsid w:val="00334A6D"/>
    <w:rsid w:val="00334DA3"/>
    <w:rsid w:val="00335342"/>
    <w:rsid w:val="00335619"/>
    <w:rsid w:val="00335BD6"/>
    <w:rsid w:val="00336452"/>
    <w:rsid w:val="00336664"/>
    <w:rsid w:val="003366C9"/>
    <w:rsid w:val="00336DB8"/>
    <w:rsid w:val="00336ED4"/>
    <w:rsid w:val="003371B0"/>
    <w:rsid w:val="003377CD"/>
    <w:rsid w:val="00340C3C"/>
    <w:rsid w:val="00340DF1"/>
    <w:rsid w:val="00341033"/>
    <w:rsid w:val="00342629"/>
    <w:rsid w:val="00342B4F"/>
    <w:rsid w:val="00342D23"/>
    <w:rsid w:val="00343007"/>
    <w:rsid w:val="003430D1"/>
    <w:rsid w:val="003444DE"/>
    <w:rsid w:val="00344C0C"/>
    <w:rsid w:val="003450EB"/>
    <w:rsid w:val="0034511E"/>
    <w:rsid w:val="003460C3"/>
    <w:rsid w:val="00346BA2"/>
    <w:rsid w:val="00346C7A"/>
    <w:rsid w:val="00347900"/>
    <w:rsid w:val="00347A0C"/>
    <w:rsid w:val="00350422"/>
    <w:rsid w:val="003504CE"/>
    <w:rsid w:val="00350AB0"/>
    <w:rsid w:val="00350BD2"/>
    <w:rsid w:val="00350EC1"/>
    <w:rsid w:val="0035115B"/>
    <w:rsid w:val="003515C3"/>
    <w:rsid w:val="003517F9"/>
    <w:rsid w:val="00351BA9"/>
    <w:rsid w:val="00351C4E"/>
    <w:rsid w:val="00351DF8"/>
    <w:rsid w:val="0035266D"/>
    <w:rsid w:val="00352C0C"/>
    <w:rsid w:val="00352D94"/>
    <w:rsid w:val="00353E78"/>
    <w:rsid w:val="00353FB0"/>
    <w:rsid w:val="00354547"/>
    <w:rsid w:val="0035470C"/>
    <w:rsid w:val="00354A52"/>
    <w:rsid w:val="00354F64"/>
    <w:rsid w:val="003552D9"/>
    <w:rsid w:val="0035538F"/>
    <w:rsid w:val="0035542A"/>
    <w:rsid w:val="003560F4"/>
    <w:rsid w:val="0035620E"/>
    <w:rsid w:val="00356301"/>
    <w:rsid w:val="003565E8"/>
    <w:rsid w:val="003569B8"/>
    <w:rsid w:val="00356D3A"/>
    <w:rsid w:val="003575BE"/>
    <w:rsid w:val="003576F8"/>
    <w:rsid w:val="00360085"/>
    <w:rsid w:val="00360345"/>
    <w:rsid w:val="00361196"/>
    <w:rsid w:val="003612F0"/>
    <w:rsid w:val="00361A05"/>
    <w:rsid w:val="00361A92"/>
    <w:rsid w:val="00362007"/>
    <w:rsid w:val="003620B8"/>
    <w:rsid w:val="003624C4"/>
    <w:rsid w:val="00362960"/>
    <w:rsid w:val="00362D26"/>
    <w:rsid w:val="0036304E"/>
    <w:rsid w:val="0036380D"/>
    <w:rsid w:val="00363B00"/>
    <w:rsid w:val="00363CFD"/>
    <w:rsid w:val="00364206"/>
    <w:rsid w:val="003646F0"/>
    <w:rsid w:val="00364CC4"/>
    <w:rsid w:val="0036505C"/>
    <w:rsid w:val="00365489"/>
    <w:rsid w:val="003654AC"/>
    <w:rsid w:val="00365C9B"/>
    <w:rsid w:val="00365DBE"/>
    <w:rsid w:val="00366568"/>
    <w:rsid w:val="00366E70"/>
    <w:rsid w:val="00367CAA"/>
    <w:rsid w:val="00367E43"/>
    <w:rsid w:val="0037019E"/>
    <w:rsid w:val="00370B5B"/>
    <w:rsid w:val="00370DBE"/>
    <w:rsid w:val="003710CF"/>
    <w:rsid w:val="00371489"/>
    <w:rsid w:val="003714D0"/>
    <w:rsid w:val="00371B25"/>
    <w:rsid w:val="00371CF8"/>
    <w:rsid w:val="00371E86"/>
    <w:rsid w:val="00371FCB"/>
    <w:rsid w:val="00372F8F"/>
    <w:rsid w:val="0037358A"/>
    <w:rsid w:val="0037382E"/>
    <w:rsid w:val="0037384F"/>
    <w:rsid w:val="00373E23"/>
    <w:rsid w:val="00373E53"/>
    <w:rsid w:val="00374765"/>
    <w:rsid w:val="003747F8"/>
    <w:rsid w:val="00374A36"/>
    <w:rsid w:val="00374FF9"/>
    <w:rsid w:val="003750F6"/>
    <w:rsid w:val="003753DE"/>
    <w:rsid w:val="0037573C"/>
    <w:rsid w:val="0037591D"/>
    <w:rsid w:val="00375956"/>
    <w:rsid w:val="0037605F"/>
    <w:rsid w:val="003760FC"/>
    <w:rsid w:val="003762AB"/>
    <w:rsid w:val="0037685B"/>
    <w:rsid w:val="00376E69"/>
    <w:rsid w:val="00377129"/>
    <w:rsid w:val="0037726B"/>
    <w:rsid w:val="00377C53"/>
    <w:rsid w:val="0038058E"/>
    <w:rsid w:val="00380DCA"/>
    <w:rsid w:val="00382283"/>
    <w:rsid w:val="003826DE"/>
    <w:rsid w:val="00382BBF"/>
    <w:rsid w:val="0038365C"/>
    <w:rsid w:val="0038369B"/>
    <w:rsid w:val="00383B78"/>
    <w:rsid w:val="00383DC4"/>
    <w:rsid w:val="0038414A"/>
    <w:rsid w:val="003842F8"/>
    <w:rsid w:val="00384504"/>
    <w:rsid w:val="00384A29"/>
    <w:rsid w:val="003852A5"/>
    <w:rsid w:val="003854B2"/>
    <w:rsid w:val="003855B1"/>
    <w:rsid w:val="00385810"/>
    <w:rsid w:val="00385A6B"/>
    <w:rsid w:val="00385A9D"/>
    <w:rsid w:val="00385FE0"/>
    <w:rsid w:val="00386966"/>
    <w:rsid w:val="00386A22"/>
    <w:rsid w:val="00386FAB"/>
    <w:rsid w:val="00387121"/>
    <w:rsid w:val="003879EF"/>
    <w:rsid w:val="00387AA4"/>
    <w:rsid w:val="00387C32"/>
    <w:rsid w:val="003902B1"/>
    <w:rsid w:val="0039033A"/>
    <w:rsid w:val="00390454"/>
    <w:rsid w:val="00390760"/>
    <w:rsid w:val="00390B72"/>
    <w:rsid w:val="00390C6F"/>
    <w:rsid w:val="00390D41"/>
    <w:rsid w:val="0039179C"/>
    <w:rsid w:val="00391A3C"/>
    <w:rsid w:val="00391BFA"/>
    <w:rsid w:val="00392A88"/>
    <w:rsid w:val="00393139"/>
    <w:rsid w:val="00393283"/>
    <w:rsid w:val="00393966"/>
    <w:rsid w:val="0039415C"/>
    <w:rsid w:val="0039471A"/>
    <w:rsid w:val="00394888"/>
    <w:rsid w:val="00395447"/>
    <w:rsid w:val="00395CEB"/>
    <w:rsid w:val="00395FC5"/>
    <w:rsid w:val="003962FD"/>
    <w:rsid w:val="003965B6"/>
    <w:rsid w:val="00396668"/>
    <w:rsid w:val="00396785"/>
    <w:rsid w:val="00396896"/>
    <w:rsid w:val="00396DAE"/>
    <w:rsid w:val="00396FD0"/>
    <w:rsid w:val="00397641"/>
    <w:rsid w:val="00397946"/>
    <w:rsid w:val="00397F93"/>
    <w:rsid w:val="00397FC5"/>
    <w:rsid w:val="003A0388"/>
    <w:rsid w:val="003A06BB"/>
    <w:rsid w:val="003A14E1"/>
    <w:rsid w:val="003A1A7A"/>
    <w:rsid w:val="003A1D82"/>
    <w:rsid w:val="003A2392"/>
    <w:rsid w:val="003A2831"/>
    <w:rsid w:val="003A2CD1"/>
    <w:rsid w:val="003A2D76"/>
    <w:rsid w:val="003A31F6"/>
    <w:rsid w:val="003A38B0"/>
    <w:rsid w:val="003A3CB6"/>
    <w:rsid w:val="003A3ED1"/>
    <w:rsid w:val="003A43CB"/>
    <w:rsid w:val="003A44DB"/>
    <w:rsid w:val="003A4927"/>
    <w:rsid w:val="003A49A5"/>
    <w:rsid w:val="003A49B9"/>
    <w:rsid w:val="003A4C14"/>
    <w:rsid w:val="003A4E9F"/>
    <w:rsid w:val="003A582B"/>
    <w:rsid w:val="003A5B74"/>
    <w:rsid w:val="003A7854"/>
    <w:rsid w:val="003B05F3"/>
    <w:rsid w:val="003B0BC8"/>
    <w:rsid w:val="003B0C05"/>
    <w:rsid w:val="003B1794"/>
    <w:rsid w:val="003B20F8"/>
    <w:rsid w:val="003B21D9"/>
    <w:rsid w:val="003B28F4"/>
    <w:rsid w:val="003B290A"/>
    <w:rsid w:val="003B3923"/>
    <w:rsid w:val="003B3971"/>
    <w:rsid w:val="003B47FD"/>
    <w:rsid w:val="003B4813"/>
    <w:rsid w:val="003B4CD0"/>
    <w:rsid w:val="003B5053"/>
    <w:rsid w:val="003B54E3"/>
    <w:rsid w:val="003B55D1"/>
    <w:rsid w:val="003B581F"/>
    <w:rsid w:val="003B5A80"/>
    <w:rsid w:val="003B5A81"/>
    <w:rsid w:val="003B5B61"/>
    <w:rsid w:val="003B66DB"/>
    <w:rsid w:val="003B6E15"/>
    <w:rsid w:val="003B7135"/>
    <w:rsid w:val="003B79DC"/>
    <w:rsid w:val="003C0733"/>
    <w:rsid w:val="003C1654"/>
    <w:rsid w:val="003C1746"/>
    <w:rsid w:val="003C236E"/>
    <w:rsid w:val="003C2790"/>
    <w:rsid w:val="003C2C1B"/>
    <w:rsid w:val="003C300C"/>
    <w:rsid w:val="003C33DB"/>
    <w:rsid w:val="003C341D"/>
    <w:rsid w:val="003C3765"/>
    <w:rsid w:val="003C39C7"/>
    <w:rsid w:val="003C463D"/>
    <w:rsid w:val="003C471A"/>
    <w:rsid w:val="003C48C0"/>
    <w:rsid w:val="003C50B6"/>
    <w:rsid w:val="003C5542"/>
    <w:rsid w:val="003C6009"/>
    <w:rsid w:val="003C6518"/>
    <w:rsid w:val="003C6781"/>
    <w:rsid w:val="003C71C0"/>
    <w:rsid w:val="003C7C15"/>
    <w:rsid w:val="003C7D19"/>
    <w:rsid w:val="003C7D2F"/>
    <w:rsid w:val="003D0C5A"/>
    <w:rsid w:val="003D1670"/>
    <w:rsid w:val="003D1828"/>
    <w:rsid w:val="003D19CB"/>
    <w:rsid w:val="003D1AF8"/>
    <w:rsid w:val="003D1DE4"/>
    <w:rsid w:val="003D1E9A"/>
    <w:rsid w:val="003D2422"/>
    <w:rsid w:val="003D2D6A"/>
    <w:rsid w:val="003D3654"/>
    <w:rsid w:val="003D3843"/>
    <w:rsid w:val="003D39A1"/>
    <w:rsid w:val="003D3FBF"/>
    <w:rsid w:val="003D4995"/>
    <w:rsid w:val="003D4A30"/>
    <w:rsid w:val="003D4B69"/>
    <w:rsid w:val="003D4BEE"/>
    <w:rsid w:val="003D5029"/>
    <w:rsid w:val="003D56B7"/>
    <w:rsid w:val="003D5C0B"/>
    <w:rsid w:val="003D5E5D"/>
    <w:rsid w:val="003D6106"/>
    <w:rsid w:val="003D719A"/>
    <w:rsid w:val="003D7452"/>
    <w:rsid w:val="003D74F1"/>
    <w:rsid w:val="003D79BB"/>
    <w:rsid w:val="003D7C98"/>
    <w:rsid w:val="003D7D9D"/>
    <w:rsid w:val="003E0543"/>
    <w:rsid w:val="003E056F"/>
    <w:rsid w:val="003E065A"/>
    <w:rsid w:val="003E0B98"/>
    <w:rsid w:val="003E10B3"/>
    <w:rsid w:val="003E1AEE"/>
    <w:rsid w:val="003E1E24"/>
    <w:rsid w:val="003E1F21"/>
    <w:rsid w:val="003E21C7"/>
    <w:rsid w:val="003E3022"/>
    <w:rsid w:val="003E3123"/>
    <w:rsid w:val="003E346F"/>
    <w:rsid w:val="003E3AE6"/>
    <w:rsid w:val="003E3C62"/>
    <w:rsid w:val="003E405F"/>
    <w:rsid w:val="003E460E"/>
    <w:rsid w:val="003E4ADE"/>
    <w:rsid w:val="003E4E4F"/>
    <w:rsid w:val="003E5603"/>
    <w:rsid w:val="003E5B4D"/>
    <w:rsid w:val="003E5F51"/>
    <w:rsid w:val="003E61E4"/>
    <w:rsid w:val="003E6328"/>
    <w:rsid w:val="003E6556"/>
    <w:rsid w:val="003E6612"/>
    <w:rsid w:val="003E67D1"/>
    <w:rsid w:val="003E6806"/>
    <w:rsid w:val="003E6BDA"/>
    <w:rsid w:val="003E749E"/>
    <w:rsid w:val="003E7E67"/>
    <w:rsid w:val="003F02B0"/>
    <w:rsid w:val="003F05A1"/>
    <w:rsid w:val="003F0D6C"/>
    <w:rsid w:val="003F11D2"/>
    <w:rsid w:val="003F143C"/>
    <w:rsid w:val="003F1D44"/>
    <w:rsid w:val="003F1FF2"/>
    <w:rsid w:val="003F2067"/>
    <w:rsid w:val="003F2208"/>
    <w:rsid w:val="003F241A"/>
    <w:rsid w:val="003F30E6"/>
    <w:rsid w:val="003F3358"/>
    <w:rsid w:val="003F37D7"/>
    <w:rsid w:val="003F3CA7"/>
    <w:rsid w:val="003F4156"/>
    <w:rsid w:val="003F4252"/>
    <w:rsid w:val="003F5198"/>
    <w:rsid w:val="003F556D"/>
    <w:rsid w:val="003F5ADF"/>
    <w:rsid w:val="003F5CE2"/>
    <w:rsid w:val="003F6925"/>
    <w:rsid w:val="003F740C"/>
    <w:rsid w:val="003F789E"/>
    <w:rsid w:val="003F7965"/>
    <w:rsid w:val="00400769"/>
    <w:rsid w:val="00400A1C"/>
    <w:rsid w:val="00400B29"/>
    <w:rsid w:val="00400B34"/>
    <w:rsid w:val="00401153"/>
    <w:rsid w:val="00401333"/>
    <w:rsid w:val="00401847"/>
    <w:rsid w:val="00401B6A"/>
    <w:rsid w:val="00401E90"/>
    <w:rsid w:val="00402812"/>
    <w:rsid w:val="00403BB8"/>
    <w:rsid w:val="00403CB0"/>
    <w:rsid w:val="004045FB"/>
    <w:rsid w:val="004046C9"/>
    <w:rsid w:val="0040487E"/>
    <w:rsid w:val="00404886"/>
    <w:rsid w:val="0040504B"/>
    <w:rsid w:val="004050BE"/>
    <w:rsid w:val="004051C2"/>
    <w:rsid w:val="004056B4"/>
    <w:rsid w:val="004059F4"/>
    <w:rsid w:val="004069B9"/>
    <w:rsid w:val="00406BAD"/>
    <w:rsid w:val="00406E5A"/>
    <w:rsid w:val="00407DBD"/>
    <w:rsid w:val="00407DC5"/>
    <w:rsid w:val="00407E91"/>
    <w:rsid w:val="00407FE5"/>
    <w:rsid w:val="004101B0"/>
    <w:rsid w:val="00410326"/>
    <w:rsid w:val="00410708"/>
    <w:rsid w:val="00410EC7"/>
    <w:rsid w:val="0041139C"/>
    <w:rsid w:val="004119BE"/>
    <w:rsid w:val="00411A45"/>
    <w:rsid w:val="00411AB2"/>
    <w:rsid w:val="00411B39"/>
    <w:rsid w:val="00412210"/>
    <w:rsid w:val="00412751"/>
    <w:rsid w:val="004127A7"/>
    <w:rsid w:val="004127FB"/>
    <w:rsid w:val="004128A2"/>
    <w:rsid w:val="00412DAA"/>
    <w:rsid w:val="0041317C"/>
    <w:rsid w:val="004139C9"/>
    <w:rsid w:val="00413A1E"/>
    <w:rsid w:val="00413D0B"/>
    <w:rsid w:val="00414254"/>
    <w:rsid w:val="00414476"/>
    <w:rsid w:val="00414737"/>
    <w:rsid w:val="004147A8"/>
    <w:rsid w:val="00414C2E"/>
    <w:rsid w:val="00414E67"/>
    <w:rsid w:val="00415025"/>
    <w:rsid w:val="004151CF"/>
    <w:rsid w:val="004160F4"/>
    <w:rsid w:val="00416364"/>
    <w:rsid w:val="004165DF"/>
    <w:rsid w:val="0041685A"/>
    <w:rsid w:val="00416A7A"/>
    <w:rsid w:val="00417377"/>
    <w:rsid w:val="00417F90"/>
    <w:rsid w:val="0042020B"/>
    <w:rsid w:val="0042047F"/>
    <w:rsid w:val="00420AA6"/>
    <w:rsid w:val="00420B9F"/>
    <w:rsid w:val="0042120E"/>
    <w:rsid w:val="0042192C"/>
    <w:rsid w:val="004219F3"/>
    <w:rsid w:val="00422260"/>
    <w:rsid w:val="00422285"/>
    <w:rsid w:val="004227ED"/>
    <w:rsid w:val="00422884"/>
    <w:rsid w:val="00422F04"/>
    <w:rsid w:val="004238B3"/>
    <w:rsid w:val="00423F9B"/>
    <w:rsid w:val="004240F4"/>
    <w:rsid w:val="0042413F"/>
    <w:rsid w:val="004243A6"/>
    <w:rsid w:val="00424B4C"/>
    <w:rsid w:val="00425CF5"/>
    <w:rsid w:val="00426844"/>
    <w:rsid w:val="00426C3C"/>
    <w:rsid w:val="00426E27"/>
    <w:rsid w:val="004270F9"/>
    <w:rsid w:val="00427E3C"/>
    <w:rsid w:val="00427E41"/>
    <w:rsid w:val="00430B5E"/>
    <w:rsid w:val="00430CF3"/>
    <w:rsid w:val="004319F8"/>
    <w:rsid w:val="00431C49"/>
    <w:rsid w:val="00431E55"/>
    <w:rsid w:val="004321F6"/>
    <w:rsid w:val="004329B0"/>
    <w:rsid w:val="00432B66"/>
    <w:rsid w:val="00433044"/>
    <w:rsid w:val="00433764"/>
    <w:rsid w:val="00433786"/>
    <w:rsid w:val="00433D5A"/>
    <w:rsid w:val="00433E2F"/>
    <w:rsid w:val="00433ED0"/>
    <w:rsid w:val="00434088"/>
    <w:rsid w:val="00434619"/>
    <w:rsid w:val="004347C8"/>
    <w:rsid w:val="00434AE5"/>
    <w:rsid w:val="0043510C"/>
    <w:rsid w:val="004365E6"/>
    <w:rsid w:val="004375B9"/>
    <w:rsid w:val="00437969"/>
    <w:rsid w:val="00437A66"/>
    <w:rsid w:val="004401A6"/>
    <w:rsid w:val="0044029B"/>
    <w:rsid w:val="00440D0C"/>
    <w:rsid w:val="0044242B"/>
    <w:rsid w:val="004427EE"/>
    <w:rsid w:val="004428D0"/>
    <w:rsid w:val="004433E2"/>
    <w:rsid w:val="00443C31"/>
    <w:rsid w:val="00443DBF"/>
    <w:rsid w:val="00444185"/>
    <w:rsid w:val="004443A7"/>
    <w:rsid w:val="0044442C"/>
    <w:rsid w:val="00444857"/>
    <w:rsid w:val="004450C2"/>
    <w:rsid w:val="00445941"/>
    <w:rsid w:val="00446497"/>
    <w:rsid w:val="004464EB"/>
    <w:rsid w:val="00446AA1"/>
    <w:rsid w:val="00447601"/>
    <w:rsid w:val="00447B08"/>
    <w:rsid w:val="00447B54"/>
    <w:rsid w:val="00447D26"/>
    <w:rsid w:val="00447DFC"/>
    <w:rsid w:val="00450A11"/>
    <w:rsid w:val="00450D37"/>
    <w:rsid w:val="00450EE6"/>
    <w:rsid w:val="00452276"/>
    <w:rsid w:val="0045288F"/>
    <w:rsid w:val="004529BE"/>
    <w:rsid w:val="00453225"/>
    <w:rsid w:val="004545CD"/>
    <w:rsid w:val="00454611"/>
    <w:rsid w:val="00455D45"/>
    <w:rsid w:val="004571F3"/>
    <w:rsid w:val="00457539"/>
    <w:rsid w:val="00457A91"/>
    <w:rsid w:val="00457E31"/>
    <w:rsid w:val="00457E8B"/>
    <w:rsid w:val="00460D43"/>
    <w:rsid w:val="004612EB"/>
    <w:rsid w:val="0046164D"/>
    <w:rsid w:val="00461BE0"/>
    <w:rsid w:val="00461D5B"/>
    <w:rsid w:val="00462355"/>
    <w:rsid w:val="00462ADE"/>
    <w:rsid w:val="004643EF"/>
    <w:rsid w:val="00464595"/>
    <w:rsid w:val="00464A5F"/>
    <w:rsid w:val="00464E0F"/>
    <w:rsid w:val="00465340"/>
    <w:rsid w:val="00465642"/>
    <w:rsid w:val="004658A5"/>
    <w:rsid w:val="004658B5"/>
    <w:rsid w:val="00465C9B"/>
    <w:rsid w:val="00465D8E"/>
    <w:rsid w:val="00465F3A"/>
    <w:rsid w:val="00465FD2"/>
    <w:rsid w:val="00466F90"/>
    <w:rsid w:val="00466F9C"/>
    <w:rsid w:val="0046709B"/>
    <w:rsid w:val="004673B8"/>
    <w:rsid w:val="00467493"/>
    <w:rsid w:val="00467BDD"/>
    <w:rsid w:val="00467D20"/>
    <w:rsid w:val="00467EC7"/>
    <w:rsid w:val="00470919"/>
    <w:rsid w:val="00470B59"/>
    <w:rsid w:val="00470F3C"/>
    <w:rsid w:val="00471AB7"/>
    <w:rsid w:val="00471EA5"/>
    <w:rsid w:val="00472422"/>
    <w:rsid w:val="00472559"/>
    <w:rsid w:val="00472A79"/>
    <w:rsid w:val="00473F19"/>
    <w:rsid w:val="004746DB"/>
    <w:rsid w:val="00474C77"/>
    <w:rsid w:val="004750F9"/>
    <w:rsid w:val="00475540"/>
    <w:rsid w:val="00475E22"/>
    <w:rsid w:val="0047600D"/>
    <w:rsid w:val="004760DA"/>
    <w:rsid w:val="00476C37"/>
    <w:rsid w:val="00477380"/>
    <w:rsid w:val="00477746"/>
    <w:rsid w:val="00477B6D"/>
    <w:rsid w:val="004806B2"/>
    <w:rsid w:val="00480766"/>
    <w:rsid w:val="0048088E"/>
    <w:rsid w:val="00480F2B"/>
    <w:rsid w:val="0048125A"/>
    <w:rsid w:val="00481FBA"/>
    <w:rsid w:val="00482204"/>
    <w:rsid w:val="00482314"/>
    <w:rsid w:val="00482720"/>
    <w:rsid w:val="00483476"/>
    <w:rsid w:val="004834A7"/>
    <w:rsid w:val="004835E7"/>
    <w:rsid w:val="004837B4"/>
    <w:rsid w:val="004838AF"/>
    <w:rsid w:val="00483B64"/>
    <w:rsid w:val="00483D82"/>
    <w:rsid w:val="00484CB8"/>
    <w:rsid w:val="00485970"/>
    <w:rsid w:val="004859E1"/>
    <w:rsid w:val="004867E2"/>
    <w:rsid w:val="00487092"/>
    <w:rsid w:val="0048742B"/>
    <w:rsid w:val="00487B28"/>
    <w:rsid w:val="00487BAA"/>
    <w:rsid w:val="00490B17"/>
    <w:rsid w:val="00490E7D"/>
    <w:rsid w:val="00491128"/>
    <w:rsid w:val="004915CE"/>
    <w:rsid w:val="00491979"/>
    <w:rsid w:val="00491A2E"/>
    <w:rsid w:val="00491B3A"/>
    <w:rsid w:val="004923CB"/>
    <w:rsid w:val="00492B56"/>
    <w:rsid w:val="00492CFD"/>
    <w:rsid w:val="00493090"/>
    <w:rsid w:val="004932FE"/>
    <w:rsid w:val="004935BA"/>
    <w:rsid w:val="00493751"/>
    <w:rsid w:val="0049389F"/>
    <w:rsid w:val="00493EC2"/>
    <w:rsid w:val="004940E5"/>
    <w:rsid w:val="00494207"/>
    <w:rsid w:val="00494592"/>
    <w:rsid w:val="004949E1"/>
    <w:rsid w:val="00494CE0"/>
    <w:rsid w:val="00494DD5"/>
    <w:rsid w:val="004950F2"/>
    <w:rsid w:val="00495AA9"/>
    <w:rsid w:val="00495AD4"/>
    <w:rsid w:val="00495F0D"/>
    <w:rsid w:val="00496158"/>
    <w:rsid w:val="004962D2"/>
    <w:rsid w:val="004963DE"/>
    <w:rsid w:val="00496C32"/>
    <w:rsid w:val="00496E96"/>
    <w:rsid w:val="00497A6E"/>
    <w:rsid w:val="00497F42"/>
    <w:rsid w:val="00497F92"/>
    <w:rsid w:val="004A013F"/>
    <w:rsid w:val="004A09FD"/>
    <w:rsid w:val="004A0DA1"/>
    <w:rsid w:val="004A11D7"/>
    <w:rsid w:val="004A13D6"/>
    <w:rsid w:val="004A154F"/>
    <w:rsid w:val="004A257D"/>
    <w:rsid w:val="004A338B"/>
    <w:rsid w:val="004A352A"/>
    <w:rsid w:val="004A3996"/>
    <w:rsid w:val="004A4407"/>
    <w:rsid w:val="004A44A8"/>
    <w:rsid w:val="004A5004"/>
    <w:rsid w:val="004A5083"/>
    <w:rsid w:val="004A52E9"/>
    <w:rsid w:val="004A5A68"/>
    <w:rsid w:val="004A5B5E"/>
    <w:rsid w:val="004A6040"/>
    <w:rsid w:val="004A616A"/>
    <w:rsid w:val="004A6597"/>
    <w:rsid w:val="004A6983"/>
    <w:rsid w:val="004A7699"/>
    <w:rsid w:val="004A7848"/>
    <w:rsid w:val="004A793B"/>
    <w:rsid w:val="004B007E"/>
    <w:rsid w:val="004B031B"/>
    <w:rsid w:val="004B0BA1"/>
    <w:rsid w:val="004B15E3"/>
    <w:rsid w:val="004B1C8C"/>
    <w:rsid w:val="004B1CB4"/>
    <w:rsid w:val="004B258A"/>
    <w:rsid w:val="004B2E79"/>
    <w:rsid w:val="004B2F18"/>
    <w:rsid w:val="004B31D5"/>
    <w:rsid w:val="004B3ACB"/>
    <w:rsid w:val="004B3DDB"/>
    <w:rsid w:val="004B4051"/>
    <w:rsid w:val="004B44FD"/>
    <w:rsid w:val="004B4582"/>
    <w:rsid w:val="004B4A8A"/>
    <w:rsid w:val="004B4F15"/>
    <w:rsid w:val="004B54BD"/>
    <w:rsid w:val="004B5CA9"/>
    <w:rsid w:val="004B5CFC"/>
    <w:rsid w:val="004B5D52"/>
    <w:rsid w:val="004B5F9F"/>
    <w:rsid w:val="004B613A"/>
    <w:rsid w:val="004B6195"/>
    <w:rsid w:val="004B63EA"/>
    <w:rsid w:val="004B67EA"/>
    <w:rsid w:val="004B6DFC"/>
    <w:rsid w:val="004B6F79"/>
    <w:rsid w:val="004B73F8"/>
    <w:rsid w:val="004B774D"/>
    <w:rsid w:val="004B79C7"/>
    <w:rsid w:val="004C0007"/>
    <w:rsid w:val="004C1B5B"/>
    <w:rsid w:val="004C220C"/>
    <w:rsid w:val="004C2AC2"/>
    <w:rsid w:val="004C3B02"/>
    <w:rsid w:val="004C3D18"/>
    <w:rsid w:val="004C47D1"/>
    <w:rsid w:val="004C491E"/>
    <w:rsid w:val="004C49D2"/>
    <w:rsid w:val="004C4AED"/>
    <w:rsid w:val="004C51E6"/>
    <w:rsid w:val="004C5CCB"/>
    <w:rsid w:val="004C670E"/>
    <w:rsid w:val="004C72EE"/>
    <w:rsid w:val="004C7C1D"/>
    <w:rsid w:val="004D10E6"/>
    <w:rsid w:val="004D148F"/>
    <w:rsid w:val="004D18A5"/>
    <w:rsid w:val="004D1F93"/>
    <w:rsid w:val="004D2BD3"/>
    <w:rsid w:val="004D2C2D"/>
    <w:rsid w:val="004D30CD"/>
    <w:rsid w:val="004D3829"/>
    <w:rsid w:val="004D3F8C"/>
    <w:rsid w:val="004D411C"/>
    <w:rsid w:val="004D5268"/>
    <w:rsid w:val="004D55E7"/>
    <w:rsid w:val="004D5EC0"/>
    <w:rsid w:val="004D5FBE"/>
    <w:rsid w:val="004D69B5"/>
    <w:rsid w:val="004D7227"/>
    <w:rsid w:val="004D785F"/>
    <w:rsid w:val="004D7A5E"/>
    <w:rsid w:val="004D7AA6"/>
    <w:rsid w:val="004D7B5E"/>
    <w:rsid w:val="004D7FBA"/>
    <w:rsid w:val="004E0E7F"/>
    <w:rsid w:val="004E0EB8"/>
    <w:rsid w:val="004E187B"/>
    <w:rsid w:val="004E18E9"/>
    <w:rsid w:val="004E1B5B"/>
    <w:rsid w:val="004E20B6"/>
    <w:rsid w:val="004E27F2"/>
    <w:rsid w:val="004E2ADC"/>
    <w:rsid w:val="004E2C10"/>
    <w:rsid w:val="004E3C5C"/>
    <w:rsid w:val="004E43B2"/>
    <w:rsid w:val="004E483A"/>
    <w:rsid w:val="004E4CF7"/>
    <w:rsid w:val="004E4E03"/>
    <w:rsid w:val="004E5452"/>
    <w:rsid w:val="004E5ED8"/>
    <w:rsid w:val="004E6849"/>
    <w:rsid w:val="004E75CD"/>
    <w:rsid w:val="004E7DA8"/>
    <w:rsid w:val="004F0113"/>
    <w:rsid w:val="004F0ACB"/>
    <w:rsid w:val="004F1405"/>
    <w:rsid w:val="004F1997"/>
    <w:rsid w:val="004F1D02"/>
    <w:rsid w:val="004F1FA1"/>
    <w:rsid w:val="004F2679"/>
    <w:rsid w:val="004F2A71"/>
    <w:rsid w:val="004F2F21"/>
    <w:rsid w:val="004F33CE"/>
    <w:rsid w:val="004F34D0"/>
    <w:rsid w:val="004F3CC3"/>
    <w:rsid w:val="004F3DE5"/>
    <w:rsid w:val="004F44A0"/>
    <w:rsid w:val="004F45C5"/>
    <w:rsid w:val="004F48E0"/>
    <w:rsid w:val="004F4D28"/>
    <w:rsid w:val="004F5447"/>
    <w:rsid w:val="004F64C4"/>
    <w:rsid w:val="004F6913"/>
    <w:rsid w:val="004F6DED"/>
    <w:rsid w:val="004F752F"/>
    <w:rsid w:val="004F75B8"/>
    <w:rsid w:val="004F7865"/>
    <w:rsid w:val="005000CC"/>
    <w:rsid w:val="0050050A"/>
    <w:rsid w:val="00500C9B"/>
    <w:rsid w:val="00501196"/>
    <w:rsid w:val="0050174E"/>
    <w:rsid w:val="00501854"/>
    <w:rsid w:val="00501AC8"/>
    <w:rsid w:val="00501D9C"/>
    <w:rsid w:val="0050219B"/>
    <w:rsid w:val="00502251"/>
    <w:rsid w:val="00502A46"/>
    <w:rsid w:val="0050317A"/>
    <w:rsid w:val="005038E1"/>
    <w:rsid w:val="00503E90"/>
    <w:rsid w:val="00503F17"/>
    <w:rsid w:val="00503F3A"/>
    <w:rsid w:val="005041D9"/>
    <w:rsid w:val="005043A9"/>
    <w:rsid w:val="00504C2F"/>
    <w:rsid w:val="00504F71"/>
    <w:rsid w:val="0050543A"/>
    <w:rsid w:val="00505791"/>
    <w:rsid w:val="00505D2E"/>
    <w:rsid w:val="00506928"/>
    <w:rsid w:val="005070CC"/>
    <w:rsid w:val="005075F2"/>
    <w:rsid w:val="005077EF"/>
    <w:rsid w:val="00507B8E"/>
    <w:rsid w:val="00511AD5"/>
    <w:rsid w:val="00511B83"/>
    <w:rsid w:val="00511DA4"/>
    <w:rsid w:val="00511DC7"/>
    <w:rsid w:val="00512BDC"/>
    <w:rsid w:val="005142C5"/>
    <w:rsid w:val="0051443C"/>
    <w:rsid w:val="00514597"/>
    <w:rsid w:val="00514905"/>
    <w:rsid w:val="00514AC8"/>
    <w:rsid w:val="0051501B"/>
    <w:rsid w:val="00515046"/>
    <w:rsid w:val="005152B5"/>
    <w:rsid w:val="00515886"/>
    <w:rsid w:val="00515A8C"/>
    <w:rsid w:val="005164DF"/>
    <w:rsid w:val="00516595"/>
    <w:rsid w:val="00516A7E"/>
    <w:rsid w:val="00516F48"/>
    <w:rsid w:val="00517622"/>
    <w:rsid w:val="00517D5F"/>
    <w:rsid w:val="00520501"/>
    <w:rsid w:val="005205DF"/>
    <w:rsid w:val="0052063D"/>
    <w:rsid w:val="00520D06"/>
    <w:rsid w:val="0052123C"/>
    <w:rsid w:val="00521319"/>
    <w:rsid w:val="00521339"/>
    <w:rsid w:val="00521B2A"/>
    <w:rsid w:val="00521B86"/>
    <w:rsid w:val="00521FEF"/>
    <w:rsid w:val="0052208F"/>
    <w:rsid w:val="005222A2"/>
    <w:rsid w:val="00522BC8"/>
    <w:rsid w:val="005230CD"/>
    <w:rsid w:val="0052315C"/>
    <w:rsid w:val="005233B8"/>
    <w:rsid w:val="00523A63"/>
    <w:rsid w:val="00523B63"/>
    <w:rsid w:val="00523C28"/>
    <w:rsid w:val="005241C4"/>
    <w:rsid w:val="00524D4D"/>
    <w:rsid w:val="00524F87"/>
    <w:rsid w:val="00525CD9"/>
    <w:rsid w:val="00526A7B"/>
    <w:rsid w:val="0052774D"/>
    <w:rsid w:val="00527E33"/>
    <w:rsid w:val="0053027E"/>
    <w:rsid w:val="005306A2"/>
    <w:rsid w:val="00530A06"/>
    <w:rsid w:val="0053176B"/>
    <w:rsid w:val="00531826"/>
    <w:rsid w:val="00531BA5"/>
    <w:rsid w:val="0053217A"/>
    <w:rsid w:val="00532270"/>
    <w:rsid w:val="00533B1C"/>
    <w:rsid w:val="005341B3"/>
    <w:rsid w:val="00534611"/>
    <w:rsid w:val="00534807"/>
    <w:rsid w:val="005348C3"/>
    <w:rsid w:val="00535EC7"/>
    <w:rsid w:val="00536437"/>
    <w:rsid w:val="00536447"/>
    <w:rsid w:val="00536583"/>
    <w:rsid w:val="00536653"/>
    <w:rsid w:val="00536F42"/>
    <w:rsid w:val="00536FEE"/>
    <w:rsid w:val="00537012"/>
    <w:rsid w:val="005370C6"/>
    <w:rsid w:val="00537182"/>
    <w:rsid w:val="0053721D"/>
    <w:rsid w:val="005374FC"/>
    <w:rsid w:val="00537622"/>
    <w:rsid w:val="0053772E"/>
    <w:rsid w:val="00537FE6"/>
    <w:rsid w:val="005403DD"/>
    <w:rsid w:val="00540877"/>
    <w:rsid w:val="005419D9"/>
    <w:rsid w:val="00541EDD"/>
    <w:rsid w:val="00542743"/>
    <w:rsid w:val="005427AB"/>
    <w:rsid w:val="005428C7"/>
    <w:rsid w:val="005429C7"/>
    <w:rsid w:val="00542C2D"/>
    <w:rsid w:val="00542C30"/>
    <w:rsid w:val="00542C36"/>
    <w:rsid w:val="00543614"/>
    <w:rsid w:val="0054376B"/>
    <w:rsid w:val="00543EC6"/>
    <w:rsid w:val="00544C07"/>
    <w:rsid w:val="005451C9"/>
    <w:rsid w:val="005455E4"/>
    <w:rsid w:val="00545CB5"/>
    <w:rsid w:val="00545CCB"/>
    <w:rsid w:val="005461E5"/>
    <w:rsid w:val="005462AA"/>
    <w:rsid w:val="005462E6"/>
    <w:rsid w:val="00546CD3"/>
    <w:rsid w:val="00546D5B"/>
    <w:rsid w:val="00547375"/>
    <w:rsid w:val="005474F6"/>
    <w:rsid w:val="005478BD"/>
    <w:rsid w:val="005479E3"/>
    <w:rsid w:val="00547DB3"/>
    <w:rsid w:val="00550060"/>
    <w:rsid w:val="0055041D"/>
    <w:rsid w:val="005507EE"/>
    <w:rsid w:val="005510DE"/>
    <w:rsid w:val="00551985"/>
    <w:rsid w:val="00551A53"/>
    <w:rsid w:val="00551BEC"/>
    <w:rsid w:val="005525E3"/>
    <w:rsid w:val="00552B80"/>
    <w:rsid w:val="00552BB9"/>
    <w:rsid w:val="00552BD3"/>
    <w:rsid w:val="005531EB"/>
    <w:rsid w:val="005532A0"/>
    <w:rsid w:val="005547AC"/>
    <w:rsid w:val="005547DC"/>
    <w:rsid w:val="00555079"/>
    <w:rsid w:val="00555109"/>
    <w:rsid w:val="0055551C"/>
    <w:rsid w:val="00556B35"/>
    <w:rsid w:val="00556D6B"/>
    <w:rsid w:val="0055741A"/>
    <w:rsid w:val="00557802"/>
    <w:rsid w:val="005601FE"/>
    <w:rsid w:val="005611B7"/>
    <w:rsid w:val="0056137F"/>
    <w:rsid w:val="005618D4"/>
    <w:rsid w:val="00562A92"/>
    <w:rsid w:val="00563048"/>
    <w:rsid w:val="005635D8"/>
    <w:rsid w:val="00563D43"/>
    <w:rsid w:val="00564867"/>
    <w:rsid w:val="005649B1"/>
    <w:rsid w:val="005649BA"/>
    <w:rsid w:val="005650D2"/>
    <w:rsid w:val="00565BFA"/>
    <w:rsid w:val="00565C79"/>
    <w:rsid w:val="00565DF0"/>
    <w:rsid w:val="0056613C"/>
    <w:rsid w:val="0056634A"/>
    <w:rsid w:val="0056638F"/>
    <w:rsid w:val="005667D7"/>
    <w:rsid w:val="0056696F"/>
    <w:rsid w:val="0056758B"/>
    <w:rsid w:val="005679AA"/>
    <w:rsid w:val="0057049D"/>
    <w:rsid w:val="005704C9"/>
    <w:rsid w:val="0057159D"/>
    <w:rsid w:val="00571877"/>
    <w:rsid w:val="00571BFB"/>
    <w:rsid w:val="00572269"/>
    <w:rsid w:val="0057244A"/>
    <w:rsid w:val="0057267F"/>
    <w:rsid w:val="00572C89"/>
    <w:rsid w:val="00572F26"/>
    <w:rsid w:val="0057374A"/>
    <w:rsid w:val="005739AA"/>
    <w:rsid w:val="00573DD8"/>
    <w:rsid w:val="0057420E"/>
    <w:rsid w:val="00574C41"/>
    <w:rsid w:val="00574C9A"/>
    <w:rsid w:val="005750C5"/>
    <w:rsid w:val="005752DE"/>
    <w:rsid w:val="00575590"/>
    <w:rsid w:val="00575A65"/>
    <w:rsid w:val="00575BA6"/>
    <w:rsid w:val="00575D60"/>
    <w:rsid w:val="00575D8D"/>
    <w:rsid w:val="00576972"/>
    <w:rsid w:val="005769FD"/>
    <w:rsid w:val="00576A9B"/>
    <w:rsid w:val="005770F7"/>
    <w:rsid w:val="00577248"/>
    <w:rsid w:val="005774BE"/>
    <w:rsid w:val="00577B74"/>
    <w:rsid w:val="00577BE4"/>
    <w:rsid w:val="00580C86"/>
    <w:rsid w:val="005810EB"/>
    <w:rsid w:val="00581F73"/>
    <w:rsid w:val="00582595"/>
    <w:rsid w:val="00582874"/>
    <w:rsid w:val="0058302D"/>
    <w:rsid w:val="00583664"/>
    <w:rsid w:val="00583699"/>
    <w:rsid w:val="00583BA3"/>
    <w:rsid w:val="00584058"/>
    <w:rsid w:val="00584379"/>
    <w:rsid w:val="0058497D"/>
    <w:rsid w:val="00585CDD"/>
    <w:rsid w:val="00585F57"/>
    <w:rsid w:val="005861A0"/>
    <w:rsid w:val="00587058"/>
    <w:rsid w:val="005878DE"/>
    <w:rsid w:val="00587A87"/>
    <w:rsid w:val="00587B45"/>
    <w:rsid w:val="00587EF2"/>
    <w:rsid w:val="00591957"/>
    <w:rsid w:val="00592242"/>
    <w:rsid w:val="00592500"/>
    <w:rsid w:val="00592E43"/>
    <w:rsid w:val="00593481"/>
    <w:rsid w:val="0059385D"/>
    <w:rsid w:val="00594C8D"/>
    <w:rsid w:val="0059521B"/>
    <w:rsid w:val="005955CC"/>
    <w:rsid w:val="0059657E"/>
    <w:rsid w:val="0059705E"/>
    <w:rsid w:val="005976CF"/>
    <w:rsid w:val="00597779"/>
    <w:rsid w:val="00597BF9"/>
    <w:rsid w:val="005A0586"/>
    <w:rsid w:val="005A07C1"/>
    <w:rsid w:val="005A0C11"/>
    <w:rsid w:val="005A0C4C"/>
    <w:rsid w:val="005A0EA7"/>
    <w:rsid w:val="005A1063"/>
    <w:rsid w:val="005A1829"/>
    <w:rsid w:val="005A1F76"/>
    <w:rsid w:val="005A2080"/>
    <w:rsid w:val="005A221F"/>
    <w:rsid w:val="005A231B"/>
    <w:rsid w:val="005A2F4E"/>
    <w:rsid w:val="005A309A"/>
    <w:rsid w:val="005A30C8"/>
    <w:rsid w:val="005A373D"/>
    <w:rsid w:val="005A56E8"/>
    <w:rsid w:val="005A5829"/>
    <w:rsid w:val="005A5B1E"/>
    <w:rsid w:val="005A5C60"/>
    <w:rsid w:val="005A5D0C"/>
    <w:rsid w:val="005A5F5A"/>
    <w:rsid w:val="005A6169"/>
    <w:rsid w:val="005A693B"/>
    <w:rsid w:val="005A7434"/>
    <w:rsid w:val="005A7830"/>
    <w:rsid w:val="005A7B8D"/>
    <w:rsid w:val="005B0A89"/>
    <w:rsid w:val="005B0B58"/>
    <w:rsid w:val="005B0C02"/>
    <w:rsid w:val="005B10AC"/>
    <w:rsid w:val="005B154C"/>
    <w:rsid w:val="005B23F4"/>
    <w:rsid w:val="005B2BF9"/>
    <w:rsid w:val="005B31F2"/>
    <w:rsid w:val="005B3942"/>
    <w:rsid w:val="005B463A"/>
    <w:rsid w:val="005B483F"/>
    <w:rsid w:val="005B4E53"/>
    <w:rsid w:val="005B4EC4"/>
    <w:rsid w:val="005B5857"/>
    <w:rsid w:val="005B585A"/>
    <w:rsid w:val="005B5EF1"/>
    <w:rsid w:val="005C0AF9"/>
    <w:rsid w:val="005C0D07"/>
    <w:rsid w:val="005C0F21"/>
    <w:rsid w:val="005C10DC"/>
    <w:rsid w:val="005C1430"/>
    <w:rsid w:val="005C19C4"/>
    <w:rsid w:val="005C1B83"/>
    <w:rsid w:val="005C2210"/>
    <w:rsid w:val="005C2567"/>
    <w:rsid w:val="005C25FF"/>
    <w:rsid w:val="005C2D55"/>
    <w:rsid w:val="005C2FE8"/>
    <w:rsid w:val="005C3447"/>
    <w:rsid w:val="005C346B"/>
    <w:rsid w:val="005C36A5"/>
    <w:rsid w:val="005C37FA"/>
    <w:rsid w:val="005C4C1E"/>
    <w:rsid w:val="005C4D99"/>
    <w:rsid w:val="005C50BC"/>
    <w:rsid w:val="005C519F"/>
    <w:rsid w:val="005C5290"/>
    <w:rsid w:val="005C55EB"/>
    <w:rsid w:val="005C5ABC"/>
    <w:rsid w:val="005C5E6E"/>
    <w:rsid w:val="005C738C"/>
    <w:rsid w:val="005C75EC"/>
    <w:rsid w:val="005D044D"/>
    <w:rsid w:val="005D05B3"/>
    <w:rsid w:val="005D06AE"/>
    <w:rsid w:val="005D0ABD"/>
    <w:rsid w:val="005D0BF1"/>
    <w:rsid w:val="005D0CFE"/>
    <w:rsid w:val="005D1373"/>
    <w:rsid w:val="005D18AD"/>
    <w:rsid w:val="005D1A90"/>
    <w:rsid w:val="005D2030"/>
    <w:rsid w:val="005D2525"/>
    <w:rsid w:val="005D26B4"/>
    <w:rsid w:val="005D2E81"/>
    <w:rsid w:val="005D3855"/>
    <w:rsid w:val="005D389C"/>
    <w:rsid w:val="005D38BC"/>
    <w:rsid w:val="005D47B1"/>
    <w:rsid w:val="005D4DA6"/>
    <w:rsid w:val="005D54B0"/>
    <w:rsid w:val="005D5CE9"/>
    <w:rsid w:val="005D5D34"/>
    <w:rsid w:val="005D5DD3"/>
    <w:rsid w:val="005D5F18"/>
    <w:rsid w:val="005D65DC"/>
    <w:rsid w:val="005D6784"/>
    <w:rsid w:val="005D6BFB"/>
    <w:rsid w:val="005D73CD"/>
    <w:rsid w:val="005E037E"/>
    <w:rsid w:val="005E0454"/>
    <w:rsid w:val="005E1474"/>
    <w:rsid w:val="005E15AB"/>
    <w:rsid w:val="005E1751"/>
    <w:rsid w:val="005E1995"/>
    <w:rsid w:val="005E1C73"/>
    <w:rsid w:val="005E1F72"/>
    <w:rsid w:val="005E2403"/>
    <w:rsid w:val="005E2DA2"/>
    <w:rsid w:val="005E2FF0"/>
    <w:rsid w:val="005E3819"/>
    <w:rsid w:val="005E42B7"/>
    <w:rsid w:val="005E450D"/>
    <w:rsid w:val="005E4AED"/>
    <w:rsid w:val="005E52DB"/>
    <w:rsid w:val="005E56AA"/>
    <w:rsid w:val="005E5742"/>
    <w:rsid w:val="005E5B38"/>
    <w:rsid w:val="005E5BDB"/>
    <w:rsid w:val="005E609F"/>
    <w:rsid w:val="005E65DE"/>
    <w:rsid w:val="005E6CBC"/>
    <w:rsid w:val="005E6F32"/>
    <w:rsid w:val="005E702E"/>
    <w:rsid w:val="005E72F8"/>
    <w:rsid w:val="005E72FF"/>
    <w:rsid w:val="005E73C0"/>
    <w:rsid w:val="005E74F5"/>
    <w:rsid w:val="005F00BA"/>
    <w:rsid w:val="005F07ED"/>
    <w:rsid w:val="005F0FA1"/>
    <w:rsid w:val="005F119D"/>
    <w:rsid w:val="005F130F"/>
    <w:rsid w:val="005F1A3C"/>
    <w:rsid w:val="005F2706"/>
    <w:rsid w:val="005F2C88"/>
    <w:rsid w:val="005F4F32"/>
    <w:rsid w:val="005F5D93"/>
    <w:rsid w:val="005F60DE"/>
    <w:rsid w:val="005F692D"/>
    <w:rsid w:val="005F6A8F"/>
    <w:rsid w:val="005F6BB7"/>
    <w:rsid w:val="005F7588"/>
    <w:rsid w:val="005F75B0"/>
    <w:rsid w:val="005F7DAE"/>
    <w:rsid w:val="005F7F15"/>
    <w:rsid w:val="006002EC"/>
    <w:rsid w:val="006005D4"/>
    <w:rsid w:val="0060088A"/>
    <w:rsid w:val="006012B3"/>
    <w:rsid w:val="00601CCB"/>
    <w:rsid w:val="006028D3"/>
    <w:rsid w:val="00602B6A"/>
    <w:rsid w:val="0060329B"/>
    <w:rsid w:val="00603DB9"/>
    <w:rsid w:val="0060444D"/>
    <w:rsid w:val="00604F22"/>
    <w:rsid w:val="006051D8"/>
    <w:rsid w:val="00606386"/>
    <w:rsid w:val="00606421"/>
    <w:rsid w:val="00606C5D"/>
    <w:rsid w:val="00606FBA"/>
    <w:rsid w:val="00607360"/>
    <w:rsid w:val="0060760A"/>
    <w:rsid w:val="00607669"/>
    <w:rsid w:val="006076F4"/>
    <w:rsid w:val="00607758"/>
    <w:rsid w:val="00607A94"/>
    <w:rsid w:val="00607AFD"/>
    <w:rsid w:val="00607B3C"/>
    <w:rsid w:val="00610B5C"/>
    <w:rsid w:val="00611373"/>
    <w:rsid w:val="0061190E"/>
    <w:rsid w:val="00611B12"/>
    <w:rsid w:val="00611E07"/>
    <w:rsid w:val="00612AD7"/>
    <w:rsid w:val="00612F97"/>
    <w:rsid w:val="0061311E"/>
    <w:rsid w:val="00613139"/>
    <w:rsid w:val="00613201"/>
    <w:rsid w:val="006133C8"/>
    <w:rsid w:val="0061345D"/>
    <w:rsid w:val="0061369F"/>
    <w:rsid w:val="00614716"/>
    <w:rsid w:val="006148DF"/>
    <w:rsid w:val="00615121"/>
    <w:rsid w:val="0061549B"/>
    <w:rsid w:val="00615561"/>
    <w:rsid w:val="00615685"/>
    <w:rsid w:val="006156FF"/>
    <w:rsid w:val="006158C2"/>
    <w:rsid w:val="00615DE7"/>
    <w:rsid w:val="00616802"/>
    <w:rsid w:val="00616B0E"/>
    <w:rsid w:val="00616BCE"/>
    <w:rsid w:val="006173E1"/>
    <w:rsid w:val="0061761F"/>
    <w:rsid w:val="00617E12"/>
    <w:rsid w:val="006200C0"/>
    <w:rsid w:val="006208F5"/>
    <w:rsid w:val="0062096A"/>
    <w:rsid w:val="00620B80"/>
    <w:rsid w:val="00620C25"/>
    <w:rsid w:val="00620D1A"/>
    <w:rsid w:val="006212EC"/>
    <w:rsid w:val="00621477"/>
    <w:rsid w:val="00621488"/>
    <w:rsid w:val="006214A8"/>
    <w:rsid w:val="00621ADA"/>
    <w:rsid w:val="006221E6"/>
    <w:rsid w:val="00622DA3"/>
    <w:rsid w:val="00622E60"/>
    <w:rsid w:val="0062321E"/>
    <w:rsid w:val="00623591"/>
    <w:rsid w:val="006236BA"/>
    <w:rsid w:val="00623755"/>
    <w:rsid w:val="0062380D"/>
    <w:rsid w:val="00623F7B"/>
    <w:rsid w:val="00624BD4"/>
    <w:rsid w:val="00625AAD"/>
    <w:rsid w:val="00625AD8"/>
    <w:rsid w:val="00626291"/>
    <w:rsid w:val="0062657A"/>
    <w:rsid w:val="0062710F"/>
    <w:rsid w:val="00627CFC"/>
    <w:rsid w:val="00627E23"/>
    <w:rsid w:val="00627F06"/>
    <w:rsid w:val="00627F23"/>
    <w:rsid w:val="0063061F"/>
    <w:rsid w:val="00630D59"/>
    <w:rsid w:val="0063158F"/>
    <w:rsid w:val="00631748"/>
    <w:rsid w:val="00631828"/>
    <w:rsid w:val="00631D6B"/>
    <w:rsid w:val="00632081"/>
    <w:rsid w:val="00632183"/>
    <w:rsid w:val="0063241E"/>
    <w:rsid w:val="00632590"/>
    <w:rsid w:val="00632CEC"/>
    <w:rsid w:val="006330A1"/>
    <w:rsid w:val="006331B1"/>
    <w:rsid w:val="0063339B"/>
    <w:rsid w:val="00633404"/>
    <w:rsid w:val="00633708"/>
    <w:rsid w:val="00633C30"/>
    <w:rsid w:val="0063479F"/>
    <w:rsid w:val="00634988"/>
    <w:rsid w:val="00634F8F"/>
    <w:rsid w:val="006353F0"/>
    <w:rsid w:val="006357B5"/>
    <w:rsid w:val="00635B1E"/>
    <w:rsid w:val="00635F80"/>
    <w:rsid w:val="00636140"/>
    <w:rsid w:val="006364A1"/>
    <w:rsid w:val="0063678E"/>
    <w:rsid w:val="006373C7"/>
    <w:rsid w:val="006375D6"/>
    <w:rsid w:val="00637B51"/>
    <w:rsid w:val="00637BFD"/>
    <w:rsid w:val="00637C5C"/>
    <w:rsid w:val="00637F9B"/>
    <w:rsid w:val="00640670"/>
    <w:rsid w:val="00641357"/>
    <w:rsid w:val="006414C9"/>
    <w:rsid w:val="00641770"/>
    <w:rsid w:val="00641C4E"/>
    <w:rsid w:val="00641D45"/>
    <w:rsid w:val="00641FB3"/>
    <w:rsid w:val="00641FF0"/>
    <w:rsid w:val="00642F1A"/>
    <w:rsid w:val="00643001"/>
    <w:rsid w:val="00643073"/>
    <w:rsid w:val="00644164"/>
    <w:rsid w:val="0064434C"/>
    <w:rsid w:val="006443BB"/>
    <w:rsid w:val="00644C87"/>
    <w:rsid w:val="00645503"/>
    <w:rsid w:val="0064551E"/>
    <w:rsid w:val="00645788"/>
    <w:rsid w:val="006458D4"/>
    <w:rsid w:val="00646135"/>
    <w:rsid w:val="006464FB"/>
    <w:rsid w:val="006467B7"/>
    <w:rsid w:val="00646E06"/>
    <w:rsid w:val="006470DB"/>
    <w:rsid w:val="006471CC"/>
    <w:rsid w:val="006472FE"/>
    <w:rsid w:val="006473F6"/>
    <w:rsid w:val="00647A29"/>
    <w:rsid w:val="00647AD6"/>
    <w:rsid w:val="00647B7D"/>
    <w:rsid w:val="00647D83"/>
    <w:rsid w:val="0065079F"/>
    <w:rsid w:val="00650E0C"/>
    <w:rsid w:val="0065115D"/>
    <w:rsid w:val="00651815"/>
    <w:rsid w:val="00652A28"/>
    <w:rsid w:val="00652C21"/>
    <w:rsid w:val="00652F72"/>
    <w:rsid w:val="006531E5"/>
    <w:rsid w:val="006535AD"/>
    <w:rsid w:val="006536C4"/>
    <w:rsid w:val="0065379F"/>
    <w:rsid w:val="006537B3"/>
    <w:rsid w:val="00654008"/>
    <w:rsid w:val="006541A9"/>
    <w:rsid w:val="0065431D"/>
    <w:rsid w:val="006544B1"/>
    <w:rsid w:val="00654DF9"/>
    <w:rsid w:val="0065523F"/>
    <w:rsid w:val="00656188"/>
    <w:rsid w:val="0065715A"/>
    <w:rsid w:val="0066051A"/>
    <w:rsid w:val="00660534"/>
    <w:rsid w:val="00660CC8"/>
    <w:rsid w:val="006610F1"/>
    <w:rsid w:val="0066186F"/>
    <w:rsid w:val="00661B0C"/>
    <w:rsid w:val="00661C6B"/>
    <w:rsid w:val="00661D04"/>
    <w:rsid w:val="00662226"/>
    <w:rsid w:val="00662772"/>
    <w:rsid w:val="00662D3E"/>
    <w:rsid w:val="00663CAC"/>
    <w:rsid w:val="006641FE"/>
    <w:rsid w:val="00664B87"/>
    <w:rsid w:val="00664BA7"/>
    <w:rsid w:val="00665564"/>
    <w:rsid w:val="0066612C"/>
    <w:rsid w:val="0066624F"/>
    <w:rsid w:val="00666A1F"/>
    <w:rsid w:val="006678FA"/>
    <w:rsid w:val="006679C0"/>
    <w:rsid w:val="00667BE3"/>
    <w:rsid w:val="00670406"/>
    <w:rsid w:val="00670616"/>
    <w:rsid w:val="00670CB8"/>
    <w:rsid w:val="00671004"/>
    <w:rsid w:val="0067152F"/>
    <w:rsid w:val="006715A4"/>
    <w:rsid w:val="00672262"/>
    <w:rsid w:val="0067232E"/>
    <w:rsid w:val="00672646"/>
    <w:rsid w:val="006728C0"/>
    <w:rsid w:val="00672AC9"/>
    <w:rsid w:val="00672C43"/>
    <w:rsid w:val="00673E23"/>
    <w:rsid w:val="0067428F"/>
    <w:rsid w:val="006746CA"/>
    <w:rsid w:val="006747FE"/>
    <w:rsid w:val="006748CC"/>
    <w:rsid w:val="00674B0F"/>
    <w:rsid w:val="00674E42"/>
    <w:rsid w:val="0067529E"/>
    <w:rsid w:val="0067530C"/>
    <w:rsid w:val="006753DB"/>
    <w:rsid w:val="0067540A"/>
    <w:rsid w:val="00675A4B"/>
    <w:rsid w:val="00675DB1"/>
    <w:rsid w:val="00675EE8"/>
    <w:rsid w:val="0067606B"/>
    <w:rsid w:val="00676563"/>
    <w:rsid w:val="00676B5A"/>
    <w:rsid w:val="00677531"/>
    <w:rsid w:val="0068099B"/>
    <w:rsid w:val="00680ACA"/>
    <w:rsid w:val="00680CD0"/>
    <w:rsid w:val="00680E7A"/>
    <w:rsid w:val="00681284"/>
    <w:rsid w:val="006813F8"/>
    <w:rsid w:val="0068180A"/>
    <w:rsid w:val="00682112"/>
    <w:rsid w:val="0068211C"/>
    <w:rsid w:val="0068278B"/>
    <w:rsid w:val="00682BA6"/>
    <w:rsid w:val="0068300E"/>
    <w:rsid w:val="00683349"/>
    <w:rsid w:val="00683935"/>
    <w:rsid w:val="00683A7A"/>
    <w:rsid w:val="006845A4"/>
    <w:rsid w:val="00684F7A"/>
    <w:rsid w:val="00685272"/>
    <w:rsid w:val="00685451"/>
    <w:rsid w:val="00685A74"/>
    <w:rsid w:val="00686957"/>
    <w:rsid w:val="00686E57"/>
    <w:rsid w:val="006872BA"/>
    <w:rsid w:val="006875BB"/>
    <w:rsid w:val="0068777B"/>
    <w:rsid w:val="00690142"/>
    <w:rsid w:val="00690795"/>
    <w:rsid w:val="00691648"/>
    <w:rsid w:val="00691743"/>
    <w:rsid w:val="006917D7"/>
    <w:rsid w:val="00691AEE"/>
    <w:rsid w:val="00692081"/>
    <w:rsid w:val="0069278C"/>
    <w:rsid w:val="00693456"/>
    <w:rsid w:val="00693B54"/>
    <w:rsid w:val="006940B2"/>
    <w:rsid w:val="0069434C"/>
    <w:rsid w:val="00694F44"/>
    <w:rsid w:val="00695421"/>
    <w:rsid w:val="00695DAC"/>
    <w:rsid w:val="00695E00"/>
    <w:rsid w:val="00696302"/>
    <w:rsid w:val="00696653"/>
    <w:rsid w:val="00696EF9"/>
    <w:rsid w:val="00696F51"/>
    <w:rsid w:val="00696F7F"/>
    <w:rsid w:val="00697560"/>
    <w:rsid w:val="006979A5"/>
    <w:rsid w:val="006A016F"/>
    <w:rsid w:val="006A052D"/>
    <w:rsid w:val="006A060F"/>
    <w:rsid w:val="006A07C8"/>
    <w:rsid w:val="006A0B9A"/>
    <w:rsid w:val="006A0DF7"/>
    <w:rsid w:val="006A1378"/>
    <w:rsid w:val="006A211E"/>
    <w:rsid w:val="006A31B8"/>
    <w:rsid w:val="006A3570"/>
    <w:rsid w:val="006A3655"/>
    <w:rsid w:val="006A3787"/>
    <w:rsid w:val="006A3E1A"/>
    <w:rsid w:val="006A4321"/>
    <w:rsid w:val="006A43D9"/>
    <w:rsid w:val="006A4C84"/>
    <w:rsid w:val="006A5506"/>
    <w:rsid w:val="006A577B"/>
    <w:rsid w:val="006A57A2"/>
    <w:rsid w:val="006A633B"/>
    <w:rsid w:val="006A6745"/>
    <w:rsid w:val="006A6B99"/>
    <w:rsid w:val="006A6BC8"/>
    <w:rsid w:val="006A6BFE"/>
    <w:rsid w:val="006A6EE3"/>
    <w:rsid w:val="006A71BB"/>
    <w:rsid w:val="006A7E5F"/>
    <w:rsid w:val="006B0253"/>
    <w:rsid w:val="006B08E9"/>
    <w:rsid w:val="006B1202"/>
    <w:rsid w:val="006B1B1C"/>
    <w:rsid w:val="006B261B"/>
    <w:rsid w:val="006B2BEE"/>
    <w:rsid w:val="006B2C90"/>
    <w:rsid w:val="006B2CF6"/>
    <w:rsid w:val="006B35AA"/>
    <w:rsid w:val="006B35E6"/>
    <w:rsid w:val="006B393B"/>
    <w:rsid w:val="006B465A"/>
    <w:rsid w:val="006B5A60"/>
    <w:rsid w:val="006B5CA4"/>
    <w:rsid w:val="006B63BD"/>
    <w:rsid w:val="006B64D6"/>
    <w:rsid w:val="006B6DD0"/>
    <w:rsid w:val="006B6F0E"/>
    <w:rsid w:val="006B6F23"/>
    <w:rsid w:val="006B6F4A"/>
    <w:rsid w:val="006B727E"/>
    <w:rsid w:val="006B7E2D"/>
    <w:rsid w:val="006C00AF"/>
    <w:rsid w:val="006C0399"/>
    <w:rsid w:val="006C0409"/>
    <w:rsid w:val="006C0A00"/>
    <w:rsid w:val="006C13C6"/>
    <w:rsid w:val="006C1BAF"/>
    <w:rsid w:val="006C1F99"/>
    <w:rsid w:val="006C2A8E"/>
    <w:rsid w:val="006C2E54"/>
    <w:rsid w:val="006C3255"/>
    <w:rsid w:val="006C3F26"/>
    <w:rsid w:val="006C40EF"/>
    <w:rsid w:val="006C421F"/>
    <w:rsid w:val="006C480F"/>
    <w:rsid w:val="006C4DC1"/>
    <w:rsid w:val="006C4DC3"/>
    <w:rsid w:val="006C53FD"/>
    <w:rsid w:val="006C5F31"/>
    <w:rsid w:val="006C5FBD"/>
    <w:rsid w:val="006C612B"/>
    <w:rsid w:val="006C617D"/>
    <w:rsid w:val="006C6D3A"/>
    <w:rsid w:val="006C78DD"/>
    <w:rsid w:val="006C7F49"/>
    <w:rsid w:val="006D0D17"/>
    <w:rsid w:val="006D10D1"/>
    <w:rsid w:val="006D1424"/>
    <w:rsid w:val="006D1801"/>
    <w:rsid w:val="006D2444"/>
    <w:rsid w:val="006D275D"/>
    <w:rsid w:val="006D289F"/>
    <w:rsid w:val="006D30B7"/>
    <w:rsid w:val="006D35D9"/>
    <w:rsid w:val="006D3C7D"/>
    <w:rsid w:val="006D3FF2"/>
    <w:rsid w:val="006D43C6"/>
    <w:rsid w:val="006D4659"/>
    <w:rsid w:val="006D46AC"/>
    <w:rsid w:val="006D4925"/>
    <w:rsid w:val="006D4A23"/>
    <w:rsid w:val="006D5556"/>
    <w:rsid w:val="006D577D"/>
    <w:rsid w:val="006D5A83"/>
    <w:rsid w:val="006D5AC9"/>
    <w:rsid w:val="006D5D5F"/>
    <w:rsid w:val="006D5E31"/>
    <w:rsid w:val="006D62F1"/>
    <w:rsid w:val="006D656B"/>
    <w:rsid w:val="006D68FB"/>
    <w:rsid w:val="006D6C6D"/>
    <w:rsid w:val="006D736E"/>
    <w:rsid w:val="006E08F5"/>
    <w:rsid w:val="006E0B33"/>
    <w:rsid w:val="006E0CB8"/>
    <w:rsid w:val="006E2868"/>
    <w:rsid w:val="006E2D55"/>
    <w:rsid w:val="006E2EA5"/>
    <w:rsid w:val="006E3245"/>
    <w:rsid w:val="006E3301"/>
    <w:rsid w:val="006E3399"/>
    <w:rsid w:val="006E34E4"/>
    <w:rsid w:val="006E36D4"/>
    <w:rsid w:val="006E4BC0"/>
    <w:rsid w:val="006E5217"/>
    <w:rsid w:val="006E536D"/>
    <w:rsid w:val="006E55D2"/>
    <w:rsid w:val="006E56C1"/>
    <w:rsid w:val="006E5CEE"/>
    <w:rsid w:val="006E5F83"/>
    <w:rsid w:val="006E643B"/>
    <w:rsid w:val="006E6B3C"/>
    <w:rsid w:val="006E7127"/>
    <w:rsid w:val="006E7529"/>
    <w:rsid w:val="006E7A1B"/>
    <w:rsid w:val="006F0D24"/>
    <w:rsid w:val="006F1401"/>
    <w:rsid w:val="006F155D"/>
    <w:rsid w:val="006F17CF"/>
    <w:rsid w:val="006F19A4"/>
    <w:rsid w:val="006F1BFE"/>
    <w:rsid w:val="006F1DD4"/>
    <w:rsid w:val="006F2DE9"/>
    <w:rsid w:val="006F2E08"/>
    <w:rsid w:val="006F306C"/>
    <w:rsid w:val="006F34AC"/>
    <w:rsid w:val="006F36F5"/>
    <w:rsid w:val="006F387B"/>
    <w:rsid w:val="006F3B47"/>
    <w:rsid w:val="006F3B4D"/>
    <w:rsid w:val="006F445A"/>
    <w:rsid w:val="006F47FD"/>
    <w:rsid w:val="006F4F2E"/>
    <w:rsid w:val="006F4F45"/>
    <w:rsid w:val="006F63A5"/>
    <w:rsid w:val="006F66FD"/>
    <w:rsid w:val="006F6819"/>
    <w:rsid w:val="006F69B2"/>
    <w:rsid w:val="006F717F"/>
    <w:rsid w:val="006F71F4"/>
    <w:rsid w:val="006F76D1"/>
    <w:rsid w:val="006F7D4E"/>
    <w:rsid w:val="00700581"/>
    <w:rsid w:val="00700ABB"/>
    <w:rsid w:val="00700C00"/>
    <w:rsid w:val="00700C9F"/>
    <w:rsid w:val="00700CCE"/>
    <w:rsid w:val="0070142B"/>
    <w:rsid w:val="007014E9"/>
    <w:rsid w:val="00701FBD"/>
    <w:rsid w:val="00702264"/>
    <w:rsid w:val="0070276E"/>
    <w:rsid w:val="00702D06"/>
    <w:rsid w:val="00702D49"/>
    <w:rsid w:val="00702E3F"/>
    <w:rsid w:val="00702F8F"/>
    <w:rsid w:val="0070303A"/>
    <w:rsid w:val="00703467"/>
    <w:rsid w:val="0070367C"/>
    <w:rsid w:val="007045D1"/>
    <w:rsid w:val="00704743"/>
    <w:rsid w:val="00704EFA"/>
    <w:rsid w:val="00704FF5"/>
    <w:rsid w:val="007051BE"/>
    <w:rsid w:val="00705837"/>
    <w:rsid w:val="007058C3"/>
    <w:rsid w:val="00705EA5"/>
    <w:rsid w:val="007079FC"/>
    <w:rsid w:val="00707D59"/>
    <w:rsid w:val="00710360"/>
    <w:rsid w:val="00710496"/>
    <w:rsid w:val="0071057D"/>
    <w:rsid w:val="00710C07"/>
    <w:rsid w:val="00711893"/>
    <w:rsid w:val="00711A36"/>
    <w:rsid w:val="00711B89"/>
    <w:rsid w:val="00711BFD"/>
    <w:rsid w:val="00711FEA"/>
    <w:rsid w:val="007125D3"/>
    <w:rsid w:val="00712E01"/>
    <w:rsid w:val="00712E56"/>
    <w:rsid w:val="00713BD4"/>
    <w:rsid w:val="00714844"/>
    <w:rsid w:val="00714C26"/>
    <w:rsid w:val="0071529C"/>
    <w:rsid w:val="0071560F"/>
    <w:rsid w:val="00715663"/>
    <w:rsid w:val="00715DB0"/>
    <w:rsid w:val="007166D4"/>
    <w:rsid w:val="00716B82"/>
    <w:rsid w:val="007170DA"/>
    <w:rsid w:val="007172AD"/>
    <w:rsid w:val="00717546"/>
    <w:rsid w:val="00717A57"/>
    <w:rsid w:val="007200C7"/>
    <w:rsid w:val="00720801"/>
    <w:rsid w:val="0072098B"/>
    <w:rsid w:val="0072116B"/>
    <w:rsid w:val="00722B1B"/>
    <w:rsid w:val="00722C3D"/>
    <w:rsid w:val="00723780"/>
    <w:rsid w:val="007237E4"/>
    <w:rsid w:val="007237FF"/>
    <w:rsid w:val="007238DC"/>
    <w:rsid w:val="007239CB"/>
    <w:rsid w:val="0072416F"/>
    <w:rsid w:val="007249FF"/>
    <w:rsid w:val="00724C6D"/>
    <w:rsid w:val="00725DBC"/>
    <w:rsid w:val="00726200"/>
    <w:rsid w:val="007265F4"/>
    <w:rsid w:val="00726E7C"/>
    <w:rsid w:val="00727719"/>
    <w:rsid w:val="00727C94"/>
    <w:rsid w:val="007300E5"/>
    <w:rsid w:val="0073010F"/>
    <w:rsid w:val="00730739"/>
    <w:rsid w:val="00730EB0"/>
    <w:rsid w:val="007311A2"/>
    <w:rsid w:val="00731B0A"/>
    <w:rsid w:val="00731EAE"/>
    <w:rsid w:val="00732241"/>
    <w:rsid w:val="00732748"/>
    <w:rsid w:val="0073280B"/>
    <w:rsid w:val="00732F23"/>
    <w:rsid w:val="00733073"/>
    <w:rsid w:val="00733B06"/>
    <w:rsid w:val="00734071"/>
    <w:rsid w:val="007343D7"/>
    <w:rsid w:val="007348BA"/>
    <w:rsid w:val="00734C39"/>
    <w:rsid w:val="00734F71"/>
    <w:rsid w:val="00735033"/>
    <w:rsid w:val="00735328"/>
    <w:rsid w:val="0073571D"/>
    <w:rsid w:val="00735E04"/>
    <w:rsid w:val="00736169"/>
    <w:rsid w:val="0073685B"/>
    <w:rsid w:val="007379BE"/>
    <w:rsid w:val="00740771"/>
    <w:rsid w:val="00740C1E"/>
    <w:rsid w:val="00740C7C"/>
    <w:rsid w:val="00741442"/>
    <w:rsid w:val="00741DCA"/>
    <w:rsid w:val="007420E3"/>
    <w:rsid w:val="00742ADC"/>
    <w:rsid w:val="00742C5B"/>
    <w:rsid w:val="007433AC"/>
    <w:rsid w:val="0074347A"/>
    <w:rsid w:val="007438E8"/>
    <w:rsid w:val="00743D0A"/>
    <w:rsid w:val="00743EEE"/>
    <w:rsid w:val="00744900"/>
    <w:rsid w:val="007449BF"/>
    <w:rsid w:val="00745F20"/>
    <w:rsid w:val="00746249"/>
    <w:rsid w:val="007463FE"/>
    <w:rsid w:val="007468C0"/>
    <w:rsid w:val="00746B83"/>
    <w:rsid w:val="00746BC0"/>
    <w:rsid w:val="00746C10"/>
    <w:rsid w:val="0074723F"/>
    <w:rsid w:val="00747A42"/>
    <w:rsid w:val="00747B5C"/>
    <w:rsid w:val="007505CF"/>
    <w:rsid w:val="007510B4"/>
    <w:rsid w:val="00751F21"/>
    <w:rsid w:val="00752142"/>
    <w:rsid w:val="007521A4"/>
    <w:rsid w:val="007523F9"/>
    <w:rsid w:val="00752E51"/>
    <w:rsid w:val="00752F6E"/>
    <w:rsid w:val="007531BB"/>
    <w:rsid w:val="0075345D"/>
    <w:rsid w:val="0075357E"/>
    <w:rsid w:val="00753B03"/>
    <w:rsid w:val="00753B29"/>
    <w:rsid w:val="0075430A"/>
    <w:rsid w:val="0075442C"/>
    <w:rsid w:val="007546A9"/>
    <w:rsid w:val="00755807"/>
    <w:rsid w:val="0075644B"/>
    <w:rsid w:val="00756724"/>
    <w:rsid w:val="00756732"/>
    <w:rsid w:val="00756ED6"/>
    <w:rsid w:val="007570D5"/>
    <w:rsid w:val="007573E8"/>
    <w:rsid w:val="007578A0"/>
    <w:rsid w:val="00757BE5"/>
    <w:rsid w:val="00757D88"/>
    <w:rsid w:val="00757E71"/>
    <w:rsid w:val="00760306"/>
    <w:rsid w:val="007609EF"/>
    <w:rsid w:val="00760C4E"/>
    <w:rsid w:val="00760F9E"/>
    <w:rsid w:val="00761499"/>
    <w:rsid w:val="007614EF"/>
    <w:rsid w:val="007616E6"/>
    <w:rsid w:val="00761FCA"/>
    <w:rsid w:val="007624DD"/>
    <w:rsid w:val="007627BE"/>
    <w:rsid w:val="00762D9D"/>
    <w:rsid w:val="00763367"/>
    <w:rsid w:val="00763E62"/>
    <w:rsid w:val="00764162"/>
    <w:rsid w:val="007644E8"/>
    <w:rsid w:val="00764552"/>
    <w:rsid w:val="00764899"/>
    <w:rsid w:val="007648B8"/>
    <w:rsid w:val="00764F03"/>
    <w:rsid w:val="00765021"/>
    <w:rsid w:val="00765B1A"/>
    <w:rsid w:val="00765DC1"/>
    <w:rsid w:val="0076646D"/>
    <w:rsid w:val="00766C42"/>
    <w:rsid w:val="00766CDB"/>
    <w:rsid w:val="00767114"/>
    <w:rsid w:val="00767851"/>
    <w:rsid w:val="007679A9"/>
    <w:rsid w:val="00767C65"/>
    <w:rsid w:val="00767E80"/>
    <w:rsid w:val="007711E3"/>
    <w:rsid w:val="00771486"/>
    <w:rsid w:val="00771DD0"/>
    <w:rsid w:val="007721E5"/>
    <w:rsid w:val="007727A5"/>
    <w:rsid w:val="0077345B"/>
    <w:rsid w:val="007736DD"/>
    <w:rsid w:val="007742E0"/>
    <w:rsid w:val="00774622"/>
    <w:rsid w:val="00774AE9"/>
    <w:rsid w:val="00774FFC"/>
    <w:rsid w:val="0077502E"/>
    <w:rsid w:val="00775F6F"/>
    <w:rsid w:val="00775FBA"/>
    <w:rsid w:val="0077613B"/>
    <w:rsid w:val="0077630A"/>
    <w:rsid w:val="0077645D"/>
    <w:rsid w:val="00776A29"/>
    <w:rsid w:val="00776FF3"/>
    <w:rsid w:val="00777335"/>
    <w:rsid w:val="007777DB"/>
    <w:rsid w:val="00780379"/>
    <w:rsid w:val="007811BA"/>
    <w:rsid w:val="0078209D"/>
    <w:rsid w:val="007821EB"/>
    <w:rsid w:val="00783849"/>
    <w:rsid w:val="007840BB"/>
    <w:rsid w:val="007843F2"/>
    <w:rsid w:val="007846FA"/>
    <w:rsid w:val="00784A78"/>
    <w:rsid w:val="00784BDB"/>
    <w:rsid w:val="00785743"/>
    <w:rsid w:val="00785A9F"/>
    <w:rsid w:val="00786395"/>
    <w:rsid w:val="00786DBB"/>
    <w:rsid w:val="00787AC7"/>
    <w:rsid w:val="00790EBA"/>
    <w:rsid w:val="00791D35"/>
    <w:rsid w:val="007921FA"/>
    <w:rsid w:val="007925DF"/>
    <w:rsid w:val="00792603"/>
    <w:rsid w:val="00792F1E"/>
    <w:rsid w:val="00793150"/>
    <w:rsid w:val="00793887"/>
    <w:rsid w:val="00793D98"/>
    <w:rsid w:val="00794100"/>
    <w:rsid w:val="00794B41"/>
    <w:rsid w:val="00794E55"/>
    <w:rsid w:val="00794E5E"/>
    <w:rsid w:val="00796233"/>
    <w:rsid w:val="007972AA"/>
    <w:rsid w:val="00797824"/>
    <w:rsid w:val="00797AB0"/>
    <w:rsid w:val="007A03BF"/>
    <w:rsid w:val="007A066F"/>
    <w:rsid w:val="007A08AA"/>
    <w:rsid w:val="007A0A12"/>
    <w:rsid w:val="007A0AF6"/>
    <w:rsid w:val="007A0DCA"/>
    <w:rsid w:val="007A0F6B"/>
    <w:rsid w:val="007A132D"/>
    <w:rsid w:val="007A1345"/>
    <w:rsid w:val="007A1463"/>
    <w:rsid w:val="007A1A7E"/>
    <w:rsid w:val="007A1AEA"/>
    <w:rsid w:val="007A2CA3"/>
    <w:rsid w:val="007A2DDB"/>
    <w:rsid w:val="007A2E40"/>
    <w:rsid w:val="007A3368"/>
    <w:rsid w:val="007A33B9"/>
    <w:rsid w:val="007A3AE1"/>
    <w:rsid w:val="007A3D60"/>
    <w:rsid w:val="007A41A3"/>
    <w:rsid w:val="007A46D2"/>
    <w:rsid w:val="007A486D"/>
    <w:rsid w:val="007A52EE"/>
    <w:rsid w:val="007A58C8"/>
    <w:rsid w:val="007A6298"/>
    <w:rsid w:val="007A6841"/>
    <w:rsid w:val="007A69A0"/>
    <w:rsid w:val="007A6D23"/>
    <w:rsid w:val="007A6E29"/>
    <w:rsid w:val="007A7057"/>
    <w:rsid w:val="007A70BA"/>
    <w:rsid w:val="007A76FE"/>
    <w:rsid w:val="007B0235"/>
    <w:rsid w:val="007B0C9C"/>
    <w:rsid w:val="007B0D68"/>
    <w:rsid w:val="007B119F"/>
    <w:rsid w:val="007B165E"/>
    <w:rsid w:val="007B1B06"/>
    <w:rsid w:val="007B1E1B"/>
    <w:rsid w:val="007B2055"/>
    <w:rsid w:val="007B233A"/>
    <w:rsid w:val="007B251D"/>
    <w:rsid w:val="007B2CB0"/>
    <w:rsid w:val="007B3269"/>
    <w:rsid w:val="007B3533"/>
    <w:rsid w:val="007B3780"/>
    <w:rsid w:val="007B3A90"/>
    <w:rsid w:val="007B4F58"/>
    <w:rsid w:val="007B4FCC"/>
    <w:rsid w:val="007B50DD"/>
    <w:rsid w:val="007B528D"/>
    <w:rsid w:val="007B5962"/>
    <w:rsid w:val="007B63CA"/>
    <w:rsid w:val="007B64A7"/>
    <w:rsid w:val="007B7653"/>
    <w:rsid w:val="007B7674"/>
    <w:rsid w:val="007B77D1"/>
    <w:rsid w:val="007B78BE"/>
    <w:rsid w:val="007C007B"/>
    <w:rsid w:val="007C07C7"/>
    <w:rsid w:val="007C082F"/>
    <w:rsid w:val="007C125B"/>
    <w:rsid w:val="007C14FA"/>
    <w:rsid w:val="007C1CD9"/>
    <w:rsid w:val="007C24B8"/>
    <w:rsid w:val="007C32EF"/>
    <w:rsid w:val="007C33DB"/>
    <w:rsid w:val="007C33DE"/>
    <w:rsid w:val="007C361D"/>
    <w:rsid w:val="007C3743"/>
    <w:rsid w:val="007C3F07"/>
    <w:rsid w:val="007C43B1"/>
    <w:rsid w:val="007C4710"/>
    <w:rsid w:val="007C486E"/>
    <w:rsid w:val="007C4995"/>
    <w:rsid w:val="007C4B84"/>
    <w:rsid w:val="007C4CC4"/>
    <w:rsid w:val="007C5160"/>
    <w:rsid w:val="007C5A76"/>
    <w:rsid w:val="007C5B0D"/>
    <w:rsid w:val="007C5D51"/>
    <w:rsid w:val="007C6083"/>
    <w:rsid w:val="007C649D"/>
    <w:rsid w:val="007C6731"/>
    <w:rsid w:val="007C6C01"/>
    <w:rsid w:val="007C6E32"/>
    <w:rsid w:val="007C6F1E"/>
    <w:rsid w:val="007C70FF"/>
    <w:rsid w:val="007C71C5"/>
    <w:rsid w:val="007C744B"/>
    <w:rsid w:val="007C769E"/>
    <w:rsid w:val="007C7BE4"/>
    <w:rsid w:val="007C7C25"/>
    <w:rsid w:val="007D004F"/>
    <w:rsid w:val="007D0229"/>
    <w:rsid w:val="007D030D"/>
    <w:rsid w:val="007D035F"/>
    <w:rsid w:val="007D06B2"/>
    <w:rsid w:val="007D0B38"/>
    <w:rsid w:val="007D17D9"/>
    <w:rsid w:val="007D1BCC"/>
    <w:rsid w:val="007D1D81"/>
    <w:rsid w:val="007D1DE7"/>
    <w:rsid w:val="007D22E2"/>
    <w:rsid w:val="007D29AD"/>
    <w:rsid w:val="007D2E06"/>
    <w:rsid w:val="007D334B"/>
    <w:rsid w:val="007D3FA1"/>
    <w:rsid w:val="007D4176"/>
    <w:rsid w:val="007D4494"/>
    <w:rsid w:val="007D4B9E"/>
    <w:rsid w:val="007D4C61"/>
    <w:rsid w:val="007D4D23"/>
    <w:rsid w:val="007D5440"/>
    <w:rsid w:val="007D5C08"/>
    <w:rsid w:val="007D5C70"/>
    <w:rsid w:val="007D5DAD"/>
    <w:rsid w:val="007D649B"/>
    <w:rsid w:val="007D65DC"/>
    <w:rsid w:val="007D69EB"/>
    <w:rsid w:val="007D6AEB"/>
    <w:rsid w:val="007D6E9D"/>
    <w:rsid w:val="007D723C"/>
    <w:rsid w:val="007D7BA4"/>
    <w:rsid w:val="007E0724"/>
    <w:rsid w:val="007E09FE"/>
    <w:rsid w:val="007E128F"/>
    <w:rsid w:val="007E1B13"/>
    <w:rsid w:val="007E20EE"/>
    <w:rsid w:val="007E20F4"/>
    <w:rsid w:val="007E2187"/>
    <w:rsid w:val="007E234F"/>
    <w:rsid w:val="007E2B3E"/>
    <w:rsid w:val="007E2D19"/>
    <w:rsid w:val="007E2D9F"/>
    <w:rsid w:val="007E3777"/>
    <w:rsid w:val="007E3878"/>
    <w:rsid w:val="007E3D04"/>
    <w:rsid w:val="007E4B24"/>
    <w:rsid w:val="007E5013"/>
    <w:rsid w:val="007E5255"/>
    <w:rsid w:val="007E56B2"/>
    <w:rsid w:val="007E5938"/>
    <w:rsid w:val="007E5E5B"/>
    <w:rsid w:val="007E64A6"/>
    <w:rsid w:val="007E657F"/>
    <w:rsid w:val="007E73B7"/>
    <w:rsid w:val="007E7474"/>
    <w:rsid w:val="007E77F5"/>
    <w:rsid w:val="007E7C78"/>
    <w:rsid w:val="007F0D55"/>
    <w:rsid w:val="007F1017"/>
    <w:rsid w:val="007F1311"/>
    <w:rsid w:val="007F19BA"/>
    <w:rsid w:val="007F1AF2"/>
    <w:rsid w:val="007F1C6E"/>
    <w:rsid w:val="007F21AA"/>
    <w:rsid w:val="007F25F3"/>
    <w:rsid w:val="007F30DF"/>
    <w:rsid w:val="007F31F0"/>
    <w:rsid w:val="007F36FA"/>
    <w:rsid w:val="007F3E37"/>
    <w:rsid w:val="007F4425"/>
    <w:rsid w:val="007F46A9"/>
    <w:rsid w:val="007F46BA"/>
    <w:rsid w:val="007F4A3F"/>
    <w:rsid w:val="007F4A61"/>
    <w:rsid w:val="007F5255"/>
    <w:rsid w:val="007F56CC"/>
    <w:rsid w:val="007F56D1"/>
    <w:rsid w:val="007F6013"/>
    <w:rsid w:val="007F6022"/>
    <w:rsid w:val="007F61C2"/>
    <w:rsid w:val="007F6C9D"/>
    <w:rsid w:val="007F7148"/>
    <w:rsid w:val="007F755F"/>
    <w:rsid w:val="007F7732"/>
    <w:rsid w:val="007F7748"/>
    <w:rsid w:val="0080074A"/>
    <w:rsid w:val="0080187B"/>
    <w:rsid w:val="008019C2"/>
    <w:rsid w:val="00802486"/>
    <w:rsid w:val="008025D2"/>
    <w:rsid w:val="00802A91"/>
    <w:rsid w:val="00802E12"/>
    <w:rsid w:val="00802F3D"/>
    <w:rsid w:val="0080331B"/>
    <w:rsid w:val="0080356E"/>
    <w:rsid w:val="00805142"/>
    <w:rsid w:val="0080566B"/>
    <w:rsid w:val="00805BC9"/>
    <w:rsid w:val="00805FCE"/>
    <w:rsid w:val="008064AA"/>
    <w:rsid w:val="00806AE4"/>
    <w:rsid w:val="00806CA3"/>
    <w:rsid w:val="00806EB2"/>
    <w:rsid w:val="008070C3"/>
    <w:rsid w:val="00807A8B"/>
    <w:rsid w:val="00807C17"/>
    <w:rsid w:val="00810AEA"/>
    <w:rsid w:val="00811383"/>
    <w:rsid w:val="00811596"/>
    <w:rsid w:val="00811768"/>
    <w:rsid w:val="008120A5"/>
    <w:rsid w:val="00812149"/>
    <w:rsid w:val="00812A67"/>
    <w:rsid w:val="00812C8F"/>
    <w:rsid w:val="00812CAC"/>
    <w:rsid w:val="008137C7"/>
    <w:rsid w:val="00813802"/>
    <w:rsid w:val="008142A8"/>
    <w:rsid w:val="00814958"/>
    <w:rsid w:val="00814FC1"/>
    <w:rsid w:val="00815291"/>
    <w:rsid w:val="00815643"/>
    <w:rsid w:val="00815AC5"/>
    <w:rsid w:val="00815FEE"/>
    <w:rsid w:val="00816361"/>
    <w:rsid w:val="0081662C"/>
    <w:rsid w:val="008166EF"/>
    <w:rsid w:val="00816DB4"/>
    <w:rsid w:val="00816F70"/>
    <w:rsid w:val="00816FEF"/>
    <w:rsid w:val="008173A8"/>
    <w:rsid w:val="00817A9D"/>
    <w:rsid w:val="00817B97"/>
    <w:rsid w:val="00817DC3"/>
    <w:rsid w:val="00817FD0"/>
    <w:rsid w:val="00820147"/>
    <w:rsid w:val="008201F0"/>
    <w:rsid w:val="0082037F"/>
    <w:rsid w:val="00820A8C"/>
    <w:rsid w:val="0082152A"/>
    <w:rsid w:val="008215FB"/>
    <w:rsid w:val="008220CC"/>
    <w:rsid w:val="00822506"/>
    <w:rsid w:val="0082291E"/>
    <w:rsid w:val="00823162"/>
    <w:rsid w:val="00823174"/>
    <w:rsid w:val="00824414"/>
    <w:rsid w:val="008244B7"/>
    <w:rsid w:val="00824967"/>
    <w:rsid w:val="00824AFD"/>
    <w:rsid w:val="008251DE"/>
    <w:rsid w:val="00825751"/>
    <w:rsid w:val="008259A6"/>
    <w:rsid w:val="008264EB"/>
    <w:rsid w:val="008268CE"/>
    <w:rsid w:val="00826BA1"/>
    <w:rsid w:val="00826C79"/>
    <w:rsid w:val="0082714E"/>
    <w:rsid w:val="00827200"/>
    <w:rsid w:val="00827B69"/>
    <w:rsid w:val="00827C23"/>
    <w:rsid w:val="00827D03"/>
    <w:rsid w:val="00827E71"/>
    <w:rsid w:val="00827FCC"/>
    <w:rsid w:val="008303EA"/>
    <w:rsid w:val="00830D08"/>
    <w:rsid w:val="00830FB5"/>
    <w:rsid w:val="008319E4"/>
    <w:rsid w:val="00831DDA"/>
    <w:rsid w:val="00832405"/>
    <w:rsid w:val="0083245A"/>
    <w:rsid w:val="00832494"/>
    <w:rsid w:val="00832A2B"/>
    <w:rsid w:val="00833B05"/>
    <w:rsid w:val="00833B4B"/>
    <w:rsid w:val="008344C1"/>
    <w:rsid w:val="00834801"/>
    <w:rsid w:val="0083482D"/>
    <w:rsid w:val="00834C1A"/>
    <w:rsid w:val="008362B4"/>
    <w:rsid w:val="008363F7"/>
    <w:rsid w:val="00836AAA"/>
    <w:rsid w:val="00836DF7"/>
    <w:rsid w:val="00836FCA"/>
    <w:rsid w:val="00840CA2"/>
    <w:rsid w:val="0084127D"/>
    <w:rsid w:val="00841950"/>
    <w:rsid w:val="0084199F"/>
    <w:rsid w:val="00841A77"/>
    <w:rsid w:val="00841EF1"/>
    <w:rsid w:val="0084243C"/>
    <w:rsid w:val="00842A40"/>
    <w:rsid w:val="008430F6"/>
    <w:rsid w:val="00843527"/>
    <w:rsid w:val="0084374F"/>
    <w:rsid w:val="00844285"/>
    <w:rsid w:val="00844A22"/>
    <w:rsid w:val="00845B28"/>
    <w:rsid w:val="008466BA"/>
    <w:rsid w:val="0084722C"/>
    <w:rsid w:val="00847703"/>
    <w:rsid w:val="00847B46"/>
    <w:rsid w:val="00847CBD"/>
    <w:rsid w:val="00847DF5"/>
    <w:rsid w:val="00847F78"/>
    <w:rsid w:val="00850591"/>
    <w:rsid w:val="0085059D"/>
    <w:rsid w:val="008505C4"/>
    <w:rsid w:val="008508F3"/>
    <w:rsid w:val="00850DE7"/>
    <w:rsid w:val="00850EEB"/>
    <w:rsid w:val="00851011"/>
    <w:rsid w:val="00851622"/>
    <w:rsid w:val="00851661"/>
    <w:rsid w:val="00851755"/>
    <w:rsid w:val="0085191A"/>
    <w:rsid w:val="008529D1"/>
    <w:rsid w:val="00852A1A"/>
    <w:rsid w:val="0085309D"/>
    <w:rsid w:val="008536BD"/>
    <w:rsid w:val="00853CF5"/>
    <w:rsid w:val="00853E93"/>
    <w:rsid w:val="00854077"/>
    <w:rsid w:val="008545F4"/>
    <w:rsid w:val="008548BF"/>
    <w:rsid w:val="008548C8"/>
    <w:rsid w:val="0085507C"/>
    <w:rsid w:val="008561B5"/>
    <w:rsid w:val="0085624F"/>
    <w:rsid w:val="00856897"/>
    <w:rsid w:val="00856E9A"/>
    <w:rsid w:val="00860362"/>
    <w:rsid w:val="008603A2"/>
    <w:rsid w:val="0086075D"/>
    <w:rsid w:val="00860B2A"/>
    <w:rsid w:val="00860EC5"/>
    <w:rsid w:val="008610D9"/>
    <w:rsid w:val="00861F45"/>
    <w:rsid w:val="00862021"/>
    <w:rsid w:val="0086236D"/>
    <w:rsid w:val="00862502"/>
    <w:rsid w:val="008627CC"/>
    <w:rsid w:val="00862CC1"/>
    <w:rsid w:val="00862DFD"/>
    <w:rsid w:val="008637B8"/>
    <w:rsid w:val="00863874"/>
    <w:rsid w:val="00863DE9"/>
    <w:rsid w:val="008642A7"/>
    <w:rsid w:val="008644B7"/>
    <w:rsid w:val="0086462D"/>
    <w:rsid w:val="00864D55"/>
    <w:rsid w:val="00864F4A"/>
    <w:rsid w:val="0086502B"/>
    <w:rsid w:val="008660D4"/>
    <w:rsid w:val="00866179"/>
    <w:rsid w:val="008661D7"/>
    <w:rsid w:val="00867109"/>
    <w:rsid w:val="00867A9F"/>
    <w:rsid w:val="00867D19"/>
    <w:rsid w:val="008700DE"/>
    <w:rsid w:val="0087077B"/>
    <w:rsid w:val="00870AA9"/>
    <w:rsid w:val="00870D3B"/>
    <w:rsid w:val="00871780"/>
    <w:rsid w:val="00871AB7"/>
    <w:rsid w:val="00871FA9"/>
    <w:rsid w:val="00872033"/>
    <w:rsid w:val="00872321"/>
    <w:rsid w:val="008728E9"/>
    <w:rsid w:val="00872DF7"/>
    <w:rsid w:val="00872EAC"/>
    <w:rsid w:val="00873026"/>
    <w:rsid w:val="0087370D"/>
    <w:rsid w:val="00873739"/>
    <w:rsid w:val="0087420C"/>
    <w:rsid w:val="00874BF7"/>
    <w:rsid w:val="00874D45"/>
    <w:rsid w:val="0087519A"/>
    <w:rsid w:val="008751E1"/>
    <w:rsid w:val="0087546F"/>
    <w:rsid w:val="00875828"/>
    <w:rsid w:val="00875DD4"/>
    <w:rsid w:val="00876695"/>
    <w:rsid w:val="00876A7B"/>
    <w:rsid w:val="00876D0D"/>
    <w:rsid w:val="00877520"/>
    <w:rsid w:val="008775C7"/>
    <w:rsid w:val="008776C0"/>
    <w:rsid w:val="00880006"/>
    <w:rsid w:val="0088005C"/>
    <w:rsid w:val="0088033E"/>
    <w:rsid w:val="0088099F"/>
    <w:rsid w:val="00880C41"/>
    <w:rsid w:val="00881E59"/>
    <w:rsid w:val="00882874"/>
    <w:rsid w:val="00882E3C"/>
    <w:rsid w:val="0088308A"/>
    <w:rsid w:val="0088309C"/>
    <w:rsid w:val="00883113"/>
    <w:rsid w:val="00883497"/>
    <w:rsid w:val="008836D7"/>
    <w:rsid w:val="00883787"/>
    <w:rsid w:val="00883892"/>
    <w:rsid w:val="00883C2B"/>
    <w:rsid w:val="00884361"/>
    <w:rsid w:val="0088442C"/>
    <w:rsid w:val="00884823"/>
    <w:rsid w:val="008850F9"/>
    <w:rsid w:val="008855E4"/>
    <w:rsid w:val="00885FB2"/>
    <w:rsid w:val="00886CD2"/>
    <w:rsid w:val="0088729F"/>
    <w:rsid w:val="00887406"/>
    <w:rsid w:val="00887531"/>
    <w:rsid w:val="00887E26"/>
    <w:rsid w:val="0089074E"/>
    <w:rsid w:val="00890A9C"/>
    <w:rsid w:val="00891E6F"/>
    <w:rsid w:val="00891F89"/>
    <w:rsid w:val="008921B6"/>
    <w:rsid w:val="00892267"/>
    <w:rsid w:val="0089240D"/>
    <w:rsid w:val="00892587"/>
    <w:rsid w:val="0089275D"/>
    <w:rsid w:val="00892A36"/>
    <w:rsid w:val="00892D28"/>
    <w:rsid w:val="00893239"/>
    <w:rsid w:val="008936EE"/>
    <w:rsid w:val="00893C3C"/>
    <w:rsid w:val="00893FB9"/>
    <w:rsid w:val="0089420E"/>
    <w:rsid w:val="0089444F"/>
    <w:rsid w:val="00894489"/>
    <w:rsid w:val="00894CD6"/>
    <w:rsid w:val="0089505F"/>
    <w:rsid w:val="0089529B"/>
    <w:rsid w:val="008953A3"/>
    <w:rsid w:val="0089573F"/>
    <w:rsid w:val="008961CA"/>
    <w:rsid w:val="00896301"/>
    <w:rsid w:val="0089632F"/>
    <w:rsid w:val="008963A5"/>
    <w:rsid w:val="008966C5"/>
    <w:rsid w:val="00896861"/>
    <w:rsid w:val="00896D5D"/>
    <w:rsid w:val="008978FD"/>
    <w:rsid w:val="00897EF1"/>
    <w:rsid w:val="008A010A"/>
    <w:rsid w:val="008A097E"/>
    <w:rsid w:val="008A09A2"/>
    <w:rsid w:val="008A12C3"/>
    <w:rsid w:val="008A15CF"/>
    <w:rsid w:val="008A2271"/>
    <w:rsid w:val="008A28B3"/>
    <w:rsid w:val="008A2D4F"/>
    <w:rsid w:val="008A3158"/>
    <w:rsid w:val="008A3363"/>
    <w:rsid w:val="008A3371"/>
    <w:rsid w:val="008A3587"/>
    <w:rsid w:val="008A3798"/>
    <w:rsid w:val="008A3C3E"/>
    <w:rsid w:val="008A4DBC"/>
    <w:rsid w:val="008A54D9"/>
    <w:rsid w:val="008A56F1"/>
    <w:rsid w:val="008A590F"/>
    <w:rsid w:val="008A5BC8"/>
    <w:rsid w:val="008A6034"/>
    <w:rsid w:val="008A61F0"/>
    <w:rsid w:val="008A6840"/>
    <w:rsid w:val="008A79DE"/>
    <w:rsid w:val="008B0997"/>
    <w:rsid w:val="008B0DAA"/>
    <w:rsid w:val="008B114A"/>
    <w:rsid w:val="008B1350"/>
    <w:rsid w:val="008B1757"/>
    <w:rsid w:val="008B1C33"/>
    <w:rsid w:val="008B28B6"/>
    <w:rsid w:val="008B3BD2"/>
    <w:rsid w:val="008B3DDC"/>
    <w:rsid w:val="008B445B"/>
    <w:rsid w:val="008B4A7C"/>
    <w:rsid w:val="008B4B6F"/>
    <w:rsid w:val="008B4F55"/>
    <w:rsid w:val="008B543B"/>
    <w:rsid w:val="008B5B19"/>
    <w:rsid w:val="008B6633"/>
    <w:rsid w:val="008B6ADF"/>
    <w:rsid w:val="008B7992"/>
    <w:rsid w:val="008B7AF4"/>
    <w:rsid w:val="008B7D7E"/>
    <w:rsid w:val="008B7FD9"/>
    <w:rsid w:val="008B7FFB"/>
    <w:rsid w:val="008C01BE"/>
    <w:rsid w:val="008C0E16"/>
    <w:rsid w:val="008C0F9B"/>
    <w:rsid w:val="008C1319"/>
    <w:rsid w:val="008C17E1"/>
    <w:rsid w:val="008C1994"/>
    <w:rsid w:val="008C250E"/>
    <w:rsid w:val="008C3AD6"/>
    <w:rsid w:val="008C3B3C"/>
    <w:rsid w:val="008C415C"/>
    <w:rsid w:val="008C4740"/>
    <w:rsid w:val="008C4A10"/>
    <w:rsid w:val="008C4A9E"/>
    <w:rsid w:val="008C4FF5"/>
    <w:rsid w:val="008C51C9"/>
    <w:rsid w:val="008C5610"/>
    <w:rsid w:val="008C5739"/>
    <w:rsid w:val="008C5D36"/>
    <w:rsid w:val="008C64A0"/>
    <w:rsid w:val="008C659E"/>
    <w:rsid w:val="008C7213"/>
    <w:rsid w:val="008C7282"/>
    <w:rsid w:val="008C7388"/>
    <w:rsid w:val="008C78D2"/>
    <w:rsid w:val="008C7B04"/>
    <w:rsid w:val="008C7ECB"/>
    <w:rsid w:val="008D015D"/>
    <w:rsid w:val="008D05EF"/>
    <w:rsid w:val="008D0941"/>
    <w:rsid w:val="008D10C9"/>
    <w:rsid w:val="008D122D"/>
    <w:rsid w:val="008D1288"/>
    <w:rsid w:val="008D1CCA"/>
    <w:rsid w:val="008D25FE"/>
    <w:rsid w:val="008D2681"/>
    <w:rsid w:val="008D2C60"/>
    <w:rsid w:val="008D315B"/>
    <w:rsid w:val="008D375B"/>
    <w:rsid w:val="008D3857"/>
    <w:rsid w:val="008D3985"/>
    <w:rsid w:val="008D3B86"/>
    <w:rsid w:val="008D4366"/>
    <w:rsid w:val="008D43FD"/>
    <w:rsid w:val="008D4755"/>
    <w:rsid w:val="008D48EF"/>
    <w:rsid w:val="008D4A99"/>
    <w:rsid w:val="008D4C3D"/>
    <w:rsid w:val="008D4CA0"/>
    <w:rsid w:val="008D53EA"/>
    <w:rsid w:val="008D6223"/>
    <w:rsid w:val="008D63CE"/>
    <w:rsid w:val="008D6B12"/>
    <w:rsid w:val="008D6E23"/>
    <w:rsid w:val="008D71C2"/>
    <w:rsid w:val="008D743C"/>
    <w:rsid w:val="008D7D96"/>
    <w:rsid w:val="008E01A6"/>
    <w:rsid w:val="008E08C3"/>
    <w:rsid w:val="008E0B08"/>
    <w:rsid w:val="008E0D3C"/>
    <w:rsid w:val="008E120E"/>
    <w:rsid w:val="008E14AA"/>
    <w:rsid w:val="008E1B9E"/>
    <w:rsid w:val="008E1F2D"/>
    <w:rsid w:val="008E429C"/>
    <w:rsid w:val="008E42A9"/>
    <w:rsid w:val="008E517E"/>
    <w:rsid w:val="008E519D"/>
    <w:rsid w:val="008E53D3"/>
    <w:rsid w:val="008E55AB"/>
    <w:rsid w:val="008E5914"/>
    <w:rsid w:val="008E612B"/>
    <w:rsid w:val="008E638F"/>
    <w:rsid w:val="008E6C4A"/>
    <w:rsid w:val="008E6EA4"/>
    <w:rsid w:val="008E6ECB"/>
    <w:rsid w:val="008E721A"/>
    <w:rsid w:val="008F02A4"/>
    <w:rsid w:val="008F0A26"/>
    <w:rsid w:val="008F120A"/>
    <w:rsid w:val="008F1EA3"/>
    <w:rsid w:val="008F27E0"/>
    <w:rsid w:val="008F28AC"/>
    <w:rsid w:val="008F2AA3"/>
    <w:rsid w:val="008F2BAE"/>
    <w:rsid w:val="008F2C0A"/>
    <w:rsid w:val="008F30B7"/>
    <w:rsid w:val="008F366B"/>
    <w:rsid w:val="008F3B55"/>
    <w:rsid w:val="008F3F2F"/>
    <w:rsid w:val="008F48EB"/>
    <w:rsid w:val="008F4EA4"/>
    <w:rsid w:val="008F4F0B"/>
    <w:rsid w:val="008F591B"/>
    <w:rsid w:val="008F5F30"/>
    <w:rsid w:val="008F6D49"/>
    <w:rsid w:val="008F79D4"/>
    <w:rsid w:val="008F7B74"/>
    <w:rsid w:val="009004DA"/>
    <w:rsid w:val="009005BC"/>
    <w:rsid w:val="00900950"/>
    <w:rsid w:val="00900C06"/>
    <w:rsid w:val="00901E36"/>
    <w:rsid w:val="00902187"/>
    <w:rsid w:val="00902503"/>
    <w:rsid w:val="0090269B"/>
    <w:rsid w:val="009027B9"/>
    <w:rsid w:val="00902F8C"/>
    <w:rsid w:val="00903578"/>
    <w:rsid w:val="009039CB"/>
    <w:rsid w:val="009046C4"/>
    <w:rsid w:val="0090486D"/>
    <w:rsid w:val="00904875"/>
    <w:rsid w:val="00904A3B"/>
    <w:rsid w:val="00904E2F"/>
    <w:rsid w:val="00904F3F"/>
    <w:rsid w:val="00905066"/>
    <w:rsid w:val="009050C1"/>
    <w:rsid w:val="009051B4"/>
    <w:rsid w:val="00905303"/>
    <w:rsid w:val="00905736"/>
    <w:rsid w:val="009062A5"/>
    <w:rsid w:val="00906661"/>
    <w:rsid w:val="00906B57"/>
    <w:rsid w:val="00906C22"/>
    <w:rsid w:val="00906CB9"/>
    <w:rsid w:val="00906F56"/>
    <w:rsid w:val="009071DA"/>
    <w:rsid w:val="00907699"/>
    <w:rsid w:val="009078FC"/>
    <w:rsid w:val="0091012F"/>
    <w:rsid w:val="00910531"/>
    <w:rsid w:val="00910FA7"/>
    <w:rsid w:val="009111BD"/>
    <w:rsid w:val="00911272"/>
    <w:rsid w:val="00911339"/>
    <w:rsid w:val="00911A62"/>
    <w:rsid w:val="00911E56"/>
    <w:rsid w:val="00911F39"/>
    <w:rsid w:val="00912158"/>
    <w:rsid w:val="009123F4"/>
    <w:rsid w:val="009135D6"/>
    <w:rsid w:val="0091382A"/>
    <w:rsid w:val="009138B7"/>
    <w:rsid w:val="009138E7"/>
    <w:rsid w:val="00913D3C"/>
    <w:rsid w:val="00913EEB"/>
    <w:rsid w:val="0091408F"/>
    <w:rsid w:val="009140A5"/>
    <w:rsid w:val="0091449A"/>
    <w:rsid w:val="00914C77"/>
    <w:rsid w:val="00915237"/>
    <w:rsid w:val="009153AF"/>
    <w:rsid w:val="009157C3"/>
    <w:rsid w:val="00915FDA"/>
    <w:rsid w:val="00915FE8"/>
    <w:rsid w:val="00916537"/>
    <w:rsid w:val="0092018D"/>
    <w:rsid w:val="00920344"/>
    <w:rsid w:val="009207BC"/>
    <w:rsid w:val="00920C57"/>
    <w:rsid w:val="00921442"/>
    <w:rsid w:val="0092155A"/>
    <w:rsid w:val="009217EB"/>
    <w:rsid w:val="00921ACB"/>
    <w:rsid w:val="00921AE8"/>
    <w:rsid w:val="00921F45"/>
    <w:rsid w:val="0092224D"/>
    <w:rsid w:val="0092369B"/>
    <w:rsid w:val="00924371"/>
    <w:rsid w:val="009247F7"/>
    <w:rsid w:val="00925D10"/>
    <w:rsid w:val="00925FAB"/>
    <w:rsid w:val="00925FC9"/>
    <w:rsid w:val="0092624D"/>
    <w:rsid w:val="0092696B"/>
    <w:rsid w:val="00926C86"/>
    <w:rsid w:val="00926CD2"/>
    <w:rsid w:val="00927935"/>
    <w:rsid w:val="00931175"/>
    <w:rsid w:val="00931392"/>
    <w:rsid w:val="009318D3"/>
    <w:rsid w:val="009319B4"/>
    <w:rsid w:val="00931A73"/>
    <w:rsid w:val="0093227F"/>
    <w:rsid w:val="00932BA2"/>
    <w:rsid w:val="00932BBA"/>
    <w:rsid w:val="00932DAB"/>
    <w:rsid w:val="00933B4E"/>
    <w:rsid w:val="00934988"/>
    <w:rsid w:val="00934BDA"/>
    <w:rsid w:val="00934C85"/>
    <w:rsid w:val="00935B8F"/>
    <w:rsid w:val="00935F2F"/>
    <w:rsid w:val="00936F54"/>
    <w:rsid w:val="00936F72"/>
    <w:rsid w:val="00937003"/>
    <w:rsid w:val="00937089"/>
    <w:rsid w:val="009378E1"/>
    <w:rsid w:val="009379CC"/>
    <w:rsid w:val="00937C27"/>
    <w:rsid w:val="00937F9A"/>
    <w:rsid w:val="009400A0"/>
    <w:rsid w:val="00940E35"/>
    <w:rsid w:val="00940FAE"/>
    <w:rsid w:val="00941214"/>
    <w:rsid w:val="009414CA"/>
    <w:rsid w:val="00941C1D"/>
    <w:rsid w:val="0094225C"/>
    <w:rsid w:val="0094299D"/>
    <w:rsid w:val="00943255"/>
    <w:rsid w:val="00943375"/>
    <w:rsid w:val="009433FD"/>
    <w:rsid w:val="009440B4"/>
    <w:rsid w:val="00944F8A"/>
    <w:rsid w:val="009455E6"/>
    <w:rsid w:val="00945B1B"/>
    <w:rsid w:val="009463FF"/>
    <w:rsid w:val="009467FD"/>
    <w:rsid w:val="00946B31"/>
    <w:rsid w:val="00946BD7"/>
    <w:rsid w:val="0094781D"/>
    <w:rsid w:val="00947F41"/>
    <w:rsid w:val="00950DFF"/>
    <w:rsid w:val="00950F04"/>
    <w:rsid w:val="009510A2"/>
    <w:rsid w:val="00951526"/>
    <w:rsid w:val="00952A5A"/>
    <w:rsid w:val="00953257"/>
    <w:rsid w:val="00953682"/>
    <w:rsid w:val="009538D6"/>
    <w:rsid w:val="00953BAB"/>
    <w:rsid w:val="0095474C"/>
    <w:rsid w:val="00956344"/>
    <w:rsid w:val="00956E57"/>
    <w:rsid w:val="009573F2"/>
    <w:rsid w:val="00957D08"/>
    <w:rsid w:val="00957D92"/>
    <w:rsid w:val="00960506"/>
    <w:rsid w:val="00960919"/>
    <w:rsid w:val="00960A08"/>
    <w:rsid w:val="00961569"/>
    <w:rsid w:val="009619D7"/>
    <w:rsid w:val="00961D46"/>
    <w:rsid w:val="00962CB9"/>
    <w:rsid w:val="00963038"/>
    <w:rsid w:val="009635D9"/>
    <w:rsid w:val="0096373E"/>
    <w:rsid w:val="00964312"/>
    <w:rsid w:val="009652BA"/>
    <w:rsid w:val="0096535F"/>
    <w:rsid w:val="009655C9"/>
    <w:rsid w:val="00965B8A"/>
    <w:rsid w:val="009664A2"/>
    <w:rsid w:val="00966CDD"/>
    <w:rsid w:val="0096771F"/>
    <w:rsid w:val="0096784B"/>
    <w:rsid w:val="0096786C"/>
    <w:rsid w:val="00967904"/>
    <w:rsid w:val="00967D52"/>
    <w:rsid w:val="0097036D"/>
    <w:rsid w:val="0097071F"/>
    <w:rsid w:val="009717AC"/>
    <w:rsid w:val="0097181A"/>
    <w:rsid w:val="00971BC2"/>
    <w:rsid w:val="00972095"/>
    <w:rsid w:val="00972103"/>
    <w:rsid w:val="009729E9"/>
    <w:rsid w:val="00972C74"/>
    <w:rsid w:val="0097327C"/>
    <w:rsid w:val="00973C67"/>
    <w:rsid w:val="00974503"/>
    <w:rsid w:val="0097497E"/>
    <w:rsid w:val="00974FAB"/>
    <w:rsid w:val="009751C1"/>
    <w:rsid w:val="0097538F"/>
    <w:rsid w:val="009754F6"/>
    <w:rsid w:val="00975CBC"/>
    <w:rsid w:val="00975DC4"/>
    <w:rsid w:val="0097602D"/>
    <w:rsid w:val="00976632"/>
    <w:rsid w:val="00976656"/>
    <w:rsid w:val="009768DB"/>
    <w:rsid w:val="00976B71"/>
    <w:rsid w:val="009772E0"/>
    <w:rsid w:val="00977C78"/>
    <w:rsid w:val="00980D7D"/>
    <w:rsid w:val="009811F1"/>
    <w:rsid w:val="00981C54"/>
    <w:rsid w:val="00981E7B"/>
    <w:rsid w:val="00982336"/>
    <w:rsid w:val="00982493"/>
    <w:rsid w:val="0098262F"/>
    <w:rsid w:val="0098287D"/>
    <w:rsid w:val="0098299E"/>
    <w:rsid w:val="009835C0"/>
    <w:rsid w:val="00983E57"/>
    <w:rsid w:val="00984D10"/>
    <w:rsid w:val="00984E37"/>
    <w:rsid w:val="009851AF"/>
    <w:rsid w:val="00985805"/>
    <w:rsid w:val="00985A05"/>
    <w:rsid w:val="00985B9B"/>
    <w:rsid w:val="00985DE2"/>
    <w:rsid w:val="00985DE6"/>
    <w:rsid w:val="0098675D"/>
    <w:rsid w:val="0098697E"/>
    <w:rsid w:val="00986CC2"/>
    <w:rsid w:val="00987092"/>
    <w:rsid w:val="009876EA"/>
    <w:rsid w:val="009878DD"/>
    <w:rsid w:val="00987BA4"/>
    <w:rsid w:val="00987EBC"/>
    <w:rsid w:val="009907C9"/>
    <w:rsid w:val="0099164E"/>
    <w:rsid w:val="009916ED"/>
    <w:rsid w:val="00991EB5"/>
    <w:rsid w:val="00991F03"/>
    <w:rsid w:val="00992080"/>
    <w:rsid w:val="009921B2"/>
    <w:rsid w:val="00992629"/>
    <w:rsid w:val="009926E0"/>
    <w:rsid w:val="00992B1B"/>
    <w:rsid w:val="0099451E"/>
    <w:rsid w:val="009945CC"/>
    <w:rsid w:val="0099494B"/>
    <w:rsid w:val="00994EE1"/>
    <w:rsid w:val="00995595"/>
    <w:rsid w:val="009955C3"/>
    <w:rsid w:val="009955FD"/>
    <w:rsid w:val="009956DF"/>
    <w:rsid w:val="00995E3B"/>
    <w:rsid w:val="00996487"/>
    <w:rsid w:val="00996B1A"/>
    <w:rsid w:val="00997421"/>
    <w:rsid w:val="009A014A"/>
    <w:rsid w:val="009A03E2"/>
    <w:rsid w:val="009A0A00"/>
    <w:rsid w:val="009A1424"/>
    <w:rsid w:val="009A18F6"/>
    <w:rsid w:val="009A1D0E"/>
    <w:rsid w:val="009A24C6"/>
    <w:rsid w:val="009A2DCC"/>
    <w:rsid w:val="009A345F"/>
    <w:rsid w:val="009A35C6"/>
    <w:rsid w:val="009A4506"/>
    <w:rsid w:val="009A4EE2"/>
    <w:rsid w:val="009A5290"/>
    <w:rsid w:val="009A53D2"/>
    <w:rsid w:val="009A5ABC"/>
    <w:rsid w:val="009A6855"/>
    <w:rsid w:val="009A7F10"/>
    <w:rsid w:val="009A7F16"/>
    <w:rsid w:val="009B0332"/>
    <w:rsid w:val="009B03A3"/>
    <w:rsid w:val="009B0761"/>
    <w:rsid w:val="009B0FA5"/>
    <w:rsid w:val="009B1951"/>
    <w:rsid w:val="009B1EB2"/>
    <w:rsid w:val="009B3D30"/>
    <w:rsid w:val="009B3E26"/>
    <w:rsid w:val="009B46ED"/>
    <w:rsid w:val="009B4744"/>
    <w:rsid w:val="009B604D"/>
    <w:rsid w:val="009B6BF4"/>
    <w:rsid w:val="009B6E51"/>
    <w:rsid w:val="009B7219"/>
    <w:rsid w:val="009B729D"/>
    <w:rsid w:val="009B7645"/>
    <w:rsid w:val="009B79CE"/>
    <w:rsid w:val="009B7D3F"/>
    <w:rsid w:val="009C001F"/>
    <w:rsid w:val="009C04FA"/>
    <w:rsid w:val="009C0BA3"/>
    <w:rsid w:val="009C111A"/>
    <w:rsid w:val="009C1271"/>
    <w:rsid w:val="009C15B1"/>
    <w:rsid w:val="009C15EC"/>
    <w:rsid w:val="009C1BA7"/>
    <w:rsid w:val="009C29B9"/>
    <w:rsid w:val="009C3085"/>
    <w:rsid w:val="009C3706"/>
    <w:rsid w:val="009C3708"/>
    <w:rsid w:val="009C3A3A"/>
    <w:rsid w:val="009C3D8C"/>
    <w:rsid w:val="009C426B"/>
    <w:rsid w:val="009C4291"/>
    <w:rsid w:val="009C4673"/>
    <w:rsid w:val="009C46B9"/>
    <w:rsid w:val="009C4998"/>
    <w:rsid w:val="009C50AD"/>
    <w:rsid w:val="009C5DD3"/>
    <w:rsid w:val="009C65D8"/>
    <w:rsid w:val="009C6CEA"/>
    <w:rsid w:val="009C71C6"/>
    <w:rsid w:val="009C7627"/>
    <w:rsid w:val="009C792C"/>
    <w:rsid w:val="009C7AAC"/>
    <w:rsid w:val="009C7B85"/>
    <w:rsid w:val="009C7BE1"/>
    <w:rsid w:val="009D0214"/>
    <w:rsid w:val="009D0254"/>
    <w:rsid w:val="009D0BF3"/>
    <w:rsid w:val="009D1A64"/>
    <w:rsid w:val="009D1C8C"/>
    <w:rsid w:val="009D2479"/>
    <w:rsid w:val="009D2767"/>
    <w:rsid w:val="009D29CF"/>
    <w:rsid w:val="009D2A3B"/>
    <w:rsid w:val="009D476F"/>
    <w:rsid w:val="009D4BC3"/>
    <w:rsid w:val="009D4EC9"/>
    <w:rsid w:val="009D51E3"/>
    <w:rsid w:val="009D54C1"/>
    <w:rsid w:val="009D5B91"/>
    <w:rsid w:val="009D6362"/>
    <w:rsid w:val="009D6D35"/>
    <w:rsid w:val="009D7212"/>
    <w:rsid w:val="009D792E"/>
    <w:rsid w:val="009E03DE"/>
    <w:rsid w:val="009E058B"/>
    <w:rsid w:val="009E0DFE"/>
    <w:rsid w:val="009E1A05"/>
    <w:rsid w:val="009E1D78"/>
    <w:rsid w:val="009E2DA7"/>
    <w:rsid w:val="009E31F6"/>
    <w:rsid w:val="009E33D0"/>
    <w:rsid w:val="009E3474"/>
    <w:rsid w:val="009E4C07"/>
    <w:rsid w:val="009E4EBF"/>
    <w:rsid w:val="009E65DB"/>
    <w:rsid w:val="009E67AF"/>
    <w:rsid w:val="009E69CF"/>
    <w:rsid w:val="009E6A80"/>
    <w:rsid w:val="009E6C04"/>
    <w:rsid w:val="009E7321"/>
    <w:rsid w:val="009E773B"/>
    <w:rsid w:val="009E7762"/>
    <w:rsid w:val="009E777F"/>
    <w:rsid w:val="009E7E4E"/>
    <w:rsid w:val="009E7F34"/>
    <w:rsid w:val="009F036E"/>
    <w:rsid w:val="009F098B"/>
    <w:rsid w:val="009F09A8"/>
    <w:rsid w:val="009F0B6D"/>
    <w:rsid w:val="009F0B77"/>
    <w:rsid w:val="009F1999"/>
    <w:rsid w:val="009F245B"/>
    <w:rsid w:val="009F2C2E"/>
    <w:rsid w:val="009F307E"/>
    <w:rsid w:val="009F3953"/>
    <w:rsid w:val="009F3F6E"/>
    <w:rsid w:val="009F44E7"/>
    <w:rsid w:val="009F4650"/>
    <w:rsid w:val="009F4985"/>
    <w:rsid w:val="009F4B13"/>
    <w:rsid w:val="009F5163"/>
    <w:rsid w:val="009F574A"/>
    <w:rsid w:val="009F5EF0"/>
    <w:rsid w:val="009F6120"/>
    <w:rsid w:val="009F64B9"/>
    <w:rsid w:val="009F693F"/>
    <w:rsid w:val="009F698B"/>
    <w:rsid w:val="009F6F64"/>
    <w:rsid w:val="009F75F1"/>
    <w:rsid w:val="009F78F1"/>
    <w:rsid w:val="00A00524"/>
    <w:rsid w:val="00A0069C"/>
    <w:rsid w:val="00A00D76"/>
    <w:rsid w:val="00A01184"/>
    <w:rsid w:val="00A01449"/>
    <w:rsid w:val="00A0212C"/>
    <w:rsid w:val="00A02AC1"/>
    <w:rsid w:val="00A02E24"/>
    <w:rsid w:val="00A02FEF"/>
    <w:rsid w:val="00A03514"/>
    <w:rsid w:val="00A035BA"/>
    <w:rsid w:val="00A037C2"/>
    <w:rsid w:val="00A03D43"/>
    <w:rsid w:val="00A03F55"/>
    <w:rsid w:val="00A04380"/>
    <w:rsid w:val="00A04786"/>
    <w:rsid w:val="00A047C1"/>
    <w:rsid w:val="00A04C4C"/>
    <w:rsid w:val="00A052F2"/>
    <w:rsid w:val="00A05472"/>
    <w:rsid w:val="00A0589C"/>
    <w:rsid w:val="00A05C32"/>
    <w:rsid w:val="00A05D6C"/>
    <w:rsid w:val="00A06284"/>
    <w:rsid w:val="00A064DA"/>
    <w:rsid w:val="00A0653F"/>
    <w:rsid w:val="00A06962"/>
    <w:rsid w:val="00A06D99"/>
    <w:rsid w:val="00A07220"/>
    <w:rsid w:val="00A07F04"/>
    <w:rsid w:val="00A1024D"/>
    <w:rsid w:val="00A106B0"/>
    <w:rsid w:val="00A106F1"/>
    <w:rsid w:val="00A10AE5"/>
    <w:rsid w:val="00A10BFC"/>
    <w:rsid w:val="00A11049"/>
    <w:rsid w:val="00A114ED"/>
    <w:rsid w:val="00A11BAF"/>
    <w:rsid w:val="00A11CD0"/>
    <w:rsid w:val="00A13015"/>
    <w:rsid w:val="00A1370F"/>
    <w:rsid w:val="00A13948"/>
    <w:rsid w:val="00A13AA8"/>
    <w:rsid w:val="00A14278"/>
    <w:rsid w:val="00A153A4"/>
    <w:rsid w:val="00A1555B"/>
    <w:rsid w:val="00A155B1"/>
    <w:rsid w:val="00A155C5"/>
    <w:rsid w:val="00A15F89"/>
    <w:rsid w:val="00A16938"/>
    <w:rsid w:val="00A16AD8"/>
    <w:rsid w:val="00A2021E"/>
    <w:rsid w:val="00A202BE"/>
    <w:rsid w:val="00A210E6"/>
    <w:rsid w:val="00A21BB9"/>
    <w:rsid w:val="00A21C95"/>
    <w:rsid w:val="00A21CF3"/>
    <w:rsid w:val="00A220EE"/>
    <w:rsid w:val="00A22599"/>
    <w:rsid w:val="00A229DB"/>
    <w:rsid w:val="00A22A89"/>
    <w:rsid w:val="00A22ABE"/>
    <w:rsid w:val="00A233D7"/>
    <w:rsid w:val="00A233E0"/>
    <w:rsid w:val="00A237B3"/>
    <w:rsid w:val="00A24813"/>
    <w:rsid w:val="00A24CAF"/>
    <w:rsid w:val="00A2537D"/>
    <w:rsid w:val="00A25BAE"/>
    <w:rsid w:val="00A25D37"/>
    <w:rsid w:val="00A25F8A"/>
    <w:rsid w:val="00A26335"/>
    <w:rsid w:val="00A2670E"/>
    <w:rsid w:val="00A27AEC"/>
    <w:rsid w:val="00A27DE3"/>
    <w:rsid w:val="00A30304"/>
    <w:rsid w:val="00A305EC"/>
    <w:rsid w:val="00A31713"/>
    <w:rsid w:val="00A31B86"/>
    <w:rsid w:val="00A320DB"/>
    <w:rsid w:val="00A331C4"/>
    <w:rsid w:val="00A34D04"/>
    <w:rsid w:val="00A34DD4"/>
    <w:rsid w:val="00A350BF"/>
    <w:rsid w:val="00A3559A"/>
    <w:rsid w:val="00A355FA"/>
    <w:rsid w:val="00A35B02"/>
    <w:rsid w:val="00A35BC6"/>
    <w:rsid w:val="00A35D16"/>
    <w:rsid w:val="00A361A5"/>
    <w:rsid w:val="00A37332"/>
    <w:rsid w:val="00A37BCD"/>
    <w:rsid w:val="00A37E88"/>
    <w:rsid w:val="00A40419"/>
    <w:rsid w:val="00A4149C"/>
    <w:rsid w:val="00A41689"/>
    <w:rsid w:val="00A41928"/>
    <w:rsid w:val="00A41B6F"/>
    <w:rsid w:val="00A42592"/>
    <w:rsid w:val="00A42BB7"/>
    <w:rsid w:val="00A435C8"/>
    <w:rsid w:val="00A43813"/>
    <w:rsid w:val="00A43B66"/>
    <w:rsid w:val="00A43C59"/>
    <w:rsid w:val="00A443E4"/>
    <w:rsid w:val="00A44581"/>
    <w:rsid w:val="00A44882"/>
    <w:rsid w:val="00A44C09"/>
    <w:rsid w:val="00A44E47"/>
    <w:rsid w:val="00A44F70"/>
    <w:rsid w:val="00A4583B"/>
    <w:rsid w:val="00A45D47"/>
    <w:rsid w:val="00A46563"/>
    <w:rsid w:val="00A46E3E"/>
    <w:rsid w:val="00A4708C"/>
    <w:rsid w:val="00A50723"/>
    <w:rsid w:val="00A50AF7"/>
    <w:rsid w:val="00A50B3B"/>
    <w:rsid w:val="00A50C28"/>
    <w:rsid w:val="00A50ECD"/>
    <w:rsid w:val="00A5131C"/>
    <w:rsid w:val="00A513F5"/>
    <w:rsid w:val="00A518F3"/>
    <w:rsid w:val="00A52729"/>
    <w:rsid w:val="00A528C4"/>
    <w:rsid w:val="00A52C43"/>
    <w:rsid w:val="00A53675"/>
    <w:rsid w:val="00A53C29"/>
    <w:rsid w:val="00A540B4"/>
    <w:rsid w:val="00A544BC"/>
    <w:rsid w:val="00A546AE"/>
    <w:rsid w:val="00A54A48"/>
    <w:rsid w:val="00A54C78"/>
    <w:rsid w:val="00A54F1F"/>
    <w:rsid w:val="00A551D5"/>
    <w:rsid w:val="00A552E1"/>
    <w:rsid w:val="00A55B2B"/>
    <w:rsid w:val="00A564D7"/>
    <w:rsid w:val="00A5654A"/>
    <w:rsid w:val="00A56580"/>
    <w:rsid w:val="00A568FD"/>
    <w:rsid w:val="00A56B6A"/>
    <w:rsid w:val="00A56DFD"/>
    <w:rsid w:val="00A578DC"/>
    <w:rsid w:val="00A60152"/>
    <w:rsid w:val="00A60236"/>
    <w:rsid w:val="00A603C3"/>
    <w:rsid w:val="00A60579"/>
    <w:rsid w:val="00A60796"/>
    <w:rsid w:val="00A60AEA"/>
    <w:rsid w:val="00A61077"/>
    <w:rsid w:val="00A610E7"/>
    <w:rsid w:val="00A61E4A"/>
    <w:rsid w:val="00A62061"/>
    <w:rsid w:val="00A62745"/>
    <w:rsid w:val="00A629C7"/>
    <w:rsid w:val="00A63424"/>
    <w:rsid w:val="00A63B06"/>
    <w:rsid w:val="00A640E2"/>
    <w:rsid w:val="00A64D65"/>
    <w:rsid w:val="00A65039"/>
    <w:rsid w:val="00A65154"/>
    <w:rsid w:val="00A65685"/>
    <w:rsid w:val="00A6570A"/>
    <w:rsid w:val="00A658E0"/>
    <w:rsid w:val="00A66020"/>
    <w:rsid w:val="00A66BF9"/>
    <w:rsid w:val="00A66D06"/>
    <w:rsid w:val="00A66E59"/>
    <w:rsid w:val="00A6725B"/>
    <w:rsid w:val="00A6743A"/>
    <w:rsid w:val="00A6749C"/>
    <w:rsid w:val="00A67931"/>
    <w:rsid w:val="00A70605"/>
    <w:rsid w:val="00A70613"/>
    <w:rsid w:val="00A7099E"/>
    <w:rsid w:val="00A71292"/>
    <w:rsid w:val="00A7129D"/>
    <w:rsid w:val="00A717E0"/>
    <w:rsid w:val="00A71E79"/>
    <w:rsid w:val="00A723AE"/>
    <w:rsid w:val="00A72571"/>
    <w:rsid w:val="00A72EF3"/>
    <w:rsid w:val="00A73134"/>
    <w:rsid w:val="00A7365A"/>
    <w:rsid w:val="00A74114"/>
    <w:rsid w:val="00A74359"/>
    <w:rsid w:val="00A7443F"/>
    <w:rsid w:val="00A74846"/>
    <w:rsid w:val="00A7541C"/>
    <w:rsid w:val="00A75E21"/>
    <w:rsid w:val="00A75E8A"/>
    <w:rsid w:val="00A76001"/>
    <w:rsid w:val="00A7718B"/>
    <w:rsid w:val="00A77740"/>
    <w:rsid w:val="00A777B2"/>
    <w:rsid w:val="00A81656"/>
    <w:rsid w:val="00A817E2"/>
    <w:rsid w:val="00A8195B"/>
    <w:rsid w:val="00A81ABC"/>
    <w:rsid w:val="00A81CD2"/>
    <w:rsid w:val="00A825D4"/>
    <w:rsid w:val="00A828F6"/>
    <w:rsid w:val="00A82A6C"/>
    <w:rsid w:val="00A82AB1"/>
    <w:rsid w:val="00A82B73"/>
    <w:rsid w:val="00A82C72"/>
    <w:rsid w:val="00A834AB"/>
    <w:rsid w:val="00A83B0B"/>
    <w:rsid w:val="00A83C8C"/>
    <w:rsid w:val="00A83E19"/>
    <w:rsid w:val="00A8410E"/>
    <w:rsid w:val="00A8416B"/>
    <w:rsid w:val="00A8481E"/>
    <w:rsid w:val="00A848FA"/>
    <w:rsid w:val="00A84C7F"/>
    <w:rsid w:val="00A84DCD"/>
    <w:rsid w:val="00A84E65"/>
    <w:rsid w:val="00A84E7B"/>
    <w:rsid w:val="00A851E5"/>
    <w:rsid w:val="00A85662"/>
    <w:rsid w:val="00A86328"/>
    <w:rsid w:val="00A86A7F"/>
    <w:rsid w:val="00A86E8B"/>
    <w:rsid w:val="00A8715B"/>
    <w:rsid w:val="00A87164"/>
    <w:rsid w:val="00A871A9"/>
    <w:rsid w:val="00A87556"/>
    <w:rsid w:val="00A87AC8"/>
    <w:rsid w:val="00A90009"/>
    <w:rsid w:val="00A90372"/>
    <w:rsid w:val="00A90A79"/>
    <w:rsid w:val="00A90A9C"/>
    <w:rsid w:val="00A90CF7"/>
    <w:rsid w:val="00A90E52"/>
    <w:rsid w:val="00A90FC8"/>
    <w:rsid w:val="00A9130D"/>
    <w:rsid w:val="00A91553"/>
    <w:rsid w:val="00A91AF2"/>
    <w:rsid w:val="00A9259B"/>
    <w:rsid w:val="00A92758"/>
    <w:rsid w:val="00A93072"/>
    <w:rsid w:val="00A93086"/>
    <w:rsid w:val="00A93204"/>
    <w:rsid w:val="00A93791"/>
    <w:rsid w:val="00A938BD"/>
    <w:rsid w:val="00A93953"/>
    <w:rsid w:val="00A94ED2"/>
    <w:rsid w:val="00A95373"/>
    <w:rsid w:val="00A958F0"/>
    <w:rsid w:val="00A959D8"/>
    <w:rsid w:val="00A95B07"/>
    <w:rsid w:val="00A964DB"/>
    <w:rsid w:val="00A9702D"/>
    <w:rsid w:val="00A97420"/>
    <w:rsid w:val="00A97C60"/>
    <w:rsid w:val="00A97E0F"/>
    <w:rsid w:val="00AA0081"/>
    <w:rsid w:val="00AA0775"/>
    <w:rsid w:val="00AA0B82"/>
    <w:rsid w:val="00AA103C"/>
    <w:rsid w:val="00AA113D"/>
    <w:rsid w:val="00AA1756"/>
    <w:rsid w:val="00AA1BE7"/>
    <w:rsid w:val="00AA1D2F"/>
    <w:rsid w:val="00AA1E4D"/>
    <w:rsid w:val="00AA22DB"/>
    <w:rsid w:val="00AA2519"/>
    <w:rsid w:val="00AA2562"/>
    <w:rsid w:val="00AA299C"/>
    <w:rsid w:val="00AA3154"/>
    <w:rsid w:val="00AA34F5"/>
    <w:rsid w:val="00AA379E"/>
    <w:rsid w:val="00AA3C77"/>
    <w:rsid w:val="00AA42D1"/>
    <w:rsid w:val="00AA47B2"/>
    <w:rsid w:val="00AA4B09"/>
    <w:rsid w:val="00AA5199"/>
    <w:rsid w:val="00AA52D3"/>
    <w:rsid w:val="00AA564E"/>
    <w:rsid w:val="00AA5E10"/>
    <w:rsid w:val="00AA6058"/>
    <w:rsid w:val="00AA6BD5"/>
    <w:rsid w:val="00AA6BD8"/>
    <w:rsid w:val="00AA6C7D"/>
    <w:rsid w:val="00AA73E0"/>
    <w:rsid w:val="00AA79D1"/>
    <w:rsid w:val="00AA7A2F"/>
    <w:rsid w:val="00AA7C4E"/>
    <w:rsid w:val="00AA7E14"/>
    <w:rsid w:val="00AA7FD6"/>
    <w:rsid w:val="00AB0105"/>
    <w:rsid w:val="00AB042A"/>
    <w:rsid w:val="00AB09D7"/>
    <w:rsid w:val="00AB0CBB"/>
    <w:rsid w:val="00AB11AD"/>
    <w:rsid w:val="00AB176D"/>
    <w:rsid w:val="00AB19EF"/>
    <w:rsid w:val="00AB1A3E"/>
    <w:rsid w:val="00AB2495"/>
    <w:rsid w:val="00AB2D34"/>
    <w:rsid w:val="00AB3430"/>
    <w:rsid w:val="00AB37B9"/>
    <w:rsid w:val="00AB3B5C"/>
    <w:rsid w:val="00AB3DCF"/>
    <w:rsid w:val="00AB496E"/>
    <w:rsid w:val="00AB4AD1"/>
    <w:rsid w:val="00AB520B"/>
    <w:rsid w:val="00AB551F"/>
    <w:rsid w:val="00AB58B4"/>
    <w:rsid w:val="00AB5951"/>
    <w:rsid w:val="00AB5E07"/>
    <w:rsid w:val="00AB6139"/>
    <w:rsid w:val="00AB6980"/>
    <w:rsid w:val="00AB770A"/>
    <w:rsid w:val="00AB7CFA"/>
    <w:rsid w:val="00AC0409"/>
    <w:rsid w:val="00AC065D"/>
    <w:rsid w:val="00AC0C9C"/>
    <w:rsid w:val="00AC0D2E"/>
    <w:rsid w:val="00AC1575"/>
    <w:rsid w:val="00AC16F7"/>
    <w:rsid w:val="00AC1C0E"/>
    <w:rsid w:val="00AC2F0C"/>
    <w:rsid w:val="00AC3707"/>
    <w:rsid w:val="00AC3982"/>
    <w:rsid w:val="00AC39F1"/>
    <w:rsid w:val="00AC3E09"/>
    <w:rsid w:val="00AC3E9B"/>
    <w:rsid w:val="00AC4733"/>
    <w:rsid w:val="00AC5631"/>
    <w:rsid w:val="00AC587F"/>
    <w:rsid w:val="00AC5B42"/>
    <w:rsid w:val="00AC5B48"/>
    <w:rsid w:val="00AC5BCB"/>
    <w:rsid w:val="00AC6369"/>
    <w:rsid w:val="00AC7145"/>
    <w:rsid w:val="00AC736F"/>
    <w:rsid w:val="00AD02A9"/>
    <w:rsid w:val="00AD1255"/>
    <w:rsid w:val="00AD1450"/>
    <w:rsid w:val="00AD15E8"/>
    <w:rsid w:val="00AD2209"/>
    <w:rsid w:val="00AD263C"/>
    <w:rsid w:val="00AD2B6F"/>
    <w:rsid w:val="00AD313A"/>
    <w:rsid w:val="00AD32DB"/>
    <w:rsid w:val="00AD356D"/>
    <w:rsid w:val="00AD4008"/>
    <w:rsid w:val="00AD4222"/>
    <w:rsid w:val="00AD4493"/>
    <w:rsid w:val="00AD4554"/>
    <w:rsid w:val="00AD45C1"/>
    <w:rsid w:val="00AD460C"/>
    <w:rsid w:val="00AD4622"/>
    <w:rsid w:val="00AD4B6B"/>
    <w:rsid w:val="00AD5AF4"/>
    <w:rsid w:val="00AD5D0D"/>
    <w:rsid w:val="00AD6502"/>
    <w:rsid w:val="00AD654B"/>
    <w:rsid w:val="00AD6BB1"/>
    <w:rsid w:val="00AD7437"/>
    <w:rsid w:val="00AD7DB6"/>
    <w:rsid w:val="00AE0695"/>
    <w:rsid w:val="00AE128F"/>
    <w:rsid w:val="00AE14BF"/>
    <w:rsid w:val="00AE17E6"/>
    <w:rsid w:val="00AE1B55"/>
    <w:rsid w:val="00AE1E39"/>
    <w:rsid w:val="00AE21FC"/>
    <w:rsid w:val="00AE2655"/>
    <w:rsid w:val="00AE288A"/>
    <w:rsid w:val="00AE2A5F"/>
    <w:rsid w:val="00AE2B68"/>
    <w:rsid w:val="00AE3E7E"/>
    <w:rsid w:val="00AE4704"/>
    <w:rsid w:val="00AE768F"/>
    <w:rsid w:val="00AE7B12"/>
    <w:rsid w:val="00AE7E53"/>
    <w:rsid w:val="00AF0224"/>
    <w:rsid w:val="00AF0C80"/>
    <w:rsid w:val="00AF1315"/>
    <w:rsid w:val="00AF16B7"/>
    <w:rsid w:val="00AF174D"/>
    <w:rsid w:val="00AF19BF"/>
    <w:rsid w:val="00AF2DC3"/>
    <w:rsid w:val="00AF2F42"/>
    <w:rsid w:val="00AF3490"/>
    <w:rsid w:val="00AF3D2B"/>
    <w:rsid w:val="00AF3E87"/>
    <w:rsid w:val="00AF419A"/>
    <w:rsid w:val="00AF4555"/>
    <w:rsid w:val="00AF4CBC"/>
    <w:rsid w:val="00AF4D61"/>
    <w:rsid w:val="00AF4F36"/>
    <w:rsid w:val="00AF587D"/>
    <w:rsid w:val="00AF58CB"/>
    <w:rsid w:val="00AF6349"/>
    <w:rsid w:val="00AF6520"/>
    <w:rsid w:val="00AF674F"/>
    <w:rsid w:val="00AF6A89"/>
    <w:rsid w:val="00AF6B73"/>
    <w:rsid w:val="00AF6E9F"/>
    <w:rsid w:val="00AF6EAC"/>
    <w:rsid w:val="00AF745F"/>
    <w:rsid w:val="00B007D3"/>
    <w:rsid w:val="00B00FCE"/>
    <w:rsid w:val="00B014D2"/>
    <w:rsid w:val="00B02ECB"/>
    <w:rsid w:val="00B03011"/>
    <w:rsid w:val="00B0302D"/>
    <w:rsid w:val="00B033E5"/>
    <w:rsid w:val="00B0361F"/>
    <w:rsid w:val="00B03A36"/>
    <w:rsid w:val="00B03A63"/>
    <w:rsid w:val="00B04725"/>
    <w:rsid w:val="00B048F2"/>
    <w:rsid w:val="00B04CEF"/>
    <w:rsid w:val="00B05454"/>
    <w:rsid w:val="00B05E83"/>
    <w:rsid w:val="00B06142"/>
    <w:rsid w:val="00B0624E"/>
    <w:rsid w:val="00B06A23"/>
    <w:rsid w:val="00B071AD"/>
    <w:rsid w:val="00B07705"/>
    <w:rsid w:val="00B07AFB"/>
    <w:rsid w:val="00B103BA"/>
    <w:rsid w:val="00B11C8D"/>
    <w:rsid w:val="00B11D3C"/>
    <w:rsid w:val="00B11E56"/>
    <w:rsid w:val="00B12109"/>
    <w:rsid w:val="00B129A4"/>
    <w:rsid w:val="00B12F6A"/>
    <w:rsid w:val="00B13C29"/>
    <w:rsid w:val="00B13D14"/>
    <w:rsid w:val="00B1404C"/>
    <w:rsid w:val="00B142BC"/>
    <w:rsid w:val="00B14816"/>
    <w:rsid w:val="00B14D8E"/>
    <w:rsid w:val="00B1583D"/>
    <w:rsid w:val="00B15B94"/>
    <w:rsid w:val="00B1707B"/>
    <w:rsid w:val="00B17279"/>
    <w:rsid w:val="00B17C3F"/>
    <w:rsid w:val="00B201A4"/>
    <w:rsid w:val="00B201D1"/>
    <w:rsid w:val="00B20E3A"/>
    <w:rsid w:val="00B2108B"/>
    <w:rsid w:val="00B2138E"/>
    <w:rsid w:val="00B213A6"/>
    <w:rsid w:val="00B21FBB"/>
    <w:rsid w:val="00B22C39"/>
    <w:rsid w:val="00B22F9D"/>
    <w:rsid w:val="00B235B0"/>
    <w:rsid w:val="00B23C51"/>
    <w:rsid w:val="00B24511"/>
    <w:rsid w:val="00B24DF6"/>
    <w:rsid w:val="00B25553"/>
    <w:rsid w:val="00B25642"/>
    <w:rsid w:val="00B2595A"/>
    <w:rsid w:val="00B26633"/>
    <w:rsid w:val="00B26B1D"/>
    <w:rsid w:val="00B26DAD"/>
    <w:rsid w:val="00B27106"/>
    <w:rsid w:val="00B27A61"/>
    <w:rsid w:val="00B27C28"/>
    <w:rsid w:val="00B320A6"/>
    <w:rsid w:val="00B32506"/>
    <w:rsid w:val="00B3289F"/>
    <w:rsid w:val="00B32F51"/>
    <w:rsid w:val="00B33ABB"/>
    <w:rsid w:val="00B343DE"/>
    <w:rsid w:val="00B344EC"/>
    <w:rsid w:val="00B344F1"/>
    <w:rsid w:val="00B34FE2"/>
    <w:rsid w:val="00B3515A"/>
    <w:rsid w:val="00B35166"/>
    <w:rsid w:val="00B352C3"/>
    <w:rsid w:val="00B3551E"/>
    <w:rsid w:val="00B357D8"/>
    <w:rsid w:val="00B359AC"/>
    <w:rsid w:val="00B360F4"/>
    <w:rsid w:val="00B36244"/>
    <w:rsid w:val="00B36A00"/>
    <w:rsid w:val="00B36ABA"/>
    <w:rsid w:val="00B3710C"/>
    <w:rsid w:val="00B37188"/>
    <w:rsid w:val="00B3792B"/>
    <w:rsid w:val="00B37BFC"/>
    <w:rsid w:val="00B37F5B"/>
    <w:rsid w:val="00B40358"/>
    <w:rsid w:val="00B40425"/>
    <w:rsid w:val="00B40832"/>
    <w:rsid w:val="00B40843"/>
    <w:rsid w:val="00B413E1"/>
    <w:rsid w:val="00B41574"/>
    <w:rsid w:val="00B41614"/>
    <w:rsid w:val="00B41C6C"/>
    <w:rsid w:val="00B41FBA"/>
    <w:rsid w:val="00B42851"/>
    <w:rsid w:val="00B42BD8"/>
    <w:rsid w:val="00B42F80"/>
    <w:rsid w:val="00B43134"/>
    <w:rsid w:val="00B435CB"/>
    <w:rsid w:val="00B44922"/>
    <w:rsid w:val="00B44C95"/>
    <w:rsid w:val="00B4529C"/>
    <w:rsid w:val="00B452ED"/>
    <w:rsid w:val="00B454BF"/>
    <w:rsid w:val="00B45D4B"/>
    <w:rsid w:val="00B45D4E"/>
    <w:rsid w:val="00B46198"/>
    <w:rsid w:val="00B46364"/>
    <w:rsid w:val="00B465D9"/>
    <w:rsid w:val="00B465EC"/>
    <w:rsid w:val="00B46DE7"/>
    <w:rsid w:val="00B474FE"/>
    <w:rsid w:val="00B477E1"/>
    <w:rsid w:val="00B50553"/>
    <w:rsid w:val="00B505C8"/>
    <w:rsid w:val="00B50DB8"/>
    <w:rsid w:val="00B51B2C"/>
    <w:rsid w:val="00B51C81"/>
    <w:rsid w:val="00B52846"/>
    <w:rsid w:val="00B528EC"/>
    <w:rsid w:val="00B52C87"/>
    <w:rsid w:val="00B53654"/>
    <w:rsid w:val="00B536DF"/>
    <w:rsid w:val="00B53905"/>
    <w:rsid w:val="00B53D1C"/>
    <w:rsid w:val="00B53FFD"/>
    <w:rsid w:val="00B546DB"/>
    <w:rsid w:val="00B54A64"/>
    <w:rsid w:val="00B54B5B"/>
    <w:rsid w:val="00B55384"/>
    <w:rsid w:val="00B5562E"/>
    <w:rsid w:val="00B55862"/>
    <w:rsid w:val="00B55898"/>
    <w:rsid w:val="00B55D65"/>
    <w:rsid w:val="00B56012"/>
    <w:rsid w:val="00B56190"/>
    <w:rsid w:val="00B561FC"/>
    <w:rsid w:val="00B56305"/>
    <w:rsid w:val="00B5693B"/>
    <w:rsid w:val="00B56E2C"/>
    <w:rsid w:val="00B57000"/>
    <w:rsid w:val="00B57A4E"/>
    <w:rsid w:val="00B60939"/>
    <w:rsid w:val="00B60AFD"/>
    <w:rsid w:val="00B60C1B"/>
    <w:rsid w:val="00B6130F"/>
    <w:rsid w:val="00B61579"/>
    <w:rsid w:val="00B61D67"/>
    <w:rsid w:val="00B61EB3"/>
    <w:rsid w:val="00B62715"/>
    <w:rsid w:val="00B628EE"/>
    <w:rsid w:val="00B6294E"/>
    <w:rsid w:val="00B62F34"/>
    <w:rsid w:val="00B6306D"/>
    <w:rsid w:val="00B63640"/>
    <w:rsid w:val="00B6378B"/>
    <w:rsid w:val="00B63D63"/>
    <w:rsid w:val="00B64119"/>
    <w:rsid w:val="00B64F53"/>
    <w:rsid w:val="00B65611"/>
    <w:rsid w:val="00B65683"/>
    <w:rsid w:val="00B65815"/>
    <w:rsid w:val="00B65E18"/>
    <w:rsid w:val="00B65E20"/>
    <w:rsid w:val="00B66B51"/>
    <w:rsid w:val="00B66B8C"/>
    <w:rsid w:val="00B67184"/>
    <w:rsid w:val="00B678F0"/>
    <w:rsid w:val="00B67FA8"/>
    <w:rsid w:val="00B70E8E"/>
    <w:rsid w:val="00B717EB"/>
    <w:rsid w:val="00B72AF9"/>
    <w:rsid w:val="00B73313"/>
    <w:rsid w:val="00B73DCD"/>
    <w:rsid w:val="00B7403E"/>
    <w:rsid w:val="00B745FA"/>
    <w:rsid w:val="00B74DEE"/>
    <w:rsid w:val="00B75148"/>
    <w:rsid w:val="00B75719"/>
    <w:rsid w:val="00B75AF1"/>
    <w:rsid w:val="00B75F18"/>
    <w:rsid w:val="00B7657F"/>
    <w:rsid w:val="00B76C92"/>
    <w:rsid w:val="00B76EAD"/>
    <w:rsid w:val="00B77052"/>
    <w:rsid w:val="00B77C65"/>
    <w:rsid w:val="00B77E78"/>
    <w:rsid w:val="00B8051C"/>
    <w:rsid w:val="00B80E2F"/>
    <w:rsid w:val="00B80EFD"/>
    <w:rsid w:val="00B818A4"/>
    <w:rsid w:val="00B81B58"/>
    <w:rsid w:val="00B81D86"/>
    <w:rsid w:val="00B82C30"/>
    <w:rsid w:val="00B83140"/>
    <w:rsid w:val="00B83739"/>
    <w:rsid w:val="00B837E2"/>
    <w:rsid w:val="00B83A28"/>
    <w:rsid w:val="00B84048"/>
    <w:rsid w:val="00B84117"/>
    <w:rsid w:val="00B84517"/>
    <w:rsid w:val="00B846A4"/>
    <w:rsid w:val="00B847E1"/>
    <w:rsid w:val="00B84A87"/>
    <w:rsid w:val="00B853F8"/>
    <w:rsid w:val="00B8574D"/>
    <w:rsid w:val="00B858BF"/>
    <w:rsid w:val="00B858F0"/>
    <w:rsid w:val="00B85AA2"/>
    <w:rsid w:val="00B85C91"/>
    <w:rsid w:val="00B85D78"/>
    <w:rsid w:val="00B8649C"/>
    <w:rsid w:val="00B8695D"/>
    <w:rsid w:val="00B87266"/>
    <w:rsid w:val="00B875B6"/>
    <w:rsid w:val="00B87CED"/>
    <w:rsid w:val="00B87F0A"/>
    <w:rsid w:val="00B9031B"/>
    <w:rsid w:val="00B90F44"/>
    <w:rsid w:val="00B90FF4"/>
    <w:rsid w:val="00B919A8"/>
    <w:rsid w:val="00B91D59"/>
    <w:rsid w:val="00B91D7D"/>
    <w:rsid w:val="00B921F3"/>
    <w:rsid w:val="00B929EE"/>
    <w:rsid w:val="00B92BCC"/>
    <w:rsid w:val="00B92D0B"/>
    <w:rsid w:val="00B93285"/>
    <w:rsid w:val="00B93962"/>
    <w:rsid w:val="00B94751"/>
    <w:rsid w:val="00B94945"/>
    <w:rsid w:val="00B94DD6"/>
    <w:rsid w:val="00B94E0C"/>
    <w:rsid w:val="00B9631F"/>
    <w:rsid w:val="00B96497"/>
    <w:rsid w:val="00B96663"/>
    <w:rsid w:val="00B967A2"/>
    <w:rsid w:val="00B97A3B"/>
    <w:rsid w:val="00BA02C0"/>
    <w:rsid w:val="00BA0ABA"/>
    <w:rsid w:val="00BA0FBA"/>
    <w:rsid w:val="00BA1695"/>
    <w:rsid w:val="00BA1EB1"/>
    <w:rsid w:val="00BA20B1"/>
    <w:rsid w:val="00BA2E7B"/>
    <w:rsid w:val="00BA322D"/>
    <w:rsid w:val="00BA329F"/>
    <w:rsid w:val="00BA4001"/>
    <w:rsid w:val="00BA4A58"/>
    <w:rsid w:val="00BA4B4A"/>
    <w:rsid w:val="00BA4D39"/>
    <w:rsid w:val="00BA5379"/>
    <w:rsid w:val="00BA599E"/>
    <w:rsid w:val="00BA63FA"/>
    <w:rsid w:val="00BA6588"/>
    <w:rsid w:val="00BA6609"/>
    <w:rsid w:val="00BA6957"/>
    <w:rsid w:val="00BA700C"/>
    <w:rsid w:val="00BA77DE"/>
    <w:rsid w:val="00BB00B3"/>
    <w:rsid w:val="00BB0437"/>
    <w:rsid w:val="00BB057D"/>
    <w:rsid w:val="00BB0BDD"/>
    <w:rsid w:val="00BB0F86"/>
    <w:rsid w:val="00BB1677"/>
    <w:rsid w:val="00BB176C"/>
    <w:rsid w:val="00BB176E"/>
    <w:rsid w:val="00BB1DC0"/>
    <w:rsid w:val="00BB2465"/>
    <w:rsid w:val="00BB2629"/>
    <w:rsid w:val="00BB2A73"/>
    <w:rsid w:val="00BB2B2F"/>
    <w:rsid w:val="00BB2BF1"/>
    <w:rsid w:val="00BB31F7"/>
    <w:rsid w:val="00BB348B"/>
    <w:rsid w:val="00BB3763"/>
    <w:rsid w:val="00BB3A45"/>
    <w:rsid w:val="00BB40F5"/>
    <w:rsid w:val="00BB457D"/>
    <w:rsid w:val="00BB4757"/>
    <w:rsid w:val="00BB4869"/>
    <w:rsid w:val="00BB4ACC"/>
    <w:rsid w:val="00BB4AED"/>
    <w:rsid w:val="00BB4EF1"/>
    <w:rsid w:val="00BB56DF"/>
    <w:rsid w:val="00BB590F"/>
    <w:rsid w:val="00BB5C23"/>
    <w:rsid w:val="00BB6548"/>
    <w:rsid w:val="00BB703E"/>
    <w:rsid w:val="00BB732D"/>
    <w:rsid w:val="00BB7405"/>
    <w:rsid w:val="00BB7BEE"/>
    <w:rsid w:val="00BC0A8F"/>
    <w:rsid w:val="00BC0E4F"/>
    <w:rsid w:val="00BC1126"/>
    <w:rsid w:val="00BC142B"/>
    <w:rsid w:val="00BC1BF9"/>
    <w:rsid w:val="00BC32D2"/>
    <w:rsid w:val="00BC3631"/>
    <w:rsid w:val="00BC376E"/>
    <w:rsid w:val="00BC38C5"/>
    <w:rsid w:val="00BC4120"/>
    <w:rsid w:val="00BC4ED0"/>
    <w:rsid w:val="00BC527D"/>
    <w:rsid w:val="00BC591F"/>
    <w:rsid w:val="00BC5E96"/>
    <w:rsid w:val="00BC5F8F"/>
    <w:rsid w:val="00BC6C21"/>
    <w:rsid w:val="00BC72BA"/>
    <w:rsid w:val="00BC7753"/>
    <w:rsid w:val="00BC7B8F"/>
    <w:rsid w:val="00BC7D6D"/>
    <w:rsid w:val="00BD0158"/>
    <w:rsid w:val="00BD0A12"/>
    <w:rsid w:val="00BD1ECC"/>
    <w:rsid w:val="00BD1F92"/>
    <w:rsid w:val="00BD2108"/>
    <w:rsid w:val="00BD246C"/>
    <w:rsid w:val="00BD27D4"/>
    <w:rsid w:val="00BD2E3A"/>
    <w:rsid w:val="00BD2FF4"/>
    <w:rsid w:val="00BD32C4"/>
    <w:rsid w:val="00BD367A"/>
    <w:rsid w:val="00BD46A8"/>
    <w:rsid w:val="00BD4F14"/>
    <w:rsid w:val="00BD579C"/>
    <w:rsid w:val="00BD5B18"/>
    <w:rsid w:val="00BD64CD"/>
    <w:rsid w:val="00BD68A3"/>
    <w:rsid w:val="00BD6938"/>
    <w:rsid w:val="00BD6CF3"/>
    <w:rsid w:val="00BD700B"/>
    <w:rsid w:val="00BD77E5"/>
    <w:rsid w:val="00BD7D8E"/>
    <w:rsid w:val="00BD7F72"/>
    <w:rsid w:val="00BE043C"/>
    <w:rsid w:val="00BE04D4"/>
    <w:rsid w:val="00BE0ECA"/>
    <w:rsid w:val="00BE11C1"/>
    <w:rsid w:val="00BE17C0"/>
    <w:rsid w:val="00BE1CD1"/>
    <w:rsid w:val="00BE2180"/>
    <w:rsid w:val="00BE21F2"/>
    <w:rsid w:val="00BE2340"/>
    <w:rsid w:val="00BE2951"/>
    <w:rsid w:val="00BE2B1F"/>
    <w:rsid w:val="00BE3380"/>
    <w:rsid w:val="00BE3555"/>
    <w:rsid w:val="00BE4275"/>
    <w:rsid w:val="00BE4787"/>
    <w:rsid w:val="00BE49C5"/>
    <w:rsid w:val="00BE4DDB"/>
    <w:rsid w:val="00BE56EE"/>
    <w:rsid w:val="00BE57BD"/>
    <w:rsid w:val="00BE589F"/>
    <w:rsid w:val="00BE64AF"/>
    <w:rsid w:val="00BE6BBE"/>
    <w:rsid w:val="00BE6EE1"/>
    <w:rsid w:val="00BE7312"/>
    <w:rsid w:val="00BE7377"/>
    <w:rsid w:val="00BE7C35"/>
    <w:rsid w:val="00BE7C7C"/>
    <w:rsid w:val="00BE7E48"/>
    <w:rsid w:val="00BE7FAB"/>
    <w:rsid w:val="00BF020A"/>
    <w:rsid w:val="00BF0616"/>
    <w:rsid w:val="00BF06AE"/>
    <w:rsid w:val="00BF0F3D"/>
    <w:rsid w:val="00BF0F95"/>
    <w:rsid w:val="00BF13C2"/>
    <w:rsid w:val="00BF1509"/>
    <w:rsid w:val="00BF1CC0"/>
    <w:rsid w:val="00BF1FE0"/>
    <w:rsid w:val="00BF23AE"/>
    <w:rsid w:val="00BF2433"/>
    <w:rsid w:val="00BF2E5D"/>
    <w:rsid w:val="00BF2E6E"/>
    <w:rsid w:val="00BF35EC"/>
    <w:rsid w:val="00BF44C0"/>
    <w:rsid w:val="00BF5A1E"/>
    <w:rsid w:val="00BF6058"/>
    <w:rsid w:val="00BF6148"/>
    <w:rsid w:val="00BF61C9"/>
    <w:rsid w:val="00BF61EE"/>
    <w:rsid w:val="00BF63FD"/>
    <w:rsid w:val="00BF6C94"/>
    <w:rsid w:val="00BF6EBD"/>
    <w:rsid w:val="00BF70E0"/>
    <w:rsid w:val="00BF7E9A"/>
    <w:rsid w:val="00C00424"/>
    <w:rsid w:val="00C00522"/>
    <w:rsid w:val="00C009CF"/>
    <w:rsid w:val="00C00BB0"/>
    <w:rsid w:val="00C00EF3"/>
    <w:rsid w:val="00C01256"/>
    <w:rsid w:val="00C01B64"/>
    <w:rsid w:val="00C01CF7"/>
    <w:rsid w:val="00C01DDB"/>
    <w:rsid w:val="00C0257A"/>
    <w:rsid w:val="00C02D17"/>
    <w:rsid w:val="00C02E30"/>
    <w:rsid w:val="00C0309F"/>
    <w:rsid w:val="00C035B5"/>
    <w:rsid w:val="00C03D91"/>
    <w:rsid w:val="00C03E35"/>
    <w:rsid w:val="00C03F08"/>
    <w:rsid w:val="00C03F7E"/>
    <w:rsid w:val="00C0415F"/>
    <w:rsid w:val="00C04268"/>
    <w:rsid w:val="00C04C50"/>
    <w:rsid w:val="00C05F48"/>
    <w:rsid w:val="00C063A1"/>
    <w:rsid w:val="00C06497"/>
    <w:rsid w:val="00C06D13"/>
    <w:rsid w:val="00C079C9"/>
    <w:rsid w:val="00C10728"/>
    <w:rsid w:val="00C1179F"/>
    <w:rsid w:val="00C11A8D"/>
    <w:rsid w:val="00C11C7B"/>
    <w:rsid w:val="00C11FA0"/>
    <w:rsid w:val="00C1259D"/>
    <w:rsid w:val="00C127AB"/>
    <w:rsid w:val="00C127B9"/>
    <w:rsid w:val="00C127BF"/>
    <w:rsid w:val="00C128FA"/>
    <w:rsid w:val="00C12C14"/>
    <w:rsid w:val="00C1364B"/>
    <w:rsid w:val="00C1405C"/>
    <w:rsid w:val="00C151A6"/>
    <w:rsid w:val="00C151C9"/>
    <w:rsid w:val="00C1594E"/>
    <w:rsid w:val="00C15993"/>
    <w:rsid w:val="00C15F04"/>
    <w:rsid w:val="00C161FF"/>
    <w:rsid w:val="00C1662D"/>
    <w:rsid w:val="00C16ABA"/>
    <w:rsid w:val="00C16CF4"/>
    <w:rsid w:val="00C16F8C"/>
    <w:rsid w:val="00C179B3"/>
    <w:rsid w:val="00C17C9F"/>
    <w:rsid w:val="00C17E3F"/>
    <w:rsid w:val="00C200AA"/>
    <w:rsid w:val="00C20BFF"/>
    <w:rsid w:val="00C20C6E"/>
    <w:rsid w:val="00C22813"/>
    <w:rsid w:val="00C22924"/>
    <w:rsid w:val="00C237B2"/>
    <w:rsid w:val="00C237ED"/>
    <w:rsid w:val="00C23BD1"/>
    <w:rsid w:val="00C23ECD"/>
    <w:rsid w:val="00C24107"/>
    <w:rsid w:val="00C2429E"/>
    <w:rsid w:val="00C2431E"/>
    <w:rsid w:val="00C24632"/>
    <w:rsid w:val="00C24963"/>
    <w:rsid w:val="00C24A50"/>
    <w:rsid w:val="00C25418"/>
    <w:rsid w:val="00C25846"/>
    <w:rsid w:val="00C25D9C"/>
    <w:rsid w:val="00C25E92"/>
    <w:rsid w:val="00C2651D"/>
    <w:rsid w:val="00C26A70"/>
    <w:rsid w:val="00C2729B"/>
    <w:rsid w:val="00C27760"/>
    <w:rsid w:val="00C2778B"/>
    <w:rsid w:val="00C27E57"/>
    <w:rsid w:val="00C30794"/>
    <w:rsid w:val="00C31649"/>
    <w:rsid w:val="00C317D5"/>
    <w:rsid w:val="00C318DD"/>
    <w:rsid w:val="00C327D2"/>
    <w:rsid w:val="00C32BAA"/>
    <w:rsid w:val="00C330D0"/>
    <w:rsid w:val="00C33CFC"/>
    <w:rsid w:val="00C33F13"/>
    <w:rsid w:val="00C3434C"/>
    <w:rsid w:val="00C34D4C"/>
    <w:rsid w:val="00C357C6"/>
    <w:rsid w:val="00C35CA7"/>
    <w:rsid w:val="00C35E49"/>
    <w:rsid w:val="00C36389"/>
    <w:rsid w:val="00C365A6"/>
    <w:rsid w:val="00C3663C"/>
    <w:rsid w:val="00C36689"/>
    <w:rsid w:val="00C379FE"/>
    <w:rsid w:val="00C37B33"/>
    <w:rsid w:val="00C40385"/>
    <w:rsid w:val="00C40536"/>
    <w:rsid w:val="00C405EA"/>
    <w:rsid w:val="00C40835"/>
    <w:rsid w:val="00C40B1C"/>
    <w:rsid w:val="00C414AA"/>
    <w:rsid w:val="00C414C4"/>
    <w:rsid w:val="00C41768"/>
    <w:rsid w:val="00C42158"/>
    <w:rsid w:val="00C436D4"/>
    <w:rsid w:val="00C438DF"/>
    <w:rsid w:val="00C43AC9"/>
    <w:rsid w:val="00C4405E"/>
    <w:rsid w:val="00C44268"/>
    <w:rsid w:val="00C44B03"/>
    <w:rsid w:val="00C44B5F"/>
    <w:rsid w:val="00C45C28"/>
    <w:rsid w:val="00C461BB"/>
    <w:rsid w:val="00C464F8"/>
    <w:rsid w:val="00C46DA5"/>
    <w:rsid w:val="00C47490"/>
    <w:rsid w:val="00C475AA"/>
    <w:rsid w:val="00C502A4"/>
    <w:rsid w:val="00C507CF"/>
    <w:rsid w:val="00C50822"/>
    <w:rsid w:val="00C509B2"/>
    <w:rsid w:val="00C50CB8"/>
    <w:rsid w:val="00C51817"/>
    <w:rsid w:val="00C52041"/>
    <w:rsid w:val="00C5232A"/>
    <w:rsid w:val="00C527C7"/>
    <w:rsid w:val="00C52D71"/>
    <w:rsid w:val="00C53647"/>
    <w:rsid w:val="00C53C98"/>
    <w:rsid w:val="00C543FA"/>
    <w:rsid w:val="00C551B0"/>
    <w:rsid w:val="00C559F7"/>
    <w:rsid w:val="00C56169"/>
    <w:rsid w:val="00C56249"/>
    <w:rsid w:val="00C56595"/>
    <w:rsid w:val="00C565DD"/>
    <w:rsid w:val="00C56AA8"/>
    <w:rsid w:val="00C56FCF"/>
    <w:rsid w:val="00C572F6"/>
    <w:rsid w:val="00C57B6C"/>
    <w:rsid w:val="00C60DD4"/>
    <w:rsid w:val="00C60EBA"/>
    <w:rsid w:val="00C612C1"/>
    <w:rsid w:val="00C61918"/>
    <w:rsid w:val="00C61A59"/>
    <w:rsid w:val="00C622F8"/>
    <w:rsid w:val="00C62371"/>
    <w:rsid w:val="00C62470"/>
    <w:rsid w:val="00C62569"/>
    <w:rsid w:val="00C62809"/>
    <w:rsid w:val="00C628A6"/>
    <w:rsid w:val="00C63521"/>
    <w:rsid w:val="00C635DF"/>
    <w:rsid w:val="00C63797"/>
    <w:rsid w:val="00C638C9"/>
    <w:rsid w:val="00C639BD"/>
    <w:rsid w:val="00C64344"/>
    <w:rsid w:val="00C644D3"/>
    <w:rsid w:val="00C64906"/>
    <w:rsid w:val="00C65108"/>
    <w:rsid w:val="00C65454"/>
    <w:rsid w:val="00C65576"/>
    <w:rsid w:val="00C656C8"/>
    <w:rsid w:val="00C65756"/>
    <w:rsid w:val="00C65DF1"/>
    <w:rsid w:val="00C66042"/>
    <w:rsid w:val="00C66165"/>
    <w:rsid w:val="00C66BD5"/>
    <w:rsid w:val="00C67738"/>
    <w:rsid w:val="00C67A50"/>
    <w:rsid w:val="00C67F4F"/>
    <w:rsid w:val="00C7060A"/>
    <w:rsid w:val="00C70D6C"/>
    <w:rsid w:val="00C7151A"/>
    <w:rsid w:val="00C717E3"/>
    <w:rsid w:val="00C71F60"/>
    <w:rsid w:val="00C7200F"/>
    <w:rsid w:val="00C72150"/>
    <w:rsid w:val="00C72241"/>
    <w:rsid w:val="00C72403"/>
    <w:rsid w:val="00C72A74"/>
    <w:rsid w:val="00C72F31"/>
    <w:rsid w:val="00C73659"/>
    <w:rsid w:val="00C736AE"/>
    <w:rsid w:val="00C73B4F"/>
    <w:rsid w:val="00C74FDA"/>
    <w:rsid w:val="00C750C8"/>
    <w:rsid w:val="00C7523D"/>
    <w:rsid w:val="00C7531B"/>
    <w:rsid w:val="00C75429"/>
    <w:rsid w:val="00C7560F"/>
    <w:rsid w:val="00C75885"/>
    <w:rsid w:val="00C75962"/>
    <w:rsid w:val="00C766A2"/>
    <w:rsid w:val="00C7677F"/>
    <w:rsid w:val="00C76B53"/>
    <w:rsid w:val="00C76D9F"/>
    <w:rsid w:val="00C77117"/>
    <w:rsid w:val="00C771A5"/>
    <w:rsid w:val="00C7766A"/>
    <w:rsid w:val="00C8034A"/>
    <w:rsid w:val="00C80358"/>
    <w:rsid w:val="00C80443"/>
    <w:rsid w:val="00C80A0E"/>
    <w:rsid w:val="00C8110B"/>
    <w:rsid w:val="00C81309"/>
    <w:rsid w:val="00C8142D"/>
    <w:rsid w:val="00C814D3"/>
    <w:rsid w:val="00C8182A"/>
    <w:rsid w:val="00C819E2"/>
    <w:rsid w:val="00C81F03"/>
    <w:rsid w:val="00C8208C"/>
    <w:rsid w:val="00C8213F"/>
    <w:rsid w:val="00C8294A"/>
    <w:rsid w:val="00C8303F"/>
    <w:rsid w:val="00C83AF8"/>
    <w:rsid w:val="00C83CE4"/>
    <w:rsid w:val="00C84316"/>
    <w:rsid w:val="00C84B9D"/>
    <w:rsid w:val="00C850D3"/>
    <w:rsid w:val="00C85154"/>
    <w:rsid w:val="00C8587F"/>
    <w:rsid w:val="00C859E6"/>
    <w:rsid w:val="00C85A70"/>
    <w:rsid w:val="00C85EB6"/>
    <w:rsid w:val="00C8667B"/>
    <w:rsid w:val="00C872A5"/>
    <w:rsid w:val="00C8759F"/>
    <w:rsid w:val="00C8797A"/>
    <w:rsid w:val="00C87BD8"/>
    <w:rsid w:val="00C900B8"/>
    <w:rsid w:val="00C90197"/>
    <w:rsid w:val="00C9047A"/>
    <w:rsid w:val="00C90C71"/>
    <w:rsid w:val="00C912A9"/>
    <w:rsid w:val="00C9130E"/>
    <w:rsid w:val="00C91B40"/>
    <w:rsid w:val="00C91FD1"/>
    <w:rsid w:val="00C92161"/>
    <w:rsid w:val="00C92966"/>
    <w:rsid w:val="00C92E16"/>
    <w:rsid w:val="00C92EC3"/>
    <w:rsid w:val="00C92ED6"/>
    <w:rsid w:val="00C931CF"/>
    <w:rsid w:val="00C9361F"/>
    <w:rsid w:val="00C938CF"/>
    <w:rsid w:val="00C93B10"/>
    <w:rsid w:val="00C94053"/>
    <w:rsid w:val="00C940FE"/>
    <w:rsid w:val="00C947C7"/>
    <w:rsid w:val="00C94E63"/>
    <w:rsid w:val="00C95CD8"/>
    <w:rsid w:val="00C9624D"/>
    <w:rsid w:val="00C96309"/>
    <w:rsid w:val="00C96507"/>
    <w:rsid w:val="00C9686D"/>
    <w:rsid w:val="00C969DA"/>
    <w:rsid w:val="00C96E1C"/>
    <w:rsid w:val="00C974AC"/>
    <w:rsid w:val="00CA0DA1"/>
    <w:rsid w:val="00CA14EC"/>
    <w:rsid w:val="00CA1C53"/>
    <w:rsid w:val="00CA2015"/>
    <w:rsid w:val="00CA278A"/>
    <w:rsid w:val="00CA2C77"/>
    <w:rsid w:val="00CA2E00"/>
    <w:rsid w:val="00CA444F"/>
    <w:rsid w:val="00CA521E"/>
    <w:rsid w:val="00CA5245"/>
    <w:rsid w:val="00CA5324"/>
    <w:rsid w:val="00CA55B6"/>
    <w:rsid w:val="00CA5928"/>
    <w:rsid w:val="00CA5BB8"/>
    <w:rsid w:val="00CA5F35"/>
    <w:rsid w:val="00CA64C0"/>
    <w:rsid w:val="00CA67FC"/>
    <w:rsid w:val="00CA71F4"/>
    <w:rsid w:val="00CA7B09"/>
    <w:rsid w:val="00CA7E42"/>
    <w:rsid w:val="00CA7F8B"/>
    <w:rsid w:val="00CB12A5"/>
    <w:rsid w:val="00CB14C6"/>
    <w:rsid w:val="00CB1CAC"/>
    <w:rsid w:val="00CB20CF"/>
    <w:rsid w:val="00CB251E"/>
    <w:rsid w:val="00CB2D5A"/>
    <w:rsid w:val="00CB2F2A"/>
    <w:rsid w:val="00CB3536"/>
    <w:rsid w:val="00CB479A"/>
    <w:rsid w:val="00CB51D8"/>
    <w:rsid w:val="00CB5B1A"/>
    <w:rsid w:val="00CB5CDA"/>
    <w:rsid w:val="00CB5D3B"/>
    <w:rsid w:val="00CB6B22"/>
    <w:rsid w:val="00CB7425"/>
    <w:rsid w:val="00CB7608"/>
    <w:rsid w:val="00CB7E33"/>
    <w:rsid w:val="00CB7F5F"/>
    <w:rsid w:val="00CC033E"/>
    <w:rsid w:val="00CC0468"/>
    <w:rsid w:val="00CC0643"/>
    <w:rsid w:val="00CC15F6"/>
    <w:rsid w:val="00CC1B39"/>
    <w:rsid w:val="00CC1BFA"/>
    <w:rsid w:val="00CC209F"/>
    <w:rsid w:val="00CC2C05"/>
    <w:rsid w:val="00CC2E9F"/>
    <w:rsid w:val="00CC3538"/>
    <w:rsid w:val="00CC35EA"/>
    <w:rsid w:val="00CC3848"/>
    <w:rsid w:val="00CC3FA0"/>
    <w:rsid w:val="00CC4048"/>
    <w:rsid w:val="00CC44A5"/>
    <w:rsid w:val="00CC48CC"/>
    <w:rsid w:val="00CC53AC"/>
    <w:rsid w:val="00CC6521"/>
    <w:rsid w:val="00CC6D5E"/>
    <w:rsid w:val="00CC7B16"/>
    <w:rsid w:val="00CC7D18"/>
    <w:rsid w:val="00CD00B9"/>
    <w:rsid w:val="00CD0200"/>
    <w:rsid w:val="00CD0B07"/>
    <w:rsid w:val="00CD1796"/>
    <w:rsid w:val="00CD1BA2"/>
    <w:rsid w:val="00CD1D46"/>
    <w:rsid w:val="00CD1E11"/>
    <w:rsid w:val="00CD26B5"/>
    <w:rsid w:val="00CD29D1"/>
    <w:rsid w:val="00CD2D80"/>
    <w:rsid w:val="00CD2F81"/>
    <w:rsid w:val="00CD3396"/>
    <w:rsid w:val="00CD3450"/>
    <w:rsid w:val="00CD3F77"/>
    <w:rsid w:val="00CD4125"/>
    <w:rsid w:val="00CD43CB"/>
    <w:rsid w:val="00CD4C4A"/>
    <w:rsid w:val="00CD53E5"/>
    <w:rsid w:val="00CD5948"/>
    <w:rsid w:val="00CD6559"/>
    <w:rsid w:val="00CD69FA"/>
    <w:rsid w:val="00CD6ADC"/>
    <w:rsid w:val="00CD6EEA"/>
    <w:rsid w:val="00CD7193"/>
    <w:rsid w:val="00CD7207"/>
    <w:rsid w:val="00CD7B72"/>
    <w:rsid w:val="00CE07FE"/>
    <w:rsid w:val="00CE0D30"/>
    <w:rsid w:val="00CE126B"/>
    <w:rsid w:val="00CE1290"/>
    <w:rsid w:val="00CE132E"/>
    <w:rsid w:val="00CE17E6"/>
    <w:rsid w:val="00CE18E9"/>
    <w:rsid w:val="00CE190C"/>
    <w:rsid w:val="00CE19FE"/>
    <w:rsid w:val="00CE1BCF"/>
    <w:rsid w:val="00CE239D"/>
    <w:rsid w:val="00CE240C"/>
    <w:rsid w:val="00CE2794"/>
    <w:rsid w:val="00CE2A53"/>
    <w:rsid w:val="00CE301F"/>
    <w:rsid w:val="00CE3486"/>
    <w:rsid w:val="00CE37E5"/>
    <w:rsid w:val="00CE38C8"/>
    <w:rsid w:val="00CE409A"/>
    <w:rsid w:val="00CE43F2"/>
    <w:rsid w:val="00CE4D56"/>
    <w:rsid w:val="00CE524F"/>
    <w:rsid w:val="00CE5475"/>
    <w:rsid w:val="00CE569A"/>
    <w:rsid w:val="00CE5794"/>
    <w:rsid w:val="00CE58CC"/>
    <w:rsid w:val="00CE6274"/>
    <w:rsid w:val="00CE6C6D"/>
    <w:rsid w:val="00CE74BB"/>
    <w:rsid w:val="00CE762B"/>
    <w:rsid w:val="00CE77B6"/>
    <w:rsid w:val="00CE7D48"/>
    <w:rsid w:val="00CF02AB"/>
    <w:rsid w:val="00CF0A4D"/>
    <w:rsid w:val="00CF1A60"/>
    <w:rsid w:val="00CF1D59"/>
    <w:rsid w:val="00CF2AF6"/>
    <w:rsid w:val="00CF2B8D"/>
    <w:rsid w:val="00CF33F1"/>
    <w:rsid w:val="00CF35E8"/>
    <w:rsid w:val="00CF3A1B"/>
    <w:rsid w:val="00CF456B"/>
    <w:rsid w:val="00CF4A41"/>
    <w:rsid w:val="00CF5779"/>
    <w:rsid w:val="00CF57F5"/>
    <w:rsid w:val="00CF59C3"/>
    <w:rsid w:val="00CF5A22"/>
    <w:rsid w:val="00CF5D85"/>
    <w:rsid w:val="00CF60C1"/>
    <w:rsid w:val="00CF627F"/>
    <w:rsid w:val="00CF791F"/>
    <w:rsid w:val="00CF7F56"/>
    <w:rsid w:val="00D007F5"/>
    <w:rsid w:val="00D00A9D"/>
    <w:rsid w:val="00D00B5F"/>
    <w:rsid w:val="00D01772"/>
    <w:rsid w:val="00D01C02"/>
    <w:rsid w:val="00D01DB5"/>
    <w:rsid w:val="00D01DFA"/>
    <w:rsid w:val="00D023AE"/>
    <w:rsid w:val="00D025DB"/>
    <w:rsid w:val="00D0262E"/>
    <w:rsid w:val="00D02AB2"/>
    <w:rsid w:val="00D02CD4"/>
    <w:rsid w:val="00D02CEA"/>
    <w:rsid w:val="00D02DA0"/>
    <w:rsid w:val="00D03679"/>
    <w:rsid w:val="00D03DF1"/>
    <w:rsid w:val="00D03F8A"/>
    <w:rsid w:val="00D04BD4"/>
    <w:rsid w:val="00D04C88"/>
    <w:rsid w:val="00D0521E"/>
    <w:rsid w:val="00D053F9"/>
    <w:rsid w:val="00D054BC"/>
    <w:rsid w:val="00D05518"/>
    <w:rsid w:val="00D05A96"/>
    <w:rsid w:val="00D05E3D"/>
    <w:rsid w:val="00D06139"/>
    <w:rsid w:val="00D061A2"/>
    <w:rsid w:val="00D07AEE"/>
    <w:rsid w:val="00D07DB8"/>
    <w:rsid w:val="00D10845"/>
    <w:rsid w:val="00D110BD"/>
    <w:rsid w:val="00D11F0C"/>
    <w:rsid w:val="00D12506"/>
    <w:rsid w:val="00D1279A"/>
    <w:rsid w:val="00D13675"/>
    <w:rsid w:val="00D13B4F"/>
    <w:rsid w:val="00D13B95"/>
    <w:rsid w:val="00D141E1"/>
    <w:rsid w:val="00D1445E"/>
    <w:rsid w:val="00D146C7"/>
    <w:rsid w:val="00D14CB6"/>
    <w:rsid w:val="00D15314"/>
    <w:rsid w:val="00D15B48"/>
    <w:rsid w:val="00D163B7"/>
    <w:rsid w:val="00D16CDE"/>
    <w:rsid w:val="00D173E9"/>
    <w:rsid w:val="00D177AF"/>
    <w:rsid w:val="00D17D2F"/>
    <w:rsid w:val="00D17D6C"/>
    <w:rsid w:val="00D2045D"/>
    <w:rsid w:val="00D2075A"/>
    <w:rsid w:val="00D2155B"/>
    <w:rsid w:val="00D2156F"/>
    <w:rsid w:val="00D2171A"/>
    <w:rsid w:val="00D21873"/>
    <w:rsid w:val="00D21B5F"/>
    <w:rsid w:val="00D21EE3"/>
    <w:rsid w:val="00D2228E"/>
    <w:rsid w:val="00D224CD"/>
    <w:rsid w:val="00D22A2F"/>
    <w:rsid w:val="00D22BEB"/>
    <w:rsid w:val="00D22FE6"/>
    <w:rsid w:val="00D235C7"/>
    <w:rsid w:val="00D236F3"/>
    <w:rsid w:val="00D23D11"/>
    <w:rsid w:val="00D24115"/>
    <w:rsid w:val="00D244B6"/>
    <w:rsid w:val="00D24B8C"/>
    <w:rsid w:val="00D24BAA"/>
    <w:rsid w:val="00D24EF6"/>
    <w:rsid w:val="00D254FD"/>
    <w:rsid w:val="00D264DC"/>
    <w:rsid w:val="00D267B5"/>
    <w:rsid w:val="00D269E3"/>
    <w:rsid w:val="00D26B20"/>
    <w:rsid w:val="00D26D1A"/>
    <w:rsid w:val="00D273AF"/>
    <w:rsid w:val="00D2754D"/>
    <w:rsid w:val="00D2762D"/>
    <w:rsid w:val="00D27B27"/>
    <w:rsid w:val="00D3017D"/>
    <w:rsid w:val="00D3022D"/>
    <w:rsid w:val="00D30419"/>
    <w:rsid w:val="00D30817"/>
    <w:rsid w:val="00D30D5B"/>
    <w:rsid w:val="00D3128D"/>
    <w:rsid w:val="00D314AD"/>
    <w:rsid w:val="00D31A4F"/>
    <w:rsid w:val="00D31DFD"/>
    <w:rsid w:val="00D31E0F"/>
    <w:rsid w:val="00D31F5B"/>
    <w:rsid w:val="00D3286B"/>
    <w:rsid w:val="00D32B39"/>
    <w:rsid w:val="00D330F7"/>
    <w:rsid w:val="00D332EB"/>
    <w:rsid w:val="00D33562"/>
    <w:rsid w:val="00D33BE9"/>
    <w:rsid w:val="00D33D91"/>
    <w:rsid w:val="00D33F38"/>
    <w:rsid w:val="00D33F93"/>
    <w:rsid w:val="00D34025"/>
    <w:rsid w:val="00D34062"/>
    <w:rsid w:val="00D345E3"/>
    <w:rsid w:val="00D3463B"/>
    <w:rsid w:val="00D34E2E"/>
    <w:rsid w:val="00D352B9"/>
    <w:rsid w:val="00D357FF"/>
    <w:rsid w:val="00D373F6"/>
    <w:rsid w:val="00D3755A"/>
    <w:rsid w:val="00D37A2F"/>
    <w:rsid w:val="00D37EE2"/>
    <w:rsid w:val="00D408DA"/>
    <w:rsid w:val="00D41E8A"/>
    <w:rsid w:val="00D4229C"/>
    <w:rsid w:val="00D423D1"/>
    <w:rsid w:val="00D424C7"/>
    <w:rsid w:val="00D436BD"/>
    <w:rsid w:val="00D436C2"/>
    <w:rsid w:val="00D43B2A"/>
    <w:rsid w:val="00D43CF1"/>
    <w:rsid w:val="00D43D83"/>
    <w:rsid w:val="00D457CD"/>
    <w:rsid w:val="00D45B56"/>
    <w:rsid w:val="00D46161"/>
    <w:rsid w:val="00D46F73"/>
    <w:rsid w:val="00D47458"/>
    <w:rsid w:val="00D47575"/>
    <w:rsid w:val="00D47AEC"/>
    <w:rsid w:val="00D47B43"/>
    <w:rsid w:val="00D47BAA"/>
    <w:rsid w:val="00D50553"/>
    <w:rsid w:val="00D51E95"/>
    <w:rsid w:val="00D52029"/>
    <w:rsid w:val="00D5243B"/>
    <w:rsid w:val="00D52723"/>
    <w:rsid w:val="00D52D34"/>
    <w:rsid w:val="00D533EC"/>
    <w:rsid w:val="00D53EC8"/>
    <w:rsid w:val="00D53FAF"/>
    <w:rsid w:val="00D5457A"/>
    <w:rsid w:val="00D54A9A"/>
    <w:rsid w:val="00D54EFC"/>
    <w:rsid w:val="00D5502F"/>
    <w:rsid w:val="00D55660"/>
    <w:rsid w:val="00D5649F"/>
    <w:rsid w:val="00D56A95"/>
    <w:rsid w:val="00D56C41"/>
    <w:rsid w:val="00D57DDD"/>
    <w:rsid w:val="00D60194"/>
    <w:rsid w:val="00D6076E"/>
    <w:rsid w:val="00D6091E"/>
    <w:rsid w:val="00D60DB3"/>
    <w:rsid w:val="00D61C89"/>
    <w:rsid w:val="00D61CE6"/>
    <w:rsid w:val="00D62732"/>
    <w:rsid w:val="00D62A26"/>
    <w:rsid w:val="00D62A2A"/>
    <w:rsid w:val="00D62E86"/>
    <w:rsid w:val="00D63330"/>
    <w:rsid w:val="00D63FFE"/>
    <w:rsid w:val="00D6431C"/>
    <w:rsid w:val="00D645D4"/>
    <w:rsid w:val="00D64799"/>
    <w:rsid w:val="00D65144"/>
    <w:rsid w:val="00D657C6"/>
    <w:rsid w:val="00D659ED"/>
    <w:rsid w:val="00D65BCF"/>
    <w:rsid w:val="00D66372"/>
    <w:rsid w:val="00D66D6C"/>
    <w:rsid w:val="00D6796B"/>
    <w:rsid w:val="00D679D9"/>
    <w:rsid w:val="00D7095E"/>
    <w:rsid w:val="00D70EFF"/>
    <w:rsid w:val="00D70F16"/>
    <w:rsid w:val="00D71117"/>
    <w:rsid w:val="00D713A5"/>
    <w:rsid w:val="00D71584"/>
    <w:rsid w:val="00D71A60"/>
    <w:rsid w:val="00D71B10"/>
    <w:rsid w:val="00D71DB9"/>
    <w:rsid w:val="00D71FBA"/>
    <w:rsid w:val="00D72560"/>
    <w:rsid w:val="00D72617"/>
    <w:rsid w:val="00D72F57"/>
    <w:rsid w:val="00D730AC"/>
    <w:rsid w:val="00D7364B"/>
    <w:rsid w:val="00D74214"/>
    <w:rsid w:val="00D753B8"/>
    <w:rsid w:val="00D7570A"/>
    <w:rsid w:val="00D762DF"/>
    <w:rsid w:val="00D766D5"/>
    <w:rsid w:val="00D766D6"/>
    <w:rsid w:val="00D7681D"/>
    <w:rsid w:val="00D769DD"/>
    <w:rsid w:val="00D76A44"/>
    <w:rsid w:val="00D77320"/>
    <w:rsid w:val="00D77613"/>
    <w:rsid w:val="00D776E5"/>
    <w:rsid w:val="00D777F0"/>
    <w:rsid w:val="00D779FF"/>
    <w:rsid w:val="00D77FE5"/>
    <w:rsid w:val="00D80031"/>
    <w:rsid w:val="00D8009C"/>
    <w:rsid w:val="00D8052E"/>
    <w:rsid w:val="00D815EF"/>
    <w:rsid w:val="00D8165C"/>
    <w:rsid w:val="00D81949"/>
    <w:rsid w:val="00D81D35"/>
    <w:rsid w:val="00D81F26"/>
    <w:rsid w:val="00D81F4F"/>
    <w:rsid w:val="00D8204D"/>
    <w:rsid w:val="00D822E2"/>
    <w:rsid w:val="00D82E91"/>
    <w:rsid w:val="00D83397"/>
    <w:rsid w:val="00D835E8"/>
    <w:rsid w:val="00D83CA1"/>
    <w:rsid w:val="00D8406D"/>
    <w:rsid w:val="00D843F2"/>
    <w:rsid w:val="00D845F0"/>
    <w:rsid w:val="00D849A0"/>
    <w:rsid w:val="00D84CFF"/>
    <w:rsid w:val="00D86231"/>
    <w:rsid w:val="00D865CA"/>
    <w:rsid w:val="00D86B30"/>
    <w:rsid w:val="00D875FF"/>
    <w:rsid w:val="00D87FE8"/>
    <w:rsid w:val="00D905A8"/>
    <w:rsid w:val="00D90B7E"/>
    <w:rsid w:val="00D912AB"/>
    <w:rsid w:val="00D91923"/>
    <w:rsid w:val="00D929DF"/>
    <w:rsid w:val="00D92B36"/>
    <w:rsid w:val="00D92D9D"/>
    <w:rsid w:val="00D92EC0"/>
    <w:rsid w:val="00D93753"/>
    <w:rsid w:val="00D94085"/>
    <w:rsid w:val="00D94181"/>
    <w:rsid w:val="00D946DD"/>
    <w:rsid w:val="00D94A74"/>
    <w:rsid w:val="00D94E55"/>
    <w:rsid w:val="00D953EB"/>
    <w:rsid w:val="00D9576F"/>
    <w:rsid w:val="00D958CB"/>
    <w:rsid w:val="00D95B57"/>
    <w:rsid w:val="00D95B81"/>
    <w:rsid w:val="00D95C71"/>
    <w:rsid w:val="00D96576"/>
    <w:rsid w:val="00D969C9"/>
    <w:rsid w:val="00D96C0D"/>
    <w:rsid w:val="00D96E39"/>
    <w:rsid w:val="00D97536"/>
    <w:rsid w:val="00DA031A"/>
    <w:rsid w:val="00DA18B6"/>
    <w:rsid w:val="00DA1B0A"/>
    <w:rsid w:val="00DA1BD3"/>
    <w:rsid w:val="00DA231E"/>
    <w:rsid w:val="00DA262E"/>
    <w:rsid w:val="00DA2917"/>
    <w:rsid w:val="00DA3167"/>
    <w:rsid w:val="00DA33CB"/>
    <w:rsid w:val="00DA34C0"/>
    <w:rsid w:val="00DA3509"/>
    <w:rsid w:val="00DA3CA1"/>
    <w:rsid w:val="00DA432C"/>
    <w:rsid w:val="00DA47E5"/>
    <w:rsid w:val="00DA4DC3"/>
    <w:rsid w:val="00DA50DD"/>
    <w:rsid w:val="00DA5172"/>
    <w:rsid w:val="00DA563C"/>
    <w:rsid w:val="00DA662B"/>
    <w:rsid w:val="00DA69B9"/>
    <w:rsid w:val="00DA6ED1"/>
    <w:rsid w:val="00DA77A5"/>
    <w:rsid w:val="00DA7BEF"/>
    <w:rsid w:val="00DB0882"/>
    <w:rsid w:val="00DB0E36"/>
    <w:rsid w:val="00DB1636"/>
    <w:rsid w:val="00DB1709"/>
    <w:rsid w:val="00DB1AF2"/>
    <w:rsid w:val="00DB2178"/>
    <w:rsid w:val="00DB2723"/>
    <w:rsid w:val="00DB2CB4"/>
    <w:rsid w:val="00DB3407"/>
    <w:rsid w:val="00DB35F7"/>
    <w:rsid w:val="00DB3694"/>
    <w:rsid w:val="00DB3A1C"/>
    <w:rsid w:val="00DB3DBF"/>
    <w:rsid w:val="00DB484F"/>
    <w:rsid w:val="00DB48D8"/>
    <w:rsid w:val="00DB4B97"/>
    <w:rsid w:val="00DB4D40"/>
    <w:rsid w:val="00DB56AB"/>
    <w:rsid w:val="00DB5C2B"/>
    <w:rsid w:val="00DB6487"/>
    <w:rsid w:val="00DB725E"/>
    <w:rsid w:val="00DB77CD"/>
    <w:rsid w:val="00DC04F6"/>
    <w:rsid w:val="00DC0690"/>
    <w:rsid w:val="00DC0D51"/>
    <w:rsid w:val="00DC1C02"/>
    <w:rsid w:val="00DC1D65"/>
    <w:rsid w:val="00DC21D0"/>
    <w:rsid w:val="00DC2239"/>
    <w:rsid w:val="00DC263F"/>
    <w:rsid w:val="00DC28A2"/>
    <w:rsid w:val="00DC2F35"/>
    <w:rsid w:val="00DC30C6"/>
    <w:rsid w:val="00DC3232"/>
    <w:rsid w:val="00DC366D"/>
    <w:rsid w:val="00DC3B23"/>
    <w:rsid w:val="00DC3B56"/>
    <w:rsid w:val="00DC3C2C"/>
    <w:rsid w:val="00DC3C43"/>
    <w:rsid w:val="00DC3C57"/>
    <w:rsid w:val="00DC4143"/>
    <w:rsid w:val="00DC52C9"/>
    <w:rsid w:val="00DC5486"/>
    <w:rsid w:val="00DC5501"/>
    <w:rsid w:val="00DC5CAB"/>
    <w:rsid w:val="00DC5DE4"/>
    <w:rsid w:val="00DC689F"/>
    <w:rsid w:val="00DC7154"/>
    <w:rsid w:val="00DC7E8A"/>
    <w:rsid w:val="00DD0300"/>
    <w:rsid w:val="00DD0BD6"/>
    <w:rsid w:val="00DD0F62"/>
    <w:rsid w:val="00DD0F78"/>
    <w:rsid w:val="00DD1ECE"/>
    <w:rsid w:val="00DD273C"/>
    <w:rsid w:val="00DD2CE9"/>
    <w:rsid w:val="00DD3846"/>
    <w:rsid w:val="00DD3F28"/>
    <w:rsid w:val="00DD3FF9"/>
    <w:rsid w:val="00DD4446"/>
    <w:rsid w:val="00DD4537"/>
    <w:rsid w:val="00DD4951"/>
    <w:rsid w:val="00DD4D5F"/>
    <w:rsid w:val="00DD4E15"/>
    <w:rsid w:val="00DD590C"/>
    <w:rsid w:val="00DD5BFA"/>
    <w:rsid w:val="00DD5CE0"/>
    <w:rsid w:val="00DD5D79"/>
    <w:rsid w:val="00DD6C0C"/>
    <w:rsid w:val="00DD7F2B"/>
    <w:rsid w:val="00DE0EC8"/>
    <w:rsid w:val="00DE1264"/>
    <w:rsid w:val="00DE1354"/>
    <w:rsid w:val="00DE14B5"/>
    <w:rsid w:val="00DE1746"/>
    <w:rsid w:val="00DE1771"/>
    <w:rsid w:val="00DE2058"/>
    <w:rsid w:val="00DE2304"/>
    <w:rsid w:val="00DE2332"/>
    <w:rsid w:val="00DE2D11"/>
    <w:rsid w:val="00DE3138"/>
    <w:rsid w:val="00DE3166"/>
    <w:rsid w:val="00DE362D"/>
    <w:rsid w:val="00DE3781"/>
    <w:rsid w:val="00DE37F8"/>
    <w:rsid w:val="00DE39F1"/>
    <w:rsid w:val="00DE3D47"/>
    <w:rsid w:val="00DE4273"/>
    <w:rsid w:val="00DE4FCB"/>
    <w:rsid w:val="00DE5175"/>
    <w:rsid w:val="00DE5D07"/>
    <w:rsid w:val="00DE6CF0"/>
    <w:rsid w:val="00DE72A7"/>
    <w:rsid w:val="00DE7832"/>
    <w:rsid w:val="00DE7F05"/>
    <w:rsid w:val="00DF18FC"/>
    <w:rsid w:val="00DF1FC1"/>
    <w:rsid w:val="00DF233D"/>
    <w:rsid w:val="00DF2487"/>
    <w:rsid w:val="00DF2ABC"/>
    <w:rsid w:val="00DF3FEB"/>
    <w:rsid w:val="00DF4482"/>
    <w:rsid w:val="00DF46F2"/>
    <w:rsid w:val="00DF523C"/>
    <w:rsid w:val="00DF56B9"/>
    <w:rsid w:val="00DF5BB2"/>
    <w:rsid w:val="00DF5D2B"/>
    <w:rsid w:val="00DF6341"/>
    <w:rsid w:val="00DF67F0"/>
    <w:rsid w:val="00DF6926"/>
    <w:rsid w:val="00DF6A30"/>
    <w:rsid w:val="00DF76FC"/>
    <w:rsid w:val="00DF7C4A"/>
    <w:rsid w:val="00E00262"/>
    <w:rsid w:val="00E00267"/>
    <w:rsid w:val="00E00449"/>
    <w:rsid w:val="00E00751"/>
    <w:rsid w:val="00E00A40"/>
    <w:rsid w:val="00E00E8E"/>
    <w:rsid w:val="00E01248"/>
    <w:rsid w:val="00E019D3"/>
    <w:rsid w:val="00E0234B"/>
    <w:rsid w:val="00E02463"/>
    <w:rsid w:val="00E02C19"/>
    <w:rsid w:val="00E02F49"/>
    <w:rsid w:val="00E038FD"/>
    <w:rsid w:val="00E03AFD"/>
    <w:rsid w:val="00E04FAD"/>
    <w:rsid w:val="00E0558B"/>
    <w:rsid w:val="00E05630"/>
    <w:rsid w:val="00E05979"/>
    <w:rsid w:val="00E05EDB"/>
    <w:rsid w:val="00E0614D"/>
    <w:rsid w:val="00E06503"/>
    <w:rsid w:val="00E06CE7"/>
    <w:rsid w:val="00E06DBB"/>
    <w:rsid w:val="00E073F9"/>
    <w:rsid w:val="00E078F5"/>
    <w:rsid w:val="00E0796F"/>
    <w:rsid w:val="00E07F5D"/>
    <w:rsid w:val="00E10149"/>
    <w:rsid w:val="00E106E5"/>
    <w:rsid w:val="00E10C54"/>
    <w:rsid w:val="00E11340"/>
    <w:rsid w:val="00E114DB"/>
    <w:rsid w:val="00E118B5"/>
    <w:rsid w:val="00E119AB"/>
    <w:rsid w:val="00E11C0C"/>
    <w:rsid w:val="00E11EC2"/>
    <w:rsid w:val="00E11EFB"/>
    <w:rsid w:val="00E122A1"/>
    <w:rsid w:val="00E1246E"/>
    <w:rsid w:val="00E12715"/>
    <w:rsid w:val="00E13259"/>
    <w:rsid w:val="00E134E1"/>
    <w:rsid w:val="00E14231"/>
    <w:rsid w:val="00E15919"/>
    <w:rsid w:val="00E15A04"/>
    <w:rsid w:val="00E15E41"/>
    <w:rsid w:val="00E15F3C"/>
    <w:rsid w:val="00E16372"/>
    <w:rsid w:val="00E16566"/>
    <w:rsid w:val="00E16AD8"/>
    <w:rsid w:val="00E16EEB"/>
    <w:rsid w:val="00E1702F"/>
    <w:rsid w:val="00E179C6"/>
    <w:rsid w:val="00E17AD4"/>
    <w:rsid w:val="00E17FFA"/>
    <w:rsid w:val="00E2013F"/>
    <w:rsid w:val="00E2032A"/>
    <w:rsid w:val="00E20C3F"/>
    <w:rsid w:val="00E20E3B"/>
    <w:rsid w:val="00E20E4D"/>
    <w:rsid w:val="00E20ED6"/>
    <w:rsid w:val="00E21358"/>
    <w:rsid w:val="00E21D14"/>
    <w:rsid w:val="00E223A5"/>
    <w:rsid w:val="00E2249B"/>
    <w:rsid w:val="00E22A0D"/>
    <w:rsid w:val="00E22D9C"/>
    <w:rsid w:val="00E231DB"/>
    <w:rsid w:val="00E2386F"/>
    <w:rsid w:val="00E244F6"/>
    <w:rsid w:val="00E251B3"/>
    <w:rsid w:val="00E258DB"/>
    <w:rsid w:val="00E25EF7"/>
    <w:rsid w:val="00E2633A"/>
    <w:rsid w:val="00E26F26"/>
    <w:rsid w:val="00E275D4"/>
    <w:rsid w:val="00E2771E"/>
    <w:rsid w:val="00E307BE"/>
    <w:rsid w:val="00E30A25"/>
    <w:rsid w:val="00E311B7"/>
    <w:rsid w:val="00E311EF"/>
    <w:rsid w:val="00E31392"/>
    <w:rsid w:val="00E32180"/>
    <w:rsid w:val="00E32619"/>
    <w:rsid w:val="00E32CEA"/>
    <w:rsid w:val="00E334E2"/>
    <w:rsid w:val="00E33555"/>
    <w:rsid w:val="00E33747"/>
    <w:rsid w:val="00E3393C"/>
    <w:rsid w:val="00E33D6C"/>
    <w:rsid w:val="00E341D5"/>
    <w:rsid w:val="00E34948"/>
    <w:rsid w:val="00E34BD9"/>
    <w:rsid w:val="00E34F94"/>
    <w:rsid w:val="00E35582"/>
    <w:rsid w:val="00E356E9"/>
    <w:rsid w:val="00E3627B"/>
    <w:rsid w:val="00E36692"/>
    <w:rsid w:val="00E3678E"/>
    <w:rsid w:val="00E36E61"/>
    <w:rsid w:val="00E36F72"/>
    <w:rsid w:val="00E37569"/>
    <w:rsid w:val="00E3759C"/>
    <w:rsid w:val="00E37611"/>
    <w:rsid w:val="00E401B2"/>
    <w:rsid w:val="00E4079A"/>
    <w:rsid w:val="00E40CC3"/>
    <w:rsid w:val="00E4147F"/>
    <w:rsid w:val="00E415D4"/>
    <w:rsid w:val="00E41BD0"/>
    <w:rsid w:val="00E41DE5"/>
    <w:rsid w:val="00E41E30"/>
    <w:rsid w:val="00E41F04"/>
    <w:rsid w:val="00E42658"/>
    <w:rsid w:val="00E42BBF"/>
    <w:rsid w:val="00E42EE1"/>
    <w:rsid w:val="00E42F73"/>
    <w:rsid w:val="00E43490"/>
    <w:rsid w:val="00E4355E"/>
    <w:rsid w:val="00E43D70"/>
    <w:rsid w:val="00E44DBB"/>
    <w:rsid w:val="00E45834"/>
    <w:rsid w:val="00E45916"/>
    <w:rsid w:val="00E45E53"/>
    <w:rsid w:val="00E461CF"/>
    <w:rsid w:val="00E4626F"/>
    <w:rsid w:val="00E466F3"/>
    <w:rsid w:val="00E46AB8"/>
    <w:rsid w:val="00E4787D"/>
    <w:rsid w:val="00E478E5"/>
    <w:rsid w:val="00E47B2C"/>
    <w:rsid w:val="00E50715"/>
    <w:rsid w:val="00E50CBC"/>
    <w:rsid w:val="00E514B5"/>
    <w:rsid w:val="00E51560"/>
    <w:rsid w:val="00E51821"/>
    <w:rsid w:val="00E51A5A"/>
    <w:rsid w:val="00E51CCD"/>
    <w:rsid w:val="00E51F9D"/>
    <w:rsid w:val="00E51FD0"/>
    <w:rsid w:val="00E51FD8"/>
    <w:rsid w:val="00E5285F"/>
    <w:rsid w:val="00E52E72"/>
    <w:rsid w:val="00E53709"/>
    <w:rsid w:val="00E539DB"/>
    <w:rsid w:val="00E53E54"/>
    <w:rsid w:val="00E53EE6"/>
    <w:rsid w:val="00E53F29"/>
    <w:rsid w:val="00E53FC8"/>
    <w:rsid w:val="00E54347"/>
    <w:rsid w:val="00E5442F"/>
    <w:rsid w:val="00E546A4"/>
    <w:rsid w:val="00E54B5C"/>
    <w:rsid w:val="00E55424"/>
    <w:rsid w:val="00E555FE"/>
    <w:rsid w:val="00E55915"/>
    <w:rsid w:val="00E55BB5"/>
    <w:rsid w:val="00E55DA3"/>
    <w:rsid w:val="00E5614B"/>
    <w:rsid w:val="00E564FD"/>
    <w:rsid w:val="00E56813"/>
    <w:rsid w:val="00E5694B"/>
    <w:rsid w:val="00E56A8C"/>
    <w:rsid w:val="00E56E54"/>
    <w:rsid w:val="00E56FD2"/>
    <w:rsid w:val="00E576C3"/>
    <w:rsid w:val="00E57C71"/>
    <w:rsid w:val="00E60148"/>
    <w:rsid w:val="00E609FF"/>
    <w:rsid w:val="00E6100A"/>
    <w:rsid w:val="00E611DF"/>
    <w:rsid w:val="00E612A7"/>
    <w:rsid w:val="00E6167D"/>
    <w:rsid w:val="00E61D23"/>
    <w:rsid w:val="00E620C2"/>
    <w:rsid w:val="00E6247A"/>
    <w:rsid w:val="00E626ED"/>
    <w:rsid w:val="00E62800"/>
    <w:rsid w:val="00E63495"/>
    <w:rsid w:val="00E63AE6"/>
    <w:rsid w:val="00E64739"/>
    <w:rsid w:val="00E6518C"/>
    <w:rsid w:val="00E658FA"/>
    <w:rsid w:val="00E65A1D"/>
    <w:rsid w:val="00E65E79"/>
    <w:rsid w:val="00E66629"/>
    <w:rsid w:val="00E66BA2"/>
    <w:rsid w:val="00E66D57"/>
    <w:rsid w:val="00E66E68"/>
    <w:rsid w:val="00E67416"/>
    <w:rsid w:val="00E67AB1"/>
    <w:rsid w:val="00E67F79"/>
    <w:rsid w:val="00E67FB1"/>
    <w:rsid w:val="00E7089A"/>
    <w:rsid w:val="00E70A36"/>
    <w:rsid w:val="00E70A41"/>
    <w:rsid w:val="00E70C63"/>
    <w:rsid w:val="00E70EA7"/>
    <w:rsid w:val="00E71683"/>
    <w:rsid w:val="00E717B2"/>
    <w:rsid w:val="00E718B6"/>
    <w:rsid w:val="00E723BA"/>
    <w:rsid w:val="00E726FC"/>
    <w:rsid w:val="00E72E7C"/>
    <w:rsid w:val="00E73581"/>
    <w:rsid w:val="00E73B52"/>
    <w:rsid w:val="00E73DF5"/>
    <w:rsid w:val="00E73E8E"/>
    <w:rsid w:val="00E7424A"/>
    <w:rsid w:val="00E7472A"/>
    <w:rsid w:val="00E752E3"/>
    <w:rsid w:val="00E75361"/>
    <w:rsid w:val="00E75659"/>
    <w:rsid w:val="00E774A2"/>
    <w:rsid w:val="00E80022"/>
    <w:rsid w:val="00E806E6"/>
    <w:rsid w:val="00E80CDC"/>
    <w:rsid w:val="00E80E1E"/>
    <w:rsid w:val="00E8113B"/>
    <w:rsid w:val="00E81207"/>
    <w:rsid w:val="00E8129E"/>
    <w:rsid w:val="00E813F4"/>
    <w:rsid w:val="00E81A1A"/>
    <w:rsid w:val="00E81DBB"/>
    <w:rsid w:val="00E81E18"/>
    <w:rsid w:val="00E821CA"/>
    <w:rsid w:val="00E833F7"/>
    <w:rsid w:val="00E834BB"/>
    <w:rsid w:val="00E8375F"/>
    <w:rsid w:val="00E83BDF"/>
    <w:rsid w:val="00E843F0"/>
    <w:rsid w:val="00E844CE"/>
    <w:rsid w:val="00E84712"/>
    <w:rsid w:val="00E847A0"/>
    <w:rsid w:val="00E85C80"/>
    <w:rsid w:val="00E86077"/>
    <w:rsid w:val="00E86FCC"/>
    <w:rsid w:val="00E87A1D"/>
    <w:rsid w:val="00E87CE3"/>
    <w:rsid w:val="00E9030B"/>
    <w:rsid w:val="00E9069B"/>
    <w:rsid w:val="00E907AC"/>
    <w:rsid w:val="00E9094A"/>
    <w:rsid w:val="00E911AD"/>
    <w:rsid w:val="00E91802"/>
    <w:rsid w:val="00E91D35"/>
    <w:rsid w:val="00E91DF5"/>
    <w:rsid w:val="00E926A5"/>
    <w:rsid w:val="00E932E2"/>
    <w:rsid w:val="00E933E5"/>
    <w:rsid w:val="00E93430"/>
    <w:rsid w:val="00E93504"/>
    <w:rsid w:val="00E936D4"/>
    <w:rsid w:val="00E938B3"/>
    <w:rsid w:val="00E93C99"/>
    <w:rsid w:val="00E941C7"/>
    <w:rsid w:val="00E94C1A"/>
    <w:rsid w:val="00E95011"/>
    <w:rsid w:val="00E95015"/>
    <w:rsid w:val="00E957E4"/>
    <w:rsid w:val="00E957E5"/>
    <w:rsid w:val="00E9583F"/>
    <w:rsid w:val="00E95F46"/>
    <w:rsid w:val="00E9608D"/>
    <w:rsid w:val="00E962CC"/>
    <w:rsid w:val="00E9671B"/>
    <w:rsid w:val="00E96D7A"/>
    <w:rsid w:val="00E9752A"/>
    <w:rsid w:val="00EA03E0"/>
    <w:rsid w:val="00EA0586"/>
    <w:rsid w:val="00EA17C3"/>
    <w:rsid w:val="00EA1B69"/>
    <w:rsid w:val="00EA1D6E"/>
    <w:rsid w:val="00EA2152"/>
    <w:rsid w:val="00EA24F2"/>
    <w:rsid w:val="00EA2749"/>
    <w:rsid w:val="00EA29A2"/>
    <w:rsid w:val="00EA2AC8"/>
    <w:rsid w:val="00EA2CAA"/>
    <w:rsid w:val="00EA2CBB"/>
    <w:rsid w:val="00EA31E9"/>
    <w:rsid w:val="00EA3864"/>
    <w:rsid w:val="00EA43C0"/>
    <w:rsid w:val="00EA474E"/>
    <w:rsid w:val="00EA48F2"/>
    <w:rsid w:val="00EA574D"/>
    <w:rsid w:val="00EA5999"/>
    <w:rsid w:val="00EA5C83"/>
    <w:rsid w:val="00EA6432"/>
    <w:rsid w:val="00EA67A7"/>
    <w:rsid w:val="00EA6F3C"/>
    <w:rsid w:val="00EA7A86"/>
    <w:rsid w:val="00EA7CC9"/>
    <w:rsid w:val="00EA7F1C"/>
    <w:rsid w:val="00EB013E"/>
    <w:rsid w:val="00EB0478"/>
    <w:rsid w:val="00EB07E1"/>
    <w:rsid w:val="00EB0850"/>
    <w:rsid w:val="00EB1289"/>
    <w:rsid w:val="00EB1513"/>
    <w:rsid w:val="00EB15B6"/>
    <w:rsid w:val="00EB2122"/>
    <w:rsid w:val="00EB240A"/>
    <w:rsid w:val="00EB282A"/>
    <w:rsid w:val="00EB2DD3"/>
    <w:rsid w:val="00EB303A"/>
    <w:rsid w:val="00EB39E3"/>
    <w:rsid w:val="00EB3B11"/>
    <w:rsid w:val="00EB3BC5"/>
    <w:rsid w:val="00EB3D06"/>
    <w:rsid w:val="00EB4693"/>
    <w:rsid w:val="00EB4916"/>
    <w:rsid w:val="00EB511E"/>
    <w:rsid w:val="00EB5484"/>
    <w:rsid w:val="00EB5E5B"/>
    <w:rsid w:val="00EB6880"/>
    <w:rsid w:val="00EB70D5"/>
    <w:rsid w:val="00EB7477"/>
    <w:rsid w:val="00EB757B"/>
    <w:rsid w:val="00EB78FD"/>
    <w:rsid w:val="00EB7944"/>
    <w:rsid w:val="00EC00C9"/>
    <w:rsid w:val="00EC060C"/>
    <w:rsid w:val="00EC0C2D"/>
    <w:rsid w:val="00EC0DD9"/>
    <w:rsid w:val="00EC190F"/>
    <w:rsid w:val="00EC2649"/>
    <w:rsid w:val="00EC2BE1"/>
    <w:rsid w:val="00EC31ED"/>
    <w:rsid w:val="00EC37ED"/>
    <w:rsid w:val="00EC3C02"/>
    <w:rsid w:val="00EC3D4A"/>
    <w:rsid w:val="00EC3DC0"/>
    <w:rsid w:val="00EC4615"/>
    <w:rsid w:val="00EC4895"/>
    <w:rsid w:val="00EC4AE4"/>
    <w:rsid w:val="00EC53D1"/>
    <w:rsid w:val="00EC5836"/>
    <w:rsid w:val="00EC610A"/>
    <w:rsid w:val="00EC688C"/>
    <w:rsid w:val="00EC69AC"/>
    <w:rsid w:val="00EC70D5"/>
    <w:rsid w:val="00EC73FC"/>
    <w:rsid w:val="00EC7A00"/>
    <w:rsid w:val="00ED029D"/>
    <w:rsid w:val="00ED0CBB"/>
    <w:rsid w:val="00ED0F7B"/>
    <w:rsid w:val="00ED12E3"/>
    <w:rsid w:val="00ED2E30"/>
    <w:rsid w:val="00ED3885"/>
    <w:rsid w:val="00ED3FC4"/>
    <w:rsid w:val="00ED4071"/>
    <w:rsid w:val="00ED4365"/>
    <w:rsid w:val="00ED46BA"/>
    <w:rsid w:val="00ED47E4"/>
    <w:rsid w:val="00ED4B04"/>
    <w:rsid w:val="00ED57EA"/>
    <w:rsid w:val="00ED5BD4"/>
    <w:rsid w:val="00ED611C"/>
    <w:rsid w:val="00ED6486"/>
    <w:rsid w:val="00ED6843"/>
    <w:rsid w:val="00ED6B7D"/>
    <w:rsid w:val="00ED73CB"/>
    <w:rsid w:val="00EE07D3"/>
    <w:rsid w:val="00EE0A76"/>
    <w:rsid w:val="00EE15E6"/>
    <w:rsid w:val="00EE1996"/>
    <w:rsid w:val="00EE1B27"/>
    <w:rsid w:val="00EE1C01"/>
    <w:rsid w:val="00EE1FF2"/>
    <w:rsid w:val="00EE212D"/>
    <w:rsid w:val="00EE22AF"/>
    <w:rsid w:val="00EE231C"/>
    <w:rsid w:val="00EE2879"/>
    <w:rsid w:val="00EE2D86"/>
    <w:rsid w:val="00EE3266"/>
    <w:rsid w:val="00EE33A0"/>
    <w:rsid w:val="00EE383E"/>
    <w:rsid w:val="00EE391B"/>
    <w:rsid w:val="00EE3EA7"/>
    <w:rsid w:val="00EE3F8D"/>
    <w:rsid w:val="00EE444A"/>
    <w:rsid w:val="00EE48A5"/>
    <w:rsid w:val="00EE4EC2"/>
    <w:rsid w:val="00EE4EF1"/>
    <w:rsid w:val="00EE64E7"/>
    <w:rsid w:val="00EE6893"/>
    <w:rsid w:val="00EE6B06"/>
    <w:rsid w:val="00EE6B88"/>
    <w:rsid w:val="00EE7061"/>
    <w:rsid w:val="00EE728A"/>
    <w:rsid w:val="00EE7434"/>
    <w:rsid w:val="00EE7601"/>
    <w:rsid w:val="00EE772E"/>
    <w:rsid w:val="00EF00F3"/>
    <w:rsid w:val="00EF0171"/>
    <w:rsid w:val="00EF0620"/>
    <w:rsid w:val="00EF0887"/>
    <w:rsid w:val="00EF0F32"/>
    <w:rsid w:val="00EF159E"/>
    <w:rsid w:val="00EF15DA"/>
    <w:rsid w:val="00EF18A9"/>
    <w:rsid w:val="00EF1B25"/>
    <w:rsid w:val="00EF1DA0"/>
    <w:rsid w:val="00EF1DFB"/>
    <w:rsid w:val="00EF214A"/>
    <w:rsid w:val="00EF251D"/>
    <w:rsid w:val="00EF271A"/>
    <w:rsid w:val="00EF2AB1"/>
    <w:rsid w:val="00EF2F2C"/>
    <w:rsid w:val="00EF3946"/>
    <w:rsid w:val="00EF3B99"/>
    <w:rsid w:val="00EF3C99"/>
    <w:rsid w:val="00EF3E56"/>
    <w:rsid w:val="00EF3F91"/>
    <w:rsid w:val="00EF4189"/>
    <w:rsid w:val="00EF4747"/>
    <w:rsid w:val="00EF47B9"/>
    <w:rsid w:val="00EF4BF8"/>
    <w:rsid w:val="00EF4D96"/>
    <w:rsid w:val="00EF4DBC"/>
    <w:rsid w:val="00EF4FC8"/>
    <w:rsid w:val="00EF4FD0"/>
    <w:rsid w:val="00EF52A3"/>
    <w:rsid w:val="00EF61C8"/>
    <w:rsid w:val="00EF6B0F"/>
    <w:rsid w:val="00EF6D98"/>
    <w:rsid w:val="00EF79F2"/>
    <w:rsid w:val="00EF7E4E"/>
    <w:rsid w:val="00F007F4"/>
    <w:rsid w:val="00F0134D"/>
    <w:rsid w:val="00F0166B"/>
    <w:rsid w:val="00F01672"/>
    <w:rsid w:val="00F017B5"/>
    <w:rsid w:val="00F01E9F"/>
    <w:rsid w:val="00F01EC5"/>
    <w:rsid w:val="00F02253"/>
    <w:rsid w:val="00F028E5"/>
    <w:rsid w:val="00F02C55"/>
    <w:rsid w:val="00F02F42"/>
    <w:rsid w:val="00F02F93"/>
    <w:rsid w:val="00F03000"/>
    <w:rsid w:val="00F0340F"/>
    <w:rsid w:val="00F0378B"/>
    <w:rsid w:val="00F03A6B"/>
    <w:rsid w:val="00F03BB2"/>
    <w:rsid w:val="00F03C2E"/>
    <w:rsid w:val="00F03F51"/>
    <w:rsid w:val="00F03FBE"/>
    <w:rsid w:val="00F03FCA"/>
    <w:rsid w:val="00F03FED"/>
    <w:rsid w:val="00F04886"/>
    <w:rsid w:val="00F04A66"/>
    <w:rsid w:val="00F04B4B"/>
    <w:rsid w:val="00F04F09"/>
    <w:rsid w:val="00F0516C"/>
    <w:rsid w:val="00F053D7"/>
    <w:rsid w:val="00F05675"/>
    <w:rsid w:val="00F05848"/>
    <w:rsid w:val="00F05FFF"/>
    <w:rsid w:val="00F062E2"/>
    <w:rsid w:val="00F06565"/>
    <w:rsid w:val="00F0666A"/>
    <w:rsid w:val="00F067A2"/>
    <w:rsid w:val="00F0693B"/>
    <w:rsid w:val="00F06AFB"/>
    <w:rsid w:val="00F07B9E"/>
    <w:rsid w:val="00F102B4"/>
    <w:rsid w:val="00F1087D"/>
    <w:rsid w:val="00F1116F"/>
    <w:rsid w:val="00F119F0"/>
    <w:rsid w:val="00F11D53"/>
    <w:rsid w:val="00F1263A"/>
    <w:rsid w:val="00F133D2"/>
    <w:rsid w:val="00F1350A"/>
    <w:rsid w:val="00F136A0"/>
    <w:rsid w:val="00F1372A"/>
    <w:rsid w:val="00F139C5"/>
    <w:rsid w:val="00F13AF2"/>
    <w:rsid w:val="00F143A5"/>
    <w:rsid w:val="00F146C0"/>
    <w:rsid w:val="00F1499B"/>
    <w:rsid w:val="00F14A1C"/>
    <w:rsid w:val="00F15B77"/>
    <w:rsid w:val="00F16038"/>
    <w:rsid w:val="00F16574"/>
    <w:rsid w:val="00F165AE"/>
    <w:rsid w:val="00F16BA7"/>
    <w:rsid w:val="00F17319"/>
    <w:rsid w:val="00F175CA"/>
    <w:rsid w:val="00F17607"/>
    <w:rsid w:val="00F17B17"/>
    <w:rsid w:val="00F17D17"/>
    <w:rsid w:val="00F17F75"/>
    <w:rsid w:val="00F202CE"/>
    <w:rsid w:val="00F2060A"/>
    <w:rsid w:val="00F20D4A"/>
    <w:rsid w:val="00F21236"/>
    <w:rsid w:val="00F2164B"/>
    <w:rsid w:val="00F21E62"/>
    <w:rsid w:val="00F22573"/>
    <w:rsid w:val="00F22830"/>
    <w:rsid w:val="00F22A19"/>
    <w:rsid w:val="00F22B1D"/>
    <w:rsid w:val="00F22BF2"/>
    <w:rsid w:val="00F23288"/>
    <w:rsid w:val="00F239DF"/>
    <w:rsid w:val="00F243F8"/>
    <w:rsid w:val="00F24509"/>
    <w:rsid w:val="00F2473F"/>
    <w:rsid w:val="00F247E9"/>
    <w:rsid w:val="00F24837"/>
    <w:rsid w:val="00F248D8"/>
    <w:rsid w:val="00F2575F"/>
    <w:rsid w:val="00F259B2"/>
    <w:rsid w:val="00F25CB8"/>
    <w:rsid w:val="00F2718E"/>
    <w:rsid w:val="00F27565"/>
    <w:rsid w:val="00F2769B"/>
    <w:rsid w:val="00F276D6"/>
    <w:rsid w:val="00F27849"/>
    <w:rsid w:val="00F310D4"/>
    <w:rsid w:val="00F31D5A"/>
    <w:rsid w:val="00F32453"/>
    <w:rsid w:val="00F324B5"/>
    <w:rsid w:val="00F32D68"/>
    <w:rsid w:val="00F32F1B"/>
    <w:rsid w:val="00F33107"/>
    <w:rsid w:val="00F33975"/>
    <w:rsid w:val="00F33DE9"/>
    <w:rsid w:val="00F3443F"/>
    <w:rsid w:val="00F34FAB"/>
    <w:rsid w:val="00F3521B"/>
    <w:rsid w:val="00F35E6D"/>
    <w:rsid w:val="00F360DF"/>
    <w:rsid w:val="00F3619A"/>
    <w:rsid w:val="00F36296"/>
    <w:rsid w:val="00F379B1"/>
    <w:rsid w:val="00F40703"/>
    <w:rsid w:val="00F40AAA"/>
    <w:rsid w:val="00F40BA7"/>
    <w:rsid w:val="00F40F9D"/>
    <w:rsid w:val="00F41591"/>
    <w:rsid w:val="00F41AB2"/>
    <w:rsid w:val="00F41ACD"/>
    <w:rsid w:val="00F41DAB"/>
    <w:rsid w:val="00F41F9E"/>
    <w:rsid w:val="00F4200C"/>
    <w:rsid w:val="00F42637"/>
    <w:rsid w:val="00F4299E"/>
    <w:rsid w:val="00F42B53"/>
    <w:rsid w:val="00F42E75"/>
    <w:rsid w:val="00F43328"/>
    <w:rsid w:val="00F44734"/>
    <w:rsid w:val="00F44981"/>
    <w:rsid w:val="00F45872"/>
    <w:rsid w:val="00F46958"/>
    <w:rsid w:val="00F46CB6"/>
    <w:rsid w:val="00F470FB"/>
    <w:rsid w:val="00F473C6"/>
    <w:rsid w:val="00F4756D"/>
    <w:rsid w:val="00F4764A"/>
    <w:rsid w:val="00F47DE8"/>
    <w:rsid w:val="00F5024B"/>
    <w:rsid w:val="00F51642"/>
    <w:rsid w:val="00F53A2F"/>
    <w:rsid w:val="00F53D21"/>
    <w:rsid w:val="00F542C1"/>
    <w:rsid w:val="00F5460B"/>
    <w:rsid w:val="00F54B52"/>
    <w:rsid w:val="00F54BC0"/>
    <w:rsid w:val="00F550E3"/>
    <w:rsid w:val="00F55273"/>
    <w:rsid w:val="00F5537F"/>
    <w:rsid w:val="00F55936"/>
    <w:rsid w:val="00F55C67"/>
    <w:rsid w:val="00F55D41"/>
    <w:rsid w:val="00F55E73"/>
    <w:rsid w:val="00F55E94"/>
    <w:rsid w:val="00F55EDA"/>
    <w:rsid w:val="00F5671A"/>
    <w:rsid w:val="00F56BA8"/>
    <w:rsid w:val="00F56C80"/>
    <w:rsid w:val="00F572DC"/>
    <w:rsid w:val="00F576AE"/>
    <w:rsid w:val="00F60092"/>
    <w:rsid w:val="00F6066D"/>
    <w:rsid w:val="00F60919"/>
    <w:rsid w:val="00F60E42"/>
    <w:rsid w:val="00F614DF"/>
    <w:rsid w:val="00F61C18"/>
    <w:rsid w:val="00F61C59"/>
    <w:rsid w:val="00F6273F"/>
    <w:rsid w:val="00F6290E"/>
    <w:rsid w:val="00F63050"/>
    <w:rsid w:val="00F6343D"/>
    <w:rsid w:val="00F63946"/>
    <w:rsid w:val="00F63A4A"/>
    <w:rsid w:val="00F64329"/>
    <w:rsid w:val="00F64649"/>
    <w:rsid w:val="00F65394"/>
    <w:rsid w:val="00F656AE"/>
    <w:rsid w:val="00F65F4B"/>
    <w:rsid w:val="00F66156"/>
    <w:rsid w:val="00F664FD"/>
    <w:rsid w:val="00F66C2E"/>
    <w:rsid w:val="00F66C8F"/>
    <w:rsid w:val="00F67326"/>
    <w:rsid w:val="00F675AE"/>
    <w:rsid w:val="00F67A69"/>
    <w:rsid w:val="00F67C5C"/>
    <w:rsid w:val="00F70BFF"/>
    <w:rsid w:val="00F70C48"/>
    <w:rsid w:val="00F70C9D"/>
    <w:rsid w:val="00F711ED"/>
    <w:rsid w:val="00F71C59"/>
    <w:rsid w:val="00F72548"/>
    <w:rsid w:val="00F7279B"/>
    <w:rsid w:val="00F72BD1"/>
    <w:rsid w:val="00F72BEB"/>
    <w:rsid w:val="00F72EF3"/>
    <w:rsid w:val="00F7310C"/>
    <w:rsid w:val="00F73634"/>
    <w:rsid w:val="00F73E08"/>
    <w:rsid w:val="00F7412F"/>
    <w:rsid w:val="00F7436F"/>
    <w:rsid w:val="00F74487"/>
    <w:rsid w:val="00F74791"/>
    <w:rsid w:val="00F749A9"/>
    <w:rsid w:val="00F74CD9"/>
    <w:rsid w:val="00F75668"/>
    <w:rsid w:val="00F756C0"/>
    <w:rsid w:val="00F75DBC"/>
    <w:rsid w:val="00F76348"/>
    <w:rsid w:val="00F765CC"/>
    <w:rsid w:val="00F769DC"/>
    <w:rsid w:val="00F76A44"/>
    <w:rsid w:val="00F76E20"/>
    <w:rsid w:val="00F76F79"/>
    <w:rsid w:val="00F771DF"/>
    <w:rsid w:val="00F7790E"/>
    <w:rsid w:val="00F77A4F"/>
    <w:rsid w:val="00F77B7A"/>
    <w:rsid w:val="00F804AD"/>
    <w:rsid w:val="00F80A7B"/>
    <w:rsid w:val="00F80E4F"/>
    <w:rsid w:val="00F80E5D"/>
    <w:rsid w:val="00F80EAC"/>
    <w:rsid w:val="00F81DBC"/>
    <w:rsid w:val="00F81E78"/>
    <w:rsid w:val="00F82084"/>
    <w:rsid w:val="00F8259B"/>
    <w:rsid w:val="00F82A22"/>
    <w:rsid w:val="00F82AFA"/>
    <w:rsid w:val="00F82CD9"/>
    <w:rsid w:val="00F83455"/>
    <w:rsid w:val="00F83916"/>
    <w:rsid w:val="00F83EA9"/>
    <w:rsid w:val="00F841E3"/>
    <w:rsid w:val="00F844FB"/>
    <w:rsid w:val="00F84975"/>
    <w:rsid w:val="00F851CE"/>
    <w:rsid w:val="00F86CBA"/>
    <w:rsid w:val="00F91219"/>
    <w:rsid w:val="00F91319"/>
    <w:rsid w:val="00F9132E"/>
    <w:rsid w:val="00F91BA0"/>
    <w:rsid w:val="00F92444"/>
    <w:rsid w:val="00F92508"/>
    <w:rsid w:val="00F92F63"/>
    <w:rsid w:val="00F9393E"/>
    <w:rsid w:val="00F93A10"/>
    <w:rsid w:val="00F93DDC"/>
    <w:rsid w:val="00F94363"/>
    <w:rsid w:val="00F945DA"/>
    <w:rsid w:val="00F954A2"/>
    <w:rsid w:val="00F959DD"/>
    <w:rsid w:val="00F960E8"/>
    <w:rsid w:val="00F9690D"/>
    <w:rsid w:val="00F96A11"/>
    <w:rsid w:val="00F96FD0"/>
    <w:rsid w:val="00F96FE6"/>
    <w:rsid w:val="00F9738D"/>
    <w:rsid w:val="00F97572"/>
    <w:rsid w:val="00F97A78"/>
    <w:rsid w:val="00FA03DE"/>
    <w:rsid w:val="00FA05ED"/>
    <w:rsid w:val="00FA06E2"/>
    <w:rsid w:val="00FA083E"/>
    <w:rsid w:val="00FA0B20"/>
    <w:rsid w:val="00FA0E00"/>
    <w:rsid w:val="00FA0E5B"/>
    <w:rsid w:val="00FA110F"/>
    <w:rsid w:val="00FA1149"/>
    <w:rsid w:val="00FA1EDC"/>
    <w:rsid w:val="00FA21ED"/>
    <w:rsid w:val="00FA24E7"/>
    <w:rsid w:val="00FA2D23"/>
    <w:rsid w:val="00FA3601"/>
    <w:rsid w:val="00FA39BF"/>
    <w:rsid w:val="00FA4E8F"/>
    <w:rsid w:val="00FA5020"/>
    <w:rsid w:val="00FA5428"/>
    <w:rsid w:val="00FA55D7"/>
    <w:rsid w:val="00FA5DA8"/>
    <w:rsid w:val="00FA5EE6"/>
    <w:rsid w:val="00FA61F7"/>
    <w:rsid w:val="00FA6517"/>
    <w:rsid w:val="00FA659B"/>
    <w:rsid w:val="00FA66E8"/>
    <w:rsid w:val="00FA6D9B"/>
    <w:rsid w:val="00FA6E0E"/>
    <w:rsid w:val="00FA70FE"/>
    <w:rsid w:val="00FA73A3"/>
    <w:rsid w:val="00FA7481"/>
    <w:rsid w:val="00FA778D"/>
    <w:rsid w:val="00FA7956"/>
    <w:rsid w:val="00FA7B58"/>
    <w:rsid w:val="00FB0641"/>
    <w:rsid w:val="00FB0797"/>
    <w:rsid w:val="00FB0824"/>
    <w:rsid w:val="00FB0A9E"/>
    <w:rsid w:val="00FB11A7"/>
    <w:rsid w:val="00FB1D1F"/>
    <w:rsid w:val="00FB1E3D"/>
    <w:rsid w:val="00FB2FCB"/>
    <w:rsid w:val="00FB3277"/>
    <w:rsid w:val="00FB39CA"/>
    <w:rsid w:val="00FB46B9"/>
    <w:rsid w:val="00FB46E9"/>
    <w:rsid w:val="00FB4863"/>
    <w:rsid w:val="00FB4C9C"/>
    <w:rsid w:val="00FB4E94"/>
    <w:rsid w:val="00FB4F55"/>
    <w:rsid w:val="00FB5336"/>
    <w:rsid w:val="00FB54E2"/>
    <w:rsid w:val="00FB64AA"/>
    <w:rsid w:val="00FB68EF"/>
    <w:rsid w:val="00FB6CB5"/>
    <w:rsid w:val="00FB6E1A"/>
    <w:rsid w:val="00FB7568"/>
    <w:rsid w:val="00FB7761"/>
    <w:rsid w:val="00FB7A13"/>
    <w:rsid w:val="00FB7C55"/>
    <w:rsid w:val="00FC0140"/>
    <w:rsid w:val="00FC1074"/>
    <w:rsid w:val="00FC1884"/>
    <w:rsid w:val="00FC1FC3"/>
    <w:rsid w:val="00FC2256"/>
    <w:rsid w:val="00FC264D"/>
    <w:rsid w:val="00FC26AE"/>
    <w:rsid w:val="00FC3037"/>
    <w:rsid w:val="00FC371D"/>
    <w:rsid w:val="00FC37FE"/>
    <w:rsid w:val="00FC3CD6"/>
    <w:rsid w:val="00FC4546"/>
    <w:rsid w:val="00FC4AB5"/>
    <w:rsid w:val="00FC4FC0"/>
    <w:rsid w:val="00FC51E4"/>
    <w:rsid w:val="00FC534F"/>
    <w:rsid w:val="00FC5783"/>
    <w:rsid w:val="00FC5D2E"/>
    <w:rsid w:val="00FC5D91"/>
    <w:rsid w:val="00FC5F0B"/>
    <w:rsid w:val="00FC6439"/>
    <w:rsid w:val="00FC6488"/>
    <w:rsid w:val="00FC6545"/>
    <w:rsid w:val="00FC6878"/>
    <w:rsid w:val="00FC79D9"/>
    <w:rsid w:val="00FC7A2C"/>
    <w:rsid w:val="00FD00C2"/>
    <w:rsid w:val="00FD046B"/>
    <w:rsid w:val="00FD05AA"/>
    <w:rsid w:val="00FD124F"/>
    <w:rsid w:val="00FD2100"/>
    <w:rsid w:val="00FD346B"/>
    <w:rsid w:val="00FD3686"/>
    <w:rsid w:val="00FD3A7B"/>
    <w:rsid w:val="00FD436C"/>
    <w:rsid w:val="00FD446D"/>
    <w:rsid w:val="00FD496D"/>
    <w:rsid w:val="00FD4F2C"/>
    <w:rsid w:val="00FD520E"/>
    <w:rsid w:val="00FD53BB"/>
    <w:rsid w:val="00FD5FA4"/>
    <w:rsid w:val="00FD6024"/>
    <w:rsid w:val="00FD6114"/>
    <w:rsid w:val="00FD6394"/>
    <w:rsid w:val="00FD69B6"/>
    <w:rsid w:val="00FD6F6D"/>
    <w:rsid w:val="00FD76F7"/>
    <w:rsid w:val="00FD7846"/>
    <w:rsid w:val="00FD7E50"/>
    <w:rsid w:val="00FE024C"/>
    <w:rsid w:val="00FE04A9"/>
    <w:rsid w:val="00FE054A"/>
    <w:rsid w:val="00FE0798"/>
    <w:rsid w:val="00FE096D"/>
    <w:rsid w:val="00FE0CA6"/>
    <w:rsid w:val="00FE0E6C"/>
    <w:rsid w:val="00FE1CDC"/>
    <w:rsid w:val="00FE2BAA"/>
    <w:rsid w:val="00FE2FC9"/>
    <w:rsid w:val="00FE32B5"/>
    <w:rsid w:val="00FE3C65"/>
    <w:rsid w:val="00FE3CCF"/>
    <w:rsid w:val="00FE3E87"/>
    <w:rsid w:val="00FE3F6C"/>
    <w:rsid w:val="00FE4078"/>
    <w:rsid w:val="00FE44A9"/>
    <w:rsid w:val="00FE4E59"/>
    <w:rsid w:val="00FE51C7"/>
    <w:rsid w:val="00FE5418"/>
    <w:rsid w:val="00FE61D9"/>
    <w:rsid w:val="00FE6580"/>
    <w:rsid w:val="00FE6FA4"/>
    <w:rsid w:val="00FE70C3"/>
    <w:rsid w:val="00FE74D2"/>
    <w:rsid w:val="00FE76EA"/>
    <w:rsid w:val="00FF06E8"/>
    <w:rsid w:val="00FF173D"/>
    <w:rsid w:val="00FF17A9"/>
    <w:rsid w:val="00FF1A8B"/>
    <w:rsid w:val="00FF1A93"/>
    <w:rsid w:val="00FF2606"/>
    <w:rsid w:val="00FF2AD9"/>
    <w:rsid w:val="00FF359F"/>
    <w:rsid w:val="00FF3829"/>
    <w:rsid w:val="00FF3C5D"/>
    <w:rsid w:val="00FF3DCF"/>
    <w:rsid w:val="00FF3FEE"/>
    <w:rsid w:val="00FF492C"/>
    <w:rsid w:val="00FF4A21"/>
    <w:rsid w:val="00FF52FA"/>
    <w:rsid w:val="00FF5AA3"/>
    <w:rsid w:val="00FF5AD8"/>
    <w:rsid w:val="00FF5BE1"/>
    <w:rsid w:val="00FF5E76"/>
    <w:rsid w:val="00FF6CA5"/>
    <w:rsid w:val="00FF6D43"/>
    <w:rsid w:val="00FF7458"/>
    <w:rsid w:val="00FF7E6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uiPriority="9"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891"/>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table header,Caption Char Char,Caption Char1 Char Char,Caption Char Char Char Char,Caption Char1 Char Char Char Char,Caption Char Char Char Char Char Char,Caption Char1 Char Char Char Char Char Char,Table and Figure Name,Table caption,Ch"/>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table header Char,Caption Char Char Char,Caption Char1 Char Char Char,Caption Char Char Char Char Char,Caption Char1 Char Char Char Char Char,Caption Char Char Char Char Char Char Char,Table and Figure Name Char,Table 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Section 5,Bullet 1,Bullet List,Figure_name,Numbered Indented Text,Bullet- First level,lp1,L,n"/>
    <w:link w:val="ListParagraphChar"/>
    <w:uiPriority w:val="34"/>
    <w:qFormat/>
    <w:rsid w:val="00D6091E"/>
    <w:pPr>
      <w:numPr>
        <w:numId w:val="7"/>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Section 5 Char,Bullet 1 Char,lp1 Char"/>
    <w:basedOn w:val="DefaultParagraphFont"/>
    <w:link w:val="ListParagraph"/>
    <w:uiPriority w:val="34"/>
    <w:qFormat/>
    <w:locked/>
    <w:rsid w:val="00D6091E"/>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HealthConsult,new style,RTI AMCP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aliases w:val="Hyperlink - H39"/>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uiPriority w:val="3"/>
    <w:qFormat/>
    <w:rsid w:val="0029227B"/>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012F14"/>
    <w:pPr>
      <w:keepNext/>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8"/>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BC4120"/>
    <w:pPr>
      <w:keepNext/>
      <w:spacing w:before="160" w:after="120"/>
    </w:pPr>
    <w:rPr>
      <w:rFonts w:asciiTheme="minorHAnsi" w:eastAsiaTheme="majorEastAsia" w:hAnsiTheme="minorHAnsi" w:cstheme="minorHAnsi"/>
      <w:color w:val="000000" w:themeColor="text1"/>
      <w:spacing w:val="5"/>
      <w:kern w:val="28"/>
      <w:szCs w:val="36"/>
      <w:lang w:eastAsia="en-US"/>
    </w:rPr>
  </w:style>
  <w:style w:type="character" w:customStyle="1" w:styleId="4-SubsectionHeadingChar">
    <w:name w:val="4-Subsection Heading Char"/>
    <w:basedOn w:val="Heading2Char"/>
    <w:link w:val="4-SubsectionHeading"/>
    <w:rsid w:val="00BC4120"/>
    <w:rPr>
      <w:rFonts w:asciiTheme="minorHAnsi" w:eastAsiaTheme="majorEastAsia" w:hAnsiTheme="minorHAnsi" w:cstheme="minorHAns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qFormat/>
    <w:rsid w:val="00EE1996"/>
    <w:pPr>
      <w:numPr>
        <w:numId w:val="3"/>
      </w:numPr>
      <w:contextualSpacing/>
    </w:pPr>
  </w:style>
  <w:style w:type="character" w:customStyle="1" w:styleId="TableTextChar0">
    <w:name w:val="Table Text Char"/>
    <w:basedOn w:val="DefaultParagraphFont"/>
    <w:link w:val="TableText0"/>
    <w:uiPriority w:val="3"/>
    <w:rsid w:val="0029227B"/>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4750F9"/>
    <w:pPr>
      <w:widowControl w:val="0"/>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4750F9"/>
    <w:rPr>
      <w:rFonts w:ascii="Arial Narrow" w:hAnsi="Arial Narrow" w:cs="Arial"/>
      <w:snapToGrid w:val="0"/>
      <w:sz w:val="18"/>
      <w:szCs w:val="22"/>
    </w:rPr>
  </w:style>
  <w:style w:type="paragraph" w:styleId="FootnoteText">
    <w:name w:val="footnote text"/>
    <w:basedOn w:val="Normal"/>
    <w:link w:val="FootnoteTextChar"/>
    <w:unhideWhenUsed/>
    <w:rsid w:val="00A546AE"/>
    <w:rPr>
      <w:sz w:val="20"/>
      <w:szCs w:val="20"/>
    </w:rPr>
  </w:style>
  <w:style w:type="character" w:customStyle="1" w:styleId="FootnoteTextChar">
    <w:name w:val="Footnote Text Char"/>
    <w:basedOn w:val="DefaultParagraphFont"/>
    <w:link w:val="FootnoteText"/>
    <w:rsid w:val="00A546AE"/>
    <w:rPr>
      <w:rFonts w:ascii="Calibri" w:hAnsi="Calibri" w:cs="Arial"/>
    </w:rPr>
  </w:style>
  <w:style w:type="character" w:styleId="FootnoteReference">
    <w:name w:val="footnote reference"/>
    <w:basedOn w:val="DefaultParagraphFont"/>
    <w:semiHidden/>
    <w:unhideWhenUsed/>
    <w:rsid w:val="00A546AE"/>
    <w:rPr>
      <w:vertAlign w:val="superscript"/>
    </w:rPr>
  </w:style>
  <w:style w:type="character" w:styleId="UnresolvedMention">
    <w:name w:val="Unresolved Mention"/>
    <w:basedOn w:val="DefaultParagraphFont"/>
    <w:uiPriority w:val="99"/>
    <w:semiHidden/>
    <w:unhideWhenUsed/>
    <w:rsid w:val="00580C86"/>
    <w:rPr>
      <w:color w:val="605E5C"/>
      <w:shd w:val="clear" w:color="auto" w:fill="E1DFDD"/>
    </w:rPr>
  </w:style>
  <w:style w:type="table" w:styleId="GridTable4-Accent2">
    <w:name w:val="Grid Table 4 Accent 2"/>
    <w:basedOn w:val="TableNormal"/>
    <w:uiPriority w:val="49"/>
    <w:rsid w:val="006C0A0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Elegant">
    <w:name w:val="Table Elegant"/>
    <w:basedOn w:val="TableNormal"/>
    <w:semiHidden/>
    <w:unhideWhenUsed/>
    <w:rsid w:val="0017538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mall">
    <w:name w:val="Small"/>
    <w:basedOn w:val="DefaultParagraphFont"/>
    <w:uiPriority w:val="4"/>
    <w:qFormat/>
    <w:rsid w:val="00F32D68"/>
    <w:rPr>
      <w:rFonts w:ascii="Calibri" w:hAnsi="Calibri"/>
      <w:sz w:val="20"/>
    </w:rPr>
  </w:style>
  <w:style w:type="table" w:customStyle="1" w:styleId="Submissionstandard">
    <w:name w:val="Submission standard"/>
    <w:basedOn w:val="TableNormal"/>
    <w:uiPriority w:val="99"/>
    <w:qFormat/>
    <w:rsid w:val="00E80022"/>
    <w:rPr>
      <w:rFonts w:ascii="Arial Narrow" w:eastAsiaTheme="majorEastAsia" w:hAnsi="Arial Narrow" w:cstheme="majorBidi"/>
      <w:szCs w:val="22"/>
      <w:lang w:val="en-US" w:eastAsia="en-US" w:bidi="en-US"/>
    </w:rPr>
    <w:tblPr>
      <w:tblInd w:w="0" w:type="nil"/>
    </w:tblPr>
    <w:tcPr>
      <w:shd w:val="clear" w:color="auto" w:fill="FFFFFF" w:themeFill="background1"/>
    </w:tcPr>
    <w:tblStylePr w:type="firstRow">
      <w:rPr>
        <w:rFonts w:ascii="Times" w:hAnsi="Times" w:cs="Times" w:hint="default"/>
        <w:b/>
        <w:sz w:val="20"/>
        <w:szCs w:val="20"/>
      </w:rPr>
    </w:tblStylePr>
  </w:style>
  <w:style w:type="table" w:customStyle="1" w:styleId="Submissionstandard5">
    <w:name w:val="Submission standard5"/>
    <w:basedOn w:val="TableNormal"/>
    <w:uiPriority w:val="99"/>
    <w:qFormat/>
    <w:rsid w:val="000307E6"/>
    <w:rPr>
      <w:rFonts w:ascii="Arial Narrow" w:eastAsiaTheme="majorEastAsia" w:hAnsi="Arial Narrow" w:cstheme="majorBidi"/>
      <w:szCs w:val="22"/>
      <w:lang w:val="en-US" w:eastAsia="en-US" w:bidi="en-US"/>
    </w:rPr>
    <w:tblPr>
      <w:tblInd w:w="0" w:type="nil"/>
    </w:tblPr>
    <w:tcPr>
      <w:shd w:val="clear" w:color="auto" w:fill="FFFFFF"/>
    </w:tcPr>
    <w:tblStylePr w:type="firstRow">
      <w:rPr>
        <w:rFonts w:ascii="Bahnschrift Condensed" w:hAnsi="Bahnschrift Condensed" w:hint="default"/>
        <w:b/>
        <w:sz w:val="20"/>
        <w:szCs w:val="20"/>
      </w:rPr>
      <w:tblPr/>
      <w:tcPr>
        <w:shd w:val="clear" w:color="auto" w:fill="BFBFBF"/>
      </w:tcPr>
    </w:tblStylePr>
  </w:style>
  <w:style w:type="character" w:styleId="Mention">
    <w:name w:val="Mention"/>
    <w:basedOn w:val="DefaultParagraphFont"/>
    <w:uiPriority w:val="99"/>
    <w:unhideWhenUsed/>
    <w:rsid w:val="0030333C"/>
    <w:rPr>
      <w:color w:val="2B579A"/>
      <w:shd w:val="clear" w:color="auto" w:fill="E1DFDD"/>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568FD"/>
    <w:pPr>
      <w:spacing w:after="160" w:line="240" w:lineRule="exact"/>
      <w:jc w:val="left"/>
    </w:pPr>
    <w:rPr>
      <w:rFonts w:ascii="Verdana" w:eastAsia="MS Mincho" w:hAnsi="Verdana" w:cs="Verdana"/>
      <w:sz w:val="20"/>
      <w:szCs w:val="20"/>
      <w:lang w:val="en-US" w:eastAsia="en-US"/>
    </w:rPr>
  </w:style>
  <w:style w:type="character" w:customStyle="1" w:styleId="Heading1Char">
    <w:name w:val="Heading 1 Char"/>
    <w:basedOn w:val="DefaultParagraphFont"/>
    <w:link w:val="Heading1"/>
    <w:uiPriority w:val="1"/>
    <w:rsid w:val="00A568FD"/>
    <w:rPr>
      <w:rFonts w:ascii="Calibri" w:hAnsi="Calibri" w:cs="Arial"/>
      <w:b/>
      <w:caps/>
      <w:sz w:val="32"/>
      <w:szCs w:val="24"/>
    </w:rPr>
  </w:style>
  <w:style w:type="character" w:customStyle="1" w:styleId="text-widget">
    <w:name w:val="text-widget"/>
    <w:basedOn w:val="DefaultParagraphFont"/>
    <w:rsid w:val="00A568FD"/>
  </w:style>
  <w:style w:type="table" w:customStyle="1" w:styleId="TableGrid1">
    <w:name w:val="Table Grid1"/>
    <w:basedOn w:val="TableNormal"/>
    <w:next w:val="TableGrid"/>
    <w:uiPriority w:val="39"/>
    <w:rsid w:val="00A568FD"/>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568FD"/>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568FD"/>
    <w:rPr>
      <w:rFonts w:ascii="Calibri" w:hAnsi="Calibri" w:cs="Arial"/>
      <w:b/>
      <w:bCs/>
      <w:i/>
      <w:sz w:val="26"/>
      <w:szCs w:val="28"/>
    </w:rPr>
  </w:style>
  <w:style w:type="numbering" w:customStyle="1" w:styleId="FieconAppendixHeadings">
    <w:name w:val="Fiecon Appendix Headings"/>
    <w:basedOn w:val="NoList"/>
    <w:uiPriority w:val="99"/>
    <w:rsid w:val="00A568FD"/>
    <w:pPr>
      <w:numPr>
        <w:numId w:val="15"/>
      </w:numPr>
    </w:pPr>
  </w:style>
  <w:style w:type="character" w:customStyle="1" w:styleId="Heading3Char">
    <w:name w:val="Heading 3 Char"/>
    <w:basedOn w:val="DefaultParagraphFont"/>
    <w:link w:val="Heading3"/>
    <w:uiPriority w:val="9"/>
    <w:rsid w:val="00A568FD"/>
    <w:rPr>
      <w:rFonts w:ascii="Calibri" w:hAnsi="Calibri" w:cs="Arial"/>
      <w:sz w:val="24"/>
      <w:szCs w:val="24"/>
      <w:u w:val="single"/>
    </w:rPr>
  </w:style>
  <w:style w:type="paragraph" w:customStyle="1" w:styleId="3-SubsectionHeading">
    <w:name w:val="3-Subsection Heading"/>
    <w:basedOn w:val="Heading2"/>
    <w:next w:val="Normal"/>
    <w:link w:val="3-SubsectionHeadingChar"/>
    <w:qFormat/>
    <w:rsid w:val="00BC4120"/>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C4120"/>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w.officeapps.live.com/op/view.aspx?src=https%3A%2F%2Fd2rkmuse97gwnh.cloudfront.net%2Fa88aa6d6-3ca0-4362-a711-d53c45ae33ff%2Ff5ea92bf-e36b-421c-a9fe-af77243f0e42%2Ff5ea92bf-e36b-421c-a9fe-af77243f0e42_source__v.docx&amp;wdOrigin=BROWSELINK"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view.officeapps.live.com/op/view.aspx?src=https%3A%2F%2Fd2rkmuse97gwnh.cloudfront.net%2Fa88aa6d6-3ca0-4362-a711-d53c45ae33ff%2Ff5ea92bf-e36b-421c-a9fe-af77243f0e42%2Ff5ea92bf-e36b-421c-a9fe-af77243f0e42_source__v.docx&amp;wdOrigin=BROWSELINK" TargetMode="External"/><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d2rkmuse97gwnh.cloudfront.net%2Fa88aa6d6-3ca0-4362-a711-d53c45ae33ff%2Ff5ea92bf-e36b-421c-a9fe-af77243f0e42%2Ff5ea92bf-e36b-421c-a9fe-af77243f0e42_source__v.docx&amp;wdOrigin=BROWSELINK"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8C418-E336-4205-B5E5-CE8E82F99FE6}">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9E86A14B-55AB-4050-A287-78B5CD8A43B3}">
  <ds:schemaRefs>
    <ds:schemaRef ds:uri="http://schemas.openxmlformats.org/officeDocument/2006/bibliography"/>
  </ds:schemaRefs>
</ds:datastoreItem>
</file>

<file path=customXml/itemProps3.xml><?xml version="1.0" encoding="utf-8"?>
<ds:datastoreItem xmlns:ds="http://schemas.openxmlformats.org/officeDocument/2006/customXml" ds:itemID="{A676164C-3252-44A5-972B-1D68BBEB3FB8}">
  <ds:schemaRefs>
    <ds:schemaRef ds:uri="http://schemas.microsoft.com/sharepoint/v3/contenttype/forms"/>
  </ds:schemaRefs>
</ds:datastoreItem>
</file>

<file path=customXml/itemProps4.xml><?xml version="1.0" encoding="utf-8"?>
<ds:datastoreItem xmlns:ds="http://schemas.openxmlformats.org/officeDocument/2006/customXml" ds:itemID="{2B078A77-745B-40B6-B51E-75F0AB46C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19430</Words>
  <Characters>106867</Characters>
  <Application>Microsoft Office Word</Application>
  <DocSecurity>0</DocSecurity>
  <Lines>3053</Lines>
  <Paragraphs>1943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124354</CharactersWithSpaces>
  <SharedDoc>false</SharedDoc>
  <HLinks>
    <vt:vector size="18" baseType="variant">
      <vt:variant>
        <vt:i4>7274579</vt:i4>
      </vt:variant>
      <vt:variant>
        <vt:i4>27</vt:i4>
      </vt:variant>
      <vt:variant>
        <vt:i4>0</vt:i4>
      </vt:variant>
      <vt:variant>
        <vt:i4>5</vt:i4>
      </vt:variant>
      <vt:variant>
        <vt:lpwstr>https://view.officeapps.live.com/op/view.aspx?src=https%3A%2F%2Fd2rkmuse97gwnh.cloudfront.net%2Fa88aa6d6-3ca0-4362-a711-d53c45ae33ff%2Ff5ea92bf-e36b-421c-a9fe-af77243f0e42%2Ff5ea92bf-e36b-421c-a9fe-af77243f0e42_source__v.docx&amp;wdOrigin=BROWSELINK</vt:lpwstr>
      </vt:variant>
      <vt:variant>
        <vt:lpwstr/>
      </vt:variant>
      <vt:variant>
        <vt:i4>7274579</vt:i4>
      </vt:variant>
      <vt:variant>
        <vt:i4>18</vt:i4>
      </vt:variant>
      <vt:variant>
        <vt:i4>0</vt:i4>
      </vt:variant>
      <vt:variant>
        <vt:i4>5</vt:i4>
      </vt:variant>
      <vt:variant>
        <vt:lpwstr>https://view.officeapps.live.com/op/view.aspx?src=https%3A%2F%2Fd2rkmuse97gwnh.cloudfront.net%2Fa88aa6d6-3ca0-4362-a711-d53c45ae33ff%2Ff5ea92bf-e36b-421c-a9fe-af77243f0e42%2Ff5ea92bf-e36b-421c-a9fe-af77243f0e42_source__v.docx&amp;wdOrigin=BROWSELINK</vt:lpwstr>
      </vt:variant>
      <vt:variant>
        <vt:lpwstr/>
      </vt:variant>
      <vt:variant>
        <vt:i4>7274579</vt:i4>
      </vt:variant>
      <vt:variant>
        <vt:i4>9</vt:i4>
      </vt:variant>
      <vt:variant>
        <vt:i4>0</vt:i4>
      </vt:variant>
      <vt:variant>
        <vt:i4>5</vt:i4>
      </vt:variant>
      <vt:variant>
        <vt:lpwstr>https://view.officeapps.live.com/op/view.aspx?src=https%3A%2F%2Fd2rkmuse97gwnh.cloudfront.net%2Fa88aa6d6-3ca0-4362-a711-d53c45ae33ff%2Ff5ea92bf-e36b-421c-a9fe-af77243f0e42%2Ff5ea92bf-e36b-421c-a9fe-af77243f0e42_source__v.docx&amp;wdOrigin=BROWSELINK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2026-07-07T04:35:00Z</dcterms:created>
  <dcterms:modified xsi:type="dcterms:W3CDTF">2026-07-07T04:35:00Z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SiteId">
    <vt:lpwstr>34a3929c-73cf-4954-abfe-147dc3517892</vt:lpwstr>
  </property>
  <property fmtid="{D5CDD505-2E9C-101B-9397-08002B2CF9AE}" pid="3" name="ClassificationContentMarkingFooterText">
    <vt:lpwstr>OFFICIAL</vt:lpwstr>
  </property>
  <property fmtid="{D5CDD505-2E9C-101B-9397-08002B2CF9AE}" pid="4" name="MSIP_Label_7cd3e8b9-ffed-43a8-b7f4-cc2fa0382d36_Method">
    <vt:lpwstr>Privileged</vt:lpwstr>
  </property>
  <property fmtid="{D5CDD505-2E9C-101B-9397-08002B2CF9AE}" pid="5" name="MSIP_Label_7cd3e8b9-ffed-43a8-b7f4-cc2fa0382d36_Tag">
    <vt:lpwstr>10, 0, 1, 1</vt:lpwstr>
  </property>
  <property fmtid="{D5CDD505-2E9C-101B-9397-08002B2CF9AE}" pid="6" name="Order">
    <vt:r8>6976500</vt:r8>
  </property>
  <property fmtid="{D5CDD505-2E9C-101B-9397-08002B2CF9AE}" pid="7" name="ClassificationContentMarkingHeaderText">
    <vt:lpwstr>OFFICIAL</vt:lpwstr>
  </property>
  <property fmtid="{D5CDD505-2E9C-101B-9397-08002B2CF9AE}" pid="8" name="MSIP_Label_7cd3e8b9-ffed-43a8-b7f4-cc2fa0382d36_ActionId">
    <vt:lpwstr>64e4747c-2964-42bc-a735-11f7cb560ce2</vt:lpwstr>
  </property>
  <property fmtid="{D5CDD505-2E9C-101B-9397-08002B2CF9AE}" pid="9" name="xd_ProgID">
    <vt:lpwstr/>
  </property>
  <property fmtid="{D5CDD505-2E9C-101B-9397-08002B2CF9AE}" pid="10" name="MediaServiceImageTags">
    <vt:lpwstr/>
  </property>
  <property fmtid="{D5CDD505-2E9C-101B-9397-08002B2CF9AE}" pid="11" name="ContentTypeId">
    <vt:lpwstr>0x0101007FED174C5281F747A8037A05221D6DBD</vt:lpwstr>
  </property>
  <property fmtid="{D5CDD505-2E9C-101B-9397-08002B2CF9AE}" pid="12" name="ComplianceAssetId">
    <vt:lpwstr/>
  </property>
  <property fmtid="{D5CDD505-2E9C-101B-9397-08002B2CF9AE}" pid="13" name="ClassificationContentMarkingHeaderFontProps">
    <vt:lpwstr>#ff0000,12,Aptos</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SIP_Label_7cd3e8b9-ffed-43a8-b7f4-cc2fa0382d36_ContentBits">
    <vt:lpwstr>3</vt:lpwstr>
  </property>
  <property fmtid="{D5CDD505-2E9C-101B-9397-08002B2CF9AE}" pid="18" name="docLang">
    <vt:lpwstr>en</vt:lpwstr>
  </property>
  <property fmtid="{D5CDD505-2E9C-101B-9397-08002B2CF9AE}" pid="19" name="MSIP_Label_7cd3e8b9-ffed-43a8-b7f4-cc2fa0382d36_Name">
    <vt:lpwstr>O</vt:lpwstr>
  </property>
  <property fmtid="{D5CDD505-2E9C-101B-9397-08002B2CF9AE}" pid="20" name="ClassificationContentMarkingFooterShapeIds">
    <vt:lpwstr>2c7de107,db076a7,5164915e</vt:lpwstr>
  </property>
  <property fmtid="{D5CDD505-2E9C-101B-9397-08002B2CF9AE}" pid="21" name="MSIP_Label_7cd3e8b9-ffed-43a8-b7f4-cc2fa0382d36_Enabled">
    <vt:lpwstr>true</vt:lpwstr>
  </property>
  <property fmtid="{D5CDD505-2E9C-101B-9397-08002B2CF9AE}" pid="22" name="xd_Signature">
    <vt:bool>false</vt:bool>
  </property>
  <property fmtid="{D5CDD505-2E9C-101B-9397-08002B2CF9AE}" pid="23" name="ClassificationContentMarkingHeaderShapeIds">
    <vt:lpwstr>38cffa62,37976a89,6351a48b</vt:lpwstr>
  </property>
  <property fmtid="{D5CDD505-2E9C-101B-9397-08002B2CF9AE}" pid="24" name="ClassificationContentMarkingFooterFontProps">
    <vt:lpwstr>#ff0000,12,Aptos</vt:lpwstr>
  </property>
  <property fmtid="{D5CDD505-2E9C-101B-9397-08002B2CF9AE}" pid="25" name="MSIP_Label_7cd3e8b9-ffed-43a8-b7f4-cc2fa0382d36_SetDate">
    <vt:lpwstr>2026-02-25T02:34:08Z</vt:lpwstr>
  </property>
</Properties>
</file>