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6FA92ECA" w:rsidR="00B60939" w:rsidRPr="003D294A" w:rsidRDefault="00BC1195" w:rsidP="00CF7B47">
      <w:pPr>
        <w:pStyle w:val="COMH1-notnumbered"/>
      </w:pPr>
      <w:bookmarkStart w:id="0" w:name="_Toc219888377"/>
      <w:r w:rsidRPr="003D294A">
        <w:t>6</w:t>
      </w:r>
      <w:r w:rsidR="00433044" w:rsidRPr="003D294A">
        <w:t>.</w:t>
      </w:r>
      <w:r w:rsidRPr="003D294A">
        <w:t>11</w:t>
      </w:r>
      <w:r w:rsidR="00163F66" w:rsidRPr="003D294A">
        <w:tab/>
      </w:r>
      <w:r w:rsidR="00BD4FB0" w:rsidRPr="003D294A">
        <w:t>PEGCETACOPLAN</w:t>
      </w:r>
      <w:r w:rsidR="00163F66" w:rsidRPr="003D294A">
        <w:t>,</w:t>
      </w:r>
      <w:r w:rsidR="00163F66" w:rsidRPr="003D294A">
        <w:br/>
      </w:r>
      <w:r w:rsidR="00BD4FB0" w:rsidRPr="003D294A">
        <w:t>Solution for subcutaneous infusion 1,080 mg in 20 mL</w:t>
      </w:r>
      <w:r w:rsidR="00163F66" w:rsidRPr="003D294A">
        <w:t>,</w:t>
      </w:r>
      <w:r w:rsidR="00163F66" w:rsidRPr="003D294A">
        <w:br/>
      </w:r>
      <w:r w:rsidR="00615697" w:rsidRPr="003D294A">
        <w:t>Empaveli</w:t>
      </w:r>
      <w:r w:rsidR="00B60939" w:rsidRPr="003D294A">
        <w:rPr>
          <w:vertAlign w:val="superscript"/>
        </w:rPr>
        <w:t>®</w:t>
      </w:r>
      <w:r w:rsidR="004A6040" w:rsidRPr="003D294A">
        <w:t>,</w:t>
      </w:r>
      <w:r w:rsidR="004A6040" w:rsidRPr="003D294A">
        <w:br/>
      </w:r>
      <w:r w:rsidR="00D457FF" w:rsidRPr="003D294A">
        <w:t>Swedish Orphan Biovitrum Pty Ltd</w:t>
      </w:r>
      <w:r w:rsidR="00B60939" w:rsidRPr="003D294A">
        <w:t>.</w:t>
      </w:r>
      <w:bookmarkEnd w:id="0"/>
      <w:r w:rsidR="00F73E08" w:rsidRPr="003D294A">
        <w:t xml:space="preserve"> </w:t>
      </w:r>
    </w:p>
    <w:p w14:paraId="11C00795" w14:textId="3DFB6D23" w:rsidR="00B50DB8" w:rsidRPr="003D294A" w:rsidRDefault="00B50DB8" w:rsidP="00CF7B47">
      <w:pPr>
        <w:pStyle w:val="COMESH2"/>
      </w:pPr>
      <w:bookmarkStart w:id="1" w:name="_Toc219888379"/>
      <w:bookmarkStart w:id="2" w:name="_Ref222261492"/>
      <w:bookmarkStart w:id="3" w:name="_Ref222261495"/>
      <w:bookmarkStart w:id="4" w:name="_Ref222261497"/>
      <w:bookmarkStart w:id="5" w:name="_Ref222261498"/>
      <w:r w:rsidRPr="003D294A">
        <w:t xml:space="preserve">Purpose of </w:t>
      </w:r>
      <w:r w:rsidR="00CD7193" w:rsidRPr="003D294A">
        <w:t>s</w:t>
      </w:r>
      <w:r w:rsidR="00BB3A45" w:rsidRPr="003D294A">
        <w:t>ubmission</w:t>
      </w:r>
      <w:bookmarkEnd w:id="1"/>
      <w:bookmarkEnd w:id="2"/>
      <w:bookmarkEnd w:id="3"/>
      <w:bookmarkEnd w:id="4"/>
      <w:bookmarkEnd w:id="5"/>
    </w:p>
    <w:p w14:paraId="5D11014B" w14:textId="03C4D043" w:rsidR="00AA72E4" w:rsidRPr="003D294A" w:rsidRDefault="00AA72E4" w:rsidP="00CF7B47">
      <w:pPr>
        <w:pStyle w:val="COMESnumberedpara"/>
      </w:pPr>
      <w:r w:rsidRPr="003D294A">
        <w:t xml:space="preserve">The Category 2 submission requested a Section 100 (Highly Specialised Drugs Program), Authority Required (Written) listing for pegcetacoplan for the treatment of </w:t>
      </w:r>
      <w:r w:rsidR="00214540" w:rsidRPr="003D294A">
        <w:t xml:space="preserve">patients aged 12 years and older with </w:t>
      </w:r>
      <w:r w:rsidRPr="003D294A">
        <w:t>complement 3 glomerulopathy (C3G) or primary immune complex membranoproliferative glomerulonephritis (IC-MPGN).</w:t>
      </w:r>
    </w:p>
    <w:p w14:paraId="6D4C90A4" w14:textId="356A2564" w:rsidR="00FD2AF8" w:rsidRPr="003D294A" w:rsidRDefault="00FD2AF8" w:rsidP="00CF7B47">
      <w:pPr>
        <w:pStyle w:val="COMESnumberedpara"/>
      </w:pPr>
      <w:r w:rsidRPr="003D294A">
        <w:t xml:space="preserve">The submission claimed that there is a clinical need for disease-modifying treatments for C3G and primary IC-MPGN </w:t>
      </w:r>
      <w:r w:rsidR="005927F1" w:rsidRPr="003D294A">
        <w:t>as current treatment options are limited to supportive measures (aimed at reducing proteinuria and controlling blood pressure), and non-specific immunosuppressive therapies.</w:t>
      </w:r>
    </w:p>
    <w:p w14:paraId="4E9FBCB5" w14:textId="4564277E" w:rsidR="00C2778B" w:rsidRPr="003D294A" w:rsidRDefault="005750C5" w:rsidP="00CF7B47">
      <w:pPr>
        <w:pStyle w:val="COMESnumberedpara"/>
      </w:pPr>
      <w:r w:rsidRPr="003D294A">
        <w:t xml:space="preserve">Listing was requested </w:t>
      </w:r>
      <w:proofErr w:type="gramStart"/>
      <w:r w:rsidRPr="003D294A">
        <w:t>on the basis of</w:t>
      </w:r>
      <w:proofErr w:type="gramEnd"/>
      <w:r w:rsidR="009F7005" w:rsidRPr="003D294A">
        <w:t xml:space="preserve"> a cost-effectiveness analysis versus standard of care.</w:t>
      </w:r>
      <w:r w:rsidR="0098262F" w:rsidRPr="002A7FF2">
        <w:rPr>
          <w:color w:val="0066FF"/>
        </w:rPr>
        <w:t xml:space="preserve"> </w:t>
      </w:r>
    </w:p>
    <w:p w14:paraId="3718DE61" w14:textId="46BDF50E" w:rsidR="008B1757" w:rsidRPr="003D294A" w:rsidRDefault="00696EF9" w:rsidP="00CF7B47">
      <w:pPr>
        <w:pStyle w:val="COMTableFigurecaption"/>
      </w:pPr>
      <w:r w:rsidRPr="003D294A">
        <w:t xml:space="preserve">Table </w:t>
      </w:r>
      <w:fldSimple w:instr=" SEQ Table \* ARABIC ">
        <w:r w:rsidR="00632853">
          <w:rPr>
            <w:noProof/>
          </w:rPr>
          <w:t>1</w:t>
        </w:r>
      </w:fldSimple>
      <w:r w:rsidRPr="003D294A">
        <w:t>:</w:t>
      </w:r>
      <w:r w:rsidR="00BC591F" w:rsidRPr="003D294A">
        <w:t xml:space="preserve"> </w:t>
      </w:r>
      <w:r w:rsidR="008B1757" w:rsidRPr="003D294A">
        <w:t xml:space="preserve">Key components of the clinical issue addressed </w:t>
      </w:r>
      <w:r w:rsidR="00240E75" w:rsidRPr="003D294A">
        <w:t>in</w:t>
      </w:r>
      <w:r w:rsidR="008B1757" w:rsidRPr="003D294A">
        <w:t xml:space="preserve"> the submission</w:t>
      </w:r>
      <w:r w:rsidR="007170DA" w:rsidRPr="003D294A">
        <w:t xml:space="preserve">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 Key components of the clinical issue addressed in the submission "/>
      </w:tblPr>
      <w:tblGrid>
        <w:gridCol w:w="1381"/>
        <w:gridCol w:w="7657"/>
      </w:tblGrid>
      <w:tr w:rsidR="009F7005" w:rsidRPr="003D294A" w14:paraId="45571A53" w14:textId="77777777">
        <w:tc>
          <w:tcPr>
            <w:tcW w:w="1381" w:type="dxa"/>
            <w:vAlign w:val="center"/>
          </w:tcPr>
          <w:p w14:paraId="610ED404" w14:textId="77777777" w:rsidR="009F7005" w:rsidRPr="003D294A" w:rsidRDefault="009F7005" w:rsidP="00CF7B47">
            <w:pPr>
              <w:pStyle w:val="COMTableheadingrow"/>
            </w:pPr>
            <w:r w:rsidRPr="003D294A">
              <w:t>Component</w:t>
            </w:r>
          </w:p>
        </w:tc>
        <w:tc>
          <w:tcPr>
            <w:tcW w:w="7657" w:type="dxa"/>
            <w:vAlign w:val="center"/>
          </w:tcPr>
          <w:p w14:paraId="10E892DE" w14:textId="77777777" w:rsidR="009F7005" w:rsidRPr="003D294A" w:rsidRDefault="009F7005" w:rsidP="00CF7B47">
            <w:pPr>
              <w:pStyle w:val="COMTableheadingrow"/>
            </w:pPr>
            <w:r w:rsidRPr="003D294A">
              <w:t>Description</w:t>
            </w:r>
          </w:p>
        </w:tc>
      </w:tr>
      <w:tr w:rsidR="009F7005" w:rsidRPr="003D294A" w14:paraId="143277B9" w14:textId="77777777">
        <w:tc>
          <w:tcPr>
            <w:tcW w:w="1381" w:type="dxa"/>
            <w:vAlign w:val="center"/>
          </w:tcPr>
          <w:p w14:paraId="3999CD86" w14:textId="77777777" w:rsidR="009F7005" w:rsidRPr="003D294A" w:rsidRDefault="009F7005" w:rsidP="00CF7B47">
            <w:pPr>
              <w:pStyle w:val="COMTabletext"/>
            </w:pPr>
            <w:r w:rsidRPr="003D294A">
              <w:t>Population</w:t>
            </w:r>
          </w:p>
        </w:tc>
        <w:tc>
          <w:tcPr>
            <w:tcW w:w="7657" w:type="dxa"/>
            <w:vAlign w:val="center"/>
          </w:tcPr>
          <w:p w14:paraId="5C6E72AE" w14:textId="77777777" w:rsidR="009F7005" w:rsidRPr="003D294A" w:rsidRDefault="009F7005" w:rsidP="00CF7B47">
            <w:pPr>
              <w:pStyle w:val="COMTabletext"/>
            </w:pPr>
            <w:r w:rsidRPr="003D294A">
              <w:t>Patients aged ≥12 years with C3G or primary IC-MPGN with native kidneys or disease recurrence following a kidney transplant</w:t>
            </w:r>
          </w:p>
        </w:tc>
      </w:tr>
      <w:tr w:rsidR="009F7005" w:rsidRPr="003D294A" w14:paraId="08DAAF57" w14:textId="77777777">
        <w:tc>
          <w:tcPr>
            <w:tcW w:w="1381" w:type="dxa"/>
            <w:vAlign w:val="center"/>
          </w:tcPr>
          <w:p w14:paraId="6F27A702" w14:textId="77777777" w:rsidR="009F7005" w:rsidRPr="003D294A" w:rsidRDefault="009F7005" w:rsidP="00CF7B47">
            <w:pPr>
              <w:pStyle w:val="COMTabletext"/>
            </w:pPr>
            <w:r w:rsidRPr="003D294A">
              <w:t>Intervention</w:t>
            </w:r>
          </w:p>
        </w:tc>
        <w:tc>
          <w:tcPr>
            <w:tcW w:w="7657" w:type="dxa"/>
            <w:vAlign w:val="center"/>
          </w:tcPr>
          <w:p w14:paraId="5F3ED769" w14:textId="77777777" w:rsidR="009F7005" w:rsidRPr="003D294A" w:rsidRDefault="009F7005" w:rsidP="00CF7B47">
            <w:pPr>
              <w:pStyle w:val="COMTabletext"/>
            </w:pPr>
            <w:r w:rsidRPr="003D294A">
              <w:t xml:space="preserve">Pegcetacoplan 1,080 mg in 20 mL twice weekly subcutaneous infusion for adults and adolescents with ≥50 kg body weight. Weight-based dosing is recommended in adolescents with &lt;50 kg body weight </w:t>
            </w:r>
            <w:r w:rsidRPr="003D294A">
              <w:rPr>
                <w:vertAlign w:val="superscript"/>
              </w:rPr>
              <w:t>a</w:t>
            </w:r>
          </w:p>
        </w:tc>
      </w:tr>
      <w:tr w:rsidR="009F7005" w:rsidRPr="003D294A" w14:paraId="03C1AE51" w14:textId="77777777">
        <w:tc>
          <w:tcPr>
            <w:tcW w:w="1381" w:type="dxa"/>
            <w:vAlign w:val="center"/>
          </w:tcPr>
          <w:p w14:paraId="48854810" w14:textId="77777777" w:rsidR="009F7005" w:rsidRPr="003D294A" w:rsidRDefault="009F7005" w:rsidP="00CF7B47">
            <w:pPr>
              <w:pStyle w:val="COMTabletext"/>
            </w:pPr>
            <w:r w:rsidRPr="003D294A">
              <w:t>Comparator</w:t>
            </w:r>
          </w:p>
        </w:tc>
        <w:tc>
          <w:tcPr>
            <w:tcW w:w="7657" w:type="dxa"/>
            <w:vAlign w:val="center"/>
          </w:tcPr>
          <w:p w14:paraId="3C2A7524" w14:textId="77777777" w:rsidR="009F7005" w:rsidRPr="003D294A" w:rsidRDefault="009F7005" w:rsidP="00CF7B47">
            <w:pPr>
              <w:pStyle w:val="COMTabletext"/>
            </w:pPr>
            <w:r w:rsidRPr="003D294A">
              <w:t>Main comparator: standard of care consisting of RAAS blockade (ACEI/ARB), SGLT2i and lifestyle measures, with or without immunosuppressive therapies (corticosteroids, mycophenolate mofetil)</w:t>
            </w:r>
          </w:p>
          <w:p w14:paraId="43DCAC10" w14:textId="77777777" w:rsidR="009F7005" w:rsidRPr="003D294A" w:rsidRDefault="009F7005" w:rsidP="00CF7B47">
            <w:pPr>
              <w:pStyle w:val="COMTabletext"/>
            </w:pPr>
            <w:r w:rsidRPr="003D294A">
              <w:t>Near market comparator: iptacopan 200 mg orally twice daily</w:t>
            </w:r>
          </w:p>
        </w:tc>
      </w:tr>
      <w:tr w:rsidR="009F7005" w:rsidRPr="003D294A" w14:paraId="772599C4" w14:textId="77777777">
        <w:tc>
          <w:tcPr>
            <w:tcW w:w="1381" w:type="dxa"/>
            <w:vAlign w:val="center"/>
          </w:tcPr>
          <w:p w14:paraId="38491E5C" w14:textId="77777777" w:rsidR="009F7005" w:rsidRPr="003D294A" w:rsidRDefault="009F7005" w:rsidP="00CF7B47">
            <w:pPr>
              <w:pStyle w:val="COMTabletext"/>
            </w:pPr>
            <w:r w:rsidRPr="003D294A">
              <w:t>Outcomes</w:t>
            </w:r>
          </w:p>
        </w:tc>
        <w:tc>
          <w:tcPr>
            <w:tcW w:w="7657" w:type="dxa"/>
            <w:vAlign w:val="center"/>
          </w:tcPr>
          <w:p w14:paraId="681E8D74" w14:textId="77777777" w:rsidR="009F7005" w:rsidRPr="003D294A" w:rsidRDefault="009F7005" w:rsidP="00CF7B47">
            <w:pPr>
              <w:pStyle w:val="COMTabletext"/>
            </w:pPr>
            <w:r w:rsidRPr="003D294A">
              <w:t>Reduction in proteinuria and stabilisation/slowed decline in eGFR leading to delay/avoidance of end stage kidney disease and related improvements in survival and quality of life</w:t>
            </w:r>
          </w:p>
        </w:tc>
      </w:tr>
      <w:tr w:rsidR="009F7005" w:rsidRPr="003D294A" w14:paraId="41A0288E" w14:textId="77777777">
        <w:tc>
          <w:tcPr>
            <w:tcW w:w="1381" w:type="dxa"/>
            <w:vAlign w:val="center"/>
          </w:tcPr>
          <w:p w14:paraId="7888F35A" w14:textId="77777777" w:rsidR="009F7005" w:rsidRPr="003D294A" w:rsidRDefault="009F7005" w:rsidP="00CF7B47">
            <w:pPr>
              <w:pStyle w:val="COMTabletext"/>
            </w:pPr>
            <w:r w:rsidRPr="003D294A">
              <w:t>Clinical claim</w:t>
            </w:r>
          </w:p>
        </w:tc>
        <w:tc>
          <w:tcPr>
            <w:tcW w:w="7657" w:type="dxa"/>
            <w:vAlign w:val="center"/>
          </w:tcPr>
          <w:p w14:paraId="38ECCD57" w14:textId="77777777" w:rsidR="009F7005" w:rsidRPr="003D294A" w:rsidRDefault="009F7005" w:rsidP="00CF7B47">
            <w:pPr>
              <w:pStyle w:val="COMTabletext"/>
            </w:pPr>
            <w:r w:rsidRPr="003D294A">
              <w:t>Pegcetacoplan is superior in terms of efficacy and non-inferior in terms of safety compared to standard of care</w:t>
            </w:r>
          </w:p>
          <w:p w14:paraId="6F8E5001" w14:textId="77777777" w:rsidR="009F7005" w:rsidRPr="003D294A" w:rsidRDefault="009F7005" w:rsidP="00CF7B47">
            <w:pPr>
              <w:pStyle w:val="COMTabletext"/>
            </w:pPr>
            <w:r w:rsidRPr="003D294A">
              <w:t>Pegcetacoplan is likely to be superior in terms of efficacy compared to iptacopan. No clinical claim was made regarding comparative safety</w:t>
            </w:r>
          </w:p>
        </w:tc>
      </w:tr>
    </w:tbl>
    <w:p w14:paraId="3840A288" w14:textId="77777777" w:rsidR="009F7005" w:rsidRPr="003D294A" w:rsidRDefault="009F7005" w:rsidP="00CF7B47">
      <w:pPr>
        <w:pStyle w:val="COMTablefooter"/>
      </w:pPr>
      <w:r w:rsidRPr="003D294A">
        <w:t>Source: Table 1-1, p15 of the submission</w:t>
      </w:r>
    </w:p>
    <w:p w14:paraId="22A8182B" w14:textId="77777777" w:rsidR="009F7005" w:rsidRPr="003D294A" w:rsidRDefault="009F7005" w:rsidP="00CF7B47">
      <w:pPr>
        <w:pStyle w:val="COMTablefooter"/>
      </w:pPr>
      <w:r w:rsidRPr="003D294A">
        <w:t>Abbreviations: ACEI/ARB, angiotensin converting enzyme inhibitor or angiotensin receptor blocker; C3G, complement 3 glomerulopathy; eGFR, estimated glomerular filtration rate; IC-MPGN, immune-complex membranoproliferative glomerulonephritis; RAAS, renin-angiotensin-aldosterone-system; SGLT2i, sodium glucose co-transporter 2 inhibitor</w:t>
      </w:r>
    </w:p>
    <w:p w14:paraId="25B3FE84" w14:textId="77777777" w:rsidR="009F7005" w:rsidRPr="003D294A" w:rsidRDefault="009F7005" w:rsidP="00CF7B47">
      <w:pPr>
        <w:pStyle w:val="COMTablefooter"/>
      </w:pPr>
      <w:r w:rsidRPr="003D294A">
        <w:rPr>
          <w:vertAlign w:val="superscript"/>
        </w:rPr>
        <w:t>a</w:t>
      </w:r>
      <w:r w:rsidRPr="003D294A">
        <w:t xml:space="preserve"> Adolescents with 35 to &lt;50 kg body weight: twice weekly starting with a first dose of 648 mg then 810 mg subsequently; adolescents with 30 to &lt;35 kg: twice weekly starting with 540 mg for the first two doses then 648 mg subsequently </w:t>
      </w:r>
    </w:p>
    <w:p w14:paraId="6B4AB6C2" w14:textId="7F01D731" w:rsidR="005C25FF" w:rsidRPr="003D294A" w:rsidRDefault="005C25FF" w:rsidP="00CF7B47">
      <w:pPr>
        <w:pStyle w:val="COMESH2"/>
      </w:pPr>
      <w:bookmarkStart w:id="6" w:name="_Toc219888380"/>
      <w:r w:rsidRPr="003D294A">
        <w:lastRenderedPageBreak/>
        <w:t>Background</w:t>
      </w:r>
      <w:bookmarkEnd w:id="6"/>
    </w:p>
    <w:p w14:paraId="2C521D6D" w14:textId="78CF03EE" w:rsidR="005C25FF" w:rsidRPr="003D294A" w:rsidRDefault="005C25FF" w:rsidP="00CF7B47">
      <w:pPr>
        <w:pStyle w:val="COMESSubsectionheading"/>
      </w:pPr>
      <w:bookmarkStart w:id="7" w:name="_Toc22897638"/>
      <w:bookmarkStart w:id="8" w:name="_Toc219888381"/>
      <w:r w:rsidRPr="003D294A">
        <w:t>Registration status</w:t>
      </w:r>
      <w:bookmarkEnd w:id="7"/>
      <w:bookmarkEnd w:id="8"/>
    </w:p>
    <w:p w14:paraId="2B59CBA6" w14:textId="3B88A29B" w:rsidR="00D047AF" w:rsidRPr="003D294A" w:rsidRDefault="00130BAE" w:rsidP="00CF7B47">
      <w:pPr>
        <w:pStyle w:val="COMESnumberedpara"/>
        <w:rPr>
          <w:i/>
          <w:iCs/>
          <w:color w:val="0066FF"/>
        </w:rPr>
      </w:pPr>
      <w:r w:rsidRPr="003D294A">
        <w:rPr>
          <w:rFonts w:ascii="Calibri" w:eastAsia="Calibri" w:hAnsi="Calibri"/>
          <w:bCs/>
        </w:rPr>
        <w:t>Pegcetacoplan was submitted under the TGA parallel process.</w:t>
      </w:r>
      <w:r w:rsidRPr="003D294A">
        <w:rPr>
          <w:rFonts w:ascii="Calibri" w:eastAsia="Calibri" w:hAnsi="Calibri"/>
          <w:bCs/>
          <w:i/>
          <w:iCs/>
        </w:rPr>
        <w:t xml:space="preserve"> </w:t>
      </w:r>
      <w:r w:rsidRPr="003D294A">
        <w:rPr>
          <w:rFonts w:ascii="Calibri" w:eastAsia="Calibri" w:hAnsi="Calibri"/>
          <w:bCs/>
        </w:rPr>
        <w:t>T</w:t>
      </w:r>
      <w:r w:rsidR="003A4AAD" w:rsidRPr="003D294A">
        <w:t>he TGA clinical evaluation report and Delegate’s overview were available</w:t>
      </w:r>
      <w:r w:rsidR="00B25D31" w:rsidRPr="003D294A">
        <w:t xml:space="preserve"> at the time of PBAC consideration</w:t>
      </w:r>
      <w:r w:rsidR="003A4AAD" w:rsidRPr="003D294A">
        <w:t xml:space="preserve">. </w:t>
      </w:r>
    </w:p>
    <w:p w14:paraId="6A349A80" w14:textId="1A5DC430" w:rsidR="00D047AF" w:rsidRPr="003D294A" w:rsidRDefault="00D047AF" w:rsidP="00CF7B47">
      <w:pPr>
        <w:pStyle w:val="COMESnumberedpara"/>
      </w:pPr>
      <w:r w:rsidRPr="003D294A">
        <w:t>The proposed indication for pegcetacoplan (Empaveli</w:t>
      </w:r>
      <w:r w:rsidRPr="003D294A">
        <w:rPr>
          <w:rFonts w:cs="Calibri"/>
        </w:rPr>
        <w:t>®</w:t>
      </w:r>
      <w:r w:rsidRPr="003D294A">
        <w:t xml:space="preserve">) is for the treatment of adults and adolescents aged 12 to 17 years </w:t>
      </w:r>
      <w:r w:rsidR="00367DB2" w:rsidRPr="003D294A">
        <w:t>with C3 glomerulopathy (C3G) or primary immune-complex membranoproliferative glomerulonephritis (IC-MPGN).</w:t>
      </w:r>
      <w:r w:rsidRPr="003D294A">
        <w:t xml:space="preserve"> </w:t>
      </w:r>
    </w:p>
    <w:p w14:paraId="15447AE9" w14:textId="5D8BD577" w:rsidR="008C1EF8" w:rsidRPr="003D294A" w:rsidRDefault="008C1EF8" w:rsidP="00CF7B47">
      <w:pPr>
        <w:pStyle w:val="COMESnumberedpara"/>
      </w:pPr>
      <w:r w:rsidRPr="003D294A">
        <w:t xml:space="preserve">The draft product information for pegcetacoplan </w:t>
      </w:r>
      <w:r w:rsidR="00367DB2" w:rsidRPr="003D294A">
        <w:t xml:space="preserve">includes </w:t>
      </w:r>
      <w:r w:rsidRPr="003D294A">
        <w:t>a boxed warning regarding the risk of serious infections caused by encapsulated bacteria, such as Streptococcus pneumoniae, Neisseria meningitidis, and Haemophilus influenzae type B (HIB), with recommendations to vaccinate against these bacteria prior to initiation of pegcetacoplan treatment. ATAGI advice would be required to extend access to these vaccines on the National Immunisation Program (NIP) for the requested PBS listing.</w:t>
      </w:r>
    </w:p>
    <w:p w14:paraId="0FD15727" w14:textId="78CC2F1C" w:rsidR="008C1EF8" w:rsidRPr="003D294A" w:rsidRDefault="008C1EF8" w:rsidP="00CF7B47">
      <w:pPr>
        <w:pStyle w:val="COMESnumberedpara"/>
      </w:pPr>
      <w:r w:rsidRPr="003D294A">
        <w:t xml:space="preserve">Pegcetacoplan was approved by the FDA in July 2025 for the treatment of adult and paediatric patients aged 12 years and older with C3G or primary IC-MPGN, to reduce proteinuria. </w:t>
      </w:r>
    </w:p>
    <w:p w14:paraId="7C1BA653" w14:textId="77777777" w:rsidR="008C1EF8" w:rsidRPr="003D294A" w:rsidRDefault="008C1EF8" w:rsidP="00CF7B47">
      <w:pPr>
        <w:pStyle w:val="COMESnumberedpara"/>
      </w:pPr>
      <w:r w:rsidRPr="003D294A">
        <w:t>Pegcetacoplan (Empaveli</w:t>
      </w:r>
      <w:r w:rsidRPr="003D294A">
        <w:rPr>
          <w:rFonts w:cs="Calibri"/>
        </w:rPr>
        <w:t>®</w:t>
      </w:r>
      <w:r w:rsidRPr="003D294A">
        <w:t xml:space="preserve">) is currently TGA-approved for the treatment of adult patients with paroxysmal nocturnal haemoglobinuria (PNH). </w:t>
      </w:r>
    </w:p>
    <w:p w14:paraId="3E2A6EAB" w14:textId="469C8C0C" w:rsidR="005C25FF" w:rsidRPr="003D294A" w:rsidRDefault="005C25FF" w:rsidP="00CF7B47">
      <w:pPr>
        <w:pStyle w:val="COMESSubsectionheading"/>
        <w:rPr>
          <w:iCs/>
        </w:rPr>
      </w:pPr>
      <w:bookmarkStart w:id="9" w:name="_Toc22897639"/>
      <w:bookmarkStart w:id="10" w:name="_Toc219888382"/>
      <w:r w:rsidRPr="003D294A">
        <w:t>Previous PBAC consideration</w:t>
      </w:r>
      <w:bookmarkEnd w:id="9"/>
      <w:bookmarkEnd w:id="10"/>
    </w:p>
    <w:p w14:paraId="29FAA3FB" w14:textId="1E0EF3A4" w:rsidR="008359B9" w:rsidRDefault="008359B9" w:rsidP="00CF7B47">
      <w:pPr>
        <w:pStyle w:val="COMESnumberedpara"/>
      </w:pPr>
      <w:r>
        <w:t>Pegcetacoplan h</w:t>
      </w:r>
      <w:r w:rsidR="000F6D5A">
        <w:t>ad not previously been considered by PBAC for this indication.</w:t>
      </w:r>
    </w:p>
    <w:p w14:paraId="4BE4F054" w14:textId="3FAB4ECB" w:rsidR="00B4544A" w:rsidRPr="003D294A" w:rsidRDefault="00367DB2" w:rsidP="00CF7B47">
      <w:pPr>
        <w:pStyle w:val="COMESnumberedpara"/>
      </w:pPr>
      <w:r w:rsidRPr="003D294A">
        <w:t>At the November 2025 PBAC meeting, t</w:t>
      </w:r>
      <w:r w:rsidR="006E6E2F" w:rsidRPr="003D294A">
        <w:t>he PBAC</w:t>
      </w:r>
      <w:r w:rsidR="00A46D49" w:rsidRPr="003D294A">
        <w:t xml:space="preserve"> </w:t>
      </w:r>
      <w:r w:rsidR="00E936DA" w:rsidRPr="003D294A">
        <w:t xml:space="preserve">did not recommend </w:t>
      </w:r>
      <w:r w:rsidR="00A46D49" w:rsidRPr="003D294A">
        <w:t>iptacopan for the treatment of adults with C3G with either native kidneys or disease recurrence following a kidney transplant</w:t>
      </w:r>
      <w:r w:rsidR="00BF775E" w:rsidRPr="003D294A">
        <w:t xml:space="preserve"> (PBAC outcomes, November PBAC 2025 meeting</w:t>
      </w:r>
      <w:r w:rsidR="00037B0A" w:rsidRPr="003D294A">
        <w:rPr>
          <w:rStyle w:val="FootnoteReference"/>
        </w:rPr>
        <w:footnoteReference w:id="1"/>
      </w:r>
      <w:r w:rsidR="00BF775E" w:rsidRPr="003D294A">
        <w:t>).</w:t>
      </w:r>
      <w:r w:rsidR="002E398F" w:rsidRPr="003D294A">
        <w:t xml:space="preserve"> The PBAC reviewed the clinical evidence comparing the effectiveness and safety of iptacopan versus standard of care</w:t>
      </w:r>
      <w:r w:rsidR="0081043A" w:rsidRPr="003D294A">
        <w:t xml:space="preserve">, noting that it is possible that iptacopan is more effective for some patients in terms of slowing progression to end-stage kidney disease. However, the PBAC noted </w:t>
      </w:r>
      <w:r w:rsidR="00E01AE1" w:rsidRPr="003D294A">
        <w:t xml:space="preserve">limitations </w:t>
      </w:r>
      <w:r w:rsidR="00960B6F" w:rsidRPr="003D294A">
        <w:t xml:space="preserve">with </w:t>
      </w:r>
      <w:r w:rsidR="00AF074A" w:rsidRPr="003D294A">
        <w:t>evidence in the submission</w:t>
      </w:r>
      <w:r w:rsidR="00960B6F" w:rsidRPr="003D294A">
        <w:t xml:space="preserve"> (based on short-term changes in proteinuria and no significant difference in</w:t>
      </w:r>
      <w:r w:rsidR="004852C2" w:rsidRPr="003D294A">
        <w:t xml:space="preserve"> estimated glomerular filtration rate)</w:t>
      </w:r>
      <w:r w:rsidR="00AF074A" w:rsidRPr="003D294A">
        <w:t xml:space="preserve"> did not allow confidence </w:t>
      </w:r>
      <w:r w:rsidR="00D31761" w:rsidRPr="003D294A">
        <w:t>to determine the extent to which iptacopan would delay kidney transplant or dialysis</w:t>
      </w:r>
      <w:r w:rsidR="004852C2" w:rsidRPr="003D294A">
        <w:t xml:space="preserve"> </w:t>
      </w:r>
      <w:r w:rsidR="004077A3" w:rsidRPr="003D294A">
        <w:t xml:space="preserve">in patients with C3G. </w:t>
      </w:r>
      <w:r w:rsidR="00A90921" w:rsidRPr="003D294A">
        <w:t xml:space="preserve">The clinical evidence also showed that iptacopan </w:t>
      </w:r>
      <w:r w:rsidRPr="003D294A">
        <w:t xml:space="preserve">is </w:t>
      </w:r>
      <w:r w:rsidR="00A90921" w:rsidRPr="003D294A">
        <w:t>less safe than standard of care due to increased risk of infection.</w:t>
      </w:r>
      <w:r w:rsidR="00B4544A" w:rsidRPr="003D294A">
        <w:t xml:space="preserve"> </w:t>
      </w:r>
      <w:r w:rsidR="006552DE" w:rsidRPr="003D294A">
        <w:t xml:space="preserve">The PBAC </w:t>
      </w:r>
      <w:r w:rsidR="00167CE8" w:rsidRPr="003D294A">
        <w:t xml:space="preserve">considered that the benefits claimed by the sponsor to justify its requested price were improbable and not supported </w:t>
      </w:r>
      <w:r w:rsidR="001A6F8D" w:rsidRPr="003D294A">
        <w:t xml:space="preserve">by </w:t>
      </w:r>
      <w:r w:rsidR="00A90921" w:rsidRPr="003D294A">
        <w:t xml:space="preserve">the </w:t>
      </w:r>
      <w:r w:rsidR="001A6F8D" w:rsidRPr="003D294A">
        <w:lastRenderedPageBreak/>
        <w:t>clinical evidence in the submission</w:t>
      </w:r>
      <w:r w:rsidR="004C546D" w:rsidRPr="003D294A">
        <w:t xml:space="preserve">. The PBAC considered that the cost-effectiveness of iptacopan had not been established. </w:t>
      </w:r>
    </w:p>
    <w:p w14:paraId="7EACFAE3" w14:textId="77777777" w:rsidR="00B60C2C" w:rsidRPr="003D294A" w:rsidRDefault="00B60C2C" w:rsidP="00CF7B47">
      <w:pPr>
        <w:ind w:firstLine="709"/>
        <w:rPr>
          <w:rFonts w:asciiTheme="minorHAnsi" w:hAnsiTheme="minorHAnsi"/>
          <w:i/>
        </w:rPr>
      </w:pPr>
      <w:bookmarkStart w:id="11" w:name="_Hlk76375324"/>
    </w:p>
    <w:p w14:paraId="65C20395" w14:textId="15DA9C5B" w:rsidR="00B60C2C" w:rsidRPr="003D294A" w:rsidRDefault="00B60C2C" w:rsidP="00CF7B47">
      <w:pPr>
        <w:ind w:firstLine="709"/>
        <w:rPr>
          <w:rFonts w:asciiTheme="minorHAnsi" w:hAnsiTheme="minorHAnsi"/>
          <w:i/>
        </w:rPr>
      </w:pPr>
      <w:r w:rsidRPr="003D294A">
        <w:rPr>
          <w:rFonts w:asciiTheme="minorHAnsi" w:hAnsiTheme="minorHAnsi"/>
          <w:i/>
        </w:rPr>
        <w:t>For more detail on PBAC’s view, see section 7 PBAC outcome.</w:t>
      </w:r>
    </w:p>
    <w:bookmarkEnd w:id="11"/>
    <w:p w14:paraId="454EB5CB" w14:textId="4FE1E4F9" w:rsidR="00B60C2C" w:rsidRPr="003D294A" w:rsidRDefault="00B60C2C" w:rsidP="00CF7B47">
      <w:pPr>
        <w:pStyle w:val="COMESnumberedpara"/>
        <w:numPr>
          <w:ilvl w:val="0"/>
          <w:numId w:val="0"/>
        </w:numPr>
        <w:ind w:left="720"/>
      </w:pPr>
    </w:p>
    <w:p w14:paraId="1B423B86" w14:textId="7707F56D" w:rsidR="003A4C14" w:rsidRPr="003D294A" w:rsidRDefault="00B50DB8" w:rsidP="00CF7B47">
      <w:pPr>
        <w:pStyle w:val="COMESH2"/>
        <w:keepLines/>
      </w:pPr>
      <w:bookmarkStart w:id="12" w:name="_Toc107902078"/>
      <w:bookmarkStart w:id="13" w:name="_Toc219888383"/>
      <w:bookmarkEnd w:id="12"/>
      <w:r w:rsidRPr="003D294A">
        <w:t>Requested listing</w:t>
      </w:r>
      <w:bookmarkEnd w:id="13"/>
    </w:p>
    <w:p w14:paraId="1B51D72B" w14:textId="53F140AD" w:rsidR="0018364E" w:rsidRPr="003D294A" w:rsidRDefault="0018364E" w:rsidP="00CF7B47">
      <w:pPr>
        <w:pStyle w:val="COMESnumberedpara"/>
      </w:pPr>
      <w:r w:rsidRPr="003D294A">
        <w:t xml:space="preserve">The proposed listing </w:t>
      </w:r>
      <w:r w:rsidR="0041586B" w:rsidRPr="003D294A">
        <w:t xml:space="preserve">is shown below </w:t>
      </w:r>
      <w:r w:rsidRPr="003D294A">
        <w:t xml:space="preserve">with changes suggested </w:t>
      </w:r>
      <w:r w:rsidR="0041586B" w:rsidRPr="003D294A">
        <w:t>by the Secretariat in</w:t>
      </w:r>
      <w:r w:rsidR="006F5A75" w:rsidRPr="003D294A">
        <w:t xml:space="preserve"> italics</w:t>
      </w:r>
      <w:r w:rsidR="00E730BA" w:rsidRPr="003D294A">
        <w:t>/</w:t>
      </w:r>
      <w:r w:rsidR="006F5A75" w:rsidRPr="003D294A">
        <w:t>strike</w:t>
      </w:r>
      <w:r w:rsidR="00B07EFA" w:rsidRPr="003D294A">
        <w:t>through.</w:t>
      </w:r>
    </w:p>
    <w:p w14:paraId="5B98FCAB" w14:textId="77777777" w:rsidR="00455121" w:rsidRPr="003D294A" w:rsidRDefault="00455121" w:rsidP="00CF7B47">
      <w:r w:rsidRPr="003D294A">
        <w:t>Initial/Grandfather treatment phase:</w:t>
      </w:r>
    </w:p>
    <w:tbl>
      <w:tblPr>
        <w:tblpPr w:leftFromText="180" w:rightFromText="180" w:vertAnchor="text" w:tblpX="14"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itial/Grandfather treatment phase:"/>
      </w:tblPr>
      <w:tblGrid>
        <w:gridCol w:w="3999"/>
        <w:gridCol w:w="896"/>
        <w:gridCol w:w="713"/>
        <w:gridCol w:w="804"/>
        <w:gridCol w:w="805"/>
        <w:gridCol w:w="1710"/>
      </w:tblGrid>
      <w:tr w:rsidR="00455121" w:rsidRPr="003D294A" w14:paraId="3E0EE0AE" w14:textId="77777777" w:rsidTr="00625719">
        <w:trPr>
          <w:trHeight w:val="20"/>
        </w:trPr>
        <w:tc>
          <w:tcPr>
            <w:tcW w:w="3998" w:type="dxa"/>
            <w:tcMar>
              <w:left w:w="28" w:type="dxa"/>
              <w:right w:w="28" w:type="dxa"/>
            </w:tcMar>
            <w:vAlign w:val="center"/>
          </w:tcPr>
          <w:p w14:paraId="172205D0" w14:textId="77777777" w:rsidR="00455121" w:rsidRPr="003D294A" w:rsidRDefault="00455121" w:rsidP="00CF7B47">
            <w:pPr>
              <w:keepLines/>
              <w:rPr>
                <w:rFonts w:ascii="Arial Narrow" w:hAnsi="Arial Narrow"/>
                <w:b/>
                <w:bCs/>
                <w:sz w:val="20"/>
                <w:szCs w:val="20"/>
                <w14:ligatures w14:val="standardContextual"/>
              </w:rPr>
            </w:pPr>
            <w:r w:rsidRPr="003D294A">
              <w:rPr>
                <w:rFonts w:ascii="Arial Narrow" w:hAnsi="Arial Narrow"/>
                <w:b/>
                <w:bCs/>
                <w:sz w:val="20"/>
                <w:szCs w:val="20"/>
                <w14:ligatures w14:val="standardContextual"/>
              </w:rPr>
              <w:t>MEDICINAL PRODUCT</w:t>
            </w:r>
          </w:p>
          <w:p w14:paraId="0F45C04D" w14:textId="77777777" w:rsidR="00455121" w:rsidRPr="003D294A" w:rsidRDefault="00455121" w:rsidP="00CF7B47">
            <w:pPr>
              <w:keepLines/>
              <w:rPr>
                <w:rFonts w:ascii="Arial Narrow" w:hAnsi="Arial Narrow"/>
                <w:b/>
                <w:sz w:val="20"/>
                <w:szCs w:val="20"/>
                <w14:ligatures w14:val="standardContextual"/>
              </w:rPr>
            </w:pPr>
            <w:r w:rsidRPr="003D294A">
              <w:rPr>
                <w:rFonts w:ascii="Arial Narrow" w:hAnsi="Arial Narrow"/>
                <w:b/>
                <w:bCs/>
                <w:sz w:val="20"/>
                <w:szCs w:val="20"/>
                <w14:ligatures w14:val="standardContextual"/>
              </w:rPr>
              <w:t>medicinal product pack</w:t>
            </w:r>
          </w:p>
        </w:tc>
        <w:tc>
          <w:tcPr>
            <w:tcW w:w="896" w:type="dxa"/>
            <w:tcMar>
              <w:left w:w="28" w:type="dxa"/>
              <w:right w:w="28" w:type="dxa"/>
            </w:tcMar>
            <w:vAlign w:val="center"/>
          </w:tcPr>
          <w:p w14:paraId="01EF053F"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PBS item code</w:t>
            </w:r>
          </w:p>
        </w:tc>
        <w:tc>
          <w:tcPr>
            <w:tcW w:w="713" w:type="dxa"/>
            <w:tcMar>
              <w:left w:w="28" w:type="dxa"/>
              <w:right w:w="28" w:type="dxa"/>
            </w:tcMar>
            <w:vAlign w:val="center"/>
          </w:tcPr>
          <w:p w14:paraId="49A8E900"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Max. qty packs</w:t>
            </w:r>
          </w:p>
        </w:tc>
        <w:tc>
          <w:tcPr>
            <w:tcW w:w="804" w:type="dxa"/>
            <w:tcMar>
              <w:left w:w="28" w:type="dxa"/>
              <w:right w:w="28" w:type="dxa"/>
            </w:tcMar>
            <w:vAlign w:val="center"/>
          </w:tcPr>
          <w:p w14:paraId="6FFF77CC"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Max. qty units</w:t>
            </w:r>
          </w:p>
        </w:tc>
        <w:tc>
          <w:tcPr>
            <w:tcW w:w="805" w:type="dxa"/>
            <w:tcMar>
              <w:left w:w="28" w:type="dxa"/>
              <w:right w:w="28" w:type="dxa"/>
            </w:tcMar>
            <w:vAlign w:val="center"/>
          </w:tcPr>
          <w:p w14:paraId="36A3B2F0"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№.of</w:t>
            </w:r>
          </w:p>
          <w:p w14:paraId="41147555"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Rpts</w:t>
            </w:r>
          </w:p>
        </w:tc>
        <w:tc>
          <w:tcPr>
            <w:tcW w:w="1710" w:type="dxa"/>
            <w:tcMar>
              <w:left w:w="28" w:type="dxa"/>
              <w:right w:w="28" w:type="dxa"/>
            </w:tcMar>
            <w:vAlign w:val="center"/>
          </w:tcPr>
          <w:p w14:paraId="48E6170B" w14:textId="77777777" w:rsidR="00455121" w:rsidRPr="003D294A" w:rsidRDefault="00455121" w:rsidP="00CF7B47">
            <w:pPr>
              <w:keepLines/>
              <w:rPr>
                <w:rFonts w:ascii="Arial Narrow" w:hAnsi="Arial Narrow"/>
                <w:b/>
                <w:sz w:val="20"/>
                <w:szCs w:val="20"/>
                <w14:ligatures w14:val="standardContextual"/>
              </w:rPr>
            </w:pPr>
            <w:r w:rsidRPr="003D294A">
              <w:rPr>
                <w:rFonts w:ascii="Arial Narrow" w:hAnsi="Arial Narrow"/>
                <w:b/>
                <w:sz w:val="20"/>
                <w:szCs w:val="20"/>
                <w14:ligatures w14:val="standardContextual"/>
              </w:rPr>
              <w:t>Available brands</w:t>
            </w:r>
          </w:p>
        </w:tc>
      </w:tr>
      <w:tr w:rsidR="00455121" w:rsidRPr="003D294A" w14:paraId="142CA05F" w14:textId="77777777" w:rsidTr="00625719">
        <w:trPr>
          <w:trHeight w:val="20"/>
        </w:trPr>
        <w:tc>
          <w:tcPr>
            <w:tcW w:w="8926" w:type="dxa"/>
            <w:gridSpan w:val="6"/>
            <w:tcMar>
              <w:left w:w="28" w:type="dxa"/>
              <w:right w:w="28" w:type="dxa"/>
            </w:tcMar>
            <w:vAlign w:val="center"/>
          </w:tcPr>
          <w:p w14:paraId="5BCE4B53" w14:textId="77777777" w:rsidR="00455121" w:rsidRPr="003D294A" w:rsidRDefault="00455121" w:rsidP="00CF7B47">
            <w:pPr>
              <w:keepLines/>
              <w:rPr>
                <w:rFonts w:ascii="Arial Narrow" w:hAnsi="Arial Narrow"/>
                <w:sz w:val="20"/>
                <w:szCs w:val="20"/>
                <w14:ligatures w14:val="standardContextual"/>
              </w:rPr>
            </w:pPr>
            <w:r w:rsidRPr="003D294A">
              <w:rPr>
                <w:rFonts w:ascii="Arial Narrow" w:hAnsi="Arial Narrow"/>
                <w:sz w:val="20"/>
                <w:szCs w:val="20"/>
                <w14:ligatures w14:val="standardContextual"/>
              </w:rPr>
              <w:t>PEGCETACOPLAN</w:t>
            </w:r>
          </w:p>
        </w:tc>
      </w:tr>
      <w:tr w:rsidR="00455121" w:rsidRPr="003D294A" w14:paraId="5C7F3D07" w14:textId="77777777" w:rsidTr="00625719">
        <w:trPr>
          <w:trHeight w:val="20"/>
        </w:trPr>
        <w:tc>
          <w:tcPr>
            <w:tcW w:w="3998" w:type="dxa"/>
            <w:tcMar>
              <w:left w:w="28" w:type="dxa"/>
              <w:right w:w="28" w:type="dxa"/>
            </w:tcMar>
            <w:vAlign w:val="center"/>
          </w:tcPr>
          <w:p w14:paraId="0F112199" w14:textId="77777777" w:rsidR="00455121" w:rsidRPr="003D294A" w:rsidRDefault="00455121" w:rsidP="00CF7B47">
            <w:pPr>
              <w:keepLines/>
              <w:rPr>
                <w:rFonts w:ascii="Arial Narrow" w:hAnsi="Arial Narrow"/>
                <w:strike/>
                <w:sz w:val="20"/>
                <w:szCs w:val="20"/>
                <w14:ligatures w14:val="standardContextual"/>
              </w:rPr>
            </w:pPr>
            <w:proofErr w:type="spellStart"/>
            <w:r w:rsidRPr="003D294A">
              <w:rPr>
                <w:rFonts w:ascii="Arial Narrow" w:hAnsi="Arial Narrow"/>
                <w:strike/>
                <w:sz w:val="20"/>
                <w:szCs w:val="20"/>
                <w14:ligatures w14:val="standardContextual"/>
              </w:rPr>
              <w:t>Pegcetacoplan</w:t>
            </w:r>
            <w:proofErr w:type="spellEnd"/>
            <w:r w:rsidRPr="003D294A">
              <w:rPr>
                <w:rFonts w:ascii="Arial Narrow" w:hAnsi="Arial Narrow"/>
                <w:strike/>
                <w:sz w:val="20"/>
                <w:szCs w:val="20"/>
                <w14:ligatures w14:val="standardContextual"/>
              </w:rPr>
              <w:t xml:space="preserve">, C3G or </w:t>
            </w:r>
            <w:proofErr w:type="spellStart"/>
            <w:r w:rsidRPr="003D294A">
              <w:rPr>
                <w:rFonts w:ascii="Arial Narrow" w:hAnsi="Arial Narrow"/>
                <w:strike/>
                <w:sz w:val="20"/>
                <w:szCs w:val="20"/>
                <w14:ligatures w14:val="standardContextual"/>
              </w:rPr>
              <w:t>pIC</w:t>
            </w:r>
            <w:proofErr w:type="spellEnd"/>
            <w:r w:rsidRPr="003D294A">
              <w:rPr>
                <w:rFonts w:ascii="Arial Narrow" w:hAnsi="Arial Narrow"/>
                <w:strike/>
                <w:sz w:val="20"/>
                <w:szCs w:val="20"/>
                <w14:ligatures w14:val="standardContextual"/>
              </w:rPr>
              <w:t>-MPGN, solution for subcutaneous infusion; 1.08 g/20 mL injection, 20 mL vial</w:t>
            </w:r>
          </w:p>
          <w:p w14:paraId="1F42B031" w14:textId="77777777" w:rsidR="00455121" w:rsidRPr="003D294A" w:rsidRDefault="00455121" w:rsidP="00CF7B47">
            <w:pPr>
              <w:keepLines/>
              <w:rPr>
                <w:rFonts w:ascii="Arial Narrow" w:hAnsi="Arial Narrow"/>
                <w:i/>
                <w:iCs/>
                <w:color w:val="FF0000"/>
                <w:sz w:val="20"/>
                <w:szCs w:val="20"/>
                <w14:ligatures w14:val="standardContextual"/>
              </w:rPr>
            </w:pPr>
            <w:r w:rsidRPr="003D294A">
              <w:rPr>
                <w:rFonts w:ascii="Arial Narrow" w:hAnsi="Arial Narrow"/>
                <w:i/>
                <w:iCs/>
                <w:color w:val="000000" w:themeColor="text1"/>
                <w:sz w:val="20"/>
                <w:szCs w:val="20"/>
                <w14:ligatures w14:val="standardContextual"/>
              </w:rPr>
              <w:t>Pegcetacoplan 1,080 mg/20 mL injection; 20 mL vial</w:t>
            </w:r>
          </w:p>
        </w:tc>
        <w:tc>
          <w:tcPr>
            <w:tcW w:w="896" w:type="dxa"/>
            <w:tcMar>
              <w:left w:w="28" w:type="dxa"/>
              <w:right w:w="28" w:type="dxa"/>
            </w:tcMar>
            <w:vAlign w:val="center"/>
          </w:tcPr>
          <w:p w14:paraId="5C6E17D3" w14:textId="77777777" w:rsidR="00455121" w:rsidRPr="003D294A" w:rsidRDefault="00455121" w:rsidP="00CF7B47">
            <w:pPr>
              <w:keepLines/>
              <w:jc w:val="center"/>
              <w:rPr>
                <w:rFonts w:ascii="Arial Narrow" w:hAnsi="Arial Narrow"/>
                <w:sz w:val="20"/>
                <w:szCs w:val="20"/>
                <w14:ligatures w14:val="standardContextual"/>
              </w:rPr>
            </w:pPr>
            <w:r w:rsidRPr="003D294A">
              <w:rPr>
                <w:rFonts w:ascii="Arial Narrow" w:hAnsi="Arial Narrow"/>
                <w:sz w:val="20"/>
                <w:szCs w:val="20"/>
                <w14:ligatures w14:val="standardContextual"/>
              </w:rPr>
              <w:t>NEW (Public)</w:t>
            </w:r>
          </w:p>
          <w:p w14:paraId="0694D332"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NEW (Private)</w:t>
            </w:r>
          </w:p>
        </w:tc>
        <w:tc>
          <w:tcPr>
            <w:tcW w:w="713" w:type="dxa"/>
            <w:tcMar>
              <w:left w:w="28" w:type="dxa"/>
              <w:right w:w="28" w:type="dxa"/>
            </w:tcMar>
            <w:vAlign w:val="center"/>
          </w:tcPr>
          <w:p w14:paraId="1676DAF7"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8</w:t>
            </w:r>
          </w:p>
        </w:tc>
        <w:tc>
          <w:tcPr>
            <w:tcW w:w="804" w:type="dxa"/>
            <w:tcMar>
              <w:left w:w="28" w:type="dxa"/>
              <w:right w:w="28" w:type="dxa"/>
            </w:tcMar>
            <w:vAlign w:val="center"/>
          </w:tcPr>
          <w:p w14:paraId="68BAF93D"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8</w:t>
            </w:r>
          </w:p>
        </w:tc>
        <w:tc>
          <w:tcPr>
            <w:tcW w:w="805" w:type="dxa"/>
            <w:tcMar>
              <w:left w:w="28" w:type="dxa"/>
              <w:right w:w="28" w:type="dxa"/>
            </w:tcMar>
            <w:vAlign w:val="center"/>
          </w:tcPr>
          <w:p w14:paraId="67F88C3F"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3</w:t>
            </w:r>
          </w:p>
        </w:tc>
        <w:tc>
          <w:tcPr>
            <w:tcW w:w="1710" w:type="dxa"/>
            <w:tcMar>
              <w:left w:w="28" w:type="dxa"/>
              <w:right w:w="28" w:type="dxa"/>
            </w:tcMar>
            <w:vAlign w:val="center"/>
          </w:tcPr>
          <w:p w14:paraId="45294D17"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Empaveli</w:t>
            </w:r>
          </w:p>
        </w:tc>
      </w:tr>
      <w:tr w:rsidR="00455121" w:rsidRPr="003D294A" w14:paraId="122AB50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right w:val="single" w:sz="4" w:space="0" w:color="auto"/>
            </w:tcBorders>
            <w:tcMar>
              <w:left w:w="28" w:type="dxa"/>
              <w:right w:w="28" w:type="dxa"/>
            </w:tcMar>
            <w:vAlign w:val="center"/>
          </w:tcPr>
          <w:p w14:paraId="18550EEF" w14:textId="77777777" w:rsidR="00455121" w:rsidRPr="003D294A" w:rsidRDefault="00455121" w:rsidP="00CF7B47">
            <w:pPr>
              <w:rPr>
                <w:rFonts w:ascii="Arial Narrow" w:hAnsi="Arial Narrow"/>
                <w:sz w:val="20"/>
                <w:szCs w:val="20"/>
                <w14:ligatures w14:val="standardContextual"/>
              </w:rPr>
            </w:pPr>
          </w:p>
        </w:tc>
      </w:tr>
      <w:tr w:rsidR="00625719" w:rsidRPr="003D294A" w14:paraId="7F9D995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713F7E" w14:textId="77777777" w:rsidR="00625719" w:rsidRPr="003D294A" w:rsidRDefault="00625719" w:rsidP="00CF7B47">
            <w:pPr>
              <w:keepLines/>
              <w:rPr>
                <w:rFonts w:ascii="Arial Narrow" w:hAnsi="Arial Narrow"/>
                <w:sz w:val="20"/>
                <w:szCs w:val="20"/>
                <w14:ligatures w14:val="standardContextual"/>
              </w:rPr>
            </w:pPr>
            <w:r w:rsidRPr="003D294A">
              <w:rPr>
                <w:rFonts w:ascii="Arial Narrow" w:hAnsi="Arial Narrow"/>
                <w:b/>
                <w:sz w:val="20"/>
                <w:szCs w:val="20"/>
                <w14:ligatures w14:val="standardContextual"/>
              </w:rPr>
              <w:t>Category / Program:</w:t>
            </w:r>
            <w:r w:rsidRPr="003D294A">
              <w:rPr>
                <w:rFonts w:ascii="Arial Narrow" w:hAnsi="Arial Narrow"/>
                <w:color w:val="FF0000"/>
                <w:sz w:val="20"/>
                <w:szCs w:val="20"/>
                <w14:ligatures w14:val="standardContextual"/>
              </w:rPr>
              <w:t xml:space="preserv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w:t>
            </w:r>
            <w:r w:rsidRPr="003D294A">
              <w:rPr>
                <w:rFonts w:ascii="Arial Narrow" w:eastAsia="Calibri" w:hAnsi="Arial Narrow"/>
                <w:sz w:val="20"/>
                <w:szCs w:val="20"/>
                <w14:ligatures w14:val="standardContextual"/>
              </w:rPr>
              <w:t xml:space="preserve">Section 100 – Highly Specialised Drugs Program – </w:t>
            </w:r>
            <w:r w:rsidRPr="003D294A">
              <w:rPr>
                <w:rFonts w:ascii="Arial Narrow" w:eastAsia="Calibri" w:hAnsi="Arial Narrow"/>
                <w:i/>
                <w:iCs/>
                <w:sz w:val="20"/>
                <w:szCs w:val="20"/>
                <w14:ligatures w14:val="standardContextual"/>
              </w:rPr>
              <w:t>Public/Private</w:t>
            </w:r>
            <w:r w:rsidRPr="003D294A">
              <w:rPr>
                <w:rFonts w:ascii="Arial Narrow" w:eastAsia="Calibri" w:hAnsi="Arial Narrow"/>
                <w:sz w:val="20"/>
                <w:szCs w:val="20"/>
                <w14:ligatures w14:val="standardContextual"/>
              </w:rPr>
              <w:t xml:space="preserve"> (Code HB)</w:t>
            </w:r>
          </w:p>
        </w:tc>
      </w:tr>
      <w:tr w:rsidR="00625719" w:rsidRPr="003D294A" w14:paraId="28B50E7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920ACC" w14:textId="77777777" w:rsidR="00625719" w:rsidRPr="003D294A" w:rsidRDefault="00625719" w:rsidP="00CF7B47">
            <w:pPr>
              <w:keepLines/>
              <w:rPr>
                <w:rFonts w:ascii="Arial Narrow" w:hAnsi="Arial Narrow"/>
                <w:b/>
                <w:sz w:val="20"/>
                <w:szCs w:val="20"/>
                <w14:ligatures w14:val="standardContextual"/>
              </w:rPr>
            </w:pPr>
            <w:r w:rsidRPr="003D294A">
              <w:rPr>
                <w:rFonts w:ascii="Arial Narrow" w:hAnsi="Arial Narrow"/>
                <w:b/>
                <w:sz w:val="20"/>
                <w:szCs w:val="20"/>
                <w14:ligatures w14:val="standardContextual"/>
              </w:rPr>
              <w:t xml:space="preserve">Prescriber type: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Medical Practitioners </w:t>
            </w:r>
          </w:p>
        </w:tc>
      </w:tr>
      <w:tr w:rsidR="00625719" w:rsidRPr="003D294A" w14:paraId="63075AA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82CCE7" w14:textId="77777777" w:rsidR="00625719" w:rsidRPr="003D294A" w:rsidRDefault="00625719" w:rsidP="00CF7B47">
            <w:pPr>
              <w:keepLines/>
              <w:rPr>
                <w:rFonts w:ascii="Arial Narrow" w:eastAsia="Calibri" w:hAnsi="Arial Narrow"/>
                <w:sz w:val="20"/>
                <w:szCs w:val="20"/>
                <w14:ligatures w14:val="standardContextual"/>
              </w:rPr>
            </w:pPr>
            <w:r w:rsidRPr="003D294A">
              <w:rPr>
                <w:rFonts w:ascii="Arial Narrow" w:hAnsi="Arial Narrow"/>
                <w:b/>
                <w:sz w:val="20"/>
                <w:szCs w:val="20"/>
                <w14:ligatures w14:val="standardContextual"/>
              </w:rPr>
              <w:t xml:space="preserve">Benefit type: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w:t>
            </w:r>
            <w:r w:rsidRPr="003D294A">
              <w:rPr>
                <w:rFonts w:ascii="Arial Narrow" w:eastAsia="Calibri" w:hAnsi="Arial Narrow"/>
                <w:sz w:val="20"/>
                <w:szCs w:val="20"/>
                <w14:ligatures w14:val="standardContextual"/>
              </w:rPr>
              <w:t xml:space="preserve">Authority Required </w:t>
            </w:r>
            <w:r w:rsidRPr="003D294A">
              <w:rPr>
                <w:rFonts w:ascii="Arial Narrow" w:eastAsia="Calibri" w:hAnsi="Arial Narrow"/>
                <w:i/>
                <w:iCs/>
                <w:sz w:val="20"/>
                <w:szCs w:val="20"/>
                <w14:ligatures w14:val="standardContextual"/>
              </w:rPr>
              <w:t>(FULL assessment) in writing only via OPA/post/HPOS upload</w:t>
            </w:r>
            <w:r w:rsidRPr="003D294A">
              <w:rPr>
                <w:rFonts w:ascii="Arial Narrow" w:eastAsia="Calibri" w:hAnsi="Arial Narrow"/>
                <w:sz w:val="20"/>
                <w:szCs w:val="20"/>
                <w14:ligatures w14:val="standardContextual"/>
              </w:rPr>
              <w:t xml:space="preserve">) </w:t>
            </w:r>
          </w:p>
          <w:p w14:paraId="0EFB8AC5" w14:textId="77777777" w:rsidR="00625719" w:rsidRPr="003D294A" w:rsidRDefault="00625719" w:rsidP="00CF7B47">
            <w:pPr>
              <w:keepLines/>
              <w:rPr>
                <w:rFonts w:ascii="Arial Narrow" w:eastAsia="Calibri" w:hAnsi="Arial Narrow"/>
                <w:strike/>
                <w:color w:val="FF0000"/>
                <w:sz w:val="20"/>
                <w:szCs w:val="20"/>
                <w14:ligatures w14:val="standardContextual"/>
              </w:rPr>
            </w:pPr>
            <w:r w:rsidRPr="003D294A">
              <w:rPr>
                <w:rFonts w:ascii="Arial Narrow" w:eastAsia="Calibri" w:hAnsi="Arial Narrow"/>
                <w:strike/>
                <w:sz w:val="20"/>
                <w:szCs w:val="20"/>
              </w:rPr>
              <w:t>(in writing only via OPA/post/HPOS upload)</w:t>
            </w:r>
            <w:r w:rsidRPr="003D294A">
              <w:rPr>
                <w:rFonts w:ascii="Arial Narrow" w:eastAsia="Calibri" w:hAnsi="Arial Narrow"/>
                <w:strike/>
                <w:sz w:val="20"/>
                <w:szCs w:val="20"/>
                <w14:ligatures w14:val="standardContextual"/>
              </w:rPr>
              <w:t xml:space="preserve"> </w:t>
            </w:r>
          </w:p>
        </w:tc>
      </w:tr>
      <w:tr w:rsidR="00625719" w:rsidRPr="003D294A" w14:paraId="020609C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A71610" w14:textId="77777777" w:rsidR="00625719" w:rsidRPr="003D294A" w:rsidRDefault="00625719" w:rsidP="00CF7B47">
            <w:pPr>
              <w:keepLines/>
              <w:rPr>
                <w:rFonts w:ascii="Arial Narrow" w:hAnsi="Arial Narrow"/>
                <w:b/>
                <w:color w:val="FF0000"/>
                <w:sz w:val="20"/>
                <w:szCs w:val="20"/>
                <w14:ligatures w14:val="standardContextual"/>
              </w:rPr>
            </w:pPr>
            <w:r w:rsidRPr="003D294A">
              <w:rPr>
                <w:rFonts w:ascii="Arial Narrow" w:hAnsi="Arial Narrow"/>
                <w:b/>
                <w:sz w:val="20"/>
                <w:szCs w:val="20"/>
                <w14:ligatures w14:val="standardContextual"/>
              </w:rPr>
              <w:t xml:space="preserve">Authority type: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w:t>
            </w:r>
            <w:r w:rsidRPr="003D294A">
              <w:rPr>
                <w:rFonts w:ascii="Arial Narrow" w:eastAsia="Calibri" w:hAnsi="Arial Narrow"/>
                <w:sz w:val="20"/>
                <w:szCs w:val="20"/>
                <w14:ligatures w14:val="standardContextual"/>
              </w:rPr>
              <w:t>Complex Authority Required (CAR)</w:t>
            </w:r>
          </w:p>
        </w:tc>
      </w:tr>
      <w:tr w:rsidR="00625719" w:rsidRPr="003D294A" w14:paraId="7C8C40BA" w14:textId="77777777" w:rsidTr="00625719">
        <w:tblPrEx>
          <w:tblCellMar>
            <w:top w:w="15" w:type="dxa"/>
            <w:bottom w:w="15" w:type="dxa"/>
          </w:tblCellMar>
          <w:tblLook w:val="04A0" w:firstRow="1" w:lastRow="0" w:firstColumn="1" w:lastColumn="0" w:noHBand="0" w:noVBand="1"/>
        </w:tblPrEx>
        <w:trPr>
          <w:trHeight w:val="172"/>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20F28" w14:textId="38E2EDC2" w:rsidR="00625719" w:rsidRPr="003D294A" w:rsidRDefault="00625719" w:rsidP="00CF7B47">
            <w:pPr>
              <w:rPr>
                <w:rFonts w:ascii="Arial Narrow" w:hAnsi="Arial Narrow"/>
                <w:b/>
                <w:sz w:val="20"/>
                <w:szCs w:val="20"/>
              </w:rPr>
            </w:pPr>
            <w:r w:rsidRPr="003D294A">
              <w:rPr>
                <w:rFonts w:ascii="Arial Narrow" w:hAnsi="Arial Narrow"/>
                <w:b/>
                <w:sz w:val="20"/>
                <w:szCs w:val="20"/>
              </w:rPr>
              <w:t>Prescribing rule level:</w:t>
            </w:r>
            <w:r w:rsidR="00CF7B47">
              <w:rPr>
                <w:rFonts w:ascii="Arial Narrow" w:hAnsi="Arial Narrow"/>
                <w:b/>
                <w:sz w:val="20"/>
                <w:szCs w:val="20"/>
              </w:rPr>
              <w:t xml:space="preserve"> </w:t>
            </w:r>
          </w:p>
        </w:tc>
      </w:tr>
      <w:tr w:rsidR="00625719" w:rsidRPr="003D294A" w14:paraId="175999D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7320FE"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Administrative Advice:</w:t>
            </w:r>
          </w:p>
          <w:p w14:paraId="1EC56FAA" w14:textId="77777777" w:rsidR="00625719" w:rsidRPr="003D294A" w:rsidRDefault="00625719" w:rsidP="00CF7B47">
            <w:pPr>
              <w:keepLines/>
              <w:rPr>
                <w:rFonts w:ascii="Arial Narrow" w:hAnsi="Arial Narrow"/>
                <w:bCs/>
                <w:sz w:val="20"/>
                <w:szCs w:val="20"/>
                <w14:ligatures w14:val="standardContextual"/>
              </w:rPr>
            </w:pPr>
            <w:r w:rsidRPr="003D294A">
              <w:rPr>
                <w:rFonts w:ascii="Arial Narrow" w:hAnsi="Arial Narrow"/>
                <w:bCs/>
                <w:sz w:val="20"/>
                <w:szCs w:val="20"/>
                <w14:ligatures w14:val="standardContextual"/>
              </w:rPr>
              <w:t>No increase in the maximum number of repeats may be authorised.</w:t>
            </w:r>
          </w:p>
        </w:tc>
      </w:tr>
      <w:tr w:rsidR="00625719" w:rsidRPr="003D294A" w14:paraId="535DDBE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9BFE96"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Administrative Advice:</w:t>
            </w:r>
          </w:p>
          <w:p w14:paraId="2082C21F"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Cs/>
                <w:sz w:val="20"/>
                <w:szCs w:val="20"/>
              </w:rPr>
              <w:t>No increase in the maximum quantity or number of units may be authorised.</w:t>
            </w:r>
          </w:p>
        </w:tc>
      </w:tr>
      <w:tr w:rsidR="00625719" w:rsidRPr="003D294A" w14:paraId="2C2CBC9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A602EF"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Caution:</w:t>
            </w:r>
          </w:p>
          <w:p w14:paraId="63CB3A07" w14:textId="77777777" w:rsidR="00625719" w:rsidRPr="003D294A" w:rsidRDefault="00625719" w:rsidP="00CF7B47">
            <w:pPr>
              <w:pStyle w:val="Tabletext8pt"/>
              <w:spacing w:before="0" w:after="0" w:line="240" w:lineRule="auto"/>
              <w:contextualSpacing/>
              <w:rPr>
                <w:rFonts w:ascii="Arial Narrow" w:hAnsi="Arial Narrow"/>
                <w:bCs/>
                <w:sz w:val="20"/>
                <w:szCs w:val="20"/>
              </w:rPr>
            </w:pPr>
            <w:r w:rsidRPr="003D294A">
              <w:rPr>
                <w:rFonts w:ascii="Arial Narrow" w:hAnsi="Arial Narrow"/>
                <w:bCs/>
                <w:sz w:val="20"/>
                <w:szCs w:val="20"/>
              </w:rPr>
              <w:t>This drug increases the risk of encapsulated bacterial infections.</w:t>
            </w:r>
          </w:p>
          <w:p w14:paraId="067E0905" w14:textId="77777777" w:rsidR="00625719" w:rsidRPr="003D294A" w:rsidRDefault="00625719" w:rsidP="00CF7B47">
            <w:pPr>
              <w:keepLines/>
              <w:contextualSpacing/>
              <w:rPr>
                <w:rFonts w:ascii="Arial Narrow" w:hAnsi="Arial Narrow"/>
                <w:bCs/>
                <w:i/>
                <w:iCs/>
                <w:sz w:val="20"/>
                <w:szCs w:val="20"/>
                <w14:ligatures w14:val="standardContextual"/>
              </w:rPr>
            </w:pPr>
            <w:r w:rsidRPr="003D294A">
              <w:rPr>
                <w:rFonts w:ascii="Arial Narrow" w:hAnsi="Arial Narrow"/>
                <w:bCs/>
                <w:sz w:val="20"/>
                <w:szCs w:val="20"/>
              </w:rPr>
              <w:t xml:space="preserve">Consult the approved </w:t>
            </w:r>
            <w:r w:rsidRPr="003D294A">
              <w:rPr>
                <w:rFonts w:ascii="Arial Narrow" w:hAnsi="Arial Narrow"/>
                <w:bCs/>
                <w:strike/>
                <w:sz w:val="20"/>
                <w:szCs w:val="20"/>
              </w:rPr>
              <w:t>Product Information</w:t>
            </w:r>
            <w:r w:rsidRPr="003D294A">
              <w:rPr>
                <w:rFonts w:ascii="Arial Narrow" w:hAnsi="Arial Narrow"/>
                <w:bCs/>
                <w:sz w:val="20"/>
                <w:szCs w:val="20"/>
              </w:rPr>
              <w:t xml:space="preserve"> </w:t>
            </w:r>
            <w:r w:rsidRPr="003D294A">
              <w:rPr>
                <w:rFonts w:ascii="Arial Narrow" w:hAnsi="Arial Narrow"/>
                <w:bCs/>
                <w:i/>
                <w:iCs/>
                <w:sz w:val="20"/>
                <w:szCs w:val="20"/>
              </w:rPr>
              <w:t>PI</w:t>
            </w:r>
            <w:r w:rsidRPr="003D294A">
              <w:rPr>
                <w:rFonts w:ascii="Arial Narrow" w:hAnsi="Arial Narrow"/>
                <w:bCs/>
                <w:sz w:val="20"/>
                <w:szCs w:val="20"/>
              </w:rPr>
              <w:t xml:space="preserve"> for information about vaccination against meningococcal, pneumococcal and Haemophilus influenzae type B (Hib) infection.</w:t>
            </w:r>
          </w:p>
        </w:tc>
      </w:tr>
      <w:tr w:rsidR="00625719" w:rsidRPr="003D294A" w14:paraId="5FACE4F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A33288" w14:textId="77777777" w:rsidR="00625719" w:rsidRPr="003D294A" w:rsidDel="00DF62EE" w:rsidRDefault="00625719" w:rsidP="00CF7B47">
            <w:pPr>
              <w:keepLines/>
              <w:rPr>
                <w:rFonts w:ascii="Arial Narrow" w:hAnsi="Arial Narrow"/>
                <w:b/>
                <w:bCs/>
                <w:i/>
                <w:iCs/>
                <w:color w:val="333333"/>
                <w:sz w:val="20"/>
                <w:szCs w:val="20"/>
              </w:rPr>
            </w:pPr>
            <w:r w:rsidRPr="003D294A" w:rsidDel="00DF62EE">
              <w:rPr>
                <w:rFonts w:ascii="Arial Narrow" w:hAnsi="Arial Narrow"/>
                <w:b/>
                <w:bCs/>
                <w:i/>
                <w:iCs/>
                <w:color w:val="333333"/>
                <w:sz w:val="20"/>
                <w:szCs w:val="20"/>
              </w:rPr>
              <w:t>Administrative Advice</w:t>
            </w:r>
          </w:p>
          <w:p w14:paraId="48D6489F" w14:textId="77777777" w:rsidR="00625719" w:rsidRPr="003D294A" w:rsidRDefault="00625719" w:rsidP="00CF7B47">
            <w:pPr>
              <w:keepLines/>
              <w:rPr>
                <w:rFonts w:ascii="Arial Narrow" w:hAnsi="Arial Narrow"/>
                <w:i/>
                <w:iCs/>
                <w:color w:val="333333"/>
                <w:sz w:val="20"/>
                <w:szCs w:val="20"/>
                <w14:ligatures w14:val="standardContextual"/>
              </w:rPr>
            </w:pPr>
            <w:r w:rsidRPr="003D294A" w:rsidDel="00DF62EE">
              <w:rPr>
                <w:rFonts w:ascii="Arial Narrow" w:hAnsi="Arial Narrow"/>
                <w:i/>
                <w:iCs/>
                <w:color w:val="333333"/>
                <w:sz w:val="20"/>
                <w:szCs w:val="20"/>
                <w14:ligatures w14:val="standardContextual"/>
              </w:rPr>
              <w:t>Complement inhibitors are defined as eculizumab</w:t>
            </w:r>
            <w:r w:rsidRPr="003D294A">
              <w:rPr>
                <w:rFonts w:ascii="Arial Narrow" w:hAnsi="Arial Narrow"/>
                <w:i/>
                <w:iCs/>
                <w:color w:val="333333"/>
                <w:sz w:val="20"/>
                <w:szCs w:val="20"/>
                <w14:ligatures w14:val="standardContextual"/>
              </w:rPr>
              <w:t>,</w:t>
            </w:r>
            <w:r w:rsidRPr="003D294A" w:rsidDel="00DF62EE">
              <w:rPr>
                <w:rFonts w:ascii="Arial Narrow" w:hAnsi="Arial Narrow"/>
                <w:i/>
                <w:iCs/>
                <w:color w:val="333333"/>
                <w:sz w:val="20"/>
                <w:szCs w:val="20"/>
                <w14:ligatures w14:val="standardContextual"/>
              </w:rPr>
              <w:t xml:space="preserve"> ravulizumab</w:t>
            </w:r>
            <w:r w:rsidRPr="003D294A">
              <w:rPr>
                <w:rFonts w:ascii="Arial Narrow" w:hAnsi="Arial Narrow"/>
                <w:i/>
                <w:iCs/>
                <w:color w:val="333333"/>
                <w:sz w:val="20"/>
                <w:szCs w:val="20"/>
                <w14:ligatures w14:val="standardContextual"/>
              </w:rPr>
              <w:t xml:space="preserve"> or iptacopan</w:t>
            </w:r>
          </w:p>
        </w:tc>
      </w:tr>
      <w:tr w:rsidR="00625719" w:rsidRPr="003D294A" w14:paraId="6882FBD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577F12D" w14:textId="77777777" w:rsidR="00625719" w:rsidRPr="003D294A" w:rsidRDefault="00625719" w:rsidP="00CF7B47">
            <w:pPr>
              <w:rPr>
                <w:rFonts w:ascii="Arial Narrow" w:hAnsi="Arial Narrow"/>
                <w:b/>
                <w:bCs/>
                <w:i/>
                <w:iCs/>
                <w:color w:val="333333"/>
                <w:sz w:val="20"/>
                <w:szCs w:val="20"/>
              </w:rPr>
            </w:pPr>
            <w:r w:rsidRPr="003D294A">
              <w:rPr>
                <w:rFonts w:ascii="Arial Narrow" w:hAnsi="Arial Narrow"/>
                <w:b/>
                <w:bCs/>
                <w:i/>
                <w:iCs/>
                <w:color w:val="333333"/>
                <w:sz w:val="20"/>
                <w:szCs w:val="20"/>
              </w:rPr>
              <w:t xml:space="preserve">Administrative Advice: </w:t>
            </w:r>
          </w:p>
          <w:p w14:paraId="056C1E13"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Any queries concerning the arrangements to prescribe may be directed to Services Australia on 1800 700 270 (hours of operation 8 a.m. to 5 p.m. Monday to Friday).</w:t>
            </w:r>
          </w:p>
          <w:p w14:paraId="1FCA6066"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Prescribing information (including Authority Application forms and other relevant documentation as applicable) is available on the Services Australia website at www.servicesaustralia.gov.au</w:t>
            </w:r>
          </w:p>
          <w:p w14:paraId="31E0E3F3"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Applications for authorisation under this restriction should be made using the Online PBS Authorities system (see www.servicesaustralia.gov.au/hpos)</w:t>
            </w:r>
          </w:p>
          <w:p w14:paraId="1B95B247"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Alternatively applications for authority to prescribe can be submitted online using the form upload facility in Health Professional Online Services (HPOS) at www.servicesaustralia.gov.au/hpos</w:t>
            </w:r>
          </w:p>
          <w:p w14:paraId="58E50ED4"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Or mailed to:</w:t>
            </w:r>
          </w:p>
          <w:p w14:paraId="6676CE54"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Services Australia</w:t>
            </w:r>
          </w:p>
          <w:p w14:paraId="76D65B42"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Complex Drugs</w:t>
            </w:r>
          </w:p>
          <w:p w14:paraId="1877DEA7"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Reply Paid 9826</w:t>
            </w:r>
          </w:p>
          <w:p w14:paraId="49A560E5"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HOBART TAS 7001</w:t>
            </w:r>
          </w:p>
        </w:tc>
      </w:tr>
      <w:tr w:rsidR="00625719" w:rsidRPr="003D294A" w14:paraId="1035C05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14FF265A" w14:textId="77777777" w:rsidR="00625719" w:rsidRPr="003D294A" w:rsidRDefault="00625719" w:rsidP="00CF7B47">
            <w:pPr>
              <w:rPr>
                <w:rFonts w:ascii="Arial Narrow" w:hAnsi="Arial Narrow"/>
                <w:b/>
                <w:bCs/>
                <w:i/>
                <w:iCs/>
                <w:color w:val="333333"/>
                <w:sz w:val="20"/>
                <w:szCs w:val="20"/>
              </w:rPr>
            </w:pPr>
            <w:r w:rsidRPr="003D294A">
              <w:rPr>
                <w:rFonts w:ascii="Arial Narrow" w:hAnsi="Arial Narrow"/>
                <w:b/>
                <w:bCs/>
                <w:i/>
                <w:iCs/>
                <w:color w:val="333333"/>
                <w:sz w:val="20"/>
                <w:szCs w:val="20"/>
              </w:rPr>
              <w:t xml:space="preserve">Administrative Advice: </w:t>
            </w:r>
          </w:p>
          <w:p w14:paraId="1B6F1999" w14:textId="77777777" w:rsidR="00625719" w:rsidRPr="003D294A" w:rsidRDefault="00625719" w:rsidP="00CF7B47">
            <w:pPr>
              <w:rPr>
                <w:rFonts w:ascii="Arial Narrow" w:hAnsi="Arial Narrow"/>
                <w:i/>
                <w:iCs/>
                <w:color w:val="333333"/>
                <w:sz w:val="20"/>
                <w:szCs w:val="20"/>
              </w:rPr>
            </w:pPr>
            <w:r w:rsidRPr="003D294A">
              <w:rPr>
                <w:rFonts w:ascii="Arial Narrow" w:hAnsi="Arial Narrow"/>
                <w:i/>
                <w:iCs/>
                <w:color w:val="333333"/>
                <w:sz w:val="20"/>
                <w:szCs w:val="20"/>
              </w:rPr>
              <w:lastRenderedPageBreak/>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tc>
      </w:tr>
      <w:tr w:rsidR="00625719" w:rsidRPr="003D294A" w14:paraId="23A96DD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shd w:val="clear" w:color="auto" w:fill="BFBFBF"/>
            <w:tcMar>
              <w:left w:w="28" w:type="dxa"/>
              <w:right w:w="28" w:type="dxa"/>
            </w:tcMar>
            <w:vAlign w:val="center"/>
          </w:tcPr>
          <w:p w14:paraId="5B493CAC" w14:textId="77777777" w:rsidR="00625719" w:rsidRPr="003D294A" w:rsidRDefault="00625719" w:rsidP="00CF7B47">
            <w:pPr>
              <w:keepLines/>
              <w:rPr>
                <w:rFonts w:ascii="Arial Narrow" w:hAnsi="Arial Narrow"/>
                <w:b/>
                <w:color w:val="333333"/>
                <w:sz w:val="20"/>
                <w:szCs w:val="20"/>
                <w14:ligatures w14:val="standardContextual"/>
              </w:rPr>
            </w:pPr>
            <w:r w:rsidRPr="003D294A">
              <w:rPr>
                <w:rFonts w:ascii="Arial Narrow" w:hAnsi="Arial Narrow"/>
                <w:b/>
                <w:sz w:val="20"/>
                <w:szCs w:val="20"/>
                <w14:ligatures w14:val="standardContextual"/>
              </w:rPr>
              <w:lastRenderedPageBreak/>
              <w:t>Restriction Summary 1 / Treatment of Concept: 1A</w:t>
            </w:r>
          </w:p>
        </w:tc>
      </w:tr>
      <w:tr w:rsidR="00625719" w:rsidRPr="003D294A" w14:paraId="537C754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794126DA" w14:textId="392A5E78" w:rsidR="00625719" w:rsidRPr="003D294A" w:rsidRDefault="00625719" w:rsidP="00CF7B47">
            <w:pPr>
              <w:keepLines/>
              <w:rPr>
                <w:rFonts w:ascii="Arial Narrow" w:hAnsi="Arial Narrow"/>
                <w:color w:val="333333"/>
                <w:sz w:val="20"/>
                <w:szCs w:val="20"/>
                <w14:ligatures w14:val="standardContextual"/>
              </w:rPr>
            </w:pPr>
            <w:r w:rsidRPr="003D294A">
              <w:rPr>
                <w:rFonts w:ascii="Arial Narrow" w:hAnsi="Arial Narrow"/>
                <w:b/>
                <w:bCs/>
                <w:sz w:val="20"/>
                <w:szCs w:val="20"/>
                <w14:ligatures w14:val="standardContextual"/>
              </w:rPr>
              <w:t>Indication:</w:t>
            </w:r>
            <w:r w:rsidR="00CF7B47">
              <w:rPr>
                <w:rFonts w:ascii="Arial Narrow" w:hAnsi="Arial Narrow"/>
                <w:sz w:val="20"/>
                <w:szCs w:val="20"/>
                <w14:ligatures w14:val="standardContextual"/>
              </w:rPr>
              <w:t xml:space="preserve"> </w:t>
            </w:r>
            <w:r w:rsidRPr="003D294A">
              <w:rPr>
                <w:rFonts w:ascii="Arial Narrow" w:hAnsi="Arial Narrow"/>
                <w:sz w:val="20"/>
                <w:szCs w:val="20"/>
                <w14:ligatures w14:val="standardContextual"/>
              </w:rPr>
              <w:t>C3G or primary immune complex membranoproliferative glomerulonephritis (</w:t>
            </w:r>
            <w:proofErr w:type="spellStart"/>
            <w:r w:rsidRPr="003D294A">
              <w:rPr>
                <w:rFonts w:ascii="Arial Narrow" w:hAnsi="Arial Narrow"/>
                <w:sz w:val="20"/>
                <w:szCs w:val="20"/>
                <w14:ligatures w14:val="standardContextual"/>
              </w:rPr>
              <w:t>pIC</w:t>
            </w:r>
            <w:proofErr w:type="spellEnd"/>
            <w:r w:rsidRPr="003D294A">
              <w:rPr>
                <w:rFonts w:ascii="Arial Narrow" w:hAnsi="Arial Narrow"/>
                <w:sz w:val="20"/>
                <w:szCs w:val="20"/>
                <w14:ligatures w14:val="standardContextual"/>
              </w:rPr>
              <w:t>-MPGN)</w:t>
            </w:r>
          </w:p>
        </w:tc>
      </w:tr>
      <w:tr w:rsidR="00625719" w:rsidRPr="003D294A" w14:paraId="58200F70"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8296BFA"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Treatment Phase:</w:t>
            </w:r>
            <w:r w:rsidRPr="003D294A">
              <w:rPr>
                <w:rFonts w:ascii="Arial Narrow" w:hAnsi="Arial Narrow"/>
                <w:color w:val="FF0000"/>
                <w:sz w:val="20"/>
                <w:szCs w:val="20"/>
                <w14:ligatures w14:val="standardContextual"/>
              </w:rPr>
              <w:t xml:space="preserve"> </w:t>
            </w:r>
            <w:r w:rsidRPr="003D294A">
              <w:rPr>
                <w:rFonts w:ascii="Arial Narrow" w:hAnsi="Arial Narrow"/>
                <w:sz w:val="20"/>
                <w:szCs w:val="20"/>
                <w14:ligatures w14:val="standardContextual"/>
              </w:rPr>
              <w:t>Initial treatment</w:t>
            </w:r>
          </w:p>
        </w:tc>
      </w:tr>
      <w:tr w:rsidR="00625719" w:rsidRPr="003D294A" w14:paraId="5E267AB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C1AE094"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7C30111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8478E6F" w14:textId="77777777"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i/>
                <w:iCs/>
                <w:color w:val="333333"/>
                <w:sz w:val="20"/>
                <w:szCs w:val="20"/>
                <w14:ligatures w14:val="standardContextual"/>
              </w:rPr>
              <w:t>Patient must not have received prior treatment with this drug for this condition</w:t>
            </w:r>
          </w:p>
        </w:tc>
      </w:tr>
      <w:tr w:rsidR="00625719" w:rsidRPr="003D294A" w14:paraId="13C0039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C780762" w14:textId="77777777" w:rsidR="00625719" w:rsidRPr="003D294A" w:rsidRDefault="00625719" w:rsidP="00CF7B47">
            <w:pPr>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07F66C30"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3027F533"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 xml:space="preserve">Clinical criteria: </w:t>
            </w:r>
          </w:p>
        </w:tc>
      </w:tr>
      <w:tr w:rsidR="00625719" w:rsidRPr="003D294A" w14:paraId="27A8F488"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91F0FAC" w14:textId="5298FA04"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sz w:val="20"/>
                <w:szCs w:val="20"/>
                <w14:ligatures w14:val="standardContextual"/>
              </w:rPr>
              <w:t>Treatment must not be in combination with another Complement inhibitor</w:t>
            </w:r>
            <w:r w:rsidR="00CF7B47">
              <w:rPr>
                <w:rFonts w:ascii="Arial Narrow" w:hAnsi="Arial Narrow"/>
                <w:strike/>
                <w:sz w:val="20"/>
                <w:szCs w:val="20"/>
                <w14:ligatures w14:val="standardContextual"/>
              </w:rPr>
              <w:t xml:space="preserve"> </w:t>
            </w:r>
          </w:p>
        </w:tc>
      </w:tr>
      <w:tr w:rsidR="00625719" w:rsidRPr="003D294A" w14:paraId="3977B0E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4BB9FEFB" w14:textId="77777777"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b/>
                <w:bCs/>
                <w:i/>
                <w:iCs/>
                <w:color w:val="333333"/>
                <w:sz w:val="20"/>
                <w:szCs w:val="20"/>
                <w14:ligatures w14:val="standardContextual"/>
              </w:rPr>
              <w:t>AND</w:t>
            </w:r>
          </w:p>
        </w:tc>
      </w:tr>
      <w:tr w:rsidR="00625719" w:rsidRPr="003D294A" w14:paraId="7ED7DBD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850624C" w14:textId="77777777" w:rsidR="00625719" w:rsidRPr="003D294A" w:rsidRDefault="00625719" w:rsidP="00CF7B47">
            <w:pPr>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2B18A4AF"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F6404CB"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 xml:space="preserve">Patient must have a confirmed diagnosis of primary C3G or </w:t>
            </w:r>
            <w:proofErr w:type="spellStart"/>
            <w:r w:rsidRPr="003D294A">
              <w:rPr>
                <w:rFonts w:ascii="Arial Narrow" w:hAnsi="Arial Narrow"/>
                <w:sz w:val="20"/>
                <w:szCs w:val="20"/>
                <w14:ligatures w14:val="standardContextual"/>
              </w:rPr>
              <w:t>pIC</w:t>
            </w:r>
            <w:proofErr w:type="spellEnd"/>
            <w:r w:rsidRPr="003D294A">
              <w:rPr>
                <w:rFonts w:ascii="Arial Narrow" w:hAnsi="Arial Narrow"/>
                <w:sz w:val="20"/>
                <w:szCs w:val="20"/>
                <w14:ligatures w14:val="standardContextual"/>
              </w:rPr>
              <w:t>-MPGN established by kidney biopsy</w:t>
            </w:r>
          </w:p>
        </w:tc>
      </w:tr>
      <w:tr w:rsidR="00625719" w:rsidRPr="003D294A" w14:paraId="651CA31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36E9A28"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4DF03D3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1A97D5C2"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58F1AA9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17E21FFB"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sz w:val="20"/>
                <w:szCs w:val="20"/>
                <w14:ligatures w14:val="standardContextual"/>
              </w:rPr>
              <w:t>Patient must not have an eGFR less than 30 mL/min/1.73 m2</w:t>
            </w:r>
          </w:p>
        </w:tc>
      </w:tr>
      <w:tr w:rsidR="00625719" w:rsidRPr="003D294A" w14:paraId="5FC403F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DC6D41C"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24FE730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D8BBDD4"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0EC3999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1E5DC7B8"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Patient must not be undergoing dialysis</w:t>
            </w:r>
          </w:p>
        </w:tc>
      </w:tr>
      <w:tr w:rsidR="00625719" w:rsidRPr="003D294A" w14:paraId="72E7988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381AB03B" w14:textId="77777777" w:rsidR="00625719" w:rsidRPr="003D294A" w:rsidRDefault="00625719" w:rsidP="00CF7B47">
            <w:pPr>
              <w:keepNext/>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Treatment criteria:</w:t>
            </w:r>
          </w:p>
        </w:tc>
      </w:tr>
      <w:tr w:rsidR="00625719" w:rsidRPr="003D294A" w14:paraId="259E734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5C8641FD" w14:textId="77777777" w:rsidR="00625719" w:rsidRPr="003D294A" w:rsidRDefault="00625719" w:rsidP="00CF7B47">
            <w:pPr>
              <w:autoSpaceDE w:val="0"/>
              <w:autoSpaceDN w:val="0"/>
              <w:adjustRightInd w:val="0"/>
              <w:rPr>
                <w:rFonts w:ascii="Arial Narrow" w:hAnsi="Arial Narrow" w:cs="Arial Narrow"/>
                <w:i/>
                <w:iCs/>
                <w:color w:val="FF0000"/>
                <w:sz w:val="20"/>
                <w:szCs w:val="20"/>
                <w14:ligatures w14:val="standardContextual"/>
              </w:rPr>
            </w:pPr>
            <w:r w:rsidRPr="003D294A">
              <w:rPr>
                <w:rFonts w:ascii="Arial Narrow" w:hAnsi="Arial Narrow"/>
                <w:sz w:val="20"/>
                <w:szCs w:val="20"/>
                <w14:ligatures w14:val="standardContextual"/>
              </w:rPr>
              <w:t>Must be treated by a nephrologist with experience in glomerular diseases; or</w:t>
            </w:r>
          </w:p>
        </w:tc>
      </w:tr>
      <w:tr w:rsidR="00625719" w:rsidRPr="003D294A" w14:paraId="3ABC816F"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1CC6E9F" w14:textId="77777777" w:rsidR="00625719" w:rsidRPr="003D294A" w:rsidRDefault="00625719" w:rsidP="00CF7B47">
            <w:pPr>
              <w:autoSpaceDE w:val="0"/>
              <w:autoSpaceDN w:val="0"/>
              <w:adjustRightInd w:val="0"/>
              <w:rPr>
                <w:rFonts w:ascii="Arial Narrow" w:hAnsi="Arial Narrow"/>
                <w:sz w:val="20"/>
                <w:szCs w:val="20"/>
                <w14:ligatures w14:val="standardContextual"/>
              </w:rPr>
            </w:pPr>
            <w:r w:rsidRPr="003D294A">
              <w:rPr>
                <w:rFonts w:ascii="Arial Narrow" w:hAnsi="Arial Narrow"/>
                <w:sz w:val="20"/>
                <w:szCs w:val="20"/>
                <w14:ligatures w14:val="standardContextual"/>
              </w:rPr>
              <w:t>Must be treated by a non-specialist medical physician who has consulted a nephrologist on the patient's drug treatment details.</w:t>
            </w:r>
          </w:p>
        </w:tc>
      </w:tr>
      <w:tr w:rsidR="00625719" w:rsidRPr="003D294A" w14:paraId="0BABE13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5D3314A5"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Population criteria:</w:t>
            </w:r>
          </w:p>
        </w:tc>
      </w:tr>
      <w:tr w:rsidR="00625719" w:rsidRPr="003D294A" w14:paraId="2A842C0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0AEFBF22"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weigh at least 30 kg</w:t>
            </w:r>
          </w:p>
        </w:tc>
      </w:tr>
      <w:tr w:rsidR="00625719" w:rsidRPr="003D294A" w14:paraId="7E0C2E3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22E875F"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b/>
                <w:color w:val="000000" w:themeColor="text1"/>
                <w:sz w:val="20"/>
                <w:szCs w:val="20"/>
                <w14:ligatures w14:val="standardContextual"/>
              </w:rPr>
              <w:t>Population criteria:</w:t>
            </w:r>
          </w:p>
        </w:tc>
      </w:tr>
      <w:tr w:rsidR="00625719" w:rsidRPr="003D294A" w14:paraId="21355EFF"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D7233AD"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be aged 12 years and older</w:t>
            </w:r>
          </w:p>
        </w:tc>
      </w:tr>
      <w:tr w:rsidR="00625719" w:rsidRPr="003D294A" w14:paraId="3F6272A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AE8C88C" w14:textId="77777777" w:rsidR="00625719" w:rsidRPr="003D294A" w:rsidRDefault="00625719" w:rsidP="00CF7B47">
            <w:pPr>
              <w:rPr>
                <w:rFonts w:ascii="Arial Narrow" w:hAnsi="Arial Narrow"/>
                <w:color w:val="FF0000"/>
                <w:sz w:val="20"/>
                <w:szCs w:val="20"/>
                <w14:ligatures w14:val="standardContextual"/>
              </w:rPr>
            </w:pPr>
            <w:r w:rsidRPr="003D294A">
              <w:rPr>
                <w:rFonts w:ascii="Arial Narrow" w:hAnsi="Arial Narrow" w:cs="Arial Narrow"/>
                <w:b/>
                <w:bCs/>
                <w:iCs/>
                <w:sz w:val="20"/>
                <w:szCs w:val="20"/>
                <w14:ligatures w14:val="standardContextual"/>
              </w:rPr>
              <w:t>AND</w:t>
            </w:r>
          </w:p>
        </w:tc>
      </w:tr>
      <w:tr w:rsidR="00625719" w:rsidRPr="003D294A" w14:paraId="1A118B4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61C87EC"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3F976664"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The authority application must be made via the Online PBS Authorities System, or in writing via HPOS form upload or mail and must include:</w:t>
            </w:r>
          </w:p>
          <w:p w14:paraId="2E3FD555"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(1) details of the proposed prescription(s); and</w:t>
            </w:r>
          </w:p>
          <w:p w14:paraId="61E7F0E6"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(2) a completed authority application form relevant to the indication and treatment phase (the latest version is located on the website specified in the Administrative Advice).</w:t>
            </w:r>
          </w:p>
        </w:tc>
      </w:tr>
      <w:tr w:rsidR="00625719" w:rsidRPr="003D294A" w14:paraId="5F3DDA4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1B340557"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35BDA1DD"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trike/>
                <w:sz w:val="20"/>
                <w:szCs w:val="20"/>
                <w14:ligatures w14:val="standardContextual"/>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r w:rsidRPr="003D294A">
              <w:rPr>
                <w:rFonts w:ascii="Arial Narrow" w:hAnsi="Arial Narrow"/>
                <w:sz w:val="20"/>
                <w:szCs w:val="20"/>
                <w14:ligatures w14:val="standardContextual"/>
              </w:rPr>
              <w:t>.</w:t>
            </w:r>
          </w:p>
          <w:p w14:paraId="46F76B29"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At the time of the authority application, details (result and date of result) of the following monitoring requirements must be provided:</w:t>
            </w:r>
          </w:p>
          <w:p w14:paraId="1CD6CF80"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w:t>
            </w:r>
            <w:proofErr w:type="spellStart"/>
            <w:r w:rsidRPr="003D294A">
              <w:rPr>
                <w:rFonts w:ascii="Arial Narrow" w:hAnsi="Arial Narrow"/>
                <w:sz w:val="20"/>
                <w:szCs w:val="20"/>
                <w14:ligatures w14:val="standardContextual"/>
              </w:rPr>
              <w:t>i</w:t>
            </w:r>
            <w:proofErr w:type="spellEnd"/>
            <w:r w:rsidRPr="003D294A">
              <w:rPr>
                <w:rFonts w:ascii="Arial Narrow" w:hAnsi="Arial Narrow"/>
                <w:sz w:val="20"/>
                <w:szCs w:val="20"/>
                <w14:ligatures w14:val="standardContextual"/>
              </w:rPr>
              <w:t xml:space="preserve">) </w:t>
            </w:r>
            <w:proofErr w:type="spellStart"/>
            <w:r w:rsidRPr="003D294A">
              <w:rPr>
                <w:rFonts w:ascii="Arial Narrow" w:hAnsi="Arial Narrow"/>
                <w:sz w:val="20"/>
                <w:szCs w:val="20"/>
                <w14:ligatures w14:val="standardContextual"/>
              </w:rPr>
              <w:t>uPCR</w:t>
            </w:r>
            <w:proofErr w:type="spellEnd"/>
            <w:r w:rsidRPr="003D294A">
              <w:rPr>
                <w:rFonts w:ascii="Arial Narrow" w:hAnsi="Arial Narrow"/>
                <w:sz w:val="20"/>
                <w:szCs w:val="20"/>
                <w14:ligatures w14:val="standardContextual"/>
              </w:rPr>
              <w:t xml:space="preserve"> (mg/g)</w:t>
            </w:r>
          </w:p>
          <w:p w14:paraId="77E31F8A"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(ii) eGFR (mL/min/1.73 m</w:t>
            </w:r>
            <w:r w:rsidRPr="003D294A">
              <w:rPr>
                <w:rFonts w:ascii="Arial Narrow" w:hAnsi="Arial Narrow"/>
                <w:sz w:val="20"/>
                <w:szCs w:val="20"/>
                <w:vertAlign w:val="superscript"/>
                <w14:ligatures w14:val="standardContextual"/>
              </w:rPr>
              <w:t>2</w:t>
            </w:r>
            <w:r w:rsidRPr="003D294A">
              <w:rPr>
                <w:rFonts w:ascii="Arial Narrow" w:hAnsi="Arial Narrow"/>
                <w:sz w:val="20"/>
                <w:szCs w:val="20"/>
                <w14:ligatures w14:val="standardContextual"/>
              </w:rPr>
              <w:t>)</w:t>
            </w:r>
          </w:p>
        </w:tc>
      </w:tr>
      <w:tr w:rsidR="00625719" w:rsidRPr="003D294A" w14:paraId="3D89227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91900F1"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7F460DB7"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An outcome on the authority application is not immediate, but will follow in due course. Electronic upload is encouraged to reduce processing time.</w:t>
            </w:r>
          </w:p>
        </w:tc>
      </w:tr>
      <w:tr w:rsidR="00625719" w:rsidRPr="003D294A" w14:paraId="63D14EB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A128CFA"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64B7374C"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At the time of the authority application, medical practitioners must request the appropriate number of vials for 4 weeks supply per dispensing as per the Product Information.</w:t>
            </w:r>
          </w:p>
        </w:tc>
      </w:tr>
      <w:tr w:rsidR="00625719" w:rsidRPr="003D294A" w14:paraId="7BAF3A3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shd w:val="clear" w:color="auto" w:fill="BFBFBF"/>
            <w:tcMar>
              <w:left w:w="28" w:type="dxa"/>
              <w:right w:w="28" w:type="dxa"/>
            </w:tcMar>
            <w:vAlign w:val="center"/>
          </w:tcPr>
          <w:p w14:paraId="78449FB1"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sz w:val="20"/>
                <w:szCs w:val="20"/>
                <w14:ligatures w14:val="standardContextual"/>
              </w:rPr>
              <w:t>Restriction Summary 2 / Treatment of Concept: 2A</w:t>
            </w:r>
          </w:p>
        </w:tc>
      </w:tr>
      <w:tr w:rsidR="00625719" w:rsidRPr="003D294A" w14:paraId="20D2D38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57DEFE68" w14:textId="3F5C18AD" w:rsidR="00625719" w:rsidRPr="003D294A" w:rsidRDefault="00625719" w:rsidP="00CF7B47">
            <w:pPr>
              <w:keepLines/>
              <w:rPr>
                <w:rFonts w:ascii="Arial Narrow" w:hAnsi="Arial Narrow"/>
                <w:color w:val="333333"/>
                <w:sz w:val="20"/>
                <w:szCs w:val="20"/>
                <w14:ligatures w14:val="standardContextual"/>
              </w:rPr>
            </w:pPr>
            <w:r w:rsidRPr="003D294A">
              <w:rPr>
                <w:rFonts w:ascii="Arial Narrow" w:hAnsi="Arial Narrow"/>
                <w:b/>
                <w:bCs/>
                <w:sz w:val="20"/>
                <w:szCs w:val="20"/>
                <w14:ligatures w14:val="standardContextual"/>
              </w:rPr>
              <w:lastRenderedPageBreak/>
              <w:t>Indication:</w:t>
            </w:r>
            <w:r w:rsidR="00CF7B47">
              <w:rPr>
                <w:rFonts w:ascii="Arial Narrow" w:hAnsi="Arial Narrow"/>
                <w:sz w:val="20"/>
                <w:szCs w:val="20"/>
                <w14:ligatures w14:val="standardContextual"/>
              </w:rPr>
              <w:t xml:space="preserve"> </w:t>
            </w:r>
            <w:r w:rsidRPr="003D294A">
              <w:rPr>
                <w:rFonts w:ascii="Arial Narrow" w:hAnsi="Arial Narrow"/>
                <w:sz w:val="20"/>
                <w:szCs w:val="20"/>
                <w14:ligatures w14:val="standardContextual"/>
              </w:rPr>
              <w:t>C3G or primary immune complex membranoproliferative glomerulonephritis (</w:t>
            </w:r>
            <w:proofErr w:type="spellStart"/>
            <w:r w:rsidRPr="003D294A">
              <w:rPr>
                <w:rFonts w:ascii="Arial Narrow" w:hAnsi="Arial Narrow"/>
                <w:sz w:val="20"/>
                <w:szCs w:val="20"/>
                <w14:ligatures w14:val="standardContextual"/>
              </w:rPr>
              <w:t>pIC</w:t>
            </w:r>
            <w:proofErr w:type="spellEnd"/>
            <w:r w:rsidRPr="003D294A">
              <w:rPr>
                <w:rFonts w:ascii="Arial Narrow" w:hAnsi="Arial Narrow"/>
                <w:sz w:val="20"/>
                <w:szCs w:val="20"/>
                <w14:ligatures w14:val="standardContextual"/>
              </w:rPr>
              <w:t>-MPGN)</w:t>
            </w:r>
          </w:p>
        </w:tc>
      </w:tr>
      <w:tr w:rsidR="00625719" w:rsidRPr="003D294A" w14:paraId="622D009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7BB9417" w14:textId="5E7FB96B"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Treatment Phase:</w:t>
            </w:r>
            <w:r w:rsidR="00CF7B47">
              <w:rPr>
                <w:rFonts w:ascii="Arial Narrow" w:hAnsi="Arial Narrow"/>
                <w:color w:val="FF0000"/>
                <w:sz w:val="20"/>
                <w:szCs w:val="20"/>
                <w14:ligatures w14:val="standardContextual"/>
              </w:rPr>
              <w:t xml:space="preserve"> </w:t>
            </w:r>
            <w:r w:rsidRPr="003D294A">
              <w:rPr>
                <w:rFonts w:ascii="Arial Narrow" w:hAnsi="Arial Narrow"/>
                <w:sz w:val="20"/>
                <w:szCs w:val="20"/>
                <w14:ligatures w14:val="standardContextual"/>
              </w:rPr>
              <w:t>Transitioning from non-PBS to PBS-subsidised treatment – Grandfather arrangement</w:t>
            </w:r>
          </w:p>
        </w:tc>
      </w:tr>
      <w:tr w:rsidR="00625719" w:rsidRPr="003D294A" w14:paraId="78EA727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64324E0"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23CC6D3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824B8A5"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color w:val="333333"/>
                <w:sz w:val="20"/>
                <w:szCs w:val="20"/>
                <w14:ligatures w14:val="standardContextual"/>
              </w:rPr>
              <w:t>Patient must have received non-PBS-subsidised treatment with this drug for this condition prior to [date of listing]</w:t>
            </w:r>
          </w:p>
        </w:tc>
      </w:tr>
      <w:tr w:rsidR="00625719" w:rsidRPr="003D294A" w14:paraId="31E18A5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E59B0D3" w14:textId="77777777" w:rsidR="00625719" w:rsidRPr="003D294A" w:rsidRDefault="00625719" w:rsidP="00CF7B47">
            <w:pPr>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43CE51B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0A499463"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 xml:space="preserve">Clinical criteria: </w:t>
            </w:r>
          </w:p>
        </w:tc>
      </w:tr>
      <w:tr w:rsidR="00625719" w:rsidRPr="003D294A" w14:paraId="31D5E25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6BF85B5D" w14:textId="45E3D233"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sz w:val="20"/>
                <w:szCs w:val="20"/>
                <w14:ligatures w14:val="standardContextual"/>
              </w:rPr>
              <w:t>Treatment must not be in combination with another Complement inhibitor</w:t>
            </w:r>
            <w:r w:rsidR="00CF7B47">
              <w:rPr>
                <w:rFonts w:ascii="Arial Narrow" w:hAnsi="Arial Narrow"/>
                <w:strike/>
                <w:sz w:val="20"/>
                <w:szCs w:val="20"/>
                <w14:ligatures w14:val="standardContextual"/>
              </w:rPr>
              <w:t xml:space="preserve"> </w:t>
            </w:r>
          </w:p>
        </w:tc>
      </w:tr>
      <w:tr w:rsidR="00625719" w:rsidRPr="003D294A" w14:paraId="077E9AF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16CE6829" w14:textId="77777777"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b/>
                <w:bCs/>
                <w:i/>
                <w:iCs/>
                <w:color w:val="333333"/>
                <w:sz w:val="20"/>
                <w:szCs w:val="20"/>
                <w14:ligatures w14:val="standardContextual"/>
              </w:rPr>
              <w:t>AND</w:t>
            </w:r>
          </w:p>
        </w:tc>
      </w:tr>
      <w:tr w:rsidR="00625719" w:rsidRPr="003D294A" w14:paraId="1DC706D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2B9D256"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54EDC37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E2B5FB2" w14:textId="77777777" w:rsidR="00625719" w:rsidRPr="003D294A" w:rsidRDefault="00625719" w:rsidP="00CF7B47">
            <w:pPr>
              <w:rPr>
                <w:rFonts w:ascii="Arial Narrow" w:hAnsi="Arial Narrow"/>
                <w:strike/>
                <w:color w:val="333333"/>
                <w:sz w:val="20"/>
                <w:szCs w:val="20"/>
                <w14:ligatures w14:val="standardContextual"/>
              </w:rPr>
            </w:pPr>
            <w:r w:rsidRPr="003D294A">
              <w:rPr>
                <w:rFonts w:ascii="Arial Narrow" w:hAnsi="Arial Narrow"/>
                <w:strike/>
                <w:color w:val="333333"/>
                <w:sz w:val="20"/>
                <w:szCs w:val="20"/>
                <w14:ligatures w14:val="standardContextual"/>
              </w:rPr>
              <w:t xml:space="preserve">Patient must not have received any treatment for this condition prior to commencing non-PBS-subsidised treatment with this drug </w:t>
            </w:r>
          </w:p>
          <w:p w14:paraId="3102D68E"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i/>
                <w:iCs/>
                <w:color w:val="333333"/>
                <w:sz w:val="20"/>
                <w:szCs w:val="20"/>
                <w14:ligatures w14:val="standardContextual"/>
              </w:rPr>
              <w:t xml:space="preserve">Patient must not have received any treatment with pegcetacoplan for this condition prior to commencing non-PBS-subsidised treatment </w:t>
            </w:r>
          </w:p>
        </w:tc>
      </w:tr>
      <w:tr w:rsidR="00625719" w:rsidRPr="003D294A" w14:paraId="4A05E51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947293D"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AND</w:t>
            </w:r>
          </w:p>
        </w:tc>
      </w:tr>
      <w:tr w:rsidR="00625719" w:rsidRPr="003D294A" w14:paraId="56FB704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9BE5CD0"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141B379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CB26D62"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 xml:space="preserve">Patient must have a confirmed diagnosis of primary C3G or </w:t>
            </w:r>
            <w:proofErr w:type="spellStart"/>
            <w:r w:rsidRPr="003D294A">
              <w:rPr>
                <w:rFonts w:ascii="Arial Narrow" w:hAnsi="Arial Narrow"/>
                <w:sz w:val="20"/>
                <w:szCs w:val="20"/>
                <w14:ligatures w14:val="standardContextual"/>
              </w:rPr>
              <w:t>pIC</w:t>
            </w:r>
            <w:proofErr w:type="spellEnd"/>
            <w:r w:rsidRPr="003D294A">
              <w:rPr>
                <w:rFonts w:ascii="Arial Narrow" w:hAnsi="Arial Narrow"/>
                <w:sz w:val="20"/>
                <w:szCs w:val="20"/>
                <w14:ligatures w14:val="standardContextual"/>
              </w:rPr>
              <w:t>-MPGN established by kidney biopsy</w:t>
            </w:r>
          </w:p>
        </w:tc>
      </w:tr>
      <w:tr w:rsidR="00625719" w:rsidRPr="003D294A" w14:paraId="2D16F2E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087289A3"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7C6C23B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48DA5E9A"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2CEB419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41D8957A"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sz w:val="20"/>
                <w:szCs w:val="20"/>
                <w14:ligatures w14:val="standardContextual"/>
              </w:rPr>
              <w:t xml:space="preserve">Patient must have experienced a clinical improvement </w:t>
            </w:r>
            <w:proofErr w:type="gramStart"/>
            <w:r w:rsidRPr="003D294A">
              <w:rPr>
                <w:rFonts w:ascii="Arial Narrow" w:hAnsi="Arial Narrow"/>
                <w:sz w:val="20"/>
                <w:szCs w:val="20"/>
                <w14:ligatures w14:val="standardContextual"/>
              </w:rPr>
              <w:t>as a result of</w:t>
            </w:r>
            <w:proofErr w:type="gramEnd"/>
            <w:r w:rsidRPr="003D294A">
              <w:rPr>
                <w:rFonts w:ascii="Arial Narrow" w:hAnsi="Arial Narrow"/>
                <w:sz w:val="20"/>
                <w:szCs w:val="20"/>
                <w14:ligatures w14:val="standardContextual"/>
              </w:rPr>
              <w:t xml:space="preserve"> treatment with this drug</w:t>
            </w:r>
          </w:p>
        </w:tc>
      </w:tr>
      <w:tr w:rsidR="00625719" w:rsidRPr="003D294A" w14:paraId="04C5FF2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7F1DD5D"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b/>
                <w:bCs/>
                <w:i/>
                <w:iCs/>
                <w:color w:val="333333"/>
                <w:sz w:val="20"/>
                <w:szCs w:val="20"/>
                <w14:ligatures w14:val="standardContextual"/>
              </w:rPr>
              <w:t>AND</w:t>
            </w:r>
          </w:p>
        </w:tc>
      </w:tr>
      <w:tr w:rsidR="00625719" w:rsidRPr="003D294A" w14:paraId="2CF7240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6F5C0ED"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3E59B1B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F4CBF74" w14:textId="77777777"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i/>
                <w:iCs/>
                <w:color w:val="333333"/>
                <w:sz w:val="20"/>
                <w:szCs w:val="20"/>
                <w14:ligatures w14:val="standardContextual"/>
              </w:rPr>
              <w:t>Patient must not have had an eGFR less than 30 mL/min/1.73 m2 prior to commencing non-PBS subsidised treatment with this drug for this condition</w:t>
            </w:r>
          </w:p>
        </w:tc>
      </w:tr>
      <w:tr w:rsidR="00625719" w:rsidRPr="003D294A" w14:paraId="05CF2B1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99CF77C" w14:textId="77777777" w:rsidR="00625719" w:rsidRPr="003D294A" w:rsidRDefault="00625719" w:rsidP="00CF7B47">
            <w:pPr>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2AD0685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B2CA55A"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58E44BF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0DFE86B"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Patient must not be undergoing dialysis</w:t>
            </w:r>
          </w:p>
        </w:tc>
      </w:tr>
      <w:tr w:rsidR="00625719" w:rsidRPr="003D294A" w14:paraId="36A3C51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426EFB19" w14:textId="77777777" w:rsidR="00625719" w:rsidRPr="003D294A" w:rsidRDefault="00625719" w:rsidP="00CF7B47">
            <w:pPr>
              <w:keepNext/>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Treatment criteria:</w:t>
            </w:r>
          </w:p>
        </w:tc>
      </w:tr>
      <w:tr w:rsidR="00625719" w:rsidRPr="003D294A" w14:paraId="35C09B8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0DA60954" w14:textId="77777777" w:rsidR="00625719" w:rsidRPr="003D294A" w:rsidRDefault="00625719" w:rsidP="00CF7B47">
            <w:pPr>
              <w:autoSpaceDE w:val="0"/>
              <w:autoSpaceDN w:val="0"/>
              <w:adjustRightInd w:val="0"/>
              <w:rPr>
                <w:rFonts w:ascii="Arial Narrow" w:hAnsi="Arial Narrow" w:cs="Arial Narrow"/>
                <w:i/>
                <w:iCs/>
                <w:color w:val="FF0000"/>
                <w:sz w:val="20"/>
                <w:szCs w:val="20"/>
                <w14:ligatures w14:val="standardContextual"/>
              </w:rPr>
            </w:pPr>
            <w:r w:rsidRPr="003D294A">
              <w:rPr>
                <w:rFonts w:ascii="Arial Narrow" w:hAnsi="Arial Narrow"/>
                <w:sz w:val="20"/>
                <w:szCs w:val="20"/>
                <w14:ligatures w14:val="standardContextual"/>
              </w:rPr>
              <w:t>Must be treated by a nephrologist with experience in glomerular diseases; or</w:t>
            </w:r>
          </w:p>
        </w:tc>
      </w:tr>
      <w:tr w:rsidR="00625719" w:rsidRPr="003D294A" w14:paraId="3CC8C86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9076C0B" w14:textId="77777777" w:rsidR="00625719" w:rsidRPr="003D294A" w:rsidRDefault="00625719" w:rsidP="00CF7B47">
            <w:pPr>
              <w:autoSpaceDE w:val="0"/>
              <w:autoSpaceDN w:val="0"/>
              <w:adjustRightInd w:val="0"/>
              <w:rPr>
                <w:rFonts w:ascii="Arial Narrow" w:hAnsi="Arial Narrow"/>
                <w:sz w:val="20"/>
                <w:szCs w:val="20"/>
                <w14:ligatures w14:val="standardContextual"/>
              </w:rPr>
            </w:pPr>
            <w:r w:rsidRPr="003D294A">
              <w:rPr>
                <w:rFonts w:ascii="Arial Narrow" w:hAnsi="Arial Narrow"/>
                <w:sz w:val="20"/>
                <w:szCs w:val="20"/>
                <w14:ligatures w14:val="standardContextual"/>
              </w:rPr>
              <w:t>Must be treated by a non-specialist medical physician who has consulted a nephrologist on the patient's drug treatment details.</w:t>
            </w:r>
          </w:p>
        </w:tc>
      </w:tr>
      <w:tr w:rsidR="00625719" w:rsidRPr="003D294A" w14:paraId="5C4EB8E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72FC8387"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Population criteria:</w:t>
            </w:r>
          </w:p>
        </w:tc>
      </w:tr>
      <w:tr w:rsidR="00625719" w:rsidRPr="003D294A" w14:paraId="096A143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7FFC3429"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weigh at least 30 kg</w:t>
            </w:r>
          </w:p>
        </w:tc>
      </w:tr>
      <w:tr w:rsidR="00625719" w:rsidRPr="003D294A" w14:paraId="5E5AB8F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A2C3E32"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b/>
                <w:color w:val="000000" w:themeColor="text1"/>
                <w:sz w:val="20"/>
                <w:szCs w:val="20"/>
                <w14:ligatures w14:val="standardContextual"/>
              </w:rPr>
              <w:t>Population criteria:</w:t>
            </w:r>
          </w:p>
        </w:tc>
      </w:tr>
      <w:tr w:rsidR="00625719" w:rsidRPr="003D294A" w14:paraId="54F4957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CF242AC"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be aged 12 years and older</w:t>
            </w:r>
          </w:p>
        </w:tc>
      </w:tr>
      <w:tr w:rsidR="00625719" w:rsidRPr="003D294A" w14:paraId="578DBA0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2DD1C26" w14:textId="77777777" w:rsidR="00625719" w:rsidRPr="003D294A" w:rsidRDefault="00625719" w:rsidP="00CF7B47">
            <w:pPr>
              <w:rPr>
                <w:rFonts w:ascii="Arial Narrow" w:hAnsi="Arial Narrow"/>
                <w:color w:val="FF0000"/>
                <w:sz w:val="20"/>
                <w:szCs w:val="20"/>
                <w14:ligatures w14:val="standardContextual"/>
              </w:rPr>
            </w:pPr>
            <w:r w:rsidRPr="003D294A">
              <w:rPr>
                <w:rFonts w:ascii="Arial Narrow" w:hAnsi="Arial Narrow" w:cs="Arial Narrow"/>
                <w:b/>
                <w:bCs/>
                <w:iCs/>
                <w:sz w:val="20"/>
                <w:szCs w:val="20"/>
                <w14:ligatures w14:val="standardContextual"/>
              </w:rPr>
              <w:t>AND</w:t>
            </w:r>
          </w:p>
        </w:tc>
      </w:tr>
      <w:tr w:rsidR="00625719" w:rsidRPr="003D294A" w14:paraId="6C529DD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5F3C063"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33286B16"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The authority application must be made via the Online PBS Authorities System, or in writing via HPOS form upload or mail and must include:</w:t>
            </w:r>
          </w:p>
          <w:p w14:paraId="30A0EBA8"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(1) details of the proposed prescription(s); and</w:t>
            </w:r>
          </w:p>
          <w:p w14:paraId="287D5C82"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(2) a completed authority application form relevant to the indication and treatment phase (the latest version is located on the website specified in the Administrative Advice).</w:t>
            </w:r>
          </w:p>
        </w:tc>
      </w:tr>
      <w:tr w:rsidR="00625719" w:rsidRPr="003D294A" w14:paraId="45EA5D3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98809A1"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72E65D25"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trike/>
                <w:sz w:val="20"/>
                <w:szCs w:val="20"/>
                <w14:ligatures w14:val="standardContextual"/>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r w:rsidRPr="003D294A">
              <w:rPr>
                <w:rFonts w:ascii="Arial Narrow" w:hAnsi="Arial Narrow"/>
                <w:sz w:val="20"/>
                <w:szCs w:val="20"/>
                <w14:ligatures w14:val="standardContextual"/>
              </w:rPr>
              <w:t>.</w:t>
            </w:r>
          </w:p>
          <w:p w14:paraId="0A9057CB"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At the time of the authority application, details (result and date of result) of the following monitoring requirements must be provided:</w:t>
            </w:r>
          </w:p>
          <w:p w14:paraId="5E84CA41"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w:t>
            </w:r>
            <w:proofErr w:type="spellStart"/>
            <w:r w:rsidRPr="003D294A">
              <w:rPr>
                <w:rFonts w:ascii="Arial Narrow" w:hAnsi="Arial Narrow"/>
                <w:sz w:val="20"/>
                <w:szCs w:val="20"/>
                <w14:ligatures w14:val="standardContextual"/>
              </w:rPr>
              <w:t>i</w:t>
            </w:r>
            <w:proofErr w:type="spellEnd"/>
            <w:r w:rsidRPr="003D294A">
              <w:rPr>
                <w:rFonts w:ascii="Arial Narrow" w:hAnsi="Arial Narrow"/>
                <w:sz w:val="20"/>
                <w:szCs w:val="20"/>
                <w14:ligatures w14:val="standardContextual"/>
              </w:rPr>
              <w:t xml:space="preserve">) </w:t>
            </w:r>
            <w:proofErr w:type="spellStart"/>
            <w:r w:rsidRPr="003D294A">
              <w:rPr>
                <w:rFonts w:ascii="Arial Narrow" w:hAnsi="Arial Narrow"/>
                <w:sz w:val="20"/>
                <w:szCs w:val="20"/>
                <w14:ligatures w14:val="standardContextual"/>
              </w:rPr>
              <w:t>uPCR</w:t>
            </w:r>
            <w:proofErr w:type="spellEnd"/>
            <w:r w:rsidRPr="003D294A">
              <w:rPr>
                <w:rFonts w:ascii="Arial Narrow" w:hAnsi="Arial Narrow"/>
                <w:sz w:val="20"/>
                <w:szCs w:val="20"/>
                <w14:ligatures w14:val="standardContextual"/>
              </w:rPr>
              <w:t xml:space="preserve"> (mg/g)</w:t>
            </w:r>
          </w:p>
          <w:p w14:paraId="275012B4"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(ii) eGFR (mL/min/1.73 m</w:t>
            </w:r>
            <w:r w:rsidRPr="003D294A">
              <w:rPr>
                <w:rFonts w:ascii="Arial Narrow" w:hAnsi="Arial Narrow"/>
                <w:sz w:val="20"/>
                <w:szCs w:val="20"/>
                <w:vertAlign w:val="superscript"/>
                <w14:ligatures w14:val="standardContextual"/>
              </w:rPr>
              <w:t>2</w:t>
            </w:r>
            <w:r w:rsidRPr="003D294A">
              <w:rPr>
                <w:rFonts w:ascii="Arial Narrow" w:hAnsi="Arial Narrow"/>
                <w:sz w:val="20"/>
                <w:szCs w:val="20"/>
                <w14:ligatures w14:val="standardContextual"/>
              </w:rPr>
              <w:t>)</w:t>
            </w:r>
          </w:p>
        </w:tc>
      </w:tr>
      <w:tr w:rsidR="00625719" w:rsidRPr="003D294A" w14:paraId="4D0D28D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7B14F32"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lastRenderedPageBreak/>
              <w:t xml:space="preserve">Prescribing Instructions: </w:t>
            </w:r>
          </w:p>
          <w:p w14:paraId="683825C0"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An outcome on the authority application is not immediate, but will follow in due course. Electronic upload is encouraged to reduce processing time.</w:t>
            </w:r>
          </w:p>
        </w:tc>
      </w:tr>
      <w:tr w:rsidR="00625719" w:rsidRPr="003D294A" w14:paraId="339C2E88"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F1D1301"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796F083E"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At the time of the authority application, medical practitioners must request the appropriate number of vials for 4 weeks supply per dispensing as per the Product Information.</w:t>
            </w:r>
          </w:p>
        </w:tc>
      </w:tr>
      <w:tr w:rsidR="00625719" w:rsidRPr="003D294A" w14:paraId="4F9FC21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84D68E9"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Administrative advice:</w:t>
            </w:r>
          </w:p>
          <w:p w14:paraId="1CBE67C5"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This grandfather restriction will cease to operate from 12 months after the date specified in the clinical criteria.</w:t>
            </w:r>
          </w:p>
        </w:tc>
      </w:tr>
      <w:tr w:rsidR="00625719" w:rsidRPr="003D294A" w14:paraId="4D7B03A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DC956AB"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Prescribing Instructions:</w:t>
            </w:r>
          </w:p>
          <w:p w14:paraId="000EA921"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 patient may qualify for PBS-subsidised treatment under this restriction once only. For continuing PBS-subsidised treatment, a grandfathered patient must qualify under the Subsequent continuing treatment criteria.</w:t>
            </w:r>
          </w:p>
        </w:tc>
      </w:tr>
    </w:tbl>
    <w:p w14:paraId="0347B4AD" w14:textId="77777777" w:rsidR="00455121" w:rsidRPr="003D294A" w:rsidRDefault="00455121" w:rsidP="00CF7B47"/>
    <w:p w14:paraId="70EB08E4" w14:textId="77777777" w:rsidR="00455121" w:rsidRPr="003D294A" w:rsidRDefault="00455121" w:rsidP="00CF7B47">
      <w:r w:rsidRPr="003D294A">
        <w:t>First Continuing/Subsequent continuing treatment phase:</w:t>
      </w:r>
    </w:p>
    <w:tbl>
      <w:tblPr>
        <w:tblpPr w:leftFromText="180" w:rightFromText="180" w:vertAnchor="text" w:tblpX="14"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irst Continuing/Subsequent continuing treatment phase:"/>
      </w:tblPr>
      <w:tblGrid>
        <w:gridCol w:w="3999"/>
        <w:gridCol w:w="896"/>
        <w:gridCol w:w="713"/>
        <w:gridCol w:w="804"/>
        <w:gridCol w:w="805"/>
        <w:gridCol w:w="1710"/>
      </w:tblGrid>
      <w:tr w:rsidR="00455121" w:rsidRPr="003D294A" w14:paraId="536DD198" w14:textId="77777777" w:rsidTr="00625719">
        <w:trPr>
          <w:trHeight w:val="20"/>
        </w:trPr>
        <w:tc>
          <w:tcPr>
            <w:tcW w:w="3998" w:type="dxa"/>
            <w:tcMar>
              <w:left w:w="28" w:type="dxa"/>
              <w:right w:w="28" w:type="dxa"/>
            </w:tcMar>
            <w:vAlign w:val="center"/>
          </w:tcPr>
          <w:p w14:paraId="03C10DF1" w14:textId="77777777" w:rsidR="00455121" w:rsidRPr="003D294A" w:rsidRDefault="00455121" w:rsidP="00CF7B47">
            <w:pPr>
              <w:keepLines/>
              <w:rPr>
                <w:rFonts w:ascii="Arial Narrow" w:hAnsi="Arial Narrow"/>
                <w:b/>
                <w:bCs/>
                <w:sz w:val="20"/>
                <w:szCs w:val="20"/>
                <w14:ligatures w14:val="standardContextual"/>
              </w:rPr>
            </w:pPr>
            <w:r w:rsidRPr="003D294A">
              <w:rPr>
                <w:rFonts w:ascii="Arial Narrow" w:hAnsi="Arial Narrow"/>
                <w:b/>
                <w:bCs/>
                <w:sz w:val="20"/>
                <w:szCs w:val="20"/>
                <w14:ligatures w14:val="standardContextual"/>
              </w:rPr>
              <w:t>MEDICINAL PRODUCT</w:t>
            </w:r>
          </w:p>
          <w:p w14:paraId="20408B61" w14:textId="77777777" w:rsidR="00455121" w:rsidRPr="003D294A" w:rsidRDefault="00455121" w:rsidP="00CF7B47">
            <w:pPr>
              <w:keepLines/>
              <w:rPr>
                <w:rFonts w:ascii="Arial Narrow" w:hAnsi="Arial Narrow"/>
                <w:b/>
                <w:sz w:val="20"/>
                <w:szCs w:val="20"/>
                <w14:ligatures w14:val="standardContextual"/>
              </w:rPr>
            </w:pPr>
            <w:r w:rsidRPr="003D294A">
              <w:rPr>
                <w:rFonts w:ascii="Arial Narrow" w:hAnsi="Arial Narrow"/>
                <w:b/>
                <w:bCs/>
                <w:sz w:val="20"/>
                <w:szCs w:val="20"/>
                <w14:ligatures w14:val="standardContextual"/>
              </w:rPr>
              <w:t>medicinal product pack</w:t>
            </w:r>
          </w:p>
        </w:tc>
        <w:tc>
          <w:tcPr>
            <w:tcW w:w="896" w:type="dxa"/>
            <w:tcMar>
              <w:left w:w="28" w:type="dxa"/>
              <w:right w:w="28" w:type="dxa"/>
            </w:tcMar>
            <w:vAlign w:val="center"/>
          </w:tcPr>
          <w:p w14:paraId="672FBDE3"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PBS item code</w:t>
            </w:r>
          </w:p>
        </w:tc>
        <w:tc>
          <w:tcPr>
            <w:tcW w:w="713" w:type="dxa"/>
            <w:tcMar>
              <w:left w:w="28" w:type="dxa"/>
              <w:right w:w="28" w:type="dxa"/>
            </w:tcMar>
            <w:vAlign w:val="center"/>
          </w:tcPr>
          <w:p w14:paraId="2D948967"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Max. qty packs</w:t>
            </w:r>
          </w:p>
        </w:tc>
        <w:tc>
          <w:tcPr>
            <w:tcW w:w="804" w:type="dxa"/>
            <w:tcMar>
              <w:left w:w="28" w:type="dxa"/>
              <w:right w:w="28" w:type="dxa"/>
            </w:tcMar>
            <w:vAlign w:val="center"/>
          </w:tcPr>
          <w:p w14:paraId="36680963"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Max. qty units</w:t>
            </w:r>
          </w:p>
        </w:tc>
        <w:tc>
          <w:tcPr>
            <w:tcW w:w="805" w:type="dxa"/>
            <w:tcMar>
              <w:left w:w="28" w:type="dxa"/>
              <w:right w:w="28" w:type="dxa"/>
            </w:tcMar>
            <w:vAlign w:val="center"/>
          </w:tcPr>
          <w:p w14:paraId="503CF40E"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№.of</w:t>
            </w:r>
          </w:p>
          <w:p w14:paraId="4D6B95CD" w14:textId="77777777" w:rsidR="00455121" w:rsidRPr="003D294A" w:rsidRDefault="00455121" w:rsidP="00CF7B47">
            <w:pPr>
              <w:keepLines/>
              <w:jc w:val="center"/>
              <w:rPr>
                <w:rFonts w:ascii="Arial Narrow" w:hAnsi="Arial Narrow"/>
                <w:b/>
                <w:sz w:val="20"/>
                <w:szCs w:val="20"/>
                <w14:ligatures w14:val="standardContextual"/>
              </w:rPr>
            </w:pPr>
            <w:r w:rsidRPr="003D294A">
              <w:rPr>
                <w:rFonts w:ascii="Arial Narrow" w:hAnsi="Arial Narrow"/>
                <w:b/>
                <w:sz w:val="20"/>
                <w:szCs w:val="20"/>
                <w14:ligatures w14:val="standardContextual"/>
              </w:rPr>
              <w:t>Rpts</w:t>
            </w:r>
          </w:p>
        </w:tc>
        <w:tc>
          <w:tcPr>
            <w:tcW w:w="1710" w:type="dxa"/>
            <w:tcMar>
              <w:left w:w="28" w:type="dxa"/>
              <w:right w:w="28" w:type="dxa"/>
            </w:tcMar>
            <w:vAlign w:val="center"/>
          </w:tcPr>
          <w:p w14:paraId="335EB5B6" w14:textId="77777777" w:rsidR="00455121" w:rsidRPr="003D294A" w:rsidRDefault="00455121" w:rsidP="00CF7B47">
            <w:pPr>
              <w:keepLines/>
              <w:rPr>
                <w:rFonts w:ascii="Arial Narrow" w:hAnsi="Arial Narrow"/>
                <w:b/>
                <w:sz w:val="20"/>
                <w:szCs w:val="20"/>
                <w14:ligatures w14:val="standardContextual"/>
              </w:rPr>
            </w:pPr>
            <w:r w:rsidRPr="003D294A">
              <w:rPr>
                <w:rFonts w:ascii="Arial Narrow" w:hAnsi="Arial Narrow"/>
                <w:b/>
                <w:sz w:val="20"/>
                <w:szCs w:val="20"/>
                <w14:ligatures w14:val="standardContextual"/>
              </w:rPr>
              <w:t>Available brands</w:t>
            </w:r>
          </w:p>
        </w:tc>
      </w:tr>
      <w:tr w:rsidR="00455121" w:rsidRPr="003D294A" w14:paraId="479742A7" w14:textId="77777777" w:rsidTr="00625719">
        <w:trPr>
          <w:trHeight w:val="20"/>
        </w:trPr>
        <w:tc>
          <w:tcPr>
            <w:tcW w:w="8926" w:type="dxa"/>
            <w:gridSpan w:val="6"/>
            <w:tcMar>
              <w:left w:w="28" w:type="dxa"/>
              <w:right w:w="28" w:type="dxa"/>
            </w:tcMar>
            <w:vAlign w:val="center"/>
          </w:tcPr>
          <w:p w14:paraId="370EA330" w14:textId="77777777" w:rsidR="00455121" w:rsidRPr="003D294A" w:rsidRDefault="00455121" w:rsidP="00CF7B47">
            <w:pPr>
              <w:keepLines/>
              <w:rPr>
                <w:rFonts w:ascii="Arial Narrow" w:hAnsi="Arial Narrow"/>
                <w:sz w:val="20"/>
                <w:szCs w:val="20"/>
                <w14:ligatures w14:val="standardContextual"/>
              </w:rPr>
            </w:pPr>
            <w:r w:rsidRPr="003D294A">
              <w:rPr>
                <w:rFonts w:ascii="Arial Narrow" w:hAnsi="Arial Narrow"/>
                <w:sz w:val="20"/>
                <w:szCs w:val="20"/>
                <w14:ligatures w14:val="standardContextual"/>
              </w:rPr>
              <w:t>PEGCETACOPLAN</w:t>
            </w:r>
          </w:p>
        </w:tc>
      </w:tr>
      <w:tr w:rsidR="00455121" w:rsidRPr="003D294A" w14:paraId="02EEB798" w14:textId="77777777" w:rsidTr="00625719">
        <w:trPr>
          <w:trHeight w:val="20"/>
        </w:trPr>
        <w:tc>
          <w:tcPr>
            <w:tcW w:w="3998" w:type="dxa"/>
            <w:tcMar>
              <w:left w:w="28" w:type="dxa"/>
              <w:right w:w="28" w:type="dxa"/>
            </w:tcMar>
            <w:vAlign w:val="center"/>
          </w:tcPr>
          <w:p w14:paraId="10E4CED2" w14:textId="77777777" w:rsidR="00455121" w:rsidRPr="003D294A" w:rsidRDefault="00455121" w:rsidP="00CF7B47">
            <w:pPr>
              <w:keepLines/>
              <w:rPr>
                <w:rFonts w:ascii="Arial Narrow" w:hAnsi="Arial Narrow"/>
                <w:strike/>
                <w:sz w:val="20"/>
                <w:szCs w:val="20"/>
                <w14:ligatures w14:val="standardContextual"/>
              </w:rPr>
            </w:pPr>
            <w:proofErr w:type="spellStart"/>
            <w:r w:rsidRPr="003D294A">
              <w:rPr>
                <w:rFonts w:ascii="Arial Narrow" w:hAnsi="Arial Narrow"/>
                <w:strike/>
                <w:sz w:val="20"/>
                <w:szCs w:val="20"/>
                <w14:ligatures w14:val="standardContextual"/>
              </w:rPr>
              <w:t>Pegcetacoplan</w:t>
            </w:r>
            <w:proofErr w:type="spellEnd"/>
            <w:r w:rsidRPr="003D294A">
              <w:rPr>
                <w:rFonts w:ascii="Arial Narrow" w:hAnsi="Arial Narrow"/>
                <w:strike/>
                <w:sz w:val="20"/>
                <w:szCs w:val="20"/>
                <w14:ligatures w14:val="standardContextual"/>
              </w:rPr>
              <w:t xml:space="preserve">, C3G or </w:t>
            </w:r>
            <w:proofErr w:type="spellStart"/>
            <w:r w:rsidRPr="003D294A">
              <w:rPr>
                <w:rFonts w:ascii="Arial Narrow" w:hAnsi="Arial Narrow"/>
                <w:strike/>
                <w:sz w:val="20"/>
                <w:szCs w:val="20"/>
                <w14:ligatures w14:val="standardContextual"/>
              </w:rPr>
              <w:t>pIC</w:t>
            </w:r>
            <w:proofErr w:type="spellEnd"/>
            <w:r w:rsidRPr="003D294A">
              <w:rPr>
                <w:rFonts w:ascii="Arial Narrow" w:hAnsi="Arial Narrow"/>
                <w:strike/>
                <w:sz w:val="20"/>
                <w:szCs w:val="20"/>
                <w14:ligatures w14:val="standardContextual"/>
              </w:rPr>
              <w:t>-MPGN, solution for subcutaneous infusion; 1.08 g/20 mL injection, 20 mL vial</w:t>
            </w:r>
          </w:p>
          <w:p w14:paraId="34DF1313" w14:textId="77777777" w:rsidR="00455121" w:rsidRPr="003D294A" w:rsidRDefault="00455121" w:rsidP="00CF7B47">
            <w:pPr>
              <w:keepLines/>
              <w:rPr>
                <w:rFonts w:ascii="Arial Narrow" w:hAnsi="Arial Narrow"/>
                <w:i/>
                <w:iCs/>
                <w:color w:val="FF0000"/>
                <w:sz w:val="20"/>
                <w:szCs w:val="20"/>
                <w14:ligatures w14:val="standardContextual"/>
              </w:rPr>
            </w:pPr>
            <w:r w:rsidRPr="003D294A">
              <w:rPr>
                <w:rFonts w:ascii="Arial Narrow" w:hAnsi="Arial Narrow"/>
                <w:i/>
                <w:iCs/>
                <w:color w:val="000000" w:themeColor="text1"/>
                <w:sz w:val="20"/>
                <w:szCs w:val="20"/>
                <w14:ligatures w14:val="standardContextual"/>
              </w:rPr>
              <w:t>Pegcetacoplan 1,080 mg/20 mL injection; 20 mL vial</w:t>
            </w:r>
          </w:p>
        </w:tc>
        <w:tc>
          <w:tcPr>
            <w:tcW w:w="896" w:type="dxa"/>
            <w:tcMar>
              <w:left w:w="28" w:type="dxa"/>
              <w:right w:w="28" w:type="dxa"/>
            </w:tcMar>
            <w:vAlign w:val="center"/>
          </w:tcPr>
          <w:p w14:paraId="6CEB9000" w14:textId="77777777" w:rsidR="00455121" w:rsidRPr="003D294A" w:rsidRDefault="00455121" w:rsidP="00CF7B47">
            <w:pPr>
              <w:keepLines/>
              <w:jc w:val="center"/>
              <w:rPr>
                <w:rFonts w:ascii="Arial Narrow" w:hAnsi="Arial Narrow"/>
                <w:sz w:val="20"/>
                <w:szCs w:val="20"/>
                <w14:ligatures w14:val="standardContextual"/>
              </w:rPr>
            </w:pPr>
            <w:r w:rsidRPr="003D294A">
              <w:rPr>
                <w:rFonts w:ascii="Arial Narrow" w:hAnsi="Arial Narrow"/>
                <w:sz w:val="20"/>
                <w:szCs w:val="20"/>
                <w14:ligatures w14:val="standardContextual"/>
              </w:rPr>
              <w:t>NEW (Public)</w:t>
            </w:r>
          </w:p>
          <w:p w14:paraId="24003082"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NEW (Private)</w:t>
            </w:r>
          </w:p>
        </w:tc>
        <w:tc>
          <w:tcPr>
            <w:tcW w:w="713" w:type="dxa"/>
            <w:tcMar>
              <w:left w:w="28" w:type="dxa"/>
              <w:right w:w="28" w:type="dxa"/>
            </w:tcMar>
            <w:vAlign w:val="center"/>
          </w:tcPr>
          <w:p w14:paraId="3651C345"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8</w:t>
            </w:r>
          </w:p>
        </w:tc>
        <w:tc>
          <w:tcPr>
            <w:tcW w:w="804" w:type="dxa"/>
            <w:tcMar>
              <w:left w:w="28" w:type="dxa"/>
              <w:right w:w="28" w:type="dxa"/>
            </w:tcMar>
            <w:vAlign w:val="center"/>
          </w:tcPr>
          <w:p w14:paraId="79BCF1F3"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8</w:t>
            </w:r>
          </w:p>
        </w:tc>
        <w:tc>
          <w:tcPr>
            <w:tcW w:w="805" w:type="dxa"/>
            <w:tcMar>
              <w:left w:w="28" w:type="dxa"/>
              <w:right w:w="28" w:type="dxa"/>
            </w:tcMar>
            <w:vAlign w:val="center"/>
          </w:tcPr>
          <w:p w14:paraId="609AE6D8"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5</w:t>
            </w:r>
          </w:p>
        </w:tc>
        <w:tc>
          <w:tcPr>
            <w:tcW w:w="1710" w:type="dxa"/>
            <w:tcMar>
              <w:left w:w="28" w:type="dxa"/>
              <w:right w:w="28" w:type="dxa"/>
            </w:tcMar>
            <w:vAlign w:val="center"/>
          </w:tcPr>
          <w:p w14:paraId="3196D824" w14:textId="77777777" w:rsidR="00455121" w:rsidRPr="003D294A" w:rsidRDefault="00455121" w:rsidP="00CF7B47">
            <w:pPr>
              <w:keepLines/>
              <w:jc w:val="center"/>
              <w:rPr>
                <w:rFonts w:ascii="Arial Narrow" w:hAnsi="Arial Narrow"/>
                <w:color w:val="FF0000"/>
                <w:sz w:val="20"/>
                <w:szCs w:val="20"/>
                <w14:ligatures w14:val="standardContextual"/>
              </w:rPr>
            </w:pPr>
            <w:r w:rsidRPr="003D294A">
              <w:rPr>
                <w:rFonts w:ascii="Arial Narrow" w:hAnsi="Arial Narrow"/>
                <w:sz w:val="20"/>
                <w:szCs w:val="20"/>
                <w14:ligatures w14:val="standardContextual"/>
              </w:rPr>
              <w:t>Empaveli</w:t>
            </w:r>
          </w:p>
        </w:tc>
      </w:tr>
      <w:tr w:rsidR="00455121" w:rsidRPr="003D294A" w14:paraId="511C636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right w:val="single" w:sz="4" w:space="0" w:color="auto"/>
            </w:tcBorders>
            <w:tcMar>
              <w:left w:w="28" w:type="dxa"/>
              <w:right w:w="28" w:type="dxa"/>
            </w:tcMar>
            <w:vAlign w:val="center"/>
          </w:tcPr>
          <w:p w14:paraId="1B0605E2" w14:textId="77777777" w:rsidR="00455121" w:rsidRPr="003D294A" w:rsidRDefault="00455121" w:rsidP="00CF7B47">
            <w:pPr>
              <w:rPr>
                <w:rFonts w:ascii="Arial Narrow" w:hAnsi="Arial Narrow"/>
                <w:sz w:val="20"/>
                <w:szCs w:val="20"/>
                <w14:ligatures w14:val="standardContextual"/>
              </w:rPr>
            </w:pPr>
          </w:p>
        </w:tc>
      </w:tr>
      <w:tr w:rsidR="00625719" w:rsidRPr="003D294A" w14:paraId="7E17C4D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733728" w14:textId="77777777" w:rsidR="00625719" w:rsidRPr="003D294A" w:rsidRDefault="00625719" w:rsidP="00CF7B47">
            <w:pPr>
              <w:keepLines/>
              <w:rPr>
                <w:rFonts w:ascii="Arial Narrow" w:hAnsi="Arial Narrow"/>
                <w:sz w:val="20"/>
                <w:szCs w:val="20"/>
                <w14:ligatures w14:val="standardContextual"/>
              </w:rPr>
            </w:pPr>
            <w:r w:rsidRPr="003D294A">
              <w:rPr>
                <w:rFonts w:ascii="Arial Narrow" w:hAnsi="Arial Narrow"/>
                <w:b/>
                <w:sz w:val="20"/>
                <w:szCs w:val="20"/>
                <w14:ligatures w14:val="standardContextual"/>
              </w:rPr>
              <w:t>Category / Program:</w:t>
            </w:r>
            <w:r w:rsidRPr="003D294A">
              <w:rPr>
                <w:rFonts w:ascii="Arial Narrow" w:hAnsi="Arial Narrow"/>
                <w:color w:val="FF0000"/>
                <w:sz w:val="20"/>
                <w:szCs w:val="20"/>
                <w14:ligatures w14:val="standardContextual"/>
              </w:rPr>
              <w:t xml:space="preserv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w:t>
            </w:r>
            <w:r w:rsidRPr="003D294A">
              <w:rPr>
                <w:rFonts w:ascii="Arial Narrow" w:eastAsia="Calibri" w:hAnsi="Arial Narrow"/>
                <w:sz w:val="20"/>
                <w:szCs w:val="20"/>
                <w14:ligatures w14:val="standardContextual"/>
              </w:rPr>
              <w:t xml:space="preserve">Section 100 – Highly Specialised Drugs Program – </w:t>
            </w:r>
            <w:r w:rsidRPr="003D294A">
              <w:rPr>
                <w:rFonts w:ascii="Arial Narrow" w:eastAsia="Calibri" w:hAnsi="Arial Narrow"/>
                <w:i/>
                <w:iCs/>
                <w:sz w:val="20"/>
                <w:szCs w:val="20"/>
                <w14:ligatures w14:val="standardContextual"/>
              </w:rPr>
              <w:t>Public/Private</w:t>
            </w:r>
            <w:r w:rsidRPr="003D294A">
              <w:rPr>
                <w:rFonts w:ascii="Arial Narrow" w:eastAsia="Calibri" w:hAnsi="Arial Narrow"/>
                <w:sz w:val="20"/>
                <w:szCs w:val="20"/>
                <w14:ligatures w14:val="standardContextual"/>
              </w:rPr>
              <w:t xml:space="preserve"> (Code HB)</w:t>
            </w:r>
          </w:p>
        </w:tc>
      </w:tr>
      <w:tr w:rsidR="00625719" w:rsidRPr="003D294A" w14:paraId="153ECD3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1B66AC" w14:textId="77777777" w:rsidR="00625719" w:rsidRPr="003D294A" w:rsidRDefault="00625719" w:rsidP="00CF7B47">
            <w:pPr>
              <w:keepLines/>
              <w:rPr>
                <w:rFonts w:ascii="Arial Narrow" w:hAnsi="Arial Narrow"/>
                <w:b/>
                <w:sz w:val="20"/>
                <w:szCs w:val="20"/>
                <w14:ligatures w14:val="standardContextual"/>
              </w:rPr>
            </w:pPr>
            <w:r w:rsidRPr="003D294A">
              <w:rPr>
                <w:rFonts w:ascii="Arial Narrow" w:hAnsi="Arial Narrow"/>
                <w:b/>
                <w:sz w:val="20"/>
                <w:szCs w:val="20"/>
                <w14:ligatures w14:val="standardContextual"/>
              </w:rPr>
              <w:t xml:space="preserve">Prescriber type: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Medical Practitioners </w:t>
            </w:r>
          </w:p>
        </w:tc>
      </w:tr>
      <w:tr w:rsidR="00625719" w:rsidRPr="003D294A" w14:paraId="1AAAF1C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00FDDD" w14:textId="77777777" w:rsidR="00625719" w:rsidRPr="003D294A" w:rsidRDefault="00625719" w:rsidP="00CF7B47">
            <w:pPr>
              <w:keepLines/>
              <w:rPr>
                <w:rFonts w:ascii="Arial Narrow" w:eastAsia="Calibri" w:hAnsi="Arial Narrow"/>
                <w:sz w:val="20"/>
                <w:szCs w:val="20"/>
                <w14:ligatures w14:val="standardContextual"/>
              </w:rPr>
            </w:pPr>
            <w:r w:rsidRPr="003D294A">
              <w:rPr>
                <w:rFonts w:ascii="Arial Narrow" w:hAnsi="Arial Narrow"/>
                <w:b/>
                <w:sz w:val="20"/>
                <w:szCs w:val="20"/>
                <w14:ligatures w14:val="standardContextual"/>
              </w:rPr>
              <w:t xml:space="preserve">Benefit type: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w:t>
            </w:r>
            <w:r w:rsidRPr="003D294A">
              <w:rPr>
                <w:rFonts w:ascii="Arial Narrow" w:eastAsia="Calibri" w:hAnsi="Arial Narrow"/>
                <w:sz w:val="20"/>
                <w:szCs w:val="20"/>
                <w14:ligatures w14:val="standardContextual"/>
              </w:rPr>
              <w:t xml:space="preserve">Authority Required </w:t>
            </w:r>
            <w:r w:rsidRPr="003D294A">
              <w:rPr>
                <w:rFonts w:ascii="Arial Narrow" w:eastAsia="Calibri" w:hAnsi="Arial Narrow"/>
                <w:i/>
                <w:iCs/>
                <w:sz w:val="20"/>
                <w:szCs w:val="20"/>
                <w14:ligatures w14:val="standardContextual"/>
              </w:rPr>
              <w:t>(FULL assessment) in writing only via OPA/post/HPOS upload</w:t>
            </w:r>
            <w:r w:rsidRPr="003D294A">
              <w:rPr>
                <w:rFonts w:ascii="Arial Narrow" w:eastAsia="Calibri" w:hAnsi="Arial Narrow"/>
                <w:sz w:val="20"/>
                <w:szCs w:val="20"/>
                <w14:ligatures w14:val="standardContextual"/>
              </w:rPr>
              <w:t xml:space="preserve">) </w:t>
            </w:r>
          </w:p>
          <w:p w14:paraId="0817F8A8" w14:textId="77777777" w:rsidR="00625719" w:rsidRPr="003D294A" w:rsidRDefault="00625719" w:rsidP="00CF7B47">
            <w:pPr>
              <w:keepLines/>
              <w:rPr>
                <w:rFonts w:ascii="Arial Narrow" w:eastAsia="Calibri" w:hAnsi="Arial Narrow"/>
                <w:strike/>
                <w:color w:val="FF0000"/>
                <w:sz w:val="20"/>
                <w:szCs w:val="20"/>
                <w14:ligatures w14:val="standardContextual"/>
              </w:rPr>
            </w:pPr>
            <w:r w:rsidRPr="003D294A">
              <w:rPr>
                <w:rFonts w:ascii="Arial Narrow" w:eastAsia="Calibri" w:hAnsi="Arial Narrow"/>
                <w:strike/>
                <w:sz w:val="20"/>
                <w:szCs w:val="20"/>
              </w:rPr>
              <w:t>(in writing only via OPA/post/HPOS upload)</w:t>
            </w:r>
            <w:r w:rsidRPr="003D294A">
              <w:rPr>
                <w:rFonts w:ascii="Arial Narrow" w:eastAsia="Calibri" w:hAnsi="Arial Narrow"/>
                <w:strike/>
                <w:sz w:val="20"/>
                <w:szCs w:val="20"/>
                <w14:ligatures w14:val="standardContextual"/>
              </w:rPr>
              <w:t xml:space="preserve"> </w:t>
            </w:r>
          </w:p>
        </w:tc>
      </w:tr>
      <w:tr w:rsidR="00625719" w:rsidRPr="003D294A" w14:paraId="2FFB73E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C66AC9" w14:textId="77777777" w:rsidR="00625719" w:rsidRPr="003D294A" w:rsidRDefault="00625719" w:rsidP="00CF7B47">
            <w:pPr>
              <w:keepLines/>
              <w:rPr>
                <w:rFonts w:ascii="Arial Narrow" w:hAnsi="Arial Narrow"/>
                <w:b/>
                <w:color w:val="FF0000"/>
                <w:sz w:val="20"/>
                <w:szCs w:val="20"/>
                <w14:ligatures w14:val="standardContextual"/>
              </w:rPr>
            </w:pPr>
            <w:r w:rsidRPr="003D294A">
              <w:rPr>
                <w:rFonts w:ascii="Arial Narrow" w:hAnsi="Arial Narrow"/>
                <w:b/>
                <w:sz w:val="20"/>
                <w:szCs w:val="20"/>
                <w14:ligatures w14:val="standardContextual"/>
              </w:rPr>
              <w:t xml:space="preserve">Authority type: </w:t>
            </w:r>
            <w:r w:rsidRPr="003D294A">
              <w:rPr>
                <w:rFonts w:ascii="Arial Narrow" w:hAnsi="Arial Narrow"/>
                <w:sz w:val="20"/>
                <w:szCs w:val="20"/>
                <w14:ligatures w14:val="standardContextual"/>
              </w:rPr>
              <w:fldChar w:fldCharType="begin">
                <w:ffData>
                  <w:name w:val=""/>
                  <w:enabled/>
                  <w:calcOnExit w:val="0"/>
                  <w:checkBox>
                    <w:sizeAuto/>
                    <w:default w:val="1"/>
                  </w:checkBox>
                </w:ffData>
              </w:fldChar>
            </w:r>
            <w:r w:rsidRPr="003D294A">
              <w:rPr>
                <w:rFonts w:ascii="Arial Narrow" w:hAnsi="Arial Narrow"/>
                <w:sz w:val="20"/>
                <w:szCs w:val="20"/>
                <w14:ligatures w14:val="standardContextual"/>
              </w:rPr>
              <w:instrText xml:space="preserve"> FORMCHECKBOX </w:instrText>
            </w:r>
            <w:r w:rsidRPr="003D294A">
              <w:rPr>
                <w:rFonts w:ascii="Arial Narrow" w:hAnsi="Arial Narrow"/>
                <w:sz w:val="20"/>
                <w:szCs w:val="20"/>
                <w14:ligatures w14:val="standardContextual"/>
              </w:rPr>
            </w:r>
            <w:r w:rsidRPr="003D294A">
              <w:rPr>
                <w:rFonts w:ascii="Arial Narrow" w:hAnsi="Arial Narrow"/>
                <w:sz w:val="20"/>
                <w:szCs w:val="20"/>
                <w14:ligatures w14:val="standardContextual"/>
              </w:rPr>
              <w:fldChar w:fldCharType="separate"/>
            </w:r>
            <w:r w:rsidRPr="003D294A">
              <w:rPr>
                <w:rFonts w:ascii="Arial Narrow" w:hAnsi="Arial Narrow"/>
                <w:sz w:val="20"/>
                <w:szCs w:val="20"/>
                <w14:ligatures w14:val="standardContextual"/>
              </w:rPr>
              <w:fldChar w:fldCharType="end"/>
            </w:r>
            <w:r w:rsidRPr="003D294A">
              <w:rPr>
                <w:rFonts w:ascii="Arial Narrow" w:hAnsi="Arial Narrow"/>
                <w:sz w:val="20"/>
                <w:szCs w:val="20"/>
                <w14:ligatures w14:val="standardContextual"/>
              </w:rPr>
              <w:t xml:space="preserve"> </w:t>
            </w:r>
            <w:r w:rsidRPr="003D294A">
              <w:rPr>
                <w:rFonts w:ascii="Arial Narrow" w:eastAsia="Calibri" w:hAnsi="Arial Narrow"/>
                <w:sz w:val="20"/>
                <w:szCs w:val="20"/>
                <w14:ligatures w14:val="standardContextual"/>
              </w:rPr>
              <w:t>Complex Authority Required (CAR)</w:t>
            </w:r>
          </w:p>
        </w:tc>
      </w:tr>
      <w:tr w:rsidR="00625719" w:rsidRPr="003D294A" w14:paraId="1EAD5F0B" w14:textId="77777777" w:rsidTr="00625719">
        <w:tblPrEx>
          <w:tblCellMar>
            <w:top w:w="15" w:type="dxa"/>
            <w:bottom w:w="15" w:type="dxa"/>
          </w:tblCellMar>
          <w:tblLook w:val="04A0" w:firstRow="1" w:lastRow="0" w:firstColumn="1" w:lastColumn="0" w:noHBand="0" w:noVBand="1"/>
        </w:tblPrEx>
        <w:trPr>
          <w:trHeight w:val="172"/>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8BF7C8" w14:textId="3BB1D541" w:rsidR="00625719" w:rsidRPr="003D294A" w:rsidRDefault="00625719" w:rsidP="00CF7B47">
            <w:pPr>
              <w:rPr>
                <w:rFonts w:ascii="Arial Narrow" w:hAnsi="Arial Narrow"/>
                <w:b/>
                <w:sz w:val="20"/>
                <w:szCs w:val="20"/>
              </w:rPr>
            </w:pPr>
            <w:r w:rsidRPr="003D294A">
              <w:rPr>
                <w:rFonts w:ascii="Arial Narrow" w:hAnsi="Arial Narrow"/>
                <w:b/>
                <w:sz w:val="20"/>
                <w:szCs w:val="20"/>
              </w:rPr>
              <w:t>Prescribing rule level:</w:t>
            </w:r>
            <w:r w:rsidR="00CF7B47">
              <w:rPr>
                <w:rFonts w:ascii="Arial Narrow" w:hAnsi="Arial Narrow"/>
                <w:b/>
                <w:sz w:val="20"/>
                <w:szCs w:val="20"/>
              </w:rPr>
              <w:t xml:space="preserve"> </w:t>
            </w:r>
          </w:p>
        </w:tc>
      </w:tr>
      <w:tr w:rsidR="00625719" w:rsidRPr="003D294A" w14:paraId="49CC337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C7F462"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Administrative Advice:</w:t>
            </w:r>
          </w:p>
          <w:p w14:paraId="1CF6F971" w14:textId="77777777" w:rsidR="00625719" w:rsidRPr="003D294A" w:rsidRDefault="00625719" w:rsidP="00CF7B47">
            <w:pPr>
              <w:keepLines/>
              <w:rPr>
                <w:rFonts w:ascii="Arial Narrow" w:hAnsi="Arial Narrow"/>
                <w:bCs/>
                <w:sz w:val="20"/>
                <w:szCs w:val="20"/>
                <w14:ligatures w14:val="standardContextual"/>
              </w:rPr>
            </w:pPr>
            <w:r w:rsidRPr="003D294A">
              <w:rPr>
                <w:rFonts w:ascii="Arial Narrow" w:hAnsi="Arial Narrow"/>
                <w:bCs/>
                <w:sz w:val="20"/>
                <w:szCs w:val="20"/>
                <w14:ligatures w14:val="standardContextual"/>
              </w:rPr>
              <w:t>No increase in the maximum number of repeats may be authorised.</w:t>
            </w:r>
          </w:p>
        </w:tc>
      </w:tr>
      <w:tr w:rsidR="00625719" w:rsidRPr="003D294A" w14:paraId="0224A18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C2FA16"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Administrative Advice:</w:t>
            </w:r>
          </w:p>
          <w:p w14:paraId="400104DE"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Cs/>
                <w:sz w:val="20"/>
                <w:szCs w:val="20"/>
              </w:rPr>
              <w:t>No increase in the maximum quantity or number of units may be authorised.</w:t>
            </w:r>
          </w:p>
        </w:tc>
      </w:tr>
      <w:tr w:rsidR="00625719" w:rsidRPr="003D294A" w14:paraId="4B3BA6C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347CFCD" w14:textId="77777777" w:rsidR="00625719" w:rsidRPr="003D294A" w:rsidRDefault="00625719" w:rsidP="00CF7B47">
            <w:pPr>
              <w:rPr>
                <w:rFonts w:ascii="Arial Narrow" w:hAnsi="Arial Narrow"/>
                <w:b/>
                <w:bCs/>
                <w:i/>
                <w:iCs/>
                <w:color w:val="333333"/>
                <w:sz w:val="20"/>
                <w:szCs w:val="20"/>
              </w:rPr>
            </w:pPr>
            <w:r w:rsidRPr="003D294A">
              <w:rPr>
                <w:rFonts w:ascii="Arial Narrow" w:hAnsi="Arial Narrow"/>
                <w:b/>
                <w:bCs/>
                <w:i/>
                <w:iCs/>
                <w:color w:val="333333"/>
                <w:sz w:val="20"/>
                <w:szCs w:val="20"/>
              </w:rPr>
              <w:t xml:space="preserve">Administrative Advice: </w:t>
            </w:r>
          </w:p>
          <w:p w14:paraId="14FBC337"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Any queries concerning the arrangements to prescribe may be directed to Services Australia on 1800 700 270 (hours of operation 8 a.m. to 5 p.m. Monday to Friday).</w:t>
            </w:r>
          </w:p>
          <w:p w14:paraId="197CE35C"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Prescribing information (including Authority Application forms and other relevant documentation as applicable) is available on the Services Australia website at www.servicesaustralia.gov.au</w:t>
            </w:r>
          </w:p>
          <w:p w14:paraId="672AF3BF"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Applications for authorisation under this restriction should be made using the Online PBS Authorities system (see www.servicesaustralia.gov.au/hpos)</w:t>
            </w:r>
          </w:p>
          <w:p w14:paraId="75D5D07B"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Alternatively applications for authority to prescribe can be submitted online using the form upload facility in Health Professional Online Services (HPOS) at www.servicesaustralia.gov.au/hpos</w:t>
            </w:r>
          </w:p>
          <w:p w14:paraId="26AC06AE"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Or mailed to:</w:t>
            </w:r>
          </w:p>
          <w:p w14:paraId="30890EC3"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Services Australia</w:t>
            </w:r>
          </w:p>
          <w:p w14:paraId="1508289B"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Complex Drugs</w:t>
            </w:r>
          </w:p>
          <w:p w14:paraId="750A8D02" w14:textId="77777777" w:rsidR="00625719" w:rsidRPr="003D294A" w:rsidRDefault="00625719" w:rsidP="00CF7B47">
            <w:pPr>
              <w:rPr>
                <w:rFonts w:ascii="Arial Narrow" w:hAnsi="Arial Narrow"/>
                <w:i/>
                <w:iCs/>
                <w:color w:val="212121"/>
                <w:sz w:val="20"/>
                <w:szCs w:val="20"/>
              </w:rPr>
            </w:pPr>
            <w:r w:rsidRPr="003D294A">
              <w:rPr>
                <w:rFonts w:ascii="Arial Narrow" w:hAnsi="Arial Narrow"/>
                <w:i/>
                <w:iCs/>
                <w:color w:val="212121"/>
                <w:sz w:val="20"/>
                <w:szCs w:val="20"/>
              </w:rPr>
              <w:t>Reply Paid 9826</w:t>
            </w:r>
          </w:p>
          <w:p w14:paraId="30D0899A"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i/>
                <w:iCs/>
                <w:color w:val="212121"/>
                <w:sz w:val="20"/>
                <w:szCs w:val="20"/>
              </w:rPr>
              <w:t>HOBART TAS 7001</w:t>
            </w:r>
          </w:p>
        </w:tc>
      </w:tr>
      <w:tr w:rsidR="00625719" w:rsidRPr="003D294A" w14:paraId="021988C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FA7232F" w14:textId="77777777" w:rsidR="00625719" w:rsidRPr="003D294A" w:rsidRDefault="00625719" w:rsidP="00CF7B47">
            <w:pPr>
              <w:rPr>
                <w:rFonts w:ascii="Arial Narrow" w:hAnsi="Arial Narrow"/>
                <w:b/>
                <w:bCs/>
                <w:i/>
                <w:iCs/>
                <w:color w:val="333333"/>
                <w:sz w:val="20"/>
                <w:szCs w:val="20"/>
              </w:rPr>
            </w:pPr>
            <w:r w:rsidRPr="003D294A">
              <w:rPr>
                <w:rFonts w:ascii="Arial Narrow" w:hAnsi="Arial Narrow"/>
                <w:b/>
                <w:bCs/>
                <w:i/>
                <w:iCs/>
                <w:color w:val="333333"/>
                <w:sz w:val="20"/>
                <w:szCs w:val="20"/>
              </w:rPr>
              <w:t xml:space="preserve">Administrative Advice: </w:t>
            </w:r>
          </w:p>
          <w:p w14:paraId="29FDA116"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i/>
                <w:iCs/>
                <w:color w:val="333333"/>
                <w:sz w:val="20"/>
                <w:szCs w:val="20"/>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tc>
      </w:tr>
      <w:tr w:rsidR="00625719" w:rsidRPr="003D294A" w14:paraId="37E02930"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5FB52A"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
                <w:bCs/>
                <w:color w:val="333333"/>
                <w:sz w:val="20"/>
                <w:szCs w:val="20"/>
                <w14:ligatures w14:val="standardContextual"/>
              </w:rPr>
              <w:t>Caution:</w:t>
            </w:r>
          </w:p>
          <w:p w14:paraId="1DB5E234" w14:textId="77777777" w:rsidR="00625719" w:rsidRPr="003D294A" w:rsidRDefault="00625719" w:rsidP="00CF7B47">
            <w:pPr>
              <w:pStyle w:val="Tabletext8pt"/>
              <w:spacing w:before="0" w:after="0" w:line="240" w:lineRule="auto"/>
              <w:contextualSpacing/>
              <w:rPr>
                <w:rFonts w:ascii="Arial Narrow" w:hAnsi="Arial Narrow"/>
                <w:bCs/>
                <w:sz w:val="20"/>
                <w:szCs w:val="20"/>
              </w:rPr>
            </w:pPr>
            <w:r w:rsidRPr="003D294A">
              <w:rPr>
                <w:rFonts w:ascii="Arial Narrow" w:hAnsi="Arial Narrow"/>
                <w:bCs/>
                <w:sz w:val="20"/>
                <w:szCs w:val="20"/>
              </w:rPr>
              <w:t>This drug increases the risk of encapsulated bacterial infections.</w:t>
            </w:r>
          </w:p>
          <w:p w14:paraId="65B3A57A" w14:textId="77777777" w:rsidR="00625719" w:rsidRPr="003D294A" w:rsidRDefault="00625719" w:rsidP="00CF7B47">
            <w:pPr>
              <w:keepLines/>
              <w:rPr>
                <w:rFonts w:ascii="Arial Narrow" w:hAnsi="Arial Narrow"/>
                <w:b/>
                <w:bCs/>
                <w:color w:val="333333"/>
                <w:sz w:val="20"/>
                <w:szCs w:val="20"/>
                <w14:ligatures w14:val="standardContextual"/>
              </w:rPr>
            </w:pPr>
            <w:r w:rsidRPr="003D294A">
              <w:rPr>
                <w:rFonts w:ascii="Arial Narrow" w:hAnsi="Arial Narrow"/>
                <w:bCs/>
                <w:sz w:val="20"/>
                <w:szCs w:val="20"/>
              </w:rPr>
              <w:lastRenderedPageBreak/>
              <w:t xml:space="preserve">Consult the approved </w:t>
            </w:r>
            <w:r w:rsidRPr="003D294A">
              <w:rPr>
                <w:rFonts w:ascii="Arial Narrow" w:hAnsi="Arial Narrow"/>
                <w:bCs/>
                <w:strike/>
                <w:sz w:val="20"/>
                <w:szCs w:val="20"/>
              </w:rPr>
              <w:t>Product Information</w:t>
            </w:r>
            <w:r w:rsidRPr="003D294A">
              <w:rPr>
                <w:rFonts w:ascii="Arial Narrow" w:hAnsi="Arial Narrow"/>
                <w:bCs/>
                <w:sz w:val="20"/>
                <w:szCs w:val="20"/>
              </w:rPr>
              <w:t xml:space="preserve"> </w:t>
            </w:r>
            <w:r w:rsidRPr="003D294A">
              <w:rPr>
                <w:rFonts w:ascii="Arial Narrow" w:hAnsi="Arial Narrow"/>
                <w:bCs/>
                <w:i/>
                <w:iCs/>
                <w:sz w:val="20"/>
                <w:szCs w:val="20"/>
              </w:rPr>
              <w:t>PI</w:t>
            </w:r>
            <w:r w:rsidRPr="003D294A">
              <w:rPr>
                <w:rFonts w:ascii="Arial Narrow" w:hAnsi="Arial Narrow"/>
                <w:bCs/>
                <w:sz w:val="20"/>
                <w:szCs w:val="20"/>
              </w:rPr>
              <w:t xml:space="preserve"> for information about vaccination against meningococcal, pneumococcal and Haemophilus influenzae type B (Hib) infection.</w:t>
            </w:r>
          </w:p>
        </w:tc>
      </w:tr>
      <w:tr w:rsidR="00625719" w:rsidRPr="003D294A" w14:paraId="5450C8A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5D78EB" w14:textId="77777777" w:rsidR="00625719" w:rsidRPr="003D294A" w:rsidRDefault="00625719" w:rsidP="00CF7B47">
            <w:pPr>
              <w:keepLines/>
              <w:rPr>
                <w:rFonts w:ascii="Arial Narrow" w:hAnsi="Arial Narrow"/>
                <w:b/>
                <w:bCs/>
                <w:i/>
                <w:iCs/>
                <w:color w:val="333333"/>
                <w:sz w:val="20"/>
                <w:szCs w:val="20"/>
              </w:rPr>
            </w:pPr>
            <w:r w:rsidRPr="003D294A">
              <w:rPr>
                <w:rFonts w:ascii="Arial Narrow" w:hAnsi="Arial Narrow"/>
                <w:b/>
                <w:bCs/>
                <w:i/>
                <w:iCs/>
                <w:color w:val="333333"/>
                <w:sz w:val="20"/>
                <w:szCs w:val="20"/>
              </w:rPr>
              <w:lastRenderedPageBreak/>
              <w:t>Administrative Advice</w:t>
            </w:r>
          </w:p>
          <w:p w14:paraId="7CF4BF03" w14:textId="77777777" w:rsidR="00625719" w:rsidRPr="003D294A" w:rsidRDefault="00625719" w:rsidP="00CF7B47">
            <w:pPr>
              <w:keepLines/>
              <w:rPr>
                <w:rFonts w:ascii="Arial Narrow" w:hAnsi="Arial Narrow"/>
                <w:bCs/>
                <w:sz w:val="20"/>
                <w:szCs w:val="20"/>
                <w14:ligatures w14:val="standardContextual"/>
              </w:rPr>
            </w:pPr>
            <w:r w:rsidRPr="003D294A">
              <w:rPr>
                <w:rFonts w:ascii="Arial Narrow" w:hAnsi="Arial Narrow"/>
                <w:i/>
                <w:iCs/>
                <w:color w:val="333333"/>
                <w:sz w:val="20"/>
                <w:szCs w:val="20"/>
                <w14:ligatures w14:val="standardContextual"/>
              </w:rPr>
              <w:t>Complement 5 (C5) inhibitors are defined as eculizumab or ravulizumab</w:t>
            </w:r>
          </w:p>
        </w:tc>
      </w:tr>
      <w:tr w:rsidR="00625719" w:rsidRPr="003D294A" w14:paraId="5D02680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shd w:val="clear" w:color="auto" w:fill="BFBFBF"/>
            <w:tcMar>
              <w:left w:w="28" w:type="dxa"/>
              <w:right w:w="28" w:type="dxa"/>
            </w:tcMar>
            <w:vAlign w:val="center"/>
          </w:tcPr>
          <w:p w14:paraId="2A6AC488" w14:textId="77777777" w:rsidR="00625719" w:rsidRPr="003D294A" w:rsidRDefault="00625719" w:rsidP="00CF7B47">
            <w:pPr>
              <w:keepLines/>
              <w:rPr>
                <w:rFonts w:ascii="Arial Narrow" w:hAnsi="Arial Narrow"/>
                <w:b/>
                <w:color w:val="333333"/>
                <w:sz w:val="20"/>
                <w:szCs w:val="20"/>
                <w14:ligatures w14:val="standardContextual"/>
              </w:rPr>
            </w:pPr>
            <w:r w:rsidRPr="003D294A">
              <w:rPr>
                <w:rFonts w:ascii="Arial Narrow" w:hAnsi="Arial Narrow"/>
                <w:b/>
                <w:sz w:val="20"/>
                <w:szCs w:val="20"/>
                <w14:ligatures w14:val="standardContextual"/>
              </w:rPr>
              <w:t>Restriction Summary 3 / Treatment of Concept: 3A</w:t>
            </w:r>
          </w:p>
        </w:tc>
      </w:tr>
      <w:tr w:rsidR="00625719" w:rsidRPr="003D294A" w14:paraId="76718C5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0978B2D7" w14:textId="5DBE6CEB" w:rsidR="00625719" w:rsidRPr="003D294A" w:rsidRDefault="00625719" w:rsidP="00CF7B47">
            <w:pPr>
              <w:keepLines/>
              <w:rPr>
                <w:rFonts w:ascii="Arial Narrow" w:hAnsi="Arial Narrow"/>
                <w:color w:val="333333"/>
                <w:sz w:val="20"/>
                <w:szCs w:val="20"/>
                <w14:ligatures w14:val="standardContextual"/>
              </w:rPr>
            </w:pPr>
            <w:r w:rsidRPr="003D294A">
              <w:rPr>
                <w:rFonts w:ascii="Arial Narrow" w:hAnsi="Arial Narrow"/>
                <w:b/>
                <w:bCs/>
                <w:sz w:val="20"/>
                <w:szCs w:val="20"/>
                <w14:ligatures w14:val="standardContextual"/>
              </w:rPr>
              <w:t>Indication:</w:t>
            </w:r>
            <w:r w:rsidR="00CF7B47">
              <w:rPr>
                <w:rFonts w:ascii="Arial Narrow" w:hAnsi="Arial Narrow"/>
                <w:sz w:val="20"/>
                <w:szCs w:val="20"/>
                <w14:ligatures w14:val="standardContextual"/>
              </w:rPr>
              <w:t xml:space="preserve"> </w:t>
            </w:r>
            <w:r w:rsidRPr="003D294A">
              <w:rPr>
                <w:rFonts w:ascii="Arial Narrow" w:hAnsi="Arial Narrow"/>
                <w:sz w:val="20"/>
                <w:szCs w:val="20"/>
                <w14:ligatures w14:val="standardContextual"/>
              </w:rPr>
              <w:t>C3G or primary immune complex membranoproliferative glomerulonephritis (</w:t>
            </w:r>
            <w:proofErr w:type="spellStart"/>
            <w:r w:rsidRPr="003D294A">
              <w:rPr>
                <w:rFonts w:ascii="Arial Narrow" w:hAnsi="Arial Narrow"/>
                <w:sz w:val="20"/>
                <w:szCs w:val="20"/>
                <w14:ligatures w14:val="standardContextual"/>
              </w:rPr>
              <w:t>pIC</w:t>
            </w:r>
            <w:proofErr w:type="spellEnd"/>
            <w:r w:rsidRPr="003D294A">
              <w:rPr>
                <w:rFonts w:ascii="Arial Narrow" w:hAnsi="Arial Narrow"/>
                <w:sz w:val="20"/>
                <w:szCs w:val="20"/>
                <w14:ligatures w14:val="standardContextual"/>
              </w:rPr>
              <w:t>-MPGN)</w:t>
            </w:r>
          </w:p>
        </w:tc>
      </w:tr>
      <w:tr w:rsidR="00625719" w:rsidRPr="003D294A" w14:paraId="1368E68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37C81F63"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b/>
                <w:bCs/>
                <w:color w:val="333333"/>
                <w:sz w:val="20"/>
                <w:szCs w:val="20"/>
                <w14:ligatures w14:val="standardContextual"/>
              </w:rPr>
              <w:t>Treatment Phase:</w:t>
            </w:r>
            <w:r w:rsidRPr="003D294A">
              <w:rPr>
                <w:rFonts w:ascii="Arial Narrow" w:hAnsi="Arial Narrow"/>
                <w:color w:val="FF0000"/>
                <w:sz w:val="20"/>
                <w:szCs w:val="20"/>
                <w14:ligatures w14:val="standardContextual"/>
              </w:rPr>
              <w:t xml:space="preserve"> </w:t>
            </w:r>
            <w:r w:rsidRPr="003D294A">
              <w:rPr>
                <w:rFonts w:ascii="Arial Narrow" w:hAnsi="Arial Narrow"/>
                <w:sz w:val="20"/>
                <w:szCs w:val="20"/>
                <w14:ligatures w14:val="standardContextual"/>
              </w:rPr>
              <w:t xml:space="preserve">First continuing </w:t>
            </w:r>
            <w:r w:rsidRPr="003D294A">
              <w:rPr>
                <w:rFonts w:ascii="Arial Narrow" w:hAnsi="Arial Narrow"/>
                <w:i/>
                <w:iCs/>
                <w:sz w:val="20"/>
                <w:szCs w:val="20"/>
                <w14:ligatures w14:val="standardContextual"/>
              </w:rPr>
              <w:t>treatment</w:t>
            </w:r>
          </w:p>
        </w:tc>
      </w:tr>
      <w:tr w:rsidR="00625719" w:rsidRPr="003D294A" w14:paraId="5FD1885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1713708D"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 xml:space="preserve">Clinical criteria: </w:t>
            </w:r>
          </w:p>
        </w:tc>
      </w:tr>
      <w:tr w:rsidR="00625719" w:rsidRPr="003D294A" w14:paraId="4A150508"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5C55290F"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sz w:val="20"/>
                <w:szCs w:val="20"/>
                <w14:ligatures w14:val="standardContextual"/>
              </w:rPr>
              <w:t xml:space="preserve">Treatment must not be in combination with another Complement inhibitor </w:t>
            </w:r>
          </w:p>
        </w:tc>
      </w:tr>
      <w:tr w:rsidR="00625719" w:rsidRPr="003D294A" w14:paraId="6712354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70041122" w14:textId="77777777"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b/>
                <w:bCs/>
                <w:i/>
                <w:iCs/>
                <w:color w:val="333333"/>
                <w:sz w:val="20"/>
                <w:szCs w:val="20"/>
                <w14:ligatures w14:val="standardContextual"/>
              </w:rPr>
              <w:t>AND</w:t>
            </w:r>
          </w:p>
        </w:tc>
      </w:tr>
      <w:tr w:rsidR="00625719" w:rsidRPr="003D294A" w14:paraId="2CC65F28"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1CEFCD5"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0A61414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7747961"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 xml:space="preserve">Patient must have received PBS-subsidised treatment with this drug for this condition under the 'Initial' </w:t>
            </w:r>
            <w:r w:rsidRPr="003D294A">
              <w:rPr>
                <w:rFonts w:ascii="Arial Narrow" w:hAnsi="Arial Narrow"/>
                <w:i/>
                <w:iCs/>
                <w:sz w:val="20"/>
                <w:szCs w:val="20"/>
                <w14:ligatures w14:val="standardContextual"/>
              </w:rPr>
              <w:t>or ‘Grandfather’</w:t>
            </w:r>
            <w:r w:rsidRPr="003D294A">
              <w:rPr>
                <w:rFonts w:ascii="Arial Narrow" w:hAnsi="Arial Narrow"/>
                <w:sz w:val="20"/>
                <w:szCs w:val="20"/>
                <w14:ligatures w14:val="standardContextual"/>
              </w:rPr>
              <w:t xml:space="preserve"> restriction</w:t>
            </w:r>
          </w:p>
        </w:tc>
      </w:tr>
      <w:tr w:rsidR="00625719" w:rsidRPr="003D294A" w14:paraId="34C0565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197B9D2"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525DEF5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E51C776"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7A96611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75608A5"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Patient must not be undergoing dialysis</w:t>
            </w:r>
          </w:p>
        </w:tc>
      </w:tr>
      <w:tr w:rsidR="00625719" w:rsidRPr="003D294A" w14:paraId="1B901E2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17AB23FB"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7FB266B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E2D6CC4"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04B2025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07A08D8" w14:textId="77777777" w:rsidR="00625719" w:rsidRPr="003D294A" w:rsidRDefault="00625719" w:rsidP="00CF7B47">
            <w:pPr>
              <w:rPr>
                <w:rFonts w:ascii="Arial Narrow" w:hAnsi="Arial Narrow"/>
                <w:strike/>
                <w:sz w:val="20"/>
                <w:szCs w:val="20"/>
                <w14:ligatures w14:val="standardContextual"/>
              </w:rPr>
            </w:pPr>
            <w:r w:rsidRPr="003D294A">
              <w:rPr>
                <w:rFonts w:ascii="Arial Narrow" w:hAnsi="Arial Narrow"/>
                <w:strike/>
                <w:sz w:val="20"/>
                <w:szCs w:val="20"/>
                <w14:ligatures w14:val="standardContextual"/>
              </w:rPr>
              <w:t xml:space="preserve">Patient must have experienced a clinical improvement </w:t>
            </w:r>
            <w:proofErr w:type="gramStart"/>
            <w:r w:rsidRPr="003D294A">
              <w:rPr>
                <w:rFonts w:ascii="Arial Narrow" w:hAnsi="Arial Narrow"/>
                <w:strike/>
                <w:sz w:val="20"/>
                <w:szCs w:val="20"/>
                <w14:ligatures w14:val="standardContextual"/>
              </w:rPr>
              <w:t>as a result of</w:t>
            </w:r>
            <w:proofErr w:type="gramEnd"/>
            <w:r w:rsidRPr="003D294A">
              <w:rPr>
                <w:rFonts w:ascii="Arial Narrow" w:hAnsi="Arial Narrow"/>
                <w:strike/>
                <w:sz w:val="20"/>
                <w:szCs w:val="20"/>
                <w14:ligatures w14:val="standardContextual"/>
              </w:rPr>
              <w:t xml:space="preserve"> treatment with this drug</w:t>
            </w:r>
          </w:p>
        </w:tc>
      </w:tr>
      <w:tr w:rsidR="00625719" w:rsidRPr="003D294A" w14:paraId="44C5440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F75C9A2" w14:textId="77777777" w:rsidR="00625719" w:rsidRPr="003D294A" w:rsidRDefault="00625719" w:rsidP="00CF7B47">
            <w:pPr>
              <w:keepNext/>
              <w:rPr>
                <w:rFonts w:ascii="Arial Narrow" w:hAnsi="Arial Narrow"/>
                <w:b/>
                <w:bCs/>
                <w:color w:val="333333"/>
                <w:sz w:val="20"/>
                <w:szCs w:val="20"/>
                <w14:ligatures w14:val="standardContextual"/>
              </w:rPr>
            </w:pPr>
            <w:r w:rsidRPr="003D294A">
              <w:rPr>
                <w:rFonts w:ascii="Arial Narrow" w:hAnsi="Arial Narrow"/>
                <w:i/>
                <w:iCs/>
                <w:sz w:val="20"/>
                <w:szCs w:val="20"/>
                <w14:ligatures w14:val="standardContextual"/>
              </w:rPr>
              <w:t xml:space="preserve">Patient must have experienced clinical improvement </w:t>
            </w:r>
            <w:proofErr w:type="gramStart"/>
            <w:r w:rsidRPr="003D294A">
              <w:rPr>
                <w:rFonts w:ascii="Arial Narrow" w:hAnsi="Arial Narrow"/>
                <w:i/>
                <w:iCs/>
                <w:sz w:val="20"/>
                <w:szCs w:val="20"/>
                <w14:ligatures w14:val="standardContextual"/>
              </w:rPr>
              <w:t>as a result of</w:t>
            </w:r>
            <w:proofErr w:type="gramEnd"/>
            <w:r w:rsidRPr="003D294A">
              <w:rPr>
                <w:rFonts w:ascii="Arial Narrow" w:hAnsi="Arial Narrow"/>
                <w:i/>
                <w:iCs/>
                <w:sz w:val="20"/>
                <w:szCs w:val="20"/>
                <w14:ligatures w14:val="standardContextual"/>
              </w:rPr>
              <w:t xml:space="preserve"> treatment with this drug; or</w:t>
            </w:r>
          </w:p>
        </w:tc>
      </w:tr>
      <w:tr w:rsidR="00625719" w:rsidRPr="003D294A" w14:paraId="4817222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AE75790" w14:textId="77777777" w:rsidR="00625719" w:rsidRPr="003D294A" w:rsidRDefault="00625719" w:rsidP="00CF7B47">
            <w:pPr>
              <w:keepNext/>
              <w:rPr>
                <w:rFonts w:ascii="Arial Narrow" w:hAnsi="Arial Narrow"/>
                <w:b/>
                <w:bCs/>
                <w:color w:val="333333"/>
                <w:sz w:val="20"/>
                <w:szCs w:val="20"/>
                <w14:ligatures w14:val="standardContextual"/>
              </w:rPr>
            </w:pPr>
            <w:r w:rsidRPr="003D294A">
              <w:rPr>
                <w:rFonts w:ascii="Arial Narrow" w:hAnsi="Arial Narrow"/>
                <w:i/>
                <w:iCs/>
                <w:sz w:val="20"/>
                <w:szCs w:val="20"/>
                <w14:ligatures w14:val="standardContextual"/>
              </w:rPr>
              <w:t xml:space="preserve">Patient must have experienced a stabilisation of the condition </w:t>
            </w:r>
            <w:proofErr w:type="gramStart"/>
            <w:r w:rsidRPr="003D294A">
              <w:rPr>
                <w:rFonts w:ascii="Arial Narrow" w:hAnsi="Arial Narrow"/>
                <w:i/>
                <w:iCs/>
                <w:sz w:val="20"/>
                <w:szCs w:val="20"/>
                <w14:ligatures w14:val="standardContextual"/>
              </w:rPr>
              <w:t>as a result of</w:t>
            </w:r>
            <w:proofErr w:type="gramEnd"/>
            <w:r w:rsidRPr="003D294A">
              <w:rPr>
                <w:rFonts w:ascii="Arial Narrow" w:hAnsi="Arial Narrow"/>
                <w:i/>
                <w:iCs/>
                <w:sz w:val="20"/>
                <w:szCs w:val="20"/>
                <w14:ligatures w14:val="standardContextual"/>
              </w:rPr>
              <w:t xml:space="preserve"> treatment with this drug</w:t>
            </w:r>
          </w:p>
        </w:tc>
      </w:tr>
      <w:tr w:rsidR="00625719" w:rsidRPr="003D294A" w14:paraId="58C2EEF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68A68ED8" w14:textId="77777777" w:rsidR="00625719" w:rsidRPr="003D294A" w:rsidRDefault="00625719" w:rsidP="00CF7B47">
            <w:pPr>
              <w:keepNext/>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Treatment criteria:</w:t>
            </w:r>
          </w:p>
        </w:tc>
      </w:tr>
      <w:tr w:rsidR="00625719" w:rsidRPr="003D294A" w14:paraId="203E938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0F6343C" w14:textId="77777777" w:rsidR="00625719" w:rsidRPr="003D294A" w:rsidRDefault="00625719" w:rsidP="00CF7B47">
            <w:pPr>
              <w:autoSpaceDE w:val="0"/>
              <w:autoSpaceDN w:val="0"/>
              <w:adjustRightInd w:val="0"/>
              <w:rPr>
                <w:rFonts w:ascii="Arial Narrow" w:hAnsi="Arial Narrow" w:cs="Arial Narrow"/>
                <w:i/>
                <w:iCs/>
                <w:color w:val="FF0000"/>
                <w:sz w:val="20"/>
                <w:szCs w:val="20"/>
                <w14:ligatures w14:val="standardContextual"/>
              </w:rPr>
            </w:pPr>
            <w:r w:rsidRPr="003D294A">
              <w:rPr>
                <w:rFonts w:ascii="Arial Narrow" w:hAnsi="Arial Narrow"/>
                <w:sz w:val="20"/>
                <w:szCs w:val="20"/>
                <w14:ligatures w14:val="standardContextual"/>
              </w:rPr>
              <w:t>Must be treated by a nephrologist with experience in glomerular diseases; or</w:t>
            </w:r>
          </w:p>
        </w:tc>
      </w:tr>
      <w:tr w:rsidR="00625719" w:rsidRPr="003D294A" w14:paraId="60DBA14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012EB5A" w14:textId="77777777" w:rsidR="00625719" w:rsidRPr="003D294A" w:rsidRDefault="00625719" w:rsidP="00CF7B47">
            <w:pPr>
              <w:autoSpaceDE w:val="0"/>
              <w:autoSpaceDN w:val="0"/>
              <w:adjustRightInd w:val="0"/>
              <w:rPr>
                <w:rFonts w:ascii="Arial Narrow" w:hAnsi="Arial Narrow"/>
                <w:sz w:val="20"/>
                <w:szCs w:val="20"/>
                <w14:ligatures w14:val="standardContextual"/>
              </w:rPr>
            </w:pPr>
            <w:r w:rsidRPr="003D294A">
              <w:rPr>
                <w:rFonts w:ascii="Arial Narrow" w:hAnsi="Arial Narrow"/>
                <w:sz w:val="20"/>
                <w:szCs w:val="20"/>
                <w14:ligatures w14:val="standardContextual"/>
              </w:rPr>
              <w:t>Must be treated by a non-specialist medical physician who has consulted a nephrologist on the patient's drug treatment details.</w:t>
            </w:r>
          </w:p>
        </w:tc>
      </w:tr>
      <w:tr w:rsidR="00625719" w:rsidRPr="003D294A" w14:paraId="71B9388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674F8BF6"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Population criteria:</w:t>
            </w:r>
          </w:p>
        </w:tc>
      </w:tr>
      <w:tr w:rsidR="00625719" w:rsidRPr="003D294A" w14:paraId="511448CA"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3257102C"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weigh at least 30 kg</w:t>
            </w:r>
          </w:p>
        </w:tc>
      </w:tr>
      <w:tr w:rsidR="00625719" w:rsidRPr="003D294A" w14:paraId="16A17F9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E567A60"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b/>
                <w:color w:val="000000" w:themeColor="text1"/>
                <w:sz w:val="20"/>
                <w:szCs w:val="20"/>
                <w14:ligatures w14:val="standardContextual"/>
              </w:rPr>
              <w:t>Population criteria:</w:t>
            </w:r>
          </w:p>
        </w:tc>
      </w:tr>
      <w:tr w:rsidR="00625719" w:rsidRPr="003D294A" w14:paraId="1971B438"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B0427A4"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be aged 12 years and older</w:t>
            </w:r>
          </w:p>
        </w:tc>
      </w:tr>
      <w:tr w:rsidR="00625719" w:rsidRPr="003D294A" w14:paraId="5CCEDCB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C726D10" w14:textId="77777777" w:rsidR="00625719" w:rsidRPr="003D294A" w:rsidRDefault="00625719" w:rsidP="00CF7B47">
            <w:pPr>
              <w:rPr>
                <w:rFonts w:ascii="Arial Narrow" w:hAnsi="Arial Narrow"/>
                <w:color w:val="FF0000"/>
                <w:sz w:val="20"/>
                <w:szCs w:val="20"/>
                <w14:ligatures w14:val="standardContextual"/>
              </w:rPr>
            </w:pPr>
            <w:r w:rsidRPr="003D294A">
              <w:rPr>
                <w:rFonts w:ascii="Arial Narrow" w:hAnsi="Arial Narrow" w:cs="Arial Narrow"/>
                <w:b/>
                <w:bCs/>
                <w:iCs/>
                <w:sz w:val="20"/>
                <w:szCs w:val="20"/>
                <w14:ligatures w14:val="standardContextual"/>
              </w:rPr>
              <w:t>AND</w:t>
            </w:r>
          </w:p>
        </w:tc>
      </w:tr>
      <w:tr w:rsidR="00625719" w:rsidRPr="003D294A" w14:paraId="3391F5F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737D9CF"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14ABCDF7"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The authority application must be made via the Online PBS Authorities System, or in writing via HPOS form upload or mail and must include:</w:t>
            </w:r>
          </w:p>
          <w:p w14:paraId="1E09488F"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(1) details of the proposed prescription(s); and</w:t>
            </w:r>
          </w:p>
          <w:p w14:paraId="653168E5"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(2) a completed authority application form relevant to the indication and treatment phase (the latest version is located on the website specified in the Administrative Advice).</w:t>
            </w:r>
          </w:p>
        </w:tc>
      </w:tr>
      <w:tr w:rsidR="00625719" w:rsidRPr="003D294A" w14:paraId="52E7DC1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5B8B67E4"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0E1D72AB" w14:textId="77777777" w:rsidR="00625719" w:rsidRPr="003D294A" w:rsidRDefault="00625719" w:rsidP="00CF7B47">
            <w:pPr>
              <w:rPr>
                <w:rFonts w:ascii="Arial Narrow" w:hAnsi="Arial Narrow"/>
                <w:strike/>
                <w:sz w:val="20"/>
                <w:szCs w:val="20"/>
                <w14:ligatures w14:val="standardContextual"/>
              </w:rPr>
            </w:pPr>
            <w:r w:rsidRPr="003D294A">
              <w:rPr>
                <w:rFonts w:ascii="Arial Narrow" w:hAnsi="Arial Narrow"/>
                <w:strike/>
                <w:sz w:val="20"/>
                <w:szCs w:val="20"/>
                <w14:ligatures w14:val="standardContextual"/>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p w14:paraId="1AC4CB16"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At the time of the authority application, details (result and date of result) of the following monitoring requirements must be provided:</w:t>
            </w:r>
          </w:p>
          <w:p w14:paraId="0AAFD0FB"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w:t>
            </w:r>
            <w:proofErr w:type="spellStart"/>
            <w:r w:rsidRPr="003D294A">
              <w:rPr>
                <w:rFonts w:ascii="Arial Narrow" w:hAnsi="Arial Narrow"/>
                <w:sz w:val="20"/>
                <w:szCs w:val="20"/>
                <w14:ligatures w14:val="standardContextual"/>
              </w:rPr>
              <w:t>i</w:t>
            </w:r>
            <w:proofErr w:type="spellEnd"/>
            <w:r w:rsidRPr="003D294A">
              <w:rPr>
                <w:rFonts w:ascii="Arial Narrow" w:hAnsi="Arial Narrow"/>
                <w:sz w:val="20"/>
                <w:szCs w:val="20"/>
                <w14:ligatures w14:val="standardContextual"/>
              </w:rPr>
              <w:t xml:space="preserve">) </w:t>
            </w:r>
            <w:proofErr w:type="spellStart"/>
            <w:r w:rsidRPr="003D294A">
              <w:rPr>
                <w:rFonts w:ascii="Arial Narrow" w:hAnsi="Arial Narrow"/>
                <w:sz w:val="20"/>
                <w:szCs w:val="20"/>
                <w14:ligatures w14:val="standardContextual"/>
              </w:rPr>
              <w:t>uPCR</w:t>
            </w:r>
            <w:proofErr w:type="spellEnd"/>
            <w:r w:rsidRPr="003D294A">
              <w:rPr>
                <w:rFonts w:ascii="Arial Narrow" w:hAnsi="Arial Narrow"/>
                <w:sz w:val="20"/>
                <w:szCs w:val="20"/>
                <w14:ligatures w14:val="standardContextual"/>
              </w:rPr>
              <w:t xml:space="preserve"> (mg/g)</w:t>
            </w:r>
          </w:p>
          <w:p w14:paraId="15F0D353"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(ii) eGFR (mL/min/1.73 m</w:t>
            </w:r>
            <w:r w:rsidRPr="003D294A">
              <w:rPr>
                <w:rFonts w:ascii="Arial Narrow" w:hAnsi="Arial Narrow"/>
                <w:sz w:val="20"/>
                <w:szCs w:val="20"/>
                <w:vertAlign w:val="superscript"/>
                <w14:ligatures w14:val="standardContextual"/>
              </w:rPr>
              <w:t>2</w:t>
            </w:r>
            <w:r w:rsidRPr="003D294A">
              <w:rPr>
                <w:rFonts w:ascii="Arial Narrow" w:hAnsi="Arial Narrow"/>
                <w:sz w:val="20"/>
                <w:szCs w:val="20"/>
                <w14:ligatures w14:val="standardContextual"/>
              </w:rPr>
              <w:t>)</w:t>
            </w:r>
          </w:p>
        </w:tc>
      </w:tr>
      <w:tr w:rsidR="00625719" w:rsidRPr="003D294A" w14:paraId="571B881D"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FA0E2CF"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1A29F7FE"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An outcome on the authority application is not immediate, but will follow in due course. Electronic upload is encouraged to reduce processing time.</w:t>
            </w:r>
          </w:p>
        </w:tc>
      </w:tr>
      <w:tr w:rsidR="00625719" w:rsidRPr="003D294A" w14:paraId="424F329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0A085F5"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193FDEB3"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At the time of the authority application, medical practitioners must request the appropriate number of vials for 4 weeks supply per dispensing as per the Product Information. A maximum of 5 repeats may be requested.</w:t>
            </w:r>
          </w:p>
        </w:tc>
      </w:tr>
      <w:tr w:rsidR="00625719" w:rsidRPr="003D294A" w14:paraId="41F642B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Borders>
              <w:top w:val="single" w:sz="4" w:space="0" w:color="auto"/>
              <w:left w:val="single" w:sz="4" w:space="0" w:color="auto"/>
              <w:bottom w:val="single" w:sz="4" w:space="0" w:color="auto"/>
              <w:right w:val="single" w:sz="4" w:space="0" w:color="auto"/>
            </w:tcBorders>
            <w:shd w:val="clear" w:color="auto" w:fill="BFBFBF"/>
            <w:tcMar>
              <w:left w:w="28" w:type="dxa"/>
              <w:right w:w="28" w:type="dxa"/>
            </w:tcMar>
            <w:vAlign w:val="center"/>
          </w:tcPr>
          <w:p w14:paraId="77603C4D"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sz w:val="20"/>
                <w:szCs w:val="20"/>
                <w14:ligatures w14:val="standardContextual"/>
              </w:rPr>
              <w:lastRenderedPageBreak/>
              <w:t>Restriction Summary 4 / Treatment of Concept: 4A</w:t>
            </w:r>
          </w:p>
        </w:tc>
      </w:tr>
      <w:tr w:rsidR="00625719" w:rsidRPr="003D294A" w14:paraId="4B2C07A6"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AEFC381" w14:textId="651E81F5" w:rsidR="00625719" w:rsidRPr="003D294A" w:rsidRDefault="00625719" w:rsidP="00CF7B47">
            <w:pPr>
              <w:keepLines/>
              <w:rPr>
                <w:rFonts w:ascii="Arial Narrow" w:hAnsi="Arial Narrow"/>
                <w:color w:val="333333"/>
                <w:sz w:val="20"/>
                <w:szCs w:val="20"/>
                <w14:ligatures w14:val="standardContextual"/>
              </w:rPr>
            </w:pPr>
            <w:r w:rsidRPr="003D294A">
              <w:rPr>
                <w:rFonts w:ascii="Arial Narrow" w:hAnsi="Arial Narrow"/>
                <w:b/>
                <w:bCs/>
                <w:sz w:val="20"/>
                <w:szCs w:val="20"/>
                <w14:ligatures w14:val="standardContextual"/>
              </w:rPr>
              <w:t>Indication:</w:t>
            </w:r>
            <w:r w:rsidR="00CF7B47">
              <w:rPr>
                <w:rFonts w:ascii="Arial Narrow" w:hAnsi="Arial Narrow"/>
                <w:sz w:val="20"/>
                <w:szCs w:val="20"/>
                <w14:ligatures w14:val="standardContextual"/>
              </w:rPr>
              <w:t xml:space="preserve"> </w:t>
            </w:r>
            <w:r w:rsidRPr="003D294A">
              <w:rPr>
                <w:rFonts w:ascii="Arial Narrow" w:hAnsi="Arial Narrow"/>
                <w:sz w:val="20"/>
                <w:szCs w:val="20"/>
                <w14:ligatures w14:val="standardContextual"/>
              </w:rPr>
              <w:t>C3G or primary immune complex membranoproliferative glomerulonephritis (</w:t>
            </w:r>
            <w:proofErr w:type="spellStart"/>
            <w:r w:rsidRPr="003D294A">
              <w:rPr>
                <w:rFonts w:ascii="Arial Narrow" w:hAnsi="Arial Narrow"/>
                <w:sz w:val="20"/>
                <w:szCs w:val="20"/>
                <w14:ligatures w14:val="standardContextual"/>
              </w:rPr>
              <w:t>pIC</w:t>
            </w:r>
            <w:proofErr w:type="spellEnd"/>
            <w:r w:rsidRPr="003D294A">
              <w:rPr>
                <w:rFonts w:ascii="Arial Narrow" w:hAnsi="Arial Narrow"/>
                <w:sz w:val="20"/>
                <w:szCs w:val="20"/>
                <w14:ligatures w14:val="standardContextual"/>
              </w:rPr>
              <w:t>-MPGN)</w:t>
            </w:r>
          </w:p>
        </w:tc>
      </w:tr>
      <w:tr w:rsidR="00625719" w:rsidRPr="003D294A" w14:paraId="2B9A1D7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540DAC5C"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b/>
                <w:bCs/>
                <w:color w:val="333333"/>
                <w:sz w:val="20"/>
                <w:szCs w:val="20"/>
                <w14:ligatures w14:val="standardContextual"/>
              </w:rPr>
              <w:t>Treatment Phase:</w:t>
            </w:r>
            <w:r w:rsidRPr="003D294A">
              <w:rPr>
                <w:rFonts w:ascii="Arial Narrow" w:hAnsi="Arial Narrow"/>
                <w:color w:val="FF0000"/>
                <w:sz w:val="20"/>
                <w:szCs w:val="20"/>
                <w14:ligatures w14:val="standardContextual"/>
              </w:rPr>
              <w:t xml:space="preserve"> </w:t>
            </w:r>
            <w:r w:rsidRPr="003D294A">
              <w:rPr>
                <w:rFonts w:ascii="Arial Narrow" w:hAnsi="Arial Narrow"/>
                <w:sz w:val="20"/>
                <w:szCs w:val="20"/>
                <w14:ligatures w14:val="standardContextual"/>
              </w:rPr>
              <w:t xml:space="preserve">Subsequent continuing </w:t>
            </w:r>
            <w:r w:rsidRPr="003D294A">
              <w:rPr>
                <w:rFonts w:ascii="Arial Narrow" w:hAnsi="Arial Narrow"/>
                <w:i/>
                <w:iCs/>
                <w:sz w:val="20"/>
                <w:szCs w:val="20"/>
                <w14:ligatures w14:val="standardContextual"/>
              </w:rPr>
              <w:t>treatment</w:t>
            </w:r>
          </w:p>
        </w:tc>
      </w:tr>
      <w:tr w:rsidR="00625719" w:rsidRPr="003D294A" w14:paraId="31ADAB0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64EA21B"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 xml:space="preserve">Clinical criteria: </w:t>
            </w:r>
          </w:p>
        </w:tc>
      </w:tr>
      <w:tr w:rsidR="00625719" w:rsidRPr="003D294A" w14:paraId="3F23823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62F3D447"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sz w:val="20"/>
                <w:szCs w:val="20"/>
                <w14:ligatures w14:val="standardContextual"/>
              </w:rPr>
              <w:t>Treatment must not be in combination with another Complement inhibitor</w:t>
            </w:r>
            <w:r w:rsidRPr="003D294A">
              <w:rPr>
                <w:rFonts w:ascii="Arial Narrow" w:hAnsi="Arial Narrow"/>
                <w:strike/>
                <w:sz w:val="20"/>
                <w:szCs w:val="20"/>
                <w14:ligatures w14:val="standardContextual"/>
              </w:rPr>
              <w:t xml:space="preserve"> </w:t>
            </w:r>
          </w:p>
        </w:tc>
      </w:tr>
      <w:tr w:rsidR="00625719" w:rsidRPr="003D294A" w14:paraId="5A0DD56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737B3E31" w14:textId="77777777" w:rsidR="00625719" w:rsidRPr="003D294A" w:rsidRDefault="00625719" w:rsidP="00CF7B47">
            <w:pPr>
              <w:rPr>
                <w:rFonts w:ascii="Arial Narrow" w:hAnsi="Arial Narrow"/>
                <w:i/>
                <w:iCs/>
                <w:color w:val="333333"/>
                <w:sz w:val="20"/>
                <w:szCs w:val="20"/>
                <w14:ligatures w14:val="standardContextual"/>
              </w:rPr>
            </w:pPr>
            <w:r w:rsidRPr="003D294A">
              <w:rPr>
                <w:rFonts w:ascii="Arial Narrow" w:hAnsi="Arial Narrow"/>
                <w:b/>
                <w:bCs/>
                <w:i/>
                <w:iCs/>
                <w:color w:val="333333"/>
                <w:sz w:val="20"/>
                <w:szCs w:val="20"/>
                <w14:ligatures w14:val="standardContextual"/>
              </w:rPr>
              <w:t>AND</w:t>
            </w:r>
          </w:p>
        </w:tc>
      </w:tr>
      <w:tr w:rsidR="00625719" w:rsidRPr="003D294A" w14:paraId="796E524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5BC073B" w14:textId="77777777" w:rsidR="00625719" w:rsidRPr="003D294A" w:rsidRDefault="00625719" w:rsidP="00CF7B47">
            <w:pPr>
              <w:rPr>
                <w:rFonts w:ascii="Arial Narrow" w:hAnsi="Arial Narrow"/>
                <w:b/>
                <w:bCs/>
                <w:i/>
                <w:iCs/>
                <w:color w:val="333333"/>
                <w:sz w:val="20"/>
                <w:szCs w:val="20"/>
                <w14:ligatures w14:val="standardContextual"/>
              </w:rPr>
            </w:pPr>
            <w:r w:rsidRPr="003D294A">
              <w:rPr>
                <w:rFonts w:ascii="Arial Narrow" w:hAnsi="Arial Narrow"/>
                <w:b/>
                <w:bCs/>
                <w:i/>
                <w:iCs/>
                <w:color w:val="333333"/>
                <w:sz w:val="20"/>
                <w:szCs w:val="20"/>
                <w14:ligatures w14:val="standardContextual"/>
              </w:rPr>
              <w:t>Clinical criteria:</w:t>
            </w:r>
          </w:p>
        </w:tc>
      </w:tr>
      <w:tr w:rsidR="00625719" w:rsidRPr="003D294A" w14:paraId="13C13495"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AF929B1"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Patient must have received PBS-subsidised treatment with this drug for this condition under the ‘First Continuing’ or ‘Subsequent continuing’ treatment restrictions</w:t>
            </w:r>
          </w:p>
        </w:tc>
      </w:tr>
      <w:tr w:rsidR="00625719" w:rsidRPr="003D294A" w14:paraId="0AC2787F"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1FB2004E"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AND</w:t>
            </w:r>
          </w:p>
        </w:tc>
      </w:tr>
      <w:tr w:rsidR="00625719" w:rsidRPr="003D294A" w14:paraId="7CAA269F"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83FA503"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b/>
                <w:bCs/>
                <w:color w:val="333333"/>
                <w:sz w:val="20"/>
                <w:szCs w:val="20"/>
                <w14:ligatures w14:val="standardContextual"/>
              </w:rPr>
              <w:t>Clinical criteria:</w:t>
            </w:r>
          </w:p>
        </w:tc>
      </w:tr>
      <w:tr w:rsidR="00625719" w:rsidRPr="003D294A" w14:paraId="7759D20E"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4A3F3ED2" w14:textId="77777777" w:rsidR="00625719" w:rsidRPr="003D294A" w:rsidRDefault="00625719" w:rsidP="00CF7B47">
            <w:pPr>
              <w:rPr>
                <w:rFonts w:ascii="Arial Narrow" w:hAnsi="Arial Narrow"/>
                <w:sz w:val="20"/>
                <w:szCs w:val="20"/>
                <w14:ligatures w14:val="standardContextual"/>
              </w:rPr>
            </w:pPr>
            <w:r w:rsidRPr="003D294A">
              <w:rPr>
                <w:rFonts w:ascii="Arial Narrow" w:hAnsi="Arial Narrow"/>
                <w:sz w:val="20"/>
                <w:szCs w:val="20"/>
                <w14:ligatures w14:val="standardContextual"/>
              </w:rPr>
              <w:t>Patient must not be undergoing dialysis</w:t>
            </w:r>
          </w:p>
        </w:tc>
      </w:tr>
      <w:tr w:rsidR="00625719" w:rsidRPr="003D294A" w14:paraId="7FD8BBB0"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61471AB7" w14:textId="77777777" w:rsidR="00625719" w:rsidRPr="003D294A" w:rsidRDefault="00625719" w:rsidP="00CF7B47">
            <w:pPr>
              <w:rPr>
                <w:rFonts w:ascii="Arial Narrow" w:hAnsi="Arial Narrow"/>
                <w:i/>
                <w:sz w:val="20"/>
                <w:szCs w:val="20"/>
                <w14:ligatures w14:val="standardContextual"/>
              </w:rPr>
            </w:pPr>
            <w:r w:rsidRPr="003D294A">
              <w:rPr>
                <w:rFonts w:ascii="Arial Narrow" w:hAnsi="Arial Narrow"/>
                <w:b/>
                <w:i/>
                <w:color w:val="333333"/>
                <w:sz w:val="20"/>
                <w:szCs w:val="20"/>
                <w14:ligatures w14:val="standardContextual"/>
              </w:rPr>
              <w:t>AND</w:t>
            </w:r>
          </w:p>
        </w:tc>
      </w:tr>
      <w:tr w:rsidR="00625719" w:rsidRPr="003D294A" w14:paraId="7D6BDE3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8A06C6A" w14:textId="77777777" w:rsidR="00625719" w:rsidRPr="003D294A" w:rsidRDefault="00625719" w:rsidP="00CF7B47">
            <w:pPr>
              <w:rPr>
                <w:rFonts w:ascii="Arial Narrow" w:hAnsi="Arial Narrow"/>
                <w:i/>
                <w:sz w:val="20"/>
                <w:szCs w:val="20"/>
                <w14:ligatures w14:val="standardContextual"/>
              </w:rPr>
            </w:pPr>
            <w:r w:rsidRPr="003D294A" w:rsidDel="00FB6557">
              <w:rPr>
                <w:rFonts w:ascii="Arial Narrow" w:hAnsi="Arial Narrow"/>
                <w:b/>
                <w:i/>
                <w:color w:val="333333"/>
                <w:sz w:val="20"/>
                <w:szCs w:val="20"/>
                <w14:ligatures w14:val="standardContextual"/>
              </w:rPr>
              <w:t>Clinical criteria:</w:t>
            </w:r>
          </w:p>
        </w:tc>
      </w:tr>
      <w:tr w:rsidR="00625719" w:rsidRPr="003D294A" w14:paraId="01A3267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375CE3FD" w14:textId="77777777" w:rsidR="00625719" w:rsidRPr="003D294A" w:rsidRDefault="00625719" w:rsidP="00CF7B47">
            <w:pPr>
              <w:rPr>
                <w:rFonts w:ascii="Arial Narrow" w:hAnsi="Arial Narrow"/>
                <w:i/>
                <w:sz w:val="20"/>
                <w:szCs w:val="20"/>
                <w14:ligatures w14:val="standardContextual"/>
              </w:rPr>
            </w:pPr>
            <w:r w:rsidRPr="003D294A" w:rsidDel="00FB6557">
              <w:rPr>
                <w:rFonts w:ascii="Arial Narrow" w:hAnsi="Arial Narrow"/>
                <w:i/>
                <w:sz w:val="20"/>
                <w:szCs w:val="20"/>
                <w14:ligatures w14:val="standardContextual"/>
              </w:rPr>
              <w:t xml:space="preserve">Patient must have experienced clinical improvement </w:t>
            </w:r>
            <w:proofErr w:type="gramStart"/>
            <w:r w:rsidRPr="003D294A" w:rsidDel="00FB6557">
              <w:rPr>
                <w:rFonts w:ascii="Arial Narrow" w:hAnsi="Arial Narrow"/>
                <w:i/>
                <w:sz w:val="20"/>
                <w:szCs w:val="20"/>
                <w14:ligatures w14:val="standardContextual"/>
              </w:rPr>
              <w:t>as a result of</w:t>
            </w:r>
            <w:proofErr w:type="gramEnd"/>
            <w:r w:rsidRPr="003D294A" w:rsidDel="00FB6557">
              <w:rPr>
                <w:rFonts w:ascii="Arial Narrow" w:hAnsi="Arial Narrow"/>
                <w:i/>
                <w:sz w:val="20"/>
                <w:szCs w:val="20"/>
                <w14:ligatures w14:val="standardContextual"/>
              </w:rPr>
              <w:t xml:space="preserve"> treatment with this drug</w:t>
            </w:r>
            <w:r w:rsidRPr="003D294A">
              <w:rPr>
                <w:rFonts w:ascii="Arial Narrow" w:hAnsi="Arial Narrow"/>
                <w:i/>
                <w:iCs/>
                <w:sz w:val="20"/>
                <w:szCs w:val="20"/>
                <w14:ligatures w14:val="standardContextual"/>
              </w:rPr>
              <w:t>; or</w:t>
            </w:r>
          </w:p>
        </w:tc>
      </w:tr>
      <w:tr w:rsidR="00625719" w:rsidRPr="003D294A" w14:paraId="52BA85F0"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7A135541"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 xml:space="preserve">Patient must have experienced a stabilisation of the condition </w:t>
            </w:r>
            <w:proofErr w:type="gramStart"/>
            <w:r w:rsidRPr="003D294A">
              <w:rPr>
                <w:rFonts w:ascii="Arial Narrow" w:hAnsi="Arial Narrow"/>
                <w:i/>
                <w:iCs/>
                <w:sz w:val="20"/>
                <w:szCs w:val="20"/>
                <w14:ligatures w14:val="standardContextual"/>
              </w:rPr>
              <w:t>as a result of</w:t>
            </w:r>
            <w:proofErr w:type="gramEnd"/>
            <w:r w:rsidRPr="003D294A">
              <w:rPr>
                <w:rFonts w:ascii="Arial Narrow" w:hAnsi="Arial Narrow"/>
                <w:i/>
                <w:iCs/>
                <w:sz w:val="20"/>
                <w:szCs w:val="20"/>
                <w14:ligatures w14:val="standardContextual"/>
              </w:rPr>
              <w:t xml:space="preserve"> treatment with this drug</w:t>
            </w:r>
          </w:p>
        </w:tc>
      </w:tr>
      <w:tr w:rsidR="00625719" w:rsidRPr="003D294A" w14:paraId="19770442"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13C1825" w14:textId="77777777" w:rsidR="00625719" w:rsidRPr="003D294A" w:rsidRDefault="00625719" w:rsidP="00CF7B47">
            <w:pPr>
              <w:keepNext/>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Treatment criteria:</w:t>
            </w:r>
          </w:p>
        </w:tc>
      </w:tr>
      <w:tr w:rsidR="00625719" w:rsidRPr="003D294A" w14:paraId="19286A49"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25D28AED" w14:textId="77777777" w:rsidR="00625719" w:rsidRPr="003D294A" w:rsidRDefault="00625719" w:rsidP="00CF7B47">
            <w:pPr>
              <w:autoSpaceDE w:val="0"/>
              <w:autoSpaceDN w:val="0"/>
              <w:adjustRightInd w:val="0"/>
              <w:rPr>
                <w:rFonts w:ascii="Arial Narrow" w:hAnsi="Arial Narrow" w:cs="Arial Narrow"/>
                <w:i/>
                <w:iCs/>
                <w:color w:val="FF0000"/>
                <w:sz w:val="20"/>
                <w:szCs w:val="20"/>
                <w14:ligatures w14:val="standardContextual"/>
              </w:rPr>
            </w:pPr>
            <w:r w:rsidRPr="003D294A">
              <w:rPr>
                <w:rFonts w:ascii="Arial Narrow" w:hAnsi="Arial Narrow"/>
                <w:sz w:val="20"/>
                <w:szCs w:val="20"/>
                <w14:ligatures w14:val="standardContextual"/>
              </w:rPr>
              <w:t>Must be treated by a nephrologist with experience in glomerular diseases; or</w:t>
            </w:r>
          </w:p>
        </w:tc>
      </w:tr>
      <w:tr w:rsidR="00625719" w:rsidRPr="003D294A" w14:paraId="7194B0AF"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3A7A5E9" w14:textId="77777777" w:rsidR="00625719" w:rsidRPr="003D294A" w:rsidRDefault="00625719" w:rsidP="00CF7B47">
            <w:pPr>
              <w:autoSpaceDE w:val="0"/>
              <w:autoSpaceDN w:val="0"/>
              <w:adjustRightInd w:val="0"/>
              <w:rPr>
                <w:rFonts w:ascii="Arial Narrow" w:hAnsi="Arial Narrow"/>
                <w:sz w:val="20"/>
                <w:szCs w:val="20"/>
                <w14:ligatures w14:val="standardContextual"/>
              </w:rPr>
            </w:pPr>
            <w:r w:rsidRPr="003D294A">
              <w:rPr>
                <w:rFonts w:ascii="Arial Narrow" w:hAnsi="Arial Narrow"/>
                <w:sz w:val="20"/>
                <w:szCs w:val="20"/>
                <w14:ligatures w14:val="standardContextual"/>
              </w:rPr>
              <w:t>Must be treated by a non-specialist medical physician who has consulted a nephrologist on the patient's drug treatment details.</w:t>
            </w:r>
          </w:p>
        </w:tc>
      </w:tr>
      <w:tr w:rsidR="00625719" w:rsidRPr="003D294A" w14:paraId="4E0359D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0F7D1E62" w14:textId="77777777" w:rsidR="00625719" w:rsidRPr="003D294A" w:rsidRDefault="00625719" w:rsidP="00CF7B47">
            <w:pPr>
              <w:rPr>
                <w:rFonts w:ascii="Arial Narrow" w:hAnsi="Arial Narrow"/>
                <w:color w:val="333333"/>
                <w:sz w:val="20"/>
                <w:szCs w:val="20"/>
                <w14:ligatures w14:val="standardContextual"/>
              </w:rPr>
            </w:pPr>
            <w:r w:rsidRPr="003D294A">
              <w:rPr>
                <w:rFonts w:ascii="Arial Narrow" w:hAnsi="Arial Narrow"/>
                <w:b/>
                <w:bCs/>
                <w:color w:val="333333"/>
                <w:sz w:val="20"/>
                <w:szCs w:val="20"/>
                <w14:ligatures w14:val="standardContextual"/>
              </w:rPr>
              <w:t>Population criteria:</w:t>
            </w:r>
          </w:p>
        </w:tc>
      </w:tr>
      <w:tr w:rsidR="00625719" w:rsidRPr="003D294A" w14:paraId="7B97767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hideMark/>
          </w:tcPr>
          <w:p w14:paraId="6AE55915"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weigh at least 30 kg</w:t>
            </w:r>
          </w:p>
        </w:tc>
      </w:tr>
      <w:tr w:rsidR="00625719" w:rsidRPr="003D294A" w14:paraId="00A727D7"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76D2167"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b/>
                <w:color w:val="000000" w:themeColor="text1"/>
                <w:sz w:val="20"/>
                <w:szCs w:val="20"/>
                <w14:ligatures w14:val="standardContextual"/>
              </w:rPr>
              <w:t>Population criteria:</w:t>
            </w:r>
          </w:p>
        </w:tc>
      </w:tr>
      <w:tr w:rsidR="00625719" w:rsidRPr="003D294A" w14:paraId="4DB40411"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99B8116" w14:textId="77777777" w:rsidR="00625719" w:rsidRPr="003D294A" w:rsidRDefault="00625719" w:rsidP="00CF7B47">
            <w:pPr>
              <w:rPr>
                <w:rFonts w:ascii="Arial Narrow" w:hAnsi="Arial Narrow"/>
                <w:color w:val="000000" w:themeColor="text1"/>
                <w:sz w:val="20"/>
                <w:szCs w:val="20"/>
                <w14:ligatures w14:val="standardContextual"/>
              </w:rPr>
            </w:pPr>
            <w:r w:rsidRPr="003D294A">
              <w:rPr>
                <w:rFonts w:ascii="Arial Narrow" w:hAnsi="Arial Narrow"/>
                <w:color w:val="000000" w:themeColor="text1"/>
                <w:sz w:val="20"/>
                <w:szCs w:val="20"/>
                <w14:ligatures w14:val="standardContextual"/>
              </w:rPr>
              <w:t>Patient must be aged 12 years and older</w:t>
            </w:r>
          </w:p>
        </w:tc>
      </w:tr>
      <w:tr w:rsidR="00625719" w:rsidRPr="003D294A" w14:paraId="44E34D0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1FB6DA59" w14:textId="77777777" w:rsidR="00625719" w:rsidRPr="003D294A" w:rsidRDefault="00625719" w:rsidP="00CF7B47">
            <w:pPr>
              <w:rPr>
                <w:rFonts w:ascii="Arial Narrow" w:hAnsi="Arial Narrow"/>
                <w:color w:val="FF0000"/>
                <w:sz w:val="20"/>
                <w:szCs w:val="20"/>
                <w14:ligatures w14:val="standardContextual"/>
              </w:rPr>
            </w:pPr>
            <w:r w:rsidRPr="003D294A">
              <w:rPr>
                <w:rFonts w:ascii="Arial Narrow" w:hAnsi="Arial Narrow" w:cs="Arial Narrow"/>
                <w:b/>
                <w:bCs/>
                <w:iCs/>
                <w:sz w:val="20"/>
                <w:szCs w:val="20"/>
                <w14:ligatures w14:val="standardContextual"/>
              </w:rPr>
              <w:t>AND</w:t>
            </w:r>
          </w:p>
        </w:tc>
      </w:tr>
      <w:tr w:rsidR="00625719" w:rsidRPr="003D294A" w14:paraId="2536F31C"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2B842D48"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08C9EAB7"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The authority application must be made via the Online PBS Authorities System, or in writing via HPOS form upload or mail and must include:</w:t>
            </w:r>
          </w:p>
          <w:p w14:paraId="453E33DD"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(1) details of the proposed prescription(s); and</w:t>
            </w:r>
          </w:p>
          <w:p w14:paraId="7E5886C3"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(2) a completed authority application form relevant to the indication and treatment phase (the latest version is located on the website specified in the Administrative Advice).</w:t>
            </w:r>
          </w:p>
        </w:tc>
      </w:tr>
      <w:tr w:rsidR="00625719" w:rsidRPr="003D294A" w14:paraId="56194714"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900ABE9" w14:textId="77777777" w:rsidR="00625719" w:rsidRPr="003D294A" w:rsidDel="00A8737A" w:rsidRDefault="00625719" w:rsidP="00CF7B47">
            <w:pPr>
              <w:rPr>
                <w:rFonts w:ascii="Arial Narrow" w:hAnsi="Arial Narrow"/>
                <w:b/>
                <w:bCs/>
                <w:i/>
                <w:iCs/>
                <w:sz w:val="20"/>
                <w:szCs w:val="20"/>
                <w14:ligatures w14:val="standardContextual"/>
              </w:rPr>
            </w:pPr>
            <w:r w:rsidRPr="003D294A" w:rsidDel="00A8737A">
              <w:rPr>
                <w:rFonts w:ascii="Arial Narrow" w:hAnsi="Arial Narrow"/>
                <w:b/>
                <w:bCs/>
                <w:i/>
                <w:iCs/>
                <w:sz w:val="20"/>
                <w:szCs w:val="20"/>
                <w14:ligatures w14:val="standardContextual"/>
              </w:rPr>
              <w:t xml:space="preserve">Prescribing Instructions: </w:t>
            </w:r>
          </w:p>
          <w:p w14:paraId="79CFC775" w14:textId="77777777" w:rsidR="00625719" w:rsidRPr="003D294A" w:rsidDel="00A8737A" w:rsidRDefault="00625719" w:rsidP="00CF7B47">
            <w:pPr>
              <w:rPr>
                <w:rFonts w:ascii="Arial Narrow" w:hAnsi="Arial Narrow"/>
                <w:strike/>
                <w:sz w:val="20"/>
                <w:szCs w:val="20"/>
                <w14:ligatures w14:val="standardContextual"/>
              </w:rPr>
            </w:pPr>
            <w:r w:rsidRPr="003D294A" w:rsidDel="00A8737A">
              <w:rPr>
                <w:rFonts w:ascii="Arial Narrow" w:hAnsi="Arial Narrow"/>
                <w:strike/>
                <w:sz w:val="20"/>
                <w:szCs w:val="20"/>
                <w14:ligatures w14:val="standardContextual"/>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p w14:paraId="3323CE16" w14:textId="77777777" w:rsidR="00625719" w:rsidRPr="003D294A" w:rsidDel="00A8737A" w:rsidRDefault="00625719" w:rsidP="00CF7B47">
            <w:pPr>
              <w:rPr>
                <w:rFonts w:ascii="Arial Narrow" w:hAnsi="Arial Narrow"/>
                <w:i/>
                <w:sz w:val="20"/>
                <w:szCs w:val="20"/>
                <w14:ligatures w14:val="standardContextual"/>
              </w:rPr>
            </w:pPr>
            <w:r w:rsidRPr="003D294A" w:rsidDel="00A8737A">
              <w:rPr>
                <w:rFonts w:ascii="Arial Narrow" w:hAnsi="Arial Narrow"/>
                <w:i/>
                <w:sz w:val="20"/>
                <w:szCs w:val="20"/>
                <w14:ligatures w14:val="standardContextual"/>
              </w:rPr>
              <w:t>At the time of the authority application, details (result and date of result) of the following monitoring requirements must be provided:</w:t>
            </w:r>
          </w:p>
          <w:p w14:paraId="7FA6021F" w14:textId="77777777" w:rsidR="00625719" w:rsidRPr="003D294A" w:rsidDel="00A8737A" w:rsidRDefault="00625719" w:rsidP="00CF7B47">
            <w:pPr>
              <w:rPr>
                <w:rFonts w:ascii="Arial Narrow" w:hAnsi="Arial Narrow"/>
                <w:i/>
                <w:sz w:val="20"/>
                <w:szCs w:val="20"/>
                <w14:ligatures w14:val="standardContextual"/>
              </w:rPr>
            </w:pPr>
            <w:r w:rsidRPr="003D294A" w:rsidDel="00A8737A">
              <w:rPr>
                <w:rFonts w:ascii="Arial Narrow" w:hAnsi="Arial Narrow"/>
                <w:i/>
                <w:sz w:val="20"/>
                <w:szCs w:val="20"/>
                <w14:ligatures w14:val="standardContextual"/>
              </w:rPr>
              <w:t>(</w:t>
            </w:r>
            <w:proofErr w:type="spellStart"/>
            <w:r w:rsidRPr="003D294A" w:rsidDel="00A8737A">
              <w:rPr>
                <w:rFonts w:ascii="Arial Narrow" w:hAnsi="Arial Narrow"/>
                <w:i/>
                <w:sz w:val="20"/>
                <w:szCs w:val="20"/>
                <w14:ligatures w14:val="standardContextual"/>
              </w:rPr>
              <w:t>i</w:t>
            </w:r>
            <w:proofErr w:type="spellEnd"/>
            <w:r w:rsidRPr="003D294A" w:rsidDel="00A8737A">
              <w:rPr>
                <w:rFonts w:ascii="Arial Narrow" w:hAnsi="Arial Narrow"/>
                <w:i/>
                <w:sz w:val="20"/>
                <w:szCs w:val="20"/>
                <w14:ligatures w14:val="standardContextual"/>
              </w:rPr>
              <w:t xml:space="preserve">) </w:t>
            </w:r>
            <w:proofErr w:type="spellStart"/>
            <w:r w:rsidRPr="003D294A" w:rsidDel="00A8737A">
              <w:rPr>
                <w:rFonts w:ascii="Arial Narrow" w:hAnsi="Arial Narrow"/>
                <w:i/>
                <w:sz w:val="20"/>
                <w:szCs w:val="20"/>
                <w14:ligatures w14:val="standardContextual"/>
              </w:rPr>
              <w:t>uPCR</w:t>
            </w:r>
            <w:proofErr w:type="spellEnd"/>
            <w:r w:rsidRPr="003D294A" w:rsidDel="00A8737A">
              <w:rPr>
                <w:rFonts w:ascii="Arial Narrow" w:hAnsi="Arial Narrow"/>
                <w:i/>
                <w:sz w:val="20"/>
                <w:szCs w:val="20"/>
                <w14:ligatures w14:val="standardContextual"/>
              </w:rPr>
              <w:t xml:space="preserve"> (mg/g)</w:t>
            </w:r>
          </w:p>
          <w:p w14:paraId="1EAC6131" w14:textId="77777777" w:rsidR="00625719" w:rsidRPr="003D294A" w:rsidRDefault="00625719" w:rsidP="00CF7B47">
            <w:pPr>
              <w:rPr>
                <w:rFonts w:ascii="Arial Narrow" w:hAnsi="Arial Narrow"/>
                <w:sz w:val="20"/>
                <w:szCs w:val="20"/>
                <w14:ligatures w14:val="standardContextual"/>
              </w:rPr>
            </w:pPr>
            <w:r w:rsidRPr="003D294A" w:rsidDel="00A8737A">
              <w:rPr>
                <w:rFonts w:ascii="Arial Narrow" w:hAnsi="Arial Narrow"/>
                <w:i/>
                <w:sz w:val="20"/>
                <w:szCs w:val="20"/>
                <w14:ligatures w14:val="standardContextual"/>
              </w:rPr>
              <w:t>(ii) eGFR (mL/min/1.73 m</w:t>
            </w:r>
            <w:r w:rsidRPr="003D294A" w:rsidDel="00A8737A">
              <w:rPr>
                <w:rFonts w:ascii="Arial Narrow" w:hAnsi="Arial Narrow"/>
                <w:i/>
                <w:sz w:val="20"/>
                <w:szCs w:val="20"/>
                <w:vertAlign w:val="superscript"/>
                <w14:ligatures w14:val="standardContextual"/>
              </w:rPr>
              <w:t>2</w:t>
            </w:r>
            <w:r w:rsidRPr="003D294A" w:rsidDel="00A8737A">
              <w:rPr>
                <w:rFonts w:ascii="Arial Narrow" w:hAnsi="Arial Narrow"/>
                <w:i/>
                <w:sz w:val="20"/>
                <w:szCs w:val="20"/>
                <w14:ligatures w14:val="standardContextual"/>
              </w:rPr>
              <w:t>)</w:t>
            </w:r>
          </w:p>
        </w:tc>
      </w:tr>
      <w:tr w:rsidR="00625719" w:rsidRPr="003D294A" w14:paraId="015F6BC3"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59D1960"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76E319BD"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An outcome on the authority application is not immediate, but will follow in due course. Electronic upload is encouraged to reduce processing time.</w:t>
            </w:r>
          </w:p>
        </w:tc>
      </w:tr>
      <w:tr w:rsidR="00625719" w:rsidRPr="003D294A" w14:paraId="21D1E0BB" w14:textId="77777777" w:rsidTr="00625719">
        <w:tblPrEx>
          <w:tblCellMar>
            <w:top w:w="15" w:type="dxa"/>
            <w:bottom w:w="15" w:type="dxa"/>
          </w:tblCellMar>
          <w:tblLook w:val="04A0" w:firstRow="1" w:lastRow="0" w:firstColumn="1" w:lastColumn="0" w:noHBand="0" w:noVBand="1"/>
        </w:tblPrEx>
        <w:trPr>
          <w:trHeight w:val="20"/>
        </w:trPr>
        <w:tc>
          <w:tcPr>
            <w:tcW w:w="8926" w:type="dxa"/>
            <w:gridSpan w:val="6"/>
            <w:tcMar>
              <w:left w:w="28" w:type="dxa"/>
              <w:right w:w="28" w:type="dxa"/>
            </w:tcMar>
            <w:vAlign w:val="center"/>
          </w:tcPr>
          <w:p w14:paraId="0E9EA495" w14:textId="77777777" w:rsidR="00625719" w:rsidRPr="003D294A" w:rsidRDefault="00625719" w:rsidP="00CF7B47">
            <w:pPr>
              <w:rPr>
                <w:rFonts w:ascii="Arial Narrow" w:hAnsi="Arial Narrow"/>
                <w:b/>
                <w:bCs/>
                <w:i/>
                <w:iCs/>
                <w:sz w:val="20"/>
                <w:szCs w:val="20"/>
                <w14:ligatures w14:val="standardContextual"/>
              </w:rPr>
            </w:pPr>
            <w:r w:rsidRPr="003D294A">
              <w:rPr>
                <w:rFonts w:ascii="Arial Narrow" w:hAnsi="Arial Narrow"/>
                <w:b/>
                <w:bCs/>
                <w:i/>
                <w:iCs/>
                <w:sz w:val="20"/>
                <w:szCs w:val="20"/>
                <w14:ligatures w14:val="standardContextual"/>
              </w:rPr>
              <w:t xml:space="preserve">Prescribing Instructions: </w:t>
            </w:r>
          </w:p>
          <w:p w14:paraId="771CAAD0" w14:textId="77777777" w:rsidR="00625719" w:rsidRPr="003D294A" w:rsidRDefault="00625719" w:rsidP="00CF7B47">
            <w:pPr>
              <w:rPr>
                <w:rFonts w:ascii="Arial Narrow" w:hAnsi="Arial Narrow"/>
                <w:i/>
                <w:iCs/>
                <w:sz w:val="20"/>
                <w:szCs w:val="20"/>
                <w14:ligatures w14:val="standardContextual"/>
              </w:rPr>
            </w:pPr>
            <w:r w:rsidRPr="003D294A">
              <w:rPr>
                <w:rFonts w:ascii="Arial Narrow" w:hAnsi="Arial Narrow"/>
                <w:i/>
                <w:iCs/>
                <w:sz w:val="20"/>
                <w:szCs w:val="20"/>
                <w14:ligatures w14:val="standardContextual"/>
              </w:rPr>
              <w:t>At the time of the authority application, medical practitioners must request the appropriate number of vials for 4 weeks supply per dispensing as per the Product Information. A maximum of 5 repeats may be requested.</w:t>
            </w:r>
          </w:p>
        </w:tc>
      </w:tr>
    </w:tbl>
    <w:p w14:paraId="27A7EFBD" w14:textId="17DE4A0E" w:rsidR="0094164F" w:rsidRPr="003D294A" w:rsidRDefault="0094164F" w:rsidP="00CF7B47">
      <w:pPr>
        <w:pStyle w:val="COMESnumberedpara"/>
      </w:pPr>
      <w:r w:rsidRPr="003D294A">
        <w:t xml:space="preserve">The sponsor proposed a special pricing arrangement </w:t>
      </w:r>
      <w:r w:rsidR="00912F89">
        <w:t>with</w:t>
      </w:r>
      <w:r w:rsidRPr="003D294A">
        <w:t xml:space="preserve"> an effective AEMP per vial of </w:t>
      </w:r>
      <w:r w:rsidR="006449AB" w:rsidRPr="006449AB">
        <w:rPr>
          <w:sz w:val="20"/>
        </w:rPr>
        <w:t>$</w:t>
      </w:r>
      <w:r w:rsidR="006449AB" w:rsidRPr="006449AB">
        <w:rPr>
          <w:sz w:val="2"/>
          <w:highlight w:val="black"/>
        </w:rPr>
        <w:t>redacted content</w:t>
      </w:r>
      <w:r w:rsidRPr="003D294A">
        <w:t xml:space="preserve"> and a published AEMP per vial of $4,343.86. </w:t>
      </w:r>
    </w:p>
    <w:p w14:paraId="051108DA" w14:textId="32D0FCF8" w:rsidR="005A7A0B" w:rsidRPr="003D294A" w:rsidRDefault="005A7A0B" w:rsidP="00CF7B47">
      <w:pPr>
        <w:pStyle w:val="COMESnumberedpara"/>
      </w:pPr>
      <w:r w:rsidRPr="003D294A">
        <w:t xml:space="preserve">The requested initial treatment restriction includes 3 repeats, providing up to 16 weeks of treatment. The submission claimed that this provides sufficient time on </w:t>
      </w:r>
      <w:r w:rsidRPr="003D294A">
        <w:lastRenderedPageBreak/>
        <w:t xml:space="preserve">treatment for patients to demonstrate response, with VALIANT trial data showing that change in proteinuria in the pegcetacoplan arm appears to plateau from Week 16 of the trial. </w:t>
      </w:r>
      <w:r w:rsidR="00C45EB2" w:rsidRPr="003D294A">
        <w:t>The evaluation considered i</w:t>
      </w:r>
      <w:r w:rsidRPr="003D294A">
        <w:t>t is unclear whether 16 weeks is a reasonable timepoint for assessment of response. The UpToDate guidelines for C3G suggest that response should be assessed after 6 months of therapy.</w:t>
      </w:r>
      <w:r w:rsidR="0092298E" w:rsidRPr="003D294A">
        <w:rPr>
          <w:i/>
          <w:iCs/>
        </w:rPr>
        <w:t xml:space="preserve"> </w:t>
      </w:r>
      <w:r w:rsidR="0092298E" w:rsidRPr="003D294A">
        <w:t xml:space="preserve">The </w:t>
      </w:r>
      <w:r w:rsidR="00C45EB2" w:rsidRPr="003D294A">
        <w:t>S</w:t>
      </w:r>
      <w:r w:rsidR="0092298E" w:rsidRPr="003D294A">
        <w:t>ub</w:t>
      </w:r>
      <w:r w:rsidR="00C45EB2" w:rsidRPr="003D294A">
        <w:t>-C</w:t>
      </w:r>
      <w:r w:rsidR="0092298E" w:rsidRPr="003D294A">
        <w:t xml:space="preserve">ommittees </w:t>
      </w:r>
      <w:r w:rsidR="00F42A94" w:rsidRPr="003D294A">
        <w:t xml:space="preserve">noted that </w:t>
      </w:r>
      <w:r w:rsidR="0029303C" w:rsidRPr="003D294A">
        <w:t xml:space="preserve">in </w:t>
      </w:r>
      <w:r w:rsidR="00F42A94" w:rsidRPr="003D294A">
        <w:t xml:space="preserve">both </w:t>
      </w:r>
      <w:r w:rsidR="0068652D" w:rsidRPr="003D294A">
        <w:t xml:space="preserve">randomised controlled trials </w:t>
      </w:r>
      <w:r w:rsidR="00677F35" w:rsidRPr="003D294A">
        <w:t>for pegcetacoplan and iptacopan</w:t>
      </w:r>
      <w:r w:rsidR="0029303C" w:rsidRPr="003D294A">
        <w:t>, proteinuria plateaued at approximately 16 weeks</w:t>
      </w:r>
      <w:r w:rsidR="0094164F" w:rsidRPr="003D294A">
        <w:t>,</w:t>
      </w:r>
      <w:r w:rsidR="00935978" w:rsidRPr="003D294A">
        <w:t xml:space="preserve"> however outcomes were assessed at 6 months.</w:t>
      </w:r>
      <w:r w:rsidR="00677F35" w:rsidRPr="003D294A">
        <w:t xml:space="preserve"> </w:t>
      </w:r>
      <w:r w:rsidR="00CD2BCB" w:rsidRPr="003D294A">
        <w:t>The Sub-Committees considered that 16 weeks is likely to be an appropriate</w:t>
      </w:r>
      <w:r w:rsidR="0057475F" w:rsidRPr="003D294A">
        <w:t xml:space="preserve"> duration of treatment to demonstrate response in </w:t>
      </w:r>
      <w:r w:rsidR="00A16353" w:rsidRPr="003D294A">
        <w:t>UPCR.</w:t>
      </w:r>
    </w:p>
    <w:p w14:paraId="51438169" w14:textId="170C09E9" w:rsidR="00097633" w:rsidRPr="003D294A" w:rsidRDefault="00097633" w:rsidP="00CF7B47">
      <w:pPr>
        <w:pStyle w:val="COMESnumberedpara"/>
      </w:pPr>
      <w:r w:rsidRPr="003D294A">
        <w:t xml:space="preserve">The proposed restriction is narrower than the proposed TGA indication as it requires eligible patients to be of a minimum weight, have a minimum level of kidney function, and not be undergoing dialysis. </w:t>
      </w:r>
      <w:r w:rsidR="00B6701D" w:rsidRPr="003D294A">
        <w:t xml:space="preserve">The </w:t>
      </w:r>
      <w:r w:rsidR="00121407" w:rsidRPr="003D294A">
        <w:t>S</w:t>
      </w:r>
      <w:r w:rsidR="00B6701D" w:rsidRPr="003D294A">
        <w:t>ub</w:t>
      </w:r>
      <w:r w:rsidR="00121407" w:rsidRPr="003D294A">
        <w:t>-C</w:t>
      </w:r>
      <w:r w:rsidR="00B6701D" w:rsidRPr="003D294A">
        <w:t xml:space="preserve">ommittees </w:t>
      </w:r>
      <w:r w:rsidR="00A27484" w:rsidRPr="003D294A">
        <w:t xml:space="preserve">noted that </w:t>
      </w:r>
      <w:r w:rsidR="00DF5CB3" w:rsidRPr="003D294A">
        <w:t>these criteria were</w:t>
      </w:r>
      <w:r w:rsidR="00A27484" w:rsidRPr="003D294A">
        <w:t xml:space="preserve"> consistent with the trial and </w:t>
      </w:r>
      <w:r w:rsidR="00DF5CB3" w:rsidRPr="003D294A">
        <w:t xml:space="preserve">considered that </w:t>
      </w:r>
      <w:r w:rsidR="00A27484" w:rsidRPr="003D294A">
        <w:t>pegceta</w:t>
      </w:r>
      <w:r w:rsidR="000E6A94" w:rsidRPr="003D294A">
        <w:t>c</w:t>
      </w:r>
      <w:r w:rsidR="006A002F" w:rsidRPr="003D294A">
        <w:t xml:space="preserve">oplan </w:t>
      </w:r>
      <w:r w:rsidR="000E6A94" w:rsidRPr="003D294A">
        <w:t xml:space="preserve">would not be expected </w:t>
      </w:r>
      <w:r w:rsidR="006A002F" w:rsidRPr="003D294A">
        <w:t xml:space="preserve">to benefit those with advanced </w:t>
      </w:r>
      <w:r w:rsidR="009D6FA4" w:rsidRPr="003D294A">
        <w:t>chronic kidney disease</w:t>
      </w:r>
      <w:r w:rsidR="008D18B2" w:rsidRPr="003D294A">
        <w:t xml:space="preserve">, </w:t>
      </w:r>
      <w:r w:rsidR="0049522A" w:rsidRPr="003D294A">
        <w:t>which</w:t>
      </w:r>
      <w:r w:rsidR="008D18B2" w:rsidRPr="003D294A">
        <w:t xml:space="preserve"> </w:t>
      </w:r>
      <w:r w:rsidR="005D2D30" w:rsidRPr="003D294A">
        <w:t xml:space="preserve">was </w:t>
      </w:r>
      <w:r w:rsidR="0049522A" w:rsidRPr="003D294A">
        <w:t>appropriately</w:t>
      </w:r>
      <w:r w:rsidR="005D2D30" w:rsidRPr="003D294A">
        <w:t xml:space="preserve"> captured by the eGFR criteri</w:t>
      </w:r>
      <w:r w:rsidR="00DD27D5" w:rsidRPr="003D294A">
        <w:t>on</w:t>
      </w:r>
      <w:r w:rsidR="005D2D30" w:rsidRPr="003D294A">
        <w:t>.</w:t>
      </w:r>
      <w:r w:rsidR="003B45E8" w:rsidRPr="003D294A">
        <w:t xml:space="preserve"> The Sub-Committees considered that the </w:t>
      </w:r>
      <w:r w:rsidR="00E133C1" w:rsidRPr="003D294A">
        <w:t>criterion stating</w:t>
      </w:r>
      <w:r w:rsidR="003B45E8" w:rsidRPr="003D294A">
        <w:t xml:space="preserve"> that </w:t>
      </w:r>
      <w:r w:rsidR="006705D1" w:rsidRPr="003D294A">
        <w:t xml:space="preserve">patients are not undergoing dialysis may not be </w:t>
      </w:r>
      <w:r w:rsidR="00BC0AF7" w:rsidRPr="003D294A">
        <w:t>needed</w:t>
      </w:r>
      <w:r w:rsidR="006705D1" w:rsidRPr="003D294A">
        <w:t xml:space="preserve"> for the initial listing as </w:t>
      </w:r>
      <w:r w:rsidR="00E133C1" w:rsidRPr="003D294A">
        <w:t xml:space="preserve">the </w:t>
      </w:r>
      <w:r w:rsidR="00B16C38" w:rsidRPr="003D294A">
        <w:t>criterion “</w:t>
      </w:r>
      <w:r w:rsidR="00BC0AF7" w:rsidRPr="003D294A">
        <w:t>Patient must not have an eGFR less than 30 mL/min/1.73 m</w:t>
      </w:r>
      <w:r w:rsidR="00BC0AF7" w:rsidRPr="003D294A">
        <w:rPr>
          <w:vertAlign w:val="superscript"/>
        </w:rPr>
        <w:t>2</w:t>
      </w:r>
      <w:r w:rsidR="00B16C38" w:rsidRPr="003D294A">
        <w:rPr>
          <w:vertAlign w:val="superscript"/>
        </w:rPr>
        <w:t>”</w:t>
      </w:r>
      <w:r w:rsidR="00432119" w:rsidRPr="003D294A">
        <w:rPr>
          <w:vertAlign w:val="superscript"/>
        </w:rPr>
        <w:t xml:space="preserve"> </w:t>
      </w:r>
      <w:r w:rsidR="00E133C1" w:rsidRPr="003D294A">
        <w:t xml:space="preserve">would </w:t>
      </w:r>
      <w:r w:rsidR="00973B81" w:rsidRPr="003D294A">
        <w:t xml:space="preserve">exclude patients </w:t>
      </w:r>
      <w:r w:rsidR="00420080" w:rsidRPr="003D294A">
        <w:t>undergoing dialysis</w:t>
      </w:r>
      <w:r w:rsidR="00E133C1" w:rsidRPr="003D294A">
        <w:t>.</w:t>
      </w:r>
    </w:p>
    <w:p w14:paraId="5E40B470" w14:textId="72585AC7" w:rsidR="005B380B" w:rsidRPr="003D294A" w:rsidRDefault="005B380B" w:rsidP="00CF7B47">
      <w:pPr>
        <w:pStyle w:val="COMESnumberedpara"/>
      </w:pPr>
      <w:r w:rsidRPr="003D294A">
        <w:t xml:space="preserve">The submission claimed the proposed age criterion (≥12 years and older) is aligned with the proposed TGA indication and the key trial, and that broader eligibility was not pursued due to a lack of supporting evidence. </w:t>
      </w:r>
      <w:r w:rsidR="000264C6" w:rsidRPr="003D294A">
        <w:t>The evaluation considered</w:t>
      </w:r>
      <w:r w:rsidR="000264C6" w:rsidRPr="003D294A">
        <w:rPr>
          <w:i/>
          <w:iCs/>
        </w:rPr>
        <w:t xml:space="preserve"> </w:t>
      </w:r>
      <w:r w:rsidR="000264C6" w:rsidRPr="003D294A">
        <w:t>i</w:t>
      </w:r>
      <w:r w:rsidRPr="003D294A">
        <w:t xml:space="preserve">t </w:t>
      </w:r>
      <w:r w:rsidR="000264C6" w:rsidRPr="003D294A">
        <w:t>wa</w:t>
      </w:r>
      <w:r w:rsidRPr="003D294A">
        <w:t xml:space="preserve">s unclear whether the proposed minimum age is appropriate, or if the listing should be age agnostic. </w:t>
      </w:r>
      <w:r w:rsidR="00A038B7" w:rsidRPr="003D294A">
        <w:t xml:space="preserve">The </w:t>
      </w:r>
      <w:r w:rsidR="007C40A7" w:rsidRPr="003D294A">
        <w:t>S</w:t>
      </w:r>
      <w:r w:rsidR="006B63BA" w:rsidRPr="003D294A">
        <w:t>ub</w:t>
      </w:r>
      <w:r w:rsidR="007C40A7" w:rsidRPr="003D294A">
        <w:t>-C</w:t>
      </w:r>
      <w:r w:rsidR="006B63BA" w:rsidRPr="003D294A">
        <w:t>ommittees</w:t>
      </w:r>
      <w:r w:rsidR="00A038B7" w:rsidRPr="003D294A">
        <w:t xml:space="preserve"> </w:t>
      </w:r>
      <w:r w:rsidR="00941187" w:rsidRPr="003D294A">
        <w:t>highlighted that there w</w:t>
      </w:r>
      <w:r w:rsidR="00957AEE" w:rsidRPr="003D294A">
        <w:t>ere</w:t>
      </w:r>
      <w:r w:rsidR="00941187" w:rsidRPr="003D294A">
        <w:t xml:space="preserve"> no data in </w:t>
      </w:r>
      <w:r w:rsidR="00957AEE" w:rsidRPr="003D294A">
        <w:t>patients less than 12 years</w:t>
      </w:r>
      <w:r w:rsidR="00941187" w:rsidRPr="003D294A">
        <w:t>.</w:t>
      </w:r>
    </w:p>
    <w:p w14:paraId="4D311C2A" w14:textId="6AAF2BE7" w:rsidR="005B380B" w:rsidRPr="003D294A" w:rsidRDefault="005B380B" w:rsidP="00CF7B47">
      <w:pPr>
        <w:pStyle w:val="COMESnumberedpara"/>
      </w:pPr>
      <w:r w:rsidRPr="003D294A">
        <w:t xml:space="preserve">The proposed restriction does not differentiate between patients with native kidneys and those with disease recurrence following a kidney transplant. </w:t>
      </w:r>
      <w:r w:rsidR="00F65EB7" w:rsidRPr="003D294A">
        <w:t>The Sub-Committees considered it would</w:t>
      </w:r>
      <w:r w:rsidRPr="003D294A">
        <w:t xml:space="preserve"> be appropriate to have separate restrictions for those with native kidneys and post-transplant patients. </w:t>
      </w:r>
      <w:r w:rsidR="00D70D17" w:rsidRPr="003D294A">
        <w:t xml:space="preserve">The Sub-Committees considered </w:t>
      </w:r>
      <w:r w:rsidR="00E84C28" w:rsidRPr="003D294A">
        <w:t xml:space="preserve">that eligibility should </w:t>
      </w:r>
      <w:r w:rsidR="002811C2" w:rsidRPr="003D294A">
        <w:t>include biop</w:t>
      </w:r>
      <w:r w:rsidR="00FF70FD" w:rsidRPr="003D294A">
        <w:t>sy</w:t>
      </w:r>
      <w:r w:rsidR="007C2828" w:rsidRPr="003D294A">
        <w:t>-</w:t>
      </w:r>
      <w:r w:rsidR="00FF70FD" w:rsidRPr="003D294A">
        <w:t xml:space="preserve">proven disease recurrence in </w:t>
      </w:r>
      <w:r w:rsidR="00672155" w:rsidRPr="003D294A">
        <w:t>kidney transplant patients.</w:t>
      </w:r>
    </w:p>
    <w:p w14:paraId="55E64FC8" w14:textId="3EEFD51C" w:rsidR="00FC11E2" w:rsidRPr="003D294A" w:rsidRDefault="00FC11E2" w:rsidP="00CF7B47">
      <w:pPr>
        <w:pStyle w:val="COMESnumberedpara"/>
      </w:pPr>
      <w:r w:rsidRPr="003D294A">
        <w:t>The proposed restriction is broader than the key trial population that required evidence of active renal disease based</w:t>
      </w:r>
      <w:r w:rsidR="00367DB2" w:rsidRPr="003D294A">
        <w:t xml:space="preserve"> on </w:t>
      </w:r>
      <w:r w:rsidRPr="003D294A">
        <w:t>C3c staining intensity 2+ on kidney biopsy, or at least one marker of active disease in adolescents without a kidney biopsy (e.g. plasma sC5b-9 level above</w:t>
      </w:r>
      <w:r w:rsidR="00367DB2" w:rsidRPr="003D294A">
        <w:t xml:space="preserve"> the </w:t>
      </w:r>
      <w:r w:rsidRPr="003D294A">
        <w:t>upper limit of normal, serum C3 level below</w:t>
      </w:r>
      <w:r w:rsidR="00367DB2" w:rsidRPr="003D294A">
        <w:t xml:space="preserve"> the </w:t>
      </w:r>
      <w:r w:rsidRPr="003D294A">
        <w:t xml:space="preserve">lower limit of normal, haematuria or presence of C3 nephritic factor). </w:t>
      </w:r>
      <w:r w:rsidR="0003048E" w:rsidRPr="003D294A">
        <w:t xml:space="preserve">The </w:t>
      </w:r>
      <w:r w:rsidR="00E15BE0" w:rsidRPr="003D294A">
        <w:t>S</w:t>
      </w:r>
      <w:r w:rsidR="0003048E" w:rsidRPr="003D294A">
        <w:t>ub</w:t>
      </w:r>
      <w:r w:rsidR="00E15BE0" w:rsidRPr="003D294A">
        <w:t>-C</w:t>
      </w:r>
      <w:r w:rsidR="0003048E" w:rsidRPr="003D294A">
        <w:t xml:space="preserve">ommittees </w:t>
      </w:r>
      <w:r w:rsidR="004841C3" w:rsidRPr="003D294A">
        <w:t xml:space="preserve">considered that </w:t>
      </w:r>
      <w:r w:rsidR="007B4551" w:rsidRPr="003D294A">
        <w:t xml:space="preserve">renal biopsy </w:t>
      </w:r>
      <w:r w:rsidR="00BB5612" w:rsidRPr="003D294A">
        <w:t>was</w:t>
      </w:r>
      <w:r w:rsidR="007B4551" w:rsidRPr="003D294A">
        <w:t xml:space="preserve"> </w:t>
      </w:r>
      <w:r w:rsidR="007A0070" w:rsidRPr="003D294A">
        <w:t>sufficient</w:t>
      </w:r>
      <w:r w:rsidR="007B4551" w:rsidRPr="003D294A">
        <w:t xml:space="preserve"> for diagnosis</w:t>
      </w:r>
      <w:r w:rsidR="007A0070" w:rsidRPr="003D294A">
        <w:t xml:space="preserve">, </w:t>
      </w:r>
      <w:r w:rsidR="00BB5612" w:rsidRPr="003D294A">
        <w:t xml:space="preserve">as captured in the </w:t>
      </w:r>
      <w:r w:rsidR="00050836" w:rsidRPr="003D294A">
        <w:t>proposed</w:t>
      </w:r>
      <w:r w:rsidR="0092795B" w:rsidRPr="003D294A">
        <w:t xml:space="preserve"> the criteria for</w:t>
      </w:r>
      <w:r w:rsidR="00050836" w:rsidRPr="003D294A">
        <w:t xml:space="preserve"> </w:t>
      </w:r>
      <w:r w:rsidR="00BB5612" w:rsidRPr="003D294A">
        <w:t>init</w:t>
      </w:r>
      <w:r w:rsidR="00EE62ED" w:rsidRPr="003D294A">
        <w:t xml:space="preserve">ial and grandfather </w:t>
      </w:r>
      <w:r w:rsidR="0092795B" w:rsidRPr="003D294A">
        <w:t>phase</w:t>
      </w:r>
      <w:r w:rsidR="00435501" w:rsidRPr="003D294A">
        <w:t>.</w:t>
      </w:r>
      <w:r w:rsidR="008E23D8" w:rsidRPr="003D294A">
        <w:t xml:space="preserve"> </w:t>
      </w:r>
    </w:p>
    <w:p w14:paraId="0444E948" w14:textId="20909E68" w:rsidR="00665994" w:rsidRPr="003D294A" w:rsidRDefault="00F92A19" w:rsidP="00CF7B47">
      <w:pPr>
        <w:pStyle w:val="COMESnumberedpara"/>
        <w:rPr>
          <w:rFonts w:cs="Calibri"/>
        </w:rPr>
      </w:pPr>
      <w:bookmarkStart w:id="14" w:name="_Ref222234358"/>
      <w:r w:rsidRPr="003D294A">
        <w:t>The evaluation noted that i</w:t>
      </w:r>
      <w:r w:rsidR="00665994" w:rsidRPr="003D294A">
        <w:t xml:space="preserve">t is unclear whether decreased serum C3 levels (suggestive of an overactive complement pathway) should be considered as a clinical criterion in the restriction. Low serum C3 levels are not always present, and 27% of patients in the key trial of pegcetacoplan had normal levels. However, subgroup analyses based on the key trial suggest it is a potential treatment effect modifier, with numerically greater benefit in terms of proteinuria and eGFR in those with low C3 levels and less </w:t>
      </w:r>
      <w:r w:rsidR="00665994" w:rsidRPr="003D294A">
        <w:lastRenderedPageBreak/>
        <w:t xml:space="preserve">certain magnitude of benefit in those with normal C3 levels defined as </w:t>
      </w:r>
      <w:r w:rsidR="00665994" w:rsidRPr="003D294A">
        <w:rPr>
          <w:rFonts w:cs="Calibri"/>
        </w:rPr>
        <w:t>≥</w:t>
      </w:r>
      <w:r w:rsidR="00665994" w:rsidRPr="003D294A">
        <w:t xml:space="preserve">90 mg/dL. </w:t>
      </w:r>
      <w:r w:rsidR="003A2432">
        <w:t xml:space="preserve">Additionally, the iptacopan trial (APPEAR-C3G) required a C3 level of &lt;77mg/dL </w:t>
      </w:r>
      <w:r w:rsidR="005E11AF">
        <w:t xml:space="preserve">at entry. </w:t>
      </w:r>
      <w:r w:rsidR="00191E18" w:rsidRPr="003D294A">
        <w:t xml:space="preserve">The </w:t>
      </w:r>
      <w:r w:rsidR="00FD2932" w:rsidRPr="003D294A">
        <w:t>Pre-Sub-Committee Response (</w:t>
      </w:r>
      <w:r w:rsidR="00FC5FA1" w:rsidRPr="003D294A">
        <w:t>PSCR</w:t>
      </w:r>
      <w:r w:rsidR="00FD2932" w:rsidRPr="003D294A">
        <w:t>)</w:t>
      </w:r>
      <w:r w:rsidR="00FC5FA1" w:rsidRPr="003D294A">
        <w:t xml:space="preserve"> </w:t>
      </w:r>
      <w:r w:rsidR="008E27B0" w:rsidRPr="003D294A">
        <w:t xml:space="preserve">stated the </w:t>
      </w:r>
      <w:r w:rsidR="00191E18" w:rsidRPr="003D294A">
        <w:t xml:space="preserve">sponsor did not consider it appropriate to require decreased serum C3 </w:t>
      </w:r>
      <w:r w:rsidR="00D66719" w:rsidRPr="003D294A">
        <w:t>as a mandatory restriction criterion</w:t>
      </w:r>
      <w:r w:rsidR="00FB7345" w:rsidRPr="003D294A">
        <w:t xml:space="preserve"> as the VA</w:t>
      </w:r>
      <w:r w:rsidR="00104C25" w:rsidRPr="003D294A">
        <w:t xml:space="preserve">LIANT trial did not restrict enrolment to low-C3 patients </w:t>
      </w:r>
      <w:r w:rsidR="006C3C65" w:rsidRPr="003D294A">
        <w:t xml:space="preserve">and </w:t>
      </w:r>
      <w:r w:rsidR="004A4728" w:rsidRPr="003D294A">
        <w:t xml:space="preserve">that treatment benefit was </w:t>
      </w:r>
      <w:r w:rsidR="001B01F8" w:rsidRPr="003D294A">
        <w:t xml:space="preserve">demonstrated in the </w:t>
      </w:r>
      <w:r w:rsidR="000F30B0" w:rsidRPr="003D294A">
        <w:t>broader population</w:t>
      </w:r>
      <w:r w:rsidR="004A4728" w:rsidRPr="003D294A">
        <w:t>.</w:t>
      </w:r>
      <w:r w:rsidR="00D66719" w:rsidRPr="003D294A">
        <w:t xml:space="preserve"> </w:t>
      </w:r>
      <w:r w:rsidR="007A48FD" w:rsidRPr="003D294A">
        <w:t xml:space="preserve">The </w:t>
      </w:r>
      <w:r w:rsidR="000F30B0" w:rsidRPr="003D294A">
        <w:t>S</w:t>
      </w:r>
      <w:r w:rsidR="007A48FD" w:rsidRPr="003D294A">
        <w:t>ub</w:t>
      </w:r>
      <w:r w:rsidR="000F30B0" w:rsidRPr="003D294A">
        <w:t>-C</w:t>
      </w:r>
      <w:r w:rsidR="007A48FD" w:rsidRPr="003D294A">
        <w:t xml:space="preserve">ommittees </w:t>
      </w:r>
      <w:r w:rsidR="004E5C2B" w:rsidRPr="003D294A">
        <w:t xml:space="preserve">noted that the subgroup analysis was based on small patient numbers and </w:t>
      </w:r>
      <w:r w:rsidR="006D369E" w:rsidRPr="003D294A">
        <w:t xml:space="preserve">agreed </w:t>
      </w:r>
      <w:r w:rsidR="000F30B0" w:rsidRPr="003D294A">
        <w:t xml:space="preserve">with the sponsor </w:t>
      </w:r>
      <w:r w:rsidR="006D369E" w:rsidRPr="003D294A">
        <w:t xml:space="preserve">that C3 levels should not form part of the </w:t>
      </w:r>
      <w:r w:rsidR="000F30B0" w:rsidRPr="003D294A">
        <w:t>restriction</w:t>
      </w:r>
      <w:r w:rsidR="006D369E" w:rsidRPr="003D294A">
        <w:t xml:space="preserve"> </w:t>
      </w:r>
      <w:r w:rsidR="008C542F" w:rsidRPr="003D294A">
        <w:t xml:space="preserve">as it remains </w:t>
      </w:r>
      <w:r w:rsidR="00F621B5" w:rsidRPr="003D294A">
        <w:t xml:space="preserve">highly </w:t>
      </w:r>
      <w:r w:rsidR="008C542F" w:rsidRPr="003D294A">
        <w:t>uncertain whether</w:t>
      </w:r>
      <w:r w:rsidR="00723512" w:rsidRPr="003D294A">
        <w:t xml:space="preserve"> C3 levels a</w:t>
      </w:r>
      <w:r w:rsidR="008C542F" w:rsidRPr="003D294A">
        <w:t>re</w:t>
      </w:r>
      <w:r w:rsidR="00723512" w:rsidRPr="003D294A">
        <w:t xml:space="preserve"> a treatment</w:t>
      </w:r>
      <w:r w:rsidR="007C3848" w:rsidRPr="003D294A">
        <w:t xml:space="preserve"> effect</w:t>
      </w:r>
      <w:r w:rsidR="00723512" w:rsidRPr="003D294A">
        <w:t xml:space="preserve"> modifier.</w:t>
      </w:r>
      <w:bookmarkEnd w:id="14"/>
    </w:p>
    <w:p w14:paraId="6856B7CE" w14:textId="077618E4" w:rsidR="00665994" w:rsidRPr="003D294A" w:rsidRDefault="00665994" w:rsidP="00CF7B47">
      <w:pPr>
        <w:pStyle w:val="COMESnumberedpara"/>
      </w:pPr>
      <w:r w:rsidRPr="003D294A">
        <w:t xml:space="preserve">The key trial excluded patients with evidence of severe, irreversible kidney scarring (defined as &gt;50% global glomerulosclerosis or interstitial fibrosis on kidney biopsy). </w:t>
      </w:r>
      <w:r w:rsidR="00321184" w:rsidRPr="003D294A">
        <w:t xml:space="preserve">The </w:t>
      </w:r>
      <w:r w:rsidR="003B2E50" w:rsidRPr="003D294A">
        <w:t>S</w:t>
      </w:r>
      <w:r w:rsidR="00A074DD" w:rsidRPr="003D294A">
        <w:t>ub</w:t>
      </w:r>
      <w:r w:rsidR="003B2E50" w:rsidRPr="003D294A">
        <w:t>-C</w:t>
      </w:r>
      <w:r w:rsidR="00A074DD" w:rsidRPr="003D294A">
        <w:t>ommittees</w:t>
      </w:r>
      <w:r w:rsidR="00321184" w:rsidRPr="003D294A">
        <w:t xml:space="preserve"> considered the eGFR criteria</w:t>
      </w:r>
      <w:r w:rsidR="003B2E50" w:rsidRPr="003D294A">
        <w:t xml:space="preserve"> would exclude patients with </w:t>
      </w:r>
      <w:r w:rsidR="003F4E2C" w:rsidRPr="003D294A">
        <w:t>advanced scarring</w:t>
      </w:r>
      <w:r w:rsidR="005C0F6C" w:rsidRPr="003D294A">
        <w:t xml:space="preserve"> and </w:t>
      </w:r>
      <w:r w:rsidR="000075CE" w:rsidRPr="003D294A">
        <w:t>therefore an additional criterion was not needed</w:t>
      </w:r>
      <w:r w:rsidR="00321184" w:rsidRPr="003D294A">
        <w:t>.</w:t>
      </w:r>
    </w:p>
    <w:p w14:paraId="6935AAA2" w14:textId="7638809D" w:rsidR="00665994" w:rsidRPr="003D294A" w:rsidRDefault="00665994" w:rsidP="00CF7B47">
      <w:pPr>
        <w:pStyle w:val="COMESnumberedpara"/>
        <w:rPr>
          <w:color w:val="0070C0"/>
        </w:rPr>
      </w:pPr>
      <w:bookmarkStart w:id="15" w:name="_Ref222731328"/>
      <w:r w:rsidRPr="003D294A">
        <w:t xml:space="preserve">The lack of a clinical criterion requiring a minimum level of proteinuria </w:t>
      </w:r>
      <w:r w:rsidR="00367DB2" w:rsidRPr="003D294A">
        <w:t xml:space="preserve">is </w:t>
      </w:r>
      <w:r w:rsidRPr="003D294A">
        <w:t xml:space="preserve">inconsistent with the key trial which required elevated proteinuria levels based on 24-hour proteinuria ≥1.0 g/day or first morning sample UPCR ≥1.0 g/g. </w:t>
      </w:r>
      <w:r w:rsidR="00CC1F78" w:rsidRPr="003D294A">
        <w:t xml:space="preserve">The PSCR </w:t>
      </w:r>
      <w:r w:rsidR="00C31572" w:rsidRPr="003D294A">
        <w:t xml:space="preserve">disagreed </w:t>
      </w:r>
      <w:r w:rsidR="00E00C75" w:rsidRPr="003D294A">
        <w:t>with introducing a minimum level of proteinuria given the heterogeneity and progressive nature of C3G/p</w:t>
      </w:r>
      <w:r w:rsidR="00364734" w:rsidRPr="003D294A">
        <w:t xml:space="preserve">rimary </w:t>
      </w:r>
      <w:r w:rsidR="00E00C75" w:rsidRPr="003D294A">
        <w:t>IC-MPGN and evidence from VALIANT demonstrating consistent benefit across all baseline proteinuria levels</w:t>
      </w:r>
      <w:r w:rsidR="00042D1D" w:rsidRPr="003D294A">
        <w:t xml:space="preserve">. </w:t>
      </w:r>
      <w:r w:rsidR="00E45B9F" w:rsidRPr="003D294A">
        <w:t xml:space="preserve">The </w:t>
      </w:r>
      <w:r w:rsidR="007516B9" w:rsidRPr="003D294A">
        <w:t>S</w:t>
      </w:r>
      <w:r w:rsidR="00E45B9F" w:rsidRPr="003D294A">
        <w:t>ub</w:t>
      </w:r>
      <w:r w:rsidR="007516B9" w:rsidRPr="003D294A">
        <w:t>-C</w:t>
      </w:r>
      <w:r w:rsidR="00E45B9F" w:rsidRPr="003D294A">
        <w:t xml:space="preserve">ommittees </w:t>
      </w:r>
      <w:r w:rsidR="00760449" w:rsidRPr="003D294A">
        <w:t>considered</w:t>
      </w:r>
      <w:r w:rsidR="00E45B9F" w:rsidRPr="003D294A">
        <w:t xml:space="preserve"> that </w:t>
      </w:r>
      <w:r w:rsidR="00760449" w:rsidRPr="003D294A">
        <w:t xml:space="preserve">a criterion requiring </w:t>
      </w:r>
      <w:r w:rsidR="00B87351" w:rsidRPr="003D294A">
        <w:t>proteinuria ≥1.0 g/day should be</w:t>
      </w:r>
      <w:r w:rsidR="002176D5" w:rsidRPr="003D294A">
        <w:t xml:space="preserve"> present in </w:t>
      </w:r>
      <w:r w:rsidR="00760449" w:rsidRPr="003D294A">
        <w:t xml:space="preserve">the </w:t>
      </w:r>
      <w:r w:rsidR="001235EA" w:rsidRPr="003D294A">
        <w:t>initial treatment restriction</w:t>
      </w:r>
      <w:r w:rsidR="00760449" w:rsidRPr="003D294A">
        <w:t>, consistent with the trial</w:t>
      </w:r>
      <w:r w:rsidR="00042D1D" w:rsidRPr="003D294A">
        <w:t xml:space="preserve"> population</w:t>
      </w:r>
      <w:r w:rsidR="001235EA" w:rsidRPr="003D294A">
        <w:t>.</w:t>
      </w:r>
      <w:bookmarkEnd w:id="15"/>
      <w:r w:rsidR="00B87351" w:rsidRPr="003D294A">
        <w:t xml:space="preserve"> </w:t>
      </w:r>
      <w:r w:rsidR="00D47B71" w:rsidRPr="003D294A">
        <w:t>The pre-PBAC response</w:t>
      </w:r>
      <w:r w:rsidR="00A15356" w:rsidRPr="003D294A">
        <w:t xml:space="preserve"> agreed that it would be reasonable to include </w:t>
      </w:r>
      <w:r w:rsidR="00363CF7" w:rsidRPr="003D294A">
        <w:t>a minimum proteinuria threshold, consistent with the VALIANT trial</w:t>
      </w:r>
      <w:r w:rsidR="00675D12" w:rsidRPr="003D294A">
        <w:t xml:space="preserve"> population.</w:t>
      </w:r>
    </w:p>
    <w:p w14:paraId="0EE75F87" w14:textId="5CB9A34B" w:rsidR="001E4842" w:rsidRPr="003D294A" w:rsidRDefault="001E4842" w:rsidP="00CF7B47">
      <w:pPr>
        <w:pStyle w:val="COMESnumberedpara"/>
      </w:pPr>
      <w:r w:rsidRPr="003D294A">
        <w:t xml:space="preserve">The lack of a treatment criterion requiring concomitant use of supportive measures </w:t>
      </w:r>
      <w:r w:rsidR="00367DB2" w:rsidRPr="003D294A">
        <w:t xml:space="preserve">is </w:t>
      </w:r>
      <w:r w:rsidRPr="003D294A">
        <w:t xml:space="preserve">inconsistent with recommendations in published guidelines and the key trial that required stable and optimised use of ACEI/ARB and/or SGLT2 inhibitors. </w:t>
      </w:r>
      <w:r w:rsidR="009C0FB9" w:rsidRPr="003D294A">
        <w:t xml:space="preserve">The </w:t>
      </w:r>
      <w:r w:rsidR="004C60F7" w:rsidRPr="003D294A">
        <w:t>S</w:t>
      </w:r>
      <w:r w:rsidR="009C0FB9" w:rsidRPr="003D294A">
        <w:t>ub</w:t>
      </w:r>
      <w:r w:rsidR="004C60F7" w:rsidRPr="003D294A">
        <w:t>-C</w:t>
      </w:r>
      <w:r w:rsidR="009C0FB9" w:rsidRPr="003D294A">
        <w:t xml:space="preserve">ommittees agreed </w:t>
      </w:r>
      <w:r w:rsidR="005A7F6E" w:rsidRPr="003D294A">
        <w:t xml:space="preserve">with the evaluation </w:t>
      </w:r>
      <w:r w:rsidR="009C0FB9" w:rsidRPr="003D294A">
        <w:t>that</w:t>
      </w:r>
      <w:r w:rsidR="00962522" w:rsidRPr="003D294A">
        <w:t xml:space="preserve"> a treatment criterion should </w:t>
      </w:r>
      <w:r w:rsidR="00DF2E8C" w:rsidRPr="003D294A">
        <w:t xml:space="preserve">be </w:t>
      </w:r>
      <w:r w:rsidR="00BE605F" w:rsidRPr="003D294A">
        <w:t>include</w:t>
      </w:r>
      <w:r w:rsidR="003F5AF4" w:rsidRPr="003D294A">
        <w:t>d</w:t>
      </w:r>
      <w:r w:rsidR="0041367D" w:rsidRPr="003D294A">
        <w:t xml:space="preserve"> </w:t>
      </w:r>
      <w:r w:rsidR="0028082C" w:rsidRPr="003D294A">
        <w:t>requir</w:t>
      </w:r>
      <w:r w:rsidR="00DF2E8C" w:rsidRPr="003D294A">
        <w:t>ing</w:t>
      </w:r>
      <w:r w:rsidR="0028082C" w:rsidRPr="003D294A">
        <w:t xml:space="preserve"> continued use of</w:t>
      </w:r>
      <w:r w:rsidR="00962522" w:rsidRPr="003D294A">
        <w:t xml:space="preserve"> supportive measures</w:t>
      </w:r>
      <w:r w:rsidR="0028082C" w:rsidRPr="003D294A">
        <w:t xml:space="preserve"> </w:t>
      </w:r>
      <w:r w:rsidR="005C339B" w:rsidRPr="003D294A">
        <w:t xml:space="preserve">as appropriate </w:t>
      </w:r>
      <w:r w:rsidR="0028082C" w:rsidRPr="003D294A">
        <w:t>(</w:t>
      </w:r>
      <w:r w:rsidR="00594B09" w:rsidRPr="003D294A">
        <w:t>optimised use of ACEI/ARB +/- SGLT</w:t>
      </w:r>
      <w:r w:rsidR="00555F08" w:rsidRPr="003D294A">
        <w:t>2).</w:t>
      </w:r>
      <w:r w:rsidR="002363A2" w:rsidRPr="003D294A">
        <w:t xml:space="preserve"> Although patients in the trial were allowed to be on stable doses of other immunosuppressants (e.g. mycophenolate mofetil, tacrolimus, low dose corticosteroids) the Sub-Committees considered that </w:t>
      </w:r>
      <w:r w:rsidR="00505837" w:rsidRPr="003D294A">
        <w:t>pegcetacoplan is likely to replace immunosuppressants</w:t>
      </w:r>
      <w:r w:rsidR="00E36176" w:rsidRPr="003D294A">
        <w:t xml:space="preserve"> (see also paragraph </w:t>
      </w:r>
      <w:r w:rsidR="00E36176" w:rsidRPr="003D294A">
        <w:fldChar w:fldCharType="begin"/>
      </w:r>
      <w:r w:rsidR="00E36176" w:rsidRPr="003D294A">
        <w:instrText xml:space="preserve"> REF _Ref222231789 \r \h </w:instrText>
      </w:r>
      <w:r w:rsidR="0092185D" w:rsidRPr="003D294A">
        <w:instrText xml:space="preserve"> \* MERGEFORMAT </w:instrText>
      </w:r>
      <w:r w:rsidR="00E36176" w:rsidRPr="003D294A">
        <w:fldChar w:fldCharType="separate"/>
      </w:r>
      <w:r w:rsidR="00632853">
        <w:t>4.9</w:t>
      </w:r>
      <w:r w:rsidR="00E36176" w:rsidRPr="003D294A">
        <w:fldChar w:fldCharType="end"/>
      </w:r>
      <w:r w:rsidR="00E36176" w:rsidRPr="003D294A">
        <w:t xml:space="preserve">). </w:t>
      </w:r>
      <w:r w:rsidR="007A4C8E" w:rsidRPr="003D294A">
        <w:t xml:space="preserve">The pre-PBAC response </w:t>
      </w:r>
      <w:r w:rsidR="008E1FF3" w:rsidRPr="003D294A">
        <w:t xml:space="preserve"> </w:t>
      </w:r>
      <w:r w:rsidR="007710F1" w:rsidRPr="003D294A">
        <w:t>agreed that inclusion of this criterio</w:t>
      </w:r>
      <w:r w:rsidR="001A0FB5" w:rsidRPr="003D294A">
        <w:t>n was reasonable.</w:t>
      </w:r>
    </w:p>
    <w:p w14:paraId="71B722DF" w14:textId="5DD8D9E9" w:rsidR="001E4842" w:rsidRPr="003D294A" w:rsidRDefault="001E4842" w:rsidP="00CF7B47">
      <w:pPr>
        <w:pStyle w:val="COMESnumberedpara"/>
      </w:pPr>
      <w:r w:rsidRPr="003D294A">
        <w:t xml:space="preserve">The submission proposed a first continuing restriction which requires patients to have experienced a clinical improvement </w:t>
      </w:r>
      <w:proofErr w:type="gramStart"/>
      <w:r w:rsidRPr="003D294A">
        <w:t>as a result of</w:t>
      </w:r>
      <w:proofErr w:type="gramEnd"/>
      <w:r w:rsidRPr="003D294A">
        <w:t xml:space="preserve"> treatment with pegcetacoplan. The submission claimed that the use of broad terminology was intentional given potential variation in individual response measured by proteinuria or eGFR. There is currently no consensus in published guidelines on objective measures of response in this disease. </w:t>
      </w:r>
      <w:r w:rsidR="002C6024" w:rsidRPr="003D294A">
        <w:t xml:space="preserve">The </w:t>
      </w:r>
      <w:r w:rsidR="002B24C3" w:rsidRPr="003D294A">
        <w:t xml:space="preserve">Sub-Committee and the </w:t>
      </w:r>
      <w:r w:rsidR="002C6024" w:rsidRPr="003D294A">
        <w:t>evaluation considered</w:t>
      </w:r>
      <w:r w:rsidRPr="003D294A">
        <w:t xml:space="preserve"> </w:t>
      </w:r>
      <w:r w:rsidR="002C6024" w:rsidRPr="003D294A">
        <w:t xml:space="preserve">it </w:t>
      </w:r>
      <w:r w:rsidR="002B24C3" w:rsidRPr="003D294A">
        <w:t xml:space="preserve">would </w:t>
      </w:r>
      <w:r w:rsidRPr="003D294A">
        <w:t xml:space="preserve">be more appropriate to state that patients must have clinical improvement or stabilisation of the condition given the progressive nature of the disease. </w:t>
      </w:r>
      <w:r w:rsidR="00044309" w:rsidRPr="003D294A">
        <w:t>Th</w:t>
      </w:r>
      <w:r w:rsidR="00465E54" w:rsidRPr="003D294A">
        <w:t xml:space="preserve">e </w:t>
      </w:r>
      <w:r w:rsidR="002B24C3" w:rsidRPr="003D294A">
        <w:t>PSCR</w:t>
      </w:r>
      <w:r w:rsidR="00294405" w:rsidRPr="003D294A">
        <w:t xml:space="preserve"> </w:t>
      </w:r>
      <w:r w:rsidR="00273937" w:rsidRPr="003D294A">
        <w:t>agreed</w:t>
      </w:r>
      <w:r w:rsidR="00294405" w:rsidRPr="003D294A">
        <w:t xml:space="preserve"> that the restriction should specify that patients must demonstrate clinical improvement or </w:t>
      </w:r>
      <w:r w:rsidR="00294405" w:rsidRPr="003D294A">
        <w:lastRenderedPageBreak/>
        <w:t>stabilisation of disease for first continuing treatment, given the progressive nature of C3G and p</w:t>
      </w:r>
      <w:r w:rsidR="00364734" w:rsidRPr="003D294A">
        <w:t xml:space="preserve">rimary </w:t>
      </w:r>
      <w:r w:rsidR="00294405" w:rsidRPr="003D294A">
        <w:t>IC-MPGN</w:t>
      </w:r>
      <w:r w:rsidR="002B24C3" w:rsidRPr="003D294A">
        <w:t xml:space="preserve">. </w:t>
      </w:r>
      <w:r w:rsidR="00127F61" w:rsidRPr="003D294A">
        <w:t xml:space="preserve">The Sub-Committees noted that this may negate the need for separate first and subsequent continuing restrictions. </w:t>
      </w:r>
      <w:r w:rsidR="00162BAA" w:rsidRPr="003D294A">
        <w:t xml:space="preserve">The Sub-Committees </w:t>
      </w:r>
      <w:r w:rsidR="001E2D27" w:rsidRPr="003D294A">
        <w:t>also</w:t>
      </w:r>
      <w:r w:rsidR="00162BAA" w:rsidRPr="003D294A">
        <w:t xml:space="preserve"> </w:t>
      </w:r>
      <w:r w:rsidR="001E2D27" w:rsidRPr="003D294A">
        <w:t>considered it was appropriate</w:t>
      </w:r>
      <w:r w:rsidR="00162BAA" w:rsidRPr="003D294A">
        <w:t xml:space="preserve"> for pegcetacoplan to be discontinued once </w:t>
      </w:r>
      <w:r w:rsidR="00A31E43" w:rsidRPr="003D294A">
        <w:t xml:space="preserve">patients </w:t>
      </w:r>
      <w:r w:rsidR="00162BAA" w:rsidRPr="003D294A">
        <w:t>commence dialysis or undergo</w:t>
      </w:r>
      <w:r w:rsidR="00330B51" w:rsidRPr="003D294A">
        <w:t xml:space="preserve"> kidney</w:t>
      </w:r>
      <w:r w:rsidR="00162BAA" w:rsidRPr="003D294A">
        <w:t xml:space="preserve"> transplant.</w:t>
      </w:r>
      <w:r w:rsidR="00581EA3" w:rsidRPr="003D294A">
        <w:t xml:space="preserve"> </w:t>
      </w:r>
      <w:r w:rsidR="00490271" w:rsidRPr="003D294A">
        <w:t>The p</w:t>
      </w:r>
      <w:r w:rsidR="008E1FF3" w:rsidRPr="003D294A">
        <w:t>re</w:t>
      </w:r>
      <w:r w:rsidR="00490271" w:rsidRPr="003D294A">
        <w:t xml:space="preserve">-PBAC </w:t>
      </w:r>
      <w:r w:rsidR="008E1FF3" w:rsidRPr="003D294A">
        <w:t xml:space="preserve">response </w:t>
      </w:r>
      <w:r w:rsidR="00490271" w:rsidRPr="003D294A">
        <w:t xml:space="preserve">noted that the sponsor was not supportive of </w:t>
      </w:r>
      <w:r w:rsidR="005413B7" w:rsidRPr="003D294A">
        <w:t>prescriptive start/stop rules</w:t>
      </w:r>
      <w:r w:rsidR="008E1FF3" w:rsidRPr="003D294A">
        <w:t xml:space="preserve"> beyond assessment of clinical response.</w:t>
      </w:r>
    </w:p>
    <w:p w14:paraId="20AA2E06" w14:textId="4D024E40" w:rsidR="001E4842" w:rsidRPr="003D294A" w:rsidRDefault="001E4842" w:rsidP="00CF7B47">
      <w:pPr>
        <w:pStyle w:val="COMESnumberedpara"/>
      </w:pPr>
      <w:r w:rsidRPr="003D294A">
        <w:t>The submission stated that patients treated with pegcetacoplan must be monitored for proteinuria (first morning void urine protein-creatinine ratio, FMV UPCR) and renal function (estimated glomerular filtration rate, eGFR); consistent with the required provision of UPCR and eGFR results in the proposed restrictions for initial and first continuing treatment</w:t>
      </w:r>
      <w:r w:rsidR="00160DBE" w:rsidRPr="003D294A">
        <w:t xml:space="preserve">, however </w:t>
      </w:r>
      <w:r w:rsidRPr="003D294A">
        <w:t xml:space="preserve">no objective measures are mentioned in the restriction. </w:t>
      </w:r>
      <w:r w:rsidR="00D15A6B" w:rsidRPr="003D294A">
        <w:t xml:space="preserve">The </w:t>
      </w:r>
      <w:r w:rsidR="001B3C5C" w:rsidRPr="003D294A">
        <w:t>S</w:t>
      </w:r>
      <w:r w:rsidR="00D15A6B" w:rsidRPr="003D294A">
        <w:t>ub</w:t>
      </w:r>
      <w:r w:rsidR="001B3C5C" w:rsidRPr="003D294A">
        <w:t>-C</w:t>
      </w:r>
      <w:r w:rsidR="00D15A6B" w:rsidRPr="003D294A">
        <w:t xml:space="preserve">ommittees </w:t>
      </w:r>
      <w:r w:rsidR="00DA31CA" w:rsidRPr="003D294A">
        <w:t>noted</w:t>
      </w:r>
      <w:r w:rsidR="00D15A6B" w:rsidRPr="003D294A">
        <w:t xml:space="preserve"> that </w:t>
      </w:r>
      <w:r w:rsidR="006F0DCD" w:rsidRPr="003D294A">
        <w:t>these are standard routine measures to assess kidney disease and determine treatment response</w:t>
      </w:r>
      <w:r w:rsidR="00BC6587" w:rsidRPr="003D294A">
        <w:t>;</w:t>
      </w:r>
      <w:r w:rsidR="00DA31CA" w:rsidRPr="003D294A">
        <w:t xml:space="preserve"> however it is unclear whether the</w:t>
      </w:r>
      <w:r w:rsidR="00B3065F" w:rsidRPr="003D294A">
        <w:t xml:space="preserve"> results need to be captured in th</w:t>
      </w:r>
      <w:r w:rsidR="003F7A50" w:rsidRPr="003D294A">
        <w:t>e Authority application</w:t>
      </w:r>
      <w:r w:rsidR="00BC6587" w:rsidRPr="003D294A">
        <w:t xml:space="preserve"> to exclude potential use </w:t>
      </w:r>
      <w:r w:rsidR="002157D5" w:rsidRPr="003D294A">
        <w:t>in patients</w:t>
      </w:r>
      <w:r w:rsidR="00BC6587" w:rsidRPr="003D294A">
        <w:t xml:space="preserve"> with stage 4/5</w:t>
      </w:r>
      <w:r w:rsidR="002157D5" w:rsidRPr="003D294A">
        <w:t xml:space="preserve"> CKD</w:t>
      </w:r>
      <w:r w:rsidR="00681E56" w:rsidRPr="003D294A">
        <w:t xml:space="preserve"> not yet on dialysis</w:t>
      </w:r>
      <w:r w:rsidR="006F0DCD" w:rsidRPr="003D294A">
        <w:t>.</w:t>
      </w:r>
    </w:p>
    <w:p w14:paraId="059997BC" w14:textId="164BFE13" w:rsidR="00F67A69" w:rsidRPr="003D294A" w:rsidRDefault="001E4842" w:rsidP="00CF7B47">
      <w:pPr>
        <w:pStyle w:val="COMESnumberedpara"/>
      </w:pPr>
      <w:r w:rsidRPr="003D294A">
        <w:t xml:space="preserve">The submission requested grandfathering provisions for patients treated with </w:t>
      </w:r>
      <w:r w:rsidRPr="00D31003">
        <w:t xml:space="preserve">pegcetacoplan for C3G or primary IC-MPGN prior to PBS listing. The submission stated that up to </w:t>
      </w:r>
      <w:r w:rsidR="00D31003">
        <w:t>&lt; 500</w:t>
      </w:r>
      <w:r w:rsidRPr="00D31003">
        <w:t xml:space="preserve"> patients would be receiving pegcetacoplan for treatment of these conditions through clinical trials</w:t>
      </w:r>
      <w:r w:rsidRPr="003D294A">
        <w:t xml:space="preserve"> or compassionate access by the time of PBS listing. </w:t>
      </w:r>
    </w:p>
    <w:p w14:paraId="1C6EF7DE" w14:textId="77777777" w:rsidR="00B60C2C" w:rsidRPr="003D294A" w:rsidRDefault="00B60C2C" w:rsidP="00CF7B47">
      <w:pPr>
        <w:ind w:firstLine="709"/>
        <w:rPr>
          <w:rFonts w:asciiTheme="minorHAnsi" w:hAnsiTheme="minorHAnsi"/>
          <w:i/>
        </w:rPr>
      </w:pPr>
      <w:r w:rsidRPr="003D294A">
        <w:rPr>
          <w:rFonts w:asciiTheme="minorHAnsi" w:hAnsiTheme="minorHAnsi"/>
          <w:i/>
        </w:rPr>
        <w:t>For more detail on PBAC’s view, see section 7 PBAC outcome.</w:t>
      </w:r>
    </w:p>
    <w:p w14:paraId="27B37E98" w14:textId="77777777" w:rsidR="00B60C2C" w:rsidRPr="003D294A" w:rsidRDefault="00B60C2C" w:rsidP="00CF7B47">
      <w:pPr>
        <w:pStyle w:val="COMESnumberedpara"/>
        <w:numPr>
          <w:ilvl w:val="0"/>
          <w:numId w:val="0"/>
        </w:numPr>
        <w:ind w:left="720"/>
      </w:pPr>
    </w:p>
    <w:p w14:paraId="7075B85C" w14:textId="62A47B7B" w:rsidR="00B50DB8" w:rsidRPr="003D294A" w:rsidDel="00195452" w:rsidRDefault="00203181" w:rsidP="00CF7B47">
      <w:pPr>
        <w:pStyle w:val="COMESH2"/>
      </w:pPr>
      <w:bookmarkStart w:id="16" w:name="_Toc219888384"/>
      <w:r w:rsidRPr="003D294A" w:rsidDel="00195452">
        <w:t xml:space="preserve">Population and </w:t>
      </w:r>
      <w:r w:rsidR="008E0D3C" w:rsidRPr="003D294A" w:rsidDel="00195452">
        <w:t>d</w:t>
      </w:r>
      <w:r w:rsidRPr="003D294A" w:rsidDel="00195452">
        <w:t>isease</w:t>
      </w:r>
      <w:bookmarkEnd w:id="16"/>
    </w:p>
    <w:p w14:paraId="7E7A0F32" w14:textId="07D53D34" w:rsidR="00AD6CEA" w:rsidRPr="003D294A" w:rsidRDefault="00AD6CEA" w:rsidP="00CF7B47">
      <w:pPr>
        <w:pStyle w:val="COMESnumberedpara"/>
      </w:pPr>
      <w:r w:rsidRPr="003D294A">
        <w:t>C3G and primary IC-MPGN are rare kidney diseases that share a similar underlying disease pathology and clinical course. The only pathologic distinction between C3G and primary IC-MPGN is through a kidney biopsy, where primary IC-MPGN is accompanied by deposition of immunoglobulin in addition to glomerular C3 deposition. Both C3G and primary IC-MPGN are characterised by</w:t>
      </w:r>
      <w:r w:rsidR="00A46FC2" w:rsidRPr="003D294A">
        <w:t xml:space="preserve"> glomerulonephritis (</w:t>
      </w:r>
      <w:r w:rsidRPr="003D294A">
        <w:t>inflammation of the glomeruli</w:t>
      </w:r>
      <w:r w:rsidR="00A46FC2" w:rsidRPr="003D294A">
        <w:t xml:space="preserve"> - </w:t>
      </w:r>
      <w:r w:rsidR="007A3C91">
        <w:t>the</w:t>
      </w:r>
      <w:r w:rsidR="007A3C91" w:rsidRPr="003D294A">
        <w:t xml:space="preserve"> </w:t>
      </w:r>
      <w:r w:rsidRPr="003D294A">
        <w:t>filtering units of the kidneys), which can cause impairment of essential kidney functions and lead to kidney damage.</w:t>
      </w:r>
    </w:p>
    <w:p w14:paraId="176E9D61" w14:textId="4CC7E5B9" w:rsidR="00AD6CEA" w:rsidRPr="003D294A" w:rsidRDefault="00AD6CEA" w:rsidP="00CF7B47">
      <w:pPr>
        <w:pStyle w:val="COMESnumberedpara"/>
      </w:pPr>
      <w:r w:rsidRPr="003D294A">
        <w:t xml:space="preserve">Diagnosis of these conditions requires a comprehensive approach utilising kidney biopsy, complement workup, genetic testing and evaluation of non-complement aetiologies. Both C3G and primary (or idiopathic) IC-MPGN are diagnoses of exclusion, when no underlying cause (infections, medications, systemic autoimmune diseases or cancer) can be identified. The establishment of a definitive diagnosis for these conditions can be challenging due to overlapping clinical and histopathological features and there are reports suggesting that patients can alternate between C3G and primary IC-MPGN over the course of their disease. </w:t>
      </w:r>
    </w:p>
    <w:p w14:paraId="33A2D90A" w14:textId="0182405A" w:rsidR="00AD6CEA" w:rsidRPr="003D294A" w:rsidRDefault="00AD6CEA" w:rsidP="00CF7B47">
      <w:pPr>
        <w:pStyle w:val="COMESnumberedpara"/>
      </w:pPr>
      <w:r w:rsidRPr="003D294A">
        <w:t xml:space="preserve">Clinical presentation varies between patients but typically includes proteinuria (protein in the urine), haematuria (blood in the urine) and other features associated </w:t>
      </w:r>
      <w:r w:rsidRPr="003D294A">
        <w:lastRenderedPageBreak/>
        <w:t>with kidney disease such as hypertension (high blood pressure), fatigue, oedema (</w:t>
      </w:r>
      <w:r w:rsidR="007A3C91">
        <w:t>fluid retention</w:t>
      </w:r>
      <w:r w:rsidRPr="003D294A">
        <w:t>) and reduced urine output. Patients can have variable degrees of kidney impairment at presentation and variable rates of kidney function decline. Some patients have persistently low-grade proteinuria but maintain kidney function for a long time while others can present with rapidly progressive glomerulonephritis and have a poor prognosis. Patients with kidney failure usually require dialysis or kidney transplantation to stay alive. However, after transplantation, disease recurrence or graft loss is common due to the underlying condition.</w:t>
      </w:r>
      <w:r w:rsidR="00CF7B47">
        <w:t xml:space="preserve"> </w:t>
      </w:r>
      <w:r w:rsidRPr="003D294A">
        <w:t xml:space="preserve"> </w:t>
      </w:r>
    </w:p>
    <w:p w14:paraId="3A6C22D9" w14:textId="6D696E9B" w:rsidR="00AD6CEA" w:rsidRPr="003D294A" w:rsidRDefault="00AD6CEA" w:rsidP="00CF7B47">
      <w:pPr>
        <w:pStyle w:val="COMESnumberedpara"/>
      </w:pPr>
      <w:r w:rsidRPr="003D294A">
        <w:t>There may be differences in terms of age at initial presentation, with some studies suggesting that patients with C3G typically experience disease onset at a younger age (20-30 years) while those with primary IC-MPGN are usually older at initial presentation (30-50 years) (Caravaca-</w:t>
      </w:r>
      <w:proofErr w:type="spellStart"/>
      <w:r w:rsidRPr="003D294A">
        <w:t>Fontán</w:t>
      </w:r>
      <w:proofErr w:type="spellEnd"/>
      <w:r w:rsidRPr="003D294A">
        <w:t xml:space="preserve"> 2025; Schaefer 2024 abstract). Adult-onset and paediatric-onset patients seem to differ clinically, with paediatric-onset disease typically presenting with more flare-prone, relapsing-remitting activity, while adult-onset disease more commonly shows gradual progression.</w:t>
      </w:r>
      <w:r w:rsidR="00CF7B47">
        <w:t xml:space="preserve"> </w:t>
      </w:r>
    </w:p>
    <w:p w14:paraId="4837946C" w14:textId="6711EBA4" w:rsidR="00AD6CEA" w:rsidRPr="003D294A" w:rsidRDefault="00AD6CEA" w:rsidP="00CF7B47">
      <w:pPr>
        <w:pStyle w:val="COMESnumberedpara"/>
      </w:pPr>
      <w:r w:rsidRPr="003D294A">
        <w:t xml:space="preserve">There are limited epidemiological data on C3G and primary IC-MPGN in Australia. A sponsor-commissioned systematic literature review and meta-analysis of global epidemiological studies (n=11, published between 2018 and 2025) suggests similar incidence and prevalence estimates for C3G (incidence 0.36 per million, prevalence 22.7 per million) and IC-MPGN (incidence 0.33 per million, prevalence 28.7 per million). It was noted that point prevalence estimates may be overestimated as they are unadjusted for disease progression and mortality, therefore a separate analysis was conducted using a mortality-correction factor applied to a smaller set of studies (n=5, published between 2020 and 2024) resulting in lower prevalence estimates for C3G (20.5 per million) and IC-MPGN (16.2 per million). There is inherent uncertainty in the available data due to inconsistent disease classifications that historically grouped membranoproliferative glomerulonephritis disorders as a single entity before recent changes in case definitions that distinguished complement-mediated from immune complex-driven disease. </w:t>
      </w:r>
    </w:p>
    <w:p w14:paraId="15645122" w14:textId="6E643C1C" w:rsidR="008B0ADE" w:rsidRPr="003D294A" w:rsidRDefault="008B0ADE" w:rsidP="00CF7B47">
      <w:pPr>
        <w:pStyle w:val="COMESnumberedpara"/>
      </w:pPr>
      <w:r w:rsidRPr="003D294A">
        <w:t xml:space="preserve">Current recommendations </w:t>
      </w:r>
      <w:r w:rsidR="000E37B7" w:rsidRPr="003D294A">
        <w:t xml:space="preserve">for the treatment of C3G and primary IC-MPGN </w:t>
      </w:r>
      <w:r w:rsidRPr="003D294A">
        <w:t xml:space="preserve">are based on expert consensus of general treatment approaches for membranoproliferative glomerulonephritis (MPGN), determined based on kidney biopsy lesions which are present in both C3G and IC-MPGN (KDIGO 2021, UpToDate March 2024 – Membranoproliferative glomerulonephritis: Treatment and Prognosis). More recently updated </w:t>
      </w:r>
      <w:r w:rsidR="00CE37F5">
        <w:t>guidance</w:t>
      </w:r>
      <w:r w:rsidR="00CE37F5" w:rsidRPr="003D294A">
        <w:t xml:space="preserve"> </w:t>
      </w:r>
      <w:r w:rsidRPr="003D294A">
        <w:t xml:space="preserve">for C3G were identified during the evaluation (UpToDate October 2025 - C3 glomerulopathies: Dense deposit disease and C3 glomerulonephritis). </w:t>
      </w:r>
    </w:p>
    <w:p w14:paraId="79C9A46D" w14:textId="08B7C169" w:rsidR="008B0ADE" w:rsidRPr="003D294A" w:rsidRDefault="008B0ADE" w:rsidP="00CF7B47">
      <w:pPr>
        <w:pStyle w:val="COMESnumberedpara"/>
      </w:pPr>
      <w:r w:rsidRPr="003D294A">
        <w:t xml:space="preserve">In general, the </w:t>
      </w:r>
      <w:r w:rsidR="008163B6">
        <w:t>recommendations were</w:t>
      </w:r>
      <w:r w:rsidRPr="003D294A">
        <w:t xml:space="preserve"> that all patients (regardless of disease severity), should receive supportive measures with ACEI/ARB, SGLT2 inhibitors</w:t>
      </w:r>
      <w:r w:rsidR="00A46FC2" w:rsidRPr="003D294A">
        <w:t>,</w:t>
      </w:r>
      <w:r w:rsidRPr="003D294A">
        <w:t xml:space="preserve"> as well as blood pressure control. In patients with moderate to severe disease, </w:t>
      </w:r>
      <w:r w:rsidR="00DF4D46">
        <w:t>it was</w:t>
      </w:r>
      <w:r w:rsidRPr="003D294A">
        <w:t xml:space="preserve"> suggest</w:t>
      </w:r>
      <w:r w:rsidR="00DF4D46">
        <w:t>ed</w:t>
      </w:r>
      <w:r w:rsidRPr="003D294A">
        <w:t xml:space="preserve"> </w:t>
      </w:r>
      <w:r w:rsidR="007A3C91">
        <w:t>to add</w:t>
      </w:r>
      <w:r w:rsidRPr="003D294A">
        <w:t xml:space="preserve"> immunosuppressants (complement inhibitors, mycophenolate mofetil, corticosteroids), with escalation of immunosuppressants (pulse intravenous methylprednisolone followed by oral corticosteroids) in patients with rapidly </w:t>
      </w:r>
      <w:r w:rsidRPr="003D294A">
        <w:lastRenderedPageBreak/>
        <w:t xml:space="preserve">progressive crescentic disease. The </w:t>
      </w:r>
      <w:r w:rsidR="00A46FC2" w:rsidRPr="003D294A">
        <w:t xml:space="preserve">October 2025 </w:t>
      </w:r>
      <w:r w:rsidRPr="003D294A">
        <w:t xml:space="preserve">UpToDate </w:t>
      </w:r>
      <w:r w:rsidR="00AC7453">
        <w:t>recommendations</w:t>
      </w:r>
      <w:r w:rsidR="00AC7453" w:rsidRPr="003D294A">
        <w:t xml:space="preserve"> </w:t>
      </w:r>
      <w:r w:rsidRPr="003D294A">
        <w:t xml:space="preserve">suggest that for patients with moderate to severe disease (but without rapidly progressive disease), a complement inhibitor is preferred over other immunosuppressants. </w:t>
      </w:r>
    </w:p>
    <w:p w14:paraId="67A4B6D3" w14:textId="7E78D830" w:rsidR="002A6D91" w:rsidRPr="003D294A" w:rsidRDefault="00CD37B4" w:rsidP="00CF7B47">
      <w:pPr>
        <w:pStyle w:val="COMESnumberedpara"/>
      </w:pPr>
      <w:r w:rsidRPr="003D294A">
        <w:t xml:space="preserve">Pegcetacoplan is a complement inhibitor that binds to complement protein C3 and its activation fragment C3b, thereby regulating the cleavage of C3 and downstream effects of complement activation. It is presumed that the therapeutic effects of pegcetacoplan are due to prevention of the downstream </w:t>
      </w:r>
      <w:r w:rsidR="00AA42C2" w:rsidRPr="003D294A">
        <w:t xml:space="preserve">build-up of C3 proteins and resolution of inflammation in the kidneys. </w:t>
      </w:r>
    </w:p>
    <w:p w14:paraId="3CD1F78D" w14:textId="50961804" w:rsidR="00C02B4C" w:rsidRPr="003D294A" w:rsidRDefault="00C02B4C" w:rsidP="00CF7B47">
      <w:pPr>
        <w:pStyle w:val="COMESnumberedpara"/>
      </w:pPr>
      <w:bookmarkStart w:id="17" w:name="_Ref222231789"/>
      <w:r w:rsidRPr="003D294A">
        <w:t xml:space="preserve">The submission positioned pegcetacoplan as initial treatment in patients with native kidneys who have moderate to severe disease, </w:t>
      </w:r>
      <w:r w:rsidR="0038608C" w:rsidRPr="003D294A">
        <w:t>displacing</w:t>
      </w:r>
      <w:r w:rsidRPr="003D294A">
        <w:t xml:space="preserve"> the use of immunosuppressant therapy with corticosteroids or mycophenolate mofetil. The submission claimed, based on expert advice, that complement inhibitors should be introduced early in the treatment algorithm, after a trial of RAAS blockade but before other immunosuppressants, given their targeted mechanism of action. The proposed place in therapy </w:t>
      </w:r>
      <w:r w:rsidR="00A46FC2" w:rsidRPr="003D294A">
        <w:t xml:space="preserve">is </w:t>
      </w:r>
      <w:r w:rsidRPr="003D294A">
        <w:t xml:space="preserve">inconsistent with the key trial, as pegcetacoplan was used as an add-on to background therapies in </w:t>
      </w:r>
      <w:proofErr w:type="gramStart"/>
      <w:r w:rsidRPr="003D294A">
        <w:t>the vast majority of</w:t>
      </w:r>
      <w:proofErr w:type="gramEnd"/>
      <w:r w:rsidRPr="003D294A">
        <w:t xml:space="preserve"> patients (91% on ACEI/ARB, 72% on immunosuppressants mainly mycophenolate mofetil and tacrolimus, and 40% on corticosteroids). </w:t>
      </w:r>
      <w:r w:rsidR="00E47D4D" w:rsidRPr="003D294A">
        <w:t xml:space="preserve">The PSCR asserted that there was minimal change in the rate of background therapies </w:t>
      </w:r>
      <w:r w:rsidR="006814DC" w:rsidRPr="003D294A">
        <w:t xml:space="preserve">in the trial </w:t>
      </w:r>
      <w:r w:rsidR="00E47D4D" w:rsidRPr="003D294A">
        <w:t xml:space="preserve">due to the relatively short duration of the trial and requirements of trial protocol for patients to be on stable treatment. While not explicitly demonstrated in VALIANT, the PSCR asserted that stakeholder feedback from Australian nephrologists </w:t>
      </w:r>
      <w:r w:rsidR="004E70BF">
        <w:t>was</w:t>
      </w:r>
      <w:r w:rsidR="004E70BF" w:rsidRPr="003D294A">
        <w:t xml:space="preserve"> </w:t>
      </w:r>
      <w:r w:rsidR="00E47D4D" w:rsidRPr="003D294A">
        <w:t>that pegcetacoplan use in C3G and p</w:t>
      </w:r>
      <w:r w:rsidR="005D00B0" w:rsidRPr="003D294A">
        <w:t xml:space="preserve">rimary </w:t>
      </w:r>
      <w:r w:rsidR="00E47D4D" w:rsidRPr="003D294A">
        <w:t>IC</w:t>
      </w:r>
      <w:r w:rsidR="005D00B0" w:rsidRPr="003D294A">
        <w:noBreakHyphen/>
      </w:r>
      <w:r w:rsidR="00E47D4D" w:rsidRPr="003D294A">
        <w:t xml:space="preserve">MPGN would reduce treatment with immunosuppressant therapies over time, as these treatments are non-specific, have not demonstrated association with improved renal survival and have a negative impact on quality of life. The Sub-Committees agreed with the PSCR that in clinical practice </w:t>
      </w:r>
      <w:r w:rsidR="005122A6" w:rsidRPr="003D294A">
        <w:t xml:space="preserve">use of </w:t>
      </w:r>
      <w:r w:rsidR="00E47D4D" w:rsidRPr="003D294A">
        <w:t xml:space="preserve">pegcetacoplan would </w:t>
      </w:r>
      <w:r w:rsidR="00903EA2" w:rsidRPr="003D294A">
        <w:t xml:space="preserve">result in reduced use of </w:t>
      </w:r>
      <w:r w:rsidR="00E47D4D" w:rsidRPr="003D294A">
        <w:t>immunosuppressive therapy, which is not considered to be effective</w:t>
      </w:r>
      <w:r w:rsidR="007A3C91">
        <w:t>,</w:t>
      </w:r>
      <w:r w:rsidR="00E47D4D" w:rsidRPr="003D294A">
        <w:t xml:space="preserve"> but is currently used</w:t>
      </w:r>
      <w:r w:rsidR="007A3C91">
        <w:t>,</w:t>
      </w:r>
      <w:r w:rsidR="00E47D4D" w:rsidRPr="003D294A">
        <w:t xml:space="preserve"> in the absence of alternative disease-modifying treatments.</w:t>
      </w:r>
      <w:bookmarkEnd w:id="17"/>
    </w:p>
    <w:p w14:paraId="0B9E5946" w14:textId="75B86E3D" w:rsidR="00B95989" w:rsidRPr="003D294A" w:rsidRDefault="00B95989" w:rsidP="00CF7B47">
      <w:pPr>
        <w:pStyle w:val="COMESnumberedpara"/>
      </w:pPr>
      <w:r w:rsidRPr="003D294A">
        <w:t xml:space="preserve">The submission also positioned pegcetacoplan for the treatment of patients with C3G or primary IC-MPGN recurrence following a kidney transplant, in addition to supportive measures with or without immunosuppressants. The role of pegcetacoplan in post-transplant patients is uncertain based on limited data from VALIANT trial and NOBLE phase 2 study. </w:t>
      </w:r>
      <w:r w:rsidR="00642C01" w:rsidRPr="003D294A">
        <w:t>The Sub-Committees considered that treatment of patients with C3G or primary IC-MPGN recurrence following a kidney transplant was clinically appropriate given the</w:t>
      </w:r>
      <w:r w:rsidR="00A65312" w:rsidRPr="003D294A">
        <w:t xml:space="preserve"> same </w:t>
      </w:r>
      <w:r w:rsidR="00A87071" w:rsidRPr="003D294A">
        <w:t>mechanism of disease</w:t>
      </w:r>
      <w:r w:rsidR="00C26554" w:rsidRPr="003D294A">
        <w:t xml:space="preserve"> and noting the high </w:t>
      </w:r>
      <w:r w:rsidR="007069D4" w:rsidRPr="003D294A">
        <w:t>clinical need for disease modifying treatments for these patients.</w:t>
      </w:r>
      <w:r w:rsidRPr="003D294A">
        <w:rPr>
          <w:i/>
          <w:iCs/>
        </w:rPr>
        <w:t xml:space="preserve"> </w:t>
      </w:r>
    </w:p>
    <w:p w14:paraId="69495668" w14:textId="261CB7C6" w:rsidR="00C02B4C" w:rsidRPr="003D294A" w:rsidRDefault="00C02B4C" w:rsidP="00CF7B47">
      <w:pPr>
        <w:pStyle w:val="COMESnumberedpara"/>
      </w:pPr>
      <w:r w:rsidRPr="003D294A">
        <w:t xml:space="preserve">The submission’s algorithm did not include measures of response or optimal duration of treatment with pegcetacoplan. No specific measures of response are mentioned in published guidelines, with authors of these guidelines highlighting that there are limited data informing therapeutic decisions in these disease areas. Based on clinical experience in C3G, the UpToDate authors state that response based on proteinuria </w:t>
      </w:r>
      <w:r w:rsidRPr="003D294A">
        <w:lastRenderedPageBreak/>
        <w:t>reduction and stable or improved kidney function is assessed after 6 months of therapy. In patients with response, therapy is continued for up to 2 years and those who do not respond may commence alternative treatments. Ongoing monitoring of urinary protein and kidney function is recommended after discontinuation of complement inhibitor therapy. In patients who experience relapse, complement inhibitor therapy should be re-started and continued indefinitely.</w:t>
      </w:r>
      <w:r w:rsidR="00CF7B47">
        <w:t xml:space="preserve"> </w:t>
      </w:r>
    </w:p>
    <w:p w14:paraId="7E8CF939" w14:textId="77777777" w:rsidR="00B60C2C" w:rsidRPr="003D294A" w:rsidRDefault="00B60C2C" w:rsidP="00CF7B47">
      <w:pPr>
        <w:ind w:firstLine="709"/>
        <w:rPr>
          <w:rFonts w:asciiTheme="minorHAnsi" w:hAnsiTheme="minorHAnsi"/>
          <w:i/>
        </w:rPr>
      </w:pPr>
      <w:r w:rsidRPr="003D294A">
        <w:rPr>
          <w:rFonts w:asciiTheme="minorHAnsi" w:hAnsiTheme="minorHAnsi"/>
          <w:i/>
        </w:rPr>
        <w:t>For more detail on PBAC’s view, see section 7 PBAC outcome.</w:t>
      </w:r>
    </w:p>
    <w:p w14:paraId="1BC563A9" w14:textId="77777777" w:rsidR="00B60C2C" w:rsidRPr="003D294A" w:rsidRDefault="00B60C2C" w:rsidP="00CF7B47">
      <w:pPr>
        <w:pStyle w:val="COMESnumberedpara"/>
        <w:numPr>
          <w:ilvl w:val="0"/>
          <w:numId w:val="0"/>
        </w:numPr>
        <w:ind w:left="720"/>
      </w:pPr>
    </w:p>
    <w:p w14:paraId="51E5AE96" w14:textId="136A63B1" w:rsidR="00B50DB8" w:rsidRPr="003D294A" w:rsidRDefault="00B50DB8" w:rsidP="00CF7B47">
      <w:pPr>
        <w:pStyle w:val="COMESH2"/>
      </w:pPr>
      <w:bookmarkStart w:id="18" w:name="_Toc219888385"/>
      <w:r w:rsidRPr="003D294A">
        <w:t>Comparator</w:t>
      </w:r>
      <w:bookmarkEnd w:id="18"/>
    </w:p>
    <w:p w14:paraId="3219D00D" w14:textId="13C236C8" w:rsidR="00210C53" w:rsidRPr="003D294A" w:rsidRDefault="00210C53" w:rsidP="00CF7B47">
      <w:pPr>
        <w:pStyle w:val="COMESnumberedpara"/>
      </w:pPr>
      <w:r w:rsidRPr="003D294A">
        <w:t xml:space="preserve">The submission nominated standard of care as the main comparator. In patients with native kidneys, standard of care is represented by supportive measures that include renin-angiotensin system inhibition with ACEI/ARB, SGLT2 inhibitors and blood pressure control; as well as general immunosuppression (e.g. mycophenolate mofetil, corticosteroids) in patients with more active or progressive disease. In post-transplant patients with disease recurrence, standard of care includes supportive measures and adjustment of the post-transplant immunosuppression regimen. </w:t>
      </w:r>
      <w:r w:rsidR="00472326" w:rsidRPr="003D294A">
        <w:t xml:space="preserve">The </w:t>
      </w:r>
      <w:r w:rsidR="001734AE" w:rsidRPr="003D294A">
        <w:t>Sub-C</w:t>
      </w:r>
      <w:r w:rsidR="00CC6EFD" w:rsidRPr="003D294A">
        <w:t>o</w:t>
      </w:r>
      <w:r w:rsidR="001734AE" w:rsidRPr="003D294A">
        <w:t>mmittees</w:t>
      </w:r>
      <w:r w:rsidR="00472326" w:rsidRPr="003D294A">
        <w:t xml:space="preserve"> considered s</w:t>
      </w:r>
      <w:r w:rsidRPr="003D294A">
        <w:t xml:space="preserve">tandard of care </w:t>
      </w:r>
      <w:r w:rsidR="00472326" w:rsidRPr="003D294A">
        <w:t>wa</w:t>
      </w:r>
      <w:r w:rsidRPr="003D294A">
        <w:t>s an appropriate main comparator.</w:t>
      </w:r>
    </w:p>
    <w:p w14:paraId="30A067BB" w14:textId="566FAB4E" w:rsidR="00B50DB8" w:rsidRPr="003D294A" w:rsidRDefault="00210C53" w:rsidP="00CF7B47">
      <w:pPr>
        <w:pStyle w:val="COMESnumberedpara"/>
      </w:pPr>
      <w:r w:rsidRPr="003D294A">
        <w:t xml:space="preserve">The submission nominated iptacopan as a near market comparator for adults with C3G, a subset of the requested population for pegcetacoplan. Iptacopan, an oral complement factor B inhibitor, was recently considered for treatment of adults with C3G by the PBAC at the November 2025 meeting but was not recommended. </w:t>
      </w:r>
    </w:p>
    <w:p w14:paraId="12604E90" w14:textId="77777777" w:rsidR="00F90C3E" w:rsidRPr="003D294A" w:rsidRDefault="00F90C3E" w:rsidP="00CF7B47">
      <w:pPr>
        <w:ind w:firstLine="709"/>
        <w:rPr>
          <w:rFonts w:asciiTheme="minorHAnsi" w:hAnsiTheme="minorHAnsi"/>
          <w:i/>
        </w:rPr>
      </w:pPr>
      <w:r w:rsidRPr="003D294A">
        <w:rPr>
          <w:rFonts w:asciiTheme="minorHAnsi" w:hAnsiTheme="minorHAnsi"/>
          <w:i/>
        </w:rPr>
        <w:t>For more detail on PBAC’s view, see section 7 PBAC outcome.</w:t>
      </w:r>
    </w:p>
    <w:p w14:paraId="3605AA3A" w14:textId="77777777" w:rsidR="00F90C3E" w:rsidRPr="003D294A" w:rsidRDefault="00F90C3E" w:rsidP="00CF7B47">
      <w:pPr>
        <w:pStyle w:val="COMESnumberedpara"/>
        <w:numPr>
          <w:ilvl w:val="0"/>
          <w:numId w:val="0"/>
        </w:numPr>
        <w:ind w:left="720"/>
      </w:pPr>
    </w:p>
    <w:p w14:paraId="7F9C27C8" w14:textId="77777777" w:rsidR="00223D5A" w:rsidRPr="003D294A" w:rsidRDefault="00223D5A" w:rsidP="00CF7B47">
      <w:pPr>
        <w:pStyle w:val="COMESH2"/>
        <w:numPr>
          <w:ilvl w:val="0"/>
          <w:numId w:val="1"/>
        </w:numPr>
      </w:pPr>
      <w:bookmarkStart w:id="19" w:name="_Toc219888386"/>
      <w:bookmarkStart w:id="20" w:name="_Toc22897640"/>
      <w:r w:rsidRPr="003D294A">
        <w:t>Consideration of the evidence</w:t>
      </w:r>
      <w:bookmarkEnd w:id="19"/>
    </w:p>
    <w:p w14:paraId="6AC5CA32" w14:textId="77777777" w:rsidR="006F4432" w:rsidRPr="003D294A" w:rsidRDefault="006F4432" w:rsidP="00CF7B47">
      <w:pPr>
        <w:pStyle w:val="COMESSubsectionheading"/>
      </w:pPr>
      <w:bookmarkStart w:id="21" w:name="_Hlk76375935"/>
      <w:bookmarkStart w:id="22" w:name="_Toc219888387"/>
      <w:r w:rsidRPr="003D294A">
        <w:t xml:space="preserve">Sponsor </w:t>
      </w:r>
      <w:r w:rsidRPr="003D294A">
        <w:rPr>
          <w:lang w:eastAsia="en-US"/>
        </w:rPr>
        <w:t>hearing</w:t>
      </w:r>
    </w:p>
    <w:p w14:paraId="40EAD67A" w14:textId="43447275" w:rsidR="006F4432" w:rsidRPr="003D294A" w:rsidRDefault="006F4432" w:rsidP="00CF7B47">
      <w:pPr>
        <w:numPr>
          <w:ilvl w:val="1"/>
          <w:numId w:val="1"/>
        </w:numPr>
        <w:spacing w:after="120"/>
        <w:rPr>
          <w:rFonts w:asciiTheme="minorHAnsi" w:hAnsiTheme="minorHAnsi"/>
          <w:bCs/>
          <w:snapToGrid w:val="0"/>
        </w:rPr>
      </w:pPr>
      <w:bookmarkStart w:id="23" w:name="_Hlk76382586"/>
      <w:r w:rsidRPr="003D294A">
        <w:rPr>
          <w:rFonts w:asciiTheme="minorHAnsi" w:hAnsiTheme="minorHAnsi"/>
          <w:snapToGrid w:val="0"/>
        </w:rPr>
        <w:t>The sponsor requested a hearing for this item</w:t>
      </w:r>
      <w:r w:rsidRPr="003D294A">
        <w:rPr>
          <w:rFonts w:asciiTheme="minorHAnsi" w:hAnsiTheme="minorHAnsi"/>
          <w:bCs/>
          <w:snapToGrid w:val="0"/>
        </w:rPr>
        <w:t xml:space="preserve">. The clinician </w:t>
      </w:r>
      <w:r w:rsidR="00532DA2" w:rsidRPr="003D294A">
        <w:rPr>
          <w:rFonts w:asciiTheme="minorHAnsi" w:hAnsiTheme="minorHAnsi"/>
          <w:bCs/>
          <w:snapToGrid w:val="0"/>
        </w:rPr>
        <w:t>described</w:t>
      </w:r>
      <w:r w:rsidRPr="003D294A">
        <w:rPr>
          <w:rFonts w:asciiTheme="minorHAnsi" w:hAnsiTheme="minorHAnsi"/>
          <w:bCs/>
          <w:snapToGrid w:val="0"/>
        </w:rPr>
        <w:t xml:space="preserve"> the natural history of the disease, </w:t>
      </w:r>
      <w:r w:rsidR="00205811" w:rsidRPr="003D294A">
        <w:rPr>
          <w:rFonts w:asciiTheme="minorHAnsi" w:hAnsiTheme="minorHAnsi"/>
          <w:bCs/>
          <w:snapToGrid w:val="0"/>
        </w:rPr>
        <w:t xml:space="preserve">with </w:t>
      </w:r>
      <w:r w:rsidR="00F705EB" w:rsidRPr="003D294A">
        <w:t xml:space="preserve">damage and inflammation to kidneys leading to loss of function over time, </w:t>
      </w:r>
      <w:r w:rsidR="00F84E73" w:rsidRPr="003D294A">
        <w:t>requiring d</w:t>
      </w:r>
      <w:r w:rsidR="00F705EB" w:rsidRPr="003D294A">
        <w:t xml:space="preserve">ialysis and transplant. </w:t>
      </w:r>
      <w:r w:rsidR="006F23D7" w:rsidRPr="003D294A">
        <w:t xml:space="preserve">The clinician noted that patients often </w:t>
      </w:r>
      <w:r w:rsidR="00F65926" w:rsidRPr="003D294A">
        <w:t xml:space="preserve">have a recurrence of disease </w:t>
      </w:r>
      <w:r w:rsidR="00F61363" w:rsidRPr="003D294A">
        <w:t xml:space="preserve">following a transplant, which can mean they are not considered for </w:t>
      </w:r>
      <w:r w:rsidR="00E21B04" w:rsidRPr="003D294A">
        <w:t xml:space="preserve">another transplant. The clinician noted that </w:t>
      </w:r>
      <w:r w:rsidR="00B15426" w:rsidRPr="003D294A">
        <w:t xml:space="preserve">chronic kidney disease is also associated </w:t>
      </w:r>
      <w:r w:rsidR="0039721A" w:rsidRPr="003D294A">
        <w:t>increases in mortality due to</w:t>
      </w:r>
      <w:r w:rsidR="00B15426" w:rsidRPr="003D294A">
        <w:t xml:space="preserve"> cardiovascular disease an</w:t>
      </w:r>
      <w:r w:rsidR="0039721A" w:rsidRPr="003D294A">
        <w:t xml:space="preserve">d </w:t>
      </w:r>
      <w:proofErr w:type="gramStart"/>
      <w:r w:rsidR="00E25D8F" w:rsidRPr="003D294A">
        <w:t>stroke, and</w:t>
      </w:r>
      <w:proofErr w:type="gramEnd"/>
      <w:r w:rsidR="00E25D8F" w:rsidRPr="003D294A">
        <w:t xml:space="preserve"> also noted the mortality risk associated with transplant. </w:t>
      </w:r>
      <w:r w:rsidR="00055316" w:rsidRPr="003D294A">
        <w:rPr>
          <w:rFonts w:asciiTheme="minorHAnsi" w:hAnsiTheme="minorHAnsi"/>
          <w:bCs/>
          <w:snapToGrid w:val="0"/>
        </w:rPr>
        <w:t>T</w:t>
      </w:r>
      <w:r w:rsidRPr="003D294A">
        <w:rPr>
          <w:rFonts w:asciiTheme="minorHAnsi" w:hAnsiTheme="minorHAnsi"/>
          <w:bCs/>
          <w:snapToGrid w:val="0"/>
        </w:rPr>
        <w:t xml:space="preserve">he </w:t>
      </w:r>
      <w:r w:rsidR="00055316" w:rsidRPr="003D294A">
        <w:rPr>
          <w:rFonts w:asciiTheme="minorHAnsi" w:hAnsiTheme="minorHAnsi"/>
          <w:bCs/>
          <w:snapToGrid w:val="0"/>
        </w:rPr>
        <w:t xml:space="preserve">clinician </w:t>
      </w:r>
      <w:r w:rsidR="00D35A29" w:rsidRPr="003D294A">
        <w:rPr>
          <w:rFonts w:asciiTheme="minorHAnsi" w:hAnsiTheme="minorHAnsi"/>
          <w:bCs/>
          <w:snapToGrid w:val="0"/>
        </w:rPr>
        <w:t>responded</w:t>
      </w:r>
      <w:r w:rsidR="00055316" w:rsidRPr="003D294A">
        <w:rPr>
          <w:rFonts w:asciiTheme="minorHAnsi" w:hAnsiTheme="minorHAnsi"/>
          <w:bCs/>
          <w:snapToGrid w:val="0"/>
        </w:rPr>
        <w:t xml:space="preserve"> to the </w:t>
      </w:r>
      <w:r w:rsidRPr="003D294A">
        <w:rPr>
          <w:rFonts w:asciiTheme="minorHAnsi" w:hAnsiTheme="minorHAnsi"/>
          <w:bCs/>
          <w:snapToGrid w:val="0"/>
        </w:rPr>
        <w:t>Committee’s questions</w:t>
      </w:r>
      <w:r w:rsidR="00055316" w:rsidRPr="003D294A">
        <w:rPr>
          <w:rFonts w:asciiTheme="minorHAnsi" w:hAnsiTheme="minorHAnsi"/>
          <w:bCs/>
          <w:snapToGrid w:val="0"/>
        </w:rPr>
        <w:t xml:space="preserve"> regarding </w:t>
      </w:r>
      <w:r w:rsidR="001300AD" w:rsidRPr="003D294A">
        <w:rPr>
          <w:rFonts w:asciiTheme="minorHAnsi" w:hAnsiTheme="minorHAnsi"/>
          <w:bCs/>
          <w:snapToGrid w:val="0"/>
        </w:rPr>
        <w:t xml:space="preserve">the relationship between proteinuria </w:t>
      </w:r>
      <w:r w:rsidR="00AF47FA" w:rsidRPr="003D294A">
        <w:rPr>
          <w:rFonts w:asciiTheme="minorHAnsi" w:hAnsiTheme="minorHAnsi"/>
          <w:bCs/>
          <w:snapToGrid w:val="0"/>
        </w:rPr>
        <w:t xml:space="preserve">and progression to </w:t>
      </w:r>
      <w:r w:rsidR="002C3FF5" w:rsidRPr="003D294A">
        <w:rPr>
          <w:rFonts w:asciiTheme="minorHAnsi" w:hAnsiTheme="minorHAnsi"/>
          <w:bCs/>
          <w:snapToGrid w:val="0"/>
        </w:rPr>
        <w:t>kidney disease and kidney failure</w:t>
      </w:r>
      <w:r w:rsidRPr="003D294A">
        <w:rPr>
          <w:rFonts w:asciiTheme="minorHAnsi" w:hAnsiTheme="minorHAnsi"/>
          <w:bCs/>
          <w:snapToGrid w:val="0"/>
        </w:rPr>
        <w:t>.</w:t>
      </w:r>
      <w:r w:rsidR="00034811" w:rsidRPr="003D294A">
        <w:rPr>
          <w:rFonts w:asciiTheme="minorHAnsi" w:hAnsiTheme="minorHAnsi"/>
          <w:bCs/>
          <w:snapToGrid w:val="0"/>
        </w:rPr>
        <w:t xml:space="preserve"> The clinician also discussed the </w:t>
      </w:r>
      <w:r w:rsidR="00EE0868" w:rsidRPr="003D294A">
        <w:rPr>
          <w:rFonts w:asciiTheme="minorHAnsi" w:hAnsiTheme="minorHAnsi"/>
          <w:bCs/>
          <w:snapToGrid w:val="0"/>
        </w:rPr>
        <w:t>steeper decline in</w:t>
      </w:r>
      <w:r w:rsidR="009C4ECB" w:rsidRPr="003D294A">
        <w:rPr>
          <w:rFonts w:asciiTheme="minorHAnsi" w:hAnsiTheme="minorHAnsi"/>
          <w:bCs/>
          <w:snapToGrid w:val="0"/>
        </w:rPr>
        <w:t xml:space="preserve"> EGFR in the</w:t>
      </w:r>
      <w:r w:rsidR="003E4180" w:rsidRPr="003D294A">
        <w:rPr>
          <w:rFonts w:asciiTheme="minorHAnsi" w:hAnsiTheme="minorHAnsi"/>
          <w:bCs/>
          <w:snapToGrid w:val="0"/>
        </w:rPr>
        <w:t xml:space="preserve"> control arm of the</w:t>
      </w:r>
      <w:r w:rsidR="009C4ECB" w:rsidRPr="003D294A">
        <w:rPr>
          <w:rFonts w:asciiTheme="minorHAnsi" w:hAnsiTheme="minorHAnsi"/>
          <w:bCs/>
          <w:snapToGrid w:val="0"/>
        </w:rPr>
        <w:t xml:space="preserve"> VALIANT study</w:t>
      </w:r>
      <w:r w:rsidR="003E4180" w:rsidRPr="003D294A">
        <w:rPr>
          <w:rFonts w:asciiTheme="minorHAnsi" w:hAnsiTheme="minorHAnsi"/>
          <w:bCs/>
          <w:snapToGrid w:val="0"/>
        </w:rPr>
        <w:t xml:space="preserve"> compared to </w:t>
      </w:r>
      <w:r w:rsidR="00590799" w:rsidRPr="003D294A">
        <w:rPr>
          <w:rFonts w:asciiTheme="minorHAnsi" w:hAnsiTheme="minorHAnsi"/>
          <w:bCs/>
          <w:snapToGrid w:val="0"/>
        </w:rPr>
        <w:t xml:space="preserve">the iptacopan study and </w:t>
      </w:r>
      <w:r w:rsidR="0030587A" w:rsidRPr="003D294A">
        <w:rPr>
          <w:rFonts w:asciiTheme="minorHAnsi" w:hAnsiTheme="minorHAnsi"/>
          <w:bCs/>
          <w:snapToGrid w:val="0"/>
        </w:rPr>
        <w:t>disease registries</w:t>
      </w:r>
      <w:r w:rsidR="00741F35" w:rsidRPr="003D294A">
        <w:rPr>
          <w:rFonts w:asciiTheme="minorHAnsi" w:hAnsiTheme="minorHAnsi"/>
          <w:bCs/>
          <w:snapToGrid w:val="0"/>
        </w:rPr>
        <w:t xml:space="preserve">. </w:t>
      </w:r>
      <w:r w:rsidR="006B6C57" w:rsidRPr="003D294A">
        <w:rPr>
          <w:rFonts w:asciiTheme="minorHAnsi" w:hAnsiTheme="minorHAnsi"/>
          <w:bCs/>
          <w:snapToGrid w:val="0"/>
        </w:rPr>
        <w:t>It was</w:t>
      </w:r>
      <w:r w:rsidR="0030587A" w:rsidRPr="003D294A">
        <w:rPr>
          <w:rFonts w:asciiTheme="minorHAnsi" w:hAnsiTheme="minorHAnsi"/>
          <w:bCs/>
          <w:snapToGrid w:val="0"/>
        </w:rPr>
        <w:t xml:space="preserve"> </w:t>
      </w:r>
      <w:r w:rsidR="00612852" w:rsidRPr="003D294A">
        <w:rPr>
          <w:rFonts w:asciiTheme="minorHAnsi" w:hAnsiTheme="minorHAnsi"/>
          <w:bCs/>
          <w:snapToGrid w:val="0"/>
        </w:rPr>
        <w:t xml:space="preserve">noted that although </w:t>
      </w:r>
      <w:r w:rsidR="00A529AD" w:rsidRPr="003D294A">
        <w:rPr>
          <w:rFonts w:asciiTheme="minorHAnsi" w:hAnsiTheme="minorHAnsi"/>
          <w:bCs/>
          <w:snapToGrid w:val="0"/>
        </w:rPr>
        <w:t xml:space="preserve">the reason for the difference </w:t>
      </w:r>
      <w:r w:rsidR="00612852" w:rsidRPr="003D294A">
        <w:rPr>
          <w:rFonts w:asciiTheme="minorHAnsi" w:hAnsiTheme="minorHAnsi"/>
          <w:bCs/>
          <w:snapToGrid w:val="0"/>
        </w:rPr>
        <w:t>is not certain</w:t>
      </w:r>
      <w:r w:rsidR="00A529AD" w:rsidRPr="003D294A">
        <w:rPr>
          <w:rFonts w:asciiTheme="minorHAnsi" w:hAnsiTheme="minorHAnsi"/>
          <w:bCs/>
          <w:snapToGrid w:val="0"/>
        </w:rPr>
        <w:t xml:space="preserve"> it may have been impacted by the inclusion of </w:t>
      </w:r>
      <w:r w:rsidR="009D2A1D" w:rsidRPr="003D294A">
        <w:rPr>
          <w:rFonts w:asciiTheme="minorHAnsi" w:hAnsiTheme="minorHAnsi"/>
          <w:bCs/>
          <w:snapToGrid w:val="0"/>
        </w:rPr>
        <w:t xml:space="preserve">higher risk patients </w:t>
      </w:r>
      <w:r w:rsidR="00283261" w:rsidRPr="003D294A">
        <w:rPr>
          <w:rFonts w:asciiTheme="minorHAnsi" w:hAnsiTheme="minorHAnsi"/>
          <w:bCs/>
          <w:snapToGrid w:val="0"/>
        </w:rPr>
        <w:t xml:space="preserve">who progress more quickly </w:t>
      </w:r>
      <w:r w:rsidR="009D2A1D" w:rsidRPr="003D294A">
        <w:rPr>
          <w:rFonts w:asciiTheme="minorHAnsi" w:hAnsiTheme="minorHAnsi"/>
          <w:bCs/>
          <w:snapToGrid w:val="0"/>
        </w:rPr>
        <w:t>(</w:t>
      </w:r>
      <w:r w:rsidR="003C3A1E" w:rsidRPr="003D294A">
        <w:rPr>
          <w:rFonts w:asciiTheme="minorHAnsi" w:hAnsiTheme="minorHAnsi"/>
          <w:bCs/>
          <w:snapToGrid w:val="0"/>
        </w:rPr>
        <w:t xml:space="preserve">e.g. </w:t>
      </w:r>
      <w:r w:rsidR="00DB6DB1" w:rsidRPr="003D294A">
        <w:rPr>
          <w:rFonts w:asciiTheme="minorHAnsi" w:hAnsiTheme="minorHAnsi"/>
          <w:bCs/>
          <w:snapToGrid w:val="0"/>
        </w:rPr>
        <w:t>adolescents who may</w:t>
      </w:r>
      <w:r w:rsidR="002C67E9" w:rsidRPr="003D294A">
        <w:rPr>
          <w:rFonts w:asciiTheme="minorHAnsi" w:hAnsiTheme="minorHAnsi"/>
          <w:bCs/>
          <w:snapToGrid w:val="0"/>
        </w:rPr>
        <w:t xml:space="preserve"> have higher </w:t>
      </w:r>
      <w:r w:rsidR="00BC50D6" w:rsidRPr="003D294A">
        <w:rPr>
          <w:rFonts w:asciiTheme="minorHAnsi" w:hAnsiTheme="minorHAnsi"/>
          <w:bCs/>
          <w:snapToGrid w:val="0"/>
        </w:rPr>
        <w:t xml:space="preserve">rates of </w:t>
      </w:r>
      <w:r w:rsidR="00BC50D6" w:rsidRPr="003D294A">
        <w:rPr>
          <w:rFonts w:asciiTheme="minorHAnsi" w:hAnsiTheme="minorHAnsi"/>
          <w:bCs/>
          <w:snapToGrid w:val="0"/>
        </w:rPr>
        <w:lastRenderedPageBreak/>
        <w:t>infection</w:t>
      </w:r>
      <w:r w:rsidR="00DB6DB1" w:rsidRPr="003D294A">
        <w:rPr>
          <w:rFonts w:asciiTheme="minorHAnsi" w:hAnsiTheme="minorHAnsi"/>
          <w:bCs/>
          <w:snapToGrid w:val="0"/>
        </w:rPr>
        <w:t>, primary IC-MPGN, post-transplant recurrent disease</w:t>
      </w:r>
      <w:r w:rsidR="009D4E90" w:rsidRPr="003D294A">
        <w:rPr>
          <w:rFonts w:asciiTheme="minorHAnsi" w:hAnsiTheme="minorHAnsi"/>
          <w:bCs/>
          <w:snapToGrid w:val="0"/>
        </w:rPr>
        <w:t xml:space="preserve">). </w:t>
      </w:r>
      <w:r w:rsidRPr="003D294A">
        <w:rPr>
          <w:rFonts w:asciiTheme="minorHAnsi" w:hAnsiTheme="minorHAnsi"/>
          <w:bCs/>
          <w:snapToGrid w:val="0"/>
        </w:rPr>
        <w:t xml:space="preserve">The PBAC considered that the hearing was informative as it </w:t>
      </w:r>
      <w:r w:rsidR="00242F79" w:rsidRPr="003D294A">
        <w:rPr>
          <w:rFonts w:asciiTheme="minorHAnsi" w:hAnsiTheme="minorHAnsi"/>
          <w:bCs/>
          <w:snapToGrid w:val="0"/>
        </w:rPr>
        <w:t xml:space="preserve">helped support the </w:t>
      </w:r>
      <w:r w:rsidR="00E86920" w:rsidRPr="003D294A">
        <w:rPr>
          <w:rFonts w:asciiTheme="minorHAnsi" w:hAnsiTheme="minorHAnsi"/>
          <w:bCs/>
          <w:snapToGrid w:val="0"/>
        </w:rPr>
        <w:t>link between</w:t>
      </w:r>
      <w:r w:rsidR="00242F79" w:rsidRPr="003D294A">
        <w:rPr>
          <w:rFonts w:asciiTheme="minorHAnsi" w:hAnsiTheme="minorHAnsi"/>
          <w:bCs/>
          <w:snapToGrid w:val="0"/>
        </w:rPr>
        <w:t xml:space="preserve"> </w:t>
      </w:r>
      <w:r w:rsidR="00D12614" w:rsidRPr="003D294A">
        <w:rPr>
          <w:rFonts w:asciiTheme="minorHAnsi" w:hAnsiTheme="minorHAnsi"/>
          <w:bCs/>
          <w:snapToGrid w:val="0"/>
        </w:rPr>
        <w:t>EGFR</w:t>
      </w:r>
      <w:r w:rsidR="00E86920" w:rsidRPr="003D294A">
        <w:rPr>
          <w:rFonts w:asciiTheme="minorHAnsi" w:hAnsiTheme="minorHAnsi"/>
          <w:bCs/>
          <w:snapToGrid w:val="0"/>
        </w:rPr>
        <w:t>/</w:t>
      </w:r>
      <w:r w:rsidR="00D12614" w:rsidRPr="003D294A">
        <w:rPr>
          <w:rFonts w:asciiTheme="minorHAnsi" w:hAnsiTheme="minorHAnsi"/>
          <w:bCs/>
          <w:snapToGrid w:val="0"/>
        </w:rPr>
        <w:t xml:space="preserve">proteinuria </w:t>
      </w:r>
      <w:r w:rsidR="00E86920" w:rsidRPr="003D294A">
        <w:rPr>
          <w:rFonts w:asciiTheme="minorHAnsi" w:hAnsiTheme="minorHAnsi"/>
          <w:bCs/>
          <w:snapToGrid w:val="0"/>
        </w:rPr>
        <w:t>and</w:t>
      </w:r>
      <w:r w:rsidR="00D12614" w:rsidRPr="003D294A">
        <w:rPr>
          <w:rFonts w:asciiTheme="minorHAnsi" w:hAnsiTheme="minorHAnsi"/>
          <w:bCs/>
          <w:snapToGrid w:val="0"/>
        </w:rPr>
        <w:t xml:space="preserve"> kidney disease</w:t>
      </w:r>
      <w:r w:rsidRPr="003D294A">
        <w:rPr>
          <w:rFonts w:asciiTheme="minorHAnsi" w:hAnsiTheme="minorHAnsi"/>
          <w:bCs/>
          <w:snapToGrid w:val="0"/>
        </w:rPr>
        <w:t>.</w:t>
      </w:r>
    </w:p>
    <w:bookmarkEnd w:id="23"/>
    <w:p w14:paraId="2A741C90" w14:textId="42629C44" w:rsidR="006F4432" w:rsidRPr="003D294A" w:rsidRDefault="006F4432" w:rsidP="00CF7B47">
      <w:pPr>
        <w:pStyle w:val="COMESSubsectionheading"/>
      </w:pPr>
      <w:r w:rsidRPr="003D294A">
        <w:t>Consumer input</w:t>
      </w:r>
    </w:p>
    <w:p w14:paraId="3C4A8045" w14:textId="5675749C" w:rsidR="00F021BE" w:rsidRPr="003D294A" w:rsidRDefault="006F4432" w:rsidP="00CF7B47">
      <w:pPr>
        <w:pStyle w:val="COMESnumberedpara"/>
        <w:rPr>
          <w:rFonts w:ascii="Calibri" w:eastAsia="Times New Roman" w:hAnsi="Calibri" w:cs="Arial"/>
          <w:snapToGrid w:val="0"/>
          <w:szCs w:val="24"/>
        </w:rPr>
      </w:pPr>
      <w:bookmarkStart w:id="24" w:name="_Hlk76382618"/>
      <w:r w:rsidRPr="003D294A">
        <w:rPr>
          <w:snapToGrid w:val="0"/>
        </w:rPr>
        <w:t>The PBAC noted and welcomed the input from individuals (</w:t>
      </w:r>
      <w:r w:rsidR="00DC5110" w:rsidRPr="003D294A">
        <w:rPr>
          <w:snapToGrid w:val="0"/>
        </w:rPr>
        <w:t>1</w:t>
      </w:r>
      <w:r w:rsidRPr="003D294A">
        <w:rPr>
          <w:snapToGrid w:val="0"/>
        </w:rPr>
        <w:t>), health care professionals (</w:t>
      </w:r>
      <w:r w:rsidR="00DC5110" w:rsidRPr="003D294A">
        <w:rPr>
          <w:snapToGrid w:val="0"/>
        </w:rPr>
        <w:t>4</w:t>
      </w:r>
      <w:r w:rsidRPr="003D294A">
        <w:rPr>
          <w:snapToGrid w:val="0"/>
        </w:rPr>
        <w:t>) and organisations (</w:t>
      </w:r>
      <w:r w:rsidR="00DC5110" w:rsidRPr="003D294A">
        <w:rPr>
          <w:snapToGrid w:val="0"/>
        </w:rPr>
        <w:t>2</w:t>
      </w:r>
      <w:r w:rsidRPr="003D294A">
        <w:rPr>
          <w:snapToGrid w:val="0"/>
        </w:rPr>
        <w:t xml:space="preserve">) via the Office of Health Technology Assessment Consultation Hub. </w:t>
      </w:r>
      <w:r w:rsidR="004234D4" w:rsidRPr="003D294A">
        <w:rPr>
          <w:snapToGrid w:val="0"/>
        </w:rPr>
        <w:t xml:space="preserve">The inputs noted that C3G or primary IC-MPGN </w:t>
      </w:r>
      <w:r w:rsidR="006E2AFE" w:rsidRPr="003D294A">
        <w:rPr>
          <w:snapToGrid w:val="0"/>
        </w:rPr>
        <w:t xml:space="preserve">are described as ultra-rare diseases with no approved targeted therapies, </w:t>
      </w:r>
      <w:r w:rsidR="008A71DD">
        <w:rPr>
          <w:snapToGrid w:val="0"/>
        </w:rPr>
        <w:t>with</w:t>
      </w:r>
      <w:r w:rsidR="00C35F40" w:rsidRPr="003D294A">
        <w:rPr>
          <w:snapToGrid w:val="0"/>
        </w:rPr>
        <w:t xml:space="preserve"> </w:t>
      </w:r>
      <w:r w:rsidR="006E2AFE" w:rsidRPr="003D294A">
        <w:rPr>
          <w:snapToGrid w:val="0"/>
        </w:rPr>
        <w:t xml:space="preserve">high rates of progression to end-stage kidney disease (≈50% within 10 years) and very high post-transplant recurrence rates (≈60–90%), often leading to graft loss. </w:t>
      </w:r>
      <w:r w:rsidR="008670D0" w:rsidRPr="003D294A">
        <w:rPr>
          <w:rFonts w:ascii="Calibri" w:eastAsia="Times New Roman" w:hAnsi="Calibri" w:cs="Arial"/>
          <w:snapToGrid w:val="0"/>
          <w:szCs w:val="24"/>
        </w:rPr>
        <w:t xml:space="preserve">The inputs </w:t>
      </w:r>
      <w:r w:rsidR="009E455F" w:rsidRPr="003D294A">
        <w:rPr>
          <w:rFonts w:ascii="Calibri" w:eastAsia="Times New Roman" w:hAnsi="Calibri" w:cs="Arial"/>
          <w:snapToGrid w:val="0"/>
          <w:szCs w:val="24"/>
        </w:rPr>
        <w:t>stat</w:t>
      </w:r>
      <w:r w:rsidR="006A1FBE" w:rsidRPr="003D294A">
        <w:rPr>
          <w:rFonts w:ascii="Calibri" w:eastAsia="Times New Roman" w:hAnsi="Calibri" w:cs="Arial"/>
          <w:snapToGrid w:val="0"/>
          <w:szCs w:val="24"/>
        </w:rPr>
        <w:t>ed the</w:t>
      </w:r>
      <w:r w:rsidR="00F021BE" w:rsidRPr="003D294A">
        <w:rPr>
          <w:rFonts w:ascii="Calibri" w:eastAsia="Times New Roman" w:hAnsi="Calibri" w:cs="Arial"/>
          <w:snapToGrid w:val="0"/>
          <w:szCs w:val="24"/>
        </w:rPr>
        <w:t xml:space="preserve"> diseases disproportionately affect adolescents and young adults, severely disrupting education, employment, family life, and mental health</w:t>
      </w:r>
      <w:r w:rsidR="008C04ED" w:rsidRPr="003D294A">
        <w:rPr>
          <w:rFonts w:ascii="Calibri" w:eastAsia="Times New Roman" w:hAnsi="Calibri" w:cs="Arial"/>
          <w:snapToGrid w:val="0"/>
          <w:szCs w:val="24"/>
        </w:rPr>
        <w:t>.</w:t>
      </w:r>
      <w:r w:rsidR="00DC2A20" w:rsidRPr="003D294A">
        <w:rPr>
          <w:rFonts w:ascii="Calibri" w:eastAsia="Times New Roman" w:hAnsi="Calibri" w:cs="Arial"/>
          <w:snapToGrid w:val="0"/>
          <w:szCs w:val="24"/>
        </w:rPr>
        <w:t xml:space="preserve"> </w:t>
      </w:r>
      <w:r w:rsidR="00F021BE" w:rsidRPr="003D294A">
        <w:rPr>
          <w:rFonts w:ascii="Calibri" w:eastAsia="Times New Roman" w:hAnsi="Calibri" w:cs="Arial"/>
          <w:snapToGrid w:val="0"/>
          <w:szCs w:val="24"/>
        </w:rPr>
        <w:t xml:space="preserve">Preventing or delaying kidney failure was framed as critical not only for survival, but for preserving dignity, independence, and long-term life opportunities in a predominantly young patient population. </w:t>
      </w:r>
      <w:r w:rsidR="001D5BE4" w:rsidRPr="003D294A">
        <w:rPr>
          <w:rFonts w:ascii="Calibri" w:eastAsia="Times New Roman" w:hAnsi="Calibri" w:cs="Arial"/>
          <w:snapToGrid w:val="0"/>
          <w:szCs w:val="24"/>
        </w:rPr>
        <w:t>There was a strong emphasis on the importance of early and equitable access</w:t>
      </w:r>
      <w:r w:rsidR="00DC2385" w:rsidRPr="003D294A">
        <w:rPr>
          <w:rFonts w:ascii="Calibri" w:eastAsia="Times New Roman" w:hAnsi="Calibri" w:cs="Arial"/>
          <w:snapToGrid w:val="0"/>
          <w:szCs w:val="24"/>
        </w:rPr>
        <w:t xml:space="preserve"> to effective treatment for </w:t>
      </w:r>
      <w:r w:rsidR="00BD384B" w:rsidRPr="003D294A">
        <w:rPr>
          <w:rFonts w:ascii="Calibri" w:eastAsia="Times New Roman" w:hAnsi="Calibri" w:cs="Arial"/>
          <w:snapToGrid w:val="0"/>
          <w:szCs w:val="24"/>
        </w:rPr>
        <w:t xml:space="preserve">this </w:t>
      </w:r>
      <w:r w:rsidR="00DC2385" w:rsidRPr="003D294A">
        <w:rPr>
          <w:rFonts w:ascii="Calibri" w:eastAsia="Times New Roman" w:hAnsi="Calibri" w:cs="Arial"/>
          <w:snapToGrid w:val="0"/>
          <w:szCs w:val="24"/>
        </w:rPr>
        <w:t>disease</w:t>
      </w:r>
      <w:r w:rsidR="001D5BE4" w:rsidRPr="003D294A">
        <w:rPr>
          <w:rFonts w:ascii="Calibri" w:eastAsia="Times New Roman" w:hAnsi="Calibri" w:cs="Arial"/>
          <w:snapToGrid w:val="0"/>
          <w:szCs w:val="24"/>
        </w:rPr>
        <w:t xml:space="preserve">, noting that delayed diagnosis and delayed access to effective therapy can result in irreversible kidney damage and loss of transplant opportunities. </w:t>
      </w:r>
    </w:p>
    <w:p w14:paraId="083A94DD" w14:textId="6D137B83" w:rsidR="00D34042" w:rsidRPr="003D294A" w:rsidRDefault="000F3A24" w:rsidP="00CF7B47">
      <w:pPr>
        <w:numPr>
          <w:ilvl w:val="1"/>
          <w:numId w:val="1"/>
        </w:numPr>
        <w:spacing w:after="120"/>
        <w:rPr>
          <w:rFonts w:asciiTheme="minorHAnsi" w:hAnsiTheme="minorHAnsi"/>
          <w:bCs/>
          <w:snapToGrid w:val="0"/>
        </w:rPr>
      </w:pPr>
      <w:r w:rsidRPr="003D294A">
        <w:rPr>
          <w:snapToGrid w:val="0"/>
        </w:rPr>
        <w:t xml:space="preserve">The inputs stated existing treatments (corticosteroids, mycophenolate mofetil, and supportive therapies such as Renin-Angiotensin-Aldosterone System (RAAS) inhibition have poor or inconsistent efficacy, with high rates of treatment failure. </w:t>
      </w:r>
      <w:r w:rsidR="00E9204D" w:rsidRPr="003D294A">
        <w:rPr>
          <w:snapToGrid w:val="0"/>
        </w:rPr>
        <w:t>Additionally, the</w:t>
      </w:r>
      <w:r w:rsidR="00803AA4" w:rsidRPr="003D294A">
        <w:rPr>
          <w:snapToGrid w:val="0"/>
        </w:rPr>
        <w:t xml:space="preserve"> inputs stated that progression</w:t>
      </w:r>
      <w:r w:rsidRPr="003D294A">
        <w:rPr>
          <w:snapToGrid w:val="0"/>
        </w:rPr>
        <w:t xml:space="preserve"> to dialysis </w:t>
      </w:r>
      <w:r w:rsidR="00803AA4" w:rsidRPr="003D294A">
        <w:rPr>
          <w:snapToGrid w:val="0"/>
        </w:rPr>
        <w:t>is associated with profound physical, psychological, social and economic</w:t>
      </w:r>
      <w:r w:rsidRPr="003D294A">
        <w:rPr>
          <w:snapToGrid w:val="0"/>
        </w:rPr>
        <w:t xml:space="preserve"> burden including fatigue</w:t>
      </w:r>
      <w:r w:rsidR="00803AA4" w:rsidRPr="003D294A">
        <w:rPr>
          <w:snapToGrid w:val="0"/>
        </w:rPr>
        <w:t>, depression, infertility, repeated</w:t>
      </w:r>
      <w:r w:rsidRPr="003D294A">
        <w:rPr>
          <w:snapToGrid w:val="0"/>
        </w:rPr>
        <w:t xml:space="preserve"> hospital attendance</w:t>
      </w:r>
      <w:r w:rsidR="00803AA4" w:rsidRPr="003D294A">
        <w:rPr>
          <w:snapToGrid w:val="0"/>
        </w:rPr>
        <w:t xml:space="preserve"> and long-term disengagement from the workforce.</w:t>
      </w:r>
      <w:r w:rsidR="00B651A5" w:rsidRPr="003D294A">
        <w:rPr>
          <w:snapToGrid w:val="0"/>
        </w:rPr>
        <w:t xml:space="preserve"> </w:t>
      </w:r>
      <w:r w:rsidR="00B651A5" w:rsidRPr="003D294A">
        <w:rPr>
          <w:bCs/>
          <w:snapToGrid w:val="0"/>
        </w:rPr>
        <w:t>Clinicians reported that complement-targeting therapies represent a major advance, with pegcetacoplan described as having the strongest current evidence base. Real-world and compassionate-use experiences described by nephrologists include stabilisation of native and transplant kidney function</w:t>
      </w:r>
      <w:r w:rsidR="00992232" w:rsidRPr="003D294A">
        <w:rPr>
          <w:bCs/>
          <w:snapToGrid w:val="0"/>
        </w:rPr>
        <w:t>,</w:t>
      </w:r>
      <w:r w:rsidR="00B651A5" w:rsidRPr="003D294A">
        <w:rPr>
          <w:bCs/>
          <w:snapToGrid w:val="0"/>
        </w:rPr>
        <w:t xml:space="preserve"> reduced hospitalisations and improved clinical </w:t>
      </w:r>
      <w:r w:rsidR="00217902" w:rsidRPr="003D294A">
        <w:rPr>
          <w:bCs/>
          <w:snapToGrid w:val="0"/>
        </w:rPr>
        <w:t xml:space="preserve">and </w:t>
      </w:r>
      <w:r w:rsidR="00DF7E8A">
        <w:rPr>
          <w:bCs/>
          <w:snapToGrid w:val="0"/>
        </w:rPr>
        <w:t>q</w:t>
      </w:r>
      <w:r w:rsidR="00DE0EB5" w:rsidRPr="003D294A">
        <w:rPr>
          <w:bCs/>
          <w:snapToGrid w:val="0"/>
        </w:rPr>
        <w:t xml:space="preserve">uality of life </w:t>
      </w:r>
      <w:r w:rsidR="00B651A5" w:rsidRPr="003D294A">
        <w:rPr>
          <w:bCs/>
          <w:snapToGrid w:val="0"/>
        </w:rPr>
        <w:t xml:space="preserve">trajectories in some patients, including </w:t>
      </w:r>
      <w:r w:rsidR="00DE0EB5" w:rsidRPr="003D294A">
        <w:rPr>
          <w:bCs/>
          <w:snapToGrid w:val="0"/>
        </w:rPr>
        <w:t xml:space="preserve">in patients with </w:t>
      </w:r>
      <w:r w:rsidR="00B651A5" w:rsidRPr="003D294A">
        <w:rPr>
          <w:bCs/>
          <w:snapToGrid w:val="0"/>
        </w:rPr>
        <w:t xml:space="preserve">post-transplant recurrence. </w:t>
      </w:r>
      <w:r w:rsidR="00F33CC1" w:rsidRPr="003D294A">
        <w:rPr>
          <w:snapToGrid w:val="0"/>
        </w:rPr>
        <w:t>Although the subcutaneous pump administration of pegcetacoplan was acknowledged as inconvenient or cumbersome, clinicians reported that patients generally find it acceptable, particularly when compared with dialysis.</w:t>
      </w:r>
      <w:r w:rsidR="00CF7B47">
        <w:rPr>
          <w:snapToGrid w:val="0"/>
        </w:rPr>
        <w:t xml:space="preserve"> </w:t>
      </w:r>
    </w:p>
    <w:p w14:paraId="01367DD3" w14:textId="0358ACBF" w:rsidR="00D34042" w:rsidRPr="003D294A" w:rsidRDefault="00992232" w:rsidP="00CF7B47">
      <w:pPr>
        <w:numPr>
          <w:ilvl w:val="1"/>
          <w:numId w:val="1"/>
        </w:numPr>
        <w:spacing w:after="120"/>
        <w:rPr>
          <w:rFonts w:asciiTheme="minorHAnsi" w:hAnsiTheme="minorHAnsi"/>
          <w:bCs/>
          <w:snapToGrid w:val="0"/>
        </w:rPr>
      </w:pPr>
      <w:r w:rsidRPr="003D294A">
        <w:rPr>
          <w:bCs/>
          <w:snapToGrid w:val="0"/>
        </w:rPr>
        <w:t>T</w:t>
      </w:r>
      <w:r w:rsidR="00B651A5" w:rsidRPr="003D294A">
        <w:rPr>
          <w:bCs/>
          <w:snapToGrid w:val="0"/>
        </w:rPr>
        <w:t xml:space="preserve">he inputs noted </w:t>
      </w:r>
      <w:r w:rsidR="00A012C6" w:rsidRPr="003D294A">
        <w:rPr>
          <w:bCs/>
          <w:snapToGrid w:val="0"/>
        </w:rPr>
        <w:t>the</w:t>
      </w:r>
      <w:r w:rsidR="00B651A5" w:rsidRPr="003D294A">
        <w:rPr>
          <w:bCs/>
          <w:snapToGrid w:val="0"/>
        </w:rPr>
        <w:t xml:space="preserve"> </w:t>
      </w:r>
      <w:r w:rsidR="00742667" w:rsidRPr="003D294A">
        <w:rPr>
          <w:rFonts w:asciiTheme="minorHAnsi" w:hAnsiTheme="minorHAnsi"/>
          <w:bCs/>
          <w:snapToGrid w:val="0"/>
        </w:rPr>
        <w:t>primary safety concern of pegcetacoplan identified by clinicians is the risk of serious infections with encapsulated organisms</w:t>
      </w:r>
      <w:r w:rsidR="007507AB" w:rsidRPr="003D294A">
        <w:rPr>
          <w:rFonts w:asciiTheme="minorHAnsi" w:hAnsiTheme="minorHAnsi"/>
          <w:bCs/>
          <w:snapToGrid w:val="0"/>
        </w:rPr>
        <w:t>, however</w:t>
      </w:r>
      <w:r w:rsidR="00742667" w:rsidRPr="003D294A">
        <w:rPr>
          <w:rFonts w:asciiTheme="minorHAnsi" w:hAnsiTheme="minorHAnsi"/>
          <w:bCs/>
          <w:snapToGrid w:val="0"/>
        </w:rPr>
        <w:t>, pegcetacoplan has been generally well tolerated. By contrast, clinicians emphasise</w:t>
      </w:r>
      <w:r w:rsidR="00CB13F0" w:rsidRPr="003D294A">
        <w:rPr>
          <w:rFonts w:asciiTheme="minorHAnsi" w:hAnsiTheme="minorHAnsi"/>
          <w:bCs/>
          <w:snapToGrid w:val="0"/>
        </w:rPr>
        <w:t>d</w:t>
      </w:r>
      <w:r w:rsidR="00742667" w:rsidRPr="003D294A">
        <w:rPr>
          <w:rFonts w:asciiTheme="minorHAnsi" w:hAnsiTheme="minorHAnsi"/>
          <w:bCs/>
          <w:snapToGrid w:val="0"/>
        </w:rPr>
        <w:t xml:space="preserve"> current immunosuppressive regimens are associated with substantial and well-recognised long-term toxicities, including metabolic effects</w:t>
      </w:r>
      <w:r w:rsidR="00DA4F95" w:rsidRPr="003D294A">
        <w:rPr>
          <w:rFonts w:asciiTheme="minorHAnsi" w:hAnsiTheme="minorHAnsi"/>
          <w:bCs/>
          <w:snapToGrid w:val="0"/>
        </w:rPr>
        <w:t>,</w:t>
      </w:r>
      <w:r w:rsidR="00742667" w:rsidRPr="003D294A">
        <w:rPr>
          <w:rFonts w:asciiTheme="minorHAnsi" w:hAnsiTheme="minorHAnsi"/>
          <w:bCs/>
          <w:snapToGrid w:val="0"/>
        </w:rPr>
        <w:t xml:space="preserve"> osteoporosis</w:t>
      </w:r>
      <w:r w:rsidR="00DA4F95" w:rsidRPr="003D294A">
        <w:rPr>
          <w:rFonts w:asciiTheme="minorHAnsi" w:hAnsiTheme="minorHAnsi"/>
          <w:bCs/>
          <w:snapToGrid w:val="0"/>
        </w:rPr>
        <w:t>,</w:t>
      </w:r>
      <w:r w:rsidR="00742667" w:rsidRPr="003D294A">
        <w:rPr>
          <w:rFonts w:asciiTheme="minorHAnsi" w:hAnsiTheme="minorHAnsi"/>
          <w:bCs/>
          <w:snapToGrid w:val="0"/>
        </w:rPr>
        <w:t xml:space="preserve"> mood disturbance</w:t>
      </w:r>
      <w:r w:rsidR="00DA4F95" w:rsidRPr="003D294A">
        <w:rPr>
          <w:rFonts w:asciiTheme="minorHAnsi" w:hAnsiTheme="minorHAnsi"/>
          <w:bCs/>
          <w:snapToGrid w:val="0"/>
        </w:rPr>
        <w:t>,</w:t>
      </w:r>
      <w:r w:rsidR="00742667" w:rsidRPr="003D294A">
        <w:rPr>
          <w:rFonts w:asciiTheme="minorHAnsi" w:hAnsiTheme="minorHAnsi"/>
          <w:bCs/>
          <w:snapToGrid w:val="0"/>
        </w:rPr>
        <w:t xml:space="preserve"> infection risk and frequent hospital admissions. Several clinicians note</w:t>
      </w:r>
      <w:r w:rsidR="00413440" w:rsidRPr="003D294A">
        <w:rPr>
          <w:rFonts w:asciiTheme="minorHAnsi" w:hAnsiTheme="minorHAnsi"/>
          <w:bCs/>
          <w:snapToGrid w:val="0"/>
        </w:rPr>
        <w:t>d</w:t>
      </w:r>
      <w:r w:rsidR="00742667" w:rsidRPr="003D294A">
        <w:rPr>
          <w:rFonts w:asciiTheme="minorHAnsi" w:hAnsiTheme="minorHAnsi"/>
          <w:bCs/>
          <w:snapToGrid w:val="0"/>
        </w:rPr>
        <w:t xml:space="preserve"> that long-term safety data for pegcetacoplan will remain important, given the likelihood of prolonged treatment.</w:t>
      </w:r>
      <w:r w:rsidR="003E2CC7" w:rsidRPr="003D294A">
        <w:rPr>
          <w:rFonts w:asciiTheme="minorHAnsi" w:hAnsiTheme="minorHAnsi"/>
          <w:bCs/>
          <w:snapToGrid w:val="0"/>
        </w:rPr>
        <w:t xml:space="preserve"> </w:t>
      </w:r>
    </w:p>
    <w:p w14:paraId="722DEB88" w14:textId="6971724B" w:rsidR="0087058E" w:rsidRPr="003D294A" w:rsidRDefault="00543064" w:rsidP="00CF7B47">
      <w:pPr>
        <w:pStyle w:val="COMESnumberedpara"/>
        <w:rPr>
          <w:snapToGrid w:val="0"/>
        </w:rPr>
      </w:pPr>
      <w:r w:rsidRPr="003D294A">
        <w:rPr>
          <w:bCs/>
          <w:snapToGrid w:val="0"/>
        </w:rPr>
        <w:lastRenderedPageBreak/>
        <w:t xml:space="preserve">The PBAC </w:t>
      </w:r>
      <w:r w:rsidR="0075158F" w:rsidRPr="003D294A">
        <w:rPr>
          <w:bCs/>
          <w:snapToGrid w:val="0"/>
        </w:rPr>
        <w:t xml:space="preserve">noted and welcomed the advice received </w:t>
      </w:r>
      <w:r w:rsidR="009C6701" w:rsidRPr="003D294A">
        <w:rPr>
          <w:snapToGrid w:val="0"/>
        </w:rPr>
        <w:t xml:space="preserve">in support of </w:t>
      </w:r>
      <w:r w:rsidR="00DC1D24" w:rsidRPr="003D294A">
        <w:rPr>
          <w:snapToGrid w:val="0"/>
        </w:rPr>
        <w:t xml:space="preserve">the </w:t>
      </w:r>
      <w:r w:rsidR="009C6701" w:rsidRPr="003D294A">
        <w:rPr>
          <w:snapToGrid w:val="0"/>
        </w:rPr>
        <w:t>PBS listing for pegcetacoplan</w:t>
      </w:r>
      <w:r w:rsidR="009C6701" w:rsidRPr="003D294A">
        <w:rPr>
          <w:bCs/>
          <w:snapToGrid w:val="0"/>
        </w:rPr>
        <w:t xml:space="preserve"> </w:t>
      </w:r>
      <w:r w:rsidR="0075158F" w:rsidRPr="003D294A">
        <w:rPr>
          <w:bCs/>
          <w:snapToGrid w:val="0"/>
        </w:rPr>
        <w:t xml:space="preserve">from specialist organisation </w:t>
      </w:r>
      <w:r w:rsidRPr="003D294A">
        <w:rPr>
          <w:bCs/>
          <w:snapToGrid w:val="0"/>
        </w:rPr>
        <w:t>Australian &amp; New Zealand Society of Nephrology (ANZSN)</w:t>
      </w:r>
      <w:r w:rsidR="00324F11" w:rsidRPr="003D294A">
        <w:rPr>
          <w:bCs/>
          <w:snapToGrid w:val="0"/>
        </w:rPr>
        <w:t xml:space="preserve"> and consumer representative group </w:t>
      </w:r>
      <w:r w:rsidRPr="003D294A">
        <w:rPr>
          <w:bCs/>
          <w:snapToGrid w:val="0"/>
        </w:rPr>
        <w:t>Kidney Health Australia</w:t>
      </w:r>
      <w:r w:rsidR="00820F30" w:rsidRPr="003D294A">
        <w:rPr>
          <w:snapToGrid w:val="0"/>
        </w:rPr>
        <w:t>.</w:t>
      </w:r>
      <w:r w:rsidR="00933A3C" w:rsidRPr="003D294A">
        <w:rPr>
          <w:snapToGrid w:val="0"/>
        </w:rPr>
        <w:t xml:space="preserve"> </w:t>
      </w:r>
      <w:r w:rsidR="00E41ECC" w:rsidRPr="003D294A">
        <w:rPr>
          <w:snapToGrid w:val="0"/>
        </w:rPr>
        <w:t xml:space="preserve">The inputs </w:t>
      </w:r>
      <w:r w:rsidR="00D82597" w:rsidRPr="003D294A">
        <w:rPr>
          <w:snapToGrid w:val="0"/>
        </w:rPr>
        <w:t>echoed the same sentiments</w:t>
      </w:r>
      <w:r w:rsidR="00443600" w:rsidRPr="003D294A">
        <w:rPr>
          <w:snapToGrid w:val="0"/>
        </w:rPr>
        <w:t xml:space="preserve"> as the individual inputs. </w:t>
      </w:r>
      <w:r w:rsidR="00444B1F" w:rsidRPr="003D294A">
        <w:rPr>
          <w:snapToGrid w:val="0"/>
        </w:rPr>
        <w:t>Both organisations</w:t>
      </w:r>
      <w:r w:rsidR="009D6EB5" w:rsidRPr="003D294A">
        <w:rPr>
          <w:snapToGrid w:val="0"/>
        </w:rPr>
        <w:t xml:space="preserve"> noted that </w:t>
      </w:r>
      <w:r w:rsidR="008F3EF4" w:rsidRPr="003D294A">
        <w:rPr>
          <w:snapToGrid w:val="0"/>
        </w:rPr>
        <w:t xml:space="preserve">C3G and IC-MPGN most commonly affect young people, </w:t>
      </w:r>
      <w:r w:rsidR="00AC3368" w:rsidRPr="003D294A">
        <w:rPr>
          <w:snapToGrid w:val="0"/>
        </w:rPr>
        <w:t xml:space="preserve">with </w:t>
      </w:r>
      <w:r w:rsidR="00444B1F" w:rsidRPr="003D294A">
        <w:rPr>
          <w:snapToGrid w:val="0"/>
        </w:rPr>
        <w:t xml:space="preserve">many </w:t>
      </w:r>
      <w:r w:rsidR="00AC3368" w:rsidRPr="003D294A">
        <w:rPr>
          <w:snapToGrid w:val="0"/>
        </w:rPr>
        <w:t xml:space="preserve">young patients </w:t>
      </w:r>
      <w:r w:rsidR="00444B1F" w:rsidRPr="003D294A">
        <w:rPr>
          <w:snapToGrid w:val="0"/>
        </w:rPr>
        <w:t xml:space="preserve">reporting </w:t>
      </w:r>
      <w:r w:rsidR="00AC3368" w:rsidRPr="003D294A">
        <w:rPr>
          <w:snapToGrid w:val="0"/>
        </w:rPr>
        <w:t xml:space="preserve">that they </w:t>
      </w:r>
      <w:r w:rsidR="008F3EF4" w:rsidRPr="003D294A">
        <w:rPr>
          <w:snapToGrid w:val="0"/>
        </w:rPr>
        <w:t>fe</w:t>
      </w:r>
      <w:r w:rsidR="00AC3368" w:rsidRPr="003D294A">
        <w:rPr>
          <w:snapToGrid w:val="0"/>
        </w:rPr>
        <w:t>lt</w:t>
      </w:r>
      <w:r w:rsidR="008F3EF4" w:rsidRPr="003D294A">
        <w:rPr>
          <w:snapToGrid w:val="0"/>
        </w:rPr>
        <w:t xml:space="preserve"> lonely</w:t>
      </w:r>
      <w:r w:rsidR="00AC3368" w:rsidRPr="003D294A">
        <w:rPr>
          <w:snapToGrid w:val="0"/>
        </w:rPr>
        <w:t xml:space="preserve"> and</w:t>
      </w:r>
      <w:r w:rsidR="008F3EF4" w:rsidRPr="003D294A">
        <w:rPr>
          <w:snapToGrid w:val="0"/>
        </w:rPr>
        <w:t xml:space="preserve"> lack</w:t>
      </w:r>
      <w:r w:rsidR="00AC3368" w:rsidRPr="003D294A">
        <w:rPr>
          <w:snapToGrid w:val="0"/>
        </w:rPr>
        <w:t>ed</w:t>
      </w:r>
      <w:r w:rsidR="008F3EF4" w:rsidRPr="003D294A">
        <w:rPr>
          <w:snapToGrid w:val="0"/>
        </w:rPr>
        <w:t xml:space="preserve"> a sense of belonging</w:t>
      </w:r>
      <w:r w:rsidR="00564B31" w:rsidRPr="003D294A">
        <w:rPr>
          <w:snapToGrid w:val="0"/>
        </w:rPr>
        <w:t xml:space="preserve">, </w:t>
      </w:r>
      <w:r w:rsidR="008F3EF4" w:rsidRPr="003D294A">
        <w:rPr>
          <w:snapToGrid w:val="0"/>
        </w:rPr>
        <w:t>miss</w:t>
      </w:r>
      <w:r w:rsidR="00082F5A" w:rsidRPr="003D294A">
        <w:rPr>
          <w:snapToGrid w:val="0"/>
        </w:rPr>
        <w:t>ed</w:t>
      </w:r>
      <w:r w:rsidR="008F3EF4" w:rsidRPr="003D294A">
        <w:rPr>
          <w:snapToGrid w:val="0"/>
        </w:rPr>
        <w:t xml:space="preserve"> </w:t>
      </w:r>
      <w:r w:rsidR="00456040" w:rsidRPr="003D294A">
        <w:rPr>
          <w:snapToGrid w:val="0"/>
        </w:rPr>
        <w:t>c</w:t>
      </w:r>
      <w:r w:rsidR="003C2E64" w:rsidRPr="003D294A">
        <w:rPr>
          <w:snapToGrid w:val="0"/>
        </w:rPr>
        <w:t>l</w:t>
      </w:r>
      <w:r w:rsidR="00456040" w:rsidRPr="003D294A">
        <w:rPr>
          <w:snapToGrid w:val="0"/>
        </w:rPr>
        <w:t xml:space="preserve">asses </w:t>
      </w:r>
      <w:r w:rsidR="00716926" w:rsidRPr="003D294A">
        <w:rPr>
          <w:snapToGrid w:val="0"/>
        </w:rPr>
        <w:t xml:space="preserve">as </w:t>
      </w:r>
      <w:r w:rsidR="00124420" w:rsidRPr="003D294A">
        <w:rPr>
          <w:snapToGrid w:val="0"/>
        </w:rPr>
        <w:t xml:space="preserve">well as </w:t>
      </w:r>
      <w:r w:rsidR="00716926" w:rsidRPr="003D294A">
        <w:rPr>
          <w:snapToGrid w:val="0"/>
        </w:rPr>
        <w:t xml:space="preserve">key </w:t>
      </w:r>
      <w:r w:rsidR="008F3EF4" w:rsidRPr="003D294A">
        <w:rPr>
          <w:snapToGrid w:val="0"/>
        </w:rPr>
        <w:t>milestones</w:t>
      </w:r>
      <w:r w:rsidR="00CA236D" w:rsidRPr="003D294A">
        <w:rPr>
          <w:snapToGrid w:val="0"/>
        </w:rPr>
        <w:t xml:space="preserve"> such as </w:t>
      </w:r>
      <w:r w:rsidR="008F3EF4" w:rsidRPr="003D294A">
        <w:rPr>
          <w:snapToGrid w:val="0"/>
        </w:rPr>
        <w:t>school camps, sports activities, events</w:t>
      </w:r>
      <w:r w:rsidR="00CA236D" w:rsidRPr="003D294A">
        <w:rPr>
          <w:snapToGrid w:val="0"/>
        </w:rPr>
        <w:t xml:space="preserve"> </w:t>
      </w:r>
      <w:r w:rsidR="008F3EF4" w:rsidRPr="003D294A">
        <w:rPr>
          <w:snapToGrid w:val="0"/>
        </w:rPr>
        <w:t xml:space="preserve">and group activities. </w:t>
      </w:r>
      <w:r w:rsidR="00726483" w:rsidRPr="003D294A">
        <w:rPr>
          <w:snapToGrid w:val="0"/>
        </w:rPr>
        <w:t xml:space="preserve">The inputs noted </w:t>
      </w:r>
      <w:r w:rsidR="00726483" w:rsidRPr="003D294A">
        <w:rPr>
          <w:rFonts w:eastAsia="Times New Roman" w:cs="Arial"/>
          <w:bCs/>
          <w:snapToGrid w:val="0"/>
          <w:szCs w:val="24"/>
        </w:rPr>
        <w:t>t</w:t>
      </w:r>
      <w:r w:rsidR="0087058E" w:rsidRPr="003D294A">
        <w:rPr>
          <w:rFonts w:eastAsia="Times New Roman" w:cs="Arial"/>
          <w:bCs/>
          <w:snapToGrid w:val="0"/>
          <w:szCs w:val="24"/>
        </w:rPr>
        <w:t>he</w:t>
      </w:r>
      <w:r w:rsidR="0087058E" w:rsidRPr="003D294A">
        <w:rPr>
          <w:rFonts w:eastAsia="Times New Roman" w:cs="Arial"/>
          <w:snapToGrid w:val="0"/>
          <w:szCs w:val="24"/>
        </w:rPr>
        <w:t xml:space="preserve"> impacts of kidney disease on young people are further spread across the families of young people with kidney disease and have consequences on carers’ mental health and financial resources.</w:t>
      </w:r>
      <w:r w:rsidR="0087058E" w:rsidRPr="003D294A">
        <w:rPr>
          <w:rFonts w:eastAsia="Times New Roman" w:cs="Arial"/>
          <w:bCs/>
          <w:snapToGrid w:val="0"/>
          <w:szCs w:val="24"/>
        </w:rPr>
        <w:t xml:space="preserve"> </w:t>
      </w:r>
      <w:r w:rsidR="000D78BF" w:rsidRPr="003D294A">
        <w:rPr>
          <w:snapToGrid w:val="0"/>
        </w:rPr>
        <w:t>ANZSN noted</w:t>
      </w:r>
      <w:r w:rsidR="00B276CE" w:rsidRPr="003D294A">
        <w:rPr>
          <w:snapToGrid w:val="0"/>
        </w:rPr>
        <w:t xml:space="preserve"> that </w:t>
      </w:r>
      <w:r w:rsidR="006E6F76" w:rsidRPr="003D294A">
        <w:rPr>
          <w:snapToGrid w:val="0"/>
        </w:rPr>
        <w:t xml:space="preserve">patients often experience significant delays in diagnosis which requires </w:t>
      </w:r>
      <w:r w:rsidR="00F0357A" w:rsidRPr="003D294A">
        <w:rPr>
          <w:snapToGrid w:val="0"/>
        </w:rPr>
        <w:t xml:space="preserve">specialist nephrology services </w:t>
      </w:r>
      <w:r w:rsidR="006E6F76" w:rsidRPr="003D294A">
        <w:rPr>
          <w:snapToGrid w:val="0"/>
        </w:rPr>
        <w:t xml:space="preserve">and </w:t>
      </w:r>
      <w:r w:rsidR="00F0357A" w:rsidRPr="003D294A">
        <w:rPr>
          <w:snapToGrid w:val="0"/>
        </w:rPr>
        <w:t xml:space="preserve">diagnostic </w:t>
      </w:r>
      <w:r w:rsidR="006E6F76" w:rsidRPr="003D294A">
        <w:rPr>
          <w:snapToGrid w:val="0"/>
        </w:rPr>
        <w:t>procedures.</w:t>
      </w:r>
      <w:r w:rsidR="00F0357A" w:rsidRPr="003D294A">
        <w:rPr>
          <w:snapToGrid w:val="0"/>
        </w:rPr>
        <w:t xml:space="preserve"> These delays to diagnosis can result in patients presenting at more advanced stages of disease with higher risk of progression to kidney failure.</w:t>
      </w:r>
      <w:r w:rsidR="008720CC" w:rsidRPr="003D294A">
        <w:rPr>
          <w:snapToGrid w:val="0"/>
        </w:rPr>
        <w:t xml:space="preserve"> </w:t>
      </w:r>
      <w:r w:rsidR="009E1581" w:rsidRPr="003D294A">
        <w:rPr>
          <w:snapToGrid w:val="0"/>
        </w:rPr>
        <w:t xml:space="preserve">The organisations </w:t>
      </w:r>
      <w:r w:rsidR="008720CC" w:rsidRPr="003D294A">
        <w:rPr>
          <w:snapToGrid w:val="0"/>
        </w:rPr>
        <w:t xml:space="preserve">noted that </w:t>
      </w:r>
      <w:r w:rsidR="00F11BEE" w:rsidRPr="003D294A">
        <w:rPr>
          <w:snapToGrid w:val="0"/>
        </w:rPr>
        <w:t>m</w:t>
      </w:r>
      <w:r w:rsidR="00741E28" w:rsidRPr="003D294A">
        <w:rPr>
          <w:snapToGrid w:val="0"/>
        </w:rPr>
        <w:t xml:space="preserve">any patients do not have access to any effective targeted therapies and are managed with untargeted immunosuppression or supportive treatments. </w:t>
      </w:r>
      <w:r w:rsidR="00187F42" w:rsidRPr="003D294A">
        <w:rPr>
          <w:snapToGrid w:val="0"/>
        </w:rPr>
        <w:t>The inputs emphasised that r</w:t>
      </w:r>
      <w:r w:rsidR="00DB6768" w:rsidRPr="003D294A">
        <w:rPr>
          <w:snapToGrid w:val="0"/>
        </w:rPr>
        <w:t>educing the incidence of kidney failure can prevent physical, mental and emotional symptoms, prevent reduced quality of life and reduce carer burden and loss of income for patients and their families.</w:t>
      </w:r>
      <w:r w:rsidR="00947A56" w:rsidRPr="003D294A">
        <w:rPr>
          <w:snapToGrid w:val="0"/>
        </w:rPr>
        <w:t xml:space="preserve"> </w:t>
      </w:r>
      <w:r w:rsidR="009128F1" w:rsidRPr="003D294A">
        <w:rPr>
          <w:snapToGrid w:val="0"/>
        </w:rPr>
        <w:t xml:space="preserve">The </w:t>
      </w:r>
      <w:r w:rsidR="00187F42" w:rsidRPr="003D294A">
        <w:rPr>
          <w:snapToGrid w:val="0"/>
        </w:rPr>
        <w:t>i</w:t>
      </w:r>
      <w:r w:rsidR="00FF2867" w:rsidRPr="003D294A">
        <w:rPr>
          <w:snapToGrid w:val="0"/>
        </w:rPr>
        <w:t>nput</w:t>
      </w:r>
      <w:r w:rsidR="00187F42" w:rsidRPr="003D294A">
        <w:rPr>
          <w:snapToGrid w:val="0"/>
        </w:rPr>
        <w:t>s also</w:t>
      </w:r>
      <w:r w:rsidR="00FF2867" w:rsidRPr="003D294A">
        <w:rPr>
          <w:snapToGrid w:val="0"/>
        </w:rPr>
        <w:t xml:space="preserve"> noted</w:t>
      </w:r>
      <w:r w:rsidR="008931D3" w:rsidRPr="003D294A">
        <w:rPr>
          <w:snapToGrid w:val="0"/>
        </w:rPr>
        <w:t xml:space="preserve"> that pegcetacoplan </w:t>
      </w:r>
      <w:r w:rsidR="00DB6768" w:rsidRPr="003D294A">
        <w:rPr>
          <w:snapToGrid w:val="0"/>
        </w:rPr>
        <w:t xml:space="preserve">is well tolerated and acceptable to patients despite the requirement for subcutaneous administration. </w:t>
      </w:r>
    </w:p>
    <w:bookmarkEnd w:id="21"/>
    <w:bookmarkEnd w:id="24"/>
    <w:p w14:paraId="6CDA833E" w14:textId="2B679DDA" w:rsidR="006F4432" w:rsidRPr="003D294A" w:rsidRDefault="006F4432" w:rsidP="00CF7B47">
      <w:pPr>
        <w:numPr>
          <w:ilvl w:val="1"/>
          <w:numId w:val="1"/>
        </w:numPr>
        <w:spacing w:after="120"/>
        <w:rPr>
          <w:rFonts w:asciiTheme="minorHAnsi" w:hAnsiTheme="minorHAnsi"/>
          <w:bCs/>
          <w:snapToGrid w:val="0"/>
        </w:rPr>
      </w:pPr>
      <w:r w:rsidRPr="003D294A">
        <w:rPr>
          <w:rFonts w:asciiTheme="minorHAnsi" w:hAnsiTheme="minorHAnsi"/>
          <w:bCs/>
          <w:snapToGrid w:val="0"/>
        </w:rPr>
        <w:t xml:space="preserve">The PBAC noted that this advice was supportive of the evidence provided in the submission. </w:t>
      </w:r>
    </w:p>
    <w:p w14:paraId="609C0765" w14:textId="6103E3B5" w:rsidR="00B60939" w:rsidRPr="003D294A" w:rsidRDefault="00B60939" w:rsidP="00CF7B47">
      <w:pPr>
        <w:pStyle w:val="COMESSubsectionheading"/>
      </w:pPr>
      <w:r w:rsidRPr="003D294A">
        <w:t>Clinical trials</w:t>
      </w:r>
      <w:bookmarkEnd w:id="20"/>
      <w:bookmarkEnd w:id="22"/>
    </w:p>
    <w:p w14:paraId="17DE34DC" w14:textId="35B04A27" w:rsidR="007F1017" w:rsidRPr="003D294A" w:rsidRDefault="00A21EF0" w:rsidP="00CF7B47">
      <w:pPr>
        <w:pStyle w:val="COMESnumberedpara"/>
      </w:pPr>
      <w:r w:rsidRPr="003D294A">
        <w:t>The submission was based on a head-to-head randomised trial of pegcetacoplan versus placebo in patients with C3G or primary IC-MPGN (VALIANT).</w:t>
      </w:r>
    </w:p>
    <w:p w14:paraId="3B0805A2" w14:textId="163F02F2" w:rsidR="00A21EF0" w:rsidRPr="003D294A" w:rsidRDefault="00A21EF0" w:rsidP="00CF7B47">
      <w:pPr>
        <w:pStyle w:val="COMESnumberedpara"/>
      </w:pPr>
      <w:r w:rsidRPr="003D294A">
        <w:t>The submission also presented a Bucher indirect comparison of pegcetacoplan (VALIANT) versus iptacopan (APPEAR-C3G) using placebo as a common reference. The submission used data from the APPEAR-C3G trial based on the adult cohort. The APPEAR-C3G trial is ongoing for the adolescent cohort, with expected completion in July 2026.</w:t>
      </w:r>
    </w:p>
    <w:p w14:paraId="04CF89C7" w14:textId="7DA39CD1" w:rsidR="00434F2C" w:rsidRPr="003D294A" w:rsidRDefault="00434F2C" w:rsidP="00CF7B47">
      <w:pPr>
        <w:pStyle w:val="COMESnumberedpara"/>
      </w:pPr>
      <w:r w:rsidRPr="003D294A">
        <w:t>The submission excluded two open-label phase 2 studies of pegcetacoplan: a randomised controlled trial in post-transplant patients with recurrent C3G or IC-MPGN (NOBLE) and a single-arm study of pegcetacoplan in patients with C3G and other complement-mediated diseases (DISCOVERY). Reasons for exclusion of these studies were not provided in the submission. The DISCOVERY study recruited a small number of patients with C3G (n=8), with key results supportive of proteinuria reduction in patients treated with pegcetacoplan (mean change in 24-hour UPCR of 50.9% from baseline to Week 48) (Dixon 2023). The NOBLE study was a phase 2, multi-centre, open label randomised controlled trial of pegcetacoplan in post-transplant patients with recurrent C3G or IC-MPGN (pegcetacoplan n=10, placebo n=3) (Bomback 2024). The results suggested that pegcetacoplan was associated with reductions in C3c staining on renal biopsy and other biomarkers of disease activity in patients with post-</w:t>
      </w:r>
      <w:r w:rsidRPr="003D294A">
        <w:lastRenderedPageBreak/>
        <w:t>transplant disease recurrence. Outcomes based on proteinuria and eGFR levels were exploratory and inconclusive.</w:t>
      </w:r>
      <w:r w:rsidR="00CF7B47">
        <w:t xml:space="preserve">  </w:t>
      </w:r>
    </w:p>
    <w:p w14:paraId="3BEF5EDE" w14:textId="1917C455" w:rsidR="00434F2C" w:rsidRPr="003D294A" w:rsidRDefault="00434F2C" w:rsidP="00CF7B47">
      <w:pPr>
        <w:pStyle w:val="COMESnumberedpara"/>
      </w:pPr>
      <w:r w:rsidRPr="003D294A">
        <w:t>The submission excluded an ongoing long-term extension study of pegcetacoplan that included patients who completed 52 weeks of the VALIANT trial (VALE). The planned study duration is 2.5 years with expected completion in July 2027.</w:t>
      </w:r>
    </w:p>
    <w:p w14:paraId="349D12BE" w14:textId="6103B8D2" w:rsidR="001336BB" w:rsidRPr="003D294A" w:rsidRDefault="001336BB" w:rsidP="00CF7B47">
      <w:pPr>
        <w:pStyle w:val="COMESnumberedpara"/>
      </w:pPr>
      <w:r w:rsidRPr="003D294A">
        <w:t>The submission excluded two ongoing studies of iptacopan: a randomised controlled trial in patients with primary IC-MPGN (APPARENT, expected completion May 2029) and a long-term extension study in patients with C3G or IC-MPGN (B12001B, expected completion May 2036). The submission also excluded a phase 2 study of iptacopan in patients with C3G glomerulopathy (X2202). No reason for exclusion of this study was provided.</w:t>
      </w:r>
    </w:p>
    <w:p w14:paraId="2B59ABAC" w14:textId="27AAA0A9" w:rsidR="00862502" w:rsidRPr="003D294A" w:rsidRDefault="00A73134" w:rsidP="00CF7B47">
      <w:pPr>
        <w:pStyle w:val="COMESnumberedpara"/>
      </w:pPr>
      <w:r w:rsidRPr="003D294A">
        <w:t xml:space="preserve">Details of the </w:t>
      </w:r>
      <w:r w:rsidR="001336BB" w:rsidRPr="003D294A">
        <w:t>included trials</w:t>
      </w:r>
      <w:r w:rsidRPr="003D294A">
        <w:t xml:space="preserve"> presented in the submission are provided in </w:t>
      </w:r>
      <w:r w:rsidR="00696EF9" w:rsidRPr="003D294A">
        <w:fldChar w:fldCharType="begin"/>
      </w:r>
      <w:r w:rsidR="00696EF9" w:rsidRPr="003D294A">
        <w:instrText xml:space="preserve"> REF _Ref104803956 \h </w:instrText>
      </w:r>
      <w:r w:rsidR="0076264C" w:rsidRPr="003D294A">
        <w:instrText xml:space="preserve"> \* MERGEFORMAT </w:instrText>
      </w:r>
      <w:r w:rsidR="00696EF9" w:rsidRPr="003D294A">
        <w:fldChar w:fldCharType="separate"/>
      </w:r>
      <w:r w:rsidR="00632853" w:rsidRPr="003D294A">
        <w:t xml:space="preserve">Table </w:t>
      </w:r>
      <w:r w:rsidR="00632853">
        <w:t>2</w:t>
      </w:r>
      <w:r w:rsidR="00696EF9" w:rsidRPr="003D294A">
        <w:fldChar w:fldCharType="end"/>
      </w:r>
      <w:r w:rsidRPr="003D294A">
        <w:t>.</w:t>
      </w:r>
      <w:r w:rsidR="00BC591F" w:rsidRPr="003D294A">
        <w:t xml:space="preserve"> </w:t>
      </w:r>
    </w:p>
    <w:p w14:paraId="7DE3A286" w14:textId="0C9E3ECD" w:rsidR="008E0D3C" w:rsidRPr="003D294A" w:rsidRDefault="00696EF9" w:rsidP="00CF7B47">
      <w:pPr>
        <w:pStyle w:val="COMTableFigurecaption"/>
      </w:pPr>
      <w:bookmarkStart w:id="25" w:name="_Ref104803956"/>
      <w:r w:rsidRPr="003D294A">
        <w:t xml:space="preserve">Table </w:t>
      </w:r>
      <w:fldSimple w:instr=" SEQ Table \* ARABIC ">
        <w:r w:rsidR="00632853">
          <w:rPr>
            <w:noProof/>
          </w:rPr>
          <w:t>2</w:t>
        </w:r>
      </w:fldSimple>
      <w:bookmarkEnd w:id="25"/>
      <w:r w:rsidRPr="003D294A">
        <w:t>:</w:t>
      </w:r>
      <w:r w:rsidR="00BC591F" w:rsidRPr="003D294A">
        <w:t xml:space="preserve"> </w:t>
      </w:r>
      <w:r w:rsidR="008E0D3C" w:rsidRPr="003D294A">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551"/>
        <w:gridCol w:w="5271"/>
        <w:gridCol w:w="2195"/>
      </w:tblGrid>
      <w:tr w:rsidR="00E653E3" w:rsidRPr="003D294A" w14:paraId="655C4571" w14:textId="77777777" w:rsidTr="00CF7B47">
        <w:trPr>
          <w:cantSplit/>
          <w:tblHeader/>
        </w:trPr>
        <w:tc>
          <w:tcPr>
            <w:tcW w:w="860" w:type="pct"/>
            <w:tcBorders>
              <w:bottom w:val="single" w:sz="4" w:space="0" w:color="auto"/>
            </w:tcBorders>
            <w:vAlign w:val="center"/>
          </w:tcPr>
          <w:p w14:paraId="59ADF93B" w14:textId="77777777" w:rsidR="00E653E3" w:rsidRPr="003D294A" w:rsidRDefault="00E653E3" w:rsidP="00CF7B47">
            <w:pPr>
              <w:pStyle w:val="COMTableheadingrow"/>
              <w:keepNext w:val="0"/>
              <w:keepLines w:val="0"/>
            </w:pPr>
            <w:r w:rsidRPr="003D294A">
              <w:t>Trial ID</w:t>
            </w:r>
          </w:p>
        </w:tc>
        <w:tc>
          <w:tcPr>
            <w:tcW w:w="2923" w:type="pct"/>
            <w:tcBorders>
              <w:bottom w:val="single" w:sz="4" w:space="0" w:color="auto"/>
            </w:tcBorders>
            <w:vAlign w:val="center"/>
          </w:tcPr>
          <w:p w14:paraId="023F3B1B" w14:textId="77777777" w:rsidR="00E653E3" w:rsidRPr="003D294A" w:rsidRDefault="00E653E3" w:rsidP="00CF7B47">
            <w:pPr>
              <w:pStyle w:val="COMTableheadingrow"/>
              <w:keepNext w:val="0"/>
              <w:keepLines w:val="0"/>
            </w:pPr>
            <w:r w:rsidRPr="003D294A">
              <w:t>Protocol title/ Publication title</w:t>
            </w:r>
          </w:p>
        </w:tc>
        <w:tc>
          <w:tcPr>
            <w:tcW w:w="1217" w:type="pct"/>
            <w:tcBorders>
              <w:bottom w:val="single" w:sz="4" w:space="0" w:color="auto"/>
            </w:tcBorders>
            <w:vAlign w:val="center"/>
          </w:tcPr>
          <w:p w14:paraId="4ECB3926" w14:textId="77777777" w:rsidR="00E653E3" w:rsidRPr="003D294A" w:rsidRDefault="00E653E3" w:rsidP="00CF7B47">
            <w:pPr>
              <w:pStyle w:val="COMTableheadingrow"/>
              <w:keepNext w:val="0"/>
              <w:keepLines w:val="0"/>
            </w:pPr>
            <w:r w:rsidRPr="003D294A">
              <w:t>Publication citation</w:t>
            </w:r>
          </w:p>
        </w:tc>
      </w:tr>
      <w:tr w:rsidR="00E653E3" w:rsidRPr="003D294A" w14:paraId="1C51C418" w14:textId="77777777" w:rsidTr="00CF7B47">
        <w:trPr>
          <w:cantSplit/>
          <w:trHeight w:val="58"/>
        </w:trPr>
        <w:tc>
          <w:tcPr>
            <w:tcW w:w="860" w:type="pct"/>
            <w:vMerge w:val="restart"/>
            <w:vAlign w:val="center"/>
          </w:tcPr>
          <w:p w14:paraId="78FF703B" w14:textId="77777777" w:rsidR="00E653E3" w:rsidRPr="003D294A" w:rsidRDefault="00E653E3" w:rsidP="00CF7B47">
            <w:pPr>
              <w:pStyle w:val="COMTabletext"/>
              <w:keepNext w:val="0"/>
              <w:keepLines w:val="0"/>
            </w:pPr>
            <w:r w:rsidRPr="003D294A">
              <w:t>VALIANT</w:t>
            </w:r>
          </w:p>
          <w:p w14:paraId="7A817E44" w14:textId="77777777" w:rsidR="00E653E3" w:rsidRPr="003D294A" w:rsidRDefault="00E653E3" w:rsidP="00CF7B47">
            <w:pPr>
              <w:pStyle w:val="COMTabletext"/>
              <w:keepNext w:val="0"/>
              <w:keepLines w:val="0"/>
            </w:pPr>
            <w:r w:rsidRPr="003D294A">
              <w:t>(APL2-C3G-310)</w:t>
            </w:r>
          </w:p>
        </w:tc>
        <w:tc>
          <w:tcPr>
            <w:tcW w:w="2923" w:type="pct"/>
            <w:tcBorders>
              <w:bottom w:val="nil"/>
            </w:tcBorders>
          </w:tcPr>
          <w:p w14:paraId="54D5FA34" w14:textId="77777777" w:rsidR="00E653E3" w:rsidRPr="003D294A" w:rsidRDefault="00E653E3" w:rsidP="00CF7B47">
            <w:pPr>
              <w:pStyle w:val="COMTabletext"/>
              <w:spacing w:after="120"/>
              <w:rPr>
                <w:szCs w:val="18"/>
              </w:rPr>
            </w:pPr>
            <w:r w:rsidRPr="003D294A">
              <w:rPr>
                <w:szCs w:val="18"/>
              </w:rPr>
              <w:t>Apellis Pharmaceuticals (2024). AP2-C3G-310 clinical study report. A Phase 3, randomized, placebo-controlled, double-blinded, multicenter study to evaluate the efficacy and safety of pegcetacoplan in patients with C3 glomerulopathy or immune-complex membranoproliferative glomerulonephritis</w:t>
            </w:r>
          </w:p>
        </w:tc>
        <w:tc>
          <w:tcPr>
            <w:tcW w:w="1217" w:type="pct"/>
            <w:tcBorders>
              <w:bottom w:val="nil"/>
            </w:tcBorders>
          </w:tcPr>
          <w:p w14:paraId="2FEC6E57" w14:textId="77777777" w:rsidR="00E653E3" w:rsidRPr="003D294A" w:rsidRDefault="00E653E3" w:rsidP="00CF7B47">
            <w:pPr>
              <w:pStyle w:val="COMTabletext"/>
            </w:pPr>
            <w:r w:rsidRPr="003D294A">
              <w:t>Internal study report</w:t>
            </w:r>
          </w:p>
        </w:tc>
      </w:tr>
      <w:tr w:rsidR="00E653E3" w:rsidRPr="003D294A" w14:paraId="63D3EE9A" w14:textId="77777777" w:rsidTr="00CF7B47">
        <w:trPr>
          <w:cantSplit/>
          <w:trHeight w:val="58"/>
        </w:trPr>
        <w:tc>
          <w:tcPr>
            <w:tcW w:w="860" w:type="pct"/>
            <w:vMerge/>
            <w:vAlign w:val="center"/>
          </w:tcPr>
          <w:p w14:paraId="07DC80F3" w14:textId="77777777" w:rsidR="00E653E3" w:rsidRPr="003D294A" w:rsidRDefault="00E653E3" w:rsidP="00CF7B47">
            <w:pPr>
              <w:pStyle w:val="COMTabletext"/>
              <w:keepNext w:val="0"/>
              <w:keepLines w:val="0"/>
            </w:pPr>
          </w:p>
        </w:tc>
        <w:tc>
          <w:tcPr>
            <w:tcW w:w="2923" w:type="pct"/>
            <w:tcBorders>
              <w:top w:val="nil"/>
              <w:bottom w:val="nil"/>
            </w:tcBorders>
          </w:tcPr>
          <w:p w14:paraId="314B8E8B" w14:textId="77777777" w:rsidR="00E653E3" w:rsidRPr="003D294A" w:rsidRDefault="00E653E3" w:rsidP="00CF7B47">
            <w:pPr>
              <w:pStyle w:val="COMTabletext"/>
              <w:spacing w:after="120"/>
              <w:rPr>
                <w:szCs w:val="18"/>
              </w:rPr>
            </w:pPr>
            <w:r w:rsidRPr="003D294A">
              <w:rPr>
                <w:szCs w:val="18"/>
              </w:rPr>
              <w:t xml:space="preserve">Apellis Pharmaceuticals (2025). APL2-C3G-310 Week 52 clinical study report. A Phase 3, randomized, placebo-controlled, double-blinded, multicenter study to evaluate the efficacy and safety of pegcetacoplan in patients with C3 glomerulopathy or immune-complex membranoproliferative glomerulonephritis </w:t>
            </w:r>
          </w:p>
        </w:tc>
        <w:tc>
          <w:tcPr>
            <w:tcW w:w="1217" w:type="pct"/>
            <w:tcBorders>
              <w:top w:val="nil"/>
              <w:bottom w:val="nil"/>
            </w:tcBorders>
          </w:tcPr>
          <w:p w14:paraId="3AA8410A" w14:textId="77777777" w:rsidR="00E653E3" w:rsidRPr="003D294A" w:rsidRDefault="00E653E3" w:rsidP="00CF7B47">
            <w:pPr>
              <w:pStyle w:val="COMTabletext"/>
            </w:pPr>
            <w:r w:rsidRPr="003D294A">
              <w:t>Internal study report</w:t>
            </w:r>
          </w:p>
        </w:tc>
      </w:tr>
      <w:tr w:rsidR="00E653E3" w:rsidRPr="003D294A" w14:paraId="1432E0BE" w14:textId="77777777" w:rsidTr="00CF7B47">
        <w:trPr>
          <w:cantSplit/>
          <w:trHeight w:val="58"/>
        </w:trPr>
        <w:tc>
          <w:tcPr>
            <w:tcW w:w="860" w:type="pct"/>
            <w:vMerge/>
            <w:vAlign w:val="center"/>
          </w:tcPr>
          <w:p w14:paraId="54757F35" w14:textId="77777777" w:rsidR="00E653E3" w:rsidRPr="003D294A" w:rsidRDefault="00E653E3" w:rsidP="00CF7B47">
            <w:pPr>
              <w:pStyle w:val="COMTabletext"/>
              <w:keepNext w:val="0"/>
              <w:keepLines w:val="0"/>
            </w:pPr>
          </w:p>
        </w:tc>
        <w:tc>
          <w:tcPr>
            <w:tcW w:w="2923" w:type="pct"/>
            <w:tcBorders>
              <w:top w:val="nil"/>
            </w:tcBorders>
          </w:tcPr>
          <w:p w14:paraId="3A9DF85C" w14:textId="77777777" w:rsidR="00E653E3" w:rsidRPr="003D294A" w:rsidRDefault="00E653E3" w:rsidP="00CF7B47">
            <w:pPr>
              <w:pStyle w:val="COMTabletext"/>
              <w:rPr>
                <w:szCs w:val="18"/>
              </w:rPr>
            </w:pPr>
            <w:r w:rsidRPr="003D294A">
              <w:rPr>
                <w:szCs w:val="18"/>
              </w:rPr>
              <w:t>Fakhouri et al (2025). Trial of pegcetacoplan in C3 glomerulopathy and immune-complex MPGN</w:t>
            </w:r>
          </w:p>
        </w:tc>
        <w:tc>
          <w:tcPr>
            <w:tcW w:w="1217" w:type="pct"/>
            <w:tcBorders>
              <w:top w:val="nil"/>
            </w:tcBorders>
          </w:tcPr>
          <w:p w14:paraId="594DAEAC" w14:textId="77777777" w:rsidR="00E653E3" w:rsidRPr="003D294A" w:rsidRDefault="00E653E3" w:rsidP="00CF7B47">
            <w:pPr>
              <w:pStyle w:val="COMTabletext"/>
            </w:pPr>
            <w:r w:rsidRPr="003D294A">
              <w:t>New England Journal of Medicine 393:2210-20</w:t>
            </w:r>
          </w:p>
        </w:tc>
      </w:tr>
      <w:tr w:rsidR="00E653E3" w:rsidRPr="003D294A" w14:paraId="2CA57492" w14:textId="77777777" w:rsidTr="00CF7B47">
        <w:trPr>
          <w:cantSplit/>
        </w:trPr>
        <w:tc>
          <w:tcPr>
            <w:tcW w:w="860" w:type="pct"/>
            <w:vMerge w:val="restart"/>
            <w:vAlign w:val="center"/>
          </w:tcPr>
          <w:p w14:paraId="33F33969" w14:textId="77777777" w:rsidR="00E653E3" w:rsidRPr="003D294A" w:rsidRDefault="00E653E3" w:rsidP="00CF7B47">
            <w:pPr>
              <w:pStyle w:val="COMTabletext"/>
              <w:keepNext w:val="0"/>
              <w:keepLines w:val="0"/>
            </w:pPr>
            <w:r w:rsidRPr="003D294A">
              <w:t>APPEAR-C3G</w:t>
            </w:r>
          </w:p>
          <w:p w14:paraId="14EE51A8" w14:textId="77777777" w:rsidR="00E653E3" w:rsidRPr="003D294A" w:rsidRDefault="00E653E3" w:rsidP="00CF7B47">
            <w:pPr>
              <w:pStyle w:val="COMTabletext"/>
              <w:keepNext w:val="0"/>
              <w:keepLines w:val="0"/>
            </w:pPr>
            <w:r w:rsidRPr="003D294A">
              <w:t>(CLNP023B12301)</w:t>
            </w:r>
          </w:p>
        </w:tc>
        <w:tc>
          <w:tcPr>
            <w:tcW w:w="2923" w:type="pct"/>
            <w:tcBorders>
              <w:top w:val="single" w:sz="4" w:space="0" w:color="auto"/>
              <w:bottom w:val="nil"/>
            </w:tcBorders>
          </w:tcPr>
          <w:p w14:paraId="15BF4BB6" w14:textId="77777777" w:rsidR="00E653E3" w:rsidRPr="003D294A" w:rsidRDefault="00E653E3" w:rsidP="00CF7B47">
            <w:pPr>
              <w:pStyle w:val="COMTabletext"/>
              <w:keepNext w:val="0"/>
              <w:keepLines w:val="0"/>
              <w:spacing w:after="120"/>
              <w:rPr>
                <w:szCs w:val="18"/>
              </w:rPr>
            </w:pPr>
            <w:r w:rsidRPr="003D294A">
              <w:rPr>
                <w:szCs w:val="18"/>
              </w:rPr>
              <w:t>Kavanagh et al (2025). Oral iptacopan therapy in patients with C3 glomerulopathy: a randomised, double-blind, parallel group, multicentre, placebo-controlled, phase 3 study</w:t>
            </w:r>
          </w:p>
        </w:tc>
        <w:tc>
          <w:tcPr>
            <w:tcW w:w="1217" w:type="pct"/>
            <w:tcBorders>
              <w:top w:val="single" w:sz="4" w:space="0" w:color="auto"/>
              <w:bottom w:val="nil"/>
            </w:tcBorders>
          </w:tcPr>
          <w:p w14:paraId="66C84900" w14:textId="77777777" w:rsidR="00E653E3" w:rsidRPr="003D294A" w:rsidRDefault="00E653E3" w:rsidP="00CF7B47">
            <w:pPr>
              <w:pStyle w:val="COMTabletext"/>
              <w:keepNext w:val="0"/>
              <w:keepLines w:val="0"/>
              <w:rPr>
                <w:szCs w:val="18"/>
              </w:rPr>
            </w:pPr>
            <w:r w:rsidRPr="003D294A">
              <w:rPr>
                <w:szCs w:val="18"/>
              </w:rPr>
              <w:t>The Lancet 406 (10512): 1587-1598</w:t>
            </w:r>
          </w:p>
        </w:tc>
      </w:tr>
      <w:tr w:rsidR="00E653E3" w:rsidRPr="003D294A" w14:paraId="0D13363D" w14:textId="77777777" w:rsidTr="00CF7B47">
        <w:trPr>
          <w:cantSplit/>
        </w:trPr>
        <w:tc>
          <w:tcPr>
            <w:tcW w:w="860" w:type="pct"/>
            <w:vMerge/>
            <w:tcBorders>
              <w:bottom w:val="single" w:sz="4" w:space="0" w:color="auto"/>
            </w:tcBorders>
            <w:vAlign w:val="center"/>
          </w:tcPr>
          <w:p w14:paraId="6275CA45" w14:textId="77777777" w:rsidR="00E653E3" w:rsidRPr="003D294A" w:rsidRDefault="00E653E3" w:rsidP="00CF7B47">
            <w:pPr>
              <w:pStyle w:val="COMTabletext"/>
              <w:keepNext w:val="0"/>
              <w:keepLines w:val="0"/>
            </w:pPr>
          </w:p>
        </w:tc>
        <w:tc>
          <w:tcPr>
            <w:tcW w:w="2923" w:type="pct"/>
            <w:tcBorders>
              <w:top w:val="nil"/>
              <w:bottom w:val="single" w:sz="4" w:space="0" w:color="auto"/>
            </w:tcBorders>
          </w:tcPr>
          <w:p w14:paraId="5BDDB2F9" w14:textId="77777777" w:rsidR="00E653E3" w:rsidRPr="003D294A" w:rsidRDefault="00E653E3" w:rsidP="00CF7B47">
            <w:pPr>
              <w:pStyle w:val="COMTabletext"/>
              <w:keepNext w:val="0"/>
              <w:keepLines w:val="0"/>
              <w:rPr>
                <w:szCs w:val="18"/>
              </w:rPr>
            </w:pPr>
            <w:r w:rsidRPr="003D294A">
              <w:rPr>
                <w:szCs w:val="18"/>
              </w:rPr>
              <w:t>Novartis Pharmaceuticals (last update 2025). Study of efficacy and safety of iptacopan in patients with C3 glomerulopathy. (APPEAR-C3G)</w:t>
            </w:r>
          </w:p>
        </w:tc>
        <w:tc>
          <w:tcPr>
            <w:tcW w:w="1217" w:type="pct"/>
            <w:tcBorders>
              <w:top w:val="nil"/>
              <w:bottom w:val="single" w:sz="4" w:space="0" w:color="auto"/>
            </w:tcBorders>
          </w:tcPr>
          <w:p w14:paraId="6327E89A" w14:textId="77777777" w:rsidR="00E653E3" w:rsidRPr="003D294A" w:rsidRDefault="00E653E3" w:rsidP="00CF7B47">
            <w:pPr>
              <w:pStyle w:val="COMTabletext"/>
              <w:keepNext w:val="0"/>
              <w:keepLines w:val="0"/>
              <w:rPr>
                <w:szCs w:val="18"/>
              </w:rPr>
            </w:pPr>
            <w:r w:rsidRPr="003D294A">
              <w:rPr>
                <w:szCs w:val="18"/>
              </w:rPr>
              <w:t>ClinicalTrials.gov NCT04817618 (expected completion for adolescent cohort July 2026)</w:t>
            </w:r>
          </w:p>
        </w:tc>
      </w:tr>
    </w:tbl>
    <w:p w14:paraId="37E29B39" w14:textId="77777777" w:rsidR="00E653E3" w:rsidRPr="003D294A" w:rsidRDefault="00E653E3" w:rsidP="00CF7B47">
      <w:pPr>
        <w:pStyle w:val="COMTablefooter"/>
      </w:pPr>
      <w:r w:rsidRPr="003D294A">
        <w:t xml:space="preserve">Source: Table 2-2, p42; Table A-1, Appendix A of the submission </w:t>
      </w:r>
    </w:p>
    <w:p w14:paraId="0B69B247" w14:textId="77777777" w:rsidR="00E653E3" w:rsidRPr="003D294A" w:rsidRDefault="00E653E3" w:rsidP="00CF7B47">
      <w:pPr>
        <w:pStyle w:val="COMTablefooter"/>
      </w:pPr>
      <w:r w:rsidRPr="003D294A">
        <w:t>Abbreviations: C3G, C3 glomerulopathy; IC-MPGN, immune complex membranoproliferative glomerulonephritis</w:t>
      </w:r>
    </w:p>
    <w:p w14:paraId="1DD06D7D" w14:textId="767C74EC" w:rsidR="007F1017" w:rsidRPr="003D294A" w:rsidRDefault="008F120A" w:rsidP="00CF7B47">
      <w:pPr>
        <w:pStyle w:val="COMESnumberedpara"/>
        <w:rPr>
          <w:color w:val="0066FF"/>
        </w:rPr>
      </w:pPr>
      <w:r w:rsidRPr="003D294A">
        <w:t xml:space="preserve">The key features of the </w:t>
      </w:r>
      <w:r w:rsidR="00196758" w:rsidRPr="003D294A">
        <w:t>included trials</w:t>
      </w:r>
      <w:r w:rsidRPr="003D294A">
        <w:t xml:space="preserve"> </w:t>
      </w:r>
      <w:r w:rsidR="00EB4808" w:rsidRPr="003D294A">
        <w:t xml:space="preserve">are </w:t>
      </w:r>
      <w:r w:rsidRPr="003D294A">
        <w:t>summarised in</w:t>
      </w:r>
      <w:r w:rsidR="00D6076E" w:rsidRPr="003D294A">
        <w:t xml:space="preserve"> </w:t>
      </w:r>
      <w:r w:rsidR="00D6076E" w:rsidRPr="003D294A">
        <w:fldChar w:fldCharType="begin"/>
      </w:r>
      <w:r w:rsidR="00D6076E" w:rsidRPr="003D294A">
        <w:instrText xml:space="preserve"> REF _Ref104804098 \h  \* MERGEFORMAT </w:instrText>
      </w:r>
      <w:r w:rsidR="00D6076E" w:rsidRPr="003D294A">
        <w:fldChar w:fldCharType="separate"/>
      </w:r>
      <w:r w:rsidR="00632853" w:rsidRPr="003D294A">
        <w:t xml:space="preserve">Table </w:t>
      </w:r>
      <w:r w:rsidR="00632853">
        <w:t>3</w:t>
      </w:r>
      <w:r w:rsidR="00D6076E" w:rsidRPr="003D294A">
        <w:fldChar w:fldCharType="end"/>
      </w:r>
      <w:r w:rsidRPr="003D294A">
        <w:t>.</w:t>
      </w:r>
    </w:p>
    <w:p w14:paraId="355E2F15" w14:textId="1B9922D2" w:rsidR="007F1017" w:rsidRPr="003D294A" w:rsidRDefault="00696EF9" w:rsidP="00CF7B47">
      <w:pPr>
        <w:pStyle w:val="COMTableFigurecaption"/>
        <w:keepLines/>
      </w:pPr>
      <w:bookmarkStart w:id="26" w:name="_Ref104804098"/>
      <w:r w:rsidRPr="003D294A">
        <w:lastRenderedPageBreak/>
        <w:t xml:space="preserve">Table </w:t>
      </w:r>
      <w:fldSimple w:instr=" SEQ Table \* ARABIC ">
        <w:r w:rsidR="00632853">
          <w:rPr>
            <w:noProof/>
          </w:rPr>
          <w:t>3</w:t>
        </w:r>
      </w:fldSimple>
      <w:bookmarkEnd w:id="26"/>
      <w:r w:rsidR="00D6076E" w:rsidRPr="003D294A">
        <w:t xml:space="preserve">: </w:t>
      </w:r>
      <w:r w:rsidR="007F1017" w:rsidRPr="003D294A">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776"/>
        <w:gridCol w:w="822"/>
        <w:gridCol w:w="1331"/>
        <w:gridCol w:w="624"/>
        <w:gridCol w:w="2555"/>
        <w:gridCol w:w="1758"/>
        <w:gridCol w:w="1151"/>
      </w:tblGrid>
      <w:tr w:rsidR="00677F60" w:rsidRPr="003D294A" w14:paraId="5FDDF5CE" w14:textId="77777777">
        <w:trPr>
          <w:cantSplit/>
          <w:tblHeader/>
        </w:trPr>
        <w:tc>
          <w:tcPr>
            <w:tcW w:w="430" w:type="pct"/>
            <w:vAlign w:val="center"/>
          </w:tcPr>
          <w:p w14:paraId="0A652BF6" w14:textId="77777777" w:rsidR="00677F60" w:rsidRPr="003D294A" w:rsidRDefault="00677F60" w:rsidP="00CF7B47">
            <w:pPr>
              <w:pStyle w:val="COMTableheadingrow"/>
            </w:pPr>
            <w:r w:rsidRPr="003D294A">
              <w:t>Study</w:t>
            </w:r>
          </w:p>
        </w:tc>
        <w:tc>
          <w:tcPr>
            <w:tcW w:w="456" w:type="pct"/>
            <w:vAlign w:val="center"/>
          </w:tcPr>
          <w:p w14:paraId="66543084" w14:textId="77777777" w:rsidR="00677F60" w:rsidRPr="003D294A" w:rsidRDefault="00677F60" w:rsidP="00CF7B47">
            <w:pPr>
              <w:pStyle w:val="COMTableheadingrow"/>
              <w:jc w:val="center"/>
            </w:pPr>
            <w:r w:rsidRPr="003D294A">
              <w:t>N</w:t>
            </w:r>
          </w:p>
        </w:tc>
        <w:tc>
          <w:tcPr>
            <w:tcW w:w="738" w:type="pct"/>
            <w:vAlign w:val="center"/>
          </w:tcPr>
          <w:p w14:paraId="46D621FA" w14:textId="77777777" w:rsidR="00677F60" w:rsidRPr="003D294A" w:rsidRDefault="00677F60" w:rsidP="00CF7B47">
            <w:pPr>
              <w:pStyle w:val="COMTableheadingrow"/>
              <w:jc w:val="center"/>
            </w:pPr>
            <w:r w:rsidRPr="003D294A">
              <w:t>Design/duration</w:t>
            </w:r>
          </w:p>
        </w:tc>
        <w:tc>
          <w:tcPr>
            <w:tcW w:w="346" w:type="pct"/>
            <w:vAlign w:val="center"/>
          </w:tcPr>
          <w:p w14:paraId="1FE24E7C" w14:textId="77777777" w:rsidR="00677F60" w:rsidRPr="003D294A" w:rsidRDefault="00677F60" w:rsidP="00CF7B47">
            <w:pPr>
              <w:pStyle w:val="COMTableheadingrow"/>
              <w:jc w:val="center"/>
            </w:pPr>
            <w:r w:rsidRPr="003D294A">
              <w:t>Risk of bias</w:t>
            </w:r>
          </w:p>
        </w:tc>
        <w:tc>
          <w:tcPr>
            <w:tcW w:w="1417" w:type="pct"/>
            <w:vAlign w:val="center"/>
          </w:tcPr>
          <w:p w14:paraId="47E9BCA5" w14:textId="77777777" w:rsidR="00677F60" w:rsidRPr="003D294A" w:rsidRDefault="00677F60" w:rsidP="00CF7B47">
            <w:pPr>
              <w:pStyle w:val="COMTableheadingrow"/>
              <w:jc w:val="center"/>
            </w:pPr>
            <w:r w:rsidRPr="003D294A">
              <w:t>Patient population</w:t>
            </w:r>
          </w:p>
        </w:tc>
        <w:tc>
          <w:tcPr>
            <w:tcW w:w="975" w:type="pct"/>
            <w:vAlign w:val="center"/>
          </w:tcPr>
          <w:p w14:paraId="6CF6D85C" w14:textId="77777777" w:rsidR="00677F60" w:rsidRPr="003D294A" w:rsidRDefault="00677F60" w:rsidP="00CF7B47">
            <w:pPr>
              <w:pStyle w:val="COMTableheadingrow"/>
              <w:jc w:val="center"/>
            </w:pPr>
            <w:r w:rsidRPr="003D294A">
              <w:t>Outcomes</w:t>
            </w:r>
          </w:p>
        </w:tc>
        <w:tc>
          <w:tcPr>
            <w:tcW w:w="638" w:type="pct"/>
            <w:vAlign w:val="center"/>
          </w:tcPr>
          <w:p w14:paraId="54D73A21" w14:textId="77777777" w:rsidR="00677F60" w:rsidRPr="003D294A" w:rsidRDefault="00677F60" w:rsidP="00CF7B47">
            <w:pPr>
              <w:pStyle w:val="COMTableheadingrow"/>
              <w:jc w:val="center"/>
            </w:pPr>
            <w:r w:rsidRPr="003D294A">
              <w:t>Use in modelled evaluation</w:t>
            </w:r>
          </w:p>
        </w:tc>
      </w:tr>
      <w:tr w:rsidR="00677F60" w:rsidRPr="003D294A" w14:paraId="42DB2F1F" w14:textId="77777777">
        <w:trPr>
          <w:cantSplit/>
        </w:trPr>
        <w:tc>
          <w:tcPr>
            <w:tcW w:w="5000" w:type="pct"/>
            <w:gridSpan w:val="7"/>
            <w:vAlign w:val="center"/>
          </w:tcPr>
          <w:p w14:paraId="5AAD3BC7" w14:textId="0DD230A6" w:rsidR="00677F60" w:rsidRPr="003D294A" w:rsidRDefault="00677F60" w:rsidP="00CF7B47">
            <w:pPr>
              <w:pStyle w:val="COMTableheadingrow"/>
            </w:pPr>
            <w:r w:rsidRPr="003D294A">
              <w:t>Pegcetacoplan versus placebo</w:t>
            </w:r>
          </w:p>
        </w:tc>
      </w:tr>
      <w:tr w:rsidR="00677F60" w:rsidRPr="003D294A" w14:paraId="0F2CABCA" w14:textId="77777777">
        <w:trPr>
          <w:cantSplit/>
          <w:tblHeader/>
        </w:trPr>
        <w:tc>
          <w:tcPr>
            <w:tcW w:w="430" w:type="pct"/>
            <w:vAlign w:val="center"/>
          </w:tcPr>
          <w:p w14:paraId="0B28E4DE" w14:textId="370A9C26" w:rsidR="00677F60" w:rsidRPr="003D294A" w:rsidRDefault="00DB0EFC" w:rsidP="00CF7B47">
            <w:pPr>
              <w:pStyle w:val="COMTabletext"/>
            </w:pPr>
            <w:r w:rsidRPr="003D294A">
              <w:t>VALIANT</w:t>
            </w:r>
          </w:p>
        </w:tc>
        <w:tc>
          <w:tcPr>
            <w:tcW w:w="456" w:type="pct"/>
            <w:vAlign w:val="center"/>
          </w:tcPr>
          <w:p w14:paraId="3AE0C681" w14:textId="4AC78955" w:rsidR="00677F60" w:rsidRPr="003D294A" w:rsidRDefault="004F2C86" w:rsidP="00CF7B47">
            <w:pPr>
              <w:pStyle w:val="COMTabletext"/>
              <w:jc w:val="center"/>
            </w:pPr>
            <w:r w:rsidRPr="003D294A">
              <w:t>124</w:t>
            </w:r>
          </w:p>
        </w:tc>
        <w:tc>
          <w:tcPr>
            <w:tcW w:w="738" w:type="pct"/>
            <w:vAlign w:val="center"/>
          </w:tcPr>
          <w:p w14:paraId="5C2C22FF" w14:textId="6953D165" w:rsidR="00677F60" w:rsidRPr="003D294A" w:rsidRDefault="004F2C86" w:rsidP="00CF7B47">
            <w:pPr>
              <w:pStyle w:val="COMTabletext"/>
              <w:jc w:val="center"/>
            </w:pPr>
            <w:r w:rsidRPr="003D294A">
              <w:t>Phase 3, randomised</w:t>
            </w:r>
            <w:r w:rsidR="005A7E9B" w:rsidRPr="003D294A">
              <w:t xml:space="preserve">, double-blind, placebo-controlled trial (10-week screening, </w:t>
            </w:r>
            <w:r w:rsidR="00293319" w:rsidRPr="003D294A">
              <w:t>26-week double-blind and 26-week open label periods)</w:t>
            </w:r>
          </w:p>
        </w:tc>
        <w:tc>
          <w:tcPr>
            <w:tcW w:w="346" w:type="pct"/>
            <w:vAlign w:val="center"/>
          </w:tcPr>
          <w:p w14:paraId="24476C33" w14:textId="424A7005" w:rsidR="00677F60" w:rsidRPr="003D294A" w:rsidRDefault="00293319" w:rsidP="00CF7B47">
            <w:pPr>
              <w:pStyle w:val="COMTabletext"/>
              <w:jc w:val="center"/>
            </w:pPr>
            <w:r w:rsidRPr="003D294A">
              <w:t>Unclear</w:t>
            </w:r>
          </w:p>
        </w:tc>
        <w:tc>
          <w:tcPr>
            <w:tcW w:w="1417" w:type="pct"/>
            <w:vAlign w:val="center"/>
          </w:tcPr>
          <w:p w14:paraId="630EB904" w14:textId="06B886C5" w:rsidR="00677F60" w:rsidRPr="003D294A" w:rsidRDefault="004B3E40" w:rsidP="00CF7B47">
            <w:pPr>
              <w:pStyle w:val="COMTabletext"/>
              <w:jc w:val="center"/>
            </w:pPr>
            <w:r w:rsidRPr="003D294A">
              <w:t>Patients aged ≥12 years</w:t>
            </w:r>
            <w:r w:rsidR="00171C88" w:rsidRPr="003D294A">
              <w:t xml:space="preserve"> and ≥30 kg diagnosed with native kidney or post-transplant recurrent C3G or primary IC-MPGN with evidence of active renal disease </w:t>
            </w:r>
            <w:r w:rsidR="00171C88" w:rsidRPr="003D294A">
              <w:rPr>
                <w:vertAlign w:val="superscript"/>
              </w:rPr>
              <w:t>a</w:t>
            </w:r>
            <w:r w:rsidR="00171C88" w:rsidRPr="003D294A">
              <w:t xml:space="preserve">, </w:t>
            </w:r>
            <w:r w:rsidR="00D35B2F" w:rsidRPr="003D294A">
              <w:t>eGFR ≥30 mL/min/1.73 m</w:t>
            </w:r>
            <w:r w:rsidR="00D35B2F" w:rsidRPr="003D294A">
              <w:rPr>
                <w:vertAlign w:val="superscript"/>
              </w:rPr>
              <w:t>2</w:t>
            </w:r>
            <w:r w:rsidR="00D35B2F" w:rsidRPr="003D294A">
              <w:t>,</w:t>
            </w:r>
            <w:r w:rsidR="00AE78A4" w:rsidRPr="003D294A">
              <w:t xml:space="preserve"> first morning UPCR≥1.0 g/g </w:t>
            </w:r>
            <w:r w:rsidR="00F71861" w:rsidRPr="003D294A">
              <w:t>and</w:t>
            </w:r>
            <w:r w:rsidR="00392F29" w:rsidRPr="003D294A">
              <w:t xml:space="preserve"> 24-hour proteinuria ≥1.0 g/day</w:t>
            </w:r>
            <w:r w:rsidR="00AD4E29" w:rsidRPr="003D294A">
              <w:t xml:space="preserve"> </w:t>
            </w:r>
            <w:r w:rsidR="00AD4E29" w:rsidRPr="003D294A">
              <w:rPr>
                <w:vertAlign w:val="superscript"/>
              </w:rPr>
              <w:t>b</w:t>
            </w:r>
            <w:r w:rsidR="0038608C" w:rsidRPr="003D294A">
              <w:t>. On stable</w:t>
            </w:r>
            <w:r w:rsidR="00171C88" w:rsidRPr="003D294A">
              <w:t xml:space="preserve"> </w:t>
            </w:r>
            <w:r w:rsidR="0038608C" w:rsidRPr="003D294A">
              <w:t>and optimised regimen of ACEI/ARB and SGLT2 inhibitors, and stable doses of immunosuppressants and corticosteroids (max 20 mg/day of prednisone)</w:t>
            </w:r>
            <w:r w:rsidR="00171C88" w:rsidRPr="003D294A">
              <w:t xml:space="preserve"> </w:t>
            </w:r>
          </w:p>
        </w:tc>
        <w:tc>
          <w:tcPr>
            <w:tcW w:w="975" w:type="pct"/>
            <w:vAlign w:val="center"/>
          </w:tcPr>
          <w:p w14:paraId="72A6E822" w14:textId="77777777" w:rsidR="00677F60" w:rsidRPr="003D294A" w:rsidRDefault="0007562F" w:rsidP="00CF7B47">
            <w:pPr>
              <w:pStyle w:val="COMTabletext"/>
              <w:jc w:val="center"/>
            </w:pPr>
            <w:r w:rsidRPr="003D294A">
              <w:t xml:space="preserve">Primary: change in </w:t>
            </w:r>
            <w:r w:rsidR="00255527" w:rsidRPr="003D294A">
              <w:t>first morning UPCR</w:t>
            </w:r>
          </w:p>
          <w:p w14:paraId="46DCBC26" w14:textId="39BAC0B6" w:rsidR="00255527" w:rsidRPr="003D294A" w:rsidRDefault="00255527" w:rsidP="00CF7B47">
            <w:pPr>
              <w:pStyle w:val="COMTabletext"/>
              <w:jc w:val="center"/>
            </w:pPr>
            <w:r w:rsidRPr="003D294A">
              <w:t xml:space="preserve">Other: change in eGFR, </w:t>
            </w:r>
            <w:r w:rsidR="00A76149" w:rsidRPr="003D294A">
              <w:t>proportion of patients achieving a composite renal endpoint (≤15% reduction in eGFR and ≥50% reduction in UPCR), change in histologic index activity score, change in quality of life measures</w:t>
            </w:r>
          </w:p>
        </w:tc>
        <w:tc>
          <w:tcPr>
            <w:tcW w:w="638" w:type="pct"/>
            <w:vAlign w:val="center"/>
          </w:tcPr>
          <w:p w14:paraId="1D2AD4A6" w14:textId="0AFB7258" w:rsidR="00677F60" w:rsidRPr="003D294A" w:rsidRDefault="00DA5BBA" w:rsidP="00CF7B47">
            <w:pPr>
              <w:pStyle w:val="COMTabletext"/>
              <w:jc w:val="center"/>
            </w:pPr>
            <w:r w:rsidRPr="003D294A">
              <w:t>Baseline characteristics</w:t>
            </w:r>
            <w:r w:rsidR="00A42EAC" w:rsidRPr="003D294A">
              <w:t>,</w:t>
            </w:r>
            <w:r w:rsidR="0096404F" w:rsidRPr="003D294A">
              <w:t xml:space="preserve"> change in UPCR, change in eGFR, </w:t>
            </w:r>
            <w:r w:rsidR="009039B2" w:rsidRPr="003D294A">
              <w:t xml:space="preserve">corticosteroid use, </w:t>
            </w:r>
            <w:r w:rsidR="00A42EAC" w:rsidRPr="003D294A">
              <w:t>EQ-5D-5L</w:t>
            </w:r>
            <w:r w:rsidR="009039B2" w:rsidRPr="003D294A">
              <w:t xml:space="preserve"> index scores</w:t>
            </w:r>
          </w:p>
        </w:tc>
      </w:tr>
      <w:tr w:rsidR="00677F60" w:rsidRPr="003D294A" w14:paraId="64FD9956" w14:textId="77777777">
        <w:trPr>
          <w:cantSplit/>
        </w:trPr>
        <w:tc>
          <w:tcPr>
            <w:tcW w:w="5000" w:type="pct"/>
            <w:gridSpan w:val="7"/>
            <w:vAlign w:val="center"/>
          </w:tcPr>
          <w:p w14:paraId="612BB64D" w14:textId="77777777" w:rsidR="00677F60" w:rsidRPr="003D294A" w:rsidRDefault="00677F60" w:rsidP="00CF7B47">
            <w:pPr>
              <w:pStyle w:val="COMTableheadingrow"/>
            </w:pPr>
            <w:r w:rsidRPr="003D294A">
              <w:t>Iptacopan versus placebo</w:t>
            </w:r>
          </w:p>
        </w:tc>
      </w:tr>
      <w:tr w:rsidR="00677F60" w:rsidRPr="003D294A" w14:paraId="09759229" w14:textId="77777777">
        <w:trPr>
          <w:cantSplit/>
        </w:trPr>
        <w:tc>
          <w:tcPr>
            <w:tcW w:w="430" w:type="pct"/>
            <w:vAlign w:val="center"/>
          </w:tcPr>
          <w:p w14:paraId="6FF071A0" w14:textId="77777777" w:rsidR="00677F60" w:rsidRPr="003D294A" w:rsidRDefault="00677F60" w:rsidP="00CF7B47">
            <w:pPr>
              <w:pStyle w:val="COMTabletext"/>
            </w:pPr>
            <w:r w:rsidRPr="003D294A">
              <w:t>APPEAR-C3G</w:t>
            </w:r>
          </w:p>
        </w:tc>
        <w:tc>
          <w:tcPr>
            <w:tcW w:w="456" w:type="pct"/>
            <w:vAlign w:val="center"/>
          </w:tcPr>
          <w:p w14:paraId="7643EADA" w14:textId="77777777" w:rsidR="00677F60" w:rsidRPr="003D294A" w:rsidRDefault="00677F60" w:rsidP="00CF7B47">
            <w:pPr>
              <w:pStyle w:val="COMTabletext"/>
              <w:jc w:val="center"/>
            </w:pPr>
            <w:r w:rsidRPr="003D294A">
              <w:t>74</w:t>
            </w:r>
          </w:p>
        </w:tc>
        <w:tc>
          <w:tcPr>
            <w:tcW w:w="738" w:type="pct"/>
            <w:vAlign w:val="center"/>
          </w:tcPr>
          <w:p w14:paraId="2695A468" w14:textId="77777777" w:rsidR="00677F60" w:rsidRPr="003D294A" w:rsidRDefault="00677F60" w:rsidP="00CF7B47">
            <w:pPr>
              <w:pStyle w:val="COMTabletext"/>
              <w:jc w:val="center"/>
            </w:pPr>
            <w:r w:rsidRPr="003D294A">
              <w:t xml:space="preserve">Phase 3, randomised, double-blind, placebo-controlled trial </w:t>
            </w:r>
          </w:p>
          <w:p w14:paraId="55D10352" w14:textId="77777777" w:rsidR="00677F60" w:rsidRPr="003D294A" w:rsidRDefault="00677F60" w:rsidP="00CF7B47">
            <w:pPr>
              <w:pStyle w:val="COMTabletext"/>
              <w:jc w:val="center"/>
            </w:pPr>
            <w:r w:rsidRPr="003D294A">
              <w:t>(3-month run-in, 6-month double-blind and 6-month open label extension periods)</w:t>
            </w:r>
          </w:p>
        </w:tc>
        <w:tc>
          <w:tcPr>
            <w:tcW w:w="346" w:type="pct"/>
            <w:vAlign w:val="center"/>
          </w:tcPr>
          <w:p w14:paraId="4E793CF3" w14:textId="1FC4DD7E" w:rsidR="00677F60" w:rsidRPr="003D294A" w:rsidRDefault="0083455A" w:rsidP="00CF7B47">
            <w:pPr>
              <w:pStyle w:val="COMTabletext"/>
              <w:jc w:val="center"/>
            </w:pPr>
            <w:r w:rsidRPr="003D294A">
              <w:t>Unclear</w:t>
            </w:r>
          </w:p>
        </w:tc>
        <w:tc>
          <w:tcPr>
            <w:tcW w:w="1417" w:type="pct"/>
            <w:vAlign w:val="center"/>
          </w:tcPr>
          <w:p w14:paraId="1C242027" w14:textId="669F0147" w:rsidR="00677F60" w:rsidRPr="003D294A" w:rsidRDefault="0099135B" w:rsidP="00CF7B47">
            <w:pPr>
              <w:pStyle w:val="COMTabletext"/>
              <w:jc w:val="center"/>
              <w:rPr>
                <w:vertAlign w:val="superscript"/>
              </w:rPr>
            </w:pPr>
            <w:r w:rsidRPr="003D294A">
              <w:t>Patients aged ≥18 years diagnosed with native kidney C3G</w:t>
            </w:r>
            <w:r w:rsidR="00677F60" w:rsidRPr="003D294A">
              <w:t>, eGFR ≥30 mL/min/1.73 m</w:t>
            </w:r>
            <w:r w:rsidR="00677F60" w:rsidRPr="003D294A">
              <w:rPr>
                <w:vertAlign w:val="superscript"/>
              </w:rPr>
              <w:t>2</w:t>
            </w:r>
            <w:r w:rsidR="00677F60" w:rsidRPr="003D294A">
              <w:t xml:space="preserve">, </w:t>
            </w:r>
            <w:r w:rsidR="00223684" w:rsidRPr="003D294A">
              <w:t xml:space="preserve">first morning </w:t>
            </w:r>
            <w:r w:rsidR="00677F60" w:rsidRPr="003D294A">
              <w:t>UPCR ≥1.0 g/g and reduced serum C3 (&lt;0.85 LLN</w:t>
            </w:r>
            <w:r w:rsidR="00263EB6" w:rsidRPr="003D294A">
              <w:t>, &lt;77 mg/dL</w:t>
            </w:r>
            <w:r w:rsidR="00677F60" w:rsidRPr="003D294A">
              <w:t xml:space="preserve">). On maximally recommended/tolerated dose of ACEI/ARB and stable doses of other </w:t>
            </w:r>
            <w:r w:rsidR="00EA740D" w:rsidRPr="003D294A">
              <w:t xml:space="preserve">SGLT2 inhibitors, </w:t>
            </w:r>
            <w:r w:rsidR="00685E50" w:rsidRPr="003D294A">
              <w:t>immunosuppressants, corticosteroids</w:t>
            </w:r>
            <w:r w:rsidR="00876377" w:rsidRPr="003D294A">
              <w:t xml:space="preserve"> (max 7.5 mg/day o</w:t>
            </w:r>
            <w:r w:rsidR="0038608C" w:rsidRPr="003D294A">
              <w:t>f</w:t>
            </w:r>
            <w:r w:rsidR="00876377" w:rsidRPr="003D294A">
              <w:t xml:space="preserve"> prednisone) and</w:t>
            </w:r>
            <w:r w:rsidR="00685E50" w:rsidRPr="003D294A">
              <w:t xml:space="preserve"> mineralocorticoid antagonists</w:t>
            </w:r>
            <w:r w:rsidR="00AD4E29" w:rsidRPr="003D294A">
              <w:t xml:space="preserve"> </w:t>
            </w:r>
            <w:r w:rsidR="00AD4E29" w:rsidRPr="003D294A">
              <w:rPr>
                <w:vertAlign w:val="superscript"/>
              </w:rPr>
              <w:t>c</w:t>
            </w:r>
          </w:p>
        </w:tc>
        <w:tc>
          <w:tcPr>
            <w:tcW w:w="975" w:type="pct"/>
            <w:vAlign w:val="center"/>
          </w:tcPr>
          <w:p w14:paraId="30F244E5" w14:textId="1BEB266E" w:rsidR="00677F60" w:rsidRPr="003D294A" w:rsidRDefault="00677F60" w:rsidP="00CF7B47">
            <w:pPr>
              <w:pStyle w:val="COMTabletext"/>
              <w:spacing w:after="40"/>
              <w:jc w:val="center"/>
            </w:pPr>
            <w:r w:rsidRPr="003D294A">
              <w:t xml:space="preserve">Primary: change in </w:t>
            </w:r>
            <w:r w:rsidR="009F19C5" w:rsidRPr="003D294A">
              <w:t xml:space="preserve">24-hour </w:t>
            </w:r>
            <w:r w:rsidRPr="003D294A">
              <w:t>UPCR</w:t>
            </w:r>
            <w:r w:rsidR="009F19C5" w:rsidRPr="003D294A">
              <w:t xml:space="preserve"> </w:t>
            </w:r>
          </w:p>
          <w:p w14:paraId="5949DF07" w14:textId="12644E92" w:rsidR="00677F60" w:rsidRPr="003D294A" w:rsidRDefault="00677F60" w:rsidP="00CF7B47">
            <w:pPr>
              <w:pStyle w:val="COMTabletext"/>
              <w:jc w:val="center"/>
            </w:pPr>
            <w:r w:rsidRPr="003D294A">
              <w:t xml:space="preserve">Other: </w:t>
            </w:r>
            <w:r w:rsidR="0007562F" w:rsidRPr="003D294A">
              <w:t xml:space="preserve">change in eGFR, proportion of patients achieving a composite renal endpoint (15% reduction in eGFR and ≥50% reduction in UPCR), change in histologic index activity score, change in </w:t>
            </w:r>
            <w:r w:rsidR="00A76149" w:rsidRPr="003D294A">
              <w:t>quality of life measures</w:t>
            </w:r>
          </w:p>
        </w:tc>
        <w:tc>
          <w:tcPr>
            <w:tcW w:w="638" w:type="pct"/>
            <w:vAlign w:val="center"/>
          </w:tcPr>
          <w:p w14:paraId="01FE0795" w14:textId="1B93D142" w:rsidR="00677F60" w:rsidRPr="003D294A" w:rsidRDefault="00876377" w:rsidP="00CF7B47">
            <w:pPr>
              <w:pStyle w:val="COMTabletext"/>
              <w:jc w:val="center"/>
            </w:pPr>
            <w:r w:rsidRPr="003D294A">
              <w:t>-</w:t>
            </w:r>
          </w:p>
        </w:tc>
      </w:tr>
    </w:tbl>
    <w:p w14:paraId="46BAF36C" w14:textId="77777777" w:rsidR="00DB0EFC" w:rsidRPr="003D294A" w:rsidRDefault="00045017" w:rsidP="00CF7B47">
      <w:pPr>
        <w:pStyle w:val="COMTablefooter"/>
        <w:keepNext/>
        <w:keepLines/>
      </w:pPr>
      <w:r w:rsidRPr="003D294A">
        <w:t xml:space="preserve">Source: </w:t>
      </w:r>
      <w:r w:rsidR="00DB0EFC" w:rsidRPr="003D294A">
        <w:t>Section 2.4, pp50-60 of the submission; APPEAR-C3G trial publication (Kavanagh 2025)</w:t>
      </w:r>
    </w:p>
    <w:p w14:paraId="64141076" w14:textId="3563671A" w:rsidR="00677F60" w:rsidRPr="003D294A" w:rsidRDefault="00677F60" w:rsidP="00CF7B47">
      <w:pPr>
        <w:pStyle w:val="COMTablefooter"/>
        <w:keepNext/>
        <w:keepLines/>
      </w:pPr>
      <w:r w:rsidRPr="003D294A">
        <w:t xml:space="preserve">Abbreviations: </w:t>
      </w:r>
      <w:r w:rsidR="00F040D5" w:rsidRPr="003D294A">
        <w:t>C3G, C3 glomerulopathy; eGFR, estimated glomerular filtration rate; IC-MPGN, immune complex membranoproliferative glomerulonephritis</w:t>
      </w:r>
      <w:r w:rsidR="00E03C0E" w:rsidRPr="003D294A">
        <w:t>; SGLT2, sodium glucose co-transporter 2; UPCR, urine protein-creatinine ratio</w:t>
      </w:r>
    </w:p>
    <w:p w14:paraId="01A8E375" w14:textId="77777777" w:rsidR="00171C88" w:rsidRPr="003D294A" w:rsidRDefault="00171C88" w:rsidP="00CF7B47">
      <w:pPr>
        <w:pStyle w:val="COMTablefooter"/>
      </w:pPr>
      <w:r w:rsidRPr="003D294A">
        <w:rPr>
          <w:vertAlign w:val="superscript"/>
        </w:rPr>
        <w:t>a</w:t>
      </w:r>
      <w:r w:rsidRPr="003D294A">
        <w:t xml:space="preserve"> Baseline kidney biopsy with at least 2+ C3c staining; or in adolescents without baseline renal biopsy, biomarkers/signs of active disease (plasma sC5b-9 above upper limit of normal, serum C3 below the lower limit of normal, haematuria, historical presence of C3 nephritic factor)</w:t>
      </w:r>
    </w:p>
    <w:p w14:paraId="79B3E4B9" w14:textId="6B81BA07" w:rsidR="00AD4E29" w:rsidRPr="003D294A" w:rsidRDefault="00AD4E29" w:rsidP="00CF7B47">
      <w:pPr>
        <w:pStyle w:val="COMTablefooter"/>
      </w:pPr>
      <w:r w:rsidRPr="003D294A">
        <w:rPr>
          <w:vertAlign w:val="superscript"/>
        </w:rPr>
        <w:t>b</w:t>
      </w:r>
      <w:r w:rsidRPr="003D294A">
        <w:t xml:space="preserve"> Patients were excluded if there was evidence of kidney scarring (&gt;50% glomerulosclerosis or interstitial fibrosis on kidney biopsy) or evidence of improving kidney disease during the screening period (&gt;30% increase in eGFR or &gt;50% decrease in proteinuria)</w:t>
      </w:r>
    </w:p>
    <w:p w14:paraId="26108D85" w14:textId="734955E5" w:rsidR="00AC34E0" w:rsidRPr="003D294A" w:rsidRDefault="00AC34E0" w:rsidP="00CF7B47">
      <w:pPr>
        <w:pStyle w:val="COMTablefooter"/>
      </w:pPr>
      <w:r w:rsidRPr="003D294A">
        <w:rPr>
          <w:vertAlign w:val="superscript"/>
        </w:rPr>
        <w:t xml:space="preserve">c </w:t>
      </w:r>
      <w:r w:rsidRPr="003D294A">
        <w:t>Patients were excluded if there was evidence of rapidly progressive crescentic glomerulonephritis or kidney scarring (&gt;50% interstitial fibrosis/tubular atrophy)</w:t>
      </w:r>
    </w:p>
    <w:p w14:paraId="4B83BBF3" w14:textId="7F2FD177" w:rsidR="00045017" w:rsidRPr="003D294A" w:rsidRDefault="009B21D4" w:rsidP="00CF7B47">
      <w:pPr>
        <w:pStyle w:val="COMESnumberedpara"/>
      </w:pPr>
      <w:r w:rsidRPr="003D294A">
        <w:t>The risk of bias in the VALIANT trial was minimised by the randomised controlled study design and blinding. However, the trial publication noted that patients who received pegcetacoplan were older, had higher levels of proteinuria and a lower eGFR than those who received placebo (Fakhouri 2025). These differences introduce potential bias in terms of key outcomes related to proteinuria and eGFR although the impact is unclear.</w:t>
      </w:r>
    </w:p>
    <w:p w14:paraId="03C0925B" w14:textId="5F7DC664" w:rsidR="009B21D4" w:rsidRPr="003D294A" w:rsidRDefault="00E55AB5" w:rsidP="00CF7B47">
      <w:pPr>
        <w:pStyle w:val="COMESnumberedpara"/>
      </w:pPr>
      <w:r w:rsidRPr="003D294A">
        <w:t xml:space="preserve">The risk of bias in the APPEAR-C3G trial was minimised by the randomised controlled study design and blinding. However, the trial publication noted that patients </w:t>
      </w:r>
      <w:r w:rsidR="00145BD1" w:rsidRPr="003D294A">
        <w:t xml:space="preserve">in the iptacopan arm had higher levels of proteinuria and a lower eGFR than those in the </w:t>
      </w:r>
      <w:r w:rsidR="00145BD1" w:rsidRPr="003D294A">
        <w:lastRenderedPageBreak/>
        <w:t xml:space="preserve">placebo arm (Kavanagh 2025). There were also differences in the distribution of C3G disease subtypes, with a higher proportion with dense deposit disease in the iptacopan arm compared to placebo. </w:t>
      </w:r>
      <w:r w:rsidR="001F29F3" w:rsidRPr="003D294A">
        <w:t>The impact of these differences on key outcomes in the trial is unclear.</w:t>
      </w:r>
      <w:r w:rsidR="00CF7B47">
        <w:t xml:space="preserve"> </w:t>
      </w:r>
    </w:p>
    <w:p w14:paraId="1EE0A28A" w14:textId="35B97B10" w:rsidR="005D3439" w:rsidRPr="003D294A" w:rsidRDefault="002C2A47" w:rsidP="00CF7B47">
      <w:pPr>
        <w:pStyle w:val="COMESnumberedpara"/>
      </w:pPr>
      <w:r w:rsidRPr="003D294A">
        <w:t xml:space="preserve">The submission claimed the VALIANT and APPEAR-C3G trials shared similar trial designs and outcome definitions. However, the VALIANT trial population was broader as it included the following: adolescents, primary IC-MPGN, post-transplant recurrent disease, patients with serum C3 levels above 77 mg/dL (0.85 × lower limit of normal) and did not exclude those with signs of rapidly progressive crescentic glomerulonephritis. Both trials required stable and optimised use of supportive measures and other immunosuppressants. </w:t>
      </w:r>
    </w:p>
    <w:p w14:paraId="3557BBA4" w14:textId="1F437FA6" w:rsidR="005D3439" w:rsidRPr="003D294A" w:rsidRDefault="007432F9" w:rsidP="00CF7B47">
      <w:pPr>
        <w:pStyle w:val="COMESnumberedpara"/>
      </w:pPr>
      <w:r w:rsidRPr="003D294A">
        <w:t xml:space="preserve">Despite the inclusion of adolescents in the VALIANT trial, mean baseline age was </w:t>
      </w:r>
      <w:proofErr w:type="gramStart"/>
      <w:r w:rsidRPr="003D294A">
        <w:t>similar to</w:t>
      </w:r>
      <w:proofErr w:type="gramEnd"/>
      <w:r w:rsidRPr="003D294A">
        <w:t xml:space="preserve"> the APPEAR-C3G trial, ranging from approximately 24</w:t>
      </w:r>
      <w:r w:rsidR="00131308" w:rsidRPr="003D294A">
        <w:rPr>
          <w:rFonts w:cstheme="minorHAnsi"/>
        </w:rPr>
        <w:t>‒</w:t>
      </w:r>
      <w:r w:rsidRPr="003D294A">
        <w:t xml:space="preserve">30 years across treatment arms in both trials. There were also differences in sex distribution between the trials: </w:t>
      </w:r>
      <w:proofErr w:type="gramStart"/>
      <w:r w:rsidRPr="003D294A">
        <w:t>the majority of</w:t>
      </w:r>
      <w:proofErr w:type="gramEnd"/>
      <w:r w:rsidRPr="003D294A">
        <w:t xml:space="preserve"> patients in the VALIANT trial were female, and </w:t>
      </w:r>
      <w:proofErr w:type="gramStart"/>
      <w:r w:rsidRPr="003D294A">
        <w:t>the majority of</w:t>
      </w:r>
      <w:proofErr w:type="gramEnd"/>
      <w:r w:rsidRPr="003D294A">
        <w:t xml:space="preserve"> patients in the APPEAR-C3G trial were male.</w:t>
      </w:r>
    </w:p>
    <w:p w14:paraId="00D50BCD" w14:textId="6DAB72B0" w:rsidR="007432F9" w:rsidRPr="003D294A" w:rsidRDefault="007432F9" w:rsidP="00CF7B47">
      <w:pPr>
        <w:pStyle w:val="COMESnumberedpara"/>
      </w:pPr>
      <w:r w:rsidRPr="003D294A">
        <w:t xml:space="preserve">A comparison of geometric means in both trials shows similar </w:t>
      </w:r>
      <w:r w:rsidR="00541395" w:rsidRPr="003D294A">
        <w:t xml:space="preserve">baseline 24-hour UPCR </w:t>
      </w:r>
      <w:r w:rsidRPr="003D294A">
        <w:t>levels between VALIANT (pegcetacoplan 3.2 g/g, placebo 2.7 g/g) and APPEAR-C3G (iptacopan 3.3 g/g, placebo 2.6 g/g) although UPCR levels were higher in the treatment arms of both trials compared to placebo.</w:t>
      </w:r>
    </w:p>
    <w:p w14:paraId="4C021052" w14:textId="655BAD4A" w:rsidR="007432F9" w:rsidRPr="003D294A" w:rsidRDefault="00FC213F" w:rsidP="00CF7B47">
      <w:pPr>
        <w:pStyle w:val="COMESnumberedpara"/>
      </w:pPr>
      <w:r w:rsidRPr="003D294A">
        <w:t>The submission noted that mean baseline eGFR was higher in APPEAR-C3G (89-99 mL/min/1.73 m</w:t>
      </w:r>
      <w:r w:rsidRPr="003D294A">
        <w:rPr>
          <w:vertAlign w:val="superscript"/>
        </w:rPr>
        <w:t>2</w:t>
      </w:r>
      <w:r w:rsidRPr="003D294A">
        <w:t>) compared with VALIANT (78-87 mL/min/1.73 m</w:t>
      </w:r>
      <w:r w:rsidRPr="003D294A">
        <w:rPr>
          <w:vertAlign w:val="superscript"/>
        </w:rPr>
        <w:t>2</w:t>
      </w:r>
      <w:r w:rsidRPr="003D294A">
        <w:t>), and a lower proportion of patients had eGFR &lt;60 mL/min/1.73 m</w:t>
      </w:r>
      <w:r w:rsidRPr="003D294A">
        <w:rPr>
          <w:vertAlign w:val="superscript"/>
        </w:rPr>
        <w:t>2</w:t>
      </w:r>
      <w:r w:rsidRPr="003D294A">
        <w:t xml:space="preserve"> (11-26% in APPEAR-C3G and 34% in VALIANT). The submission suggested that the APPEAR-C3G population could be at an earlier stage of disease, with better preserved kidney function compared to those in the VALIANT trial. However, the impact of these differences on key outcomes in the trials is uncertain.</w:t>
      </w:r>
    </w:p>
    <w:p w14:paraId="455DA73B" w14:textId="59C15144" w:rsidR="002027D8" w:rsidRPr="003D294A" w:rsidRDefault="00B733E7" w:rsidP="00CF7B47">
      <w:pPr>
        <w:pStyle w:val="COMESnumberedpara"/>
      </w:pPr>
      <w:r w:rsidRPr="003D294A">
        <w:t>A comparison of annualised eGFR slopes between APPEAR-C3G and VALIANT show</w:t>
      </w:r>
      <w:r w:rsidR="00B926F8" w:rsidRPr="003D294A">
        <w:t>s substantial differences in the rate of eGFR decline across pre- and post-randomisation periods between trials</w:t>
      </w:r>
      <w:r w:rsidR="0038608C" w:rsidRPr="003D294A">
        <w:t xml:space="preserve"> (see </w:t>
      </w:r>
      <w:r w:rsidR="0038608C" w:rsidRPr="003D294A">
        <w:fldChar w:fldCharType="begin"/>
      </w:r>
      <w:r w:rsidR="0038608C" w:rsidRPr="003D294A">
        <w:instrText xml:space="preserve"> REF _Ref218870058 \h  \* MERGEFORMAT </w:instrText>
      </w:r>
      <w:r w:rsidR="0038608C" w:rsidRPr="003D294A">
        <w:fldChar w:fldCharType="separate"/>
      </w:r>
      <w:r w:rsidR="00632853" w:rsidRPr="003D294A">
        <w:t xml:space="preserve">Table </w:t>
      </w:r>
      <w:r w:rsidR="00632853">
        <w:t>6</w:t>
      </w:r>
      <w:r w:rsidR="0038608C" w:rsidRPr="003D294A">
        <w:fldChar w:fldCharType="end"/>
      </w:r>
      <w:r w:rsidR="0038608C" w:rsidRPr="003D294A">
        <w:t>)</w:t>
      </w:r>
      <w:r w:rsidR="00B926F8" w:rsidRPr="003D294A">
        <w:t>. There were particularly notable differences in eGFR declines during the double-blind period, which was considerably worse in the placebo arm of VALIANT compared to APPEAR-C3G. The data also show contrasting eGFR trajectories in the placebo arms, which worsened after randomisation in VALIANT but improved after randomisation in APPEAR-C3G. The reasons for these differences could not be determined from the available data.</w:t>
      </w:r>
    </w:p>
    <w:p w14:paraId="2E7C81E6" w14:textId="117067C9" w:rsidR="005B0D79" w:rsidRPr="003D294A" w:rsidRDefault="005B0D79" w:rsidP="00CF7B47">
      <w:pPr>
        <w:pStyle w:val="COMESnumberedpara"/>
      </w:pPr>
      <w:r w:rsidRPr="003D294A">
        <w:t xml:space="preserve">Patients in APPEAR-C3G had lower mean baseline serum C3 levels (31-34 mg/dL) compared to VALIANT (59 mg/dL). Subgroup data from the VALIANT trial suggest that serum C3 level is a potential treatment effect modifier, with greater proteinuria reduction and improvements in eGFR in patients with low C3 levels compared to patients with normal C3 levels. </w:t>
      </w:r>
    </w:p>
    <w:p w14:paraId="0721A3B9" w14:textId="0913EAB2" w:rsidR="009F7698" w:rsidRPr="003D294A" w:rsidRDefault="009F7698" w:rsidP="00CF7B47">
      <w:pPr>
        <w:pStyle w:val="COMESnumberedpara"/>
      </w:pPr>
      <w:r w:rsidRPr="003D294A">
        <w:t xml:space="preserve">Overall, the </w:t>
      </w:r>
      <w:r w:rsidR="00023FAD" w:rsidRPr="003D294A">
        <w:t xml:space="preserve">exchangeability of </w:t>
      </w:r>
      <w:r w:rsidR="005E23F2" w:rsidRPr="003D294A">
        <w:t xml:space="preserve">the VALIANT and APPEAR-C3G trials </w:t>
      </w:r>
      <w:r w:rsidR="00AA14B9" w:rsidRPr="003D294A">
        <w:t xml:space="preserve">is uncertain given the differences in population and disease characteristics. </w:t>
      </w:r>
    </w:p>
    <w:p w14:paraId="1DE227C4" w14:textId="3DACB0D1" w:rsidR="00A0077D" w:rsidRPr="003D294A" w:rsidRDefault="0099143A" w:rsidP="00CF7B47">
      <w:pPr>
        <w:pStyle w:val="COMESnumberedpara"/>
      </w:pPr>
      <w:r w:rsidRPr="003D294A">
        <w:lastRenderedPageBreak/>
        <w:t xml:space="preserve">The submission claimed that the VALIANT trial population, background therapy and outcomes assessed are well-aligned with Australian practice. </w:t>
      </w:r>
      <w:r w:rsidR="00612384" w:rsidRPr="003D294A">
        <w:t xml:space="preserve">The submission acknowledged potential differences between the VALIANT trial and Australian setting in terms of baseline eGFR. The submission claimed that kidney function was relatively well-preserved for </w:t>
      </w:r>
      <w:proofErr w:type="gramStart"/>
      <w:r w:rsidR="00612384" w:rsidRPr="003D294A">
        <w:t>the majority of</w:t>
      </w:r>
      <w:proofErr w:type="gramEnd"/>
      <w:r w:rsidR="00612384" w:rsidRPr="003D294A">
        <w:t xml:space="preserve"> the trial population (66% with eGFR ≥</w:t>
      </w:r>
      <w:r w:rsidR="0038608C" w:rsidRPr="003D294A">
        <w:t>60 mL</w:t>
      </w:r>
      <w:r w:rsidR="00612384" w:rsidRPr="003D294A">
        <w:t>/min/1.73 m</w:t>
      </w:r>
      <w:r w:rsidR="00612384" w:rsidRPr="003D294A">
        <w:rPr>
          <w:vertAlign w:val="superscript"/>
        </w:rPr>
        <w:t>2</w:t>
      </w:r>
      <w:r w:rsidR="00612384" w:rsidRPr="003D294A">
        <w:t xml:space="preserve">) but in practice, there may be a broader spread, with some patients having lower baseline eGFR levels. The submission claimed that the absolute benefit of pegcetacoplan may be smaller in patients with less renal reserve (who are closer to kidney failure). The </w:t>
      </w:r>
      <w:r w:rsidR="00A0077D" w:rsidRPr="003D294A">
        <w:t xml:space="preserve">evaluation stated that </w:t>
      </w:r>
      <w:r w:rsidR="00612384" w:rsidRPr="003D294A">
        <w:t>applicability of the VALIANT trial population to the proposed PBS population is uncertain given the lack of data in the Australian setting.</w:t>
      </w:r>
      <w:r w:rsidR="0038608C" w:rsidRPr="003D294A">
        <w:t xml:space="preserve"> </w:t>
      </w:r>
    </w:p>
    <w:p w14:paraId="44B7A74A" w14:textId="21A180B6" w:rsidR="00B80CDB" w:rsidRPr="003D294A" w:rsidRDefault="00612384" w:rsidP="00CF7B47">
      <w:pPr>
        <w:pStyle w:val="COMESnumberedpara"/>
      </w:pPr>
      <w:r w:rsidRPr="003D294A">
        <w:t>The risk profile of patients in the VALIANT trial was not well-characterised in the submission.</w:t>
      </w:r>
      <w:r w:rsidR="002947C0" w:rsidRPr="003D294A">
        <w:t xml:space="preserve"> </w:t>
      </w:r>
      <w:r w:rsidR="00B80CDB" w:rsidRPr="003D294A">
        <w:t>The rate of eGFR decline in the placebo arm of the VALIANT trial was substantially worse than in the APPEAR-C3G trial and disease registries</w:t>
      </w:r>
      <w:r w:rsidR="005C39E6" w:rsidRPr="003D294A">
        <w:t xml:space="preserve"> </w:t>
      </w:r>
      <w:r w:rsidR="00E82F22" w:rsidRPr="003D294A">
        <w:t xml:space="preserve">(UK </w:t>
      </w:r>
      <w:proofErr w:type="spellStart"/>
      <w:r w:rsidR="00E82F22" w:rsidRPr="003D294A">
        <w:t>RaDaR</w:t>
      </w:r>
      <w:proofErr w:type="spellEnd"/>
      <w:r w:rsidR="00E82F22" w:rsidRPr="003D294A">
        <w:t xml:space="preserve"> registry and Spanish GLOSEN registry)</w:t>
      </w:r>
      <w:r w:rsidR="00B80CDB" w:rsidRPr="003D294A">
        <w:t xml:space="preserve">. The reasons for this were not explored in the submission, with no explanation provided in the trial report. The applicability of the disease trajectory of patients in the VALIANT trial to the proposed PBS population is uncertain. </w:t>
      </w:r>
      <w:r w:rsidR="003510F8" w:rsidRPr="003D294A">
        <w:t xml:space="preserve">The Sub-Committees considered that </w:t>
      </w:r>
      <w:r w:rsidR="009305F6" w:rsidRPr="003D294A">
        <w:t xml:space="preserve">the rate of </w:t>
      </w:r>
      <w:r w:rsidR="004C76DC" w:rsidRPr="003D294A">
        <w:t xml:space="preserve">eGFR </w:t>
      </w:r>
      <w:r w:rsidR="009305F6" w:rsidRPr="003D294A">
        <w:t>decline</w:t>
      </w:r>
      <w:r w:rsidR="004C76DC" w:rsidRPr="003D294A">
        <w:t xml:space="preserve"> in the placebo arm of the VALIANT trial</w:t>
      </w:r>
      <w:r w:rsidR="003510F8" w:rsidRPr="003D294A">
        <w:t xml:space="preserve"> was </w:t>
      </w:r>
      <w:r w:rsidR="00FD7854" w:rsidRPr="003D294A">
        <w:t>faster</w:t>
      </w:r>
      <w:r w:rsidR="003510F8" w:rsidRPr="003D294A">
        <w:t xml:space="preserve"> than expected in clinical practice</w:t>
      </w:r>
      <w:r w:rsidR="00ED5D2E" w:rsidRPr="003D294A">
        <w:t xml:space="preserve"> </w:t>
      </w:r>
      <w:r w:rsidR="000324C4">
        <w:t>and</w:t>
      </w:r>
      <w:r w:rsidR="000324C4" w:rsidRPr="003D294A">
        <w:t xml:space="preserve"> </w:t>
      </w:r>
      <w:r w:rsidR="003510F8" w:rsidRPr="003D294A">
        <w:t xml:space="preserve">that there was no clear explanation for the rapid eGFR </w:t>
      </w:r>
      <w:r w:rsidR="000324C4">
        <w:t xml:space="preserve">decline </w:t>
      </w:r>
      <w:r w:rsidR="003510F8" w:rsidRPr="003D294A">
        <w:t>in the placebo arm in the VALIANT trial.</w:t>
      </w:r>
    </w:p>
    <w:p w14:paraId="3D131479" w14:textId="31709788" w:rsidR="00717099" w:rsidRPr="003D294A" w:rsidRDefault="00717099" w:rsidP="00CF7B47">
      <w:pPr>
        <w:pStyle w:val="COMESnumberedpara"/>
        <w:numPr>
          <w:ilvl w:val="0"/>
          <w:numId w:val="0"/>
        </w:numPr>
        <w:rPr>
          <w:b/>
          <w:bCs/>
          <w:i/>
          <w:iCs/>
        </w:rPr>
      </w:pPr>
      <w:r w:rsidRPr="003D294A">
        <w:rPr>
          <w:b/>
          <w:bCs/>
        </w:rPr>
        <w:t>Surrogate measures</w:t>
      </w:r>
    </w:p>
    <w:p w14:paraId="687DC58D" w14:textId="77777777" w:rsidR="00A061D9" w:rsidRPr="003D294A" w:rsidRDefault="0076402C" w:rsidP="00CF7B47">
      <w:pPr>
        <w:pStyle w:val="COMESnumberedpara"/>
        <w:rPr>
          <w:i/>
          <w:iCs/>
        </w:rPr>
      </w:pPr>
      <w:r w:rsidRPr="003D294A">
        <w:t xml:space="preserve">The submission claimed that reductions in proteinuria and stabilisation or slowed decline in eGFR are surrogate measures for delay or prevention of progression to end stage kidney disease (ESKD) in C3G and primary IC-MPGN and presented a surrogate framework in the submission. </w:t>
      </w:r>
    </w:p>
    <w:p w14:paraId="244B9C40" w14:textId="77777777" w:rsidR="00CE2904" w:rsidRPr="003D294A" w:rsidRDefault="00A061D9" w:rsidP="00CF7B47">
      <w:pPr>
        <w:pStyle w:val="ListParagraph"/>
        <w:jc w:val="both"/>
        <w:rPr>
          <w:i/>
          <w:iCs/>
        </w:rPr>
      </w:pPr>
      <w:r w:rsidRPr="003D294A">
        <w:rPr>
          <w:u w:val="single"/>
        </w:rPr>
        <w:t>Proteinur</w:t>
      </w:r>
      <w:r w:rsidR="00CE2904" w:rsidRPr="003D294A">
        <w:rPr>
          <w:u w:val="single"/>
        </w:rPr>
        <w:t>ia:</w:t>
      </w:r>
      <w:r w:rsidR="00CE2904" w:rsidRPr="003D294A">
        <w:t xml:space="preserve"> </w:t>
      </w:r>
      <w:r w:rsidR="0076402C" w:rsidRPr="003D294A">
        <w:t>Epidemiological evidence presented in the submission was supportive of a biological rationale linking elevated proteinuria with an increased risk of ESKD. Observational data also suggest a positive relationship between proteinuria reduction and reduced risk of progression to ESKD. However, definitions of proteinuria varied between studies in terms of magnitude of proteinuria reduction (i.e. range of percentage reductions and proteinuria thresholds). There are no randomised controlled trials supporting a quantitative relationship between proteinuria reduction and changes in the risk of ESKD in patients with C3G or primary IC-MPGN.</w:t>
      </w:r>
    </w:p>
    <w:p w14:paraId="09914377" w14:textId="141997DB" w:rsidR="00CE2904" w:rsidRPr="003D294A" w:rsidRDefault="00CE2904" w:rsidP="00CF7B47">
      <w:pPr>
        <w:pStyle w:val="ListParagraph"/>
        <w:jc w:val="both"/>
        <w:rPr>
          <w:i/>
          <w:iCs/>
        </w:rPr>
      </w:pPr>
      <w:r w:rsidRPr="003D294A">
        <w:rPr>
          <w:u w:val="single"/>
        </w:rPr>
        <w:t xml:space="preserve">Change in </w:t>
      </w:r>
      <w:r w:rsidR="00DC221E" w:rsidRPr="003D294A">
        <w:rPr>
          <w:u w:val="single"/>
        </w:rPr>
        <w:t>eGFR:</w:t>
      </w:r>
      <w:r w:rsidR="00DC221E" w:rsidRPr="003D294A">
        <w:t xml:space="preserve"> </w:t>
      </w:r>
      <w:r w:rsidRPr="003D294A">
        <w:t xml:space="preserve">No epidemiological data were presented to support an association between changes in eGFR and the risk of ESKD among patients with C3G or IC-MPGN. Observational data in patients with chronic kidney disease (CKD) show a positive association between a slower decline in eGFR and reduced risk of kidney disease progression leading to ESKD. There are no randomised controlled trials supporting a quantitative relationship between </w:t>
      </w:r>
      <w:r w:rsidRPr="003D294A">
        <w:lastRenderedPageBreak/>
        <w:t>changes in eGFR and changes in the risk of ESKD in patients with C3G or primary IC-MPGN.</w:t>
      </w:r>
    </w:p>
    <w:p w14:paraId="01271067" w14:textId="3BD197C7" w:rsidR="00AA09A3" w:rsidRPr="003D294A" w:rsidRDefault="0076402C" w:rsidP="00CF7B47">
      <w:pPr>
        <w:pStyle w:val="COMESnumberedpara"/>
      </w:pPr>
      <w:r w:rsidRPr="003D294A">
        <w:t>The PSCR acknowledged that there are currently no direct data demonstrating long-term outcomes for pegcetacoplan in C3G and p</w:t>
      </w:r>
      <w:r w:rsidR="00364734" w:rsidRPr="003D294A">
        <w:t xml:space="preserve">rimary </w:t>
      </w:r>
      <w:r w:rsidRPr="003D294A">
        <w:t>IC-MPGN and that more robust long-term evidence is unlikely to</w:t>
      </w:r>
      <w:r w:rsidR="00866D9B">
        <w:t xml:space="preserve"> be</w:t>
      </w:r>
      <w:r w:rsidRPr="003D294A">
        <w:t xml:space="preserve"> forthcoming due to the ultra-rare nature and relative recency of identification of </w:t>
      </w:r>
      <w:r w:rsidR="00201ECB" w:rsidRPr="003D294A">
        <w:t>these diseases</w:t>
      </w:r>
      <w:r w:rsidRPr="003D294A">
        <w:t xml:space="preserve">. The </w:t>
      </w:r>
      <w:r w:rsidR="00B71853" w:rsidRPr="003D294A">
        <w:t xml:space="preserve">response </w:t>
      </w:r>
      <w:r w:rsidRPr="003D294A">
        <w:t>reiterated that the value of eGFR and proteinuria as indicators of more severe disease and increased disease progression risk are well established, and considered improvements observed in VALIANT provide a strong rationale for anticipated long-term clinical benefit. The Sub-Committees considered that biological plausibility and epidemiological evidence support proteinuria and eGFR decline as very important prognostic variables for kidney disease progression</w:t>
      </w:r>
      <w:r w:rsidR="00FD1BC3" w:rsidRPr="003D294A">
        <w:t xml:space="preserve"> in </w:t>
      </w:r>
      <w:r w:rsidR="00781D45" w:rsidRPr="003D294A">
        <w:t>C3G and primary IC-MPGN</w:t>
      </w:r>
      <w:r w:rsidRPr="003D294A">
        <w:t xml:space="preserve">. </w:t>
      </w:r>
      <w:r w:rsidR="00781D45" w:rsidRPr="003D294A">
        <w:t xml:space="preserve">The </w:t>
      </w:r>
      <w:r w:rsidRPr="003D294A">
        <w:t xml:space="preserve">Sub-Committees considered that data </w:t>
      </w:r>
      <w:r w:rsidR="009A6357">
        <w:t>to demonstrate</w:t>
      </w:r>
      <w:r w:rsidR="009A6357" w:rsidRPr="003D294A">
        <w:t xml:space="preserve"> </w:t>
      </w:r>
      <w:r w:rsidRPr="003D294A">
        <w:t>treatment-related changes in proteinuria or eGFR would result in a quantifiable change in the risk of kidney failure in</w:t>
      </w:r>
      <w:r w:rsidR="00443F5E" w:rsidRPr="003D294A">
        <w:t xml:space="preserve"> these</w:t>
      </w:r>
      <w:r w:rsidRPr="003D294A">
        <w:t xml:space="preserve"> patients would be difficult to attain.</w:t>
      </w:r>
    </w:p>
    <w:p w14:paraId="4A4FE085" w14:textId="1C5613CC" w:rsidR="00B60939" w:rsidRPr="003D294A" w:rsidRDefault="00B60939" w:rsidP="00CF7B47">
      <w:pPr>
        <w:pStyle w:val="COMESSubsectionheading"/>
        <w:rPr>
          <w:iCs/>
        </w:rPr>
      </w:pPr>
      <w:bookmarkStart w:id="27" w:name="_Toc22897641"/>
      <w:bookmarkStart w:id="28" w:name="_Toc219888388"/>
      <w:r w:rsidRPr="003D294A">
        <w:t>Comparative effectiveness</w:t>
      </w:r>
      <w:bookmarkEnd w:id="27"/>
      <w:bookmarkEnd w:id="28"/>
    </w:p>
    <w:p w14:paraId="28593FB8" w14:textId="5D4F4047" w:rsidR="002C2775" w:rsidRPr="003D294A" w:rsidRDefault="00AC353C" w:rsidP="00CF7B47">
      <w:pPr>
        <w:pStyle w:val="COMESnumberedpara"/>
      </w:pPr>
      <w:r w:rsidRPr="003D294A">
        <w:fldChar w:fldCharType="begin"/>
      </w:r>
      <w:r w:rsidRPr="003D294A">
        <w:instrText xml:space="preserve"> REF _Ref218869833 \h </w:instrText>
      </w:r>
      <w:r w:rsidR="0076264C" w:rsidRPr="003D294A">
        <w:instrText xml:space="preserve"> \* MERGEFORMAT </w:instrText>
      </w:r>
      <w:r w:rsidRPr="003D294A">
        <w:fldChar w:fldCharType="separate"/>
      </w:r>
      <w:r w:rsidR="00632853" w:rsidRPr="003D294A">
        <w:t xml:space="preserve">Table </w:t>
      </w:r>
      <w:r w:rsidR="00632853">
        <w:t>4</w:t>
      </w:r>
      <w:r w:rsidRPr="003D294A">
        <w:fldChar w:fldCharType="end"/>
      </w:r>
      <w:r w:rsidR="008916DB" w:rsidRPr="003D294A">
        <w:t xml:space="preserve"> presents results for the primary endpoint of change in log-transformed ratio of first morning urine (FMU) urinary protein-creatinine ratio (UPCR) at Week 26 in the VALIANT trial.</w:t>
      </w:r>
    </w:p>
    <w:p w14:paraId="7B13C8AF" w14:textId="7AC80959" w:rsidR="00760C4E" w:rsidRPr="003D294A" w:rsidRDefault="00D6076E" w:rsidP="00CF7B47">
      <w:pPr>
        <w:pStyle w:val="COMTableFigurecaption"/>
      </w:pPr>
      <w:bookmarkStart w:id="29" w:name="_Ref218869833"/>
      <w:bookmarkStart w:id="30" w:name="_Ref218869825"/>
      <w:r w:rsidRPr="003D294A">
        <w:t xml:space="preserve">Table </w:t>
      </w:r>
      <w:fldSimple w:instr=" SEQ Table \* ARABIC ">
        <w:r w:rsidR="00632853">
          <w:rPr>
            <w:noProof/>
          </w:rPr>
          <w:t>4</w:t>
        </w:r>
      </w:fldSimple>
      <w:bookmarkEnd w:id="29"/>
      <w:r w:rsidRPr="003D294A">
        <w:t>:</w:t>
      </w:r>
      <w:r w:rsidR="005D26B4" w:rsidRPr="003D294A">
        <w:t xml:space="preserve"> </w:t>
      </w:r>
      <w:r w:rsidR="008916DB" w:rsidRPr="003D294A">
        <w:t>Change in log-transformed FMU UPCR (g/g) at Week 26</w:t>
      </w:r>
      <w:bookmarkEnd w:id="30"/>
      <w:r w:rsidR="008916DB" w:rsidRPr="003D294A">
        <w:t xml:space="preserve"> </w:t>
      </w:r>
    </w:p>
    <w:tbl>
      <w:tblPr>
        <w:tblStyle w:val="TableGrid"/>
        <w:tblW w:w="0" w:type="auto"/>
        <w:tblCellMar>
          <w:left w:w="57" w:type="dxa"/>
          <w:right w:w="57" w:type="dxa"/>
        </w:tblCellMar>
        <w:tblLook w:val="04A0" w:firstRow="1" w:lastRow="0" w:firstColumn="1" w:lastColumn="0" w:noHBand="0" w:noVBand="1"/>
        <w:tblCaption w:val="Table 4: Change in log-transformed FMU UPCR (g/g) at Week 26 "/>
      </w:tblPr>
      <w:tblGrid>
        <w:gridCol w:w="1969"/>
        <w:gridCol w:w="2347"/>
        <w:gridCol w:w="2347"/>
        <w:gridCol w:w="2347"/>
      </w:tblGrid>
      <w:tr w:rsidR="008916DB" w:rsidRPr="003D294A" w14:paraId="42C2ACA7" w14:textId="77777777">
        <w:tc>
          <w:tcPr>
            <w:tcW w:w="1969" w:type="dxa"/>
            <w:vAlign w:val="center"/>
          </w:tcPr>
          <w:p w14:paraId="4F65B700" w14:textId="77777777" w:rsidR="008916DB" w:rsidRPr="003D294A" w:rsidRDefault="008916DB" w:rsidP="00CF7B47">
            <w:pPr>
              <w:pStyle w:val="COMTableheadingrow"/>
            </w:pPr>
            <w:r w:rsidRPr="003D294A">
              <w:t>Treatment arm</w:t>
            </w:r>
          </w:p>
        </w:tc>
        <w:tc>
          <w:tcPr>
            <w:tcW w:w="2347" w:type="dxa"/>
            <w:vAlign w:val="center"/>
          </w:tcPr>
          <w:p w14:paraId="0C2A585D" w14:textId="77777777" w:rsidR="008916DB" w:rsidRPr="003D294A" w:rsidRDefault="008916DB" w:rsidP="00CF7B47">
            <w:pPr>
              <w:pStyle w:val="COMTableheadingrow"/>
              <w:jc w:val="center"/>
            </w:pPr>
            <w:r w:rsidRPr="003D294A">
              <w:t>Baseline,</w:t>
            </w:r>
          </w:p>
          <w:p w14:paraId="4F8CA7B3" w14:textId="77777777" w:rsidR="008916DB" w:rsidRPr="003D294A" w:rsidRDefault="008916DB" w:rsidP="00CF7B47">
            <w:pPr>
              <w:pStyle w:val="COMTableheadingrow"/>
              <w:jc w:val="center"/>
            </w:pPr>
            <w:r w:rsidRPr="003D294A">
              <w:t>Geo-mean (95% CI)</w:t>
            </w:r>
          </w:p>
        </w:tc>
        <w:tc>
          <w:tcPr>
            <w:tcW w:w="2347" w:type="dxa"/>
            <w:vAlign w:val="center"/>
          </w:tcPr>
          <w:p w14:paraId="620A558B" w14:textId="77777777" w:rsidR="008916DB" w:rsidRPr="003D294A" w:rsidRDefault="008916DB" w:rsidP="00CF7B47">
            <w:pPr>
              <w:pStyle w:val="COMTableheadingrow"/>
              <w:jc w:val="center"/>
              <w:rPr>
                <w:vertAlign w:val="superscript"/>
              </w:rPr>
            </w:pPr>
            <w:r w:rsidRPr="003D294A">
              <w:t xml:space="preserve">Week 26 ratio to baseline (95% CI) </w:t>
            </w:r>
            <w:r w:rsidRPr="003D294A">
              <w:rPr>
                <w:b w:val="0"/>
                <w:bCs w:val="0"/>
                <w:vertAlign w:val="superscript"/>
              </w:rPr>
              <w:t>a, b</w:t>
            </w:r>
          </w:p>
        </w:tc>
        <w:tc>
          <w:tcPr>
            <w:tcW w:w="2347" w:type="dxa"/>
            <w:vAlign w:val="center"/>
          </w:tcPr>
          <w:p w14:paraId="41809554" w14:textId="77777777" w:rsidR="008916DB" w:rsidRPr="003D294A" w:rsidRDefault="008916DB" w:rsidP="00CF7B47">
            <w:pPr>
              <w:pStyle w:val="COMTableheadingrow"/>
              <w:jc w:val="center"/>
            </w:pPr>
            <w:r w:rsidRPr="003D294A">
              <w:t xml:space="preserve">Treatment difference, </w:t>
            </w:r>
          </w:p>
          <w:p w14:paraId="7CED9D91" w14:textId="77777777" w:rsidR="008916DB" w:rsidRPr="003D294A" w:rsidRDefault="008916DB" w:rsidP="00CF7B47">
            <w:pPr>
              <w:pStyle w:val="COMTableheadingrow"/>
              <w:jc w:val="center"/>
              <w:rPr>
                <w:vertAlign w:val="superscript"/>
              </w:rPr>
            </w:pPr>
            <w:r w:rsidRPr="003D294A">
              <w:t xml:space="preserve">% reduction (95% CI) </w:t>
            </w:r>
            <w:r w:rsidRPr="003D294A">
              <w:rPr>
                <w:b w:val="0"/>
                <w:bCs w:val="0"/>
                <w:vertAlign w:val="superscript"/>
              </w:rPr>
              <w:t>a</w:t>
            </w:r>
          </w:p>
        </w:tc>
      </w:tr>
      <w:tr w:rsidR="008916DB" w:rsidRPr="003D294A" w14:paraId="523E5AAD" w14:textId="77777777">
        <w:tc>
          <w:tcPr>
            <w:tcW w:w="1969" w:type="dxa"/>
          </w:tcPr>
          <w:p w14:paraId="41664894" w14:textId="77777777" w:rsidR="008916DB" w:rsidRPr="003D294A" w:rsidRDefault="008916DB" w:rsidP="00CF7B47">
            <w:pPr>
              <w:pStyle w:val="COMTabletext"/>
            </w:pPr>
            <w:r w:rsidRPr="003D294A">
              <w:t>Pegcetacoplan N = 63</w:t>
            </w:r>
          </w:p>
        </w:tc>
        <w:tc>
          <w:tcPr>
            <w:tcW w:w="2347" w:type="dxa"/>
            <w:vAlign w:val="center"/>
          </w:tcPr>
          <w:p w14:paraId="0BFB1B4D" w14:textId="77777777" w:rsidR="008916DB" w:rsidRPr="003D294A" w:rsidRDefault="008916DB" w:rsidP="00CF7B47">
            <w:pPr>
              <w:pStyle w:val="COMTabletext"/>
              <w:jc w:val="center"/>
            </w:pPr>
            <w:r w:rsidRPr="003D294A">
              <w:t>2.48 (2.10, 2.93)</w:t>
            </w:r>
          </w:p>
        </w:tc>
        <w:tc>
          <w:tcPr>
            <w:tcW w:w="2347" w:type="dxa"/>
            <w:vAlign w:val="center"/>
          </w:tcPr>
          <w:p w14:paraId="3B532207" w14:textId="77777777" w:rsidR="008916DB" w:rsidRPr="003D294A" w:rsidRDefault="008916DB" w:rsidP="00CF7B47">
            <w:pPr>
              <w:pStyle w:val="COMTabletext"/>
              <w:jc w:val="center"/>
            </w:pPr>
            <w:r w:rsidRPr="003D294A">
              <w:t>0.33 (0.25, 0.43)</w:t>
            </w:r>
          </w:p>
        </w:tc>
        <w:tc>
          <w:tcPr>
            <w:tcW w:w="2347" w:type="dxa"/>
            <w:vMerge w:val="restart"/>
            <w:vAlign w:val="center"/>
          </w:tcPr>
          <w:p w14:paraId="7F4D4433" w14:textId="77777777" w:rsidR="008916DB" w:rsidRPr="003D294A" w:rsidRDefault="008916DB" w:rsidP="00CF7B47">
            <w:pPr>
              <w:pStyle w:val="COMTabletext"/>
              <w:jc w:val="center"/>
              <w:rPr>
                <w:b/>
                <w:bCs w:val="0"/>
              </w:rPr>
            </w:pPr>
            <w:r w:rsidRPr="003D294A">
              <w:rPr>
                <w:b/>
                <w:bCs w:val="0"/>
              </w:rPr>
              <w:t>68.1 (57.3, 76.2)</w:t>
            </w:r>
          </w:p>
        </w:tc>
      </w:tr>
      <w:tr w:rsidR="008916DB" w:rsidRPr="003D294A" w14:paraId="755DF0EE" w14:textId="77777777">
        <w:tc>
          <w:tcPr>
            <w:tcW w:w="1969" w:type="dxa"/>
          </w:tcPr>
          <w:p w14:paraId="3D298C52" w14:textId="77777777" w:rsidR="008916DB" w:rsidRPr="003D294A" w:rsidRDefault="008916DB" w:rsidP="00CF7B47">
            <w:pPr>
              <w:pStyle w:val="COMTabletext"/>
            </w:pPr>
            <w:r w:rsidRPr="003D294A">
              <w:t>Placebo N = 61</w:t>
            </w:r>
          </w:p>
        </w:tc>
        <w:tc>
          <w:tcPr>
            <w:tcW w:w="2347" w:type="dxa"/>
            <w:vAlign w:val="center"/>
          </w:tcPr>
          <w:p w14:paraId="7DF8E7B9" w14:textId="77777777" w:rsidR="008916DB" w:rsidRPr="003D294A" w:rsidRDefault="008916DB" w:rsidP="00CF7B47">
            <w:pPr>
              <w:pStyle w:val="COMTabletext"/>
              <w:jc w:val="center"/>
            </w:pPr>
            <w:r w:rsidRPr="003D294A">
              <w:t>2.02 (1.71, 2.38)</w:t>
            </w:r>
          </w:p>
        </w:tc>
        <w:tc>
          <w:tcPr>
            <w:tcW w:w="2347" w:type="dxa"/>
            <w:vAlign w:val="center"/>
          </w:tcPr>
          <w:p w14:paraId="50DE9E6A" w14:textId="77777777" w:rsidR="008916DB" w:rsidRPr="003D294A" w:rsidRDefault="008916DB" w:rsidP="00CF7B47">
            <w:pPr>
              <w:pStyle w:val="COMTabletext"/>
              <w:jc w:val="center"/>
            </w:pPr>
            <w:r w:rsidRPr="003D294A">
              <w:t>1.03 (0.91, 1.16)</w:t>
            </w:r>
          </w:p>
        </w:tc>
        <w:tc>
          <w:tcPr>
            <w:tcW w:w="2347" w:type="dxa"/>
            <w:vMerge/>
          </w:tcPr>
          <w:p w14:paraId="07702C3E" w14:textId="77777777" w:rsidR="008916DB" w:rsidRPr="003D294A" w:rsidRDefault="008916DB" w:rsidP="00CF7B47">
            <w:pPr>
              <w:pStyle w:val="COMTabletext"/>
            </w:pPr>
          </w:p>
        </w:tc>
      </w:tr>
    </w:tbl>
    <w:p w14:paraId="2FF0D352" w14:textId="77777777" w:rsidR="008916DB" w:rsidRPr="003D294A" w:rsidRDefault="008916DB" w:rsidP="00CF7B47">
      <w:pPr>
        <w:pStyle w:val="COMTablefooter"/>
        <w:keepNext/>
      </w:pPr>
      <w:r w:rsidRPr="003D294A">
        <w:t xml:space="preserve">Source: Table 2-16, p61 of the submission; Table 14.5.1 </w:t>
      </w:r>
      <w:r w:rsidRPr="003D294A">
        <w:rPr>
          <w:i/>
          <w:iCs/>
        </w:rPr>
        <w:t xml:space="preserve">post hoc </w:t>
      </w:r>
      <w:r w:rsidRPr="003D294A">
        <w:t>tables and Table 14.1.14.1.3 of the VALIANT trial report</w:t>
      </w:r>
    </w:p>
    <w:p w14:paraId="44E7CA2E" w14:textId="77777777" w:rsidR="008916DB" w:rsidRPr="003D294A" w:rsidRDefault="008916DB" w:rsidP="00CF7B47">
      <w:pPr>
        <w:pStyle w:val="COMTablefooter"/>
        <w:keepNext/>
      </w:pPr>
      <w:r w:rsidRPr="003D294A">
        <w:t>Abbreviations: CI, confidence interval; FMU, first morning urine; Geo-mean, geometric mean; UPCR, urinary protein-creatinine ratio</w:t>
      </w:r>
    </w:p>
    <w:p w14:paraId="0B4414F1" w14:textId="77777777" w:rsidR="008916DB" w:rsidRPr="003D294A" w:rsidRDefault="008916DB" w:rsidP="00CF7B47">
      <w:pPr>
        <w:pStyle w:val="COMTablefooter"/>
        <w:keepNext/>
      </w:pPr>
      <w:r w:rsidRPr="003D294A">
        <w:rPr>
          <w:vertAlign w:val="superscript"/>
        </w:rPr>
        <w:t>a</w:t>
      </w:r>
      <w:r w:rsidRPr="003D294A">
        <w:t xml:space="preserve"> Based on a mixed model with repeated measures analysis of log-transformed geometric mean FMU UPCR</w:t>
      </w:r>
    </w:p>
    <w:p w14:paraId="4DE406F1" w14:textId="77777777" w:rsidR="008916DB" w:rsidRPr="003D294A" w:rsidRDefault="008916DB" w:rsidP="00CF7B47">
      <w:pPr>
        <w:pStyle w:val="COMTablefooter"/>
        <w:keepNext/>
      </w:pPr>
      <w:r w:rsidRPr="003D294A">
        <w:rPr>
          <w:vertAlign w:val="superscript"/>
        </w:rPr>
        <w:t>b</w:t>
      </w:r>
      <w:r w:rsidRPr="003D294A">
        <w:t xml:space="preserve"> Geometric means and ratios are estimated by exponentiated least square means and differences. The difference from baseline to Week 26 was measured using an equal-weighted average over Weeks 24, 25 and 26 in the trial</w:t>
      </w:r>
    </w:p>
    <w:p w14:paraId="4B69C81D" w14:textId="15F85DE9" w:rsidR="00D86231" w:rsidRPr="003D294A" w:rsidRDefault="008916DB" w:rsidP="00CF7B47">
      <w:pPr>
        <w:pStyle w:val="COMESnumberedpara"/>
      </w:pPr>
      <w:r w:rsidRPr="003D294A">
        <w:t>Treatment with pegcetacoplan was associated with a statistically significant reduction in FMU UPCR compared to placebo at Week 26 from baseline. Sensitivity analyses using alternative imputation approaches (missing at random, tipping point analysis) produced results that were consistent with the primary analysis. The change in proteinuria from baseline exceeded the nominated minimal clinically important difference of at least 50% reduction in proteinuria.</w:t>
      </w:r>
    </w:p>
    <w:p w14:paraId="41C27F69" w14:textId="77777777" w:rsidR="00303C85" w:rsidRPr="003D294A" w:rsidRDefault="00303C85" w:rsidP="00CF7B47">
      <w:pPr>
        <w:pStyle w:val="COMESnumberedpara"/>
      </w:pPr>
      <w:r w:rsidRPr="003D294A">
        <w:t xml:space="preserve">A post hoc analysis was conducted to analyse the change from baseline in log-transformed 24-hour UPCR. The geometric mean ratio at Week 24 compared to baseline was 0.313 (95% CI 0.235, 0.417) for pegcetacoplan and 0.915 (95% CI 0.783, 1.070) for placebo, a relative reduction of 65.8% (p &lt; 0.001) for pegcetacoplan versus placebo. </w:t>
      </w:r>
    </w:p>
    <w:p w14:paraId="625C741C" w14:textId="39EB331D" w:rsidR="008916DB" w:rsidRPr="003D294A" w:rsidRDefault="007C30DF" w:rsidP="00CF7B47">
      <w:pPr>
        <w:pStyle w:val="COMESnumberedpara"/>
      </w:pPr>
      <w:r w:rsidRPr="003D294A">
        <w:t>Treatment effects on proteinuria were sustained at Week 52 during the open-label extension period of the trial.</w:t>
      </w:r>
    </w:p>
    <w:p w14:paraId="29CD8167" w14:textId="1D508BC6" w:rsidR="007C30DF" w:rsidRPr="003D294A" w:rsidRDefault="00AC353C" w:rsidP="00CF7B47">
      <w:pPr>
        <w:pStyle w:val="COMESnumberedpara"/>
      </w:pPr>
      <w:r w:rsidRPr="003D294A">
        <w:lastRenderedPageBreak/>
        <w:fldChar w:fldCharType="begin"/>
      </w:r>
      <w:r w:rsidRPr="003D294A">
        <w:instrText xml:space="preserve"> REF _Ref218869855 \h </w:instrText>
      </w:r>
      <w:r w:rsidR="0076264C" w:rsidRPr="003D294A">
        <w:instrText xml:space="preserve"> \* MERGEFORMAT </w:instrText>
      </w:r>
      <w:r w:rsidRPr="003D294A">
        <w:fldChar w:fldCharType="separate"/>
      </w:r>
      <w:r w:rsidR="00632853" w:rsidRPr="003D294A">
        <w:t xml:space="preserve">Table </w:t>
      </w:r>
      <w:r w:rsidR="00632853">
        <w:t>5</w:t>
      </w:r>
      <w:r w:rsidRPr="003D294A">
        <w:fldChar w:fldCharType="end"/>
      </w:r>
      <w:r w:rsidRPr="003D294A">
        <w:t xml:space="preserve"> </w:t>
      </w:r>
      <w:r w:rsidR="007C30DF" w:rsidRPr="003D294A">
        <w:t>presents results for responder analyses based on percentage changes in eGFR and UPCR at Week 26.</w:t>
      </w:r>
    </w:p>
    <w:p w14:paraId="58A4CCA7" w14:textId="6CB6ADF5" w:rsidR="007C30DF" w:rsidRPr="003D294A" w:rsidRDefault="00D6076E" w:rsidP="00CF7B47">
      <w:pPr>
        <w:pStyle w:val="COMTableFigurecaption"/>
      </w:pPr>
      <w:bookmarkStart w:id="31" w:name="_Ref218869855"/>
      <w:r w:rsidRPr="003D294A">
        <w:t xml:space="preserve">Table </w:t>
      </w:r>
      <w:fldSimple w:instr=" SEQ Table \* ARABIC ">
        <w:r w:rsidR="00632853">
          <w:rPr>
            <w:noProof/>
          </w:rPr>
          <w:t>5</w:t>
        </w:r>
      </w:fldSimple>
      <w:bookmarkEnd w:id="31"/>
      <w:r w:rsidRPr="003D294A">
        <w:t xml:space="preserve">: </w:t>
      </w:r>
      <w:r w:rsidR="007C30DF" w:rsidRPr="003D294A">
        <w:t>Responder analyses based on key secondary endpoints at Week 26</w:t>
      </w:r>
    </w:p>
    <w:tbl>
      <w:tblPr>
        <w:tblStyle w:val="TableGrid"/>
        <w:tblW w:w="0" w:type="auto"/>
        <w:tblCellMar>
          <w:left w:w="28" w:type="dxa"/>
          <w:right w:w="28" w:type="dxa"/>
        </w:tblCellMar>
        <w:tblLook w:val="04A0" w:firstRow="1" w:lastRow="0" w:firstColumn="1" w:lastColumn="0" w:noHBand="0" w:noVBand="1"/>
        <w:tblCaption w:val="Table 5: Responder analyses based on key secondary endpoints at Week 26"/>
      </w:tblPr>
      <w:tblGrid>
        <w:gridCol w:w="3117"/>
        <w:gridCol w:w="1889"/>
        <w:gridCol w:w="1890"/>
        <w:gridCol w:w="2121"/>
      </w:tblGrid>
      <w:tr w:rsidR="007C30DF" w:rsidRPr="003D294A" w14:paraId="316225F2" w14:textId="77777777" w:rsidTr="00F15673">
        <w:tc>
          <w:tcPr>
            <w:tcW w:w="3117" w:type="dxa"/>
          </w:tcPr>
          <w:p w14:paraId="1C3556D8" w14:textId="77777777" w:rsidR="007C30DF" w:rsidRPr="003D294A" w:rsidRDefault="007C30DF" w:rsidP="00CF7B47">
            <w:pPr>
              <w:pStyle w:val="COMTableheadingrow"/>
            </w:pPr>
            <w:r w:rsidRPr="003D294A">
              <w:t>Outcome</w:t>
            </w:r>
          </w:p>
        </w:tc>
        <w:tc>
          <w:tcPr>
            <w:tcW w:w="1889" w:type="dxa"/>
            <w:vAlign w:val="center"/>
          </w:tcPr>
          <w:p w14:paraId="45516B85" w14:textId="3644CE0A" w:rsidR="007C30DF" w:rsidRPr="003D294A" w:rsidRDefault="007C30DF" w:rsidP="00CF7B47">
            <w:pPr>
              <w:pStyle w:val="COMTableheadingrow"/>
              <w:jc w:val="center"/>
            </w:pPr>
            <w:r w:rsidRPr="003D294A">
              <w:t>Pegcetacoplan N</w:t>
            </w:r>
            <w:r w:rsidR="00F15673" w:rsidRPr="003D294A">
              <w:t xml:space="preserve"> </w:t>
            </w:r>
            <w:r w:rsidRPr="003D294A">
              <w:t>=</w:t>
            </w:r>
            <w:r w:rsidR="00F15673" w:rsidRPr="003D294A">
              <w:t xml:space="preserve"> </w:t>
            </w:r>
            <w:r w:rsidRPr="003D294A">
              <w:t>63</w:t>
            </w:r>
          </w:p>
        </w:tc>
        <w:tc>
          <w:tcPr>
            <w:tcW w:w="1890" w:type="dxa"/>
            <w:vAlign w:val="center"/>
          </w:tcPr>
          <w:p w14:paraId="5F9698FE" w14:textId="77777777" w:rsidR="007C30DF" w:rsidRPr="003D294A" w:rsidRDefault="007C30DF" w:rsidP="00CF7B47">
            <w:pPr>
              <w:pStyle w:val="COMTableheadingrow"/>
              <w:jc w:val="center"/>
            </w:pPr>
            <w:r w:rsidRPr="003D294A">
              <w:t>Placebo N = 61</w:t>
            </w:r>
          </w:p>
        </w:tc>
        <w:tc>
          <w:tcPr>
            <w:tcW w:w="2121" w:type="dxa"/>
            <w:vAlign w:val="center"/>
          </w:tcPr>
          <w:p w14:paraId="2F7833A6" w14:textId="77777777" w:rsidR="007C30DF" w:rsidRPr="003D294A" w:rsidRDefault="007C30DF" w:rsidP="00CF7B47">
            <w:pPr>
              <w:pStyle w:val="COMTableheadingrow"/>
              <w:jc w:val="center"/>
            </w:pPr>
            <w:r w:rsidRPr="003D294A">
              <w:t>Odds ratio (95% CI)</w:t>
            </w:r>
          </w:p>
        </w:tc>
      </w:tr>
      <w:tr w:rsidR="007C30DF" w:rsidRPr="003D294A" w14:paraId="404E9139" w14:textId="77777777" w:rsidTr="00F15673">
        <w:tc>
          <w:tcPr>
            <w:tcW w:w="3117" w:type="dxa"/>
            <w:tcBorders>
              <w:bottom w:val="nil"/>
            </w:tcBorders>
          </w:tcPr>
          <w:p w14:paraId="1D568910" w14:textId="77777777" w:rsidR="007C30DF" w:rsidRPr="003D294A" w:rsidRDefault="007C30DF" w:rsidP="00CF7B47">
            <w:pPr>
              <w:pStyle w:val="COMTabletext"/>
            </w:pPr>
            <w:r w:rsidRPr="003D294A">
              <w:t>Composite renal endpoint, n/N (%)</w:t>
            </w:r>
          </w:p>
        </w:tc>
        <w:tc>
          <w:tcPr>
            <w:tcW w:w="1889" w:type="dxa"/>
            <w:tcBorders>
              <w:bottom w:val="nil"/>
            </w:tcBorders>
            <w:vAlign w:val="center"/>
          </w:tcPr>
          <w:p w14:paraId="1BD4DD9E" w14:textId="77777777" w:rsidR="007C30DF" w:rsidRPr="003D294A" w:rsidRDefault="007C30DF" w:rsidP="00CF7B47">
            <w:pPr>
              <w:pStyle w:val="COMTabletext"/>
              <w:jc w:val="center"/>
            </w:pPr>
            <w:r w:rsidRPr="003D294A">
              <w:t>31/63 (49.2)</w:t>
            </w:r>
          </w:p>
        </w:tc>
        <w:tc>
          <w:tcPr>
            <w:tcW w:w="1890" w:type="dxa"/>
            <w:tcBorders>
              <w:bottom w:val="nil"/>
            </w:tcBorders>
            <w:vAlign w:val="center"/>
          </w:tcPr>
          <w:p w14:paraId="5046AFB8" w14:textId="77777777" w:rsidR="007C30DF" w:rsidRPr="003D294A" w:rsidRDefault="007C30DF" w:rsidP="00CF7B47">
            <w:pPr>
              <w:pStyle w:val="COMTabletext"/>
              <w:jc w:val="center"/>
            </w:pPr>
            <w:r w:rsidRPr="003D294A">
              <w:t>2/61 (3.3)</w:t>
            </w:r>
          </w:p>
        </w:tc>
        <w:tc>
          <w:tcPr>
            <w:tcW w:w="2121" w:type="dxa"/>
            <w:vMerge w:val="restart"/>
            <w:vAlign w:val="center"/>
          </w:tcPr>
          <w:p w14:paraId="42CFFDF6" w14:textId="77777777" w:rsidR="007C30DF" w:rsidRPr="003D294A" w:rsidRDefault="007C30DF" w:rsidP="00CF7B47">
            <w:pPr>
              <w:pStyle w:val="COMTabletext"/>
              <w:jc w:val="center"/>
              <w:rPr>
                <w:b/>
                <w:bCs w:val="0"/>
              </w:rPr>
            </w:pPr>
            <w:r w:rsidRPr="003D294A">
              <w:rPr>
                <w:b/>
                <w:bCs w:val="0"/>
              </w:rPr>
              <w:t xml:space="preserve">27.5 (6.1, 123.8) </w:t>
            </w:r>
            <w:r w:rsidRPr="003D294A">
              <w:rPr>
                <w:vertAlign w:val="superscript"/>
              </w:rPr>
              <w:t>a</w:t>
            </w:r>
          </w:p>
        </w:tc>
      </w:tr>
      <w:tr w:rsidR="007C30DF" w:rsidRPr="003D294A" w14:paraId="6CEEECDB" w14:textId="77777777" w:rsidTr="00F15673">
        <w:tc>
          <w:tcPr>
            <w:tcW w:w="3117" w:type="dxa"/>
            <w:tcBorders>
              <w:top w:val="nil"/>
              <w:bottom w:val="nil"/>
            </w:tcBorders>
          </w:tcPr>
          <w:p w14:paraId="2125FCCB" w14:textId="77777777" w:rsidR="007C30DF" w:rsidRPr="003D294A" w:rsidRDefault="007C30DF" w:rsidP="00CF7B47">
            <w:pPr>
              <w:pStyle w:val="COMTabletext"/>
            </w:pPr>
            <w:r w:rsidRPr="003D294A">
              <w:t>- ≤15% decrease in eGFR</w:t>
            </w:r>
          </w:p>
        </w:tc>
        <w:tc>
          <w:tcPr>
            <w:tcW w:w="1889" w:type="dxa"/>
            <w:tcBorders>
              <w:top w:val="nil"/>
              <w:bottom w:val="nil"/>
            </w:tcBorders>
            <w:vAlign w:val="center"/>
          </w:tcPr>
          <w:p w14:paraId="495FBD5B" w14:textId="77777777" w:rsidR="007C30DF" w:rsidRPr="003D294A" w:rsidRDefault="007C30DF" w:rsidP="00CF7B47">
            <w:pPr>
              <w:pStyle w:val="COMTabletext"/>
              <w:jc w:val="center"/>
            </w:pPr>
            <w:r w:rsidRPr="003D294A">
              <w:t>43/63 (68.3)</w:t>
            </w:r>
          </w:p>
        </w:tc>
        <w:tc>
          <w:tcPr>
            <w:tcW w:w="1890" w:type="dxa"/>
            <w:tcBorders>
              <w:top w:val="nil"/>
              <w:bottom w:val="nil"/>
            </w:tcBorders>
            <w:vAlign w:val="center"/>
          </w:tcPr>
          <w:p w14:paraId="78F01C14" w14:textId="77777777" w:rsidR="007C30DF" w:rsidRPr="003D294A" w:rsidRDefault="007C30DF" w:rsidP="00CF7B47">
            <w:pPr>
              <w:pStyle w:val="COMTabletext"/>
              <w:jc w:val="center"/>
            </w:pPr>
            <w:r w:rsidRPr="003D294A">
              <w:t>36/61 (59.0)</w:t>
            </w:r>
          </w:p>
        </w:tc>
        <w:tc>
          <w:tcPr>
            <w:tcW w:w="2121" w:type="dxa"/>
            <w:vMerge/>
          </w:tcPr>
          <w:p w14:paraId="2E722B2B" w14:textId="77777777" w:rsidR="007C30DF" w:rsidRPr="003D294A" w:rsidRDefault="007C30DF" w:rsidP="00CF7B47">
            <w:pPr>
              <w:pStyle w:val="COMTabletext"/>
            </w:pPr>
          </w:p>
        </w:tc>
      </w:tr>
      <w:tr w:rsidR="007C30DF" w:rsidRPr="003D294A" w14:paraId="104EA9A9" w14:textId="77777777" w:rsidTr="00F15673">
        <w:tc>
          <w:tcPr>
            <w:tcW w:w="3117" w:type="dxa"/>
            <w:tcBorders>
              <w:top w:val="nil"/>
            </w:tcBorders>
          </w:tcPr>
          <w:p w14:paraId="25017E67" w14:textId="77777777" w:rsidR="007C30DF" w:rsidRPr="003D294A" w:rsidRDefault="007C30DF" w:rsidP="00CF7B47">
            <w:pPr>
              <w:pStyle w:val="COMTabletext"/>
            </w:pPr>
            <w:r w:rsidRPr="003D294A">
              <w:t>- ≥50% reduction in FMU UPCR</w:t>
            </w:r>
          </w:p>
        </w:tc>
        <w:tc>
          <w:tcPr>
            <w:tcW w:w="1889" w:type="dxa"/>
            <w:tcBorders>
              <w:top w:val="nil"/>
            </w:tcBorders>
            <w:vAlign w:val="center"/>
          </w:tcPr>
          <w:p w14:paraId="455AFE2C" w14:textId="77777777" w:rsidR="007C30DF" w:rsidRPr="003D294A" w:rsidRDefault="007C30DF" w:rsidP="00CF7B47">
            <w:pPr>
              <w:pStyle w:val="COMTabletext"/>
              <w:jc w:val="center"/>
            </w:pPr>
            <w:r w:rsidRPr="003D294A">
              <w:t>38/63 (60.3)</w:t>
            </w:r>
          </w:p>
        </w:tc>
        <w:tc>
          <w:tcPr>
            <w:tcW w:w="1890" w:type="dxa"/>
            <w:tcBorders>
              <w:top w:val="nil"/>
            </w:tcBorders>
            <w:vAlign w:val="center"/>
          </w:tcPr>
          <w:p w14:paraId="4ED5C622" w14:textId="77777777" w:rsidR="007C30DF" w:rsidRPr="003D294A" w:rsidRDefault="007C30DF" w:rsidP="00CF7B47">
            <w:pPr>
              <w:pStyle w:val="COMTabletext"/>
              <w:jc w:val="center"/>
            </w:pPr>
            <w:r w:rsidRPr="003D294A">
              <w:t>3/61 (4.9)</w:t>
            </w:r>
          </w:p>
        </w:tc>
        <w:tc>
          <w:tcPr>
            <w:tcW w:w="2121" w:type="dxa"/>
            <w:vMerge/>
          </w:tcPr>
          <w:p w14:paraId="7A1EF29F" w14:textId="77777777" w:rsidR="007C30DF" w:rsidRPr="003D294A" w:rsidRDefault="007C30DF" w:rsidP="00CF7B47">
            <w:pPr>
              <w:pStyle w:val="COMTabletext"/>
            </w:pPr>
          </w:p>
        </w:tc>
      </w:tr>
      <w:tr w:rsidR="007C30DF" w:rsidRPr="003D294A" w14:paraId="7A646306" w14:textId="77777777" w:rsidTr="00F15673">
        <w:tc>
          <w:tcPr>
            <w:tcW w:w="3117" w:type="dxa"/>
          </w:tcPr>
          <w:p w14:paraId="34CF8173" w14:textId="77777777" w:rsidR="007C30DF" w:rsidRPr="003D294A" w:rsidRDefault="007C30DF" w:rsidP="00CF7B47">
            <w:pPr>
              <w:pStyle w:val="COMTabletext"/>
            </w:pPr>
            <w:r w:rsidRPr="003D294A">
              <w:t>≥50% reduction in FMU UPCR, n/N (%)</w:t>
            </w:r>
          </w:p>
        </w:tc>
        <w:tc>
          <w:tcPr>
            <w:tcW w:w="1889" w:type="dxa"/>
            <w:vAlign w:val="center"/>
          </w:tcPr>
          <w:p w14:paraId="17A5F671" w14:textId="77777777" w:rsidR="007C30DF" w:rsidRPr="003D294A" w:rsidRDefault="007C30DF" w:rsidP="00CF7B47">
            <w:pPr>
              <w:pStyle w:val="COMTabletext"/>
              <w:jc w:val="center"/>
            </w:pPr>
            <w:r w:rsidRPr="003D294A">
              <w:t>38/63 (60.3)</w:t>
            </w:r>
          </w:p>
        </w:tc>
        <w:tc>
          <w:tcPr>
            <w:tcW w:w="1890" w:type="dxa"/>
            <w:vAlign w:val="center"/>
          </w:tcPr>
          <w:p w14:paraId="54EC0279" w14:textId="77777777" w:rsidR="007C30DF" w:rsidRPr="003D294A" w:rsidRDefault="007C30DF" w:rsidP="00CF7B47">
            <w:pPr>
              <w:pStyle w:val="COMTabletext"/>
              <w:jc w:val="center"/>
            </w:pPr>
            <w:r w:rsidRPr="003D294A">
              <w:t>3/61 (4.9)</w:t>
            </w:r>
          </w:p>
        </w:tc>
        <w:tc>
          <w:tcPr>
            <w:tcW w:w="2121" w:type="dxa"/>
            <w:vAlign w:val="center"/>
          </w:tcPr>
          <w:p w14:paraId="7D27C959" w14:textId="77777777" w:rsidR="007C30DF" w:rsidRPr="003D294A" w:rsidRDefault="007C30DF" w:rsidP="00CF7B47">
            <w:pPr>
              <w:pStyle w:val="COMTabletext"/>
              <w:jc w:val="center"/>
            </w:pPr>
            <w:r w:rsidRPr="003D294A">
              <w:rPr>
                <w:b/>
                <w:bCs w:val="0"/>
              </w:rPr>
              <w:t xml:space="preserve">30.9 (8.4, 113.8) </w:t>
            </w:r>
            <w:r w:rsidRPr="003D294A">
              <w:rPr>
                <w:vertAlign w:val="superscript"/>
              </w:rPr>
              <w:t>a</w:t>
            </w:r>
          </w:p>
        </w:tc>
      </w:tr>
    </w:tbl>
    <w:p w14:paraId="7837DB95" w14:textId="77777777" w:rsidR="007C30DF" w:rsidRPr="003D294A" w:rsidRDefault="007C30DF" w:rsidP="00CF7B47">
      <w:pPr>
        <w:pStyle w:val="COMTablefooter"/>
        <w:keepNext/>
      </w:pPr>
      <w:r w:rsidRPr="003D294A">
        <w:t>Source: Table 2-19, p65 of the submission; Table 21, p121; Table 25, p25 of the VALIANT trial report</w:t>
      </w:r>
    </w:p>
    <w:p w14:paraId="11EFCD75" w14:textId="77777777" w:rsidR="007C30DF" w:rsidRPr="003D294A" w:rsidRDefault="007C30DF" w:rsidP="00CF7B47">
      <w:pPr>
        <w:pStyle w:val="COMTablefooter"/>
        <w:keepNext/>
      </w:pPr>
      <w:r w:rsidRPr="003D294A">
        <w:t>Abbreviations: CI, confidence interval; eGFR, estimated glomerular filtration rate; FMU UPCR, first morning urine protein-creatinine ratio</w:t>
      </w:r>
    </w:p>
    <w:p w14:paraId="37A9AB64" w14:textId="77777777" w:rsidR="007C30DF" w:rsidRPr="003D294A" w:rsidRDefault="007C30DF" w:rsidP="00CF7B47">
      <w:pPr>
        <w:pStyle w:val="COMTablefooter"/>
        <w:keepNext/>
      </w:pPr>
      <w:proofErr w:type="spellStart"/>
      <w:r w:rsidRPr="003D294A">
        <w:rPr>
          <w:vertAlign w:val="superscript"/>
        </w:rPr>
        <w:t>a</w:t>
      </w:r>
      <w:proofErr w:type="spellEnd"/>
      <w:r w:rsidRPr="003D294A">
        <w:t xml:space="preserve"> The logistic model included treatment group as independent variable and adjusted for baseline values, disease type, and stratification factors. A composite strategy was used where the response status at or after the occurrence of any of the intercurrent events was regarded as non-responder. Participants with missing outcome values other than intercurrent events were regarded as non-responder</w:t>
      </w:r>
    </w:p>
    <w:p w14:paraId="0320E36A" w14:textId="77777777" w:rsidR="007C30DF" w:rsidRPr="003D294A" w:rsidRDefault="007C30DF" w:rsidP="00CF7B47">
      <w:pPr>
        <w:pStyle w:val="COMTablefooter"/>
        <w:keepNext/>
      </w:pPr>
      <w:r w:rsidRPr="003D294A">
        <w:rPr>
          <w:b/>
          <w:bCs/>
        </w:rPr>
        <w:t xml:space="preserve">Bolded </w:t>
      </w:r>
      <w:r w:rsidRPr="003D294A">
        <w:t>results are statistically significant, adjusted for multiplicity using a fixed sequence testing hierarchy</w:t>
      </w:r>
    </w:p>
    <w:p w14:paraId="0A132066" w14:textId="4281F7C5" w:rsidR="007C30DF" w:rsidRPr="003D294A" w:rsidRDefault="007C30DF" w:rsidP="00CF7B47">
      <w:pPr>
        <w:pStyle w:val="COMESnumberedpara"/>
      </w:pPr>
      <w:r w:rsidRPr="003D294A">
        <w:t xml:space="preserve">Results for the composite renal endpoint were statistically significant based on the fixed sequence testing hierarchy, in favour of pegcetacoplan compared to placebo (relative difference 45.6%; 95% CI 21.2, 70.0). The difference was driven by the proportion of patients achieving </w:t>
      </w:r>
      <w:r w:rsidRPr="003D294A">
        <w:rPr>
          <w:rFonts w:cs="Calibri"/>
        </w:rPr>
        <w:t>≥</w:t>
      </w:r>
      <w:r w:rsidRPr="003D294A">
        <w:t>50% reduction in first morning UPCR at 26 weeks</w:t>
      </w:r>
      <w:r w:rsidR="00AF60DC" w:rsidRPr="003D294A">
        <w:t xml:space="preserve"> (relative difference </w:t>
      </w:r>
      <w:r w:rsidR="004B1DFF" w:rsidRPr="003D294A">
        <w:t>52.7%; 95% CI 29.2, 76.2)</w:t>
      </w:r>
      <w:r w:rsidRPr="003D294A">
        <w:t xml:space="preserve">. </w:t>
      </w:r>
    </w:p>
    <w:p w14:paraId="2F468EB4" w14:textId="3CE1C9B5" w:rsidR="00BD0326" w:rsidRPr="003D294A" w:rsidRDefault="007C30DF" w:rsidP="00CF7B47">
      <w:pPr>
        <w:pStyle w:val="COMESnumberedpara"/>
      </w:pPr>
      <w:r w:rsidRPr="003D294A">
        <w:t>Results at 52 weeks during the open-label period were supportive of sustained treatment effects, with similar proportions in both arms achieving the composite renal endpoint compared to baseline (38.1% in patients originally randomised to pegcetacoplan and 36.1% in patients who switched from placebo to pegcetacoplan). The results in the pegcetacoplan arm were numerically lower compared to Week 26, with similar reductions in those achieving individual components of ≤15% reduction in eGFR (61.9%) and ≥50% reduction in FMU UPCR (50.8%).</w:t>
      </w:r>
    </w:p>
    <w:p w14:paraId="5B43C2BA" w14:textId="669DD978" w:rsidR="0046672B" w:rsidRPr="003D294A" w:rsidRDefault="00F15673" w:rsidP="00CF7B47">
      <w:pPr>
        <w:pStyle w:val="COMESnumberedpara"/>
      </w:pPr>
      <w:r w:rsidRPr="003D294A">
        <w:t>An ex</w:t>
      </w:r>
      <w:r w:rsidR="007C30DF" w:rsidRPr="003D294A">
        <w:t>ploratory analys</w:t>
      </w:r>
      <w:r w:rsidRPr="003D294A">
        <w:t>i</w:t>
      </w:r>
      <w:r w:rsidR="007C30DF" w:rsidRPr="003D294A">
        <w:t>s based on the proportion of patients achieving proteinuria &lt;1</w:t>
      </w:r>
      <w:r w:rsidR="00EC24F2" w:rsidRPr="003D294A">
        <w:t> </w:t>
      </w:r>
      <w:r w:rsidR="007C30DF" w:rsidRPr="003D294A">
        <w:t>g/day (measured by 24-hour urine) at 26 weeks was also in favour of pegcetacoplan (36.5%) compared to placebo (11.5%), a difference of 21.1% (95% CI 3.7, 38.5) between arms.</w:t>
      </w:r>
    </w:p>
    <w:p w14:paraId="442902E2" w14:textId="3FC013D3" w:rsidR="004F5D48" w:rsidRPr="003D294A" w:rsidRDefault="004F6D2C" w:rsidP="00CF7B47">
      <w:pPr>
        <w:pStyle w:val="COMESnumberedpara"/>
        <w:spacing w:after="120"/>
      </w:pPr>
      <w:r w:rsidRPr="003D294A">
        <w:fldChar w:fldCharType="begin"/>
      </w:r>
      <w:r w:rsidRPr="003D294A">
        <w:instrText xml:space="preserve"> REF _Ref218869942 \h </w:instrText>
      </w:r>
      <w:r w:rsidR="0076264C" w:rsidRPr="003D294A">
        <w:instrText xml:space="preserve"> \* MERGEFORMAT </w:instrText>
      </w:r>
      <w:r w:rsidRPr="003D294A">
        <w:fldChar w:fldCharType="separate"/>
      </w:r>
      <w:r w:rsidR="00632853" w:rsidRPr="003D294A">
        <w:t xml:space="preserve">Figure </w:t>
      </w:r>
      <w:r w:rsidR="00632853">
        <w:t>1</w:t>
      </w:r>
      <w:r w:rsidRPr="003D294A">
        <w:fldChar w:fldCharType="end"/>
      </w:r>
      <w:r w:rsidRPr="003D294A">
        <w:t xml:space="preserve"> </w:t>
      </w:r>
      <w:r w:rsidR="004F5D48" w:rsidRPr="003D294A">
        <w:t xml:space="preserve">is a plot of change in eGFR during the </w:t>
      </w:r>
      <w:r w:rsidR="00E20DF1" w:rsidRPr="003D294A">
        <w:t xml:space="preserve">26-week </w:t>
      </w:r>
      <w:r w:rsidR="004F5D48" w:rsidRPr="003D294A">
        <w:t>randomised controlled period and up to Week 52 of the open-label extension period</w:t>
      </w:r>
      <w:r w:rsidR="00F15673" w:rsidRPr="003D294A">
        <w:t xml:space="preserve"> of the VALIANT trial</w:t>
      </w:r>
      <w:r w:rsidR="004F5D48" w:rsidRPr="003D294A">
        <w:t>.</w:t>
      </w:r>
    </w:p>
    <w:p w14:paraId="126C7FEB" w14:textId="638924F8" w:rsidR="00AC353C" w:rsidRPr="003D294A" w:rsidRDefault="00AC353C" w:rsidP="00CF7B47">
      <w:pPr>
        <w:pStyle w:val="COMTableFigurecaption"/>
      </w:pPr>
      <w:bookmarkStart w:id="32" w:name="_Ref218869942"/>
      <w:r w:rsidRPr="003D294A">
        <w:lastRenderedPageBreak/>
        <w:t xml:space="preserve">Figure </w:t>
      </w:r>
      <w:fldSimple w:instr=" SEQ Figure \* ARABIC ">
        <w:r w:rsidR="00632853">
          <w:rPr>
            <w:noProof/>
          </w:rPr>
          <w:t>1</w:t>
        </w:r>
      </w:fldSimple>
      <w:bookmarkEnd w:id="32"/>
      <w:r w:rsidRPr="003D294A">
        <w:t>: Plot of mean change in eGFR (mL/min/1.73 m</w:t>
      </w:r>
      <w:r w:rsidRPr="003D294A">
        <w:rPr>
          <w:vertAlign w:val="superscript"/>
        </w:rPr>
        <w:t>2</w:t>
      </w:r>
      <w:r w:rsidRPr="003D294A">
        <w:t xml:space="preserve">) over </w:t>
      </w:r>
      <w:r w:rsidR="004F6D2C" w:rsidRPr="003D294A">
        <w:t>52 weeks</w:t>
      </w:r>
      <w:r w:rsidRPr="003D294A">
        <w:t xml:space="preserve"> </w:t>
      </w:r>
      <w:r w:rsidR="004F6D2C" w:rsidRPr="003D294A">
        <w:t>in the</w:t>
      </w:r>
      <w:r w:rsidRPr="003D294A">
        <w:t xml:space="preserve"> VALIANT trial </w:t>
      </w:r>
    </w:p>
    <w:p w14:paraId="441F5E76" w14:textId="77777777" w:rsidR="004F5D48" w:rsidRPr="003D294A" w:rsidRDefault="004F5D48" w:rsidP="00CF7B47">
      <w:pPr>
        <w:pStyle w:val="COMBodytext"/>
        <w:keepNext/>
      </w:pPr>
      <w:r w:rsidRPr="003D294A">
        <w:rPr>
          <w:noProof/>
        </w:rPr>
        <w:drawing>
          <wp:inline distT="0" distB="0" distL="0" distR="0" wp14:anchorId="18221F50" wp14:editId="417B9F2B">
            <wp:extent cx="5749636" cy="2877582"/>
            <wp:effectExtent l="0" t="0" r="3810" b="0"/>
            <wp:docPr id="1405728581" name="Picture 4" descr="Figure 1: Plot of mean change in eGFR (mL/min/1.73 m2) over 52 weeks in the VALIANT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28581" name="Picture 4" descr="Figure 1: Plot of mean change in eGFR (mL/min/1.73 m2) over 52 weeks in the VALIANT tria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665" cy="2880599"/>
                    </a:xfrm>
                    <a:prstGeom prst="rect">
                      <a:avLst/>
                    </a:prstGeom>
                    <a:noFill/>
                  </pic:spPr>
                </pic:pic>
              </a:graphicData>
            </a:graphic>
          </wp:inline>
        </w:drawing>
      </w:r>
    </w:p>
    <w:p w14:paraId="0277B8C0" w14:textId="77777777" w:rsidR="004F5D48" w:rsidRPr="003D294A" w:rsidRDefault="004F5D48" w:rsidP="00CF7B47">
      <w:pPr>
        <w:pStyle w:val="COMTablefooter"/>
        <w:keepNext/>
      </w:pPr>
      <w:r w:rsidRPr="003D294A">
        <w:t>Source: Figure 2.5, p66 of the submission</w:t>
      </w:r>
    </w:p>
    <w:p w14:paraId="45F75619" w14:textId="77777777" w:rsidR="004F5D48" w:rsidRPr="003D294A" w:rsidRDefault="004F5D48" w:rsidP="00CF7B47">
      <w:pPr>
        <w:pStyle w:val="COMTablefooter"/>
        <w:keepNext/>
      </w:pPr>
      <w:r w:rsidRPr="003D294A">
        <w:t>Abbreviations: eGFR, estimated glomerular filtration rate; LS, least squares; SE, standard error</w:t>
      </w:r>
    </w:p>
    <w:p w14:paraId="3CAEC757" w14:textId="77777777" w:rsidR="004F5D48" w:rsidRPr="003D294A" w:rsidRDefault="004F5D48" w:rsidP="00CF7B47">
      <w:pPr>
        <w:pStyle w:val="COMTablefooter"/>
        <w:keepNext/>
      </w:pPr>
      <w:r w:rsidRPr="003D294A">
        <w:t>Note: A mixed effects model of repeated measures including fixed categorical effect for treatment group, visit, disease type, stratification factors, and the visit-by-treatment group interactions as well as the continuous, fixed covariate of baseline eGFR, is utilised to analyse the mean change from baseline to week 26 in eGFR. Missing data will be imputed implicitly in a hypothetical strategy under the assumption of missing at random</w:t>
      </w:r>
    </w:p>
    <w:p w14:paraId="2698285A" w14:textId="6A64C9B8" w:rsidR="00934988" w:rsidRPr="003D294A" w:rsidRDefault="00B77753" w:rsidP="00CF7B47">
      <w:pPr>
        <w:pStyle w:val="COMESnumberedpara"/>
      </w:pPr>
      <w:bookmarkStart w:id="33" w:name="_Ref219469954"/>
      <w:r w:rsidRPr="003D294A">
        <w:t xml:space="preserve">From baseline to Week 26, the least squares mean change in eGFR was </w:t>
      </w:r>
      <w:r w:rsidR="006F4B16" w:rsidRPr="003D294A">
        <w:noBreakHyphen/>
      </w:r>
      <w:r w:rsidRPr="003D294A">
        <w:t>1.5</w:t>
      </w:r>
      <w:r w:rsidR="00F15673" w:rsidRPr="003D294A">
        <w:t> </w:t>
      </w:r>
      <w:r w:rsidRPr="003D294A">
        <w:t>m</w:t>
      </w:r>
      <w:r w:rsidR="00F15673" w:rsidRPr="003D294A">
        <w:t>L</w:t>
      </w:r>
      <w:r w:rsidRPr="003D294A">
        <w:t>/min/1.73 m</w:t>
      </w:r>
      <w:r w:rsidRPr="00AE4950">
        <w:t>2</w:t>
      </w:r>
      <w:r w:rsidRPr="003D294A">
        <w:t xml:space="preserve"> with pegcetacoplan and -7.81 mL/min/1.73 m</w:t>
      </w:r>
      <w:r w:rsidRPr="00AE4950">
        <w:t>2</w:t>
      </w:r>
      <w:r w:rsidRPr="003D294A">
        <w:t xml:space="preserve"> with placebo (least squares mean difference 6.31 mL/min/1.73 m</w:t>
      </w:r>
      <w:r w:rsidRPr="00AE4950">
        <w:t>2</w:t>
      </w:r>
      <w:r w:rsidRPr="003D294A">
        <w:t>, 95% CI 0.5, 12.1</w:t>
      </w:r>
      <w:r w:rsidR="00361934" w:rsidRPr="003D294A">
        <w:t>,</w:t>
      </w:r>
      <w:r w:rsidR="002A5D08" w:rsidRPr="003D294A">
        <w:t xml:space="preserve"> relative difference </w:t>
      </w:r>
      <w:r w:rsidR="00D8305B" w:rsidRPr="003D294A">
        <w:noBreakHyphen/>
      </w:r>
      <w:r w:rsidR="002A5D08" w:rsidRPr="003D294A">
        <w:t>80.8%, p&lt;0.03</w:t>
      </w:r>
      <w:r w:rsidRPr="003D294A">
        <w:t>). No formal statistical testing was performed as hierarchical testing was stopped after the third secondary endpoint (C3G histologic index activity score).</w:t>
      </w:r>
      <w:bookmarkEnd w:id="33"/>
      <w:r w:rsidRPr="003D294A">
        <w:t xml:space="preserve"> </w:t>
      </w:r>
      <w:r w:rsidR="007B5D05">
        <w:t>The pre-PBAC response</w:t>
      </w:r>
      <w:r w:rsidR="00A41B85">
        <w:t xml:space="preserve"> </w:t>
      </w:r>
      <w:r w:rsidR="00D50BA7">
        <w:t>argued that t</w:t>
      </w:r>
      <w:r w:rsidR="00D50BA7" w:rsidRPr="00D50BA7">
        <w:t>he absence of significant changes in C3G</w:t>
      </w:r>
      <w:r w:rsidR="00D50BA7">
        <w:noBreakHyphen/>
      </w:r>
      <w:r w:rsidR="00D50BA7" w:rsidRPr="00D50BA7">
        <w:t>HI (now known to be insensitive to changes in disease course due to therapy) confounds interpretation of eGFR change</w:t>
      </w:r>
      <w:r w:rsidR="009E4A30">
        <w:t xml:space="preserve"> and that </w:t>
      </w:r>
      <w:r w:rsidR="00FE08B3">
        <w:t xml:space="preserve">although differences in eGFR can only be </w:t>
      </w:r>
      <w:r w:rsidR="00ED6A56">
        <w:t xml:space="preserve">labelled as nominally significant there were clinically meaningful differences between the treatment arms. </w:t>
      </w:r>
    </w:p>
    <w:p w14:paraId="13DCC3B1" w14:textId="76AE6FEB" w:rsidR="00B77753" w:rsidRPr="003D294A" w:rsidRDefault="00B77753" w:rsidP="00CF7B47">
      <w:pPr>
        <w:pStyle w:val="COMESnumberedpara"/>
      </w:pPr>
      <w:r w:rsidRPr="003D294A">
        <w:t xml:space="preserve">At Week 52, change in eGFR from baseline was </w:t>
      </w:r>
      <w:r w:rsidRPr="003D294A">
        <w:noBreakHyphen/>
        <w:t>3.65 </w:t>
      </w:r>
      <w:r w:rsidR="00F15673" w:rsidRPr="003D294A">
        <w:t>mL</w:t>
      </w:r>
      <w:r w:rsidRPr="003D294A">
        <w:t>/min/1.73 m</w:t>
      </w:r>
      <w:r w:rsidRPr="003D294A">
        <w:rPr>
          <w:vertAlign w:val="superscript"/>
        </w:rPr>
        <w:t>2</w:t>
      </w:r>
      <w:r w:rsidRPr="003D294A">
        <w:t xml:space="preserve"> in the pegcetacoplan/pegcetacoplan group showing a similar rate of eGFR decline to the randomised period of the trial. </w:t>
      </w:r>
      <w:r w:rsidR="00A477C2">
        <w:t>The pre-PBAC response also noted that 100-week data from VALIANT show</w:t>
      </w:r>
      <w:r w:rsidR="00A477C2" w:rsidRPr="00A364AA">
        <w:t xml:space="preserve"> pegcetacoplan-treated patients demonstrated sustained eGFR stabilisation, with a mean increase of +1.0 mL/min/1.73 m² (5.4%</w:t>
      </w:r>
      <w:r w:rsidR="00A477C2">
        <w:t xml:space="preserve"> increase in eGFR</w:t>
      </w:r>
      <w:r w:rsidR="00A477C2" w:rsidRPr="00A364AA">
        <w:t>) from baseline, supporting durability of renal function preservation over approximately two years of treatment</w:t>
      </w:r>
      <w:r w:rsidR="00A477C2">
        <w:t>.</w:t>
      </w:r>
    </w:p>
    <w:p w14:paraId="1A13A2A9" w14:textId="283AB5FE" w:rsidR="00B77753" w:rsidRPr="003D294A" w:rsidRDefault="00145152" w:rsidP="00CF7B47">
      <w:pPr>
        <w:pStyle w:val="COMESnumberedpara"/>
      </w:pPr>
      <w:r w:rsidRPr="003D294A">
        <w:t>An exploratory analysis was conducted to assess the annual rate of change in eGFR (mL/min/1.73 m</w:t>
      </w:r>
      <w:r w:rsidRPr="003D294A">
        <w:rPr>
          <w:vertAlign w:val="superscript"/>
        </w:rPr>
        <w:t>2</w:t>
      </w:r>
      <w:r w:rsidRPr="003D294A">
        <w:t xml:space="preserve">/year). A pretreatment eGFR slope was calculated based on historical data from up to 3 years prior to screening and the same pretreatment slope was used for both treatment groups. The trial report noted that the estimation of the pretreatment slope was limited by data sparseness, as only 30% of patients had more </w:t>
      </w:r>
      <w:r w:rsidRPr="003D294A">
        <w:lastRenderedPageBreak/>
        <w:t xml:space="preserve">than 1 year of retrospective data. The results of the analysis are summarised in </w:t>
      </w:r>
      <w:r w:rsidR="00A62FAB" w:rsidRPr="003D294A">
        <w:fldChar w:fldCharType="begin"/>
      </w:r>
      <w:r w:rsidR="00A62FAB" w:rsidRPr="003D294A">
        <w:instrText xml:space="preserve"> REF _Ref218870058 \h </w:instrText>
      </w:r>
      <w:r w:rsidR="0076264C" w:rsidRPr="003D294A">
        <w:instrText xml:space="preserve"> \* MERGEFORMAT </w:instrText>
      </w:r>
      <w:r w:rsidR="00A62FAB" w:rsidRPr="003D294A">
        <w:fldChar w:fldCharType="separate"/>
      </w:r>
      <w:r w:rsidR="00632853" w:rsidRPr="003D294A">
        <w:t xml:space="preserve">Table </w:t>
      </w:r>
      <w:r w:rsidR="00632853">
        <w:t>6</w:t>
      </w:r>
      <w:r w:rsidR="00A62FAB" w:rsidRPr="003D294A">
        <w:fldChar w:fldCharType="end"/>
      </w:r>
      <w:r w:rsidRPr="003D294A">
        <w:t>.</w:t>
      </w:r>
    </w:p>
    <w:p w14:paraId="2C974F04" w14:textId="7FE0CA2D" w:rsidR="00145152" w:rsidRPr="003D294A" w:rsidRDefault="00A62FAB" w:rsidP="00CF7B47">
      <w:pPr>
        <w:pStyle w:val="COMTableFigurecaption"/>
      </w:pPr>
      <w:bookmarkStart w:id="34" w:name="_Ref218870058"/>
      <w:r w:rsidRPr="003D294A">
        <w:t xml:space="preserve">Table </w:t>
      </w:r>
      <w:fldSimple w:instr=" SEQ Table \* ARABIC ">
        <w:r w:rsidR="00632853">
          <w:rPr>
            <w:noProof/>
          </w:rPr>
          <w:t>6</w:t>
        </w:r>
      </w:fldSimple>
      <w:bookmarkEnd w:id="34"/>
      <w:r w:rsidRPr="003D294A">
        <w:t>: Annualised eGFR slope analysis, mL/min/1.73 m</w:t>
      </w:r>
      <w:r w:rsidRPr="003D294A">
        <w:rPr>
          <w:vertAlign w:val="superscript"/>
        </w:rPr>
        <w:t>2</w:t>
      </w:r>
      <w:r w:rsidRPr="003D294A">
        <w:t>/year (95% CI)</w:t>
      </w:r>
    </w:p>
    <w:tbl>
      <w:tblPr>
        <w:tblStyle w:val="TableGrid"/>
        <w:tblW w:w="9067" w:type="dxa"/>
        <w:tblCellMar>
          <w:left w:w="57" w:type="dxa"/>
          <w:right w:w="57" w:type="dxa"/>
        </w:tblCellMar>
        <w:tblLook w:val="04A0" w:firstRow="1" w:lastRow="0" w:firstColumn="1" w:lastColumn="0" w:noHBand="0" w:noVBand="1"/>
        <w:tblCaption w:val="Table 6: Annualised eGFR slope analysis, mL/min/1.73 m2/year (95% CI)"/>
      </w:tblPr>
      <w:tblGrid>
        <w:gridCol w:w="3021"/>
        <w:gridCol w:w="3021"/>
        <w:gridCol w:w="3025"/>
      </w:tblGrid>
      <w:tr w:rsidR="00145152" w:rsidRPr="003D294A" w14:paraId="4C218EFE" w14:textId="77777777">
        <w:tc>
          <w:tcPr>
            <w:tcW w:w="3021" w:type="dxa"/>
            <w:vAlign w:val="center"/>
          </w:tcPr>
          <w:p w14:paraId="43BF1EE0" w14:textId="77777777" w:rsidR="00145152" w:rsidRPr="003D294A" w:rsidRDefault="00145152" w:rsidP="00CF7B47">
            <w:pPr>
              <w:pStyle w:val="COMTableheadingrow"/>
            </w:pPr>
          </w:p>
        </w:tc>
        <w:tc>
          <w:tcPr>
            <w:tcW w:w="3021" w:type="dxa"/>
            <w:vAlign w:val="center"/>
          </w:tcPr>
          <w:p w14:paraId="161049B9" w14:textId="77777777" w:rsidR="00145152" w:rsidRPr="003D294A" w:rsidRDefault="00145152" w:rsidP="00CF7B47">
            <w:pPr>
              <w:pStyle w:val="COMTableheadingrow"/>
              <w:jc w:val="center"/>
            </w:pPr>
            <w:r w:rsidRPr="003D294A">
              <w:t>Pegcetacoplan N = 63</w:t>
            </w:r>
          </w:p>
        </w:tc>
        <w:tc>
          <w:tcPr>
            <w:tcW w:w="3025" w:type="dxa"/>
            <w:vAlign w:val="center"/>
          </w:tcPr>
          <w:p w14:paraId="09E90997" w14:textId="77777777" w:rsidR="00145152" w:rsidRPr="003D294A" w:rsidRDefault="00145152" w:rsidP="00CF7B47">
            <w:pPr>
              <w:pStyle w:val="COMTableheadingrow"/>
              <w:jc w:val="center"/>
              <w:rPr>
                <w:vertAlign w:val="superscript"/>
              </w:rPr>
            </w:pPr>
            <w:r w:rsidRPr="003D294A">
              <w:t>Placebo N = 61</w:t>
            </w:r>
          </w:p>
        </w:tc>
      </w:tr>
      <w:tr w:rsidR="00145152" w:rsidRPr="003D294A" w14:paraId="288B6648" w14:textId="77777777">
        <w:tc>
          <w:tcPr>
            <w:tcW w:w="3021" w:type="dxa"/>
          </w:tcPr>
          <w:p w14:paraId="3E777566" w14:textId="77777777" w:rsidR="00145152" w:rsidRPr="003D294A" w:rsidRDefault="00145152" w:rsidP="00CF7B47">
            <w:pPr>
              <w:pStyle w:val="COMTabletext"/>
            </w:pPr>
            <w:r w:rsidRPr="003D294A">
              <w:t xml:space="preserve">Pre-treatment slope </w:t>
            </w:r>
          </w:p>
        </w:tc>
        <w:tc>
          <w:tcPr>
            <w:tcW w:w="6046" w:type="dxa"/>
            <w:gridSpan w:val="2"/>
            <w:vAlign w:val="center"/>
          </w:tcPr>
          <w:p w14:paraId="07DF9CB4" w14:textId="77777777" w:rsidR="00145152" w:rsidRPr="003D294A" w:rsidRDefault="00145152" w:rsidP="00CF7B47">
            <w:pPr>
              <w:pStyle w:val="COMTabletext"/>
              <w:jc w:val="center"/>
            </w:pPr>
            <w:r w:rsidRPr="003D294A">
              <w:t xml:space="preserve">-4.27 (-8.27, -0.27) </w:t>
            </w:r>
            <w:r w:rsidRPr="003D294A">
              <w:rPr>
                <w:vertAlign w:val="superscript"/>
              </w:rPr>
              <w:t>a</w:t>
            </w:r>
          </w:p>
        </w:tc>
      </w:tr>
      <w:tr w:rsidR="00145152" w:rsidRPr="003D294A" w14:paraId="480FC4FD" w14:textId="77777777">
        <w:tc>
          <w:tcPr>
            <w:tcW w:w="3021" w:type="dxa"/>
          </w:tcPr>
          <w:p w14:paraId="06DF972D" w14:textId="77777777" w:rsidR="00145152" w:rsidRPr="003D294A" w:rsidRDefault="00145152" w:rsidP="00CF7B47">
            <w:pPr>
              <w:pStyle w:val="COMTabletext"/>
            </w:pPr>
            <w:r w:rsidRPr="003D294A">
              <w:t>Post-treatment slope</w:t>
            </w:r>
          </w:p>
        </w:tc>
        <w:tc>
          <w:tcPr>
            <w:tcW w:w="3021" w:type="dxa"/>
            <w:vAlign w:val="center"/>
          </w:tcPr>
          <w:p w14:paraId="4AB7439B" w14:textId="77777777" w:rsidR="00145152" w:rsidRPr="003D294A" w:rsidRDefault="00145152" w:rsidP="00CF7B47">
            <w:pPr>
              <w:pStyle w:val="COMTabletext"/>
              <w:jc w:val="center"/>
            </w:pPr>
            <w:r w:rsidRPr="003D294A">
              <w:t>-3.61 (-9.38, 2.16)</w:t>
            </w:r>
          </w:p>
        </w:tc>
        <w:tc>
          <w:tcPr>
            <w:tcW w:w="3025" w:type="dxa"/>
            <w:vAlign w:val="center"/>
          </w:tcPr>
          <w:p w14:paraId="73A97C3A" w14:textId="77777777" w:rsidR="00145152" w:rsidRPr="003D294A" w:rsidRDefault="00145152" w:rsidP="00CF7B47">
            <w:pPr>
              <w:pStyle w:val="COMTabletext"/>
              <w:jc w:val="center"/>
            </w:pPr>
            <w:r w:rsidRPr="003D294A">
              <w:t>-16.58 (-22.31, -10.85)</w:t>
            </w:r>
          </w:p>
        </w:tc>
      </w:tr>
      <w:tr w:rsidR="00145152" w:rsidRPr="003D294A" w14:paraId="57644655" w14:textId="77777777">
        <w:tc>
          <w:tcPr>
            <w:tcW w:w="3021" w:type="dxa"/>
          </w:tcPr>
          <w:p w14:paraId="20050AEF" w14:textId="77777777" w:rsidR="00145152" w:rsidRPr="003D294A" w:rsidRDefault="00145152" w:rsidP="00CF7B47">
            <w:pPr>
              <w:pStyle w:val="COMTabletext"/>
            </w:pPr>
            <w:r w:rsidRPr="003D294A">
              <w:t>Difference pre- vs post-treatment</w:t>
            </w:r>
          </w:p>
        </w:tc>
        <w:tc>
          <w:tcPr>
            <w:tcW w:w="3021" w:type="dxa"/>
            <w:vAlign w:val="center"/>
          </w:tcPr>
          <w:p w14:paraId="7C813150" w14:textId="77777777" w:rsidR="00145152" w:rsidRPr="003D294A" w:rsidRDefault="00145152" w:rsidP="00CF7B47">
            <w:pPr>
              <w:pStyle w:val="COMTabletext"/>
              <w:jc w:val="center"/>
            </w:pPr>
            <w:r w:rsidRPr="003D294A">
              <w:t>0.66 (-5.36, 6.69)</w:t>
            </w:r>
          </w:p>
        </w:tc>
        <w:tc>
          <w:tcPr>
            <w:tcW w:w="3025" w:type="dxa"/>
            <w:vAlign w:val="center"/>
          </w:tcPr>
          <w:p w14:paraId="034DB6A3" w14:textId="77777777" w:rsidR="00145152" w:rsidRPr="003D294A" w:rsidRDefault="00145152" w:rsidP="00CF7B47">
            <w:pPr>
              <w:pStyle w:val="COMTabletext"/>
              <w:jc w:val="center"/>
            </w:pPr>
            <w:r w:rsidRPr="003D294A">
              <w:t>-12.31 (-17.98, -6.64)</w:t>
            </w:r>
          </w:p>
        </w:tc>
      </w:tr>
      <w:tr w:rsidR="00145152" w:rsidRPr="003D294A" w14:paraId="27DA2A0A" w14:textId="77777777">
        <w:tc>
          <w:tcPr>
            <w:tcW w:w="3021" w:type="dxa"/>
          </w:tcPr>
          <w:p w14:paraId="3CEB10C9" w14:textId="77777777" w:rsidR="00145152" w:rsidRPr="003D294A" w:rsidRDefault="00145152" w:rsidP="00CF7B47">
            <w:pPr>
              <w:pStyle w:val="COMTabletext"/>
            </w:pPr>
            <w:r w:rsidRPr="003D294A">
              <w:t>Difference between treatment groups</w:t>
            </w:r>
          </w:p>
        </w:tc>
        <w:tc>
          <w:tcPr>
            <w:tcW w:w="6046" w:type="dxa"/>
            <w:gridSpan w:val="2"/>
            <w:vAlign w:val="center"/>
          </w:tcPr>
          <w:p w14:paraId="20EFBAB3" w14:textId="77777777" w:rsidR="00145152" w:rsidRPr="003D294A" w:rsidRDefault="00145152" w:rsidP="00CF7B47">
            <w:pPr>
              <w:pStyle w:val="COMTabletext"/>
              <w:jc w:val="center"/>
            </w:pPr>
            <w:r w:rsidRPr="003D294A">
              <w:t>12.97 (5.27, 20.67)</w:t>
            </w:r>
          </w:p>
        </w:tc>
      </w:tr>
    </w:tbl>
    <w:p w14:paraId="778B8045" w14:textId="77777777" w:rsidR="00145152" w:rsidRPr="003D294A" w:rsidRDefault="00145152" w:rsidP="00CF7B47">
      <w:pPr>
        <w:pStyle w:val="COMTablefooter"/>
        <w:keepNext/>
      </w:pPr>
      <w:r w:rsidRPr="003D294A">
        <w:t>Source: Table 40, p144 of the VALIANT trial report</w:t>
      </w:r>
    </w:p>
    <w:p w14:paraId="3DC4D193" w14:textId="77777777" w:rsidR="00145152" w:rsidRPr="003D294A" w:rsidRDefault="00145152" w:rsidP="00CF7B47">
      <w:pPr>
        <w:pStyle w:val="COMTablefooter"/>
        <w:keepNext/>
      </w:pPr>
      <w:r w:rsidRPr="003D294A">
        <w:rPr>
          <w:vertAlign w:val="superscript"/>
        </w:rPr>
        <w:t>a</w:t>
      </w:r>
      <w:r w:rsidRPr="003D294A">
        <w:t xml:space="preserve"> Same pre-treatment slope assumed for both arms</w:t>
      </w:r>
    </w:p>
    <w:p w14:paraId="42A8CDA4" w14:textId="77777777" w:rsidR="00145152" w:rsidRPr="003D294A" w:rsidRDefault="00145152" w:rsidP="00CF7B47">
      <w:pPr>
        <w:pStyle w:val="COMTablefooter"/>
        <w:keepNext/>
      </w:pPr>
      <w:r w:rsidRPr="003D294A">
        <w:t>Note: eGFR slope estimates were calculated using a generalised linear mixed model including a fixed effect for disease type, and stratification factors (transplant status, availability of baseline renal biopsy), a common intercept, a pretreatment (either pegcetacoplan or placebo) slope, and a change in the slope by arm after treatment</w:t>
      </w:r>
    </w:p>
    <w:p w14:paraId="76B53FEB" w14:textId="6F0E4EE2" w:rsidR="00145152" w:rsidRPr="003D294A" w:rsidRDefault="00145152" w:rsidP="00CF7B47">
      <w:pPr>
        <w:pStyle w:val="COMESnumberedpara"/>
      </w:pPr>
      <w:r w:rsidRPr="003D294A">
        <w:t>The analysis shows the annualised eGFR slope during the post-treatment period (i.e. double-blind period) was slightly improved in the pegcetacoplan arm but substantially worse in the placebo arm when compared to the pre-treatment period. The trial report noted that the post-treatment eGFR slopes were consistent with the key secondary endpoint, showing a slower decline for pegcetacoplan compared to placebo. The analysis showed a substantial difference between treatment arms when comparing the pre- and post-treatment differences in annualised eGFR slopes, in favour of pegcetacoplan versus placebo.</w:t>
      </w:r>
    </w:p>
    <w:p w14:paraId="366E4675" w14:textId="77777777" w:rsidR="00145152" w:rsidRPr="003D294A" w:rsidRDefault="00145152" w:rsidP="00CF7B47">
      <w:pPr>
        <w:pStyle w:val="COMESnumberedpara"/>
      </w:pPr>
      <w:r w:rsidRPr="003D294A">
        <w:t xml:space="preserve">The validity of results from the eGFR slope analysis could not be determined given limited documentation regarding methods of analysis. For example, no justification was provided for the assumption of no difference in eGFR slopes between arms during the pre-treatment period. </w:t>
      </w:r>
    </w:p>
    <w:p w14:paraId="6A6216D1" w14:textId="77777777" w:rsidR="00145152" w:rsidRPr="003D294A" w:rsidRDefault="00145152" w:rsidP="00CF7B47">
      <w:pPr>
        <w:pStyle w:val="COMESnumberedpara"/>
      </w:pPr>
      <w:r w:rsidRPr="003D294A">
        <w:t>The analysis also suggests very rapid eGFR decline in the placebo arm after randomisation. The reasons for this were not explored in the submission, with no explanation provided in the trial report.</w:t>
      </w:r>
    </w:p>
    <w:p w14:paraId="366E56F6" w14:textId="67A48CBE" w:rsidR="00145152" w:rsidRPr="003D294A" w:rsidRDefault="00145152" w:rsidP="00CF7B47">
      <w:pPr>
        <w:pStyle w:val="COMESnumberedpara"/>
      </w:pPr>
      <w:bookmarkStart w:id="35" w:name="_Ref219469849"/>
      <w:r w:rsidRPr="003D294A">
        <w:t xml:space="preserve">The trial also assessed disease-specific and health-related quality of life measures, with no apparent differences between arms in terms of Functional Assessment of Chronic Illness Therapy-Fatigue (FACIT-Fatigue), EQ-VAS, Kidney Disease Quality of Life (KDQOL-36), Productivity, and Activity Impairment Questionnaire: Specific Health Problem (WPAI:SHP) questionnaires. </w:t>
      </w:r>
      <w:r w:rsidR="007C26FB" w:rsidRPr="003D294A">
        <w:t xml:space="preserve">A numerically higher proportion of patients in the pegcetacoplan arm reported an improvement based on change in Patient Global Impression of Change (PGIC) and Work </w:t>
      </w:r>
      <w:r w:rsidR="00154C30" w:rsidRPr="003D294A">
        <w:t>(very much improved, much improved, and minimally improved) compared to those on placebo.</w:t>
      </w:r>
      <w:bookmarkEnd w:id="35"/>
    </w:p>
    <w:p w14:paraId="2E69B916" w14:textId="77777777" w:rsidR="00154C30" w:rsidRPr="003D294A" w:rsidRDefault="00154C30" w:rsidP="00CF7B47">
      <w:pPr>
        <w:pStyle w:val="COMESnumberedpara"/>
      </w:pPr>
      <w:r w:rsidRPr="003D294A">
        <w:t>Health state utility values in the economic model were derived using trial-based EQ-5D-5L index scores, however no documentation of the original scores from the trial was provided with the submission.</w:t>
      </w:r>
    </w:p>
    <w:p w14:paraId="0E201387" w14:textId="01BF3CA0" w:rsidR="00A45003" w:rsidRPr="003D294A" w:rsidRDefault="00A45003" w:rsidP="00CF7B47">
      <w:pPr>
        <w:pStyle w:val="COMESnumberedpara"/>
        <w:numPr>
          <w:ilvl w:val="0"/>
          <w:numId w:val="0"/>
        </w:numPr>
        <w:rPr>
          <w:b/>
          <w:bCs/>
        </w:rPr>
      </w:pPr>
      <w:r w:rsidRPr="003D294A">
        <w:rPr>
          <w:b/>
          <w:bCs/>
        </w:rPr>
        <w:t>Indirect comparison with iptacopan</w:t>
      </w:r>
    </w:p>
    <w:p w14:paraId="6C159881" w14:textId="6045776D" w:rsidR="00154C30" w:rsidRPr="003D294A" w:rsidRDefault="00B926F8" w:rsidP="00CF7B47">
      <w:pPr>
        <w:pStyle w:val="COMESnumberedpara"/>
      </w:pPr>
      <w:r w:rsidRPr="003D294A">
        <w:t xml:space="preserve">The submission conducted Bucher indirect comparisons based on key outcomes from VALIANT and APPEAR-C3G using data from the whole trial population. Sources and values used in the submission’s analyses were difficult to verify due to poor documentation in the submission. </w:t>
      </w:r>
    </w:p>
    <w:p w14:paraId="7381ACC9" w14:textId="0D1582D2" w:rsidR="00B926F8" w:rsidRPr="003D294A" w:rsidRDefault="00A62FAB" w:rsidP="00CF7B47">
      <w:pPr>
        <w:pStyle w:val="COMESnumberedpara"/>
      </w:pPr>
      <w:r w:rsidRPr="003D294A">
        <w:lastRenderedPageBreak/>
        <w:fldChar w:fldCharType="begin"/>
      </w:r>
      <w:r w:rsidRPr="003D294A">
        <w:instrText xml:space="preserve"> REF _Ref218870105 \h </w:instrText>
      </w:r>
      <w:r w:rsidR="0076264C" w:rsidRPr="003D294A">
        <w:instrText xml:space="preserve"> \* MERGEFORMAT </w:instrText>
      </w:r>
      <w:r w:rsidRPr="003D294A">
        <w:fldChar w:fldCharType="separate"/>
      </w:r>
      <w:r w:rsidR="00632853" w:rsidRPr="003D294A">
        <w:t xml:space="preserve">Table </w:t>
      </w:r>
      <w:r w:rsidR="00632853">
        <w:t>7</w:t>
      </w:r>
      <w:r w:rsidRPr="003D294A">
        <w:fldChar w:fldCharType="end"/>
      </w:r>
      <w:r w:rsidRPr="003D294A">
        <w:t xml:space="preserve"> </w:t>
      </w:r>
      <w:r w:rsidR="00A441E0" w:rsidRPr="003D294A">
        <w:t>presents results of indirect comparisons for proteinuria reduction based on log-transformed geometric mean UPCR ratio to baseline, based on first morning urine and 24-hour urine samples.</w:t>
      </w:r>
    </w:p>
    <w:p w14:paraId="75D246E3" w14:textId="0A84388A" w:rsidR="00A441E0" w:rsidRPr="003D294A" w:rsidRDefault="00A62FAB" w:rsidP="00CF7B47">
      <w:pPr>
        <w:pStyle w:val="COMTableFigurecaption"/>
        <w:jc w:val="both"/>
      </w:pPr>
      <w:bookmarkStart w:id="36" w:name="_Ref218870105"/>
      <w:r w:rsidRPr="003D294A">
        <w:t xml:space="preserve">Table </w:t>
      </w:r>
      <w:fldSimple w:instr=" SEQ Table \* ARABIC ">
        <w:r w:rsidR="00632853">
          <w:rPr>
            <w:noProof/>
          </w:rPr>
          <w:t>7</w:t>
        </w:r>
      </w:fldSimple>
      <w:bookmarkEnd w:id="36"/>
      <w:r w:rsidRPr="003D294A">
        <w:t>: Bucher indirect comparison between pegcetacoplan and iptacopan for the primary outcome of proteinuria reduction (based on first morning urine in VALIANT and 24-hour urine in APPEAR-C3G)</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Bucher indirect comparison between pegcetacoplan and iptacopan for the primary outcome of proteinuria reduction (based on first morning urine in VALIANT and 24-hour urine in APPEAR-C3G)"/>
      </w:tblPr>
      <w:tblGrid>
        <w:gridCol w:w="1464"/>
        <w:gridCol w:w="1894"/>
        <w:gridCol w:w="1887"/>
        <w:gridCol w:w="1890"/>
        <w:gridCol w:w="12"/>
        <w:gridCol w:w="1900"/>
      </w:tblGrid>
      <w:tr w:rsidR="00A441E0" w:rsidRPr="003D294A" w14:paraId="6DF91F8E" w14:textId="77777777">
        <w:trPr>
          <w:tblHeader/>
          <w:jc w:val="center"/>
        </w:trPr>
        <w:tc>
          <w:tcPr>
            <w:tcW w:w="1464" w:type="dxa"/>
            <w:vAlign w:val="center"/>
          </w:tcPr>
          <w:p w14:paraId="1EF67B10" w14:textId="77777777" w:rsidR="00A441E0" w:rsidRPr="003D294A" w:rsidRDefault="00A441E0" w:rsidP="00CF7B47">
            <w:pPr>
              <w:pStyle w:val="COMTableheadingrow"/>
            </w:pPr>
            <w:r w:rsidRPr="003D294A">
              <w:t>Trial</w:t>
            </w:r>
          </w:p>
        </w:tc>
        <w:tc>
          <w:tcPr>
            <w:tcW w:w="1894" w:type="dxa"/>
            <w:vAlign w:val="center"/>
          </w:tcPr>
          <w:p w14:paraId="70DBCD61" w14:textId="77777777" w:rsidR="00A441E0" w:rsidRPr="003D294A" w:rsidRDefault="00A441E0" w:rsidP="00CF7B47">
            <w:pPr>
              <w:pStyle w:val="COMTableheadingrow"/>
              <w:jc w:val="center"/>
            </w:pPr>
            <w:r w:rsidRPr="003D294A">
              <w:t>Pegcetacoplan</w:t>
            </w:r>
          </w:p>
        </w:tc>
        <w:tc>
          <w:tcPr>
            <w:tcW w:w="1887" w:type="dxa"/>
            <w:vAlign w:val="center"/>
          </w:tcPr>
          <w:p w14:paraId="3B6307C3" w14:textId="77777777" w:rsidR="00A441E0" w:rsidRPr="003D294A" w:rsidRDefault="00A441E0" w:rsidP="00CF7B47">
            <w:pPr>
              <w:pStyle w:val="COMTableheadingrow"/>
              <w:jc w:val="center"/>
            </w:pPr>
            <w:r w:rsidRPr="003D294A">
              <w:t>Placebo</w:t>
            </w:r>
          </w:p>
        </w:tc>
        <w:tc>
          <w:tcPr>
            <w:tcW w:w="1902" w:type="dxa"/>
            <w:gridSpan w:val="2"/>
            <w:vAlign w:val="center"/>
          </w:tcPr>
          <w:p w14:paraId="612D91B0" w14:textId="77777777" w:rsidR="00A441E0" w:rsidRPr="003D294A" w:rsidRDefault="00A441E0" w:rsidP="00CF7B47">
            <w:pPr>
              <w:pStyle w:val="COMTableheadingrow"/>
              <w:jc w:val="center"/>
            </w:pPr>
            <w:r w:rsidRPr="003D294A">
              <w:t>Iptacopan</w:t>
            </w:r>
          </w:p>
        </w:tc>
        <w:tc>
          <w:tcPr>
            <w:tcW w:w="1900" w:type="dxa"/>
            <w:vAlign w:val="center"/>
          </w:tcPr>
          <w:p w14:paraId="2C3B0294" w14:textId="77777777" w:rsidR="00A441E0" w:rsidRPr="003D294A" w:rsidRDefault="00A441E0" w:rsidP="00CF7B47">
            <w:pPr>
              <w:pStyle w:val="COMTableheadingrow"/>
              <w:jc w:val="center"/>
            </w:pPr>
            <w:r w:rsidRPr="003D294A">
              <w:t>Difference in ratio</w:t>
            </w:r>
          </w:p>
          <w:p w14:paraId="6EDEA1FB" w14:textId="77777777" w:rsidR="00A441E0" w:rsidRPr="003D294A" w:rsidRDefault="00A441E0" w:rsidP="00CF7B47">
            <w:pPr>
              <w:pStyle w:val="COMTableheadingrow"/>
              <w:jc w:val="center"/>
            </w:pPr>
            <w:r w:rsidRPr="003D294A">
              <w:t>(95% CI)</w:t>
            </w:r>
          </w:p>
        </w:tc>
      </w:tr>
      <w:tr w:rsidR="00A441E0" w:rsidRPr="003D294A" w14:paraId="6EBCE622" w14:textId="77777777">
        <w:trPr>
          <w:jc w:val="center"/>
        </w:trPr>
        <w:tc>
          <w:tcPr>
            <w:tcW w:w="9047" w:type="dxa"/>
            <w:gridSpan w:val="6"/>
            <w:vAlign w:val="center"/>
          </w:tcPr>
          <w:p w14:paraId="093C70B8" w14:textId="77777777" w:rsidR="00A441E0" w:rsidRPr="003D294A" w:rsidRDefault="00A441E0" w:rsidP="00CF7B47">
            <w:pPr>
              <w:pStyle w:val="COMTableheadingrow"/>
            </w:pPr>
            <w:r w:rsidRPr="003D294A">
              <w:t>Log-transformed geometric mean FMU UPCR ratio to baseline (95% CI)</w:t>
            </w:r>
          </w:p>
        </w:tc>
      </w:tr>
      <w:tr w:rsidR="00A441E0" w:rsidRPr="003D294A" w14:paraId="7B0079F8" w14:textId="77777777">
        <w:trPr>
          <w:jc w:val="center"/>
        </w:trPr>
        <w:tc>
          <w:tcPr>
            <w:tcW w:w="1464" w:type="dxa"/>
            <w:vAlign w:val="center"/>
          </w:tcPr>
          <w:p w14:paraId="5FD59565" w14:textId="77777777" w:rsidR="00A441E0" w:rsidRPr="003D294A" w:rsidRDefault="00A441E0" w:rsidP="00CF7B47">
            <w:pPr>
              <w:pStyle w:val="COMTabletext"/>
            </w:pPr>
            <w:r w:rsidRPr="003D294A">
              <w:t>VALIANT</w:t>
            </w:r>
          </w:p>
        </w:tc>
        <w:tc>
          <w:tcPr>
            <w:tcW w:w="1894" w:type="dxa"/>
            <w:vAlign w:val="center"/>
          </w:tcPr>
          <w:p w14:paraId="1FD12507" w14:textId="77777777" w:rsidR="00A441E0" w:rsidRPr="003D294A" w:rsidRDefault="00A441E0" w:rsidP="00CF7B47">
            <w:pPr>
              <w:pStyle w:val="COMTabletext"/>
              <w:jc w:val="center"/>
            </w:pPr>
            <w:r w:rsidRPr="003D294A">
              <w:t>0.33 (0.25, 0.43)</w:t>
            </w:r>
          </w:p>
          <w:p w14:paraId="35862F25" w14:textId="77777777" w:rsidR="00A441E0" w:rsidRPr="003D294A" w:rsidRDefault="00A441E0" w:rsidP="00CF7B47">
            <w:pPr>
              <w:pStyle w:val="COMTabletext"/>
              <w:jc w:val="center"/>
            </w:pPr>
            <w:r w:rsidRPr="003D294A">
              <w:t>N=63</w:t>
            </w:r>
          </w:p>
        </w:tc>
        <w:tc>
          <w:tcPr>
            <w:tcW w:w="1887" w:type="dxa"/>
            <w:vAlign w:val="center"/>
          </w:tcPr>
          <w:p w14:paraId="77CB81B8" w14:textId="77777777" w:rsidR="00A441E0" w:rsidRPr="003D294A" w:rsidRDefault="00A441E0" w:rsidP="00CF7B47">
            <w:pPr>
              <w:pStyle w:val="COMTabletext"/>
              <w:jc w:val="center"/>
            </w:pPr>
            <w:r w:rsidRPr="003D294A">
              <w:t>1.03 (0.91,1.16)</w:t>
            </w:r>
          </w:p>
          <w:p w14:paraId="553C6388" w14:textId="77777777" w:rsidR="00A441E0" w:rsidRPr="003D294A" w:rsidRDefault="00A441E0" w:rsidP="00CF7B47">
            <w:pPr>
              <w:pStyle w:val="COMTabletext"/>
              <w:jc w:val="center"/>
            </w:pPr>
            <w:r w:rsidRPr="003D294A">
              <w:t>N=61</w:t>
            </w:r>
          </w:p>
        </w:tc>
        <w:tc>
          <w:tcPr>
            <w:tcW w:w="1890" w:type="dxa"/>
            <w:vAlign w:val="center"/>
          </w:tcPr>
          <w:p w14:paraId="08C343A2" w14:textId="77777777" w:rsidR="00A441E0" w:rsidRPr="003D294A" w:rsidRDefault="00A441E0" w:rsidP="00CF7B47">
            <w:pPr>
              <w:pStyle w:val="COMTabletext"/>
              <w:jc w:val="center"/>
            </w:pPr>
            <w:r w:rsidRPr="003D294A">
              <w:t>-</w:t>
            </w:r>
          </w:p>
        </w:tc>
        <w:tc>
          <w:tcPr>
            <w:tcW w:w="1912" w:type="dxa"/>
            <w:gridSpan w:val="2"/>
            <w:vAlign w:val="center"/>
          </w:tcPr>
          <w:p w14:paraId="46064E8E" w14:textId="77777777" w:rsidR="00A441E0" w:rsidRPr="003D294A" w:rsidRDefault="00A441E0" w:rsidP="00CF7B47">
            <w:pPr>
              <w:pStyle w:val="COMTabletext"/>
              <w:jc w:val="center"/>
            </w:pPr>
            <w:r w:rsidRPr="003D294A">
              <w:t>0.32 (0.24, 0.43)</w:t>
            </w:r>
          </w:p>
        </w:tc>
      </w:tr>
      <w:tr w:rsidR="00A441E0" w:rsidRPr="003D294A" w14:paraId="22555D1A" w14:textId="77777777">
        <w:trPr>
          <w:jc w:val="center"/>
        </w:trPr>
        <w:tc>
          <w:tcPr>
            <w:tcW w:w="1464" w:type="dxa"/>
            <w:vAlign w:val="center"/>
          </w:tcPr>
          <w:p w14:paraId="5C541DDF" w14:textId="77777777" w:rsidR="00A441E0" w:rsidRPr="003D294A" w:rsidRDefault="00A441E0" w:rsidP="00CF7B47">
            <w:pPr>
              <w:pStyle w:val="COMTabletext"/>
            </w:pPr>
            <w:r w:rsidRPr="003D294A">
              <w:t>APPEAR-C3G</w:t>
            </w:r>
          </w:p>
        </w:tc>
        <w:tc>
          <w:tcPr>
            <w:tcW w:w="1894" w:type="dxa"/>
            <w:vAlign w:val="center"/>
          </w:tcPr>
          <w:p w14:paraId="220ADABE" w14:textId="77777777" w:rsidR="00A441E0" w:rsidRPr="003D294A" w:rsidRDefault="00A441E0" w:rsidP="00CF7B47">
            <w:pPr>
              <w:pStyle w:val="COMTabletext"/>
              <w:jc w:val="center"/>
            </w:pPr>
            <w:r w:rsidRPr="003D294A">
              <w:t>-</w:t>
            </w:r>
          </w:p>
        </w:tc>
        <w:tc>
          <w:tcPr>
            <w:tcW w:w="1887" w:type="dxa"/>
            <w:vAlign w:val="center"/>
          </w:tcPr>
          <w:p w14:paraId="15765FA0" w14:textId="77777777" w:rsidR="00A441E0" w:rsidRPr="003D294A" w:rsidRDefault="00A441E0" w:rsidP="00CF7B47">
            <w:pPr>
              <w:pStyle w:val="COMTabletext"/>
              <w:jc w:val="center"/>
              <w:rPr>
                <w:vertAlign w:val="superscript"/>
              </w:rPr>
            </w:pPr>
            <w:r w:rsidRPr="003D294A">
              <w:t>1.00 (0.77, 1.31)</w:t>
            </w:r>
          </w:p>
          <w:p w14:paraId="793F443B" w14:textId="77777777" w:rsidR="00A441E0" w:rsidRPr="003D294A" w:rsidRDefault="00A441E0" w:rsidP="00CF7B47">
            <w:pPr>
              <w:pStyle w:val="COMTabletext"/>
              <w:jc w:val="center"/>
            </w:pPr>
            <w:r w:rsidRPr="003D294A">
              <w:t>N=36</w:t>
            </w:r>
          </w:p>
        </w:tc>
        <w:tc>
          <w:tcPr>
            <w:tcW w:w="1890" w:type="dxa"/>
            <w:vAlign w:val="center"/>
          </w:tcPr>
          <w:p w14:paraId="0B2973BD" w14:textId="77777777" w:rsidR="00A441E0" w:rsidRPr="003D294A" w:rsidRDefault="00A441E0" w:rsidP="00CF7B47">
            <w:pPr>
              <w:pStyle w:val="COMTabletext"/>
              <w:jc w:val="center"/>
              <w:rPr>
                <w:vertAlign w:val="superscript"/>
              </w:rPr>
            </w:pPr>
            <w:r w:rsidRPr="003D294A">
              <w:t>0.68 (0.52, 0.87)</w:t>
            </w:r>
          </w:p>
          <w:p w14:paraId="5049C724" w14:textId="77777777" w:rsidR="00A441E0" w:rsidRPr="003D294A" w:rsidRDefault="00A441E0" w:rsidP="00CF7B47">
            <w:pPr>
              <w:pStyle w:val="COMTabletext"/>
              <w:jc w:val="center"/>
            </w:pPr>
            <w:r w:rsidRPr="003D294A">
              <w:t>N=38</w:t>
            </w:r>
          </w:p>
        </w:tc>
        <w:tc>
          <w:tcPr>
            <w:tcW w:w="1912" w:type="dxa"/>
            <w:gridSpan w:val="2"/>
            <w:vAlign w:val="center"/>
          </w:tcPr>
          <w:p w14:paraId="396993BC" w14:textId="77777777" w:rsidR="00A441E0" w:rsidRPr="003D294A" w:rsidRDefault="00A441E0" w:rsidP="00CF7B47">
            <w:pPr>
              <w:pStyle w:val="COMTabletext"/>
              <w:jc w:val="center"/>
            </w:pPr>
            <w:r w:rsidRPr="003D294A">
              <w:t xml:space="preserve">0.67 (0.47, 0.97) </w:t>
            </w:r>
            <w:r w:rsidRPr="003D294A">
              <w:rPr>
                <w:vertAlign w:val="superscript"/>
              </w:rPr>
              <w:t>a</w:t>
            </w:r>
          </w:p>
        </w:tc>
      </w:tr>
      <w:tr w:rsidR="00A441E0" w:rsidRPr="003D294A" w14:paraId="1529A9E5" w14:textId="77777777">
        <w:trPr>
          <w:jc w:val="center"/>
        </w:trPr>
        <w:tc>
          <w:tcPr>
            <w:tcW w:w="7135" w:type="dxa"/>
            <w:gridSpan w:val="4"/>
            <w:vAlign w:val="center"/>
          </w:tcPr>
          <w:p w14:paraId="3FE18510" w14:textId="77777777" w:rsidR="00A441E0" w:rsidRPr="003D294A" w:rsidRDefault="00A441E0" w:rsidP="00CF7B47">
            <w:pPr>
              <w:pStyle w:val="COMTabletext"/>
              <w:jc w:val="right"/>
              <w:rPr>
                <w:b/>
                <w:bCs w:val="0"/>
              </w:rPr>
            </w:pPr>
            <w:r w:rsidRPr="003D294A">
              <w:rPr>
                <w:b/>
                <w:bCs w:val="0"/>
              </w:rPr>
              <w:t>Indirect comparison of pegcetacoplan versus iptacopan</w:t>
            </w:r>
          </w:p>
        </w:tc>
        <w:tc>
          <w:tcPr>
            <w:tcW w:w="1912" w:type="dxa"/>
            <w:gridSpan w:val="2"/>
            <w:vAlign w:val="center"/>
          </w:tcPr>
          <w:p w14:paraId="49BA8FC1" w14:textId="77777777" w:rsidR="00A441E0" w:rsidRPr="003D294A" w:rsidRDefault="00A441E0" w:rsidP="00CF7B47">
            <w:pPr>
              <w:pStyle w:val="COMTabletext"/>
              <w:jc w:val="center"/>
              <w:rPr>
                <w:b/>
                <w:bCs w:val="0"/>
              </w:rPr>
            </w:pPr>
            <w:r w:rsidRPr="003D294A">
              <w:rPr>
                <w:b/>
                <w:bCs w:val="0"/>
              </w:rPr>
              <w:t>0.47 (0.30, 0.76)</w:t>
            </w:r>
          </w:p>
        </w:tc>
      </w:tr>
      <w:tr w:rsidR="00A441E0" w:rsidRPr="003D294A" w14:paraId="6DE5C46D" w14:textId="77777777">
        <w:trPr>
          <w:jc w:val="center"/>
        </w:trPr>
        <w:tc>
          <w:tcPr>
            <w:tcW w:w="9047" w:type="dxa"/>
            <w:gridSpan w:val="6"/>
            <w:vAlign w:val="center"/>
          </w:tcPr>
          <w:p w14:paraId="7A67744E" w14:textId="77777777" w:rsidR="00A441E0" w:rsidRPr="003D294A" w:rsidRDefault="00A441E0" w:rsidP="00CF7B47">
            <w:pPr>
              <w:pStyle w:val="COMTableheadingrow"/>
            </w:pPr>
            <w:r w:rsidRPr="003D294A">
              <w:t>Log-transformed geometric mean 24-hour UPCR ratio to baseline (95% CI)</w:t>
            </w:r>
          </w:p>
        </w:tc>
      </w:tr>
      <w:tr w:rsidR="00A441E0" w:rsidRPr="003D294A" w14:paraId="7FC2235A" w14:textId="77777777">
        <w:trPr>
          <w:jc w:val="center"/>
        </w:trPr>
        <w:tc>
          <w:tcPr>
            <w:tcW w:w="1464" w:type="dxa"/>
            <w:vAlign w:val="center"/>
          </w:tcPr>
          <w:p w14:paraId="22AD7F9D" w14:textId="77777777" w:rsidR="00A441E0" w:rsidRPr="003D294A" w:rsidRDefault="00A441E0" w:rsidP="00CF7B47">
            <w:pPr>
              <w:pStyle w:val="COMTabletext"/>
            </w:pPr>
            <w:r w:rsidRPr="003D294A">
              <w:t>VALIANT</w:t>
            </w:r>
          </w:p>
        </w:tc>
        <w:tc>
          <w:tcPr>
            <w:tcW w:w="1894" w:type="dxa"/>
            <w:vAlign w:val="center"/>
          </w:tcPr>
          <w:p w14:paraId="750560CE" w14:textId="77777777" w:rsidR="00A441E0" w:rsidRPr="003D294A" w:rsidRDefault="00A441E0" w:rsidP="00CF7B47">
            <w:pPr>
              <w:pStyle w:val="COMTabletext"/>
              <w:jc w:val="center"/>
            </w:pPr>
            <w:r w:rsidRPr="003D294A">
              <w:t>0.31 (0.24, 0.42)</w:t>
            </w:r>
          </w:p>
          <w:p w14:paraId="6A5FB692" w14:textId="77777777" w:rsidR="00A441E0" w:rsidRPr="003D294A" w:rsidRDefault="00A441E0" w:rsidP="00CF7B47">
            <w:pPr>
              <w:pStyle w:val="COMTabletext"/>
              <w:jc w:val="center"/>
            </w:pPr>
            <w:r w:rsidRPr="003D294A">
              <w:t>N=63</w:t>
            </w:r>
          </w:p>
        </w:tc>
        <w:tc>
          <w:tcPr>
            <w:tcW w:w="1887" w:type="dxa"/>
            <w:vAlign w:val="center"/>
          </w:tcPr>
          <w:p w14:paraId="74EBE311" w14:textId="77777777" w:rsidR="00A441E0" w:rsidRPr="003D294A" w:rsidRDefault="00A441E0" w:rsidP="00CF7B47">
            <w:pPr>
              <w:pStyle w:val="COMTabletext"/>
              <w:jc w:val="center"/>
            </w:pPr>
            <w:r w:rsidRPr="003D294A">
              <w:t>0.92 (0.78, 1.07)</w:t>
            </w:r>
          </w:p>
          <w:p w14:paraId="1872EFD3" w14:textId="77777777" w:rsidR="00A441E0" w:rsidRPr="003D294A" w:rsidRDefault="00A441E0" w:rsidP="00CF7B47">
            <w:pPr>
              <w:pStyle w:val="COMTabletext"/>
              <w:jc w:val="center"/>
            </w:pPr>
            <w:r w:rsidRPr="003D294A">
              <w:t>N=61</w:t>
            </w:r>
          </w:p>
        </w:tc>
        <w:tc>
          <w:tcPr>
            <w:tcW w:w="1890" w:type="dxa"/>
            <w:vAlign w:val="center"/>
          </w:tcPr>
          <w:p w14:paraId="0C6733D1" w14:textId="77777777" w:rsidR="00A441E0" w:rsidRPr="003D294A" w:rsidRDefault="00A441E0" w:rsidP="00CF7B47">
            <w:pPr>
              <w:pStyle w:val="COMTabletext"/>
              <w:jc w:val="center"/>
            </w:pPr>
            <w:r w:rsidRPr="003D294A">
              <w:t>-</w:t>
            </w:r>
          </w:p>
        </w:tc>
        <w:tc>
          <w:tcPr>
            <w:tcW w:w="1912" w:type="dxa"/>
            <w:gridSpan w:val="2"/>
            <w:vAlign w:val="center"/>
          </w:tcPr>
          <w:p w14:paraId="6E3B9B4F" w14:textId="77777777" w:rsidR="00A441E0" w:rsidRPr="003D294A" w:rsidRDefault="00A441E0" w:rsidP="00CF7B47">
            <w:pPr>
              <w:pStyle w:val="COMTabletext"/>
              <w:jc w:val="center"/>
            </w:pPr>
            <w:r w:rsidRPr="003D294A">
              <w:t>0.34 (0.25, 0.48)</w:t>
            </w:r>
          </w:p>
        </w:tc>
      </w:tr>
      <w:tr w:rsidR="00A441E0" w:rsidRPr="003D294A" w14:paraId="23C93E70" w14:textId="77777777">
        <w:trPr>
          <w:jc w:val="center"/>
        </w:trPr>
        <w:tc>
          <w:tcPr>
            <w:tcW w:w="1464" w:type="dxa"/>
            <w:vAlign w:val="center"/>
          </w:tcPr>
          <w:p w14:paraId="55D32510" w14:textId="77777777" w:rsidR="00A441E0" w:rsidRPr="003D294A" w:rsidRDefault="00A441E0" w:rsidP="00CF7B47">
            <w:pPr>
              <w:pStyle w:val="COMTabletext"/>
            </w:pPr>
            <w:r w:rsidRPr="003D294A">
              <w:t>APPEAR-C3G</w:t>
            </w:r>
          </w:p>
        </w:tc>
        <w:tc>
          <w:tcPr>
            <w:tcW w:w="1894" w:type="dxa"/>
            <w:vAlign w:val="center"/>
          </w:tcPr>
          <w:p w14:paraId="2041A9E9" w14:textId="77777777" w:rsidR="00A441E0" w:rsidRPr="003D294A" w:rsidRDefault="00A441E0" w:rsidP="00CF7B47">
            <w:pPr>
              <w:pStyle w:val="COMTabletext"/>
              <w:jc w:val="center"/>
            </w:pPr>
            <w:r w:rsidRPr="003D294A">
              <w:t>-</w:t>
            </w:r>
          </w:p>
        </w:tc>
        <w:tc>
          <w:tcPr>
            <w:tcW w:w="1887" w:type="dxa"/>
            <w:vAlign w:val="center"/>
          </w:tcPr>
          <w:p w14:paraId="122013FB" w14:textId="77777777" w:rsidR="00A441E0" w:rsidRPr="003D294A" w:rsidRDefault="00A441E0" w:rsidP="00CF7B47">
            <w:pPr>
              <w:pStyle w:val="COMTabletext"/>
              <w:jc w:val="center"/>
              <w:rPr>
                <w:vertAlign w:val="superscript"/>
              </w:rPr>
            </w:pPr>
            <w:r w:rsidRPr="003D294A">
              <w:t xml:space="preserve">1.08 (0.88, 1.31) </w:t>
            </w:r>
            <w:r w:rsidRPr="003D294A">
              <w:rPr>
                <w:vertAlign w:val="superscript"/>
              </w:rPr>
              <w:t>a</w:t>
            </w:r>
          </w:p>
          <w:p w14:paraId="73AB50D5" w14:textId="77777777" w:rsidR="00A441E0" w:rsidRPr="003D294A" w:rsidRDefault="00A441E0" w:rsidP="00CF7B47">
            <w:pPr>
              <w:pStyle w:val="COMTabletext"/>
              <w:jc w:val="center"/>
            </w:pPr>
            <w:r w:rsidRPr="003D294A">
              <w:t>N=36</w:t>
            </w:r>
          </w:p>
        </w:tc>
        <w:tc>
          <w:tcPr>
            <w:tcW w:w="1890" w:type="dxa"/>
            <w:vAlign w:val="center"/>
          </w:tcPr>
          <w:p w14:paraId="0E48F49E" w14:textId="77777777" w:rsidR="00A441E0" w:rsidRPr="003D294A" w:rsidRDefault="00A441E0" w:rsidP="00CF7B47">
            <w:pPr>
              <w:pStyle w:val="COMTabletext"/>
              <w:jc w:val="center"/>
              <w:rPr>
                <w:vertAlign w:val="superscript"/>
              </w:rPr>
            </w:pPr>
            <w:r w:rsidRPr="003D294A">
              <w:t xml:space="preserve">0.70 (0.57, 0.85) </w:t>
            </w:r>
            <w:r w:rsidRPr="003D294A">
              <w:rPr>
                <w:vertAlign w:val="superscript"/>
              </w:rPr>
              <w:t>a</w:t>
            </w:r>
          </w:p>
          <w:p w14:paraId="1FDD00FB" w14:textId="77777777" w:rsidR="00A441E0" w:rsidRPr="003D294A" w:rsidRDefault="00A441E0" w:rsidP="00CF7B47">
            <w:pPr>
              <w:pStyle w:val="COMTabletext"/>
              <w:jc w:val="center"/>
            </w:pPr>
            <w:r w:rsidRPr="003D294A">
              <w:t>N=38</w:t>
            </w:r>
          </w:p>
        </w:tc>
        <w:tc>
          <w:tcPr>
            <w:tcW w:w="1912" w:type="dxa"/>
            <w:gridSpan w:val="2"/>
            <w:vAlign w:val="center"/>
          </w:tcPr>
          <w:p w14:paraId="7C7B5DC5" w14:textId="77777777" w:rsidR="00A441E0" w:rsidRPr="003D294A" w:rsidRDefault="00A441E0" w:rsidP="00CF7B47">
            <w:pPr>
              <w:pStyle w:val="COMTabletext"/>
              <w:jc w:val="center"/>
            </w:pPr>
            <w:r w:rsidRPr="003D294A">
              <w:t>0.65 (0.49, 0.86)</w:t>
            </w:r>
          </w:p>
        </w:tc>
      </w:tr>
      <w:tr w:rsidR="00A441E0" w:rsidRPr="003D294A" w14:paraId="164ECB23" w14:textId="77777777">
        <w:trPr>
          <w:jc w:val="center"/>
        </w:trPr>
        <w:tc>
          <w:tcPr>
            <w:tcW w:w="7135" w:type="dxa"/>
            <w:gridSpan w:val="4"/>
            <w:vAlign w:val="center"/>
          </w:tcPr>
          <w:p w14:paraId="7A6D0981" w14:textId="77777777" w:rsidR="00A441E0" w:rsidRPr="003D294A" w:rsidRDefault="00A441E0" w:rsidP="00CF7B47">
            <w:pPr>
              <w:pStyle w:val="COMTabletext"/>
              <w:jc w:val="right"/>
            </w:pPr>
            <w:r w:rsidRPr="003D294A">
              <w:rPr>
                <w:b/>
                <w:bCs w:val="0"/>
              </w:rPr>
              <w:t>Indirect comparison of pegcetacoplan versus iptacopan</w:t>
            </w:r>
          </w:p>
        </w:tc>
        <w:tc>
          <w:tcPr>
            <w:tcW w:w="1912" w:type="dxa"/>
            <w:gridSpan w:val="2"/>
            <w:vAlign w:val="center"/>
          </w:tcPr>
          <w:p w14:paraId="44128A41" w14:textId="77777777" w:rsidR="00A441E0" w:rsidRPr="003D294A" w:rsidRDefault="00A441E0" w:rsidP="00CF7B47">
            <w:pPr>
              <w:pStyle w:val="COMTabletext"/>
              <w:jc w:val="center"/>
              <w:rPr>
                <w:b/>
                <w:bCs w:val="0"/>
              </w:rPr>
            </w:pPr>
            <w:r w:rsidRPr="003D294A">
              <w:rPr>
                <w:b/>
                <w:bCs w:val="0"/>
              </w:rPr>
              <w:t>0.53 (0.34, 0.82)</w:t>
            </w:r>
          </w:p>
        </w:tc>
      </w:tr>
    </w:tbl>
    <w:p w14:paraId="67D3CA4A" w14:textId="77777777" w:rsidR="00A441E0" w:rsidRPr="003D294A" w:rsidRDefault="00A441E0" w:rsidP="00CF7B47">
      <w:pPr>
        <w:pStyle w:val="COMTablefooter"/>
      </w:pPr>
      <w:r w:rsidRPr="003D294A">
        <w:t>Source: Table A-7, p129 of the submission; Kavanagh 2025 publication and p12 of the supplementary appendix</w:t>
      </w:r>
    </w:p>
    <w:p w14:paraId="43046B26" w14:textId="77777777" w:rsidR="00A441E0" w:rsidRPr="003D294A" w:rsidRDefault="00A441E0" w:rsidP="00CF7B47">
      <w:pPr>
        <w:pStyle w:val="COMTablefooter"/>
      </w:pPr>
      <w:r w:rsidRPr="003D294A">
        <w:t>Abbreviations: CI, confidence interval; FMU, first morning urine; UPCR, urine protein-creatinine ratio</w:t>
      </w:r>
    </w:p>
    <w:p w14:paraId="1B8F6AB9" w14:textId="64037659" w:rsidR="00A441E0" w:rsidRPr="003D294A" w:rsidRDefault="00A441E0" w:rsidP="00CF7B47">
      <w:pPr>
        <w:pStyle w:val="COMTablefooter"/>
      </w:pPr>
      <w:r w:rsidRPr="003D294A">
        <w:rPr>
          <w:vertAlign w:val="superscript"/>
        </w:rPr>
        <w:t>a</w:t>
      </w:r>
      <w:r w:rsidRPr="003D294A">
        <w:t xml:space="preserve"> Updated during the evaluation based on results reported in p12 of the Kavanagh 2025 appendix. </w:t>
      </w:r>
    </w:p>
    <w:p w14:paraId="67FDED7B" w14:textId="77777777" w:rsidR="00A441E0" w:rsidRPr="003D294A" w:rsidRDefault="00A441E0" w:rsidP="00CF7B47">
      <w:pPr>
        <w:pStyle w:val="COMTablefooter"/>
        <w:rPr>
          <w:b/>
          <w:bCs/>
        </w:rPr>
      </w:pPr>
      <w:r w:rsidRPr="003D294A">
        <w:rPr>
          <w:b/>
          <w:bCs/>
        </w:rPr>
        <w:t xml:space="preserve">Bolded </w:t>
      </w:r>
      <w:r w:rsidRPr="003D294A">
        <w:t>results were statistically significant</w:t>
      </w:r>
    </w:p>
    <w:p w14:paraId="2577AA59" w14:textId="660B4DE5" w:rsidR="00A441E0" w:rsidRPr="003D294A" w:rsidRDefault="00A441E0" w:rsidP="00CF7B47">
      <w:pPr>
        <w:pStyle w:val="COMESnumberedpara"/>
      </w:pPr>
      <w:r w:rsidRPr="003D294A">
        <w:t>The analyses suggest that pegcetacoplan was associated with statistically significantly greater relative reductions in UPCR compared to iptacopan (53% for first morning sample, difference in ratio of 0.47; and 47% for 24-hour sample, difference in ratio of 0.53).</w:t>
      </w:r>
    </w:p>
    <w:p w14:paraId="202EC340" w14:textId="34C1BA5E" w:rsidR="00A441E0" w:rsidRPr="003D294A" w:rsidRDefault="00A62FAB" w:rsidP="00CF7B47">
      <w:pPr>
        <w:pStyle w:val="COMESnumberedpara"/>
      </w:pPr>
      <w:r w:rsidRPr="003D294A">
        <w:fldChar w:fldCharType="begin"/>
      </w:r>
      <w:r w:rsidRPr="003D294A">
        <w:instrText xml:space="preserve"> REF _Ref218870152 \h </w:instrText>
      </w:r>
      <w:r w:rsidRPr="003D294A">
        <w:fldChar w:fldCharType="separate"/>
      </w:r>
      <w:r w:rsidR="00632853" w:rsidRPr="003D294A">
        <w:t xml:space="preserve">Table </w:t>
      </w:r>
      <w:r w:rsidR="00632853">
        <w:rPr>
          <w:noProof/>
        </w:rPr>
        <w:t>8</w:t>
      </w:r>
      <w:r w:rsidRPr="003D294A">
        <w:fldChar w:fldCharType="end"/>
      </w:r>
      <w:r w:rsidRPr="003D294A">
        <w:t xml:space="preserve"> </w:t>
      </w:r>
      <w:r w:rsidR="00A441E0" w:rsidRPr="003D294A">
        <w:t>presents results of the indirect comparison for mean change in eGFR (mL/min/1.73 m</w:t>
      </w:r>
      <w:r w:rsidR="00A441E0" w:rsidRPr="003D294A">
        <w:rPr>
          <w:vertAlign w:val="superscript"/>
        </w:rPr>
        <w:t>2</w:t>
      </w:r>
      <w:r w:rsidR="00A441E0" w:rsidRPr="003D294A">
        <w:t>).</w:t>
      </w:r>
    </w:p>
    <w:p w14:paraId="2D8E0DEE" w14:textId="2BB0A086" w:rsidR="00A441E0" w:rsidRPr="003D294A" w:rsidRDefault="00A62FAB" w:rsidP="00CF7B47">
      <w:pPr>
        <w:pStyle w:val="COMTableFigurecaption"/>
        <w:jc w:val="both"/>
      </w:pPr>
      <w:bookmarkStart w:id="37" w:name="_Ref218870152"/>
      <w:r w:rsidRPr="003D294A">
        <w:t xml:space="preserve">Table </w:t>
      </w:r>
      <w:fldSimple w:instr=" SEQ Table \* ARABIC ">
        <w:r w:rsidR="00632853">
          <w:rPr>
            <w:noProof/>
          </w:rPr>
          <w:t>8</w:t>
        </w:r>
      </w:fldSimple>
      <w:bookmarkEnd w:id="37"/>
      <w:r w:rsidRPr="003D294A">
        <w:t>: Bucher indirect comparison between pegcetacoplan and iptacopan based on change in eGFR from baseline (mL/min/1.73 m</w:t>
      </w:r>
      <w:r w:rsidRPr="003D294A">
        <w:rPr>
          <w:vertAlign w:val="superscript"/>
        </w:rPr>
        <w:t>2</w:t>
      </w:r>
      <w:r w:rsidRPr="003D294A">
        <w:t>)</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Bucher indirect comparison between pegcetacoplan and iptacopan based on change in eGFR from baseline (mL/min/1.73 m2)"/>
      </w:tblPr>
      <w:tblGrid>
        <w:gridCol w:w="1696"/>
        <w:gridCol w:w="1748"/>
        <w:gridCol w:w="1748"/>
        <w:gridCol w:w="1749"/>
        <w:gridCol w:w="2106"/>
      </w:tblGrid>
      <w:tr w:rsidR="00A441E0" w:rsidRPr="003D294A" w14:paraId="1223ECC4" w14:textId="77777777">
        <w:trPr>
          <w:tblHeader/>
          <w:jc w:val="center"/>
        </w:trPr>
        <w:tc>
          <w:tcPr>
            <w:tcW w:w="1696" w:type="dxa"/>
            <w:vAlign w:val="center"/>
          </w:tcPr>
          <w:p w14:paraId="3DB93296" w14:textId="77777777" w:rsidR="00A441E0" w:rsidRPr="003D294A" w:rsidRDefault="00A441E0" w:rsidP="00CF7B47">
            <w:pPr>
              <w:pStyle w:val="COMTableheadingrow"/>
            </w:pPr>
            <w:r w:rsidRPr="003D294A">
              <w:t>Trial</w:t>
            </w:r>
          </w:p>
        </w:tc>
        <w:tc>
          <w:tcPr>
            <w:tcW w:w="1748" w:type="dxa"/>
            <w:vAlign w:val="center"/>
          </w:tcPr>
          <w:p w14:paraId="04D67724" w14:textId="77777777" w:rsidR="00A441E0" w:rsidRPr="003D294A" w:rsidRDefault="00A441E0" w:rsidP="00CF7B47">
            <w:pPr>
              <w:pStyle w:val="COMTableheadingrow"/>
              <w:jc w:val="center"/>
            </w:pPr>
            <w:r w:rsidRPr="003D294A">
              <w:t>Pegcetacoplan</w:t>
            </w:r>
          </w:p>
          <w:p w14:paraId="32A560F8" w14:textId="77777777" w:rsidR="00A441E0" w:rsidRPr="003D294A" w:rsidRDefault="00A441E0" w:rsidP="00CF7B47">
            <w:pPr>
              <w:pStyle w:val="COMTabletext"/>
              <w:jc w:val="center"/>
              <w:rPr>
                <w:rFonts w:eastAsia="Times New Roman" w:cs="Arial"/>
                <w:b/>
                <w:szCs w:val="20"/>
              </w:rPr>
            </w:pPr>
            <w:r w:rsidRPr="003D294A">
              <w:rPr>
                <w:rFonts w:eastAsia="Times New Roman" w:cs="Arial"/>
                <w:b/>
                <w:szCs w:val="20"/>
              </w:rPr>
              <w:t>Mean (95% CI)</w:t>
            </w:r>
          </w:p>
        </w:tc>
        <w:tc>
          <w:tcPr>
            <w:tcW w:w="1748" w:type="dxa"/>
            <w:vAlign w:val="center"/>
          </w:tcPr>
          <w:p w14:paraId="0D85C91D" w14:textId="77777777" w:rsidR="00A441E0" w:rsidRPr="003D294A" w:rsidRDefault="00A441E0" w:rsidP="00CF7B47">
            <w:pPr>
              <w:pStyle w:val="COMTableheadingrow"/>
              <w:jc w:val="center"/>
            </w:pPr>
            <w:r w:rsidRPr="003D294A">
              <w:t>Placebo</w:t>
            </w:r>
          </w:p>
          <w:p w14:paraId="608107CB" w14:textId="77777777" w:rsidR="00A441E0" w:rsidRPr="003D294A" w:rsidRDefault="00A441E0" w:rsidP="00CF7B47">
            <w:pPr>
              <w:pStyle w:val="COMTabletext"/>
              <w:jc w:val="center"/>
            </w:pPr>
            <w:r w:rsidRPr="003D294A">
              <w:rPr>
                <w:rFonts w:eastAsia="Times New Roman" w:cs="Arial"/>
                <w:b/>
                <w:szCs w:val="20"/>
              </w:rPr>
              <w:t>Mean (95% CI)</w:t>
            </w:r>
          </w:p>
        </w:tc>
        <w:tc>
          <w:tcPr>
            <w:tcW w:w="1749" w:type="dxa"/>
            <w:vAlign w:val="center"/>
          </w:tcPr>
          <w:p w14:paraId="5114E1AB" w14:textId="77777777" w:rsidR="00A441E0" w:rsidRPr="003D294A" w:rsidRDefault="00A441E0" w:rsidP="00CF7B47">
            <w:pPr>
              <w:pStyle w:val="COMTableheadingrow"/>
              <w:jc w:val="center"/>
            </w:pPr>
            <w:r w:rsidRPr="003D294A">
              <w:t>Iptacopan</w:t>
            </w:r>
          </w:p>
          <w:p w14:paraId="29223EAE" w14:textId="77777777" w:rsidR="00A441E0" w:rsidRPr="003D294A" w:rsidRDefault="00A441E0" w:rsidP="00CF7B47">
            <w:pPr>
              <w:pStyle w:val="COMTabletext"/>
              <w:jc w:val="center"/>
            </w:pPr>
            <w:r w:rsidRPr="003D294A">
              <w:rPr>
                <w:rFonts w:eastAsia="Times New Roman" w:cs="Arial"/>
                <w:b/>
                <w:szCs w:val="20"/>
              </w:rPr>
              <w:t>Mean (95% CI)</w:t>
            </w:r>
          </w:p>
        </w:tc>
        <w:tc>
          <w:tcPr>
            <w:tcW w:w="2106" w:type="dxa"/>
            <w:vAlign w:val="center"/>
          </w:tcPr>
          <w:p w14:paraId="21CB5FB8" w14:textId="77777777" w:rsidR="00A441E0" w:rsidRPr="003D294A" w:rsidRDefault="00A441E0" w:rsidP="00CF7B47">
            <w:pPr>
              <w:pStyle w:val="COMTableheadingrow"/>
              <w:jc w:val="center"/>
            </w:pPr>
            <w:r w:rsidRPr="003D294A">
              <w:t>Treatment difference (95% CI)</w:t>
            </w:r>
          </w:p>
        </w:tc>
      </w:tr>
      <w:tr w:rsidR="00A441E0" w:rsidRPr="003D294A" w14:paraId="7790275D" w14:textId="77777777">
        <w:trPr>
          <w:jc w:val="center"/>
        </w:trPr>
        <w:tc>
          <w:tcPr>
            <w:tcW w:w="1696" w:type="dxa"/>
            <w:vAlign w:val="center"/>
          </w:tcPr>
          <w:p w14:paraId="073EC34B" w14:textId="77777777" w:rsidR="00A441E0" w:rsidRPr="003D294A" w:rsidRDefault="00A441E0" w:rsidP="00CF7B47">
            <w:pPr>
              <w:pStyle w:val="COMTabletext"/>
            </w:pPr>
            <w:r w:rsidRPr="003D294A">
              <w:t>VALIANT</w:t>
            </w:r>
          </w:p>
        </w:tc>
        <w:tc>
          <w:tcPr>
            <w:tcW w:w="1748" w:type="dxa"/>
            <w:vAlign w:val="center"/>
          </w:tcPr>
          <w:p w14:paraId="0DD6CE8B" w14:textId="77777777" w:rsidR="00A441E0" w:rsidRPr="003D294A" w:rsidRDefault="00A441E0" w:rsidP="00CF7B47">
            <w:pPr>
              <w:pStyle w:val="COMTabletext"/>
              <w:jc w:val="center"/>
            </w:pPr>
            <w:r w:rsidRPr="003D294A">
              <w:t>-1.50 (-5.90, 2.90)</w:t>
            </w:r>
          </w:p>
          <w:p w14:paraId="04BE6A1D" w14:textId="77777777" w:rsidR="00A441E0" w:rsidRPr="003D294A" w:rsidRDefault="00A441E0" w:rsidP="00CF7B47">
            <w:pPr>
              <w:pStyle w:val="COMTabletext"/>
              <w:jc w:val="center"/>
            </w:pPr>
            <w:r w:rsidRPr="003D294A">
              <w:t>N=63</w:t>
            </w:r>
          </w:p>
        </w:tc>
        <w:tc>
          <w:tcPr>
            <w:tcW w:w="1748" w:type="dxa"/>
            <w:vAlign w:val="center"/>
          </w:tcPr>
          <w:p w14:paraId="17F9962E" w14:textId="77777777" w:rsidR="00A441E0" w:rsidRPr="003D294A" w:rsidRDefault="00A441E0" w:rsidP="00CF7B47">
            <w:pPr>
              <w:pStyle w:val="COMTabletext"/>
              <w:jc w:val="center"/>
            </w:pPr>
            <w:r w:rsidRPr="003D294A">
              <w:t>-7.81 (-11.57, -4.05)</w:t>
            </w:r>
          </w:p>
          <w:p w14:paraId="5D032CAA" w14:textId="77777777" w:rsidR="00A441E0" w:rsidRPr="003D294A" w:rsidRDefault="00A441E0" w:rsidP="00CF7B47">
            <w:pPr>
              <w:pStyle w:val="COMTabletext"/>
              <w:jc w:val="center"/>
            </w:pPr>
            <w:r w:rsidRPr="003D294A">
              <w:t>N=61</w:t>
            </w:r>
          </w:p>
        </w:tc>
        <w:tc>
          <w:tcPr>
            <w:tcW w:w="1749" w:type="dxa"/>
            <w:vAlign w:val="center"/>
          </w:tcPr>
          <w:p w14:paraId="5DD55A4F" w14:textId="77777777" w:rsidR="00A441E0" w:rsidRPr="003D294A" w:rsidRDefault="00A441E0" w:rsidP="00CF7B47">
            <w:pPr>
              <w:pStyle w:val="COMTabletext"/>
              <w:jc w:val="center"/>
            </w:pPr>
            <w:r w:rsidRPr="003D294A">
              <w:t>-</w:t>
            </w:r>
          </w:p>
        </w:tc>
        <w:tc>
          <w:tcPr>
            <w:tcW w:w="2106" w:type="dxa"/>
            <w:vAlign w:val="center"/>
          </w:tcPr>
          <w:p w14:paraId="5CF67FC2" w14:textId="77777777" w:rsidR="00A441E0" w:rsidRPr="003D294A" w:rsidRDefault="00A441E0" w:rsidP="00CF7B47">
            <w:pPr>
              <w:pStyle w:val="COMTabletext"/>
              <w:jc w:val="center"/>
            </w:pPr>
            <w:r w:rsidRPr="003D294A">
              <w:t>6.31 (0.50, 12.12)</w:t>
            </w:r>
          </w:p>
        </w:tc>
      </w:tr>
      <w:tr w:rsidR="00A441E0" w:rsidRPr="003D294A" w14:paraId="1EB0E688" w14:textId="77777777">
        <w:trPr>
          <w:jc w:val="center"/>
        </w:trPr>
        <w:tc>
          <w:tcPr>
            <w:tcW w:w="1696" w:type="dxa"/>
            <w:vAlign w:val="center"/>
          </w:tcPr>
          <w:p w14:paraId="70431E95" w14:textId="77777777" w:rsidR="00A441E0" w:rsidRPr="003D294A" w:rsidRDefault="00A441E0" w:rsidP="00CF7B47">
            <w:pPr>
              <w:pStyle w:val="COMTabletext"/>
            </w:pPr>
            <w:r w:rsidRPr="003D294A">
              <w:t>APPEAR-C3G</w:t>
            </w:r>
          </w:p>
        </w:tc>
        <w:tc>
          <w:tcPr>
            <w:tcW w:w="1748" w:type="dxa"/>
            <w:vAlign w:val="center"/>
          </w:tcPr>
          <w:p w14:paraId="59F92773" w14:textId="77777777" w:rsidR="00A441E0" w:rsidRPr="003D294A" w:rsidRDefault="00A441E0" w:rsidP="00CF7B47">
            <w:pPr>
              <w:pStyle w:val="COMTabletext"/>
              <w:jc w:val="center"/>
            </w:pPr>
            <w:r w:rsidRPr="003D294A">
              <w:t>-</w:t>
            </w:r>
          </w:p>
        </w:tc>
        <w:tc>
          <w:tcPr>
            <w:tcW w:w="1748" w:type="dxa"/>
            <w:vAlign w:val="center"/>
          </w:tcPr>
          <w:p w14:paraId="466B4137" w14:textId="77777777" w:rsidR="00A441E0" w:rsidRPr="003D294A" w:rsidRDefault="00A441E0" w:rsidP="00CF7B47">
            <w:pPr>
              <w:pStyle w:val="COMTabletext"/>
              <w:jc w:val="center"/>
            </w:pPr>
            <w:r w:rsidRPr="003D294A">
              <w:t>-0.86 (-4.36, 2.64)</w:t>
            </w:r>
          </w:p>
          <w:p w14:paraId="1BB1BE0A" w14:textId="77777777" w:rsidR="00A441E0" w:rsidRPr="003D294A" w:rsidRDefault="00A441E0" w:rsidP="00CF7B47">
            <w:pPr>
              <w:pStyle w:val="COMTabletext"/>
              <w:jc w:val="center"/>
            </w:pPr>
            <w:r w:rsidRPr="003D294A">
              <w:t>N=36</w:t>
            </w:r>
          </w:p>
        </w:tc>
        <w:tc>
          <w:tcPr>
            <w:tcW w:w="1749" w:type="dxa"/>
            <w:vAlign w:val="center"/>
          </w:tcPr>
          <w:p w14:paraId="0CD43E0F" w14:textId="77777777" w:rsidR="00A441E0" w:rsidRPr="003D294A" w:rsidRDefault="00A441E0" w:rsidP="00CF7B47">
            <w:pPr>
              <w:pStyle w:val="COMTabletext"/>
              <w:jc w:val="center"/>
            </w:pPr>
            <w:r w:rsidRPr="003D294A">
              <w:t>1.30 (-2.14, 4.73)</w:t>
            </w:r>
          </w:p>
          <w:p w14:paraId="455D704F" w14:textId="77777777" w:rsidR="00A441E0" w:rsidRPr="003D294A" w:rsidRDefault="00A441E0" w:rsidP="00CF7B47">
            <w:pPr>
              <w:pStyle w:val="COMTabletext"/>
              <w:jc w:val="center"/>
            </w:pPr>
            <w:r w:rsidRPr="003D294A">
              <w:t>N=38</w:t>
            </w:r>
          </w:p>
        </w:tc>
        <w:tc>
          <w:tcPr>
            <w:tcW w:w="2106" w:type="dxa"/>
            <w:vAlign w:val="center"/>
          </w:tcPr>
          <w:p w14:paraId="2CAA5CA5" w14:textId="77777777" w:rsidR="00A441E0" w:rsidRPr="003D294A" w:rsidRDefault="00A441E0" w:rsidP="00CF7B47">
            <w:pPr>
              <w:pStyle w:val="COMTabletext"/>
              <w:jc w:val="center"/>
            </w:pPr>
            <w:r w:rsidRPr="003D294A">
              <w:t>2.16 (-2.75, 7.06)</w:t>
            </w:r>
          </w:p>
        </w:tc>
      </w:tr>
      <w:tr w:rsidR="00A441E0" w:rsidRPr="003D294A" w14:paraId="11D8E62D" w14:textId="77777777">
        <w:trPr>
          <w:jc w:val="center"/>
        </w:trPr>
        <w:tc>
          <w:tcPr>
            <w:tcW w:w="6941" w:type="dxa"/>
            <w:gridSpan w:val="4"/>
            <w:vAlign w:val="center"/>
          </w:tcPr>
          <w:p w14:paraId="0388B8EA" w14:textId="77777777" w:rsidR="00A441E0" w:rsidRPr="003D294A" w:rsidRDefault="00A441E0" w:rsidP="00CF7B47">
            <w:pPr>
              <w:pStyle w:val="COMTabletext"/>
              <w:jc w:val="right"/>
              <w:rPr>
                <w:b/>
                <w:bCs w:val="0"/>
              </w:rPr>
            </w:pPr>
            <w:r w:rsidRPr="003D294A">
              <w:rPr>
                <w:b/>
                <w:bCs w:val="0"/>
              </w:rPr>
              <w:t>Indirect comparison of pegcetacoplan versus iptacopan</w:t>
            </w:r>
          </w:p>
        </w:tc>
        <w:tc>
          <w:tcPr>
            <w:tcW w:w="2106" w:type="dxa"/>
            <w:vAlign w:val="center"/>
          </w:tcPr>
          <w:p w14:paraId="2F2AA3C1" w14:textId="77777777" w:rsidR="00A441E0" w:rsidRPr="003D294A" w:rsidRDefault="00A441E0" w:rsidP="00CF7B47">
            <w:pPr>
              <w:pStyle w:val="COMTabletext"/>
              <w:jc w:val="center"/>
            </w:pPr>
            <w:r w:rsidRPr="003D294A">
              <w:t>4.16 (-3.45, 11.76)</w:t>
            </w:r>
          </w:p>
        </w:tc>
      </w:tr>
    </w:tbl>
    <w:p w14:paraId="490315A1" w14:textId="77777777" w:rsidR="00A441E0" w:rsidRPr="003D294A" w:rsidRDefault="00A441E0" w:rsidP="00CF7B47">
      <w:pPr>
        <w:pStyle w:val="COMTablefooter"/>
      </w:pPr>
      <w:r w:rsidRPr="003D294A">
        <w:t>Source: Table A-8, p130 of the submission; p7, Kavanagh 2025 publication; p12, Kavanagh 2025 supplementary appendix</w:t>
      </w:r>
    </w:p>
    <w:p w14:paraId="16618DB1" w14:textId="77777777" w:rsidR="00A441E0" w:rsidRPr="003D294A" w:rsidRDefault="00A441E0" w:rsidP="00CF7B47">
      <w:pPr>
        <w:pStyle w:val="COMTablefooter"/>
      </w:pPr>
      <w:r w:rsidRPr="003D294A">
        <w:t>Abbreviations: CI, confidence interval; eGFR, estimated glomerular filtration rate</w:t>
      </w:r>
    </w:p>
    <w:p w14:paraId="36A4F50C" w14:textId="77777777" w:rsidR="00A441E0" w:rsidRPr="003D294A" w:rsidRDefault="00A441E0" w:rsidP="00CF7B47">
      <w:pPr>
        <w:pStyle w:val="COMESnumberedpara"/>
      </w:pPr>
      <w:r w:rsidRPr="003D294A">
        <w:t xml:space="preserve">There was no apparent difference between pegcetacoplan and iptacopan in terms of mean change in eGFR from baseline. The results should be interpreted with caution given the substantially different rates of eGFR decline in the common reference arms of the trials. </w:t>
      </w:r>
    </w:p>
    <w:p w14:paraId="37AD82AB" w14:textId="060FED31" w:rsidR="00A441E0" w:rsidRPr="003D294A" w:rsidRDefault="00035B25" w:rsidP="00CF7B47">
      <w:pPr>
        <w:pStyle w:val="COMESnumberedpara"/>
      </w:pPr>
      <w:r w:rsidRPr="003D294A">
        <w:t>The submission acknowledged that there were limitations to the Bucher indirect analys</w:t>
      </w:r>
      <w:r w:rsidR="00977B8D" w:rsidRPr="003D294A">
        <w:t>e</w:t>
      </w:r>
      <w:r w:rsidRPr="003D294A">
        <w:t xml:space="preserve">s due to key differences between the VALIANT and APPEAR-C3G trial populations including age group, disease type, transplant status and baseline serum C3 level. The submission claimed that these differences introduce uncertainty in the </w:t>
      </w:r>
      <w:r w:rsidRPr="003D294A">
        <w:lastRenderedPageBreak/>
        <w:t>reliability of results from the Bucher analysis as it assumes that the trials are comparable without significant differences in effect modifiers. To address these concerns, the submission performed post hoc sensitivity analyses across subgroups in the VALIANT trial based on disease type (C3G versus IC-MPGN), age (adults, adolescents), sex (male, female) and serum C3 levels (&lt;77 mg/dL, ≥77 mg/dL) and combinations that most closely align to APPEAR-C3G (adults with C3G, serum C3 &lt;77</w:t>
      </w:r>
      <w:r w:rsidR="00977B8D" w:rsidRPr="003D294A">
        <w:t> m</w:t>
      </w:r>
      <w:r w:rsidRPr="003D294A">
        <w:t>g/dL, and both).</w:t>
      </w:r>
    </w:p>
    <w:p w14:paraId="3C602036" w14:textId="61F303BC" w:rsidR="00D0736E" w:rsidRPr="003D294A" w:rsidRDefault="00D0736E" w:rsidP="00CF7B47">
      <w:pPr>
        <w:pStyle w:val="COMESnumberedpara"/>
      </w:pPr>
      <w:r w:rsidRPr="003D294A">
        <w:t xml:space="preserve">The submission claimed that disease type and age were not treatment effect modifiers. No discussion was provided regarding the subgroup analysis according to sex. The submission claimed that baseline serum C3 level was a potential treatment effect modifier, with greater magnitude of benefit for both proteinuria reduction and slowing eGFR decline in those with serum C3 &lt;77 mg/dL compared to those with serum C3 ≥77 mg/dL. The validity of results from these analyses could not be determined due to insufficient documentation in the submission. </w:t>
      </w:r>
    </w:p>
    <w:p w14:paraId="1452C351" w14:textId="0D19F1B0" w:rsidR="00B60939" w:rsidRPr="003D294A" w:rsidRDefault="00B60939" w:rsidP="00CF7B47">
      <w:pPr>
        <w:pStyle w:val="COMESSubsectionheading"/>
        <w:rPr>
          <w:iCs/>
        </w:rPr>
      </w:pPr>
      <w:bookmarkStart w:id="38" w:name="_Toc22897642"/>
      <w:bookmarkStart w:id="39" w:name="_Toc219888389"/>
      <w:r w:rsidRPr="003D294A">
        <w:t>Comparative harms</w:t>
      </w:r>
      <w:bookmarkEnd w:id="38"/>
      <w:bookmarkEnd w:id="39"/>
    </w:p>
    <w:p w14:paraId="4229C145" w14:textId="32538BB6" w:rsidR="00D01C83" w:rsidRPr="003D294A" w:rsidRDefault="00D01C83" w:rsidP="00CF7B47">
      <w:pPr>
        <w:pStyle w:val="COMESnumberedpara"/>
      </w:pPr>
      <w:r w:rsidRPr="003D294A">
        <w:t>All patients in the VALIANT trial received mandatory vaccination against Neisseria meningitidis, Streptococcus pneumoniae and Haemophilus influenzae type b.</w:t>
      </w:r>
    </w:p>
    <w:p w14:paraId="2DAF16D1" w14:textId="157784B6" w:rsidR="00B60939" w:rsidRPr="003D294A" w:rsidRDefault="00A62FAB" w:rsidP="00CF7B47">
      <w:pPr>
        <w:pStyle w:val="COMESnumberedpara"/>
      </w:pPr>
      <w:r w:rsidRPr="003D294A">
        <w:fldChar w:fldCharType="begin"/>
      </w:r>
      <w:r w:rsidRPr="003D294A">
        <w:instrText xml:space="preserve"> REF _Ref218870164 \h </w:instrText>
      </w:r>
      <w:r w:rsidR="0076264C" w:rsidRPr="003D294A">
        <w:instrText xml:space="preserve"> \* MERGEFORMAT </w:instrText>
      </w:r>
      <w:r w:rsidRPr="003D294A">
        <w:fldChar w:fldCharType="separate"/>
      </w:r>
      <w:r w:rsidR="00632853" w:rsidRPr="003D294A">
        <w:t xml:space="preserve">Table </w:t>
      </w:r>
      <w:r w:rsidR="00632853">
        <w:t>9</w:t>
      </w:r>
      <w:r w:rsidRPr="003D294A">
        <w:fldChar w:fldCharType="end"/>
      </w:r>
      <w:r w:rsidRPr="003D294A">
        <w:t xml:space="preserve"> </w:t>
      </w:r>
      <w:r w:rsidR="00D01C83" w:rsidRPr="003D294A">
        <w:t xml:space="preserve">presents a summary of adverse events during the randomised period of the VALIANT trial. </w:t>
      </w:r>
    </w:p>
    <w:p w14:paraId="310B2246" w14:textId="22FC25B4" w:rsidR="00B60939" w:rsidRPr="003D294A" w:rsidRDefault="00D6076E" w:rsidP="00CF7B47">
      <w:pPr>
        <w:pStyle w:val="COMTableFigurecaption"/>
      </w:pPr>
      <w:bookmarkStart w:id="40" w:name="_Ref218870164"/>
      <w:r w:rsidRPr="003D294A">
        <w:t xml:space="preserve">Table </w:t>
      </w:r>
      <w:fldSimple w:instr=" SEQ Table \* ARABIC ">
        <w:r w:rsidR="00632853">
          <w:rPr>
            <w:noProof/>
          </w:rPr>
          <w:t>9</w:t>
        </w:r>
      </w:fldSimple>
      <w:bookmarkEnd w:id="40"/>
      <w:r w:rsidRPr="003D294A">
        <w:t xml:space="preserve">: </w:t>
      </w:r>
      <w:r w:rsidR="005D26B4" w:rsidRPr="003D294A">
        <w:t>Summary of key adverse events in the trials</w:t>
      </w:r>
    </w:p>
    <w:tbl>
      <w:tblPr>
        <w:tblStyle w:val="TableGrid"/>
        <w:tblW w:w="0" w:type="auto"/>
        <w:tblCellMar>
          <w:left w:w="28" w:type="dxa"/>
          <w:right w:w="28" w:type="dxa"/>
        </w:tblCellMar>
        <w:tblLook w:val="04A0" w:firstRow="1" w:lastRow="0" w:firstColumn="1" w:lastColumn="0" w:noHBand="0" w:noVBand="1"/>
        <w:tblCaption w:val="Table 9: Summary of key adverse events in the trials"/>
      </w:tblPr>
      <w:tblGrid>
        <w:gridCol w:w="2977"/>
        <w:gridCol w:w="1510"/>
        <w:gridCol w:w="1510"/>
        <w:gridCol w:w="1510"/>
        <w:gridCol w:w="1510"/>
      </w:tblGrid>
      <w:tr w:rsidR="00D01C83" w:rsidRPr="003D294A" w14:paraId="54C28B44" w14:textId="77777777">
        <w:tc>
          <w:tcPr>
            <w:tcW w:w="2977" w:type="dxa"/>
            <w:vMerge w:val="restart"/>
          </w:tcPr>
          <w:p w14:paraId="2D5FAC46" w14:textId="77777777" w:rsidR="00D01C83" w:rsidRPr="003D294A" w:rsidRDefault="00D01C83" w:rsidP="00CF7B47">
            <w:pPr>
              <w:pStyle w:val="COMTableheadingrow"/>
            </w:pPr>
          </w:p>
        </w:tc>
        <w:tc>
          <w:tcPr>
            <w:tcW w:w="3020" w:type="dxa"/>
            <w:gridSpan w:val="2"/>
            <w:vAlign w:val="center"/>
          </w:tcPr>
          <w:p w14:paraId="4A60D31E" w14:textId="77777777" w:rsidR="00D01C83" w:rsidRPr="003D294A" w:rsidRDefault="00D01C83" w:rsidP="00CF7B47">
            <w:pPr>
              <w:pStyle w:val="COMTableheadingrow"/>
              <w:jc w:val="center"/>
            </w:pPr>
            <w:r w:rsidRPr="003D294A">
              <w:t>Pegcetacoplan N = 63</w:t>
            </w:r>
          </w:p>
        </w:tc>
        <w:tc>
          <w:tcPr>
            <w:tcW w:w="3020" w:type="dxa"/>
            <w:gridSpan w:val="2"/>
            <w:vAlign w:val="center"/>
          </w:tcPr>
          <w:p w14:paraId="7F900FFE" w14:textId="77777777" w:rsidR="00D01C83" w:rsidRPr="003D294A" w:rsidRDefault="00D01C83" w:rsidP="00CF7B47">
            <w:pPr>
              <w:pStyle w:val="COMTableheadingrow"/>
              <w:jc w:val="center"/>
            </w:pPr>
            <w:r w:rsidRPr="003D294A">
              <w:t>Placebo N = 61</w:t>
            </w:r>
          </w:p>
        </w:tc>
      </w:tr>
      <w:tr w:rsidR="00D01C83" w:rsidRPr="003D294A" w14:paraId="4CDB5221" w14:textId="77777777">
        <w:tc>
          <w:tcPr>
            <w:tcW w:w="2977" w:type="dxa"/>
            <w:vMerge/>
          </w:tcPr>
          <w:p w14:paraId="4665A39E" w14:textId="77777777" w:rsidR="00D01C83" w:rsidRPr="003D294A" w:rsidRDefault="00D01C83" w:rsidP="00CF7B47">
            <w:pPr>
              <w:pStyle w:val="COMTableheadingrow"/>
            </w:pPr>
          </w:p>
        </w:tc>
        <w:tc>
          <w:tcPr>
            <w:tcW w:w="1510" w:type="dxa"/>
            <w:vAlign w:val="center"/>
          </w:tcPr>
          <w:p w14:paraId="4442BE2A" w14:textId="77777777" w:rsidR="00D01C83" w:rsidRPr="003D294A" w:rsidRDefault="00D01C83" w:rsidP="00CF7B47">
            <w:pPr>
              <w:pStyle w:val="COMTableheadingrow"/>
              <w:jc w:val="center"/>
            </w:pPr>
            <w:r w:rsidRPr="003D294A">
              <w:t>Incidence, n (%)</w:t>
            </w:r>
          </w:p>
        </w:tc>
        <w:tc>
          <w:tcPr>
            <w:tcW w:w="1510" w:type="dxa"/>
          </w:tcPr>
          <w:p w14:paraId="4F861BF6" w14:textId="77777777" w:rsidR="00D01C83" w:rsidRPr="003D294A" w:rsidRDefault="00D01C83" w:rsidP="00CF7B47">
            <w:pPr>
              <w:pStyle w:val="COMTableheadingrow"/>
              <w:jc w:val="center"/>
            </w:pPr>
            <w:r w:rsidRPr="003D294A">
              <w:t>Events, n</w:t>
            </w:r>
          </w:p>
        </w:tc>
        <w:tc>
          <w:tcPr>
            <w:tcW w:w="1510" w:type="dxa"/>
            <w:vAlign w:val="center"/>
          </w:tcPr>
          <w:p w14:paraId="66EB89E0" w14:textId="77777777" w:rsidR="00D01C83" w:rsidRPr="003D294A" w:rsidRDefault="00D01C83" w:rsidP="00CF7B47">
            <w:pPr>
              <w:pStyle w:val="COMTableheadingrow"/>
              <w:jc w:val="center"/>
            </w:pPr>
            <w:r w:rsidRPr="003D294A">
              <w:t>Incidence, n (%)</w:t>
            </w:r>
          </w:p>
        </w:tc>
        <w:tc>
          <w:tcPr>
            <w:tcW w:w="1510" w:type="dxa"/>
          </w:tcPr>
          <w:p w14:paraId="75154A96" w14:textId="77777777" w:rsidR="00D01C83" w:rsidRPr="003D294A" w:rsidRDefault="00D01C83" w:rsidP="00CF7B47">
            <w:pPr>
              <w:pStyle w:val="COMTableheadingrow"/>
              <w:jc w:val="center"/>
            </w:pPr>
            <w:r w:rsidRPr="003D294A">
              <w:t xml:space="preserve">Events, n </w:t>
            </w:r>
          </w:p>
        </w:tc>
      </w:tr>
      <w:tr w:rsidR="00D01C83" w:rsidRPr="003D294A" w14:paraId="2F68712A" w14:textId="77777777">
        <w:tc>
          <w:tcPr>
            <w:tcW w:w="2977" w:type="dxa"/>
          </w:tcPr>
          <w:p w14:paraId="14EA9CB9" w14:textId="77777777" w:rsidR="00D01C83" w:rsidRPr="003D294A" w:rsidRDefault="00D01C83" w:rsidP="00CF7B47">
            <w:pPr>
              <w:pStyle w:val="COMTabletext"/>
            </w:pPr>
            <w:r w:rsidRPr="003D294A">
              <w:t>Any AE</w:t>
            </w:r>
          </w:p>
        </w:tc>
        <w:tc>
          <w:tcPr>
            <w:tcW w:w="1510" w:type="dxa"/>
            <w:vAlign w:val="center"/>
          </w:tcPr>
          <w:p w14:paraId="078B2BCB" w14:textId="77777777" w:rsidR="00D01C83" w:rsidRPr="003D294A" w:rsidRDefault="00D01C83" w:rsidP="00CF7B47">
            <w:pPr>
              <w:pStyle w:val="COMTabletext"/>
              <w:jc w:val="center"/>
            </w:pPr>
            <w:r w:rsidRPr="003D294A">
              <w:t>53 (84.1)</w:t>
            </w:r>
          </w:p>
        </w:tc>
        <w:tc>
          <w:tcPr>
            <w:tcW w:w="1510" w:type="dxa"/>
            <w:vAlign w:val="center"/>
          </w:tcPr>
          <w:p w14:paraId="011BC246" w14:textId="77777777" w:rsidR="00D01C83" w:rsidRPr="003D294A" w:rsidRDefault="00D01C83" w:rsidP="00CF7B47">
            <w:pPr>
              <w:pStyle w:val="COMTabletext"/>
              <w:jc w:val="center"/>
            </w:pPr>
            <w:r w:rsidRPr="003D294A">
              <w:t>390</w:t>
            </w:r>
          </w:p>
        </w:tc>
        <w:tc>
          <w:tcPr>
            <w:tcW w:w="1510" w:type="dxa"/>
            <w:vAlign w:val="center"/>
          </w:tcPr>
          <w:p w14:paraId="20F89B66" w14:textId="77777777" w:rsidR="00D01C83" w:rsidRPr="003D294A" w:rsidRDefault="00D01C83" w:rsidP="00CF7B47">
            <w:pPr>
              <w:pStyle w:val="COMTabletext"/>
              <w:jc w:val="center"/>
            </w:pPr>
            <w:r w:rsidRPr="003D294A">
              <w:t>57 (93.4)</w:t>
            </w:r>
          </w:p>
        </w:tc>
        <w:tc>
          <w:tcPr>
            <w:tcW w:w="1510" w:type="dxa"/>
            <w:vAlign w:val="center"/>
          </w:tcPr>
          <w:p w14:paraId="7C6E52B9" w14:textId="77777777" w:rsidR="00D01C83" w:rsidRPr="003D294A" w:rsidRDefault="00D01C83" w:rsidP="00CF7B47">
            <w:pPr>
              <w:pStyle w:val="COMTabletext"/>
              <w:jc w:val="center"/>
            </w:pPr>
            <w:r w:rsidRPr="003D294A">
              <w:t>380</w:t>
            </w:r>
          </w:p>
        </w:tc>
      </w:tr>
      <w:tr w:rsidR="00D01C83" w:rsidRPr="003D294A" w14:paraId="2999D31B" w14:textId="77777777">
        <w:tc>
          <w:tcPr>
            <w:tcW w:w="2977" w:type="dxa"/>
          </w:tcPr>
          <w:p w14:paraId="54CA3458" w14:textId="77777777" w:rsidR="00D01C83" w:rsidRPr="003D294A" w:rsidRDefault="00D01C83" w:rsidP="00CF7B47">
            <w:pPr>
              <w:pStyle w:val="COMTabletext"/>
            </w:pPr>
            <w:r w:rsidRPr="003D294A">
              <w:t>Treatment-related AE</w:t>
            </w:r>
          </w:p>
        </w:tc>
        <w:tc>
          <w:tcPr>
            <w:tcW w:w="1510" w:type="dxa"/>
            <w:vAlign w:val="center"/>
          </w:tcPr>
          <w:p w14:paraId="6C46F6DF" w14:textId="77777777" w:rsidR="00D01C83" w:rsidRPr="003D294A" w:rsidRDefault="00D01C83" w:rsidP="00CF7B47">
            <w:pPr>
              <w:pStyle w:val="COMTabletext"/>
              <w:jc w:val="center"/>
            </w:pPr>
            <w:r w:rsidRPr="003D294A">
              <w:t>25 (39.7)</w:t>
            </w:r>
          </w:p>
        </w:tc>
        <w:tc>
          <w:tcPr>
            <w:tcW w:w="1510" w:type="dxa"/>
            <w:vAlign w:val="center"/>
          </w:tcPr>
          <w:p w14:paraId="7979C038" w14:textId="77777777" w:rsidR="00D01C83" w:rsidRPr="003D294A" w:rsidRDefault="00D01C83" w:rsidP="00CF7B47">
            <w:pPr>
              <w:pStyle w:val="COMTabletext"/>
              <w:jc w:val="center"/>
            </w:pPr>
            <w:r w:rsidRPr="003D294A">
              <w:t>125</w:t>
            </w:r>
          </w:p>
        </w:tc>
        <w:tc>
          <w:tcPr>
            <w:tcW w:w="1510" w:type="dxa"/>
            <w:vAlign w:val="center"/>
          </w:tcPr>
          <w:p w14:paraId="4ED0243F" w14:textId="77777777" w:rsidR="00D01C83" w:rsidRPr="003D294A" w:rsidRDefault="00D01C83" w:rsidP="00CF7B47">
            <w:pPr>
              <w:pStyle w:val="COMTabletext"/>
              <w:jc w:val="center"/>
            </w:pPr>
            <w:r w:rsidRPr="003D294A">
              <w:t>26 (42.6)</w:t>
            </w:r>
          </w:p>
        </w:tc>
        <w:tc>
          <w:tcPr>
            <w:tcW w:w="1510" w:type="dxa"/>
            <w:vAlign w:val="center"/>
          </w:tcPr>
          <w:p w14:paraId="220B6120" w14:textId="77777777" w:rsidR="00D01C83" w:rsidRPr="003D294A" w:rsidRDefault="00D01C83" w:rsidP="00CF7B47">
            <w:pPr>
              <w:pStyle w:val="COMTabletext"/>
              <w:jc w:val="center"/>
            </w:pPr>
            <w:r w:rsidRPr="003D294A">
              <w:t>134</w:t>
            </w:r>
          </w:p>
        </w:tc>
      </w:tr>
      <w:tr w:rsidR="00D01C83" w:rsidRPr="003D294A" w14:paraId="3015B5F2" w14:textId="77777777">
        <w:tc>
          <w:tcPr>
            <w:tcW w:w="2977" w:type="dxa"/>
          </w:tcPr>
          <w:p w14:paraId="0D447B6B" w14:textId="77777777" w:rsidR="00D01C83" w:rsidRPr="003D294A" w:rsidRDefault="00D01C83" w:rsidP="00CF7B47">
            <w:pPr>
              <w:pStyle w:val="COMTabletext"/>
            </w:pPr>
            <w:r w:rsidRPr="003D294A">
              <w:t>Infusion-related AE</w:t>
            </w:r>
          </w:p>
        </w:tc>
        <w:tc>
          <w:tcPr>
            <w:tcW w:w="1510" w:type="dxa"/>
            <w:vAlign w:val="center"/>
          </w:tcPr>
          <w:p w14:paraId="173F6BB9" w14:textId="77777777" w:rsidR="00D01C83" w:rsidRPr="003D294A" w:rsidRDefault="00D01C83" w:rsidP="00CF7B47">
            <w:pPr>
              <w:pStyle w:val="COMTabletext"/>
              <w:jc w:val="center"/>
            </w:pPr>
            <w:r w:rsidRPr="003D294A">
              <w:t>21 (33.3)</w:t>
            </w:r>
          </w:p>
        </w:tc>
        <w:tc>
          <w:tcPr>
            <w:tcW w:w="1510" w:type="dxa"/>
            <w:vAlign w:val="center"/>
          </w:tcPr>
          <w:p w14:paraId="7714665B" w14:textId="77777777" w:rsidR="00D01C83" w:rsidRPr="003D294A" w:rsidRDefault="00D01C83" w:rsidP="00CF7B47">
            <w:pPr>
              <w:pStyle w:val="COMTabletext"/>
              <w:jc w:val="center"/>
            </w:pPr>
            <w:r w:rsidRPr="003D294A">
              <w:t>110</w:t>
            </w:r>
          </w:p>
        </w:tc>
        <w:tc>
          <w:tcPr>
            <w:tcW w:w="1510" w:type="dxa"/>
            <w:vAlign w:val="center"/>
          </w:tcPr>
          <w:p w14:paraId="64A79C34" w14:textId="77777777" w:rsidR="00D01C83" w:rsidRPr="003D294A" w:rsidRDefault="00D01C83" w:rsidP="00CF7B47">
            <w:pPr>
              <w:pStyle w:val="COMTabletext"/>
              <w:jc w:val="center"/>
            </w:pPr>
            <w:r w:rsidRPr="003D294A">
              <w:t>16 (26.2)</w:t>
            </w:r>
          </w:p>
        </w:tc>
        <w:tc>
          <w:tcPr>
            <w:tcW w:w="1510" w:type="dxa"/>
            <w:vAlign w:val="center"/>
          </w:tcPr>
          <w:p w14:paraId="0D206D81" w14:textId="77777777" w:rsidR="00D01C83" w:rsidRPr="003D294A" w:rsidRDefault="00D01C83" w:rsidP="00CF7B47">
            <w:pPr>
              <w:pStyle w:val="COMTabletext"/>
              <w:jc w:val="center"/>
            </w:pPr>
            <w:r w:rsidRPr="003D294A">
              <w:t>124</w:t>
            </w:r>
          </w:p>
        </w:tc>
      </w:tr>
      <w:tr w:rsidR="00D01C83" w:rsidRPr="003D294A" w14:paraId="4E83E437" w14:textId="77777777">
        <w:tc>
          <w:tcPr>
            <w:tcW w:w="2977" w:type="dxa"/>
          </w:tcPr>
          <w:p w14:paraId="4BF1D4B6" w14:textId="77777777" w:rsidR="00D01C83" w:rsidRPr="003D294A" w:rsidRDefault="00D01C83" w:rsidP="00CF7B47">
            <w:pPr>
              <w:pStyle w:val="COMTabletext"/>
            </w:pPr>
            <w:r w:rsidRPr="003D294A">
              <w:t>Serious AE</w:t>
            </w:r>
          </w:p>
        </w:tc>
        <w:tc>
          <w:tcPr>
            <w:tcW w:w="1510" w:type="dxa"/>
            <w:vAlign w:val="center"/>
          </w:tcPr>
          <w:p w14:paraId="177A351E" w14:textId="77777777" w:rsidR="00D01C83" w:rsidRPr="003D294A" w:rsidRDefault="00D01C83" w:rsidP="00CF7B47">
            <w:pPr>
              <w:pStyle w:val="COMTabletext"/>
              <w:jc w:val="center"/>
            </w:pPr>
            <w:r w:rsidRPr="003D294A">
              <w:t>6 (9.5)</w:t>
            </w:r>
          </w:p>
        </w:tc>
        <w:tc>
          <w:tcPr>
            <w:tcW w:w="1510" w:type="dxa"/>
            <w:vAlign w:val="center"/>
          </w:tcPr>
          <w:p w14:paraId="4654820F" w14:textId="77777777" w:rsidR="00D01C83" w:rsidRPr="003D294A" w:rsidRDefault="00D01C83" w:rsidP="00CF7B47">
            <w:pPr>
              <w:pStyle w:val="COMTabletext"/>
              <w:jc w:val="center"/>
            </w:pPr>
            <w:r w:rsidRPr="003D294A">
              <w:t>9</w:t>
            </w:r>
          </w:p>
        </w:tc>
        <w:tc>
          <w:tcPr>
            <w:tcW w:w="1510" w:type="dxa"/>
            <w:vAlign w:val="center"/>
          </w:tcPr>
          <w:p w14:paraId="330E6233" w14:textId="77777777" w:rsidR="00D01C83" w:rsidRPr="003D294A" w:rsidRDefault="00D01C83" w:rsidP="00CF7B47">
            <w:pPr>
              <w:pStyle w:val="COMTabletext"/>
              <w:jc w:val="center"/>
            </w:pPr>
            <w:r w:rsidRPr="003D294A">
              <w:t>6 (9.8)</w:t>
            </w:r>
          </w:p>
        </w:tc>
        <w:tc>
          <w:tcPr>
            <w:tcW w:w="1510" w:type="dxa"/>
            <w:vAlign w:val="center"/>
          </w:tcPr>
          <w:p w14:paraId="49DA15D2" w14:textId="77777777" w:rsidR="00D01C83" w:rsidRPr="003D294A" w:rsidRDefault="00D01C83" w:rsidP="00CF7B47">
            <w:pPr>
              <w:pStyle w:val="COMTabletext"/>
              <w:jc w:val="center"/>
            </w:pPr>
            <w:r w:rsidRPr="003D294A">
              <w:t>10</w:t>
            </w:r>
          </w:p>
        </w:tc>
      </w:tr>
      <w:tr w:rsidR="00D01C83" w:rsidRPr="003D294A" w14:paraId="7B4437BA" w14:textId="77777777">
        <w:tc>
          <w:tcPr>
            <w:tcW w:w="2977" w:type="dxa"/>
          </w:tcPr>
          <w:p w14:paraId="34D70466" w14:textId="77777777" w:rsidR="00D01C83" w:rsidRPr="003D294A" w:rsidRDefault="00D01C83" w:rsidP="00CF7B47">
            <w:pPr>
              <w:pStyle w:val="COMTabletext"/>
            </w:pPr>
            <w:r w:rsidRPr="003D294A">
              <w:t>AE leading to treatment discontinuation</w:t>
            </w:r>
          </w:p>
        </w:tc>
        <w:tc>
          <w:tcPr>
            <w:tcW w:w="1510" w:type="dxa"/>
            <w:vAlign w:val="center"/>
          </w:tcPr>
          <w:p w14:paraId="37D07E8B" w14:textId="77777777" w:rsidR="00D01C83" w:rsidRPr="003D294A" w:rsidRDefault="00D01C83" w:rsidP="00CF7B47">
            <w:pPr>
              <w:pStyle w:val="COMTabletext"/>
              <w:jc w:val="center"/>
            </w:pPr>
            <w:r w:rsidRPr="003D294A">
              <w:t>2 (3.2)</w:t>
            </w:r>
          </w:p>
        </w:tc>
        <w:tc>
          <w:tcPr>
            <w:tcW w:w="1510" w:type="dxa"/>
            <w:vAlign w:val="center"/>
          </w:tcPr>
          <w:p w14:paraId="54936AE5" w14:textId="77777777" w:rsidR="00D01C83" w:rsidRPr="003D294A" w:rsidRDefault="00D01C83" w:rsidP="00CF7B47">
            <w:pPr>
              <w:pStyle w:val="COMTabletext"/>
              <w:jc w:val="center"/>
            </w:pPr>
            <w:r w:rsidRPr="003D294A">
              <w:t>2</w:t>
            </w:r>
          </w:p>
        </w:tc>
        <w:tc>
          <w:tcPr>
            <w:tcW w:w="1510" w:type="dxa"/>
            <w:vAlign w:val="center"/>
          </w:tcPr>
          <w:p w14:paraId="3678A936" w14:textId="77777777" w:rsidR="00D01C83" w:rsidRPr="003D294A" w:rsidRDefault="00D01C83" w:rsidP="00CF7B47">
            <w:pPr>
              <w:pStyle w:val="COMTabletext"/>
              <w:jc w:val="center"/>
            </w:pPr>
            <w:r w:rsidRPr="003D294A">
              <w:t>2 (3.3)</w:t>
            </w:r>
          </w:p>
        </w:tc>
        <w:tc>
          <w:tcPr>
            <w:tcW w:w="1510" w:type="dxa"/>
            <w:vAlign w:val="center"/>
          </w:tcPr>
          <w:p w14:paraId="4E00442C" w14:textId="77777777" w:rsidR="00D01C83" w:rsidRPr="003D294A" w:rsidRDefault="00D01C83" w:rsidP="00CF7B47">
            <w:pPr>
              <w:pStyle w:val="COMTabletext"/>
              <w:jc w:val="center"/>
            </w:pPr>
            <w:r w:rsidRPr="003D294A">
              <w:t>2</w:t>
            </w:r>
          </w:p>
        </w:tc>
      </w:tr>
      <w:tr w:rsidR="00D01C83" w:rsidRPr="003D294A" w14:paraId="0C466293" w14:textId="77777777">
        <w:tc>
          <w:tcPr>
            <w:tcW w:w="2977" w:type="dxa"/>
          </w:tcPr>
          <w:p w14:paraId="031AE26B" w14:textId="77777777" w:rsidR="00D01C83" w:rsidRPr="003D294A" w:rsidRDefault="00D01C83" w:rsidP="00CF7B47">
            <w:pPr>
              <w:pStyle w:val="COMTabletext"/>
            </w:pPr>
            <w:r w:rsidRPr="003D294A">
              <w:t>AE leading to dose interruption</w:t>
            </w:r>
          </w:p>
        </w:tc>
        <w:tc>
          <w:tcPr>
            <w:tcW w:w="1510" w:type="dxa"/>
            <w:vAlign w:val="center"/>
          </w:tcPr>
          <w:p w14:paraId="396CE27C" w14:textId="77777777" w:rsidR="00D01C83" w:rsidRPr="003D294A" w:rsidRDefault="00D01C83" w:rsidP="00CF7B47">
            <w:pPr>
              <w:pStyle w:val="COMTabletext"/>
              <w:jc w:val="center"/>
            </w:pPr>
            <w:r w:rsidRPr="003D294A">
              <w:t>7 (11.1)</w:t>
            </w:r>
          </w:p>
        </w:tc>
        <w:tc>
          <w:tcPr>
            <w:tcW w:w="1510" w:type="dxa"/>
            <w:vAlign w:val="center"/>
          </w:tcPr>
          <w:p w14:paraId="2139910F" w14:textId="77777777" w:rsidR="00D01C83" w:rsidRPr="003D294A" w:rsidRDefault="00D01C83" w:rsidP="00CF7B47">
            <w:pPr>
              <w:pStyle w:val="COMTabletext"/>
              <w:jc w:val="center"/>
            </w:pPr>
            <w:r w:rsidRPr="003D294A">
              <w:t>13</w:t>
            </w:r>
          </w:p>
        </w:tc>
        <w:tc>
          <w:tcPr>
            <w:tcW w:w="1510" w:type="dxa"/>
            <w:vAlign w:val="center"/>
          </w:tcPr>
          <w:p w14:paraId="387EA70B" w14:textId="77777777" w:rsidR="00D01C83" w:rsidRPr="003D294A" w:rsidRDefault="00D01C83" w:rsidP="00CF7B47">
            <w:pPr>
              <w:pStyle w:val="COMTabletext"/>
              <w:jc w:val="center"/>
            </w:pPr>
            <w:r w:rsidRPr="003D294A">
              <w:t>12 (19.7)</w:t>
            </w:r>
          </w:p>
        </w:tc>
        <w:tc>
          <w:tcPr>
            <w:tcW w:w="1510" w:type="dxa"/>
            <w:vAlign w:val="center"/>
          </w:tcPr>
          <w:p w14:paraId="6DDB2C7B" w14:textId="77777777" w:rsidR="00D01C83" w:rsidRPr="003D294A" w:rsidRDefault="00D01C83" w:rsidP="00CF7B47">
            <w:pPr>
              <w:pStyle w:val="COMTabletext"/>
              <w:jc w:val="center"/>
            </w:pPr>
            <w:r w:rsidRPr="003D294A">
              <w:t>29</w:t>
            </w:r>
          </w:p>
        </w:tc>
      </w:tr>
      <w:tr w:rsidR="00D01C83" w:rsidRPr="003D294A" w14:paraId="61EC93B3" w14:textId="77777777">
        <w:tc>
          <w:tcPr>
            <w:tcW w:w="2977" w:type="dxa"/>
          </w:tcPr>
          <w:p w14:paraId="0340467F" w14:textId="77777777" w:rsidR="00D01C83" w:rsidRPr="003D294A" w:rsidRDefault="00D01C83" w:rsidP="00CF7B47">
            <w:pPr>
              <w:pStyle w:val="COMTabletext"/>
            </w:pPr>
            <w:r w:rsidRPr="003D294A">
              <w:t>AE leading to study discontinuation</w:t>
            </w:r>
          </w:p>
        </w:tc>
        <w:tc>
          <w:tcPr>
            <w:tcW w:w="1510" w:type="dxa"/>
            <w:vAlign w:val="center"/>
          </w:tcPr>
          <w:p w14:paraId="53DD263D" w14:textId="77777777" w:rsidR="00D01C83" w:rsidRPr="003D294A" w:rsidRDefault="00D01C83" w:rsidP="00CF7B47">
            <w:pPr>
              <w:pStyle w:val="COMTabletext"/>
              <w:jc w:val="center"/>
            </w:pPr>
            <w:r w:rsidRPr="003D294A">
              <w:t>1 (1.6)</w:t>
            </w:r>
          </w:p>
        </w:tc>
        <w:tc>
          <w:tcPr>
            <w:tcW w:w="1510" w:type="dxa"/>
            <w:vAlign w:val="center"/>
          </w:tcPr>
          <w:p w14:paraId="6610E387" w14:textId="77777777" w:rsidR="00D01C83" w:rsidRPr="003D294A" w:rsidRDefault="00D01C83" w:rsidP="00CF7B47">
            <w:pPr>
              <w:pStyle w:val="COMTabletext"/>
              <w:jc w:val="center"/>
            </w:pPr>
            <w:r w:rsidRPr="003D294A">
              <w:t>1</w:t>
            </w:r>
          </w:p>
        </w:tc>
        <w:tc>
          <w:tcPr>
            <w:tcW w:w="1510" w:type="dxa"/>
            <w:vAlign w:val="center"/>
          </w:tcPr>
          <w:p w14:paraId="30F59C11" w14:textId="77777777" w:rsidR="00D01C83" w:rsidRPr="003D294A" w:rsidRDefault="00D01C83" w:rsidP="00CF7B47">
            <w:pPr>
              <w:pStyle w:val="COMTabletext"/>
              <w:jc w:val="center"/>
            </w:pPr>
            <w:r w:rsidRPr="003D294A">
              <w:t>1 (1.6)</w:t>
            </w:r>
          </w:p>
        </w:tc>
        <w:tc>
          <w:tcPr>
            <w:tcW w:w="1510" w:type="dxa"/>
            <w:vAlign w:val="center"/>
          </w:tcPr>
          <w:p w14:paraId="597112D6" w14:textId="77777777" w:rsidR="00D01C83" w:rsidRPr="003D294A" w:rsidRDefault="00D01C83" w:rsidP="00CF7B47">
            <w:pPr>
              <w:pStyle w:val="COMTabletext"/>
              <w:jc w:val="center"/>
            </w:pPr>
            <w:r w:rsidRPr="003D294A">
              <w:t>1</w:t>
            </w:r>
          </w:p>
        </w:tc>
      </w:tr>
      <w:tr w:rsidR="00D01C83" w:rsidRPr="003D294A" w14:paraId="747251E3" w14:textId="77777777">
        <w:tc>
          <w:tcPr>
            <w:tcW w:w="2977" w:type="dxa"/>
          </w:tcPr>
          <w:p w14:paraId="4BEB32D0" w14:textId="77777777" w:rsidR="00D01C83" w:rsidRPr="003D294A" w:rsidRDefault="00D01C83" w:rsidP="00CF7B47">
            <w:pPr>
              <w:pStyle w:val="COMTabletext"/>
            </w:pPr>
            <w:r w:rsidRPr="003D294A">
              <w:t>Fatal AE</w:t>
            </w:r>
          </w:p>
        </w:tc>
        <w:tc>
          <w:tcPr>
            <w:tcW w:w="1510" w:type="dxa"/>
            <w:vAlign w:val="center"/>
          </w:tcPr>
          <w:p w14:paraId="190927E9" w14:textId="77777777" w:rsidR="00D01C83" w:rsidRPr="003D294A" w:rsidRDefault="00D01C83" w:rsidP="00CF7B47">
            <w:pPr>
              <w:pStyle w:val="COMTabletext"/>
              <w:jc w:val="center"/>
            </w:pPr>
            <w:r w:rsidRPr="003D294A">
              <w:t>1 (1.6)</w:t>
            </w:r>
          </w:p>
        </w:tc>
        <w:tc>
          <w:tcPr>
            <w:tcW w:w="1510" w:type="dxa"/>
            <w:vAlign w:val="center"/>
          </w:tcPr>
          <w:p w14:paraId="0F4CE107" w14:textId="77777777" w:rsidR="00D01C83" w:rsidRPr="003D294A" w:rsidRDefault="00D01C83" w:rsidP="00CF7B47">
            <w:pPr>
              <w:pStyle w:val="COMTabletext"/>
              <w:jc w:val="center"/>
            </w:pPr>
            <w:r w:rsidRPr="003D294A">
              <w:t>1</w:t>
            </w:r>
          </w:p>
        </w:tc>
        <w:tc>
          <w:tcPr>
            <w:tcW w:w="1510" w:type="dxa"/>
            <w:vAlign w:val="center"/>
          </w:tcPr>
          <w:p w14:paraId="136172AF" w14:textId="77777777" w:rsidR="00D01C83" w:rsidRPr="003D294A" w:rsidRDefault="00D01C83" w:rsidP="00CF7B47">
            <w:pPr>
              <w:pStyle w:val="COMTabletext"/>
              <w:jc w:val="center"/>
            </w:pPr>
            <w:r w:rsidRPr="003D294A">
              <w:t>0</w:t>
            </w:r>
          </w:p>
        </w:tc>
        <w:tc>
          <w:tcPr>
            <w:tcW w:w="1510" w:type="dxa"/>
            <w:vAlign w:val="center"/>
          </w:tcPr>
          <w:p w14:paraId="1C794C56" w14:textId="77777777" w:rsidR="00D01C83" w:rsidRPr="003D294A" w:rsidRDefault="00D01C83" w:rsidP="00CF7B47">
            <w:pPr>
              <w:pStyle w:val="COMTabletext"/>
              <w:jc w:val="center"/>
            </w:pPr>
            <w:r w:rsidRPr="003D294A">
              <w:t>0</w:t>
            </w:r>
          </w:p>
        </w:tc>
      </w:tr>
      <w:tr w:rsidR="00D01C83" w:rsidRPr="003D294A" w14:paraId="5CC16B34" w14:textId="77777777">
        <w:tc>
          <w:tcPr>
            <w:tcW w:w="2977" w:type="dxa"/>
          </w:tcPr>
          <w:p w14:paraId="60BC58B7" w14:textId="77777777" w:rsidR="00D01C83" w:rsidRPr="003D294A" w:rsidRDefault="00D01C83" w:rsidP="00CF7B47">
            <w:pPr>
              <w:pStyle w:val="COMTabletext"/>
            </w:pPr>
            <w:r w:rsidRPr="003D294A">
              <w:t>Rejection episodes</w:t>
            </w:r>
          </w:p>
        </w:tc>
        <w:tc>
          <w:tcPr>
            <w:tcW w:w="1510" w:type="dxa"/>
            <w:vAlign w:val="center"/>
          </w:tcPr>
          <w:p w14:paraId="34A44A02" w14:textId="77777777" w:rsidR="00D01C83" w:rsidRPr="003D294A" w:rsidRDefault="00D01C83" w:rsidP="00CF7B47">
            <w:pPr>
              <w:pStyle w:val="COMTabletext"/>
              <w:jc w:val="center"/>
            </w:pPr>
            <w:r w:rsidRPr="003D294A">
              <w:t>0</w:t>
            </w:r>
          </w:p>
        </w:tc>
        <w:tc>
          <w:tcPr>
            <w:tcW w:w="1510" w:type="dxa"/>
            <w:vAlign w:val="center"/>
          </w:tcPr>
          <w:p w14:paraId="1DB80D4A" w14:textId="77777777" w:rsidR="00D01C83" w:rsidRPr="003D294A" w:rsidRDefault="00D01C83" w:rsidP="00CF7B47">
            <w:pPr>
              <w:pStyle w:val="COMTabletext"/>
              <w:jc w:val="center"/>
            </w:pPr>
            <w:r w:rsidRPr="003D294A">
              <w:t>0</w:t>
            </w:r>
          </w:p>
        </w:tc>
        <w:tc>
          <w:tcPr>
            <w:tcW w:w="1510" w:type="dxa"/>
            <w:vAlign w:val="center"/>
          </w:tcPr>
          <w:p w14:paraId="38E28C33" w14:textId="77777777" w:rsidR="00D01C83" w:rsidRPr="003D294A" w:rsidRDefault="00D01C83" w:rsidP="00CF7B47">
            <w:pPr>
              <w:pStyle w:val="COMTabletext"/>
              <w:jc w:val="center"/>
            </w:pPr>
            <w:r w:rsidRPr="003D294A">
              <w:t>0</w:t>
            </w:r>
          </w:p>
        </w:tc>
        <w:tc>
          <w:tcPr>
            <w:tcW w:w="1510" w:type="dxa"/>
            <w:vAlign w:val="center"/>
          </w:tcPr>
          <w:p w14:paraId="662962D5" w14:textId="77777777" w:rsidR="00D01C83" w:rsidRPr="003D294A" w:rsidRDefault="00D01C83" w:rsidP="00CF7B47">
            <w:pPr>
              <w:pStyle w:val="COMTabletext"/>
              <w:jc w:val="center"/>
            </w:pPr>
            <w:r w:rsidRPr="003D294A">
              <w:t>0</w:t>
            </w:r>
          </w:p>
        </w:tc>
      </w:tr>
      <w:tr w:rsidR="00D01C83" w:rsidRPr="003D294A" w14:paraId="09DA53C1" w14:textId="77777777">
        <w:tc>
          <w:tcPr>
            <w:tcW w:w="2977" w:type="dxa"/>
          </w:tcPr>
          <w:p w14:paraId="033AA454" w14:textId="77777777" w:rsidR="00D01C83" w:rsidRPr="003D294A" w:rsidRDefault="00D01C83" w:rsidP="00CF7B47">
            <w:pPr>
              <w:pStyle w:val="COMTabletext"/>
            </w:pPr>
            <w:r w:rsidRPr="003D294A">
              <w:t>Graft loss</w:t>
            </w:r>
          </w:p>
        </w:tc>
        <w:tc>
          <w:tcPr>
            <w:tcW w:w="1510" w:type="dxa"/>
            <w:vAlign w:val="center"/>
          </w:tcPr>
          <w:p w14:paraId="7BBED658" w14:textId="77777777" w:rsidR="00D01C83" w:rsidRPr="003D294A" w:rsidRDefault="00D01C83" w:rsidP="00CF7B47">
            <w:pPr>
              <w:pStyle w:val="COMTabletext"/>
              <w:jc w:val="center"/>
            </w:pPr>
            <w:r w:rsidRPr="003D294A">
              <w:t>0</w:t>
            </w:r>
          </w:p>
        </w:tc>
        <w:tc>
          <w:tcPr>
            <w:tcW w:w="1510" w:type="dxa"/>
            <w:vAlign w:val="center"/>
          </w:tcPr>
          <w:p w14:paraId="6331F823" w14:textId="77777777" w:rsidR="00D01C83" w:rsidRPr="003D294A" w:rsidRDefault="00D01C83" w:rsidP="00CF7B47">
            <w:pPr>
              <w:pStyle w:val="COMTabletext"/>
              <w:jc w:val="center"/>
            </w:pPr>
            <w:r w:rsidRPr="003D294A">
              <w:t>0</w:t>
            </w:r>
          </w:p>
        </w:tc>
        <w:tc>
          <w:tcPr>
            <w:tcW w:w="1510" w:type="dxa"/>
            <w:vAlign w:val="center"/>
          </w:tcPr>
          <w:p w14:paraId="0F094589" w14:textId="77777777" w:rsidR="00D01C83" w:rsidRPr="003D294A" w:rsidRDefault="00D01C83" w:rsidP="00CF7B47">
            <w:pPr>
              <w:pStyle w:val="COMTabletext"/>
              <w:jc w:val="center"/>
            </w:pPr>
            <w:r w:rsidRPr="003D294A">
              <w:t>0</w:t>
            </w:r>
          </w:p>
        </w:tc>
        <w:tc>
          <w:tcPr>
            <w:tcW w:w="1510" w:type="dxa"/>
            <w:vAlign w:val="center"/>
          </w:tcPr>
          <w:p w14:paraId="71BD650B" w14:textId="77777777" w:rsidR="00D01C83" w:rsidRPr="003D294A" w:rsidRDefault="00D01C83" w:rsidP="00CF7B47">
            <w:pPr>
              <w:pStyle w:val="COMTabletext"/>
              <w:jc w:val="center"/>
            </w:pPr>
            <w:r w:rsidRPr="003D294A">
              <w:t>0</w:t>
            </w:r>
          </w:p>
        </w:tc>
      </w:tr>
      <w:tr w:rsidR="00D01C83" w:rsidRPr="003D294A" w14:paraId="020C83D2" w14:textId="77777777">
        <w:tc>
          <w:tcPr>
            <w:tcW w:w="9017" w:type="dxa"/>
            <w:gridSpan w:val="5"/>
          </w:tcPr>
          <w:p w14:paraId="17CBD73A" w14:textId="77777777" w:rsidR="00D01C83" w:rsidRPr="003D294A" w:rsidRDefault="00D01C83" w:rsidP="00CF7B47">
            <w:pPr>
              <w:pStyle w:val="COMTableheadingrow"/>
            </w:pPr>
            <w:r w:rsidRPr="003D294A">
              <w:t>AE of special interest</w:t>
            </w:r>
          </w:p>
        </w:tc>
      </w:tr>
      <w:tr w:rsidR="00D01C83" w:rsidRPr="003D294A" w14:paraId="368C33F9" w14:textId="77777777">
        <w:tc>
          <w:tcPr>
            <w:tcW w:w="2977" w:type="dxa"/>
          </w:tcPr>
          <w:p w14:paraId="3529C829" w14:textId="77777777" w:rsidR="00D01C83" w:rsidRPr="003D294A" w:rsidRDefault="00D01C83" w:rsidP="00CF7B47">
            <w:pPr>
              <w:pStyle w:val="COMTabletext"/>
            </w:pPr>
            <w:r w:rsidRPr="003D294A">
              <w:t>Thrombocytopaenia</w:t>
            </w:r>
          </w:p>
        </w:tc>
        <w:tc>
          <w:tcPr>
            <w:tcW w:w="1510" w:type="dxa"/>
            <w:vAlign w:val="center"/>
          </w:tcPr>
          <w:p w14:paraId="1EF0A191" w14:textId="77777777" w:rsidR="00D01C83" w:rsidRPr="003D294A" w:rsidRDefault="00D01C83" w:rsidP="00CF7B47">
            <w:pPr>
              <w:pStyle w:val="COMTabletext"/>
              <w:jc w:val="center"/>
            </w:pPr>
            <w:r w:rsidRPr="003D294A">
              <w:t>0</w:t>
            </w:r>
          </w:p>
        </w:tc>
        <w:tc>
          <w:tcPr>
            <w:tcW w:w="1510" w:type="dxa"/>
            <w:vAlign w:val="center"/>
          </w:tcPr>
          <w:p w14:paraId="10730BE6" w14:textId="77777777" w:rsidR="00D01C83" w:rsidRPr="003D294A" w:rsidRDefault="00D01C83" w:rsidP="00CF7B47">
            <w:pPr>
              <w:pStyle w:val="COMTabletext"/>
              <w:jc w:val="center"/>
            </w:pPr>
            <w:r w:rsidRPr="003D294A">
              <w:t>NR</w:t>
            </w:r>
          </w:p>
        </w:tc>
        <w:tc>
          <w:tcPr>
            <w:tcW w:w="1510" w:type="dxa"/>
            <w:vAlign w:val="center"/>
          </w:tcPr>
          <w:p w14:paraId="289C3053" w14:textId="77777777" w:rsidR="00D01C83" w:rsidRPr="003D294A" w:rsidRDefault="00D01C83" w:rsidP="00CF7B47">
            <w:pPr>
              <w:pStyle w:val="COMTabletext"/>
              <w:jc w:val="center"/>
            </w:pPr>
            <w:r w:rsidRPr="003D294A">
              <w:t>1 (1.6)</w:t>
            </w:r>
          </w:p>
        </w:tc>
        <w:tc>
          <w:tcPr>
            <w:tcW w:w="1510" w:type="dxa"/>
            <w:vAlign w:val="center"/>
          </w:tcPr>
          <w:p w14:paraId="0AF6BBB8" w14:textId="77777777" w:rsidR="00D01C83" w:rsidRPr="003D294A" w:rsidRDefault="00D01C83" w:rsidP="00CF7B47">
            <w:pPr>
              <w:pStyle w:val="COMTabletext"/>
              <w:jc w:val="center"/>
            </w:pPr>
            <w:r w:rsidRPr="003D294A">
              <w:t>NR</w:t>
            </w:r>
          </w:p>
        </w:tc>
      </w:tr>
      <w:tr w:rsidR="00D01C83" w:rsidRPr="003D294A" w14:paraId="4EFE3A58" w14:textId="77777777">
        <w:tc>
          <w:tcPr>
            <w:tcW w:w="2977" w:type="dxa"/>
          </w:tcPr>
          <w:p w14:paraId="3BB29ECA" w14:textId="77777777" w:rsidR="00D01C83" w:rsidRPr="003D294A" w:rsidRDefault="00D01C83" w:rsidP="00CF7B47">
            <w:pPr>
              <w:pStyle w:val="COMTabletext"/>
            </w:pPr>
            <w:r w:rsidRPr="003D294A">
              <w:t>Severe infection</w:t>
            </w:r>
          </w:p>
        </w:tc>
        <w:tc>
          <w:tcPr>
            <w:tcW w:w="1510" w:type="dxa"/>
            <w:vAlign w:val="center"/>
          </w:tcPr>
          <w:p w14:paraId="4E828239" w14:textId="77777777" w:rsidR="00D01C83" w:rsidRPr="003D294A" w:rsidRDefault="00D01C83" w:rsidP="00CF7B47">
            <w:pPr>
              <w:pStyle w:val="COMTabletext"/>
              <w:jc w:val="center"/>
            </w:pPr>
            <w:r w:rsidRPr="003D294A">
              <w:t>2 (3.2)</w:t>
            </w:r>
          </w:p>
        </w:tc>
        <w:tc>
          <w:tcPr>
            <w:tcW w:w="1510" w:type="dxa"/>
            <w:vAlign w:val="center"/>
          </w:tcPr>
          <w:p w14:paraId="7FCAB28C" w14:textId="77777777" w:rsidR="00D01C83" w:rsidRPr="003D294A" w:rsidRDefault="00D01C83" w:rsidP="00CF7B47">
            <w:pPr>
              <w:pStyle w:val="COMTabletext"/>
              <w:jc w:val="center"/>
            </w:pPr>
            <w:r w:rsidRPr="003D294A">
              <w:t>NR</w:t>
            </w:r>
          </w:p>
        </w:tc>
        <w:tc>
          <w:tcPr>
            <w:tcW w:w="1510" w:type="dxa"/>
            <w:vAlign w:val="center"/>
          </w:tcPr>
          <w:p w14:paraId="1E30B001" w14:textId="77777777" w:rsidR="00D01C83" w:rsidRPr="003D294A" w:rsidRDefault="00D01C83" w:rsidP="00CF7B47">
            <w:pPr>
              <w:pStyle w:val="COMTabletext"/>
              <w:jc w:val="center"/>
            </w:pPr>
            <w:r w:rsidRPr="003D294A">
              <w:t>0</w:t>
            </w:r>
          </w:p>
        </w:tc>
        <w:tc>
          <w:tcPr>
            <w:tcW w:w="1510" w:type="dxa"/>
            <w:vAlign w:val="center"/>
          </w:tcPr>
          <w:p w14:paraId="4CDCD5AD" w14:textId="77777777" w:rsidR="00D01C83" w:rsidRPr="003D294A" w:rsidRDefault="00D01C83" w:rsidP="00CF7B47">
            <w:pPr>
              <w:pStyle w:val="COMTabletext"/>
              <w:jc w:val="center"/>
            </w:pPr>
            <w:r w:rsidRPr="003D294A">
              <w:t>NR</w:t>
            </w:r>
          </w:p>
        </w:tc>
      </w:tr>
      <w:tr w:rsidR="00D01C83" w:rsidRPr="003D294A" w14:paraId="7882CEE4" w14:textId="77777777">
        <w:tc>
          <w:tcPr>
            <w:tcW w:w="2977" w:type="dxa"/>
          </w:tcPr>
          <w:p w14:paraId="0A111C69" w14:textId="77777777" w:rsidR="00D01C83" w:rsidRPr="003D294A" w:rsidRDefault="00D01C83" w:rsidP="00CF7B47">
            <w:pPr>
              <w:pStyle w:val="COMTabletext"/>
            </w:pPr>
            <w:r w:rsidRPr="003D294A">
              <w:t>Hypersensitivity</w:t>
            </w:r>
          </w:p>
        </w:tc>
        <w:tc>
          <w:tcPr>
            <w:tcW w:w="1510" w:type="dxa"/>
            <w:vAlign w:val="center"/>
          </w:tcPr>
          <w:p w14:paraId="4D7BA4D6" w14:textId="77777777" w:rsidR="00D01C83" w:rsidRPr="003D294A" w:rsidRDefault="00D01C83" w:rsidP="00CF7B47">
            <w:pPr>
              <w:pStyle w:val="COMTabletext"/>
              <w:jc w:val="center"/>
            </w:pPr>
            <w:r w:rsidRPr="003D294A">
              <w:t>8 (12.7)</w:t>
            </w:r>
          </w:p>
        </w:tc>
        <w:tc>
          <w:tcPr>
            <w:tcW w:w="1510" w:type="dxa"/>
            <w:vAlign w:val="center"/>
          </w:tcPr>
          <w:p w14:paraId="1B6F8487" w14:textId="77777777" w:rsidR="00D01C83" w:rsidRPr="003D294A" w:rsidRDefault="00D01C83" w:rsidP="00CF7B47">
            <w:pPr>
              <w:pStyle w:val="COMTabletext"/>
              <w:jc w:val="center"/>
            </w:pPr>
            <w:r w:rsidRPr="003D294A">
              <w:t>NR</w:t>
            </w:r>
          </w:p>
        </w:tc>
        <w:tc>
          <w:tcPr>
            <w:tcW w:w="1510" w:type="dxa"/>
            <w:vAlign w:val="center"/>
          </w:tcPr>
          <w:p w14:paraId="203C0044" w14:textId="77777777" w:rsidR="00D01C83" w:rsidRPr="003D294A" w:rsidRDefault="00D01C83" w:rsidP="00CF7B47">
            <w:pPr>
              <w:pStyle w:val="COMTabletext"/>
              <w:jc w:val="center"/>
            </w:pPr>
            <w:r w:rsidRPr="003D294A">
              <w:t>5 (8.2)</w:t>
            </w:r>
          </w:p>
        </w:tc>
        <w:tc>
          <w:tcPr>
            <w:tcW w:w="1510" w:type="dxa"/>
            <w:vAlign w:val="center"/>
          </w:tcPr>
          <w:p w14:paraId="38E306A6" w14:textId="77777777" w:rsidR="00D01C83" w:rsidRPr="003D294A" w:rsidRDefault="00D01C83" w:rsidP="00CF7B47">
            <w:pPr>
              <w:pStyle w:val="COMTabletext"/>
              <w:jc w:val="center"/>
            </w:pPr>
            <w:r w:rsidRPr="003D294A">
              <w:t>NR</w:t>
            </w:r>
          </w:p>
        </w:tc>
      </w:tr>
      <w:tr w:rsidR="00D01C83" w:rsidRPr="003D294A" w14:paraId="64C2A753" w14:textId="77777777">
        <w:tc>
          <w:tcPr>
            <w:tcW w:w="2977" w:type="dxa"/>
          </w:tcPr>
          <w:p w14:paraId="4D47F0B2" w14:textId="77777777" w:rsidR="00D01C83" w:rsidRPr="003D294A" w:rsidRDefault="00D01C83" w:rsidP="00CF7B47">
            <w:pPr>
              <w:pStyle w:val="COMTabletext"/>
            </w:pPr>
            <w:r w:rsidRPr="003D294A">
              <w:t>Severe acute kidney injury</w:t>
            </w:r>
          </w:p>
        </w:tc>
        <w:tc>
          <w:tcPr>
            <w:tcW w:w="1510" w:type="dxa"/>
            <w:vAlign w:val="center"/>
          </w:tcPr>
          <w:p w14:paraId="5BE9BDD8" w14:textId="77777777" w:rsidR="00D01C83" w:rsidRPr="003D294A" w:rsidRDefault="00D01C83" w:rsidP="00CF7B47">
            <w:pPr>
              <w:pStyle w:val="COMTabletext"/>
              <w:jc w:val="center"/>
            </w:pPr>
            <w:r w:rsidRPr="003D294A">
              <w:t>1 (1.6)</w:t>
            </w:r>
          </w:p>
        </w:tc>
        <w:tc>
          <w:tcPr>
            <w:tcW w:w="1510" w:type="dxa"/>
            <w:vAlign w:val="center"/>
          </w:tcPr>
          <w:p w14:paraId="3124F7DD" w14:textId="77777777" w:rsidR="00D01C83" w:rsidRPr="003D294A" w:rsidRDefault="00D01C83" w:rsidP="00CF7B47">
            <w:pPr>
              <w:pStyle w:val="COMTabletext"/>
              <w:jc w:val="center"/>
            </w:pPr>
            <w:r w:rsidRPr="003D294A">
              <w:t>NR</w:t>
            </w:r>
          </w:p>
        </w:tc>
        <w:tc>
          <w:tcPr>
            <w:tcW w:w="1510" w:type="dxa"/>
            <w:vAlign w:val="center"/>
          </w:tcPr>
          <w:p w14:paraId="72459E71" w14:textId="77777777" w:rsidR="00D01C83" w:rsidRPr="003D294A" w:rsidRDefault="00D01C83" w:rsidP="00CF7B47">
            <w:pPr>
              <w:pStyle w:val="COMTabletext"/>
              <w:jc w:val="center"/>
            </w:pPr>
            <w:r w:rsidRPr="003D294A">
              <w:t>1 (1.6)</w:t>
            </w:r>
          </w:p>
        </w:tc>
        <w:tc>
          <w:tcPr>
            <w:tcW w:w="1510" w:type="dxa"/>
            <w:vAlign w:val="center"/>
          </w:tcPr>
          <w:p w14:paraId="73DC47FD" w14:textId="77777777" w:rsidR="00D01C83" w:rsidRPr="003D294A" w:rsidRDefault="00D01C83" w:rsidP="00CF7B47">
            <w:pPr>
              <w:pStyle w:val="COMTabletext"/>
              <w:jc w:val="center"/>
            </w:pPr>
            <w:r w:rsidRPr="003D294A">
              <w:t>NR</w:t>
            </w:r>
          </w:p>
        </w:tc>
      </w:tr>
    </w:tbl>
    <w:p w14:paraId="1A9A0315" w14:textId="77777777" w:rsidR="00D01C83" w:rsidRPr="003D294A" w:rsidRDefault="00D01C83" w:rsidP="00CF7B47">
      <w:pPr>
        <w:pStyle w:val="COMTablefooter"/>
      </w:pPr>
      <w:r w:rsidRPr="003D294A">
        <w:t>Source: Table 2-24, p69, Table 2-30, p75 of the submission</w:t>
      </w:r>
    </w:p>
    <w:p w14:paraId="2174EDA2" w14:textId="77777777" w:rsidR="00D01C83" w:rsidRPr="003D294A" w:rsidRDefault="00D01C83" w:rsidP="00CF7B47">
      <w:pPr>
        <w:pStyle w:val="COMTablefooter"/>
      </w:pPr>
      <w:r w:rsidRPr="003D294A">
        <w:t>Abbreviation: AE, adverse event; NR, not reported</w:t>
      </w:r>
    </w:p>
    <w:p w14:paraId="677094DD" w14:textId="77777777" w:rsidR="002F23E9" w:rsidRPr="003D294A" w:rsidRDefault="002F23E9" w:rsidP="00CF7B47">
      <w:pPr>
        <w:pStyle w:val="COMESnumberedpara"/>
      </w:pPr>
      <w:bookmarkStart w:id="41" w:name="_Ref219469894"/>
      <w:r w:rsidRPr="003D294A">
        <w:t xml:space="preserve">The overall frequency of any adverse events was high in both treatment arms of the trial. The </w:t>
      </w:r>
      <w:proofErr w:type="gramStart"/>
      <w:r w:rsidRPr="003D294A">
        <w:t>most commonly reported</w:t>
      </w:r>
      <w:proofErr w:type="gramEnd"/>
      <w:r w:rsidRPr="003D294A">
        <w:t xml:space="preserve"> adverse events (</w:t>
      </w:r>
      <w:r w:rsidRPr="003D294A">
        <w:rPr>
          <w:rFonts w:cs="Calibri"/>
        </w:rPr>
        <w:t>≥</w:t>
      </w:r>
      <w:r w:rsidRPr="003D294A">
        <w:t xml:space="preserve">40% in either arm) were infections and infestations (pegcetacoplan 55.6%, placebo 44.3%) and general disorders and administration site conditions (pegcetacoplan 46.0%, placebo 47.5%). Treatment with pegcetacoplan was associated with more frequent reports of pyrexia, </w:t>
      </w:r>
      <w:r w:rsidRPr="003D294A">
        <w:lastRenderedPageBreak/>
        <w:t>nasopharyngitis, influenza, nausea, cough, contusion, acute kidney injury and fatigue compared to placebo.</w:t>
      </w:r>
      <w:bookmarkEnd w:id="41"/>
      <w:r w:rsidRPr="003D294A">
        <w:t xml:space="preserve"> </w:t>
      </w:r>
    </w:p>
    <w:p w14:paraId="436CD481" w14:textId="77777777" w:rsidR="002F23E9" w:rsidRPr="003D294A" w:rsidRDefault="002F23E9" w:rsidP="00CF7B47">
      <w:pPr>
        <w:pStyle w:val="COMESnumberedpara"/>
      </w:pPr>
      <w:r w:rsidRPr="003D294A">
        <w:t xml:space="preserve">The frequency of serious adverse events was similar between arms. The most common serious adverse event was acute kidney injury, reported by one patient in the pegcetacoplan arm and 2 patients in the placebo arm. One patient in the pegcetacoplan arm experienced a serious adverse event of pyrexia that </w:t>
      </w:r>
      <w:proofErr w:type="gramStart"/>
      <w:r w:rsidRPr="003D294A">
        <w:t>was considered to be</w:t>
      </w:r>
      <w:proofErr w:type="gramEnd"/>
      <w:r w:rsidRPr="003D294A">
        <w:t xml:space="preserve"> treatment related. There was one fatal event in the pegcetacoplan arm (respiratory failure due to COVID-19 pneumonia); this was assessed as not related to treatment. </w:t>
      </w:r>
    </w:p>
    <w:p w14:paraId="5139448A" w14:textId="25699137" w:rsidR="002F23E9" w:rsidRPr="003D294A" w:rsidRDefault="002F23E9" w:rsidP="00CF7B47">
      <w:pPr>
        <w:pStyle w:val="COMESnumberedpara"/>
      </w:pPr>
      <w:r w:rsidRPr="003D294A">
        <w:t>Due to the mechanism of action of pegcetacoplan, route of administration and relevance to C3G and primary IC-MPGN, the trial protocol defined thrombocytopaenia, severe infections, hypersensitivity and severe acute kidney injury as adverse events of special interest. Most events were mild to moderate in severity, except for severe infections (influenza, COVID-19) and acute kidney injury; these events were assessed as not related to treatment.</w:t>
      </w:r>
      <w:r w:rsidR="00CF7B47">
        <w:t xml:space="preserve"> </w:t>
      </w:r>
    </w:p>
    <w:p w14:paraId="42A52978" w14:textId="77777777" w:rsidR="006023E8" w:rsidRPr="003D294A" w:rsidRDefault="006023E8" w:rsidP="00CF7B47">
      <w:pPr>
        <w:pStyle w:val="COMESnumberedpara"/>
      </w:pPr>
      <w:r w:rsidRPr="003D294A">
        <w:t xml:space="preserve">The incidence of anti-pegcetacoplan peptide antibody response was 22.6%, with few patients developing anti-pegcetacoplan neutralising antibodies (3.2%). The incidence of anti-polyethylene glycol antibody response was 11.3% (3.2% treatment-emergent and 8.1% treatment-boosted). Post hoc analyses by anti-pegcetacoplan peptide antibody response did not show an association between a positive antibody response and increased frequency of adverse events. </w:t>
      </w:r>
    </w:p>
    <w:p w14:paraId="7E43A741" w14:textId="4976A9BD" w:rsidR="005D26B4" w:rsidRPr="003D294A" w:rsidRDefault="007963ED" w:rsidP="00CF7B47">
      <w:pPr>
        <w:pStyle w:val="COMESnumberedpara"/>
      </w:pPr>
      <w:r w:rsidRPr="003D294A">
        <w:t>The frequency of any adverse event during the open-label period was slightly lower in both pegcetacoplan/pegcetacoplan and placebo/pegcetacoplan arms compared to the randomised period. There were no notable differences in the occurrence of common adverse events during the open label period compared to the randomised period. The most common serious adverse events were acute kidney injury (3 patients), dehydration (2 patients) and pyrexia (2 patients). There was one serious infection by encapsulated bacteria (Streptococcus pneumoniae, assessed as not treatment-related) and one serious infection of herpes zoster meningoencephalitis that was assessed as possibly related to pegcetacoplan.</w:t>
      </w:r>
    </w:p>
    <w:p w14:paraId="6A561526" w14:textId="1DBB1BCD" w:rsidR="0084289E" w:rsidRPr="003D294A" w:rsidRDefault="00215468" w:rsidP="00CF7B47">
      <w:pPr>
        <w:pStyle w:val="COMESnumberedpara"/>
      </w:pPr>
      <w:r w:rsidRPr="003D294A">
        <w:t xml:space="preserve">The </w:t>
      </w:r>
      <w:r w:rsidR="008B565D">
        <w:t>submission</w:t>
      </w:r>
      <w:r w:rsidR="008B565D" w:rsidRPr="003D294A">
        <w:t xml:space="preserve"> </w:t>
      </w:r>
      <w:r w:rsidRPr="003D294A">
        <w:t>provided a Periodic Safety Update Report (PSUR) (14 November 2023 to 13 November 2024 reporting period)</w:t>
      </w:r>
      <w:r w:rsidR="00E21431" w:rsidRPr="003D294A">
        <w:t xml:space="preserve">. </w:t>
      </w:r>
      <w:r w:rsidR="0005051C" w:rsidRPr="003D294A">
        <w:t>No new safety signals were identified during the reporting period. During the reporting period, the classification of anaphylaxis (serious allergic or hypersensitivity reactions) was amended from an important potential risk to an important identified risk. Additional important potential risks include serious infections due to encapsulated bacteria, discontinuation-related intravascular haemolysis, immunogenicity, malignancies and haematological abnormalities and potential long-term effects of polyethylene glycol accumulation. Missing information includes patients starting treatment with bone marrow failure (excluded from PNH trials), use in pregnancy and long-term safety (&gt;1 year).</w:t>
      </w:r>
    </w:p>
    <w:p w14:paraId="04908C7F" w14:textId="415B9B7D" w:rsidR="007F1017" w:rsidRPr="003D294A" w:rsidRDefault="007F1017" w:rsidP="00CF7B47">
      <w:pPr>
        <w:pStyle w:val="COMESSubsectionheading"/>
        <w:rPr>
          <w:iCs/>
        </w:rPr>
      </w:pPr>
      <w:bookmarkStart w:id="42" w:name="_Toc22897643"/>
      <w:bookmarkStart w:id="43" w:name="_Toc219888390"/>
      <w:r w:rsidRPr="003D294A">
        <w:lastRenderedPageBreak/>
        <w:t>Benefits/harms</w:t>
      </w:r>
      <w:bookmarkEnd w:id="42"/>
      <w:bookmarkEnd w:id="43"/>
    </w:p>
    <w:p w14:paraId="34A740F5" w14:textId="77777777" w:rsidR="00DB66D6" w:rsidRPr="003D294A" w:rsidRDefault="00242CA3" w:rsidP="00CF7B47">
      <w:pPr>
        <w:pStyle w:val="COMESnumberedpara"/>
      </w:pPr>
      <w:proofErr w:type="gramStart"/>
      <w:r w:rsidRPr="003D294A">
        <w:t>On the basis of</w:t>
      </w:r>
      <w:proofErr w:type="gramEnd"/>
      <w:r w:rsidRPr="003D294A">
        <w:t xml:space="preserve"> direct evidence presented in the </w:t>
      </w:r>
      <w:r w:rsidR="007F6DD6" w:rsidRPr="003D294A">
        <w:t>submission, in patients with native kidneys or post-transplant recurrence of C3G or primary IC-MPGN</w:t>
      </w:r>
      <w:r w:rsidR="00670B86" w:rsidRPr="003D294A">
        <w:t>, for every 100 patients treated with pegcetacoplan compared to placebo</w:t>
      </w:r>
      <w:r w:rsidR="00DB66D6" w:rsidRPr="003D294A">
        <w:t>:</w:t>
      </w:r>
    </w:p>
    <w:p w14:paraId="69DA7249" w14:textId="42B9C080" w:rsidR="00A94BB3" w:rsidRPr="003D294A" w:rsidRDefault="00DB66D6" w:rsidP="00CF7B47">
      <w:pPr>
        <w:pStyle w:val="COMESbulletlist"/>
        <w:jc w:val="both"/>
      </w:pPr>
      <w:r w:rsidRPr="003D294A">
        <w:t>A</w:t>
      </w:r>
      <w:r w:rsidR="00670B86" w:rsidRPr="003D294A">
        <w:t xml:space="preserve">pproximately </w:t>
      </w:r>
      <w:r w:rsidR="00A94BB3" w:rsidRPr="003D294A">
        <w:t>5</w:t>
      </w:r>
      <w:r w:rsidR="00E71369" w:rsidRPr="003D294A">
        <w:t>5</w:t>
      </w:r>
      <w:r w:rsidR="00A94BB3" w:rsidRPr="003D294A">
        <w:t xml:space="preserve"> additional patients would have at least </w:t>
      </w:r>
      <w:r w:rsidR="0087513B">
        <w:t xml:space="preserve">a </w:t>
      </w:r>
      <w:r w:rsidR="00A94BB3" w:rsidRPr="003D294A">
        <w:t>50% reduction in proteinuria (a marker of kidney injury) at 26 weeks</w:t>
      </w:r>
      <w:r w:rsidR="00D1015B" w:rsidRPr="003D294A">
        <w:t xml:space="preserve"> (see </w:t>
      </w:r>
      <w:r w:rsidR="00D1015B" w:rsidRPr="003D294A">
        <w:fldChar w:fldCharType="begin"/>
      </w:r>
      <w:r w:rsidR="00D1015B" w:rsidRPr="003D294A">
        <w:instrText xml:space="preserve"> REF _Ref218869855 \h </w:instrText>
      </w:r>
      <w:r w:rsidR="0076264C" w:rsidRPr="003D294A">
        <w:instrText xml:space="preserve"> \* MERGEFORMAT </w:instrText>
      </w:r>
      <w:r w:rsidR="00D1015B" w:rsidRPr="003D294A">
        <w:fldChar w:fldCharType="separate"/>
      </w:r>
      <w:r w:rsidR="00632853" w:rsidRPr="003D294A">
        <w:t xml:space="preserve">Table </w:t>
      </w:r>
      <w:r w:rsidR="00632853">
        <w:t>5</w:t>
      </w:r>
      <w:r w:rsidR="00D1015B" w:rsidRPr="003D294A">
        <w:fldChar w:fldCharType="end"/>
      </w:r>
      <w:r w:rsidR="00D1015B" w:rsidRPr="003D294A">
        <w:t>)</w:t>
      </w:r>
      <w:r w:rsidR="00A94BB3" w:rsidRPr="003D294A">
        <w:t xml:space="preserve">. </w:t>
      </w:r>
    </w:p>
    <w:p w14:paraId="6EAD1B63" w14:textId="450E93C3" w:rsidR="00DB66D6" w:rsidRPr="003D294A" w:rsidRDefault="000574D2" w:rsidP="00CF7B47">
      <w:pPr>
        <w:pStyle w:val="COMESbulletlist"/>
        <w:jc w:val="both"/>
      </w:pPr>
      <w:r w:rsidRPr="003D294A">
        <w:t xml:space="preserve">There would be no apparent difference in </w:t>
      </w:r>
      <w:proofErr w:type="gramStart"/>
      <w:r w:rsidRPr="003D294A">
        <w:t>quality of life</w:t>
      </w:r>
      <w:proofErr w:type="gramEnd"/>
      <w:r w:rsidRPr="003D294A">
        <w:t xml:space="preserve"> measures at 26 weeks</w:t>
      </w:r>
      <w:r w:rsidR="00767B94" w:rsidRPr="003D294A">
        <w:t xml:space="preserve"> (see para </w:t>
      </w:r>
      <w:r w:rsidR="00767B94" w:rsidRPr="003D294A">
        <w:fldChar w:fldCharType="begin"/>
      </w:r>
      <w:r w:rsidR="00767B94" w:rsidRPr="003D294A">
        <w:instrText xml:space="preserve"> REF _Ref219469849 \n \h </w:instrText>
      </w:r>
      <w:r w:rsidR="0076264C" w:rsidRPr="003D294A">
        <w:instrText xml:space="preserve"> \* MERGEFORMAT </w:instrText>
      </w:r>
      <w:r w:rsidR="00767B94" w:rsidRPr="003D294A">
        <w:fldChar w:fldCharType="separate"/>
      </w:r>
      <w:r w:rsidR="00632853">
        <w:t>6.42</w:t>
      </w:r>
      <w:r w:rsidR="00767B94" w:rsidRPr="003D294A">
        <w:fldChar w:fldCharType="end"/>
      </w:r>
      <w:r w:rsidR="00767B94" w:rsidRPr="003D294A">
        <w:t>)</w:t>
      </w:r>
      <w:r w:rsidRPr="003D294A">
        <w:t>.</w:t>
      </w:r>
    </w:p>
    <w:p w14:paraId="5A37FBF8" w14:textId="7ABB2AA4" w:rsidR="000574D2" w:rsidRPr="003D294A" w:rsidRDefault="00CA23CC" w:rsidP="00CF7B47">
      <w:pPr>
        <w:pStyle w:val="COMESbulletlist"/>
        <w:jc w:val="both"/>
      </w:pPr>
      <w:r w:rsidRPr="003D294A">
        <w:t xml:space="preserve">There would be approximately </w:t>
      </w:r>
      <w:r w:rsidR="003B4121" w:rsidRPr="003D294A">
        <w:t>11 additional patients with infections and infestations (2 patients with severe infections) over 26 weeks</w:t>
      </w:r>
      <w:r w:rsidR="00767B94" w:rsidRPr="003D294A">
        <w:t xml:space="preserve"> (see</w:t>
      </w:r>
      <w:r w:rsidR="00A27472" w:rsidRPr="003D294A">
        <w:t xml:space="preserve"> </w:t>
      </w:r>
      <w:r w:rsidR="00A27472" w:rsidRPr="003D294A">
        <w:fldChar w:fldCharType="begin"/>
      </w:r>
      <w:r w:rsidR="00A27472" w:rsidRPr="003D294A">
        <w:instrText xml:space="preserve"> REF _Ref218870164 \h </w:instrText>
      </w:r>
      <w:r w:rsidR="0076264C" w:rsidRPr="003D294A">
        <w:instrText xml:space="preserve"> \* MERGEFORMAT </w:instrText>
      </w:r>
      <w:r w:rsidR="00A27472" w:rsidRPr="003D294A">
        <w:fldChar w:fldCharType="separate"/>
      </w:r>
      <w:r w:rsidR="00632853" w:rsidRPr="003D294A">
        <w:t xml:space="preserve">Table </w:t>
      </w:r>
      <w:r w:rsidR="00632853">
        <w:t>9</w:t>
      </w:r>
      <w:r w:rsidR="00A27472" w:rsidRPr="003D294A">
        <w:fldChar w:fldCharType="end"/>
      </w:r>
      <w:r w:rsidR="00A27472" w:rsidRPr="003D294A">
        <w:t xml:space="preserve"> and para</w:t>
      </w:r>
      <w:r w:rsidR="00767B94" w:rsidRPr="003D294A">
        <w:t xml:space="preserve"> </w:t>
      </w:r>
      <w:r w:rsidR="00A27472" w:rsidRPr="003D294A">
        <w:fldChar w:fldCharType="begin"/>
      </w:r>
      <w:r w:rsidR="00A27472" w:rsidRPr="003D294A">
        <w:instrText xml:space="preserve"> REF _Ref219469894 \n \h </w:instrText>
      </w:r>
      <w:r w:rsidR="0076264C" w:rsidRPr="003D294A">
        <w:instrText xml:space="preserve"> \* MERGEFORMAT </w:instrText>
      </w:r>
      <w:r w:rsidR="00A27472" w:rsidRPr="003D294A">
        <w:fldChar w:fldCharType="separate"/>
      </w:r>
      <w:r w:rsidR="00632853">
        <w:t>6.53</w:t>
      </w:r>
      <w:r w:rsidR="00A27472" w:rsidRPr="003D294A">
        <w:fldChar w:fldCharType="end"/>
      </w:r>
      <w:r w:rsidR="00A27472" w:rsidRPr="003D294A">
        <w:t>)</w:t>
      </w:r>
      <w:r w:rsidR="003B4121" w:rsidRPr="003D294A">
        <w:t xml:space="preserve">. </w:t>
      </w:r>
    </w:p>
    <w:p w14:paraId="7A1772B6" w14:textId="5B38845C" w:rsidR="00B60939" w:rsidRPr="003D294A" w:rsidRDefault="00B60939" w:rsidP="00CF7B47">
      <w:pPr>
        <w:pStyle w:val="COMESSubsectionheading"/>
        <w:rPr>
          <w:iCs/>
        </w:rPr>
      </w:pPr>
      <w:bookmarkStart w:id="44" w:name="_Toc22897644"/>
      <w:bookmarkStart w:id="45" w:name="_Toc219888391"/>
      <w:r w:rsidRPr="003D294A">
        <w:t>Clinical claim</w:t>
      </w:r>
      <w:bookmarkEnd w:id="44"/>
      <w:bookmarkEnd w:id="45"/>
    </w:p>
    <w:p w14:paraId="289EAA5E" w14:textId="51843F8C" w:rsidR="007C70FF" w:rsidRPr="003D294A" w:rsidRDefault="006C49E0" w:rsidP="00CF7B47">
      <w:pPr>
        <w:pStyle w:val="COMESnumberedpara"/>
      </w:pPr>
      <w:r w:rsidRPr="003D294A">
        <w:t>The submission described pegcetacoplan as superior in terms of efficacy compared to standard of care. Th</w:t>
      </w:r>
      <w:r w:rsidR="001972CD" w:rsidRPr="003D294A">
        <w:t xml:space="preserve">e evaluation considered this claim was </w:t>
      </w:r>
      <w:r w:rsidRPr="003D294A">
        <w:t xml:space="preserve">reasonable in terms of short-term reductions in proteinuria but </w:t>
      </w:r>
      <w:r w:rsidR="001972CD" w:rsidRPr="003D294A">
        <w:t>wa</w:t>
      </w:r>
      <w:r w:rsidRPr="003D294A">
        <w:t>s inadequately supported in terms of changes in eGFR decline and longer-term reductions in the risk of progression to end-stage kidney disease</w:t>
      </w:r>
      <w:r w:rsidRPr="003D294A">
        <w:rPr>
          <w:i/>
          <w:iCs/>
        </w:rPr>
        <w:t>.</w:t>
      </w:r>
      <w:r w:rsidR="009F3995" w:rsidRPr="003D294A">
        <w:rPr>
          <w:i/>
          <w:iCs/>
        </w:rPr>
        <w:t xml:space="preserve"> </w:t>
      </w:r>
      <w:r w:rsidR="009F3995" w:rsidRPr="003D294A">
        <w:t xml:space="preserve">The Sub-Committees </w:t>
      </w:r>
      <w:r w:rsidR="00900F29" w:rsidRPr="003D294A">
        <w:t>agreed with the evaluation that the claim of superior efficacy compared to standard o</w:t>
      </w:r>
      <w:r w:rsidR="00210583" w:rsidRPr="003D294A">
        <w:t xml:space="preserve">f care was reasonable </w:t>
      </w:r>
      <w:proofErr w:type="gramStart"/>
      <w:r w:rsidR="00210583" w:rsidRPr="003D294A">
        <w:t>with regard to</w:t>
      </w:r>
      <w:proofErr w:type="gramEnd"/>
      <w:r w:rsidR="00210583" w:rsidRPr="003D294A">
        <w:t xml:space="preserve"> proteinuria. </w:t>
      </w:r>
      <w:r w:rsidR="00AD0895" w:rsidRPr="003D294A">
        <w:rPr>
          <w:rFonts w:eastAsia="Calibri"/>
        </w:rPr>
        <w:t xml:space="preserve">The </w:t>
      </w:r>
      <w:r w:rsidR="00315197">
        <w:rPr>
          <w:rFonts w:eastAsia="Calibri"/>
        </w:rPr>
        <w:t>PSCR</w:t>
      </w:r>
      <w:r w:rsidR="00480BD3" w:rsidRPr="003D294A">
        <w:rPr>
          <w:rFonts w:eastAsia="Calibri"/>
        </w:rPr>
        <w:t xml:space="preserve"> </w:t>
      </w:r>
      <w:r w:rsidR="00AD0895" w:rsidRPr="003D294A">
        <w:rPr>
          <w:rFonts w:eastAsia="Calibri"/>
        </w:rPr>
        <w:t xml:space="preserve">disagreed with the evaluation’s assertion that there was no apparent difference in eGFR decline between treatment arms of the VALIANT trial, noting that the difference in LS mean change in eGFR from baseline was considered clinically relevant and had a nominal p-value of 0.03 (not formally tested for statistical significance due to the </w:t>
      </w:r>
      <w:r w:rsidR="00AD0895" w:rsidRPr="003D294A">
        <w:t xml:space="preserve">hierarchical endpoint testing strategy). </w:t>
      </w:r>
      <w:r w:rsidR="00210583" w:rsidRPr="003D294A">
        <w:t xml:space="preserve">The Sub-Committees considered that the duration of the double-blind phase of the trial was likely too short and the sample size too small to </w:t>
      </w:r>
      <w:r w:rsidR="003B4B76" w:rsidRPr="003D294A">
        <w:t xml:space="preserve">clearly </w:t>
      </w:r>
      <w:r w:rsidR="00210583" w:rsidRPr="003D294A">
        <w:t>demonstrate any change in eGFR decline.</w:t>
      </w:r>
      <w:r w:rsidR="006E4710" w:rsidRPr="003D294A">
        <w:rPr>
          <w:rFonts w:eastAsia="Calibri"/>
        </w:rPr>
        <w:t xml:space="preserve"> </w:t>
      </w:r>
    </w:p>
    <w:p w14:paraId="54D3A82D" w14:textId="6DA6E063" w:rsidR="005F7588" w:rsidRPr="003D294A" w:rsidRDefault="005F7588" w:rsidP="00CF7B47">
      <w:pPr>
        <w:pStyle w:val="COMESnumberedpara"/>
        <w:rPr>
          <w:rFonts w:eastAsia="Calibri"/>
        </w:rPr>
      </w:pPr>
      <w:r w:rsidRPr="003D294A">
        <w:rPr>
          <w:rFonts w:eastAsia="Calibri"/>
        </w:rPr>
        <w:t>The submission described</w:t>
      </w:r>
      <w:r w:rsidR="006C49E0" w:rsidRPr="003D294A">
        <w:rPr>
          <w:rFonts w:eastAsia="Calibri"/>
        </w:rPr>
        <w:t xml:space="preserve"> pegcetacoplan as non-inferior in terms of safety compared to standard of care. This </w:t>
      </w:r>
      <w:r w:rsidR="002349DC">
        <w:rPr>
          <w:rFonts w:eastAsia="Calibri"/>
        </w:rPr>
        <w:t xml:space="preserve">evaluation considered this </w:t>
      </w:r>
      <w:r w:rsidR="006C49E0" w:rsidRPr="003D294A">
        <w:rPr>
          <w:rFonts w:eastAsia="Calibri"/>
        </w:rPr>
        <w:t xml:space="preserve">claim </w:t>
      </w:r>
      <w:r w:rsidR="002349DC">
        <w:rPr>
          <w:rFonts w:eastAsia="Calibri"/>
        </w:rPr>
        <w:t>wa</w:t>
      </w:r>
      <w:r w:rsidR="006C49E0" w:rsidRPr="003D294A">
        <w:rPr>
          <w:rFonts w:eastAsia="Calibri"/>
        </w:rPr>
        <w:t>s inappropriate given the known increased risk of infections with pegcetacoplan treatment, particularly due to encapsulated bacteria. Additionally, patients treated with pegcetacoplan are at risk of infusion-related adverse events that would otherwise not occur in patients receiving standard of care.</w:t>
      </w:r>
      <w:r w:rsidR="002F222F" w:rsidRPr="003D294A">
        <w:rPr>
          <w:rFonts w:eastAsia="Calibri"/>
        </w:rPr>
        <w:t xml:space="preserve"> The Sub-Committees agreed with the </w:t>
      </w:r>
      <w:r w:rsidR="00401BD4">
        <w:rPr>
          <w:rFonts w:eastAsia="Calibri"/>
        </w:rPr>
        <w:t>evaluation</w:t>
      </w:r>
      <w:r w:rsidR="00401BD4" w:rsidRPr="003D294A">
        <w:rPr>
          <w:rFonts w:eastAsia="Calibri"/>
        </w:rPr>
        <w:t xml:space="preserve"> </w:t>
      </w:r>
      <w:r w:rsidR="002F222F" w:rsidRPr="003D294A">
        <w:rPr>
          <w:rFonts w:eastAsia="Calibri"/>
        </w:rPr>
        <w:t xml:space="preserve">that a claim of inferior safety would be appropriate. </w:t>
      </w:r>
    </w:p>
    <w:p w14:paraId="44D27DCF" w14:textId="06FFA65C" w:rsidR="006C49E0" w:rsidRPr="003D294A" w:rsidRDefault="006C49E0" w:rsidP="00CF7B47">
      <w:pPr>
        <w:pStyle w:val="COMESnumberedpara"/>
      </w:pPr>
      <w:r w:rsidRPr="003D294A">
        <w:t xml:space="preserve">The submission described pegcetacoplan as superior in terms of efficacy compared to iptacopan. </w:t>
      </w:r>
      <w:r w:rsidR="0056767E" w:rsidRPr="003D294A">
        <w:t>The evaluation considered i</w:t>
      </w:r>
      <w:r w:rsidRPr="003D294A">
        <w:t xml:space="preserve">t </w:t>
      </w:r>
      <w:r w:rsidR="009007CD">
        <w:t>wa</w:t>
      </w:r>
      <w:r w:rsidR="009007CD" w:rsidRPr="003D294A">
        <w:t xml:space="preserve">s </w:t>
      </w:r>
      <w:r w:rsidRPr="003D294A">
        <w:t xml:space="preserve">unclear whether this claim </w:t>
      </w:r>
      <w:r w:rsidR="00FE05B9">
        <w:t>wa</w:t>
      </w:r>
      <w:r w:rsidRPr="003D294A">
        <w:t xml:space="preserve">s reasonable. Results of the indirect comparison suggest that pegcetacoplan may be superior in terms of short-term reductions in proteinuria but </w:t>
      </w:r>
      <w:r w:rsidR="001C45D2" w:rsidRPr="003D294A">
        <w:t xml:space="preserve">there was </w:t>
      </w:r>
      <w:r w:rsidRPr="003D294A">
        <w:t xml:space="preserve">no apparent difference in terms of change in eGFR decline compared to iptacopan. However, there </w:t>
      </w:r>
      <w:r w:rsidR="004908C0" w:rsidRPr="003D294A">
        <w:t>were</w:t>
      </w:r>
      <w:r w:rsidRPr="003D294A">
        <w:t xml:space="preserve"> limitations with the analysis due to differences between trial populations in terms of age, sex, disease type, transplant status and baseline serum C3 level. </w:t>
      </w:r>
      <w:r w:rsidR="00AF576C" w:rsidRPr="003D294A">
        <w:t xml:space="preserve">The Sub-Committees agreed with the </w:t>
      </w:r>
      <w:r w:rsidR="009E5051" w:rsidRPr="003D294A">
        <w:t xml:space="preserve">evaluation that it was unclear whether the claim of </w:t>
      </w:r>
      <w:r w:rsidR="009E5051" w:rsidRPr="003D294A">
        <w:lastRenderedPageBreak/>
        <w:t xml:space="preserve">superior efficacy for pegcetacoplan compared with </w:t>
      </w:r>
      <w:r w:rsidR="001C45D2" w:rsidRPr="003D294A">
        <w:t>iptacopan was reasonable given the limitations of the comparison.</w:t>
      </w:r>
    </w:p>
    <w:p w14:paraId="466FA9D0" w14:textId="0EA6DD88" w:rsidR="006C49E0" w:rsidRPr="003D294A" w:rsidRDefault="006C49E0" w:rsidP="00CF7B47">
      <w:pPr>
        <w:pStyle w:val="COMESnumberedpara"/>
        <w:rPr>
          <w:rFonts w:eastAsia="Calibri"/>
        </w:rPr>
      </w:pPr>
      <w:r w:rsidRPr="003D294A">
        <w:rPr>
          <w:rFonts w:eastAsia="Calibri"/>
        </w:rPr>
        <w:t>The submission did not provide a clinical claim in terms of safety compared to iptacopan.</w:t>
      </w:r>
    </w:p>
    <w:p w14:paraId="7F613CD1" w14:textId="5F5634A7" w:rsidR="005F7588" w:rsidRPr="003D294A" w:rsidRDefault="009B6CE5" w:rsidP="00CF7B47">
      <w:pPr>
        <w:pStyle w:val="COMESnumberedpara"/>
        <w:rPr>
          <w:rFonts w:eastAsia="Calibri"/>
        </w:rPr>
      </w:pPr>
      <w:r w:rsidRPr="003D294A">
        <w:rPr>
          <w:rFonts w:eastAsia="Calibri"/>
        </w:rPr>
        <w:t xml:space="preserve">The </w:t>
      </w:r>
      <w:r w:rsidR="00E00DCF" w:rsidRPr="003D294A">
        <w:rPr>
          <w:rFonts w:eastAsia="Calibri"/>
        </w:rPr>
        <w:t xml:space="preserve">evaluation noted the </w:t>
      </w:r>
      <w:r w:rsidRPr="003D294A">
        <w:rPr>
          <w:rFonts w:eastAsia="Calibri"/>
        </w:rPr>
        <w:t>following issues</w:t>
      </w:r>
      <w:r w:rsidR="00076E3D" w:rsidRPr="003D294A">
        <w:rPr>
          <w:rFonts w:eastAsia="Calibri"/>
        </w:rPr>
        <w:t xml:space="preserve"> with the clinical claims</w:t>
      </w:r>
      <w:r w:rsidRPr="003D294A">
        <w:rPr>
          <w:rFonts w:eastAsia="Calibri"/>
        </w:rPr>
        <w:t xml:space="preserve">: </w:t>
      </w:r>
    </w:p>
    <w:p w14:paraId="52DD7CE5" w14:textId="1D088136" w:rsidR="00E718C0" w:rsidRPr="003D294A" w:rsidRDefault="009B6CE5" w:rsidP="00CF7B47">
      <w:pPr>
        <w:pStyle w:val="COMESbulletlist"/>
        <w:spacing w:after="0"/>
        <w:jc w:val="both"/>
      </w:pPr>
      <w:r w:rsidRPr="003D294A">
        <w:rPr>
          <w:snapToGrid/>
        </w:rPr>
        <w:t xml:space="preserve">There </w:t>
      </w:r>
      <w:r w:rsidR="004908C0" w:rsidRPr="003D294A">
        <w:rPr>
          <w:snapToGrid/>
        </w:rPr>
        <w:t>are</w:t>
      </w:r>
      <w:r w:rsidRPr="003D294A">
        <w:rPr>
          <w:snapToGrid/>
        </w:rPr>
        <w:t xml:space="preserve"> concerns with the applicability of the trial to the Australian setting, particularly the rapid eGFR decline in the placebo arm that </w:t>
      </w:r>
      <w:r w:rsidR="004908C0" w:rsidRPr="003D294A">
        <w:rPr>
          <w:snapToGrid/>
        </w:rPr>
        <w:t>is</w:t>
      </w:r>
      <w:r w:rsidRPr="003D294A">
        <w:rPr>
          <w:snapToGrid/>
        </w:rPr>
        <w:t xml:space="preserve"> substantially worse than the placebo arm of the APPEAR-C3G trial of iptacopan and in observational studies</w:t>
      </w:r>
      <w:r w:rsidR="00B63E9C" w:rsidRPr="003D294A">
        <w:rPr>
          <w:snapToGrid/>
        </w:rPr>
        <w:t xml:space="preserve">. </w:t>
      </w:r>
      <w:r w:rsidR="00975072" w:rsidRPr="003D294A">
        <w:rPr>
          <w:snapToGrid/>
        </w:rPr>
        <w:t xml:space="preserve">The PSCR </w:t>
      </w:r>
      <w:r w:rsidR="00FD3A84" w:rsidRPr="003D294A">
        <w:rPr>
          <w:snapToGrid/>
        </w:rPr>
        <w:t xml:space="preserve">stated that the applicability concerns raised for the VALIANT trial largely reflect the heterogeneous population enrolled, which included adults and paediatric patients, as well as post-transplant recipients. </w:t>
      </w:r>
      <w:r w:rsidR="00E718C0" w:rsidRPr="003D294A">
        <w:t>The Sub-Committees considered that</w:t>
      </w:r>
      <w:r w:rsidR="000D523C" w:rsidRPr="003D294A">
        <w:t xml:space="preserve"> the eGFR decline in the placebo arm</w:t>
      </w:r>
      <w:r w:rsidR="00E718C0" w:rsidRPr="003D294A">
        <w:t xml:space="preserve"> was </w:t>
      </w:r>
      <w:r w:rsidR="000D523C" w:rsidRPr="003D294A">
        <w:t>faster</w:t>
      </w:r>
      <w:r w:rsidR="00E718C0" w:rsidRPr="003D294A">
        <w:t xml:space="preserve"> than expected in clinical practice </w:t>
      </w:r>
      <w:r w:rsidR="00FD3A84" w:rsidRPr="003D294A">
        <w:t>but</w:t>
      </w:r>
      <w:r w:rsidR="00C639FB" w:rsidRPr="003D294A">
        <w:t xml:space="preserve"> </w:t>
      </w:r>
      <w:r w:rsidR="00E718C0" w:rsidRPr="003D294A">
        <w:t>that there was no clear explanation for the rapid eGFR</w:t>
      </w:r>
      <w:r w:rsidR="00C639FB" w:rsidRPr="003D294A">
        <w:t xml:space="preserve"> decline</w:t>
      </w:r>
      <w:r w:rsidR="00E718C0" w:rsidRPr="003D294A">
        <w:t xml:space="preserve"> in the placebo arm in the VALIANT trial.</w:t>
      </w:r>
      <w:r w:rsidR="00FD3A84" w:rsidRPr="003D294A">
        <w:t xml:space="preserve"> </w:t>
      </w:r>
      <w:r w:rsidR="00A25DF0" w:rsidRPr="003D294A">
        <w:t xml:space="preserve">The Sub-Committees noted that there were several Australian centres included in the VALIANT trial and considered that </w:t>
      </w:r>
      <w:r w:rsidR="00875B49">
        <w:t>it was unlikely</w:t>
      </w:r>
      <w:r w:rsidR="00A25DF0" w:rsidRPr="003D294A">
        <w:t xml:space="preserve"> that Australian patients would differ meaningfully from those included in the VALIANT trial.</w:t>
      </w:r>
      <w:r w:rsidR="00CF7B47">
        <w:t xml:space="preserve"> </w:t>
      </w:r>
    </w:p>
    <w:p w14:paraId="5790703B" w14:textId="1312F0CC" w:rsidR="009B6CE5" w:rsidRPr="003D294A" w:rsidRDefault="009B6CE5" w:rsidP="00CF7B47">
      <w:pPr>
        <w:pStyle w:val="COMESbulletlist"/>
        <w:ind w:left="1434" w:hanging="357"/>
        <w:jc w:val="both"/>
        <w:rPr>
          <w:snapToGrid/>
        </w:rPr>
      </w:pPr>
      <w:r w:rsidRPr="003D294A">
        <w:rPr>
          <w:snapToGrid/>
        </w:rPr>
        <w:t xml:space="preserve">There are no data supporting long-term outcomes with pegcetacoplan such as delay or avoidance of end-stage kidney disease and associated survival benefits. There </w:t>
      </w:r>
      <w:r w:rsidR="009C443C">
        <w:rPr>
          <w:snapToGrid/>
        </w:rPr>
        <w:t>wa</w:t>
      </w:r>
      <w:r w:rsidRPr="003D294A">
        <w:rPr>
          <w:snapToGrid/>
        </w:rPr>
        <w:t xml:space="preserve">s biological plausibility and epidemiological evidence supporting proteinuria and eGFR as prognostic variables for kidney disease progression. However, there </w:t>
      </w:r>
      <w:r w:rsidR="00BC536F">
        <w:rPr>
          <w:snapToGrid/>
        </w:rPr>
        <w:t>we</w:t>
      </w:r>
      <w:r w:rsidR="004908C0" w:rsidRPr="003D294A">
        <w:rPr>
          <w:snapToGrid/>
        </w:rPr>
        <w:t>re</w:t>
      </w:r>
      <w:r w:rsidRPr="003D294A">
        <w:rPr>
          <w:snapToGrid/>
        </w:rPr>
        <w:t xml:space="preserve"> no direct data demonstrating that treatment-related changes in proteinuria or eGFR would result in a quantifiable change in the risk of kidney failure in patients with C3G or primary IC-MPGN.</w:t>
      </w:r>
      <w:r w:rsidR="00192BCD" w:rsidRPr="003D294A">
        <w:rPr>
          <w:snapToGrid/>
        </w:rPr>
        <w:t xml:space="preserve"> The </w:t>
      </w:r>
      <w:r w:rsidR="002A1FF8" w:rsidRPr="003D294A">
        <w:rPr>
          <w:snapToGrid/>
        </w:rPr>
        <w:t>S</w:t>
      </w:r>
      <w:r w:rsidR="00192BCD" w:rsidRPr="003D294A">
        <w:rPr>
          <w:snapToGrid/>
        </w:rPr>
        <w:t>ub</w:t>
      </w:r>
      <w:r w:rsidR="002A1FF8" w:rsidRPr="003D294A">
        <w:rPr>
          <w:snapToGrid/>
        </w:rPr>
        <w:t>-C</w:t>
      </w:r>
      <w:r w:rsidR="00192BCD" w:rsidRPr="003D294A">
        <w:rPr>
          <w:snapToGrid/>
        </w:rPr>
        <w:t>ommittees</w:t>
      </w:r>
      <w:r w:rsidR="002737B3" w:rsidRPr="003D294A">
        <w:rPr>
          <w:snapToGrid/>
        </w:rPr>
        <w:t xml:space="preserve"> noted that</w:t>
      </w:r>
      <w:r w:rsidR="00EA62EC" w:rsidRPr="003D294A">
        <w:rPr>
          <w:snapToGrid/>
        </w:rPr>
        <w:t xml:space="preserve"> this data would be difficult to </w:t>
      </w:r>
      <w:r w:rsidR="00EF6F80" w:rsidRPr="003D294A">
        <w:rPr>
          <w:snapToGrid/>
        </w:rPr>
        <w:t>obtain</w:t>
      </w:r>
      <w:r w:rsidR="00EA62EC" w:rsidRPr="003D294A">
        <w:rPr>
          <w:snapToGrid/>
        </w:rPr>
        <w:t xml:space="preserve"> for</w:t>
      </w:r>
      <w:r w:rsidR="002737B3" w:rsidRPr="003D294A">
        <w:rPr>
          <w:snapToGrid/>
        </w:rPr>
        <w:t xml:space="preserve"> end stage renal disease patients, </w:t>
      </w:r>
      <w:r w:rsidR="002A1FF8" w:rsidRPr="003D294A">
        <w:rPr>
          <w:snapToGrid/>
        </w:rPr>
        <w:t>but</w:t>
      </w:r>
      <w:r w:rsidR="00192BCD" w:rsidRPr="003D294A">
        <w:rPr>
          <w:snapToGrid/>
        </w:rPr>
        <w:t xml:space="preserve"> considered </w:t>
      </w:r>
      <w:r w:rsidR="00327D8F" w:rsidRPr="003D294A">
        <w:rPr>
          <w:snapToGrid/>
        </w:rPr>
        <w:t xml:space="preserve">proteinuria and eGFR decline </w:t>
      </w:r>
      <w:r w:rsidR="002737B3" w:rsidRPr="003D294A">
        <w:rPr>
          <w:snapToGrid/>
        </w:rPr>
        <w:t>to be</w:t>
      </w:r>
      <w:r w:rsidR="00327D8F" w:rsidRPr="003D294A">
        <w:rPr>
          <w:snapToGrid/>
        </w:rPr>
        <w:t xml:space="preserve"> very important predictors of outcome</w:t>
      </w:r>
      <w:r w:rsidR="002A1FF8" w:rsidRPr="003D294A">
        <w:rPr>
          <w:snapToGrid/>
        </w:rPr>
        <w:t xml:space="preserve"> in this population</w:t>
      </w:r>
      <w:r w:rsidR="00327D8F" w:rsidRPr="003D294A">
        <w:rPr>
          <w:snapToGrid/>
        </w:rPr>
        <w:t>.</w:t>
      </w:r>
    </w:p>
    <w:p w14:paraId="45B89473" w14:textId="22E4CFE3" w:rsidR="004366ED" w:rsidRPr="001E5C47" w:rsidRDefault="004366ED" w:rsidP="00CF7B47">
      <w:pPr>
        <w:numPr>
          <w:ilvl w:val="1"/>
          <w:numId w:val="1"/>
        </w:numPr>
        <w:spacing w:after="120"/>
        <w:rPr>
          <w:rFonts w:asciiTheme="minorHAnsi" w:hAnsiTheme="minorHAnsi"/>
          <w:snapToGrid w:val="0"/>
          <w:szCs w:val="20"/>
        </w:rPr>
      </w:pPr>
      <w:bookmarkStart w:id="46" w:name="_Hlk76376200"/>
      <w:r w:rsidRPr="001E5C47">
        <w:rPr>
          <w:rFonts w:asciiTheme="minorHAnsi" w:hAnsiTheme="minorHAnsi"/>
          <w:iCs/>
          <w:snapToGrid w:val="0"/>
        </w:rPr>
        <w:t>The</w:t>
      </w:r>
      <w:r w:rsidRPr="001E5C47">
        <w:rPr>
          <w:rFonts w:asciiTheme="minorHAnsi" w:hAnsiTheme="minorHAnsi"/>
          <w:snapToGrid w:val="0"/>
          <w:szCs w:val="20"/>
        </w:rPr>
        <w:t xml:space="preserve"> PBAC considered that the claim of superior comparative effectiveness </w:t>
      </w:r>
      <w:r w:rsidR="00003769" w:rsidRPr="001E5C47">
        <w:rPr>
          <w:rFonts w:asciiTheme="minorHAnsi" w:hAnsiTheme="minorHAnsi"/>
          <w:snapToGrid w:val="0"/>
          <w:szCs w:val="20"/>
        </w:rPr>
        <w:t xml:space="preserve">over </w:t>
      </w:r>
      <w:r w:rsidR="00AE5BE0">
        <w:rPr>
          <w:rFonts w:asciiTheme="minorHAnsi" w:hAnsiTheme="minorHAnsi"/>
          <w:snapToGrid w:val="0"/>
          <w:szCs w:val="20"/>
        </w:rPr>
        <w:t>standard of care</w:t>
      </w:r>
      <w:r w:rsidR="00003769" w:rsidRPr="001E5C47">
        <w:rPr>
          <w:rFonts w:asciiTheme="minorHAnsi" w:hAnsiTheme="minorHAnsi"/>
          <w:snapToGrid w:val="0"/>
          <w:szCs w:val="20"/>
        </w:rPr>
        <w:t xml:space="preserve"> </w:t>
      </w:r>
      <w:r w:rsidR="00B87F4B" w:rsidRPr="001E5C47">
        <w:rPr>
          <w:rFonts w:asciiTheme="minorHAnsi" w:hAnsiTheme="minorHAnsi"/>
          <w:snapToGrid w:val="0"/>
          <w:szCs w:val="20"/>
        </w:rPr>
        <w:t xml:space="preserve">was </w:t>
      </w:r>
      <w:r w:rsidRPr="001E5C47">
        <w:rPr>
          <w:rFonts w:asciiTheme="minorHAnsi" w:hAnsiTheme="minorHAnsi"/>
          <w:snapToGrid w:val="0"/>
          <w:szCs w:val="20"/>
        </w:rPr>
        <w:t>adequately supported by the data</w:t>
      </w:r>
      <w:r w:rsidR="00DB1FCF" w:rsidRPr="001E5C47">
        <w:rPr>
          <w:rFonts w:asciiTheme="minorHAnsi" w:hAnsiTheme="minorHAnsi"/>
          <w:snapToGrid w:val="0"/>
          <w:szCs w:val="20"/>
        </w:rPr>
        <w:t xml:space="preserve"> for </w:t>
      </w:r>
      <w:r w:rsidR="003C0D26" w:rsidRPr="001E5C47">
        <w:rPr>
          <w:rFonts w:asciiTheme="minorHAnsi" w:hAnsiTheme="minorHAnsi"/>
          <w:snapToGrid w:val="0"/>
          <w:szCs w:val="20"/>
        </w:rPr>
        <w:t xml:space="preserve">the surrogate measure of </w:t>
      </w:r>
      <w:r w:rsidR="00867A0E" w:rsidRPr="001E5C47">
        <w:rPr>
          <w:rFonts w:asciiTheme="minorHAnsi" w:hAnsiTheme="minorHAnsi"/>
          <w:snapToGrid w:val="0"/>
          <w:szCs w:val="20"/>
        </w:rPr>
        <w:t>reduction</w:t>
      </w:r>
      <w:r w:rsidR="00972C34" w:rsidRPr="001E5C47">
        <w:rPr>
          <w:rFonts w:asciiTheme="minorHAnsi" w:hAnsiTheme="minorHAnsi"/>
          <w:snapToGrid w:val="0"/>
          <w:szCs w:val="20"/>
        </w:rPr>
        <w:t xml:space="preserve"> in proteinuria</w:t>
      </w:r>
      <w:r w:rsidR="00C274E1" w:rsidRPr="001E5C47">
        <w:rPr>
          <w:rFonts w:asciiTheme="minorHAnsi" w:hAnsiTheme="minorHAnsi"/>
          <w:snapToGrid w:val="0"/>
          <w:szCs w:val="20"/>
        </w:rPr>
        <w:t xml:space="preserve">, </w:t>
      </w:r>
      <w:r w:rsidR="001E12CD">
        <w:rPr>
          <w:rFonts w:asciiTheme="minorHAnsi" w:hAnsiTheme="minorHAnsi"/>
          <w:snapToGrid w:val="0"/>
          <w:szCs w:val="20"/>
        </w:rPr>
        <w:t xml:space="preserve">for </w:t>
      </w:r>
      <w:r w:rsidR="002D387A">
        <w:rPr>
          <w:rFonts w:asciiTheme="minorHAnsi" w:hAnsiTheme="minorHAnsi"/>
          <w:snapToGrid w:val="0"/>
          <w:szCs w:val="20"/>
        </w:rPr>
        <w:t xml:space="preserve">which </w:t>
      </w:r>
      <w:r w:rsidR="001E12CD">
        <w:rPr>
          <w:rFonts w:asciiTheme="minorHAnsi" w:hAnsiTheme="minorHAnsi"/>
          <w:snapToGrid w:val="0"/>
          <w:szCs w:val="20"/>
        </w:rPr>
        <w:t>there is</w:t>
      </w:r>
      <w:r w:rsidR="002D387A">
        <w:rPr>
          <w:rFonts w:asciiTheme="minorHAnsi" w:hAnsiTheme="minorHAnsi"/>
          <w:snapToGrid w:val="0"/>
          <w:szCs w:val="20"/>
        </w:rPr>
        <w:t xml:space="preserve"> </w:t>
      </w:r>
      <w:r w:rsidR="009C5ECC">
        <w:rPr>
          <w:rFonts w:asciiTheme="minorHAnsi" w:hAnsiTheme="minorHAnsi"/>
          <w:snapToGrid w:val="0"/>
          <w:szCs w:val="20"/>
        </w:rPr>
        <w:t>strong biologically plausib</w:t>
      </w:r>
      <w:r w:rsidR="00F13BFF">
        <w:rPr>
          <w:rFonts w:asciiTheme="minorHAnsi" w:hAnsiTheme="minorHAnsi"/>
          <w:snapToGrid w:val="0"/>
          <w:szCs w:val="20"/>
        </w:rPr>
        <w:t>ility for an</w:t>
      </w:r>
      <w:r w:rsidR="009C5ECC">
        <w:rPr>
          <w:rFonts w:asciiTheme="minorHAnsi" w:hAnsiTheme="minorHAnsi"/>
          <w:snapToGrid w:val="0"/>
          <w:szCs w:val="20"/>
        </w:rPr>
        <w:t xml:space="preserve"> impact on kidney </w:t>
      </w:r>
      <w:r w:rsidR="00756E4D">
        <w:rPr>
          <w:rFonts w:asciiTheme="minorHAnsi" w:hAnsiTheme="minorHAnsi"/>
          <w:snapToGrid w:val="0"/>
          <w:szCs w:val="20"/>
        </w:rPr>
        <w:t xml:space="preserve">disease. However, </w:t>
      </w:r>
      <w:r w:rsidR="0023787C" w:rsidRPr="001E5C47">
        <w:rPr>
          <w:rFonts w:asciiTheme="minorHAnsi" w:hAnsiTheme="minorHAnsi"/>
          <w:snapToGrid w:val="0"/>
          <w:szCs w:val="20"/>
        </w:rPr>
        <w:t>changes in eGFR were less certain</w:t>
      </w:r>
      <w:r w:rsidR="003D7F64">
        <w:rPr>
          <w:rFonts w:asciiTheme="minorHAnsi" w:hAnsiTheme="minorHAnsi"/>
          <w:snapToGrid w:val="0"/>
          <w:szCs w:val="20"/>
        </w:rPr>
        <w:t>, mainly</w:t>
      </w:r>
      <w:r w:rsidR="0023787C" w:rsidRPr="001E5C47">
        <w:rPr>
          <w:rFonts w:asciiTheme="minorHAnsi" w:hAnsiTheme="minorHAnsi"/>
          <w:snapToGrid w:val="0"/>
          <w:szCs w:val="20"/>
        </w:rPr>
        <w:t xml:space="preserve"> due to</w:t>
      </w:r>
      <w:r w:rsidR="00DC4B4D" w:rsidRPr="001E5C47">
        <w:rPr>
          <w:rFonts w:asciiTheme="minorHAnsi" w:hAnsiTheme="minorHAnsi"/>
          <w:snapToGrid w:val="0"/>
          <w:szCs w:val="20"/>
        </w:rPr>
        <w:t xml:space="preserve"> the </w:t>
      </w:r>
      <w:r w:rsidR="00241732" w:rsidRPr="001E5C47">
        <w:rPr>
          <w:rFonts w:asciiTheme="minorHAnsi" w:hAnsiTheme="minorHAnsi"/>
          <w:snapToGrid w:val="0"/>
          <w:szCs w:val="20"/>
        </w:rPr>
        <w:t xml:space="preserve">unexplained rapid </w:t>
      </w:r>
      <w:r w:rsidR="00674236" w:rsidRPr="001E5C47">
        <w:rPr>
          <w:rFonts w:asciiTheme="minorHAnsi" w:hAnsiTheme="minorHAnsi"/>
          <w:snapToGrid w:val="0"/>
          <w:szCs w:val="20"/>
        </w:rPr>
        <w:t xml:space="preserve">decline in eGFR in the </w:t>
      </w:r>
      <w:r w:rsidR="00AE5BE0">
        <w:rPr>
          <w:rFonts w:asciiTheme="minorHAnsi" w:hAnsiTheme="minorHAnsi"/>
          <w:snapToGrid w:val="0"/>
          <w:szCs w:val="20"/>
        </w:rPr>
        <w:t>standard of care</w:t>
      </w:r>
      <w:r w:rsidR="00674236" w:rsidRPr="001E5C47">
        <w:rPr>
          <w:rFonts w:asciiTheme="minorHAnsi" w:hAnsiTheme="minorHAnsi"/>
          <w:snapToGrid w:val="0"/>
          <w:szCs w:val="20"/>
        </w:rPr>
        <w:t xml:space="preserve"> arm of VALIANT</w:t>
      </w:r>
      <w:r w:rsidRPr="001E5C47">
        <w:rPr>
          <w:rFonts w:asciiTheme="minorHAnsi" w:hAnsiTheme="minorHAnsi"/>
          <w:snapToGrid w:val="0"/>
          <w:szCs w:val="20"/>
        </w:rPr>
        <w:t>.</w:t>
      </w:r>
      <w:r w:rsidR="00B87F4B" w:rsidRPr="001E5C47">
        <w:rPr>
          <w:rFonts w:asciiTheme="minorHAnsi" w:hAnsiTheme="minorHAnsi"/>
          <w:snapToGrid w:val="0"/>
          <w:szCs w:val="20"/>
        </w:rPr>
        <w:t xml:space="preserve"> The PBAC noted that there was no demonstrated change in QoL</w:t>
      </w:r>
      <w:r w:rsidR="00D427C2" w:rsidRPr="001E5C47">
        <w:rPr>
          <w:rFonts w:asciiTheme="minorHAnsi" w:hAnsiTheme="minorHAnsi"/>
          <w:snapToGrid w:val="0"/>
          <w:szCs w:val="20"/>
        </w:rPr>
        <w:t xml:space="preserve"> for pegcetacoplan.</w:t>
      </w:r>
    </w:p>
    <w:p w14:paraId="5523DB57" w14:textId="089FF101" w:rsidR="004366ED" w:rsidRPr="001E5C47" w:rsidRDefault="004366ED" w:rsidP="00CF7B47">
      <w:pPr>
        <w:numPr>
          <w:ilvl w:val="1"/>
          <w:numId w:val="1"/>
        </w:numPr>
        <w:spacing w:after="120"/>
        <w:rPr>
          <w:rFonts w:asciiTheme="minorHAnsi" w:hAnsiTheme="minorHAnsi"/>
          <w:snapToGrid w:val="0"/>
          <w:szCs w:val="20"/>
        </w:rPr>
      </w:pPr>
      <w:r w:rsidRPr="001E5C47">
        <w:rPr>
          <w:rFonts w:asciiTheme="minorHAnsi" w:hAnsiTheme="minorHAnsi"/>
          <w:snapToGrid w:val="0"/>
          <w:szCs w:val="20"/>
        </w:rPr>
        <w:t>The PBAC considered that the claim of non-inferior comparative safety was not adequately supported by the data.</w:t>
      </w:r>
    </w:p>
    <w:p w14:paraId="7295DE1E" w14:textId="48502D3C" w:rsidR="00D427C2" w:rsidRPr="001E5C47" w:rsidRDefault="00D427C2" w:rsidP="00CF7B47">
      <w:pPr>
        <w:numPr>
          <w:ilvl w:val="1"/>
          <w:numId w:val="1"/>
        </w:numPr>
        <w:spacing w:after="120"/>
        <w:rPr>
          <w:rFonts w:asciiTheme="minorHAnsi" w:hAnsiTheme="minorHAnsi"/>
          <w:snapToGrid w:val="0"/>
          <w:szCs w:val="20"/>
        </w:rPr>
      </w:pPr>
      <w:r w:rsidRPr="001E5C47">
        <w:rPr>
          <w:rFonts w:asciiTheme="minorHAnsi" w:hAnsiTheme="minorHAnsi"/>
          <w:snapToGrid w:val="0"/>
          <w:szCs w:val="20"/>
        </w:rPr>
        <w:t xml:space="preserve">The PBAC considered that the claim of </w:t>
      </w:r>
      <w:r w:rsidR="00290004" w:rsidRPr="001E5C47">
        <w:rPr>
          <w:rFonts w:asciiTheme="minorHAnsi" w:hAnsiTheme="minorHAnsi"/>
          <w:snapToGrid w:val="0"/>
          <w:szCs w:val="20"/>
        </w:rPr>
        <w:t>superiority over iptacopan was not adequately supported by the data</w:t>
      </w:r>
      <w:r w:rsidR="008F03B0" w:rsidRPr="001E5C47">
        <w:rPr>
          <w:rFonts w:asciiTheme="minorHAnsi" w:hAnsiTheme="minorHAnsi"/>
          <w:snapToGrid w:val="0"/>
          <w:szCs w:val="20"/>
        </w:rPr>
        <w:t xml:space="preserve"> due to </w:t>
      </w:r>
      <w:r w:rsidR="00813BB8" w:rsidRPr="001E5C47">
        <w:rPr>
          <w:rFonts w:asciiTheme="minorHAnsi" w:hAnsiTheme="minorHAnsi"/>
          <w:snapToGrid w:val="0"/>
          <w:szCs w:val="20"/>
        </w:rPr>
        <w:t xml:space="preserve">differences in the trial populations </w:t>
      </w:r>
      <w:r w:rsidR="004E553E" w:rsidRPr="001E5C47">
        <w:rPr>
          <w:rFonts w:asciiTheme="minorHAnsi" w:hAnsiTheme="minorHAnsi"/>
          <w:snapToGrid w:val="0"/>
          <w:szCs w:val="20"/>
        </w:rPr>
        <w:t xml:space="preserve">included in the VALIANT and </w:t>
      </w:r>
      <w:r w:rsidR="001E5C47" w:rsidRPr="001E5C47">
        <w:t>APPEAR-C3G trials.</w:t>
      </w:r>
    </w:p>
    <w:bookmarkEnd w:id="46"/>
    <w:p w14:paraId="03300E19" w14:textId="2F7D7495" w:rsidR="00387224" w:rsidRPr="003D294A" w:rsidRDefault="00387224" w:rsidP="00CF7B47"/>
    <w:p w14:paraId="74A1172E" w14:textId="128C170E" w:rsidR="00B60939" w:rsidRPr="003D294A" w:rsidRDefault="00B60939" w:rsidP="00CF7B47">
      <w:pPr>
        <w:pStyle w:val="COMESSubsectionheading"/>
        <w:rPr>
          <w:iCs/>
        </w:rPr>
      </w:pPr>
      <w:bookmarkStart w:id="47" w:name="_Toc22897645"/>
      <w:bookmarkStart w:id="48" w:name="_Toc219888392"/>
      <w:r w:rsidRPr="003D294A">
        <w:lastRenderedPageBreak/>
        <w:t>Economic analysis</w:t>
      </w:r>
      <w:bookmarkEnd w:id="47"/>
      <w:bookmarkEnd w:id="48"/>
      <w:r w:rsidR="00491B3A" w:rsidRPr="003D294A">
        <w:t xml:space="preserve"> </w:t>
      </w:r>
    </w:p>
    <w:p w14:paraId="14C1E8F9" w14:textId="7AED74C6" w:rsidR="00275C5A" w:rsidRPr="003D294A" w:rsidRDefault="006E32E8" w:rsidP="00CF7B47">
      <w:pPr>
        <w:pStyle w:val="COMESnumberedpara"/>
      </w:pPr>
      <w:r w:rsidRPr="003D294A">
        <w:t xml:space="preserve">The submission presented an economic evaluation of pegcetacoplan compared to </w:t>
      </w:r>
      <w:r w:rsidR="004662E1">
        <w:t>standard of care</w:t>
      </w:r>
      <w:r w:rsidR="004662E1" w:rsidRPr="003D294A">
        <w:t xml:space="preserve"> </w:t>
      </w:r>
      <w:r w:rsidRPr="003D294A">
        <w:t>for the treatment of patients aged 12 years or older with C3G or primary IC-MPGN with native kidneys or disease recurrence following a kidney transplant. The economic evaluation was based on the VALIANT trial with additional modelled data. The economic evaluation was presented as a cost-effectiveness/cost-utility analysis.</w:t>
      </w:r>
    </w:p>
    <w:p w14:paraId="16C8653C" w14:textId="707EDE13" w:rsidR="008C5739" w:rsidRPr="003D294A" w:rsidRDefault="006E32E8" w:rsidP="00CF7B47">
      <w:pPr>
        <w:pStyle w:val="COMESnumberedpara"/>
      </w:pPr>
      <w:r w:rsidRPr="003D294A">
        <w:t xml:space="preserve">Key components of the economic evaluation are summarised in </w:t>
      </w:r>
      <w:r w:rsidR="00A62FAB" w:rsidRPr="003D294A">
        <w:fldChar w:fldCharType="begin"/>
      </w:r>
      <w:r w:rsidR="00A62FAB" w:rsidRPr="003D294A">
        <w:instrText xml:space="preserve"> REF _Ref218870179 \h </w:instrText>
      </w:r>
      <w:r w:rsidR="0076264C" w:rsidRPr="003D294A">
        <w:instrText xml:space="preserve"> \* MERGEFORMAT </w:instrText>
      </w:r>
      <w:r w:rsidR="00A62FAB" w:rsidRPr="003D294A">
        <w:fldChar w:fldCharType="separate"/>
      </w:r>
      <w:r w:rsidR="00632853" w:rsidRPr="003D294A">
        <w:t xml:space="preserve">Table </w:t>
      </w:r>
      <w:r w:rsidR="00632853">
        <w:t>10</w:t>
      </w:r>
      <w:r w:rsidR="00A62FAB" w:rsidRPr="003D294A">
        <w:fldChar w:fldCharType="end"/>
      </w:r>
      <w:r w:rsidRPr="003D294A">
        <w:t>.</w:t>
      </w:r>
    </w:p>
    <w:p w14:paraId="15A9AFA4" w14:textId="6DF07AAD" w:rsidR="00275C5A" w:rsidRPr="003D294A" w:rsidRDefault="00E16AD8" w:rsidP="00CF7B47">
      <w:pPr>
        <w:pStyle w:val="COMTableFigurecaption"/>
      </w:pPr>
      <w:bookmarkStart w:id="49" w:name="_Ref218870179"/>
      <w:r w:rsidRPr="003D294A">
        <w:t xml:space="preserve">Table </w:t>
      </w:r>
      <w:fldSimple w:instr=" SEQ Table \* ARABIC ">
        <w:r w:rsidR="00632853">
          <w:rPr>
            <w:noProof/>
          </w:rPr>
          <w:t>10</w:t>
        </w:r>
      </w:fldSimple>
      <w:bookmarkEnd w:id="49"/>
      <w:r w:rsidRPr="003D294A">
        <w:t>:</w:t>
      </w:r>
      <w:r w:rsidR="00275C5A" w:rsidRPr="003D294A">
        <w:t xml:space="preserve"> </w:t>
      </w:r>
      <w:r w:rsidR="009160A8" w:rsidRPr="003D294A">
        <w:t>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Key components of the economic evaluation"/>
      </w:tblPr>
      <w:tblGrid>
        <w:gridCol w:w="1405"/>
        <w:gridCol w:w="7610"/>
      </w:tblGrid>
      <w:tr w:rsidR="009160A8" w:rsidRPr="003D294A" w14:paraId="40272229" w14:textId="77777777" w:rsidTr="009160A8">
        <w:trPr>
          <w:cantSplit/>
          <w:tblHeader/>
        </w:trPr>
        <w:tc>
          <w:tcPr>
            <w:tcW w:w="779" w:type="pct"/>
          </w:tcPr>
          <w:p w14:paraId="58ADC52D" w14:textId="77777777" w:rsidR="009160A8" w:rsidRPr="003D294A" w:rsidRDefault="009160A8" w:rsidP="00CF7B47">
            <w:pPr>
              <w:jc w:val="left"/>
              <w:rPr>
                <w:rFonts w:ascii="Arial Narrow" w:eastAsiaTheme="majorEastAsia" w:hAnsi="Arial Narrow" w:cstheme="majorBidi"/>
                <w:b/>
                <w:bCs/>
                <w:sz w:val="20"/>
              </w:rPr>
            </w:pPr>
            <w:r w:rsidRPr="003D294A">
              <w:rPr>
                <w:rFonts w:ascii="Arial Narrow" w:eastAsiaTheme="majorEastAsia" w:hAnsi="Arial Narrow" w:cstheme="majorBidi"/>
                <w:b/>
                <w:bCs/>
                <w:sz w:val="20"/>
              </w:rPr>
              <w:t xml:space="preserve">Component </w:t>
            </w:r>
          </w:p>
        </w:tc>
        <w:tc>
          <w:tcPr>
            <w:tcW w:w="4221" w:type="pct"/>
          </w:tcPr>
          <w:p w14:paraId="1D722CA3" w14:textId="77777777" w:rsidR="009160A8" w:rsidRPr="003D294A" w:rsidRDefault="009160A8" w:rsidP="00CF7B47">
            <w:pPr>
              <w:jc w:val="left"/>
              <w:rPr>
                <w:rFonts w:ascii="Arial Narrow" w:eastAsiaTheme="majorEastAsia" w:hAnsi="Arial Narrow" w:cstheme="majorBidi"/>
                <w:b/>
                <w:bCs/>
                <w:sz w:val="20"/>
              </w:rPr>
            </w:pPr>
            <w:r w:rsidRPr="003D294A">
              <w:rPr>
                <w:rFonts w:ascii="Arial Narrow" w:eastAsiaTheme="majorEastAsia" w:hAnsi="Arial Narrow" w:cstheme="majorBidi"/>
                <w:b/>
                <w:bCs/>
                <w:sz w:val="20"/>
              </w:rPr>
              <w:t>Description</w:t>
            </w:r>
          </w:p>
        </w:tc>
      </w:tr>
      <w:tr w:rsidR="009160A8" w:rsidRPr="003D294A" w14:paraId="0800F1DD" w14:textId="77777777" w:rsidTr="009160A8">
        <w:trPr>
          <w:cantSplit/>
        </w:trPr>
        <w:tc>
          <w:tcPr>
            <w:tcW w:w="779" w:type="pct"/>
            <w:vAlign w:val="center"/>
          </w:tcPr>
          <w:p w14:paraId="38565A88" w14:textId="77777777" w:rsidR="009160A8" w:rsidRPr="003D294A" w:rsidRDefault="009160A8" w:rsidP="00CF7B47">
            <w:pPr>
              <w:pStyle w:val="COMTabletext"/>
              <w:keepNext w:val="0"/>
              <w:keepLines w:val="0"/>
            </w:pPr>
            <w:r w:rsidRPr="003D294A">
              <w:t xml:space="preserve">Type of analysis </w:t>
            </w:r>
          </w:p>
        </w:tc>
        <w:tc>
          <w:tcPr>
            <w:tcW w:w="4221" w:type="pct"/>
            <w:vAlign w:val="center"/>
          </w:tcPr>
          <w:p w14:paraId="63DBF2DD" w14:textId="77777777" w:rsidR="009160A8" w:rsidRPr="003D294A" w:rsidRDefault="009160A8" w:rsidP="00CF7B47">
            <w:pPr>
              <w:pStyle w:val="COMTabletext"/>
              <w:keepNext w:val="0"/>
              <w:keepLines w:val="0"/>
              <w:rPr>
                <w:rFonts w:ascii="Times" w:hAnsi="Times" w:cs="Times New Roman"/>
                <w:szCs w:val="20"/>
              </w:rPr>
            </w:pPr>
            <w:r w:rsidRPr="003D294A">
              <w:t>Cost effectiveness/cost utility analysis</w:t>
            </w:r>
          </w:p>
        </w:tc>
      </w:tr>
      <w:tr w:rsidR="009160A8" w:rsidRPr="003D294A" w14:paraId="43D470CE" w14:textId="77777777" w:rsidTr="009160A8">
        <w:trPr>
          <w:cantSplit/>
        </w:trPr>
        <w:tc>
          <w:tcPr>
            <w:tcW w:w="779" w:type="pct"/>
            <w:vAlign w:val="center"/>
          </w:tcPr>
          <w:p w14:paraId="274B5C24" w14:textId="77777777" w:rsidR="009160A8" w:rsidRPr="003D294A" w:rsidRDefault="009160A8" w:rsidP="00CF7B47">
            <w:pPr>
              <w:pStyle w:val="COMTabletext"/>
              <w:keepNext w:val="0"/>
              <w:keepLines w:val="0"/>
              <w:rPr>
                <w:rFonts w:ascii="Times" w:hAnsi="Times" w:cs="Times New Roman"/>
                <w:szCs w:val="20"/>
              </w:rPr>
            </w:pPr>
            <w:r w:rsidRPr="003D294A">
              <w:t>Outcomes</w:t>
            </w:r>
          </w:p>
        </w:tc>
        <w:tc>
          <w:tcPr>
            <w:tcW w:w="4221" w:type="pct"/>
            <w:vAlign w:val="center"/>
          </w:tcPr>
          <w:p w14:paraId="111A950B" w14:textId="77777777" w:rsidR="009160A8" w:rsidRPr="003D294A" w:rsidRDefault="009160A8" w:rsidP="00CF7B47">
            <w:pPr>
              <w:pStyle w:val="COMTabletext"/>
              <w:keepNext w:val="0"/>
              <w:keepLines w:val="0"/>
            </w:pPr>
            <w:r w:rsidRPr="003D294A">
              <w:t>Life years, quality adjusted life years</w:t>
            </w:r>
          </w:p>
        </w:tc>
      </w:tr>
      <w:tr w:rsidR="009160A8" w:rsidRPr="003D294A" w14:paraId="1D48BDCF" w14:textId="77777777" w:rsidTr="009160A8">
        <w:trPr>
          <w:cantSplit/>
        </w:trPr>
        <w:tc>
          <w:tcPr>
            <w:tcW w:w="779" w:type="pct"/>
            <w:vAlign w:val="center"/>
          </w:tcPr>
          <w:p w14:paraId="47F87650" w14:textId="77777777" w:rsidR="009160A8" w:rsidRPr="003D294A" w:rsidRDefault="009160A8" w:rsidP="00CF7B47">
            <w:pPr>
              <w:pStyle w:val="COMTabletext"/>
              <w:keepNext w:val="0"/>
              <w:keepLines w:val="0"/>
              <w:rPr>
                <w:rFonts w:ascii="Times" w:hAnsi="Times" w:cs="Times New Roman"/>
                <w:szCs w:val="20"/>
              </w:rPr>
            </w:pPr>
            <w:r w:rsidRPr="003D294A">
              <w:t>Time horizon</w:t>
            </w:r>
          </w:p>
        </w:tc>
        <w:tc>
          <w:tcPr>
            <w:tcW w:w="4221" w:type="pct"/>
            <w:vAlign w:val="center"/>
          </w:tcPr>
          <w:p w14:paraId="21DFAEFC" w14:textId="77777777" w:rsidR="009160A8" w:rsidRPr="003D294A" w:rsidRDefault="009160A8" w:rsidP="00CF7B47">
            <w:pPr>
              <w:pStyle w:val="COMTabletext"/>
              <w:keepNext w:val="0"/>
              <w:keepLines w:val="0"/>
              <w:rPr>
                <w:rFonts w:ascii="Times" w:hAnsi="Times" w:cs="Times New Roman"/>
                <w:szCs w:val="20"/>
              </w:rPr>
            </w:pPr>
            <w:r w:rsidRPr="003D294A">
              <w:t>74 years (lifetime)</w:t>
            </w:r>
          </w:p>
        </w:tc>
      </w:tr>
      <w:tr w:rsidR="009160A8" w:rsidRPr="003D294A" w14:paraId="767D7A22" w14:textId="77777777" w:rsidTr="009160A8">
        <w:trPr>
          <w:cantSplit/>
        </w:trPr>
        <w:tc>
          <w:tcPr>
            <w:tcW w:w="779" w:type="pct"/>
            <w:vAlign w:val="center"/>
          </w:tcPr>
          <w:p w14:paraId="0AA673E3" w14:textId="77777777" w:rsidR="009160A8" w:rsidRPr="003D294A" w:rsidRDefault="009160A8" w:rsidP="00CF7B47">
            <w:pPr>
              <w:pStyle w:val="COMTabletext"/>
              <w:keepNext w:val="0"/>
              <w:keepLines w:val="0"/>
              <w:rPr>
                <w:rFonts w:ascii="Times" w:hAnsi="Times" w:cs="Times New Roman"/>
                <w:szCs w:val="20"/>
              </w:rPr>
            </w:pPr>
            <w:r w:rsidRPr="003D294A">
              <w:t>Methods used to generate results</w:t>
            </w:r>
          </w:p>
        </w:tc>
        <w:tc>
          <w:tcPr>
            <w:tcW w:w="4221" w:type="pct"/>
            <w:vAlign w:val="center"/>
          </w:tcPr>
          <w:p w14:paraId="2EB87C18" w14:textId="77777777" w:rsidR="009160A8" w:rsidRPr="003D294A" w:rsidRDefault="009160A8" w:rsidP="00CF7B47">
            <w:pPr>
              <w:pStyle w:val="COMTabletext"/>
              <w:keepNext w:val="0"/>
              <w:keepLines w:val="0"/>
            </w:pPr>
            <w:r w:rsidRPr="003D294A">
              <w:t>Markov cohort analysis</w:t>
            </w:r>
          </w:p>
        </w:tc>
      </w:tr>
      <w:tr w:rsidR="009160A8" w:rsidRPr="003D294A" w14:paraId="72C9D04C" w14:textId="77777777" w:rsidTr="009160A8">
        <w:trPr>
          <w:cantSplit/>
        </w:trPr>
        <w:tc>
          <w:tcPr>
            <w:tcW w:w="779" w:type="pct"/>
            <w:vAlign w:val="center"/>
          </w:tcPr>
          <w:p w14:paraId="46C36D40" w14:textId="77777777" w:rsidR="009160A8" w:rsidRPr="003D294A" w:rsidRDefault="009160A8" w:rsidP="00CF7B47">
            <w:pPr>
              <w:pStyle w:val="COMTabletext"/>
              <w:keepNext w:val="0"/>
              <w:keepLines w:val="0"/>
            </w:pPr>
            <w:r w:rsidRPr="003D294A">
              <w:t>Perspective</w:t>
            </w:r>
          </w:p>
        </w:tc>
        <w:tc>
          <w:tcPr>
            <w:tcW w:w="4221" w:type="pct"/>
            <w:vAlign w:val="center"/>
          </w:tcPr>
          <w:p w14:paraId="524316AD" w14:textId="77777777" w:rsidR="009160A8" w:rsidRPr="003D294A" w:rsidRDefault="009160A8" w:rsidP="00CF7B47">
            <w:pPr>
              <w:pStyle w:val="COMTabletext"/>
              <w:keepNext w:val="0"/>
              <w:keepLines w:val="0"/>
            </w:pPr>
            <w:r w:rsidRPr="003D294A">
              <w:t>Health care system (inclusion of costs and QALY gains associated with redirected kidney transplants)</w:t>
            </w:r>
          </w:p>
        </w:tc>
      </w:tr>
      <w:tr w:rsidR="009160A8" w:rsidRPr="003D294A" w14:paraId="120F0257" w14:textId="77777777" w:rsidTr="009160A8">
        <w:trPr>
          <w:cantSplit/>
        </w:trPr>
        <w:tc>
          <w:tcPr>
            <w:tcW w:w="779" w:type="pct"/>
            <w:vAlign w:val="center"/>
          </w:tcPr>
          <w:p w14:paraId="4348F190" w14:textId="77777777" w:rsidR="009160A8" w:rsidRPr="003D294A" w:rsidRDefault="009160A8" w:rsidP="00CF7B47">
            <w:pPr>
              <w:pStyle w:val="COMTabletext"/>
              <w:keepNext w:val="0"/>
              <w:keepLines w:val="0"/>
            </w:pPr>
            <w:r w:rsidRPr="003D294A">
              <w:t>Treatments</w:t>
            </w:r>
          </w:p>
        </w:tc>
        <w:tc>
          <w:tcPr>
            <w:tcW w:w="4221" w:type="pct"/>
            <w:vAlign w:val="center"/>
          </w:tcPr>
          <w:p w14:paraId="60680830" w14:textId="7C3E1663" w:rsidR="009160A8" w:rsidRPr="003D294A" w:rsidRDefault="009160A8" w:rsidP="00CF7B47">
            <w:pPr>
              <w:pStyle w:val="COMTabletext"/>
              <w:keepNext w:val="0"/>
              <w:keepLines w:val="0"/>
            </w:pPr>
            <w:r w:rsidRPr="003D294A">
              <w:t>Pegcetacoplan or standard of care therapies</w:t>
            </w:r>
          </w:p>
        </w:tc>
      </w:tr>
      <w:tr w:rsidR="009160A8" w:rsidRPr="003D294A" w14:paraId="640BD0C6" w14:textId="77777777" w:rsidTr="009160A8">
        <w:trPr>
          <w:cantSplit/>
        </w:trPr>
        <w:tc>
          <w:tcPr>
            <w:tcW w:w="779" w:type="pct"/>
            <w:vAlign w:val="center"/>
          </w:tcPr>
          <w:p w14:paraId="64D98278" w14:textId="77777777" w:rsidR="009160A8" w:rsidRPr="003D294A" w:rsidRDefault="009160A8" w:rsidP="00CF7B47">
            <w:pPr>
              <w:pStyle w:val="COMTabletext"/>
              <w:keepNext w:val="0"/>
              <w:keepLines w:val="0"/>
              <w:rPr>
                <w:rFonts w:ascii="Times" w:hAnsi="Times" w:cs="Times New Roman"/>
                <w:szCs w:val="20"/>
              </w:rPr>
            </w:pPr>
            <w:r w:rsidRPr="003D294A">
              <w:t>Model structure</w:t>
            </w:r>
          </w:p>
        </w:tc>
        <w:tc>
          <w:tcPr>
            <w:tcW w:w="4221" w:type="pct"/>
            <w:vAlign w:val="center"/>
          </w:tcPr>
          <w:p w14:paraId="076F1EA6" w14:textId="74DEE8A0" w:rsidR="009160A8" w:rsidRPr="003D294A" w:rsidRDefault="009160A8" w:rsidP="00CF7B47">
            <w:pPr>
              <w:pStyle w:val="COMTabletext"/>
              <w:keepNext w:val="0"/>
              <w:keepLines w:val="0"/>
            </w:pPr>
            <w:r w:rsidRPr="003D294A">
              <w:t>20 before transplant health states comprising of 15 CKD stage/UPCR combined health states and 5 kidney replacement therapy health states (transplant eligible or transplant ineligible haemodialysis/peritoneal dialysis and transplant); and 5 CKD stage/UPCR &lt;1 combined tunnel states</w:t>
            </w:r>
          </w:p>
          <w:p w14:paraId="4CF76CBE" w14:textId="77777777" w:rsidR="009160A8" w:rsidRPr="003D294A" w:rsidRDefault="009160A8" w:rsidP="00CF7B47">
            <w:pPr>
              <w:pStyle w:val="COMTabletext"/>
              <w:keepNext w:val="0"/>
              <w:keepLines w:val="0"/>
              <w:rPr>
                <w:sz w:val="12"/>
                <w:szCs w:val="12"/>
              </w:rPr>
            </w:pPr>
          </w:p>
          <w:p w14:paraId="4B1395D5" w14:textId="77777777" w:rsidR="009160A8" w:rsidRPr="003D294A" w:rsidRDefault="009160A8" w:rsidP="00CF7B47">
            <w:pPr>
              <w:pStyle w:val="COMTabletext"/>
              <w:keepNext w:val="0"/>
              <w:keepLines w:val="0"/>
            </w:pPr>
            <w:r w:rsidRPr="003D294A">
              <w:t>18 post-transplant health states comprising of 15 CKD stage/UPCR combined health states and 3 kidney replacement therapy health states (haemodialysis, peritoneal dialysis and transplant); and 5 CKD stage/UPCR &lt;1 combined tunnel states</w:t>
            </w:r>
          </w:p>
          <w:p w14:paraId="4967D9EE" w14:textId="77777777" w:rsidR="009160A8" w:rsidRPr="003D294A" w:rsidRDefault="009160A8" w:rsidP="00CF7B47">
            <w:pPr>
              <w:pStyle w:val="COMTabletext"/>
              <w:keepNext w:val="0"/>
              <w:keepLines w:val="0"/>
              <w:rPr>
                <w:sz w:val="12"/>
                <w:szCs w:val="12"/>
              </w:rPr>
            </w:pPr>
          </w:p>
          <w:p w14:paraId="3020593A" w14:textId="77777777" w:rsidR="009160A8" w:rsidRPr="003D294A" w:rsidRDefault="009160A8" w:rsidP="00CF7B47">
            <w:pPr>
              <w:pStyle w:val="COMTabletext"/>
              <w:keepNext w:val="0"/>
              <w:keepLines w:val="0"/>
            </w:pPr>
            <w:r w:rsidRPr="003D294A">
              <w:t>Death as an absorbing state</w:t>
            </w:r>
          </w:p>
        </w:tc>
      </w:tr>
      <w:tr w:rsidR="009160A8" w:rsidRPr="003D294A" w14:paraId="702A5A31" w14:textId="77777777" w:rsidTr="009160A8">
        <w:trPr>
          <w:cantSplit/>
        </w:trPr>
        <w:tc>
          <w:tcPr>
            <w:tcW w:w="779" w:type="pct"/>
            <w:vAlign w:val="center"/>
          </w:tcPr>
          <w:p w14:paraId="34551971" w14:textId="77777777" w:rsidR="009160A8" w:rsidRPr="003D294A" w:rsidRDefault="009160A8" w:rsidP="00CF7B47">
            <w:pPr>
              <w:pStyle w:val="COMTabletext"/>
              <w:keepNext w:val="0"/>
              <w:keepLines w:val="0"/>
              <w:rPr>
                <w:rFonts w:ascii="Times" w:hAnsi="Times" w:cs="Times New Roman"/>
                <w:szCs w:val="20"/>
              </w:rPr>
            </w:pPr>
            <w:r w:rsidRPr="003D294A">
              <w:t>Cycle length</w:t>
            </w:r>
          </w:p>
        </w:tc>
        <w:tc>
          <w:tcPr>
            <w:tcW w:w="4221" w:type="pct"/>
            <w:vAlign w:val="center"/>
          </w:tcPr>
          <w:p w14:paraId="3FBDD1E7" w14:textId="77777777" w:rsidR="009160A8" w:rsidRPr="003D294A" w:rsidRDefault="009160A8" w:rsidP="00CF7B47">
            <w:pPr>
              <w:pStyle w:val="COMTabletext"/>
              <w:keepNext w:val="0"/>
              <w:keepLines w:val="0"/>
            </w:pPr>
            <w:r w:rsidRPr="003D294A">
              <w:t>3 months (half-cycle correction)</w:t>
            </w:r>
          </w:p>
        </w:tc>
      </w:tr>
      <w:tr w:rsidR="009160A8" w:rsidRPr="003D294A" w14:paraId="2CC3EFB1" w14:textId="77777777" w:rsidTr="0031731A">
        <w:tc>
          <w:tcPr>
            <w:tcW w:w="779" w:type="pct"/>
            <w:vAlign w:val="center"/>
          </w:tcPr>
          <w:p w14:paraId="23D2EA63" w14:textId="77777777" w:rsidR="009160A8" w:rsidRPr="003D294A" w:rsidRDefault="009160A8" w:rsidP="00CF7B47">
            <w:pPr>
              <w:pStyle w:val="COMTabletext"/>
              <w:keepNext w:val="0"/>
              <w:keepLines w:val="0"/>
            </w:pPr>
            <w:r w:rsidRPr="003D294A">
              <w:t xml:space="preserve">Transition probabilities </w:t>
            </w:r>
          </w:p>
        </w:tc>
        <w:tc>
          <w:tcPr>
            <w:tcW w:w="4221" w:type="pct"/>
            <w:vAlign w:val="center"/>
          </w:tcPr>
          <w:p w14:paraId="6D7690AF"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u w:val="single"/>
              </w:rPr>
              <w:t>Risks of treatment discontinuation</w:t>
            </w:r>
            <w:r w:rsidRPr="003D294A">
              <w:rPr>
                <w:rFonts w:ascii="Arial Narrow" w:eastAsiaTheme="majorEastAsia" w:hAnsi="Arial Narrow" w:cstheme="majorBidi"/>
                <w:bCs/>
                <w:sz w:val="20"/>
                <w:szCs w:val="20"/>
              </w:rPr>
              <w:t xml:space="preserve"> according to UPCR level in the pegcetacoplan arm were assumed. </w:t>
            </w:r>
          </w:p>
          <w:p w14:paraId="789976AB"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u w:val="single"/>
              </w:rPr>
              <w:t>Transition probabilities between UPCR levels</w:t>
            </w:r>
            <w:r w:rsidRPr="003D294A">
              <w:rPr>
                <w:rFonts w:ascii="Arial Narrow" w:eastAsiaTheme="majorEastAsia" w:hAnsi="Arial Narrow" w:cstheme="majorBidi"/>
                <w:bCs/>
                <w:sz w:val="20"/>
                <w:szCs w:val="20"/>
              </w:rPr>
              <w:t xml:space="preserve"> were estimated from a regression model, developed from a post hoc analysis of patient-level data from the VALIANT trial.</w:t>
            </w:r>
          </w:p>
          <w:p w14:paraId="326A69F2"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u w:val="single"/>
              </w:rPr>
              <w:t>Transition probabilities between CKD stages</w:t>
            </w:r>
            <w:r w:rsidRPr="003D294A">
              <w:rPr>
                <w:rFonts w:ascii="Arial Narrow" w:eastAsiaTheme="majorEastAsia" w:hAnsi="Arial Narrow" w:cstheme="majorBidi"/>
                <w:bCs/>
                <w:sz w:val="20"/>
                <w:szCs w:val="20"/>
              </w:rPr>
              <w:t xml:space="preserve"> (risk of CKD progression) were based on a post hoc analysis of patient-level data from the VALIANT trial to estimate the rate of eGFR decline according to UPCR levels. Mean eGFR declines were converted to transition probabilities by estimating the total time it would take to transition from the maximum eGFR to the minimum eGFR in each CKD stage. It was assumed that all patients reaching CKD stage 5 would transition to dialysis after one 3-month cycle. </w:t>
            </w:r>
          </w:p>
          <w:p w14:paraId="376F2B14" w14:textId="13DDBD9F"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The estimated transition probabilities for UPCR and CKD stage were combined to derive transitions probabilities for the CKD/UPCR combined health states including the CKD/UPCR&lt;1 tunnel states.</w:t>
            </w:r>
            <w:r w:rsidR="00CF7B47">
              <w:rPr>
                <w:rFonts w:ascii="Arial Narrow" w:eastAsiaTheme="majorEastAsia" w:hAnsi="Arial Narrow" w:cstheme="majorBidi"/>
                <w:bCs/>
                <w:sz w:val="20"/>
                <w:szCs w:val="20"/>
              </w:rPr>
              <w:t xml:space="preserve"> </w:t>
            </w:r>
            <w:r w:rsidRPr="003D294A">
              <w:rPr>
                <w:rFonts w:ascii="Arial Narrow" w:eastAsiaTheme="majorEastAsia" w:hAnsi="Arial Narrow" w:cstheme="majorBidi"/>
                <w:bCs/>
                <w:sz w:val="20"/>
                <w:szCs w:val="20"/>
              </w:rPr>
              <w:t xml:space="preserve"> </w:t>
            </w:r>
          </w:p>
          <w:p w14:paraId="11B64620" w14:textId="77777777" w:rsidR="00063A4D" w:rsidRPr="003D294A" w:rsidRDefault="00B12801" w:rsidP="00CF7B47">
            <w:pPr>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u w:val="single"/>
              </w:rPr>
              <w:t>Dialysis and transplant</w:t>
            </w:r>
            <w:r w:rsidRPr="003D294A">
              <w:rPr>
                <w:rFonts w:ascii="Arial Narrow" w:eastAsiaTheme="majorEastAsia" w:hAnsi="Arial Narrow" w:cstheme="majorBidi"/>
                <w:bCs/>
                <w:sz w:val="20"/>
                <w:szCs w:val="20"/>
              </w:rPr>
              <w:t xml:space="preserve"> </w:t>
            </w:r>
          </w:p>
          <w:p w14:paraId="3ED460A7" w14:textId="699B9BD6"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The submission assumed that 16.8% of patients on dialysis would be ineligible for kidney transplant. The remaining patients were assumed to be on haemodialysis or peritoneal dialysis, distributed according to dialysis modality received by patients in the US (Trivedi 2015). </w:t>
            </w:r>
          </w:p>
          <w:p w14:paraId="748CBDF5" w14:textId="50415631"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Patients on dialysis who are transplant eligible may undergo kidney transplantation. The probability of transplantation was derived from the median time on a waiting list for transplant reported in the Australia and New Zealand Dialysis and Transplant Registry (47</w:t>
            </w:r>
            <w:r w:rsidRPr="003D294A">
              <w:rPr>
                <w:rFonts w:ascii="Arial Narrow" w:eastAsiaTheme="majorEastAsia" w:hAnsi="Arial Narrow" w:cstheme="majorBidi"/>
                <w:bCs/>
                <w:sz w:val="20"/>
                <w:szCs w:val="20"/>
                <w:vertAlign w:val="superscript"/>
              </w:rPr>
              <w:t>th</w:t>
            </w:r>
            <w:r w:rsidRPr="003D294A">
              <w:rPr>
                <w:rFonts w:ascii="Arial Narrow" w:eastAsiaTheme="majorEastAsia" w:hAnsi="Arial Narrow" w:cstheme="majorBidi"/>
                <w:bCs/>
                <w:sz w:val="20"/>
                <w:szCs w:val="20"/>
              </w:rPr>
              <w:t xml:space="preserve"> </w:t>
            </w:r>
            <w:r w:rsidR="00977B8D" w:rsidRPr="003D294A">
              <w:rPr>
                <w:rFonts w:ascii="Arial Narrow" w:eastAsiaTheme="majorEastAsia" w:hAnsi="Arial Narrow" w:cstheme="majorBidi"/>
                <w:bCs/>
                <w:sz w:val="20"/>
                <w:szCs w:val="20"/>
              </w:rPr>
              <w:t>A</w:t>
            </w:r>
            <w:r w:rsidRPr="003D294A">
              <w:rPr>
                <w:rFonts w:ascii="Arial Narrow" w:eastAsiaTheme="majorEastAsia" w:hAnsi="Arial Narrow" w:cstheme="majorBidi"/>
                <w:bCs/>
                <w:sz w:val="20"/>
                <w:szCs w:val="20"/>
              </w:rPr>
              <w:t xml:space="preserve">nnual </w:t>
            </w:r>
            <w:r w:rsidR="00977B8D" w:rsidRPr="003D294A">
              <w:rPr>
                <w:rFonts w:ascii="Arial Narrow" w:eastAsiaTheme="majorEastAsia" w:hAnsi="Arial Narrow" w:cstheme="majorBidi"/>
                <w:bCs/>
                <w:sz w:val="20"/>
                <w:szCs w:val="20"/>
              </w:rPr>
              <w:t>R</w:t>
            </w:r>
            <w:r w:rsidRPr="003D294A">
              <w:rPr>
                <w:rFonts w:ascii="Arial Narrow" w:eastAsiaTheme="majorEastAsia" w:hAnsi="Arial Narrow" w:cstheme="majorBidi"/>
                <w:bCs/>
                <w:sz w:val="20"/>
                <w:szCs w:val="20"/>
              </w:rPr>
              <w:t xml:space="preserve">eport, 2024). </w:t>
            </w:r>
          </w:p>
          <w:p w14:paraId="5660514B"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Following a kidney transplant, a one-off risk of graft failure was applied based on graft failures in the first year among US kidney transplant patients (Pruett 2021). Patients with graft failure were assumed to receive dialysis but remain transplant eligible. Patients with a successful graft were re-distributed across CKD stage 1 to 4 based on 1-year eGFR estimates among post-transplant patients in the US (Pruett 2021). The submission assumed that post-transplant patients with a successful graft would return to the </w:t>
            </w:r>
            <w:r w:rsidRPr="003D294A">
              <w:rPr>
                <w:rFonts w:ascii="Arial Narrow" w:eastAsiaTheme="majorEastAsia" w:hAnsi="Arial Narrow" w:cstheme="majorBidi"/>
                <w:bCs/>
                <w:sz w:val="20"/>
                <w:szCs w:val="20"/>
              </w:rPr>
              <w:lastRenderedPageBreak/>
              <w:t>initial distribution of UPCR levels in the model. In subsequent cycles, post-transplant patients with a successful graft were attributed the same transition probabilities between the CKD/UPCR combined health states as for the before transplant health states. All post-transplant patients who reach CKD stage 5 and commence dialysis were assumed to be eligible for subsequent transplants.</w:t>
            </w:r>
          </w:p>
          <w:p w14:paraId="2DF6031B" w14:textId="5BA1666B" w:rsidR="001A3C04" w:rsidRPr="003D294A" w:rsidRDefault="001A3C04" w:rsidP="00CF7B47">
            <w:pPr>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u w:val="single"/>
              </w:rPr>
              <w:t>Mortality and cardiovascular events</w:t>
            </w:r>
          </w:p>
          <w:p w14:paraId="6655E73E" w14:textId="1CE8449F"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Risks of cardiovascular events were based on a US study of </w:t>
            </w:r>
            <w:r w:rsidR="00977B8D" w:rsidRPr="003D294A">
              <w:rPr>
                <w:rFonts w:ascii="Arial Narrow" w:eastAsiaTheme="majorEastAsia" w:hAnsi="Arial Narrow" w:cstheme="majorBidi"/>
                <w:bCs/>
                <w:sz w:val="20"/>
                <w:szCs w:val="20"/>
              </w:rPr>
              <w:t xml:space="preserve">the </w:t>
            </w:r>
            <w:r w:rsidRPr="003D294A">
              <w:rPr>
                <w:rFonts w:ascii="Arial Narrow" w:eastAsiaTheme="majorEastAsia" w:hAnsi="Arial Narrow" w:cstheme="majorBidi"/>
                <w:bCs/>
                <w:sz w:val="20"/>
                <w:szCs w:val="20"/>
              </w:rPr>
              <w:t>prevalence of stroke (</w:t>
            </w:r>
            <w:proofErr w:type="spellStart"/>
            <w:r w:rsidRPr="003D294A">
              <w:rPr>
                <w:rFonts w:ascii="Arial Narrow" w:eastAsiaTheme="majorEastAsia" w:hAnsi="Arial Narrow" w:cstheme="majorBidi"/>
                <w:bCs/>
                <w:sz w:val="20"/>
                <w:szCs w:val="20"/>
              </w:rPr>
              <w:t>Imoisili</w:t>
            </w:r>
            <w:proofErr w:type="spellEnd"/>
            <w:r w:rsidRPr="003D294A">
              <w:rPr>
                <w:rFonts w:ascii="Arial Narrow" w:eastAsiaTheme="majorEastAsia" w:hAnsi="Arial Narrow" w:cstheme="majorBidi"/>
                <w:bCs/>
                <w:sz w:val="20"/>
                <w:szCs w:val="20"/>
              </w:rPr>
              <w:t xml:space="preserve"> 2024) and </w:t>
            </w:r>
            <w:r w:rsidR="00977B8D" w:rsidRPr="003D294A">
              <w:rPr>
                <w:rFonts w:ascii="Arial Narrow" w:eastAsiaTheme="majorEastAsia" w:hAnsi="Arial Narrow" w:cstheme="majorBidi"/>
                <w:bCs/>
                <w:sz w:val="20"/>
                <w:szCs w:val="20"/>
              </w:rPr>
              <w:t xml:space="preserve">a </w:t>
            </w:r>
            <w:r w:rsidRPr="003D294A">
              <w:rPr>
                <w:rFonts w:ascii="Arial Narrow" w:eastAsiaTheme="majorEastAsia" w:hAnsi="Arial Narrow" w:cstheme="majorBidi"/>
                <w:bCs/>
                <w:sz w:val="20"/>
                <w:szCs w:val="20"/>
              </w:rPr>
              <w:t xml:space="preserve">global study of </w:t>
            </w:r>
            <w:r w:rsidR="00977B8D" w:rsidRPr="003D294A">
              <w:rPr>
                <w:rFonts w:ascii="Arial Narrow" w:eastAsiaTheme="majorEastAsia" w:hAnsi="Arial Narrow" w:cstheme="majorBidi"/>
                <w:bCs/>
                <w:sz w:val="20"/>
                <w:szCs w:val="20"/>
              </w:rPr>
              <w:t xml:space="preserve">the </w:t>
            </w:r>
            <w:r w:rsidRPr="003D294A">
              <w:rPr>
                <w:rFonts w:ascii="Arial Narrow" w:eastAsiaTheme="majorEastAsia" w:hAnsi="Arial Narrow" w:cstheme="majorBidi"/>
                <w:bCs/>
                <w:sz w:val="20"/>
                <w:szCs w:val="20"/>
              </w:rPr>
              <w:t>prevalence of heart failure (</w:t>
            </w:r>
            <w:proofErr w:type="spellStart"/>
            <w:r w:rsidRPr="003D294A">
              <w:rPr>
                <w:rFonts w:ascii="Arial Narrow" w:eastAsiaTheme="majorEastAsia" w:hAnsi="Arial Narrow" w:cstheme="majorBidi"/>
                <w:bCs/>
                <w:sz w:val="20"/>
                <w:szCs w:val="20"/>
              </w:rPr>
              <w:t>Bragazzi</w:t>
            </w:r>
            <w:proofErr w:type="spellEnd"/>
            <w:r w:rsidRPr="003D294A">
              <w:rPr>
                <w:rFonts w:ascii="Arial Narrow" w:eastAsiaTheme="majorEastAsia" w:hAnsi="Arial Narrow" w:cstheme="majorBidi"/>
                <w:bCs/>
                <w:sz w:val="20"/>
                <w:szCs w:val="20"/>
              </w:rPr>
              <w:t xml:space="preserve"> 2021). The source of the risk of myocardial infarction was not presented in the submission. The model also applied cardiovascular event risk multipliers, with increasing risk in later CKD stages (source not provided). </w:t>
            </w:r>
          </w:p>
          <w:p w14:paraId="08952C4A"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All-cause mortality was estimated based on Australian life tables (Australian Bureau of Statistics 2022-2023) with additional risk multipliers for CKD stage and kidney replacement therapy health states based on a cost-effectiveness analysis of finerenone versus standard of care in patients with type 2 diabetes and chronic kidney disease (Quist 2025). </w:t>
            </w:r>
          </w:p>
          <w:p w14:paraId="5DD0C289" w14:textId="77777777" w:rsidR="009160A8" w:rsidRPr="003D294A" w:rsidRDefault="009160A8" w:rsidP="00CF7B47">
            <w:pPr>
              <w:pStyle w:val="COMTabletext"/>
              <w:keepNext w:val="0"/>
              <w:keepLines w:val="0"/>
            </w:pPr>
            <w:r w:rsidRPr="003D294A">
              <w:rPr>
                <w:bCs w:val="0"/>
                <w:szCs w:val="20"/>
              </w:rPr>
              <w:t>Cardiovascular mortality was estimated based on</w:t>
            </w:r>
            <w:r w:rsidRPr="003D294A">
              <w:rPr>
                <w:szCs w:val="20"/>
              </w:rPr>
              <w:t xml:space="preserve"> predicted death rates for vascular disease from US life tables (actuarial study no. 116 published in 2002) with additional risk multipliers </w:t>
            </w:r>
            <w:r w:rsidRPr="003D294A">
              <w:rPr>
                <w:bCs w:val="0"/>
                <w:szCs w:val="20"/>
              </w:rPr>
              <w:t xml:space="preserve">CKD stage and kidney replacement therapy health states </w:t>
            </w:r>
            <w:r w:rsidRPr="003D294A">
              <w:rPr>
                <w:szCs w:val="20"/>
              </w:rPr>
              <w:t>(source not provided).</w:t>
            </w:r>
          </w:p>
        </w:tc>
      </w:tr>
      <w:tr w:rsidR="009160A8" w:rsidRPr="003D294A" w14:paraId="26495063" w14:textId="77777777" w:rsidTr="009160A8">
        <w:trPr>
          <w:cantSplit/>
          <w:trHeight w:val="54"/>
        </w:trPr>
        <w:tc>
          <w:tcPr>
            <w:tcW w:w="779" w:type="pct"/>
            <w:vAlign w:val="center"/>
          </w:tcPr>
          <w:p w14:paraId="7CAD47DF" w14:textId="5778A86B" w:rsidR="009160A8" w:rsidRPr="003D294A" w:rsidRDefault="009160A8" w:rsidP="00CF7B47">
            <w:pPr>
              <w:pStyle w:val="COMTabletext"/>
              <w:keepNext w:val="0"/>
              <w:keepLines w:val="0"/>
            </w:pPr>
            <w:r w:rsidRPr="003D294A">
              <w:lastRenderedPageBreak/>
              <w:t>Utility values</w:t>
            </w:r>
          </w:p>
        </w:tc>
        <w:tc>
          <w:tcPr>
            <w:tcW w:w="4221" w:type="pct"/>
            <w:vAlign w:val="center"/>
          </w:tcPr>
          <w:p w14:paraId="7B05391D" w14:textId="36408C3A"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UPCR health state disutilities were estimated based on post hoc analyses of EQ-5D-5L index scores in the VALIANT trial, mapped to EQ-5D-3L utility values (UK value set) (no documentation of </w:t>
            </w:r>
            <w:r w:rsidR="001F1F88" w:rsidRPr="003D294A">
              <w:rPr>
                <w:rFonts w:ascii="Arial Narrow" w:eastAsiaTheme="majorEastAsia" w:hAnsi="Arial Narrow" w:cstheme="majorBidi"/>
                <w:bCs/>
                <w:sz w:val="20"/>
                <w:szCs w:val="20"/>
              </w:rPr>
              <w:t xml:space="preserve">the </w:t>
            </w:r>
            <w:r w:rsidR="008A72BE" w:rsidRPr="003D294A">
              <w:rPr>
                <w:rFonts w:ascii="Arial Narrow" w:eastAsiaTheme="majorEastAsia" w:hAnsi="Arial Narrow" w:cstheme="majorBidi"/>
                <w:bCs/>
                <w:sz w:val="20"/>
                <w:szCs w:val="20"/>
              </w:rPr>
              <w:t xml:space="preserve">original scores or </w:t>
            </w:r>
            <w:r w:rsidRPr="003D294A">
              <w:rPr>
                <w:rFonts w:ascii="Arial Narrow" w:eastAsiaTheme="majorEastAsia" w:hAnsi="Arial Narrow" w:cstheme="majorBidi"/>
                <w:bCs/>
                <w:sz w:val="20"/>
                <w:szCs w:val="20"/>
              </w:rPr>
              <w:t xml:space="preserve">mapping </w:t>
            </w:r>
            <w:r w:rsidR="001F1F88" w:rsidRPr="003D294A">
              <w:rPr>
                <w:rFonts w:ascii="Arial Narrow" w:eastAsiaTheme="majorEastAsia" w:hAnsi="Arial Narrow" w:cstheme="majorBidi"/>
                <w:bCs/>
                <w:sz w:val="20"/>
                <w:szCs w:val="20"/>
              </w:rPr>
              <w:t xml:space="preserve">were </w:t>
            </w:r>
            <w:r w:rsidRPr="003D294A">
              <w:rPr>
                <w:rFonts w:ascii="Arial Narrow" w:eastAsiaTheme="majorEastAsia" w:hAnsi="Arial Narrow" w:cstheme="majorBidi"/>
                <w:bCs/>
                <w:sz w:val="20"/>
                <w:szCs w:val="20"/>
              </w:rPr>
              <w:t>provided). UPCR health state disutility values were derived from a linear regression model fitted to the mapped EQ-5D-3L utility scores.</w:t>
            </w:r>
            <w:r w:rsidR="00CF7B47">
              <w:rPr>
                <w:rFonts w:ascii="Arial Narrow" w:eastAsiaTheme="majorEastAsia" w:hAnsi="Arial Narrow" w:cstheme="majorBidi"/>
                <w:bCs/>
                <w:sz w:val="20"/>
                <w:szCs w:val="20"/>
              </w:rPr>
              <w:t xml:space="preserve"> </w:t>
            </w:r>
          </w:p>
          <w:p w14:paraId="126D0D24"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CKD stage 1 and 2 health state utility values were estimated based on a post hoc analysis of VALIANT trial data (estimates could not be validated during the evaluation). CKD stage 3 and 4 utility values were based on a published systematic review of health state utility values in chronic kidney disease (Cooper 2020). </w:t>
            </w:r>
          </w:p>
          <w:p w14:paraId="7C9DDE70"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Kidney failure health state utility values (CKD 5, haemodialysis, peritoneal dialysis, transplant) were based on a published systematic review of health state utility values in chronic kidney disease (Cooper 2020). The submission tested the impact of including a caregiver disutility in sensitivity analyses, based on a survey of EQ-5D-5L utility values in patients with CKD and their caregivers in the US (Esposito 2023, abstract only).</w:t>
            </w:r>
          </w:p>
          <w:p w14:paraId="67B510B5"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The submission assumed no disutilities associated with treatment-related adverse events.</w:t>
            </w:r>
          </w:p>
          <w:p w14:paraId="284EE5FE" w14:textId="77777777" w:rsidR="009160A8" w:rsidRPr="003D294A" w:rsidRDefault="009160A8" w:rsidP="00CF7B47">
            <w:pPr>
              <w:spacing w:after="120"/>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Cardiovascular event disutility values were based on a cost-effectiveness analysis of finerenone versus placebo in patients with CKD and type 2 diabetes (Quist 2025) and a cost-effectiveness analysis of dapagliflozin versus placebo in patients with CKD (McEwan 2022).</w:t>
            </w:r>
          </w:p>
          <w:p w14:paraId="1EAB2223" w14:textId="6821876F" w:rsidR="009160A8" w:rsidRPr="003D294A" w:rsidRDefault="009160A8" w:rsidP="00CF7B47">
            <w:pPr>
              <w:jc w:val="left"/>
              <w:rPr>
                <w:rFonts w:ascii="Arial Narrow" w:eastAsiaTheme="majorEastAsia" w:hAnsi="Arial Narrow" w:cstheme="majorBidi"/>
                <w:bCs/>
                <w:sz w:val="20"/>
                <w:szCs w:val="20"/>
              </w:rPr>
            </w:pPr>
            <w:r w:rsidRPr="003D294A">
              <w:rPr>
                <w:rFonts w:ascii="Arial Narrow" w:eastAsiaTheme="majorEastAsia" w:hAnsi="Arial Narrow" w:cstheme="majorBidi"/>
                <w:bCs/>
                <w:sz w:val="20"/>
                <w:szCs w:val="20"/>
              </w:rPr>
              <w:t xml:space="preserve">The QALY gain associated with redirected kidney transplants </w:t>
            </w:r>
            <w:r w:rsidR="001F1F88" w:rsidRPr="003D294A">
              <w:rPr>
                <w:rFonts w:ascii="Arial Narrow" w:eastAsiaTheme="majorEastAsia" w:hAnsi="Arial Narrow" w:cstheme="majorBidi"/>
                <w:bCs/>
                <w:sz w:val="20"/>
                <w:szCs w:val="20"/>
              </w:rPr>
              <w:t>was</w:t>
            </w:r>
            <w:r w:rsidRPr="003D294A">
              <w:rPr>
                <w:rFonts w:ascii="Arial Narrow" w:eastAsiaTheme="majorEastAsia" w:hAnsi="Arial Narrow" w:cstheme="majorBidi"/>
                <w:bCs/>
                <w:sz w:val="20"/>
                <w:szCs w:val="20"/>
              </w:rPr>
              <w:t xml:space="preserve"> based on </w:t>
            </w:r>
            <w:r w:rsidR="001F1F88" w:rsidRPr="003D294A">
              <w:rPr>
                <w:rFonts w:ascii="Arial Narrow" w:eastAsiaTheme="majorEastAsia" w:hAnsi="Arial Narrow" w:cstheme="majorBidi"/>
                <w:bCs/>
                <w:sz w:val="20"/>
                <w:szCs w:val="20"/>
              </w:rPr>
              <w:t xml:space="preserve">an </w:t>
            </w:r>
            <w:r w:rsidRPr="003D294A">
              <w:rPr>
                <w:rFonts w:ascii="Arial Narrow" w:eastAsiaTheme="majorEastAsia" w:hAnsi="Arial Narrow" w:cstheme="majorBidi"/>
                <w:bCs/>
                <w:sz w:val="20"/>
                <w:szCs w:val="20"/>
              </w:rPr>
              <w:t>Australian economic analysis of early transplantation with a moderate quality kidney versus remaining on dialysis whil</w:t>
            </w:r>
            <w:r w:rsidR="001F1F88" w:rsidRPr="003D294A">
              <w:rPr>
                <w:rFonts w:ascii="Arial Narrow" w:eastAsiaTheme="majorEastAsia" w:hAnsi="Arial Narrow" w:cstheme="majorBidi"/>
                <w:bCs/>
                <w:sz w:val="20"/>
                <w:szCs w:val="20"/>
              </w:rPr>
              <w:t>e</w:t>
            </w:r>
            <w:r w:rsidRPr="003D294A">
              <w:rPr>
                <w:rFonts w:ascii="Arial Narrow" w:eastAsiaTheme="majorEastAsia" w:hAnsi="Arial Narrow" w:cstheme="majorBidi"/>
                <w:bCs/>
                <w:sz w:val="20"/>
                <w:szCs w:val="20"/>
              </w:rPr>
              <w:t xml:space="preserve"> on a waitlist for transplant (Senanayake 2020).</w:t>
            </w:r>
          </w:p>
        </w:tc>
      </w:tr>
      <w:tr w:rsidR="009160A8" w:rsidRPr="003D294A" w14:paraId="4B10F2B5" w14:textId="77777777" w:rsidTr="0031731A">
        <w:tc>
          <w:tcPr>
            <w:tcW w:w="779" w:type="pct"/>
            <w:vAlign w:val="center"/>
          </w:tcPr>
          <w:p w14:paraId="5FA3A4BA" w14:textId="0E6F33CE" w:rsidR="009160A8" w:rsidRPr="003D294A" w:rsidRDefault="009160A8" w:rsidP="00CF7B47">
            <w:pPr>
              <w:pStyle w:val="COMTabletext"/>
              <w:keepNext w:val="0"/>
              <w:keepLines w:val="0"/>
            </w:pPr>
            <w:r w:rsidRPr="003D294A">
              <w:t>Costs</w:t>
            </w:r>
          </w:p>
        </w:tc>
        <w:tc>
          <w:tcPr>
            <w:tcW w:w="4221" w:type="pct"/>
            <w:vAlign w:val="center"/>
          </w:tcPr>
          <w:p w14:paraId="45063AC1" w14:textId="77777777" w:rsidR="009160A8" w:rsidRPr="003D294A" w:rsidRDefault="009160A8" w:rsidP="00CF7B47">
            <w:pPr>
              <w:spacing w:after="120"/>
              <w:jc w:val="left"/>
              <w:rPr>
                <w:rFonts w:ascii="Arial Narrow" w:eastAsiaTheme="majorEastAsia" w:hAnsi="Arial Narrow" w:cstheme="majorBidi"/>
                <w:bCs/>
                <w:sz w:val="20"/>
              </w:rPr>
            </w:pPr>
            <w:r w:rsidRPr="003D294A">
              <w:rPr>
                <w:rFonts w:ascii="Arial Narrow" w:eastAsiaTheme="majorEastAsia" w:hAnsi="Arial Narrow" w:cstheme="majorBidi"/>
                <w:bCs/>
                <w:sz w:val="20"/>
              </w:rPr>
              <w:t>Pegcetacoplan drug costs were estimated based on the proposed effective price and assuming 90% dose intensity. Drug costs for standard of care (ACEI/ARB, corticosteroids, immunosuppressants and SGLT2 inhibitors) were based on published prices. The submission assumed no administration costs (all patients on pegcetacoplan would self-administer) and no vaccine costs (no justification provided).</w:t>
            </w:r>
          </w:p>
          <w:p w14:paraId="1B08CA3E" w14:textId="77777777" w:rsidR="009160A8" w:rsidRPr="003D294A" w:rsidRDefault="009160A8" w:rsidP="00CF7B47">
            <w:pPr>
              <w:spacing w:after="120"/>
              <w:jc w:val="left"/>
              <w:rPr>
                <w:rFonts w:ascii="Arial Narrow" w:eastAsiaTheme="majorEastAsia" w:hAnsi="Arial Narrow" w:cstheme="majorBidi"/>
                <w:bCs/>
                <w:sz w:val="20"/>
              </w:rPr>
            </w:pPr>
            <w:r w:rsidRPr="003D294A">
              <w:rPr>
                <w:rFonts w:ascii="Arial Narrow" w:eastAsiaTheme="majorEastAsia" w:hAnsi="Arial Narrow" w:cstheme="majorBidi"/>
                <w:bCs/>
                <w:sz w:val="20"/>
              </w:rPr>
              <w:t>CKD stage/UPCR combined health state costs were estimated using values presented in a costing analysis of chronic kidney disease in Australia based on a Western Australian data linkage study using a ‘bottom up’ costing approach (Randall 2024), with adjustments according to UPCR level within each CKD stage derived from a retrospective study of US electronic health records in patients with IgA nephropathy (Lerma 2023).</w:t>
            </w:r>
          </w:p>
          <w:p w14:paraId="3B4374FB" w14:textId="77777777" w:rsidR="009160A8" w:rsidRPr="003D294A" w:rsidRDefault="009160A8" w:rsidP="00CF7B47">
            <w:pPr>
              <w:spacing w:after="120"/>
              <w:jc w:val="left"/>
              <w:rPr>
                <w:rFonts w:ascii="Arial Narrow" w:eastAsiaTheme="majorEastAsia" w:hAnsi="Arial Narrow" w:cstheme="majorBidi"/>
                <w:bCs/>
                <w:sz w:val="20"/>
              </w:rPr>
            </w:pPr>
            <w:r w:rsidRPr="003D294A">
              <w:rPr>
                <w:rFonts w:ascii="Arial Narrow" w:eastAsiaTheme="majorEastAsia" w:hAnsi="Arial Narrow" w:cstheme="majorBidi"/>
                <w:bCs/>
                <w:sz w:val="20"/>
              </w:rPr>
              <w:t>Costs of kidney replacement therapies were based on values used as inputs in a cost-effectiveness and budget impact analysis of implementing a ‘soft opt-out’ system for kidney donation in Australia (Senanayake 2022).</w:t>
            </w:r>
          </w:p>
          <w:p w14:paraId="25EB8D76" w14:textId="1CC29336" w:rsidR="009160A8" w:rsidRPr="003D294A" w:rsidRDefault="009160A8" w:rsidP="00CF7B47">
            <w:pPr>
              <w:spacing w:after="120"/>
              <w:jc w:val="left"/>
              <w:rPr>
                <w:rFonts w:ascii="Arial Narrow" w:eastAsiaTheme="majorEastAsia" w:hAnsi="Arial Narrow" w:cstheme="majorBidi"/>
                <w:bCs/>
                <w:sz w:val="20"/>
              </w:rPr>
            </w:pPr>
            <w:r w:rsidRPr="003D294A">
              <w:rPr>
                <w:rFonts w:ascii="Arial Narrow" w:eastAsiaTheme="majorEastAsia" w:hAnsi="Arial Narrow" w:cstheme="majorBidi"/>
                <w:bCs/>
                <w:sz w:val="20"/>
              </w:rPr>
              <w:lastRenderedPageBreak/>
              <w:t xml:space="preserve">The submission assumed no treatment-related adverse event costs. Costs for adverse events due to long-term corticosteroid use </w:t>
            </w:r>
            <w:r w:rsidR="001F1F88" w:rsidRPr="003D294A">
              <w:rPr>
                <w:rFonts w:ascii="Arial Narrow" w:eastAsiaTheme="majorEastAsia" w:hAnsi="Arial Narrow" w:cstheme="majorBidi"/>
                <w:bCs/>
                <w:sz w:val="20"/>
              </w:rPr>
              <w:t xml:space="preserve">were </w:t>
            </w:r>
            <w:r w:rsidRPr="003D294A">
              <w:rPr>
                <w:rFonts w:ascii="Arial Narrow" w:eastAsiaTheme="majorEastAsia" w:hAnsi="Arial Narrow" w:cstheme="majorBidi"/>
                <w:bCs/>
                <w:sz w:val="20"/>
              </w:rPr>
              <w:t>based on estimates reported for low dose users in a systematic review of publications on the burden of long-term corticosteroid exposure (Rice 2017).</w:t>
            </w:r>
          </w:p>
          <w:p w14:paraId="589EBE42" w14:textId="77777777" w:rsidR="009160A8" w:rsidRPr="003D294A" w:rsidRDefault="009160A8" w:rsidP="00CF7B47">
            <w:pPr>
              <w:spacing w:after="120"/>
              <w:jc w:val="left"/>
              <w:rPr>
                <w:rFonts w:ascii="Arial Narrow" w:eastAsiaTheme="majorEastAsia" w:hAnsi="Arial Narrow" w:cstheme="majorBidi"/>
                <w:bCs/>
                <w:sz w:val="20"/>
              </w:rPr>
            </w:pPr>
            <w:r w:rsidRPr="003D294A">
              <w:rPr>
                <w:rFonts w:ascii="Arial Narrow" w:eastAsiaTheme="majorEastAsia" w:hAnsi="Arial Narrow" w:cstheme="majorBidi"/>
                <w:bCs/>
                <w:sz w:val="20"/>
              </w:rPr>
              <w:t>Costs of acute cardiovascular events were estimated based on hospitalisation costs from inlier price weights for selected Australian Refined Diagnosis Related Groups (AR-DRGs) in the National Efficient Price Determination 2025-26 report.</w:t>
            </w:r>
            <w:r w:rsidRPr="003D294A">
              <w:t xml:space="preserve"> </w:t>
            </w:r>
            <w:r w:rsidRPr="003D294A">
              <w:rPr>
                <w:rFonts w:ascii="Arial Narrow" w:eastAsiaTheme="majorEastAsia" w:hAnsi="Arial Narrow" w:cstheme="majorBidi"/>
                <w:bCs/>
                <w:sz w:val="20"/>
              </w:rPr>
              <w:t>Long-term costs in patients with a stroke were estimated from an Australian study of the economic impact of stroke using a Markov decision analytic model (Kim 2024).</w:t>
            </w:r>
          </w:p>
          <w:p w14:paraId="5CF5D460" w14:textId="77777777" w:rsidR="009160A8" w:rsidRPr="003D294A" w:rsidRDefault="009160A8" w:rsidP="00CF7B47">
            <w:pPr>
              <w:spacing w:after="120"/>
              <w:jc w:val="left"/>
              <w:rPr>
                <w:rFonts w:ascii="Arial Narrow" w:eastAsiaTheme="majorEastAsia" w:hAnsi="Arial Narrow" w:cstheme="majorBidi"/>
                <w:bCs/>
                <w:sz w:val="20"/>
              </w:rPr>
            </w:pPr>
            <w:r w:rsidRPr="003D294A">
              <w:rPr>
                <w:rFonts w:ascii="Arial Narrow" w:eastAsiaTheme="majorEastAsia" w:hAnsi="Arial Narrow" w:cstheme="majorBidi"/>
                <w:bCs/>
                <w:sz w:val="20"/>
              </w:rPr>
              <w:t>Terminal care costs were based on expert opinion from an Australian Senate report (item 3.71 of the Parliament of Australia – Palliative care in Australia, Senate report 10 October 2012).</w:t>
            </w:r>
          </w:p>
          <w:p w14:paraId="23F3625B" w14:textId="5F478A34" w:rsidR="009160A8" w:rsidRPr="003D294A" w:rsidRDefault="009160A8" w:rsidP="00CF7B47">
            <w:pPr>
              <w:pStyle w:val="COMTabletext"/>
              <w:keepNext w:val="0"/>
              <w:keepLines w:val="0"/>
            </w:pPr>
            <w:r w:rsidRPr="003D294A">
              <w:t>Cost savings associated with redirected kidney transplant were based on an Australian economic analysis of early transplantation with a moderate quality kidney versus remaining on dialysis whil</w:t>
            </w:r>
            <w:r w:rsidR="001F1F88" w:rsidRPr="003D294A">
              <w:t>e</w:t>
            </w:r>
            <w:r w:rsidRPr="003D294A">
              <w:t xml:space="preserve"> on a waitlist for transplant (Senanayake 2020).</w:t>
            </w:r>
          </w:p>
        </w:tc>
      </w:tr>
      <w:tr w:rsidR="009160A8" w:rsidRPr="003D294A" w14:paraId="7F0A5C0F" w14:textId="77777777" w:rsidTr="009160A8">
        <w:trPr>
          <w:cantSplit/>
        </w:trPr>
        <w:tc>
          <w:tcPr>
            <w:tcW w:w="779" w:type="pct"/>
            <w:vAlign w:val="center"/>
          </w:tcPr>
          <w:p w14:paraId="73CF1EAE" w14:textId="77777777" w:rsidR="009160A8" w:rsidRPr="003D294A" w:rsidRDefault="009160A8" w:rsidP="00CF7B47">
            <w:pPr>
              <w:pStyle w:val="COMTabletext"/>
              <w:keepNext w:val="0"/>
              <w:keepLines w:val="0"/>
            </w:pPr>
            <w:r w:rsidRPr="003D294A">
              <w:lastRenderedPageBreak/>
              <w:t>Discount rate</w:t>
            </w:r>
          </w:p>
        </w:tc>
        <w:tc>
          <w:tcPr>
            <w:tcW w:w="4221" w:type="pct"/>
            <w:vAlign w:val="center"/>
          </w:tcPr>
          <w:p w14:paraId="6BD9010E" w14:textId="77777777" w:rsidR="009160A8" w:rsidRPr="003D294A" w:rsidRDefault="009160A8" w:rsidP="00CF7B47">
            <w:pPr>
              <w:pStyle w:val="COMTabletext"/>
              <w:keepNext w:val="0"/>
              <w:keepLines w:val="0"/>
            </w:pPr>
            <w:r w:rsidRPr="003D294A">
              <w:t>5% for costs and outcomes</w:t>
            </w:r>
          </w:p>
        </w:tc>
      </w:tr>
      <w:tr w:rsidR="009160A8" w:rsidRPr="003D294A" w14:paraId="60BCFDD6" w14:textId="77777777" w:rsidTr="009160A8">
        <w:trPr>
          <w:cantSplit/>
        </w:trPr>
        <w:tc>
          <w:tcPr>
            <w:tcW w:w="779" w:type="pct"/>
            <w:vAlign w:val="center"/>
          </w:tcPr>
          <w:p w14:paraId="4B7AB3E5" w14:textId="77777777" w:rsidR="009160A8" w:rsidRPr="003D294A" w:rsidRDefault="009160A8" w:rsidP="00CF7B47">
            <w:pPr>
              <w:pStyle w:val="COMTabletext"/>
              <w:keepNext w:val="0"/>
              <w:keepLines w:val="0"/>
              <w:rPr>
                <w:rFonts w:ascii="Times" w:hAnsi="Times" w:cs="Times New Roman"/>
                <w:szCs w:val="20"/>
              </w:rPr>
            </w:pPr>
            <w:r w:rsidRPr="003D294A">
              <w:t>Software package</w:t>
            </w:r>
          </w:p>
        </w:tc>
        <w:tc>
          <w:tcPr>
            <w:tcW w:w="4221" w:type="pct"/>
            <w:vAlign w:val="center"/>
          </w:tcPr>
          <w:p w14:paraId="3D542930" w14:textId="77777777" w:rsidR="009160A8" w:rsidRPr="003D294A" w:rsidRDefault="009160A8" w:rsidP="00CF7B47">
            <w:pPr>
              <w:pStyle w:val="COMTabletext"/>
              <w:keepNext w:val="0"/>
              <w:keepLines w:val="0"/>
            </w:pPr>
            <w:r w:rsidRPr="003D294A">
              <w:t>Microsoft Excel</w:t>
            </w:r>
          </w:p>
        </w:tc>
      </w:tr>
    </w:tbl>
    <w:p w14:paraId="19A008B3" w14:textId="4D6EE389" w:rsidR="009160A8" w:rsidRPr="003D294A" w:rsidRDefault="009160A8" w:rsidP="00CF7B47">
      <w:pPr>
        <w:pStyle w:val="COMTablefooter"/>
      </w:pPr>
      <w:r w:rsidRPr="003D294A">
        <w:t>Source: Table 3-1, p82; Sections 3.3-3.6, pp84-96 of the submission</w:t>
      </w:r>
    </w:p>
    <w:p w14:paraId="2B7A87FB" w14:textId="77777777" w:rsidR="009160A8" w:rsidRPr="003D294A" w:rsidRDefault="009160A8" w:rsidP="00CF7B47">
      <w:pPr>
        <w:pStyle w:val="COMTablefooter"/>
      </w:pPr>
      <w:r w:rsidRPr="003D294A">
        <w:t>Abbreviations: ACEI, angiotensin converting enzyme inhibitors; ARB, angiotensin II receptor blockers; CKD, chronic kidney disease; eGFR, estimated glomerular filtration rate; QALY, quality adjusted life year; SGLT2, sodium glucose cotransporter 2; UPCR, urine protein-creatinine ratio</w:t>
      </w:r>
    </w:p>
    <w:p w14:paraId="16570795" w14:textId="6A5BFB53" w:rsidR="009160A8" w:rsidRPr="003D294A" w:rsidRDefault="009160A8" w:rsidP="00CF7B47">
      <w:pPr>
        <w:pStyle w:val="COMESnumberedpara"/>
      </w:pPr>
      <w:r w:rsidRPr="003D294A">
        <w:t>Patients enter the model with chronic kidney disease and elevated proteinuria based on an assumed distribution across CKD stages 2 and 3 and an adjusted UPCR level distribution based on the VALIANT trial (4 combined health states of CKD 2/UPCR 1-3, CKD 2/UPCR &lt;3, CKD 3/UPCR 1-3 and CKD 3/UPCR &gt;3). In each 3-month cycle, patients can move to any UPCR health state (stay, improve or worsen) but can only stay or progress to a worse CKD stage. In each cycle, patients can also experience a non-fatal cardiovascular event or die due to cardiovascular or other causes. Patients who reach CKD stage 5 are assumed to receive conservative care for one cycle, after which all patients switch to haemodialysis or peritoneal dialysis. Patients on dialysis are either eligible or ineligible for transplant; those who are ineligible remain on dialysis until death. Patients who are eligible for transplant can either remain on dialysis or undergo a transplant.</w:t>
      </w:r>
      <w:r w:rsidR="002C30A6">
        <w:t xml:space="preserve"> </w:t>
      </w:r>
      <w:r w:rsidRPr="003D294A">
        <w:t>After transplantation, patients with a graft failure switch to dialysis but are eligible for subsequent transplants. Patients with a successful graft are redistributed across post-transplant CKD stages 1-4 according to the initial distribution across UPCR levels at the start of the model. Following the redistribution, patients can move to any UPCR health state (stay, improve or worsen) but can only stay or progress to a worse CKD stage based on the same rates as the starting population, before undergoing a transplant in the model.</w:t>
      </w:r>
    </w:p>
    <w:p w14:paraId="18BD94D6" w14:textId="2F417AD7" w:rsidR="009160A8" w:rsidRPr="003D294A" w:rsidRDefault="009160A8" w:rsidP="00CF7B47">
      <w:pPr>
        <w:pStyle w:val="COMESnumberedpara"/>
        <w:numPr>
          <w:ilvl w:val="0"/>
          <w:numId w:val="0"/>
        </w:numPr>
        <w:ind w:left="720"/>
      </w:pPr>
      <w:r w:rsidRPr="003D294A">
        <w:t xml:space="preserve">All patients who </w:t>
      </w:r>
      <w:r w:rsidR="00977B8D" w:rsidRPr="003D294A">
        <w:t xml:space="preserve">have </w:t>
      </w:r>
      <w:r w:rsidRPr="003D294A">
        <w:t xml:space="preserve">a transplant </w:t>
      </w:r>
      <w:r w:rsidR="00977B8D" w:rsidRPr="003D294A">
        <w:t xml:space="preserve">are </w:t>
      </w:r>
      <w:r w:rsidRPr="003D294A">
        <w:t>assumed to be eligible for a subsequent transplant. Patients who undergo a subsequent transplant follow the same transitions as per the initial transplant in the model.</w:t>
      </w:r>
      <w:r w:rsidR="00A67937">
        <w:t xml:space="preserve"> </w:t>
      </w:r>
      <w:r w:rsidRPr="003D294A">
        <w:t>Patients in the pegcetacoplan arm discontinue treatment when they commence dialysis.</w:t>
      </w:r>
    </w:p>
    <w:p w14:paraId="7D9373BB" w14:textId="3CB64DAC" w:rsidR="00F7311E" w:rsidRPr="003D294A" w:rsidRDefault="00D47581" w:rsidP="00CF7B47">
      <w:pPr>
        <w:pStyle w:val="COMESnumberedpara"/>
      </w:pPr>
      <w:r w:rsidRPr="003D294A">
        <w:t xml:space="preserve">The model structure </w:t>
      </w:r>
      <w:r w:rsidR="00977B8D" w:rsidRPr="003D294A">
        <w:t xml:space="preserve">is </w:t>
      </w:r>
      <w:r w:rsidRPr="003D294A">
        <w:t xml:space="preserve">complex, with the inclusion of </w:t>
      </w:r>
      <w:proofErr w:type="gramStart"/>
      <w:r w:rsidRPr="003D294A">
        <w:t>a large number of</w:t>
      </w:r>
      <w:proofErr w:type="gramEnd"/>
      <w:r w:rsidRPr="003D294A">
        <w:t xml:space="preserve"> health states to track combined changes in CKD stage and UPCR level, use of kidney replacement therapies, cardiovascular events and corticosteroid use over time. The added complexity of UPCR health states, cardiovascular events and corticosteroid use </w:t>
      </w:r>
      <w:r w:rsidRPr="003D294A">
        <w:lastRenderedPageBreak/>
        <w:t>appear</w:t>
      </w:r>
      <w:r w:rsidR="00977B8D" w:rsidRPr="003D294A">
        <w:t>s</w:t>
      </w:r>
      <w:r w:rsidRPr="003D294A">
        <w:t xml:space="preserve"> to have</w:t>
      </w:r>
      <w:r w:rsidR="00977B8D" w:rsidRPr="003D294A">
        <w:t xml:space="preserve"> a</w:t>
      </w:r>
      <w:r w:rsidRPr="003D294A">
        <w:t xml:space="preserve"> limited impact on the results of the economic analysis; and the model </w:t>
      </w:r>
      <w:r w:rsidR="00977B8D" w:rsidRPr="003D294A">
        <w:t>i</w:t>
      </w:r>
      <w:r w:rsidRPr="003D294A">
        <w:t>s limited in its ability to track patients in more relevant health states such as those who had undergone a transplant</w:t>
      </w:r>
      <w:r w:rsidR="0020242E" w:rsidRPr="003D294A">
        <w:t xml:space="preserve"> (patients who undergo</w:t>
      </w:r>
      <w:r w:rsidRPr="003D294A">
        <w:t xml:space="preserve"> a </w:t>
      </w:r>
      <w:r w:rsidR="0020242E" w:rsidRPr="003D294A">
        <w:t xml:space="preserve">single transplant cannot be distinguished from those with multiple transplants). </w:t>
      </w:r>
      <w:r w:rsidR="00BB27B4" w:rsidRPr="003D294A">
        <w:t xml:space="preserve">The </w:t>
      </w:r>
      <w:r w:rsidR="00E93B0A" w:rsidRPr="003D294A">
        <w:t xml:space="preserve">PSCR </w:t>
      </w:r>
      <w:r w:rsidR="0082627A">
        <w:t xml:space="preserve">and pre-PBAC response </w:t>
      </w:r>
      <w:r w:rsidR="00A75311" w:rsidRPr="003D294A">
        <w:t>accept</w:t>
      </w:r>
      <w:r w:rsidR="00C40242" w:rsidRPr="003D294A">
        <w:t>ed</w:t>
      </w:r>
      <w:r w:rsidR="00A75311" w:rsidRPr="003D294A">
        <w:t xml:space="preserve"> that the model structure was complex but considered this necessary </w:t>
      </w:r>
      <w:r w:rsidR="00174BE3" w:rsidRPr="003D294A">
        <w:t>to capture the clinically and economically relevant changes in disease progression over time. The sponsor assert</w:t>
      </w:r>
      <w:r w:rsidR="008D3C26" w:rsidRPr="003D294A">
        <w:t>ed</w:t>
      </w:r>
      <w:r w:rsidR="00174BE3" w:rsidRPr="003D294A">
        <w:t xml:space="preserve"> that </w:t>
      </w:r>
      <w:r w:rsidR="004E71BD" w:rsidRPr="003D294A">
        <w:t xml:space="preserve">the model submitted </w:t>
      </w:r>
      <w:r w:rsidR="00104E8D" w:rsidRPr="003D294A">
        <w:t>reflect</w:t>
      </w:r>
      <w:r w:rsidR="008D3C26" w:rsidRPr="003D294A">
        <w:t>s</w:t>
      </w:r>
      <w:r w:rsidR="00104E8D" w:rsidRPr="003D294A">
        <w:t xml:space="preserve"> the nature of these rare, chronic kidney conditions and </w:t>
      </w:r>
      <w:r w:rsidR="004E71BD" w:rsidRPr="003D294A">
        <w:t>aligns with the structure of the model submitted to NICE for pegcetacoplan for the treatment of C3G and p</w:t>
      </w:r>
      <w:r w:rsidR="00201ECB" w:rsidRPr="003D294A">
        <w:t xml:space="preserve">rimary </w:t>
      </w:r>
      <w:r w:rsidR="004E71BD" w:rsidRPr="003D294A">
        <w:t>IC-MPGN.</w:t>
      </w:r>
      <w:r w:rsidR="00B56818" w:rsidRPr="003D294A">
        <w:t xml:space="preserve"> </w:t>
      </w:r>
      <w:r w:rsidR="00D13BC2">
        <w:t>The pre-PBAC response also noted that the</w:t>
      </w:r>
      <w:r w:rsidR="00C409F2">
        <w:t xml:space="preserve"> model</w:t>
      </w:r>
      <w:r w:rsidR="00D13BC2">
        <w:t xml:space="preserve"> limitation</w:t>
      </w:r>
      <w:r w:rsidR="00C409F2">
        <w:t>s</w:t>
      </w:r>
      <w:r w:rsidR="00D13BC2">
        <w:t xml:space="preserve"> relate primarily to </w:t>
      </w:r>
      <w:r w:rsidR="00C409F2">
        <w:t>uncertainty in the long-term evidence rather than the structure of the model.</w:t>
      </w:r>
    </w:p>
    <w:p w14:paraId="53B5435A" w14:textId="3EB5A66C" w:rsidR="00277072" w:rsidRPr="003D294A" w:rsidRDefault="00B56818" w:rsidP="00CF7B47">
      <w:pPr>
        <w:pStyle w:val="COMESnumberedpara"/>
      </w:pPr>
      <w:r w:rsidRPr="003D294A">
        <w:t xml:space="preserve">The </w:t>
      </w:r>
      <w:r w:rsidR="00C40242" w:rsidRPr="003D294A">
        <w:t>S</w:t>
      </w:r>
      <w:r w:rsidRPr="003D294A">
        <w:t>ub</w:t>
      </w:r>
      <w:r w:rsidR="00C40242" w:rsidRPr="003D294A">
        <w:t>-C</w:t>
      </w:r>
      <w:r w:rsidRPr="003D294A">
        <w:t>ommittees</w:t>
      </w:r>
      <w:r w:rsidR="00D76B9E" w:rsidRPr="003D294A">
        <w:t xml:space="preserve"> noted that there were effectively 20 health states prior to transplant and </w:t>
      </w:r>
      <w:r w:rsidR="00E412B7" w:rsidRPr="003D294A">
        <w:t>18 post-transplant health states</w:t>
      </w:r>
      <w:r w:rsidR="005317B1" w:rsidRPr="003D294A">
        <w:t xml:space="preserve"> and</w:t>
      </w:r>
      <w:r w:rsidRPr="003D294A">
        <w:t xml:space="preserve"> </w:t>
      </w:r>
      <w:r w:rsidR="00C40242" w:rsidRPr="003D294A">
        <w:t xml:space="preserve">considered that the </w:t>
      </w:r>
      <w:r w:rsidR="005317B1" w:rsidRPr="003D294A">
        <w:t xml:space="preserve">added complexity from the </w:t>
      </w:r>
      <w:r w:rsidR="00864153" w:rsidRPr="003D294A">
        <w:t>UPCR sub-states was not justified.</w:t>
      </w:r>
      <w:r w:rsidR="00733E3B" w:rsidRPr="003D294A">
        <w:t xml:space="preserve"> The Sub-Committees noted that there was insufficient trial data to inform </w:t>
      </w:r>
      <w:r w:rsidR="006827C4" w:rsidRPr="003D294A">
        <w:t>transitions between the health states in the model</w:t>
      </w:r>
      <w:r w:rsidR="00202E7A" w:rsidRPr="003D294A">
        <w:t xml:space="preserve"> and therefore there were</w:t>
      </w:r>
      <w:r w:rsidR="00193937" w:rsidRPr="003D294A">
        <w:t xml:space="preserve"> </w:t>
      </w:r>
      <w:proofErr w:type="gramStart"/>
      <w:r w:rsidR="00193937" w:rsidRPr="003D294A">
        <w:t>a number of</w:t>
      </w:r>
      <w:proofErr w:type="gramEnd"/>
      <w:r w:rsidR="00193937" w:rsidRPr="003D294A">
        <w:t xml:space="preserve"> sources </w:t>
      </w:r>
      <w:r w:rsidR="005237BF" w:rsidRPr="003D294A">
        <w:t>informing transition probabilities</w:t>
      </w:r>
      <w:r w:rsidR="00E671D0" w:rsidRPr="003D294A">
        <w:t xml:space="preserve"> that added to uncertainty</w:t>
      </w:r>
      <w:r w:rsidR="000A3A09" w:rsidRPr="003D294A">
        <w:t xml:space="preserve"> in the modelled outcomes</w:t>
      </w:r>
      <w:r w:rsidR="006827C4" w:rsidRPr="003D294A">
        <w:t>.</w:t>
      </w:r>
      <w:r w:rsidR="000A3A09" w:rsidRPr="003D294A">
        <w:t xml:space="preserve"> The Sub-Committees noted the following issues </w:t>
      </w:r>
      <w:r w:rsidR="00D670B9" w:rsidRPr="003D294A">
        <w:t xml:space="preserve">identified in the Commentary </w:t>
      </w:r>
      <w:r w:rsidR="000A3A09" w:rsidRPr="003D294A">
        <w:t xml:space="preserve">with </w:t>
      </w:r>
      <w:r w:rsidR="00277072" w:rsidRPr="003D294A">
        <w:t>transition probabilities:</w:t>
      </w:r>
    </w:p>
    <w:p w14:paraId="712218B2" w14:textId="2229DD78" w:rsidR="00D47581" w:rsidRPr="003D294A" w:rsidRDefault="00277072" w:rsidP="00CF7B47">
      <w:pPr>
        <w:pStyle w:val="ListParagraph"/>
        <w:jc w:val="both"/>
      </w:pPr>
      <w:r w:rsidRPr="003D294A">
        <w:rPr>
          <w:u w:val="single"/>
        </w:rPr>
        <w:t xml:space="preserve">Between </w:t>
      </w:r>
      <w:proofErr w:type="spellStart"/>
      <w:r w:rsidRPr="003D294A">
        <w:rPr>
          <w:u w:val="single"/>
        </w:rPr>
        <w:t>uPCR</w:t>
      </w:r>
      <w:proofErr w:type="spellEnd"/>
      <w:r w:rsidRPr="003D294A">
        <w:rPr>
          <w:u w:val="single"/>
        </w:rPr>
        <w:t xml:space="preserve"> categories:</w:t>
      </w:r>
      <w:r w:rsidRPr="003D294A">
        <w:t xml:space="preserve"> </w:t>
      </w:r>
      <w:r w:rsidR="002A634F" w:rsidRPr="003D294A">
        <w:t>m</w:t>
      </w:r>
      <w:r w:rsidRPr="003D294A">
        <w:t xml:space="preserve">ultiple regression models </w:t>
      </w:r>
      <w:r w:rsidR="002A634F" w:rsidRPr="003D294A">
        <w:t xml:space="preserve">were </w:t>
      </w:r>
      <w:r w:rsidRPr="003D294A">
        <w:t xml:space="preserve">used with current </w:t>
      </w:r>
      <w:proofErr w:type="spellStart"/>
      <w:r w:rsidRPr="003D294A">
        <w:t>uPCR</w:t>
      </w:r>
      <w:proofErr w:type="spellEnd"/>
      <w:r w:rsidRPr="003D294A">
        <w:t xml:space="preserve"> state as a dependent variable and independent variables for </w:t>
      </w:r>
      <w:r w:rsidR="00782584" w:rsidRPr="003D294A">
        <w:t>i</w:t>
      </w:r>
      <w:r w:rsidRPr="003D294A">
        <w:t xml:space="preserve">ntervention, </w:t>
      </w:r>
      <w:proofErr w:type="spellStart"/>
      <w:r w:rsidRPr="003D294A">
        <w:t>uPCR</w:t>
      </w:r>
      <w:proofErr w:type="spellEnd"/>
      <w:r w:rsidRPr="003D294A">
        <w:t xml:space="preserve"> state at the previous visit, age, sex and disease type (C3G, primary IC-MPGN). </w:t>
      </w:r>
      <w:r w:rsidR="002A634F" w:rsidRPr="003D294A">
        <w:t xml:space="preserve">The sub-committees considered the </w:t>
      </w:r>
      <w:r w:rsidR="00D670B9" w:rsidRPr="003D294A">
        <w:t>a</w:t>
      </w:r>
      <w:r w:rsidRPr="003D294A">
        <w:t xml:space="preserve">pproach </w:t>
      </w:r>
      <w:r w:rsidR="00D670B9" w:rsidRPr="003D294A">
        <w:t xml:space="preserve">was </w:t>
      </w:r>
      <w:r w:rsidRPr="003D294A">
        <w:t>not well justified.</w:t>
      </w:r>
    </w:p>
    <w:p w14:paraId="5FB6F12E" w14:textId="01D51BD2" w:rsidR="00D670B9" w:rsidRPr="003D294A" w:rsidRDefault="00D670B9" w:rsidP="00CF7B47">
      <w:pPr>
        <w:pStyle w:val="ListParagraph"/>
        <w:jc w:val="both"/>
      </w:pPr>
      <w:r w:rsidRPr="003D294A">
        <w:rPr>
          <w:u w:val="single"/>
        </w:rPr>
        <w:t>Between CKD stages 1-5:</w:t>
      </w:r>
      <w:r w:rsidRPr="003D294A">
        <w:t xml:space="preserve"> Four generalised linear regressions </w:t>
      </w:r>
      <w:r w:rsidR="00782584" w:rsidRPr="003D294A">
        <w:t xml:space="preserve">were </w:t>
      </w:r>
      <w:r w:rsidRPr="003D294A">
        <w:t>used to derive eGFR transition probabilities. There were erratic changes in eGFR at each timepoint even within the same UPCR category, with values shifting unpredictably from improvement to decline to stabilisation. There was also data sparseness, with small sample sizes informing some values (e.g. the smallest subgroup consisted of 4 patients).</w:t>
      </w:r>
      <w:r w:rsidR="00B563FA" w:rsidRPr="003D294A">
        <w:t xml:space="preserve"> </w:t>
      </w:r>
      <w:r w:rsidR="00393395" w:rsidRPr="003D294A">
        <w:t>The Sub-C</w:t>
      </w:r>
      <w:r w:rsidR="00914F3D" w:rsidRPr="003D294A">
        <w:t>o</w:t>
      </w:r>
      <w:r w:rsidR="00393395" w:rsidRPr="003D294A">
        <w:t>mmit</w:t>
      </w:r>
      <w:r w:rsidR="00914F3D" w:rsidRPr="003D294A">
        <w:t>t</w:t>
      </w:r>
      <w:r w:rsidR="00393395" w:rsidRPr="003D294A">
        <w:t>ees noted that it was uncl</w:t>
      </w:r>
      <w:r w:rsidR="001B43E4" w:rsidRPr="003D294A">
        <w:t>ear whether the assumption of a linear decline in eGFR is appropriate given t</w:t>
      </w:r>
      <w:r w:rsidR="00914F3D" w:rsidRPr="003D294A">
        <w:t>he relapsing/remitting nature of the disease.</w:t>
      </w:r>
    </w:p>
    <w:p w14:paraId="4FFE72FE" w14:textId="4467C06D" w:rsidR="00A42AB4" w:rsidRPr="003D294A" w:rsidRDefault="00A42AB4" w:rsidP="00CF7B47">
      <w:pPr>
        <w:pStyle w:val="ListParagraph"/>
        <w:jc w:val="both"/>
      </w:pPr>
      <w:r w:rsidRPr="003D294A">
        <w:rPr>
          <w:u w:val="single"/>
        </w:rPr>
        <w:t>From CKD 5 – kidney replacement:</w:t>
      </w:r>
      <w:r w:rsidRPr="003D294A">
        <w:t xml:space="preserve"> sources </w:t>
      </w:r>
      <w:r w:rsidR="006308E0" w:rsidRPr="003D294A">
        <w:t>were inadequately</w:t>
      </w:r>
      <w:r w:rsidRPr="003D294A">
        <w:t xml:space="preserve"> justified </w:t>
      </w:r>
      <w:r w:rsidR="006308E0" w:rsidRPr="003D294A">
        <w:t>for</w:t>
      </w:r>
      <w:r w:rsidR="00FE4B89" w:rsidRPr="003D294A">
        <w:t>:</w:t>
      </w:r>
      <w:r w:rsidRPr="003D294A">
        <w:t xml:space="preserve"> 100% patients transitioning to dialysis after CKD 5 for one 3 month cycle; the proportion on dialysis, the proportion ineligible for a kidney transplant and </w:t>
      </w:r>
      <w:r w:rsidR="00FE4B89" w:rsidRPr="003D294A">
        <w:t xml:space="preserve">there were </w:t>
      </w:r>
      <w:r w:rsidRPr="003D294A">
        <w:t>inconsistencies between the submission text and the model</w:t>
      </w:r>
      <w:r w:rsidR="00FE4B89" w:rsidRPr="003D294A">
        <w:t>.</w:t>
      </w:r>
    </w:p>
    <w:p w14:paraId="0733ED8B" w14:textId="097800E2" w:rsidR="00FE4B89" w:rsidRPr="003D294A" w:rsidRDefault="003100E7" w:rsidP="00CF7B47">
      <w:pPr>
        <w:pStyle w:val="ListParagraph"/>
        <w:jc w:val="both"/>
      </w:pPr>
      <w:r w:rsidRPr="003D294A">
        <w:rPr>
          <w:u w:val="single"/>
        </w:rPr>
        <w:t>Post transplant:</w:t>
      </w:r>
      <w:r w:rsidRPr="003D294A">
        <w:t xml:space="preserve"> the approach used to model the disease trajectory of patients after a transplant </w:t>
      </w:r>
      <w:r w:rsidR="00D652AB" w:rsidRPr="003D294A">
        <w:t xml:space="preserve">includes many assumptions and </w:t>
      </w:r>
      <w:r w:rsidRPr="003D294A">
        <w:t>substantially underestimates the effectiveness of transplantation and resulted in an accelerated progression to kidney failure, with the approach biased in favour of pegcetacoplan.</w:t>
      </w:r>
    </w:p>
    <w:p w14:paraId="2BB42332" w14:textId="4876F6CF" w:rsidR="003100E7" w:rsidRPr="003D294A" w:rsidRDefault="005471F2" w:rsidP="00CF7B47">
      <w:pPr>
        <w:pStyle w:val="ListParagraph"/>
        <w:jc w:val="both"/>
      </w:pPr>
      <w:r w:rsidRPr="003D294A">
        <w:rPr>
          <w:u w:val="single"/>
        </w:rPr>
        <w:lastRenderedPageBreak/>
        <w:t>Inclusion of corticosteroid use, CVD events and mortality:</w:t>
      </w:r>
      <w:r w:rsidRPr="003D294A">
        <w:t xml:space="preserve"> </w:t>
      </w:r>
      <w:r w:rsidR="007C6458" w:rsidRPr="003D294A">
        <w:t xml:space="preserve">based on </w:t>
      </w:r>
      <w:r w:rsidRPr="003D294A">
        <w:t>poorly justified estimates,</w:t>
      </w:r>
      <w:r w:rsidR="007C6458" w:rsidRPr="003D294A">
        <w:t xml:space="preserve"> with</w:t>
      </w:r>
      <w:r w:rsidRPr="003D294A">
        <w:t xml:space="preserve"> multiple calculation errors for CVD mortality rates and estimates that could not be verified.</w:t>
      </w:r>
    </w:p>
    <w:p w14:paraId="1243BA74" w14:textId="687510A1" w:rsidR="007C6458" w:rsidRPr="003D294A" w:rsidRDefault="000F6FA0" w:rsidP="00CF7B47">
      <w:pPr>
        <w:pStyle w:val="COMESnumberedpara"/>
      </w:pPr>
      <w:r w:rsidRPr="003D294A">
        <w:t xml:space="preserve">Treatment discontinuation rates in the model were poorly justified </w:t>
      </w:r>
      <w:r w:rsidR="005956EB" w:rsidRPr="003D294A">
        <w:t xml:space="preserve">and assumed a higher rate than in the trial </w:t>
      </w:r>
      <w:r w:rsidRPr="003D294A">
        <w:t xml:space="preserve">(assumed to be 5% per cycle in UPCR&lt;1 and UPCR 1-3 health states and 80% per cycle in UPCR&gt;3 health state) and resulted in a relatively short time on treatment in the model </w:t>
      </w:r>
      <w:r w:rsidRPr="00E02D03">
        <w:t>of 3.2 years.</w:t>
      </w:r>
      <w:r w:rsidR="005956EB" w:rsidRPr="00E02D03">
        <w:t xml:space="preserve"> Treatment</w:t>
      </w:r>
      <w:r w:rsidR="005956EB" w:rsidRPr="003D294A">
        <w:t xml:space="preserve"> discontinuations were assumed to be permanent as patients could not re-initiate therapy. </w:t>
      </w:r>
    </w:p>
    <w:p w14:paraId="40D26DD1" w14:textId="13279822" w:rsidR="009567E5" w:rsidRPr="003D294A" w:rsidRDefault="008E235A" w:rsidP="00CF7B47">
      <w:pPr>
        <w:pStyle w:val="COMESnumberedpara"/>
      </w:pPr>
      <w:r w:rsidRPr="003D294A">
        <w:t xml:space="preserve">The Sub-Committees noted that </w:t>
      </w:r>
      <w:r w:rsidR="009567E5" w:rsidRPr="003D294A">
        <w:t xml:space="preserve">there were </w:t>
      </w:r>
      <w:proofErr w:type="gramStart"/>
      <w:r w:rsidR="009567E5" w:rsidRPr="003D294A">
        <w:t>a number of</w:t>
      </w:r>
      <w:proofErr w:type="gramEnd"/>
      <w:r w:rsidR="009567E5" w:rsidRPr="003D294A">
        <w:t xml:space="preserve"> issues with </w:t>
      </w:r>
      <w:r w:rsidR="001A0C16" w:rsidRPr="003D294A">
        <w:t xml:space="preserve">the </w:t>
      </w:r>
      <w:r w:rsidR="00495D0E" w:rsidRPr="003D294A">
        <w:t>utility values applied</w:t>
      </w:r>
      <w:r w:rsidR="009567E5" w:rsidRPr="003D294A">
        <w:t>, as identified in the Commentary:</w:t>
      </w:r>
    </w:p>
    <w:p w14:paraId="11AAC6E4" w14:textId="77777777" w:rsidR="009567E5" w:rsidRPr="003D294A" w:rsidRDefault="009567E5" w:rsidP="00CF7B47">
      <w:pPr>
        <w:pStyle w:val="ListParagraph"/>
        <w:jc w:val="both"/>
      </w:pPr>
      <w:r w:rsidRPr="003D294A">
        <w:t>T</w:t>
      </w:r>
      <w:r w:rsidR="00CE342B" w:rsidRPr="003D294A">
        <w:t xml:space="preserve">he UPCR health states were based on post-hoc regression </w:t>
      </w:r>
      <w:r w:rsidR="008868D4" w:rsidRPr="003D294A">
        <w:t xml:space="preserve">models fitted to trial data and </w:t>
      </w:r>
      <w:r w:rsidR="00CE342B" w:rsidRPr="003D294A">
        <w:t>could not be verified</w:t>
      </w:r>
      <w:r w:rsidR="008868D4" w:rsidRPr="003D294A">
        <w:t xml:space="preserve">. </w:t>
      </w:r>
    </w:p>
    <w:p w14:paraId="4523650D" w14:textId="77777777" w:rsidR="009567E5" w:rsidRPr="003D294A" w:rsidRDefault="00382ACE" w:rsidP="00CF7B47">
      <w:pPr>
        <w:pStyle w:val="ListParagraph"/>
        <w:jc w:val="both"/>
      </w:pPr>
      <w:r w:rsidRPr="003D294A">
        <w:t xml:space="preserve">The health state utility for CKD5 </w:t>
      </w:r>
      <w:r w:rsidR="00FC7172" w:rsidRPr="003D294A">
        <w:t xml:space="preserve">could not be verified from the reported source (Cooper </w:t>
      </w:r>
      <w:r w:rsidR="009567E5" w:rsidRPr="003D294A">
        <w:t xml:space="preserve">2020). </w:t>
      </w:r>
    </w:p>
    <w:p w14:paraId="7FC0BAA2" w14:textId="26C8E6F8" w:rsidR="0041053A" w:rsidRPr="003D294A" w:rsidRDefault="008868D4" w:rsidP="00CF7B47">
      <w:pPr>
        <w:pStyle w:val="ListParagraph"/>
        <w:jc w:val="both"/>
      </w:pPr>
      <w:r w:rsidRPr="003D294A">
        <w:t>The</w:t>
      </w:r>
      <w:r w:rsidR="00CE342B" w:rsidRPr="003D294A">
        <w:t xml:space="preserve"> </w:t>
      </w:r>
      <w:r w:rsidR="001A0C16" w:rsidRPr="003D294A">
        <w:t xml:space="preserve">chosen utility value for </w:t>
      </w:r>
      <w:r w:rsidR="006D7C4E" w:rsidRPr="003D294A">
        <w:t xml:space="preserve">the </w:t>
      </w:r>
      <w:r w:rsidR="00495D0E" w:rsidRPr="003D294A">
        <w:t xml:space="preserve">haemodialysis </w:t>
      </w:r>
      <w:r w:rsidR="006D7C4E" w:rsidRPr="003D294A">
        <w:t xml:space="preserve">state </w:t>
      </w:r>
      <w:r w:rsidR="00495D0E" w:rsidRPr="003D294A">
        <w:t>w</w:t>
      </w:r>
      <w:r w:rsidR="006D7C4E" w:rsidRPr="003D294A">
        <w:t>as</w:t>
      </w:r>
      <w:r w:rsidR="00495D0E" w:rsidRPr="003D294A">
        <w:t xml:space="preserve"> </w:t>
      </w:r>
      <w:r w:rsidR="006D7C4E" w:rsidRPr="003D294A">
        <w:t xml:space="preserve">the lowest </w:t>
      </w:r>
      <w:r w:rsidR="007B2DC3" w:rsidRPr="003D294A">
        <w:t xml:space="preserve">reported value from a systematic review and </w:t>
      </w:r>
      <w:r w:rsidR="003B0481" w:rsidRPr="003D294A">
        <w:t xml:space="preserve">the selection of this value </w:t>
      </w:r>
      <w:r w:rsidR="007B2DC3" w:rsidRPr="003D294A">
        <w:t xml:space="preserve">was </w:t>
      </w:r>
      <w:r w:rsidR="00495D0E" w:rsidRPr="003D294A">
        <w:t xml:space="preserve">not </w:t>
      </w:r>
      <w:r w:rsidRPr="003D294A">
        <w:t>justified</w:t>
      </w:r>
      <w:r w:rsidR="007B2DC3" w:rsidRPr="003D294A">
        <w:t xml:space="preserve">. </w:t>
      </w:r>
    </w:p>
    <w:p w14:paraId="153C5654" w14:textId="0BE0D4C8" w:rsidR="009567E5" w:rsidRPr="003D294A" w:rsidRDefault="0041053A" w:rsidP="00CF7B47">
      <w:pPr>
        <w:ind w:left="720"/>
      </w:pPr>
      <w:r w:rsidRPr="003D294A">
        <w:t>Overall, the Sub-Committees considered the approach to applying utilities was inconsistent, did not use preferred PBAC use of trial-based utilities where available, lacked face validity and was a key driver of the ICER.</w:t>
      </w:r>
    </w:p>
    <w:p w14:paraId="3CC38EC2" w14:textId="56EADCF0" w:rsidR="00670661" w:rsidRPr="003D294A" w:rsidRDefault="00670661" w:rsidP="00CF7B47">
      <w:pPr>
        <w:pStyle w:val="COMESnumberedpara"/>
      </w:pPr>
      <w:r w:rsidRPr="003D294A">
        <w:t>The submission claimed that kidney transplants are a finite resource and that each kidney transplant avoided with pegcetacoplan treatment in C3G or primary IC-MPGN could be re-allocated within the healthcare system, to another patient outside the target population of the submission who may benefit from a kidney transplant.</w:t>
      </w:r>
      <w:r w:rsidR="00CF7B47">
        <w:t xml:space="preserve"> </w:t>
      </w:r>
      <w:r w:rsidRPr="003D294A">
        <w:t>During the evaluation, the base case analysis was revised by excluding the additional costs and outcomes</w:t>
      </w:r>
      <w:r w:rsidR="00E55A0F">
        <w:t>, which t</w:t>
      </w:r>
      <w:r w:rsidR="003B0481" w:rsidRPr="003D294A">
        <w:t xml:space="preserve">he Sub-Committees considered </w:t>
      </w:r>
      <w:r w:rsidR="00D50003" w:rsidRPr="003D294A">
        <w:t>was appropriate.</w:t>
      </w:r>
    </w:p>
    <w:p w14:paraId="05CA69A8" w14:textId="7BCF70B8" w:rsidR="009160A8" w:rsidRPr="003D294A" w:rsidRDefault="00D66082" w:rsidP="00CF7B47">
      <w:pPr>
        <w:pStyle w:val="COMESnumberedpara"/>
      </w:pPr>
      <w:r w:rsidRPr="003D294A">
        <w:t>Key drivers of the economic model are summarised in</w:t>
      </w:r>
      <w:r w:rsidR="00DA4473">
        <w:t xml:space="preserve"> </w:t>
      </w:r>
      <w:r w:rsidR="00DA4473">
        <w:fldChar w:fldCharType="begin"/>
      </w:r>
      <w:r w:rsidR="00DA4473">
        <w:instrText xml:space="preserve"> REF _Ref226985920 \h </w:instrText>
      </w:r>
      <w:r w:rsidR="00DA4473">
        <w:fldChar w:fldCharType="separate"/>
      </w:r>
      <w:r w:rsidR="00DA4473" w:rsidRPr="003D294A">
        <w:t xml:space="preserve">Table </w:t>
      </w:r>
      <w:r w:rsidR="00DA4473">
        <w:rPr>
          <w:noProof/>
        </w:rPr>
        <w:t>11</w:t>
      </w:r>
      <w:r w:rsidR="00DA4473">
        <w:fldChar w:fldCharType="end"/>
      </w:r>
      <w:r w:rsidRPr="003D294A">
        <w:t xml:space="preserve">. </w:t>
      </w:r>
    </w:p>
    <w:p w14:paraId="295C018A" w14:textId="77777777" w:rsidR="00F01C48" w:rsidRPr="003D294A" w:rsidRDefault="00F01C48" w:rsidP="00CF7B47">
      <w:pPr>
        <w:jc w:val="left"/>
        <w:rPr>
          <w:rFonts w:ascii="Arial Narrow" w:eastAsiaTheme="majorEastAsia" w:hAnsi="Arial Narrow" w:cstheme="majorBidi"/>
          <w:b/>
          <w:bCs/>
          <w:sz w:val="20"/>
        </w:rPr>
      </w:pPr>
      <w:bookmarkStart w:id="50" w:name="_Ref104805122"/>
      <w:r w:rsidRPr="003D294A">
        <w:br w:type="page"/>
      </w:r>
    </w:p>
    <w:p w14:paraId="774D46B7" w14:textId="325CB36C" w:rsidR="00D110BD" w:rsidRPr="003D294A" w:rsidRDefault="00E16AD8" w:rsidP="00CF7B47">
      <w:pPr>
        <w:pStyle w:val="COMTableFigurecaption"/>
      </w:pPr>
      <w:bookmarkStart w:id="51" w:name="_Ref226985920"/>
      <w:r w:rsidRPr="003D294A">
        <w:lastRenderedPageBreak/>
        <w:t xml:space="preserve">Table </w:t>
      </w:r>
      <w:fldSimple w:instr=" SEQ Table \* ARABIC ">
        <w:r w:rsidR="00632853">
          <w:rPr>
            <w:noProof/>
          </w:rPr>
          <w:t>11</w:t>
        </w:r>
      </w:fldSimple>
      <w:bookmarkEnd w:id="50"/>
      <w:bookmarkEnd w:id="51"/>
      <w:r w:rsidRPr="003D294A">
        <w:t>:</w:t>
      </w:r>
      <w:r w:rsidR="00D110BD" w:rsidRPr="003D294A">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57"/>
        <w:gridCol w:w="6902"/>
        <w:gridCol w:w="958"/>
      </w:tblGrid>
      <w:tr w:rsidR="00537182" w:rsidRPr="003D294A" w14:paraId="4DD8026E" w14:textId="77777777" w:rsidTr="006352B5">
        <w:trPr>
          <w:cantSplit/>
          <w:tblHeader/>
        </w:trPr>
        <w:tc>
          <w:tcPr>
            <w:tcW w:w="642" w:type="pct"/>
            <w:vAlign w:val="center"/>
          </w:tcPr>
          <w:p w14:paraId="6A9EC2DA" w14:textId="77777777" w:rsidR="00D110BD" w:rsidRPr="003D294A" w:rsidRDefault="00D110BD" w:rsidP="00CF7B47">
            <w:pPr>
              <w:pStyle w:val="COMTableheadingrow"/>
              <w:keepNext w:val="0"/>
              <w:keepLines w:val="0"/>
            </w:pPr>
            <w:r w:rsidRPr="003D294A">
              <w:t>Description</w:t>
            </w:r>
          </w:p>
        </w:tc>
        <w:tc>
          <w:tcPr>
            <w:tcW w:w="3827" w:type="pct"/>
            <w:vAlign w:val="center"/>
          </w:tcPr>
          <w:p w14:paraId="67A62672" w14:textId="77777777" w:rsidR="00D110BD" w:rsidRPr="003D294A" w:rsidRDefault="00D110BD" w:rsidP="00CF7B47">
            <w:pPr>
              <w:pStyle w:val="COMTableheadingrow"/>
              <w:keepNext w:val="0"/>
              <w:keepLines w:val="0"/>
            </w:pPr>
            <w:r w:rsidRPr="003D294A">
              <w:t>Method/Value</w:t>
            </w:r>
          </w:p>
        </w:tc>
        <w:tc>
          <w:tcPr>
            <w:tcW w:w="531" w:type="pct"/>
            <w:vAlign w:val="center"/>
          </w:tcPr>
          <w:p w14:paraId="6C1DC9EA" w14:textId="5B1456E0" w:rsidR="00490B17" w:rsidRPr="003D294A" w:rsidRDefault="00D110BD" w:rsidP="00CF7B47">
            <w:pPr>
              <w:pStyle w:val="COMTableheadingrow"/>
              <w:keepNext w:val="0"/>
              <w:keepLines w:val="0"/>
              <w:jc w:val="center"/>
            </w:pPr>
            <w:r w:rsidRPr="003D294A">
              <w:t>Impact</w:t>
            </w:r>
          </w:p>
        </w:tc>
      </w:tr>
      <w:tr w:rsidR="00537182" w:rsidRPr="003D294A" w14:paraId="3DE22150" w14:textId="77777777" w:rsidTr="006352B5">
        <w:trPr>
          <w:cantSplit/>
        </w:trPr>
        <w:tc>
          <w:tcPr>
            <w:tcW w:w="642" w:type="pct"/>
            <w:vAlign w:val="center"/>
          </w:tcPr>
          <w:p w14:paraId="72E20981" w14:textId="5665D2C8" w:rsidR="00D110BD" w:rsidRPr="003D294A" w:rsidRDefault="00F17D29" w:rsidP="00CF7B47">
            <w:pPr>
              <w:pStyle w:val="COMTabletext"/>
              <w:keepNext w:val="0"/>
              <w:keepLines w:val="0"/>
            </w:pPr>
            <w:r w:rsidRPr="003D294A">
              <w:t>Model structure</w:t>
            </w:r>
          </w:p>
        </w:tc>
        <w:tc>
          <w:tcPr>
            <w:tcW w:w="3827" w:type="pct"/>
            <w:vAlign w:val="center"/>
          </w:tcPr>
          <w:p w14:paraId="64938802" w14:textId="1BBA8F8C" w:rsidR="00106B80" w:rsidRPr="003D294A" w:rsidRDefault="00D66082" w:rsidP="00CF7B47">
            <w:pPr>
              <w:pStyle w:val="COMTabletext"/>
              <w:keepNext w:val="0"/>
              <w:keepLines w:val="0"/>
            </w:pPr>
            <w:r w:rsidRPr="003D294A">
              <w:t xml:space="preserve">The </w:t>
            </w:r>
            <w:r w:rsidR="006352B5" w:rsidRPr="003D294A">
              <w:t xml:space="preserve">model </w:t>
            </w:r>
            <w:r w:rsidRPr="003D294A">
              <w:t xml:space="preserve">structure </w:t>
            </w:r>
            <w:r w:rsidR="00D47581" w:rsidRPr="003D294A">
              <w:t>precluded</w:t>
            </w:r>
            <w:r w:rsidRPr="003D294A">
              <w:t xml:space="preserve"> the ability to explore the impact of differences in age, disease subtype, serum C3 levels and alternative assumptions regarding the effectiveness of transplant</w:t>
            </w:r>
            <w:r w:rsidR="0020242E" w:rsidRPr="003D294A">
              <w:t>.</w:t>
            </w:r>
          </w:p>
        </w:tc>
        <w:tc>
          <w:tcPr>
            <w:tcW w:w="531" w:type="pct"/>
            <w:vAlign w:val="center"/>
          </w:tcPr>
          <w:p w14:paraId="0AD58F2B" w14:textId="7F665464" w:rsidR="00490B17" w:rsidRPr="003D294A" w:rsidRDefault="00F17D29" w:rsidP="00CF7B47">
            <w:pPr>
              <w:pStyle w:val="COMTabletext"/>
              <w:keepNext w:val="0"/>
              <w:keepLines w:val="0"/>
              <w:jc w:val="center"/>
            </w:pPr>
            <w:r w:rsidRPr="003D294A">
              <w:t>Unclear</w:t>
            </w:r>
          </w:p>
        </w:tc>
      </w:tr>
      <w:tr w:rsidR="00537182" w:rsidRPr="003D294A" w14:paraId="3483847F" w14:textId="77777777" w:rsidTr="006352B5">
        <w:trPr>
          <w:cantSplit/>
        </w:trPr>
        <w:tc>
          <w:tcPr>
            <w:tcW w:w="642" w:type="pct"/>
            <w:vAlign w:val="center"/>
          </w:tcPr>
          <w:p w14:paraId="2724D8D9" w14:textId="343226D9" w:rsidR="00D110BD" w:rsidRPr="003D294A" w:rsidRDefault="00F17D29" w:rsidP="00CF7B47">
            <w:pPr>
              <w:pStyle w:val="COMTabletext"/>
              <w:keepNext w:val="0"/>
              <w:keepLines w:val="0"/>
            </w:pPr>
            <w:r w:rsidRPr="003D294A">
              <w:t>Change in eGFR over time</w:t>
            </w:r>
          </w:p>
        </w:tc>
        <w:tc>
          <w:tcPr>
            <w:tcW w:w="3827" w:type="pct"/>
            <w:vAlign w:val="center"/>
          </w:tcPr>
          <w:p w14:paraId="33256051" w14:textId="29A04B34" w:rsidR="00D110BD" w:rsidRPr="003D294A" w:rsidRDefault="00276896" w:rsidP="00CF7B47">
            <w:pPr>
              <w:pStyle w:val="COMTabletext"/>
              <w:keepNext w:val="0"/>
              <w:keepLines w:val="0"/>
              <w:spacing w:after="120"/>
            </w:pPr>
            <w:r w:rsidRPr="003D294A">
              <w:t>A post hoc analysis was conducted using patient-level data from the VALIANT trial to estimate the rate of eGFR decline according to UPCR level based on cut-offs used for health states in the model (UPCR &lt;1 g/g, UPCR 1-3 g/g and UPCR &gt;3 g/g). Mean eGFR decline within each UPCR category was calculated as the mean difference between eGFR values at the current timepoint and eGFR values at the previous timepoint</w:t>
            </w:r>
            <w:r w:rsidR="00B52135" w:rsidRPr="003D294A">
              <w:t xml:space="preserve"> (3-monthly intervals)</w:t>
            </w:r>
            <w:r w:rsidRPr="003D294A">
              <w:t>.</w:t>
            </w:r>
          </w:p>
          <w:p w14:paraId="4B9FCE0E" w14:textId="7EF3833A" w:rsidR="00B52135" w:rsidRPr="003D294A" w:rsidRDefault="00B52135" w:rsidP="00CF7B47">
            <w:pPr>
              <w:pStyle w:val="COMTabletext"/>
              <w:keepNext w:val="0"/>
              <w:keepLines w:val="0"/>
              <w:spacing w:after="120"/>
            </w:pPr>
            <w:r w:rsidRPr="003D294A">
              <w:t>The post hoc analysis was used to inform the generalised linear regression model used to calculate the rate of eGFR decline used in the model. No justification was provided for the chosen regression model given all included variables (UPCR 1-3 g/g, UPCR &gt;3 g/g, treatment arm) were not statistically significant. The R</w:t>
            </w:r>
            <w:r w:rsidRPr="003D294A">
              <w:rPr>
                <w:vertAlign w:val="superscript"/>
              </w:rPr>
              <w:t>2</w:t>
            </w:r>
            <w:r w:rsidRPr="003D294A">
              <w:t xml:space="preserve"> was very low which indicated that the model was a poor predictor of differences in change in eGFR (explain</w:t>
            </w:r>
            <w:r w:rsidR="005B77E6" w:rsidRPr="003D294A">
              <w:t>ing</w:t>
            </w:r>
            <w:r w:rsidRPr="003D294A">
              <w:t xml:space="preserve"> 2% of the variation).</w:t>
            </w:r>
          </w:p>
        </w:tc>
        <w:tc>
          <w:tcPr>
            <w:tcW w:w="531" w:type="pct"/>
            <w:vAlign w:val="center"/>
          </w:tcPr>
          <w:p w14:paraId="4CB0C507" w14:textId="190F00C0" w:rsidR="00D110BD" w:rsidRPr="003D294A" w:rsidRDefault="004E74CA" w:rsidP="00CF7B47">
            <w:pPr>
              <w:pStyle w:val="COMTabletext"/>
              <w:keepNext w:val="0"/>
              <w:keepLines w:val="0"/>
              <w:jc w:val="center"/>
            </w:pPr>
            <w:r w:rsidRPr="003D294A">
              <w:t>High</w:t>
            </w:r>
          </w:p>
        </w:tc>
      </w:tr>
      <w:tr w:rsidR="00537182" w:rsidRPr="003D294A" w14:paraId="39E46D5B" w14:textId="77777777" w:rsidTr="006352B5">
        <w:trPr>
          <w:cantSplit/>
        </w:trPr>
        <w:tc>
          <w:tcPr>
            <w:tcW w:w="642" w:type="pct"/>
            <w:vAlign w:val="center"/>
          </w:tcPr>
          <w:p w14:paraId="347EC5A4" w14:textId="0C9A859C" w:rsidR="00D110BD" w:rsidRPr="003D294A" w:rsidRDefault="00F17D29" w:rsidP="00CF7B47">
            <w:pPr>
              <w:pStyle w:val="COMTabletext"/>
              <w:keepNext w:val="0"/>
              <w:keepLines w:val="0"/>
            </w:pPr>
            <w:r w:rsidRPr="003D294A">
              <w:t>Post-transplant transitions</w:t>
            </w:r>
          </w:p>
        </w:tc>
        <w:tc>
          <w:tcPr>
            <w:tcW w:w="3827" w:type="pct"/>
            <w:vAlign w:val="center"/>
          </w:tcPr>
          <w:p w14:paraId="3331F280" w14:textId="5E738345" w:rsidR="006352B5" w:rsidRPr="003D294A" w:rsidRDefault="006352B5" w:rsidP="00CF7B47">
            <w:pPr>
              <w:spacing w:after="120"/>
              <w:rPr>
                <w:rFonts w:ascii="Arial Narrow" w:eastAsiaTheme="majorEastAsia" w:hAnsi="Arial Narrow" w:cstheme="majorBidi"/>
                <w:bCs/>
                <w:sz w:val="20"/>
              </w:rPr>
            </w:pPr>
            <w:r w:rsidRPr="003D294A">
              <w:rPr>
                <w:rFonts w:ascii="Arial Narrow" w:eastAsiaTheme="majorEastAsia" w:hAnsi="Arial Narrow" w:cstheme="majorBidi"/>
                <w:bCs/>
                <w:sz w:val="20"/>
              </w:rPr>
              <w:t xml:space="preserve">Following a kidney transplant, the submission assumed a one-off risk of graft failure based on graft failures in the first year among kidney transplant patients in the US (Pruett 2021). </w:t>
            </w:r>
          </w:p>
          <w:p w14:paraId="11E9C4DE" w14:textId="10C6A54C" w:rsidR="006352B5" w:rsidRPr="003D294A" w:rsidRDefault="006352B5" w:rsidP="00CF7B47">
            <w:pPr>
              <w:spacing w:after="120"/>
              <w:rPr>
                <w:rFonts w:ascii="Arial Narrow" w:eastAsiaTheme="majorEastAsia" w:hAnsi="Arial Narrow" w:cstheme="majorBidi"/>
                <w:bCs/>
                <w:sz w:val="20"/>
              </w:rPr>
            </w:pPr>
            <w:r w:rsidRPr="003D294A">
              <w:rPr>
                <w:rFonts w:ascii="Arial Narrow" w:eastAsiaTheme="majorEastAsia" w:hAnsi="Arial Narrow" w:cstheme="majorBidi"/>
                <w:bCs/>
                <w:sz w:val="20"/>
              </w:rPr>
              <w:t xml:space="preserve">Patients with a successful graft were re-distributed across CKD stages 1 to 4 based on a study of eGFR estimates at 1-year among post-transplant patients in the US (Pruett 2021). The approach assumes that most post-transplant patients have a lower-than-normal level of function (33% CKD 2, 52% CKD 3). </w:t>
            </w:r>
          </w:p>
          <w:p w14:paraId="44BDF40A" w14:textId="6E9E9517" w:rsidR="006352B5" w:rsidRPr="003D294A" w:rsidRDefault="006352B5" w:rsidP="00CF7B47">
            <w:pPr>
              <w:spacing w:after="120"/>
              <w:rPr>
                <w:rFonts w:ascii="Arial Narrow" w:eastAsiaTheme="majorEastAsia" w:hAnsi="Arial Narrow" w:cstheme="majorBidi"/>
                <w:bCs/>
                <w:sz w:val="20"/>
              </w:rPr>
            </w:pPr>
            <w:r w:rsidRPr="003D294A">
              <w:rPr>
                <w:rFonts w:ascii="Arial Narrow" w:eastAsiaTheme="majorEastAsia" w:hAnsi="Arial Narrow" w:cstheme="majorBidi"/>
                <w:bCs/>
                <w:sz w:val="20"/>
              </w:rPr>
              <w:t>The submission assumed that post-transplant patients would return to the baseline distribution of UPCR levels as per the key trial. This assumption was inappropriate as it inherently assumes that all post-transplant patients experience immediate disease recurrence. In subsequent cycles, post-transplant patients were attributed the same transition probabilities between the CKD/UPCR combined health states as for the before transplant health states. This approach was inadequately justified as no data w</w:t>
            </w:r>
            <w:r w:rsidR="003E7D70" w:rsidRPr="003D294A">
              <w:rPr>
                <w:rFonts w:ascii="Arial Narrow" w:eastAsiaTheme="majorEastAsia" w:hAnsi="Arial Narrow" w:cstheme="majorBidi"/>
                <w:bCs/>
                <w:sz w:val="20"/>
              </w:rPr>
              <w:t>ere</w:t>
            </w:r>
            <w:r w:rsidRPr="003D294A">
              <w:rPr>
                <w:rFonts w:ascii="Arial Narrow" w:eastAsiaTheme="majorEastAsia" w:hAnsi="Arial Narrow" w:cstheme="majorBidi"/>
                <w:bCs/>
                <w:sz w:val="20"/>
              </w:rPr>
              <w:t xml:space="preserve"> presented to inform the disease trajectory of t</w:t>
            </w:r>
            <w:r w:rsidR="0017710B" w:rsidRPr="003D294A">
              <w:rPr>
                <w:rFonts w:ascii="Arial Narrow" w:eastAsiaTheme="majorEastAsia" w:hAnsi="Arial Narrow" w:cstheme="majorBidi"/>
                <w:bCs/>
                <w:sz w:val="20"/>
              </w:rPr>
              <w:t>he post-transplant</w:t>
            </w:r>
            <w:r w:rsidRPr="003D294A">
              <w:rPr>
                <w:rFonts w:ascii="Arial Narrow" w:eastAsiaTheme="majorEastAsia" w:hAnsi="Arial Narrow" w:cstheme="majorBidi"/>
                <w:bCs/>
                <w:sz w:val="20"/>
              </w:rPr>
              <w:t xml:space="preserve"> population. </w:t>
            </w:r>
          </w:p>
          <w:p w14:paraId="37FA27BD" w14:textId="044328F5" w:rsidR="006352B5" w:rsidRPr="003D294A" w:rsidRDefault="006352B5" w:rsidP="00CF7B47">
            <w:pPr>
              <w:spacing w:after="120"/>
              <w:rPr>
                <w:rFonts w:ascii="Arial Narrow" w:eastAsiaTheme="majorEastAsia" w:hAnsi="Arial Narrow" w:cstheme="majorBidi"/>
                <w:bCs/>
                <w:sz w:val="20"/>
              </w:rPr>
            </w:pPr>
            <w:r w:rsidRPr="003D294A">
              <w:rPr>
                <w:rFonts w:ascii="Arial Narrow" w:eastAsiaTheme="majorEastAsia" w:hAnsi="Arial Narrow" w:cstheme="majorBidi"/>
                <w:bCs/>
                <w:sz w:val="20"/>
              </w:rPr>
              <w:t xml:space="preserve">The submission assumed </w:t>
            </w:r>
            <w:r w:rsidR="00667E68" w:rsidRPr="003D294A">
              <w:rPr>
                <w:rFonts w:ascii="Arial Narrow" w:eastAsiaTheme="majorEastAsia" w:hAnsi="Arial Narrow" w:cstheme="majorBidi"/>
                <w:bCs/>
                <w:sz w:val="20"/>
              </w:rPr>
              <w:t xml:space="preserve">that </w:t>
            </w:r>
            <w:r w:rsidRPr="003D294A">
              <w:rPr>
                <w:rFonts w:ascii="Arial Narrow" w:eastAsiaTheme="majorEastAsia" w:hAnsi="Arial Narrow" w:cstheme="majorBidi"/>
                <w:bCs/>
                <w:sz w:val="20"/>
              </w:rPr>
              <w:t>all post-transplant patients who are on dialysis would be eligible for subsequent transplants. This assumption was inappropriate as transplant eligibility is multi-factorial, and not all patients will be eligible or be considered for a subsequent transplant.</w:t>
            </w:r>
            <w:r w:rsidR="00CF7B47">
              <w:rPr>
                <w:rFonts w:ascii="Arial Narrow" w:eastAsiaTheme="majorEastAsia" w:hAnsi="Arial Narrow" w:cstheme="majorBidi"/>
                <w:bCs/>
                <w:sz w:val="20"/>
              </w:rPr>
              <w:t xml:space="preserve"> </w:t>
            </w:r>
          </w:p>
          <w:p w14:paraId="7E7105AF" w14:textId="7102660E" w:rsidR="00D110BD" w:rsidRPr="003D294A" w:rsidRDefault="006352B5" w:rsidP="00CF7B47">
            <w:pPr>
              <w:rPr>
                <w:rFonts w:ascii="Arial Narrow" w:eastAsiaTheme="majorEastAsia" w:hAnsi="Arial Narrow" w:cstheme="majorBidi"/>
                <w:bCs/>
                <w:sz w:val="20"/>
              </w:rPr>
            </w:pPr>
            <w:r w:rsidRPr="003D294A">
              <w:rPr>
                <w:rFonts w:ascii="Arial Narrow" w:eastAsiaTheme="majorEastAsia" w:hAnsi="Arial Narrow" w:cstheme="majorBidi"/>
                <w:bCs/>
                <w:sz w:val="20"/>
              </w:rPr>
              <w:t xml:space="preserve">Overall, the approach used to model the disease trajectory of patients after a transplant substantially underestimates the effectiveness of transplantation and resulted in an accelerated progression to kidney failure. This approach was biased in favour of pegcetacoplan. </w:t>
            </w:r>
          </w:p>
        </w:tc>
        <w:tc>
          <w:tcPr>
            <w:tcW w:w="531" w:type="pct"/>
            <w:vAlign w:val="center"/>
          </w:tcPr>
          <w:p w14:paraId="50F3F3FF" w14:textId="5A18A661" w:rsidR="00D110BD" w:rsidRPr="003D294A" w:rsidRDefault="006352B5" w:rsidP="00CF7B47">
            <w:pPr>
              <w:pStyle w:val="COMTabletext"/>
              <w:keepNext w:val="0"/>
              <w:keepLines w:val="0"/>
              <w:jc w:val="center"/>
            </w:pPr>
            <w:r w:rsidRPr="003D294A">
              <w:t>High</w:t>
            </w:r>
          </w:p>
        </w:tc>
      </w:tr>
      <w:tr w:rsidR="00F17D29" w:rsidRPr="003D294A" w14:paraId="6D64B602" w14:textId="77777777" w:rsidTr="006352B5">
        <w:trPr>
          <w:cantSplit/>
        </w:trPr>
        <w:tc>
          <w:tcPr>
            <w:tcW w:w="642" w:type="pct"/>
            <w:vAlign w:val="center"/>
          </w:tcPr>
          <w:p w14:paraId="7788FCCE" w14:textId="0D28E0E4" w:rsidR="00F17D29" w:rsidRPr="003D294A" w:rsidRDefault="00DE16B8" w:rsidP="00CF7B47">
            <w:pPr>
              <w:pStyle w:val="COMTabletext"/>
              <w:keepNext w:val="0"/>
              <w:keepLines w:val="0"/>
            </w:pPr>
            <w:r w:rsidRPr="003D294A">
              <w:t>D</w:t>
            </w:r>
            <w:r w:rsidR="00F17D29" w:rsidRPr="003D294A">
              <w:t>ialysis health state utility value</w:t>
            </w:r>
            <w:r w:rsidRPr="003D294A">
              <w:t>s</w:t>
            </w:r>
          </w:p>
        </w:tc>
        <w:tc>
          <w:tcPr>
            <w:tcW w:w="3827" w:type="pct"/>
            <w:vAlign w:val="center"/>
          </w:tcPr>
          <w:p w14:paraId="5D576112" w14:textId="33674997" w:rsidR="00F17D29" w:rsidRPr="003D294A" w:rsidRDefault="00DE16B8" w:rsidP="00CF7B47">
            <w:pPr>
              <w:pStyle w:val="COMTabletext"/>
              <w:keepNext w:val="0"/>
              <w:keepLines w:val="0"/>
            </w:pPr>
            <w:r w:rsidRPr="003D294A">
              <w:t xml:space="preserve">The submission estimated dialysis health state utility values </w:t>
            </w:r>
            <w:r w:rsidR="00BD0677" w:rsidRPr="003D294A">
              <w:t>from</w:t>
            </w:r>
            <w:r w:rsidRPr="003D294A">
              <w:t xml:space="preserve"> a systematic review of health state utility values in </w:t>
            </w:r>
            <w:r w:rsidR="00BD0677" w:rsidRPr="003D294A">
              <w:t>CKD</w:t>
            </w:r>
            <w:r w:rsidRPr="003D294A">
              <w:t xml:space="preserve"> (Cooper 2020). The estimates for</w:t>
            </w:r>
            <w:r w:rsidR="00BD0677" w:rsidRPr="003D294A">
              <w:t xml:space="preserve"> </w:t>
            </w:r>
            <w:r w:rsidRPr="003D294A">
              <w:t xml:space="preserve">haemodialysis (0.44) and peritoneal dialysis (0.53) were based on patients attending a </w:t>
            </w:r>
            <w:proofErr w:type="spellStart"/>
            <w:r w:rsidRPr="003D294A">
              <w:t>renal</w:t>
            </w:r>
            <w:proofErr w:type="spellEnd"/>
            <w:r w:rsidRPr="003D294A">
              <w:t xml:space="preserve"> unit in the UK (Lee 2005). </w:t>
            </w:r>
            <w:r w:rsidR="002108A7" w:rsidRPr="003D294A">
              <w:t>The utility estimate used in the economic model for haemodialysis</w:t>
            </w:r>
            <w:r w:rsidR="00CE206E" w:rsidRPr="003D294A">
              <w:t xml:space="preserve"> </w:t>
            </w:r>
            <w:r w:rsidR="002108A7" w:rsidRPr="003D294A">
              <w:t>was the lowest reported value from the Cooper 2020</w:t>
            </w:r>
            <w:r w:rsidR="00842872" w:rsidRPr="003D294A">
              <w:t xml:space="preserve"> </w:t>
            </w:r>
            <w:r w:rsidR="002108A7" w:rsidRPr="003D294A">
              <w:t xml:space="preserve">review (EQ-5D-3L utility scores: 0.44-0.75; mean estimate: 0.67). The submission did not provide any justification for </w:t>
            </w:r>
            <w:r w:rsidR="00842872" w:rsidRPr="003D294A">
              <w:t>the selected value.</w:t>
            </w:r>
          </w:p>
        </w:tc>
        <w:tc>
          <w:tcPr>
            <w:tcW w:w="531" w:type="pct"/>
            <w:vAlign w:val="center"/>
          </w:tcPr>
          <w:p w14:paraId="7C33E1A7" w14:textId="34645AFB" w:rsidR="00DE16B8" w:rsidRPr="003D294A" w:rsidRDefault="00DE16B8" w:rsidP="00CF7B47">
            <w:pPr>
              <w:pStyle w:val="COMTabletext"/>
              <w:keepNext w:val="0"/>
              <w:keepLines w:val="0"/>
              <w:jc w:val="center"/>
            </w:pPr>
            <w:r w:rsidRPr="003D294A">
              <w:t>High</w:t>
            </w:r>
          </w:p>
        </w:tc>
      </w:tr>
    </w:tbl>
    <w:p w14:paraId="30E97087" w14:textId="1D5745D8" w:rsidR="00D110BD" w:rsidRPr="003D294A" w:rsidRDefault="009D792E" w:rsidP="00CF7B47">
      <w:pPr>
        <w:pStyle w:val="COMTablefooter"/>
      </w:pPr>
      <w:r w:rsidRPr="003D294A">
        <w:t xml:space="preserve">Source: </w:t>
      </w:r>
      <w:r w:rsidR="006352B5" w:rsidRPr="003D294A">
        <w:t>Constructed during the evaluation</w:t>
      </w:r>
    </w:p>
    <w:p w14:paraId="2044104B" w14:textId="4AF083FA" w:rsidR="006352B5" w:rsidRPr="003D294A" w:rsidRDefault="006352B5" w:rsidP="00CF7B47">
      <w:pPr>
        <w:pStyle w:val="COMTablefooter"/>
      </w:pPr>
      <w:r w:rsidRPr="003D294A">
        <w:t xml:space="preserve">Abbreviations: </w:t>
      </w:r>
      <w:r w:rsidR="00375BD8" w:rsidRPr="003D294A">
        <w:t>ANZDATA, Australian and New Zealand Dialysis and Transplant registry; C3G, C3 glomerulopathy; CKD, chronic kidney disease; eGFR, estimated glomerular filtration rate; IC-MPGN, immune complex membranoproliferative glomerulonephritis; UPCR, urine protein-creatinine ratio</w:t>
      </w:r>
    </w:p>
    <w:p w14:paraId="2B4AF938" w14:textId="3E397B67" w:rsidR="008C5739" w:rsidRPr="003D294A" w:rsidRDefault="00375BD8" w:rsidP="00CF7B47">
      <w:pPr>
        <w:pStyle w:val="COMESnumberedpara"/>
      </w:pPr>
      <w:r w:rsidRPr="003D294A">
        <w:t>The submission assumed a 90% relative dose intensity for pegcetacoplan treatment, claiming that this was likely in a real-world setting. The dose intensity was applied as a reduction in treatment costs without commensurate reductions in treatment benefit. This was inappropriate as modelled treatment effects were based on 99% compliance in the trial.</w:t>
      </w:r>
    </w:p>
    <w:p w14:paraId="51C8543A" w14:textId="1636B430" w:rsidR="00F17D29" w:rsidRPr="003D294A" w:rsidRDefault="00F17D29" w:rsidP="00CF7B47">
      <w:pPr>
        <w:pStyle w:val="COMESnumberedpara"/>
      </w:pPr>
      <w:r w:rsidRPr="003D294A">
        <w:lastRenderedPageBreak/>
        <w:t>The difference in total cost between treatment arms was primarily driven by pegcetacoplan drug costs. The incremental cost was partially offset by reduced disease management costs associated with delay/avoidance of kidney replacement therapies (dialysis and transplant).</w:t>
      </w:r>
      <w:r w:rsidR="00CF7B47">
        <w:t xml:space="preserve"> </w:t>
      </w:r>
    </w:p>
    <w:p w14:paraId="5AB280E6" w14:textId="2591BDA9" w:rsidR="00DC07AC" w:rsidRPr="003D294A" w:rsidRDefault="00F17D29" w:rsidP="00CF7B47">
      <w:pPr>
        <w:pStyle w:val="COMESnumberedpara"/>
      </w:pPr>
      <w:r w:rsidRPr="003D294A">
        <w:t xml:space="preserve">The difference in health outcomes between treatment arms was primarily driven by increased time spent in earlier CKD stages and reduced time spent on haemodialysis (with relatively low utility values) in the pegcetacoplan arm compared to the </w:t>
      </w:r>
      <w:r w:rsidR="00155DDA">
        <w:t>SoC</w:t>
      </w:r>
      <w:r w:rsidR="00155DDA" w:rsidRPr="003D294A">
        <w:t xml:space="preserve"> </w:t>
      </w:r>
      <w:r w:rsidRPr="003D294A">
        <w:t xml:space="preserve">arm. </w:t>
      </w:r>
    </w:p>
    <w:p w14:paraId="0A826C3C" w14:textId="567400AC" w:rsidR="00DC07AC" w:rsidRPr="003D294A" w:rsidRDefault="006D3D08" w:rsidP="00CF7B47">
      <w:pPr>
        <w:pStyle w:val="COMESnumberedpara"/>
      </w:pPr>
      <w:r w:rsidRPr="003D294A">
        <w:t xml:space="preserve">The results of the modelled economic evaluation are summarised in </w:t>
      </w:r>
      <w:r w:rsidR="00A62FAB" w:rsidRPr="003D294A">
        <w:fldChar w:fldCharType="begin"/>
      </w:r>
      <w:r w:rsidR="00A62FAB" w:rsidRPr="003D294A">
        <w:instrText xml:space="preserve"> REF _Ref104805181 \h </w:instrText>
      </w:r>
      <w:r w:rsidR="0076264C" w:rsidRPr="003D294A">
        <w:instrText xml:space="preserve"> \* MERGEFORMAT </w:instrText>
      </w:r>
      <w:r w:rsidR="00A62FAB" w:rsidRPr="003D294A">
        <w:fldChar w:fldCharType="separate"/>
      </w:r>
      <w:r w:rsidR="00632853" w:rsidRPr="003D294A">
        <w:t xml:space="preserve">Table </w:t>
      </w:r>
      <w:r w:rsidR="00632853">
        <w:t>12</w:t>
      </w:r>
      <w:r w:rsidR="00A62FAB" w:rsidRPr="003D294A">
        <w:fldChar w:fldCharType="end"/>
      </w:r>
      <w:r w:rsidRPr="003D294A">
        <w:t>.</w:t>
      </w:r>
      <w:r w:rsidR="00177BFE">
        <w:t xml:space="preserve"> The submission did not present a stepped analysis as requested in the PBAC guidelines</w:t>
      </w:r>
      <w:r w:rsidR="00C86999">
        <w:t>.</w:t>
      </w:r>
    </w:p>
    <w:p w14:paraId="642CE209" w14:textId="20A0F3A9" w:rsidR="006D3D08" w:rsidRPr="003D294A" w:rsidRDefault="00E16AD8" w:rsidP="00CF7B47">
      <w:pPr>
        <w:pStyle w:val="COMTableFigurecaption"/>
      </w:pPr>
      <w:bookmarkStart w:id="52" w:name="_Ref104805181"/>
      <w:r w:rsidRPr="003D294A">
        <w:t xml:space="preserve">Table </w:t>
      </w:r>
      <w:fldSimple w:instr=" SEQ Table \* ARABIC ">
        <w:r w:rsidR="00632853">
          <w:rPr>
            <w:noProof/>
          </w:rPr>
          <w:t>12</w:t>
        </w:r>
      </w:fldSimple>
      <w:bookmarkEnd w:id="52"/>
      <w:r w:rsidR="001F4081" w:rsidRPr="003D294A">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w:tblPr>
      <w:tblGrid>
        <w:gridCol w:w="2255"/>
        <w:gridCol w:w="2254"/>
        <w:gridCol w:w="2254"/>
        <w:gridCol w:w="2254"/>
      </w:tblGrid>
      <w:tr w:rsidR="006D3D08" w:rsidRPr="003D294A" w14:paraId="1E3553C0" w14:textId="77777777">
        <w:trPr>
          <w:tblHeader/>
        </w:trPr>
        <w:tc>
          <w:tcPr>
            <w:tcW w:w="1250" w:type="pct"/>
            <w:vAlign w:val="center"/>
          </w:tcPr>
          <w:p w14:paraId="28E8652A" w14:textId="77777777" w:rsidR="006D3D08" w:rsidRPr="003D294A" w:rsidRDefault="006D3D08" w:rsidP="00CF7B47">
            <w:pPr>
              <w:pStyle w:val="COMTableheadingrow"/>
            </w:pPr>
            <w:r w:rsidRPr="003D294A">
              <w:t>Component</w:t>
            </w:r>
          </w:p>
        </w:tc>
        <w:tc>
          <w:tcPr>
            <w:tcW w:w="1250" w:type="pct"/>
            <w:vAlign w:val="center"/>
          </w:tcPr>
          <w:p w14:paraId="767DB354" w14:textId="77777777" w:rsidR="006D3D08" w:rsidRPr="003D294A" w:rsidRDefault="006D3D08" w:rsidP="00CF7B47">
            <w:pPr>
              <w:pStyle w:val="COMTableheadingrow"/>
              <w:jc w:val="center"/>
            </w:pPr>
            <w:r w:rsidRPr="003D294A">
              <w:t>Pegcetacoplan</w:t>
            </w:r>
          </w:p>
        </w:tc>
        <w:tc>
          <w:tcPr>
            <w:tcW w:w="1250" w:type="pct"/>
            <w:vAlign w:val="center"/>
          </w:tcPr>
          <w:p w14:paraId="4F558AC3" w14:textId="59B060C0" w:rsidR="006D3D08" w:rsidRPr="003D294A" w:rsidRDefault="00155DDA" w:rsidP="00CF7B47">
            <w:pPr>
              <w:pStyle w:val="COMTableheadingrow"/>
              <w:jc w:val="center"/>
            </w:pPr>
            <w:r>
              <w:t>SoC</w:t>
            </w:r>
          </w:p>
        </w:tc>
        <w:tc>
          <w:tcPr>
            <w:tcW w:w="1250" w:type="pct"/>
            <w:vAlign w:val="center"/>
          </w:tcPr>
          <w:p w14:paraId="1FB92E63" w14:textId="77777777" w:rsidR="006D3D08" w:rsidRPr="003D294A" w:rsidRDefault="006D3D08" w:rsidP="00CF7B47">
            <w:pPr>
              <w:pStyle w:val="COMTableheadingrow"/>
              <w:jc w:val="center"/>
            </w:pPr>
            <w:r w:rsidRPr="003D294A">
              <w:t>Increment</w:t>
            </w:r>
          </w:p>
        </w:tc>
      </w:tr>
      <w:tr w:rsidR="006D3D08" w:rsidRPr="003D294A" w14:paraId="2452E1F8" w14:textId="77777777">
        <w:tc>
          <w:tcPr>
            <w:tcW w:w="5000" w:type="pct"/>
            <w:gridSpan w:val="4"/>
            <w:vAlign w:val="center"/>
          </w:tcPr>
          <w:p w14:paraId="7EDAA0AC" w14:textId="77777777" w:rsidR="006D3D08" w:rsidRPr="003D294A" w:rsidRDefault="006D3D08" w:rsidP="00CF7B47">
            <w:pPr>
              <w:pStyle w:val="COMTableheadingrow"/>
            </w:pPr>
            <w:r w:rsidRPr="003D294A">
              <w:t>Revised base case</w:t>
            </w:r>
          </w:p>
        </w:tc>
      </w:tr>
      <w:tr w:rsidR="006D3D08" w:rsidRPr="003D294A" w14:paraId="09FD2EB6" w14:textId="77777777">
        <w:tc>
          <w:tcPr>
            <w:tcW w:w="1250" w:type="pct"/>
            <w:vAlign w:val="center"/>
          </w:tcPr>
          <w:p w14:paraId="1AB3A7C2" w14:textId="77777777" w:rsidR="006D3D08" w:rsidRPr="003D294A" w:rsidRDefault="006D3D08" w:rsidP="00CF7B47">
            <w:pPr>
              <w:pStyle w:val="COMTabletext"/>
            </w:pPr>
            <w:r w:rsidRPr="003D294A">
              <w:t>Costs</w:t>
            </w:r>
          </w:p>
        </w:tc>
        <w:tc>
          <w:tcPr>
            <w:tcW w:w="1250" w:type="pct"/>
            <w:vAlign w:val="center"/>
          </w:tcPr>
          <w:p w14:paraId="79378DF2" w14:textId="33EE8539" w:rsidR="006D3D08" w:rsidRPr="003D294A" w:rsidRDefault="006449AB" w:rsidP="00CF7B47">
            <w:pPr>
              <w:pStyle w:val="COMTabletext"/>
              <w:jc w:val="center"/>
            </w:pPr>
            <w:r w:rsidRPr="006449AB">
              <w:t>$</w:t>
            </w:r>
            <w:r w:rsidRPr="006449AB">
              <w:rPr>
                <w:sz w:val="2"/>
                <w:highlight w:val="black"/>
              </w:rPr>
              <w:t>redacted content</w:t>
            </w:r>
          </w:p>
        </w:tc>
        <w:tc>
          <w:tcPr>
            <w:tcW w:w="1250" w:type="pct"/>
            <w:vAlign w:val="center"/>
          </w:tcPr>
          <w:p w14:paraId="634D8043" w14:textId="77777777" w:rsidR="006D3D08" w:rsidRPr="003D294A" w:rsidRDefault="006D3D08" w:rsidP="00CF7B47">
            <w:pPr>
              <w:pStyle w:val="COMTabletext"/>
              <w:jc w:val="center"/>
            </w:pPr>
            <w:r w:rsidRPr="008263FE">
              <w:t>$1,195,334</w:t>
            </w:r>
          </w:p>
        </w:tc>
        <w:tc>
          <w:tcPr>
            <w:tcW w:w="1250" w:type="pct"/>
            <w:vAlign w:val="center"/>
          </w:tcPr>
          <w:p w14:paraId="2F3E7437" w14:textId="38AF481A" w:rsidR="006D3D08" w:rsidRPr="003D294A" w:rsidRDefault="006449AB" w:rsidP="00CF7B47">
            <w:pPr>
              <w:pStyle w:val="COMTabletext"/>
              <w:jc w:val="center"/>
            </w:pPr>
            <w:r w:rsidRPr="006449AB">
              <w:t>$</w:t>
            </w:r>
            <w:r w:rsidRPr="006449AB">
              <w:rPr>
                <w:sz w:val="2"/>
                <w:highlight w:val="black"/>
              </w:rPr>
              <w:t>redacted content</w:t>
            </w:r>
          </w:p>
        </w:tc>
      </w:tr>
      <w:tr w:rsidR="006D3D08" w:rsidRPr="003D294A" w14:paraId="1191B1AA" w14:textId="77777777">
        <w:tc>
          <w:tcPr>
            <w:tcW w:w="1250" w:type="pct"/>
            <w:vAlign w:val="center"/>
          </w:tcPr>
          <w:p w14:paraId="50F5AF98" w14:textId="77777777" w:rsidR="006D3D08" w:rsidRPr="003D294A" w:rsidRDefault="006D3D08" w:rsidP="00CF7B47">
            <w:pPr>
              <w:pStyle w:val="COMTabletext"/>
            </w:pPr>
            <w:r w:rsidRPr="003D294A">
              <w:t>QALYs</w:t>
            </w:r>
          </w:p>
        </w:tc>
        <w:tc>
          <w:tcPr>
            <w:tcW w:w="1250" w:type="pct"/>
            <w:vAlign w:val="center"/>
          </w:tcPr>
          <w:p w14:paraId="7C5E2BE3" w14:textId="77777777" w:rsidR="006D3D08" w:rsidRPr="003D294A" w:rsidRDefault="006D3D08" w:rsidP="00CF7B47">
            <w:pPr>
              <w:pStyle w:val="COMTabletext"/>
              <w:jc w:val="center"/>
            </w:pPr>
            <w:r w:rsidRPr="003D294A">
              <w:t>9.66</w:t>
            </w:r>
          </w:p>
        </w:tc>
        <w:tc>
          <w:tcPr>
            <w:tcW w:w="1250" w:type="pct"/>
            <w:vAlign w:val="center"/>
          </w:tcPr>
          <w:p w14:paraId="43C6A338" w14:textId="77777777" w:rsidR="006D3D08" w:rsidRPr="003D294A" w:rsidRDefault="006D3D08" w:rsidP="00CF7B47">
            <w:pPr>
              <w:pStyle w:val="COMTabletext"/>
              <w:jc w:val="center"/>
            </w:pPr>
            <w:r w:rsidRPr="003D294A">
              <w:t>8.93</w:t>
            </w:r>
          </w:p>
        </w:tc>
        <w:tc>
          <w:tcPr>
            <w:tcW w:w="1250" w:type="pct"/>
            <w:vAlign w:val="center"/>
          </w:tcPr>
          <w:p w14:paraId="367069A5" w14:textId="77777777" w:rsidR="006D3D08" w:rsidRPr="003D294A" w:rsidRDefault="006D3D08" w:rsidP="00CF7B47">
            <w:pPr>
              <w:pStyle w:val="COMTabletext"/>
              <w:jc w:val="center"/>
            </w:pPr>
            <w:r w:rsidRPr="003D294A">
              <w:t>0.73</w:t>
            </w:r>
          </w:p>
        </w:tc>
      </w:tr>
      <w:tr w:rsidR="006D3D08" w:rsidRPr="003D294A" w14:paraId="79E8543E" w14:textId="77777777">
        <w:tc>
          <w:tcPr>
            <w:tcW w:w="3750" w:type="pct"/>
            <w:gridSpan w:val="3"/>
            <w:vAlign w:val="center"/>
          </w:tcPr>
          <w:p w14:paraId="1D598E9E" w14:textId="77777777" w:rsidR="006D3D08" w:rsidRPr="003D294A" w:rsidRDefault="006D3D08" w:rsidP="00CF7B47">
            <w:pPr>
              <w:pStyle w:val="COMTabletext"/>
              <w:jc w:val="right"/>
              <w:rPr>
                <w:b/>
                <w:bCs w:val="0"/>
              </w:rPr>
            </w:pPr>
            <w:r w:rsidRPr="003D294A">
              <w:rPr>
                <w:b/>
                <w:bCs w:val="0"/>
              </w:rPr>
              <w:t>Incremental cost per QALY gained</w:t>
            </w:r>
          </w:p>
        </w:tc>
        <w:tc>
          <w:tcPr>
            <w:tcW w:w="1250" w:type="pct"/>
            <w:vAlign w:val="center"/>
          </w:tcPr>
          <w:p w14:paraId="0FC0FE4C" w14:textId="0B4C4FDB" w:rsidR="006D3D08" w:rsidRPr="00137160" w:rsidRDefault="006449AB" w:rsidP="00CF7B47">
            <w:pPr>
              <w:pStyle w:val="COMTabletext"/>
              <w:jc w:val="center"/>
              <w:rPr>
                <w:b/>
                <w:bCs w:val="0"/>
                <w:vertAlign w:val="superscript"/>
              </w:rPr>
            </w:pPr>
            <w:r w:rsidRPr="006449AB">
              <w:rPr>
                <w:b/>
                <w:bCs w:val="0"/>
              </w:rPr>
              <w:t>$</w:t>
            </w:r>
            <w:r w:rsidRPr="006449AB">
              <w:rPr>
                <w:b/>
                <w:bCs w:val="0"/>
                <w:sz w:val="2"/>
                <w:highlight w:val="black"/>
              </w:rPr>
              <w:t>redacted content</w:t>
            </w:r>
            <w:r w:rsidR="00137160">
              <w:rPr>
                <w:b/>
                <w:bCs w:val="0"/>
                <w:vertAlign w:val="superscript"/>
              </w:rPr>
              <w:t>1</w:t>
            </w:r>
          </w:p>
        </w:tc>
      </w:tr>
    </w:tbl>
    <w:p w14:paraId="60F4B5EC" w14:textId="77777777" w:rsidR="006D3D08" w:rsidRPr="003D294A" w:rsidRDefault="006D3D08" w:rsidP="00CF7B47">
      <w:pPr>
        <w:pStyle w:val="COMTablefooter"/>
      </w:pPr>
      <w:r w:rsidRPr="003D294A">
        <w:t>Source: Table 3-22, p101 of the submission; ‘Pegcetacoplan CUA’ Excel model provided with the submission</w:t>
      </w:r>
    </w:p>
    <w:p w14:paraId="553ABE59" w14:textId="77777777" w:rsidR="00137160" w:rsidRDefault="006D3D08" w:rsidP="00137160">
      <w:pPr>
        <w:pStyle w:val="COMTablefooter"/>
        <w:rPr>
          <w:i/>
          <w:szCs w:val="18"/>
        </w:rPr>
      </w:pPr>
      <w:r w:rsidRPr="003D294A">
        <w:t>Abbreviation: QALY, quality adjusted life year</w:t>
      </w:r>
      <w:r w:rsidR="00656674">
        <w:t>; SoC, standard of care</w:t>
      </w:r>
    </w:p>
    <w:p w14:paraId="63E390F1" w14:textId="158CCA54" w:rsidR="00137160" w:rsidRPr="00137160" w:rsidRDefault="00137160" w:rsidP="00137160">
      <w:pPr>
        <w:pStyle w:val="COMTablefooter"/>
        <w:rPr>
          <w:i/>
        </w:rPr>
      </w:pPr>
      <w:r w:rsidRPr="00137160">
        <w:rPr>
          <w:i/>
        </w:rPr>
        <w:t xml:space="preserve">The redacted values correspond to the following ranges: </w:t>
      </w:r>
    </w:p>
    <w:p w14:paraId="2C3C4D9C" w14:textId="2D42D393" w:rsidR="00137160" w:rsidRPr="00137160" w:rsidRDefault="00137160" w:rsidP="00137160">
      <w:pPr>
        <w:pStyle w:val="COMTablefooter"/>
        <w:rPr>
          <w:i/>
        </w:rPr>
      </w:pPr>
      <w:r w:rsidRPr="00137160">
        <w:rPr>
          <w:i/>
          <w:vertAlign w:val="superscript"/>
        </w:rPr>
        <w:t>1</w:t>
      </w:r>
      <w:r w:rsidRPr="00137160">
        <w:rPr>
          <w:i/>
        </w:rPr>
        <w:t xml:space="preserve"> $755,000 to &lt; $855,000</w:t>
      </w:r>
    </w:p>
    <w:p w14:paraId="26F4120D" w14:textId="207A2E45" w:rsidR="006D3D08" w:rsidRPr="003D294A" w:rsidRDefault="006D3D08" w:rsidP="00CF7B47">
      <w:pPr>
        <w:pStyle w:val="COMTablefooter"/>
      </w:pPr>
    </w:p>
    <w:p w14:paraId="74731D21" w14:textId="392F3071" w:rsidR="005A373D" w:rsidRPr="003D294A" w:rsidRDefault="006D3D08" w:rsidP="00CF7B47">
      <w:pPr>
        <w:pStyle w:val="COMESnumberedpara"/>
      </w:pPr>
      <w:r w:rsidRPr="003D294A">
        <w:t xml:space="preserve">Based on the economic model, treatment with pegcetacoplan was associated with an incremental cost per QALY gained of </w:t>
      </w:r>
      <w:r w:rsidR="00137160" w:rsidRPr="00137160">
        <w:t>$755,000 to &lt; $855,000</w:t>
      </w:r>
      <w:r w:rsidR="00137160">
        <w:t xml:space="preserve"> </w:t>
      </w:r>
      <w:r w:rsidRPr="003D294A">
        <w:t xml:space="preserve">compared to </w:t>
      </w:r>
      <w:r w:rsidR="00656674">
        <w:t>SoC</w:t>
      </w:r>
      <w:r w:rsidR="00656674" w:rsidRPr="003D294A">
        <w:t xml:space="preserve"> </w:t>
      </w:r>
      <w:r w:rsidRPr="003D294A">
        <w:t>for the treatment of C3G or primary IC-MPGN.</w:t>
      </w:r>
    </w:p>
    <w:p w14:paraId="076196DD" w14:textId="14206C95" w:rsidR="00D66082" w:rsidRPr="003D294A" w:rsidRDefault="00D66082" w:rsidP="00CF7B47">
      <w:pPr>
        <w:pStyle w:val="COMESnumberedpara"/>
      </w:pPr>
      <w:r w:rsidRPr="003D294A">
        <w:t>The submission claimed that a high incremental cost effectiveness ratio was reasonable given the high clinical need, rarity of the disease and young age of the affected population.</w:t>
      </w:r>
    </w:p>
    <w:p w14:paraId="3A8C4A0F" w14:textId="6F59F277" w:rsidR="00B77A69" w:rsidRPr="003D294A" w:rsidRDefault="00D66082" w:rsidP="00CF7B47">
      <w:pPr>
        <w:pStyle w:val="COMESnumberedpara"/>
      </w:pPr>
      <w:r w:rsidRPr="003D294A">
        <w:t>The</w:t>
      </w:r>
      <w:r w:rsidR="0091233D" w:rsidRPr="003D294A">
        <w:t xml:space="preserve"> evaluation and the </w:t>
      </w:r>
      <w:r w:rsidR="003D3A26" w:rsidRPr="003D294A">
        <w:t>Sub-Committees</w:t>
      </w:r>
      <w:r w:rsidR="0091233D" w:rsidRPr="003D294A">
        <w:t xml:space="preserve"> considered the</w:t>
      </w:r>
      <w:r w:rsidRPr="003D294A">
        <w:t xml:space="preserve"> cost-effectiveness estimate should not be considered reliable given</w:t>
      </w:r>
      <w:r w:rsidR="00375BD8" w:rsidRPr="003D294A">
        <w:t xml:space="preserve"> uncertainties with </w:t>
      </w:r>
      <w:r w:rsidR="00CC7353" w:rsidRPr="003D294A">
        <w:t xml:space="preserve">modelled </w:t>
      </w:r>
      <w:r w:rsidR="00375BD8" w:rsidRPr="003D294A">
        <w:t>change in eGFR estimates</w:t>
      </w:r>
      <w:r w:rsidR="00CC7353" w:rsidRPr="003D294A">
        <w:t xml:space="preserve"> based on </w:t>
      </w:r>
      <w:r w:rsidR="00375BD8" w:rsidRPr="003D294A">
        <w:t>the VALIANT trial that were substantially worse than in other studies of C3G/IC-MPGN</w:t>
      </w:r>
      <w:r w:rsidR="00CC7353" w:rsidRPr="003D294A">
        <w:t>, the assumption that all post-transplant patients (with a successful graft) have immediate disease recurrence which substantially underestimates the effectiveness of transplantation, inadequately justified dialysis utility values and limitations with the model structure that precluded the ability to explore the impact of differences in patient and disease characteristics.</w:t>
      </w:r>
    </w:p>
    <w:p w14:paraId="35E56F92" w14:textId="03B6149C" w:rsidR="00375BD8" w:rsidRPr="003D294A" w:rsidRDefault="00CC278B" w:rsidP="00CF7B47">
      <w:pPr>
        <w:pStyle w:val="COMESnumberedpara"/>
      </w:pPr>
      <w:r w:rsidRPr="003D294A">
        <w:t xml:space="preserve">The Sub-Committees noted </w:t>
      </w:r>
      <w:r w:rsidR="003224BE" w:rsidRPr="003D294A">
        <w:t>t</w:t>
      </w:r>
      <w:r w:rsidR="009B24B1" w:rsidRPr="003D294A">
        <w:t xml:space="preserve">he median time to death in the modelled population was 41.8 years in the pegcetacoplan arm and 41.5 years in the </w:t>
      </w:r>
      <w:r w:rsidR="00656674">
        <w:t>SoC</w:t>
      </w:r>
      <w:r w:rsidR="00656674" w:rsidRPr="003D294A">
        <w:t xml:space="preserve"> </w:t>
      </w:r>
      <w:r w:rsidR="009B24B1" w:rsidRPr="003D294A">
        <w:t xml:space="preserve">arm (after accounting for baseline age, the median age at death in the model was approximately 68 years). </w:t>
      </w:r>
      <w:r w:rsidR="004C4A57" w:rsidRPr="003D294A">
        <w:t>The Sub-Committees considered i</w:t>
      </w:r>
      <w:r w:rsidR="009B24B1" w:rsidRPr="003D294A">
        <w:t xml:space="preserve">t was unclear whether the modelled estimates were representative of the life expectancy of patients with C3G or primary IC-MPGN given </w:t>
      </w:r>
      <w:r w:rsidR="00FB1F4A" w:rsidRPr="003D294A">
        <w:t xml:space="preserve">the </w:t>
      </w:r>
      <w:r w:rsidR="009B24B1" w:rsidRPr="003D294A">
        <w:t>limited published data available</w:t>
      </w:r>
      <w:r w:rsidR="00FB1F4A" w:rsidRPr="003D294A">
        <w:t xml:space="preserve"> to provide external validation</w:t>
      </w:r>
      <w:r w:rsidR="009B24B1" w:rsidRPr="003D294A">
        <w:t xml:space="preserve">. </w:t>
      </w:r>
    </w:p>
    <w:p w14:paraId="1BAC1159" w14:textId="0102607F" w:rsidR="00A86E8B" w:rsidRPr="003D294A" w:rsidRDefault="00D23D11" w:rsidP="00CF7B47">
      <w:pPr>
        <w:pStyle w:val="COMESnumberedpara"/>
      </w:pPr>
      <w:r w:rsidRPr="003D294A">
        <w:t xml:space="preserve">The results of </w:t>
      </w:r>
      <w:r w:rsidR="00DC6BE9">
        <w:t xml:space="preserve">some </w:t>
      </w:r>
      <w:r w:rsidR="000518EB">
        <w:t xml:space="preserve">of the </w:t>
      </w:r>
      <w:r w:rsidRPr="003D294A">
        <w:t xml:space="preserve">key sensitivity analyses </w:t>
      </w:r>
      <w:r w:rsidR="00B535AD" w:rsidRPr="003D294A">
        <w:t xml:space="preserve">presented in the submission and conducted during the evaluation </w:t>
      </w:r>
      <w:r w:rsidRPr="003D294A">
        <w:t xml:space="preserve">are summarised </w:t>
      </w:r>
      <w:r w:rsidR="00E16AD8" w:rsidRPr="003D294A">
        <w:t xml:space="preserve">in </w:t>
      </w:r>
      <w:r w:rsidR="00E16AD8" w:rsidRPr="003D294A">
        <w:fldChar w:fldCharType="begin"/>
      </w:r>
      <w:r w:rsidR="00E16AD8" w:rsidRPr="003D294A">
        <w:instrText xml:space="preserve"> REF _Ref104804865 \h </w:instrText>
      </w:r>
      <w:r w:rsidR="0076264C" w:rsidRPr="003D294A">
        <w:instrText xml:space="preserve"> \* MERGEFORMAT </w:instrText>
      </w:r>
      <w:r w:rsidR="00E16AD8" w:rsidRPr="003D294A">
        <w:fldChar w:fldCharType="separate"/>
      </w:r>
      <w:r w:rsidR="00632853" w:rsidRPr="003D294A">
        <w:t xml:space="preserve">Table </w:t>
      </w:r>
      <w:r w:rsidR="00632853">
        <w:t>13</w:t>
      </w:r>
      <w:r w:rsidR="00E16AD8" w:rsidRPr="003D294A">
        <w:fldChar w:fldCharType="end"/>
      </w:r>
      <w:r w:rsidR="00A62FAB" w:rsidRPr="003D294A">
        <w:t>.</w:t>
      </w:r>
    </w:p>
    <w:p w14:paraId="3A64F4E7" w14:textId="6C45FD62" w:rsidR="00D23D11" w:rsidRPr="003D294A" w:rsidRDefault="00E16AD8" w:rsidP="00CF7B47">
      <w:pPr>
        <w:pStyle w:val="COMTableFigurecaption"/>
      </w:pPr>
      <w:bookmarkStart w:id="53" w:name="_Ref104804865"/>
      <w:r w:rsidRPr="003D294A">
        <w:lastRenderedPageBreak/>
        <w:t xml:space="preserve">Table </w:t>
      </w:r>
      <w:fldSimple w:instr=" SEQ Table \* ARABIC ">
        <w:r w:rsidR="00632853">
          <w:rPr>
            <w:noProof/>
          </w:rPr>
          <w:t>13</w:t>
        </w:r>
      </w:fldSimple>
      <w:bookmarkEnd w:id="53"/>
      <w:r w:rsidRPr="003D294A">
        <w:t>:</w:t>
      </w:r>
      <w:r w:rsidR="00354F64" w:rsidRPr="003D294A">
        <w:t xml:space="preserve"> </w:t>
      </w:r>
      <w:r w:rsidR="00D15314" w:rsidRPr="003D294A">
        <w:t>Sensitivity analyses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Sensitivity analyses"/>
      </w:tblPr>
      <w:tblGrid>
        <w:gridCol w:w="4108"/>
        <w:gridCol w:w="1227"/>
        <w:gridCol w:w="1228"/>
        <w:gridCol w:w="1228"/>
        <w:gridCol w:w="1228"/>
      </w:tblGrid>
      <w:tr w:rsidR="00B535AD" w:rsidRPr="003D294A" w14:paraId="35A883CF" w14:textId="77777777">
        <w:trPr>
          <w:tblHeader/>
        </w:trPr>
        <w:tc>
          <w:tcPr>
            <w:tcW w:w="4108" w:type="dxa"/>
            <w:vAlign w:val="center"/>
          </w:tcPr>
          <w:p w14:paraId="2DC47ECF" w14:textId="77777777" w:rsidR="00B535AD" w:rsidRPr="003D294A" w:rsidRDefault="00B535AD" w:rsidP="00CF7B47">
            <w:pPr>
              <w:pStyle w:val="COMTableheadingrow"/>
              <w:keepNext w:val="0"/>
            </w:pPr>
            <w:r w:rsidRPr="003D294A">
              <w:t>Analysis</w:t>
            </w:r>
          </w:p>
        </w:tc>
        <w:tc>
          <w:tcPr>
            <w:tcW w:w="1227" w:type="dxa"/>
            <w:vAlign w:val="center"/>
          </w:tcPr>
          <w:p w14:paraId="6641A0FD" w14:textId="77777777" w:rsidR="00B535AD" w:rsidRPr="003D294A" w:rsidRDefault="00B535AD" w:rsidP="00CF7B47">
            <w:pPr>
              <w:pStyle w:val="COMTableheadingrow"/>
              <w:keepNext w:val="0"/>
              <w:jc w:val="center"/>
            </w:pPr>
            <w:r w:rsidRPr="003D294A">
              <w:t>Incremental cost</w:t>
            </w:r>
          </w:p>
        </w:tc>
        <w:tc>
          <w:tcPr>
            <w:tcW w:w="1228" w:type="dxa"/>
            <w:vAlign w:val="center"/>
          </w:tcPr>
          <w:p w14:paraId="7ECA0949" w14:textId="77777777" w:rsidR="00B535AD" w:rsidRPr="003D294A" w:rsidRDefault="00B535AD" w:rsidP="00CF7B47">
            <w:pPr>
              <w:pStyle w:val="COMTableheadingrow"/>
              <w:keepNext w:val="0"/>
              <w:jc w:val="center"/>
            </w:pPr>
            <w:r w:rsidRPr="003D294A">
              <w:t>Incremental QALYs</w:t>
            </w:r>
          </w:p>
        </w:tc>
        <w:tc>
          <w:tcPr>
            <w:tcW w:w="1228" w:type="dxa"/>
            <w:vAlign w:val="center"/>
          </w:tcPr>
          <w:p w14:paraId="27D32DA2" w14:textId="77777777" w:rsidR="00B535AD" w:rsidRPr="003D294A" w:rsidRDefault="00B535AD" w:rsidP="00CF7B47">
            <w:pPr>
              <w:pStyle w:val="COMTableheadingrow"/>
              <w:keepNext w:val="0"/>
              <w:jc w:val="center"/>
            </w:pPr>
            <w:r w:rsidRPr="003D294A">
              <w:t>ICER</w:t>
            </w:r>
          </w:p>
        </w:tc>
        <w:tc>
          <w:tcPr>
            <w:tcW w:w="1228" w:type="dxa"/>
            <w:vAlign w:val="center"/>
          </w:tcPr>
          <w:p w14:paraId="6B8A59EB" w14:textId="77777777" w:rsidR="00B535AD" w:rsidRPr="003D294A" w:rsidRDefault="00B535AD" w:rsidP="00CF7B47">
            <w:pPr>
              <w:pStyle w:val="COMTableheadingrow"/>
              <w:keepNext w:val="0"/>
              <w:jc w:val="center"/>
            </w:pPr>
            <w:r w:rsidRPr="003D294A">
              <w:t>% change</w:t>
            </w:r>
          </w:p>
        </w:tc>
      </w:tr>
      <w:tr w:rsidR="00B535AD" w:rsidRPr="003D294A" w14:paraId="582FE657" w14:textId="77777777">
        <w:trPr>
          <w:tblHeader/>
        </w:trPr>
        <w:tc>
          <w:tcPr>
            <w:tcW w:w="4108" w:type="dxa"/>
          </w:tcPr>
          <w:p w14:paraId="1CD5645C" w14:textId="77777777" w:rsidR="00B535AD" w:rsidRPr="003D294A" w:rsidRDefault="00B535AD" w:rsidP="00CF7B47">
            <w:pPr>
              <w:pStyle w:val="COMTabletext"/>
              <w:keepNext w:val="0"/>
              <w:rPr>
                <w:b/>
                <w:bCs w:val="0"/>
              </w:rPr>
            </w:pPr>
            <w:r w:rsidRPr="003D294A">
              <w:rPr>
                <w:b/>
                <w:bCs w:val="0"/>
              </w:rPr>
              <w:t>Revised base case</w:t>
            </w:r>
          </w:p>
        </w:tc>
        <w:tc>
          <w:tcPr>
            <w:tcW w:w="1227" w:type="dxa"/>
          </w:tcPr>
          <w:p w14:paraId="4177CDD3" w14:textId="614AD1AF" w:rsidR="00B535AD" w:rsidRPr="003D294A" w:rsidRDefault="006449AB" w:rsidP="00CF7B47">
            <w:pPr>
              <w:pStyle w:val="COMTabletext"/>
              <w:keepNext w:val="0"/>
              <w:jc w:val="center"/>
              <w:rPr>
                <w:b/>
                <w:bCs w:val="0"/>
              </w:rPr>
            </w:pPr>
            <w:r w:rsidRPr="006449AB">
              <w:rPr>
                <w:b/>
                <w:bCs w:val="0"/>
              </w:rPr>
              <w:t>$</w:t>
            </w:r>
            <w:r w:rsidRPr="006449AB">
              <w:rPr>
                <w:b/>
                <w:bCs w:val="0"/>
                <w:sz w:val="2"/>
                <w:highlight w:val="black"/>
              </w:rPr>
              <w:t>redacted content</w:t>
            </w:r>
          </w:p>
        </w:tc>
        <w:tc>
          <w:tcPr>
            <w:tcW w:w="1228" w:type="dxa"/>
          </w:tcPr>
          <w:p w14:paraId="2C1FFE88" w14:textId="77777777" w:rsidR="00B535AD" w:rsidRPr="003D294A" w:rsidRDefault="00B535AD" w:rsidP="00CF7B47">
            <w:pPr>
              <w:pStyle w:val="COMTabletext"/>
              <w:keepNext w:val="0"/>
              <w:jc w:val="center"/>
              <w:rPr>
                <w:b/>
                <w:bCs w:val="0"/>
              </w:rPr>
            </w:pPr>
            <w:r w:rsidRPr="003D294A">
              <w:rPr>
                <w:b/>
                <w:bCs w:val="0"/>
              </w:rPr>
              <w:t>0.73</w:t>
            </w:r>
          </w:p>
        </w:tc>
        <w:tc>
          <w:tcPr>
            <w:tcW w:w="1228" w:type="dxa"/>
          </w:tcPr>
          <w:p w14:paraId="627469F1" w14:textId="5584A4A9" w:rsidR="00B535AD" w:rsidRPr="00B56FDA" w:rsidRDefault="006449AB" w:rsidP="00CF7B47">
            <w:pPr>
              <w:pStyle w:val="COMTabletext"/>
              <w:keepNext w:val="0"/>
              <w:jc w:val="center"/>
              <w:rPr>
                <w:b/>
                <w:bCs w:val="0"/>
                <w:vertAlign w:val="superscript"/>
              </w:rPr>
            </w:pPr>
            <w:r w:rsidRPr="006449AB">
              <w:rPr>
                <w:b/>
                <w:bCs w:val="0"/>
              </w:rPr>
              <w:t>$</w:t>
            </w:r>
            <w:r w:rsidRPr="006449AB">
              <w:rPr>
                <w:b/>
                <w:bCs w:val="0"/>
                <w:sz w:val="2"/>
                <w:highlight w:val="black"/>
              </w:rPr>
              <w:t>redacted content</w:t>
            </w:r>
            <w:r w:rsidR="00B56FDA">
              <w:rPr>
                <w:b/>
                <w:bCs w:val="0"/>
                <w:vertAlign w:val="superscript"/>
              </w:rPr>
              <w:t>1</w:t>
            </w:r>
          </w:p>
        </w:tc>
        <w:tc>
          <w:tcPr>
            <w:tcW w:w="1228" w:type="dxa"/>
          </w:tcPr>
          <w:p w14:paraId="271127C8" w14:textId="77777777" w:rsidR="00B535AD" w:rsidRPr="003D294A" w:rsidRDefault="00B535AD" w:rsidP="00CF7B47">
            <w:pPr>
              <w:pStyle w:val="COMTabletext"/>
              <w:keepNext w:val="0"/>
              <w:jc w:val="center"/>
              <w:rPr>
                <w:b/>
                <w:bCs w:val="0"/>
              </w:rPr>
            </w:pPr>
            <w:r w:rsidRPr="003D294A">
              <w:rPr>
                <w:b/>
                <w:bCs w:val="0"/>
              </w:rPr>
              <w:t>-</w:t>
            </w:r>
          </w:p>
        </w:tc>
      </w:tr>
      <w:tr w:rsidR="00B535AD" w:rsidRPr="003D294A" w14:paraId="1D6EC9AA" w14:textId="77777777">
        <w:tc>
          <w:tcPr>
            <w:tcW w:w="4108" w:type="dxa"/>
          </w:tcPr>
          <w:p w14:paraId="40A48AC5" w14:textId="77777777" w:rsidR="00B535AD" w:rsidRPr="003D294A" w:rsidRDefault="00B535AD" w:rsidP="00CF7B47">
            <w:pPr>
              <w:pStyle w:val="COMTabletext"/>
              <w:keepNext w:val="0"/>
              <w:rPr>
                <w:b/>
                <w:bCs w:val="0"/>
              </w:rPr>
            </w:pPr>
            <w:r w:rsidRPr="003D294A">
              <w:rPr>
                <w:b/>
                <w:bCs w:val="0"/>
              </w:rPr>
              <w:t>Scenario analysis including cost savings and QALY gains for redirected kidney transplants (submission’s base case)</w:t>
            </w:r>
          </w:p>
        </w:tc>
        <w:tc>
          <w:tcPr>
            <w:tcW w:w="1227" w:type="dxa"/>
            <w:vAlign w:val="center"/>
          </w:tcPr>
          <w:p w14:paraId="036C8861" w14:textId="116AA601" w:rsidR="00B535AD" w:rsidRPr="003D294A" w:rsidRDefault="006449AB" w:rsidP="00CF7B47">
            <w:pPr>
              <w:pStyle w:val="COMTabletext"/>
              <w:keepNext w:val="0"/>
              <w:jc w:val="center"/>
              <w:rPr>
                <w:b/>
                <w:bCs w:val="0"/>
              </w:rPr>
            </w:pPr>
            <w:r w:rsidRPr="006449AB">
              <w:t>$</w:t>
            </w:r>
            <w:r w:rsidRPr="006449AB">
              <w:rPr>
                <w:sz w:val="2"/>
                <w:highlight w:val="black"/>
              </w:rPr>
              <w:t>redacted content</w:t>
            </w:r>
          </w:p>
        </w:tc>
        <w:tc>
          <w:tcPr>
            <w:tcW w:w="1228" w:type="dxa"/>
            <w:vAlign w:val="center"/>
          </w:tcPr>
          <w:p w14:paraId="75B8986C" w14:textId="77777777" w:rsidR="00B535AD" w:rsidRPr="003D294A" w:rsidRDefault="00B535AD" w:rsidP="00CF7B47">
            <w:pPr>
              <w:pStyle w:val="COMTabletext"/>
              <w:keepNext w:val="0"/>
              <w:jc w:val="center"/>
              <w:rPr>
                <w:b/>
                <w:bCs w:val="0"/>
              </w:rPr>
            </w:pPr>
            <w:r w:rsidRPr="003D294A">
              <w:t>0.99</w:t>
            </w:r>
          </w:p>
        </w:tc>
        <w:tc>
          <w:tcPr>
            <w:tcW w:w="1228" w:type="dxa"/>
            <w:vAlign w:val="center"/>
          </w:tcPr>
          <w:p w14:paraId="45BC675D" w14:textId="1DE48BEA"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2</w:t>
            </w:r>
          </w:p>
        </w:tc>
        <w:tc>
          <w:tcPr>
            <w:tcW w:w="1228" w:type="dxa"/>
            <w:vAlign w:val="center"/>
          </w:tcPr>
          <w:p w14:paraId="67D625A3" w14:textId="75D1841F"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02BA9A2D" w14:textId="77777777">
        <w:tc>
          <w:tcPr>
            <w:tcW w:w="9019" w:type="dxa"/>
            <w:gridSpan w:val="5"/>
          </w:tcPr>
          <w:p w14:paraId="3E3B445E" w14:textId="77777777" w:rsidR="00B535AD" w:rsidRPr="003D294A" w:rsidRDefault="00B535AD" w:rsidP="00CF7B47">
            <w:pPr>
              <w:pStyle w:val="COMTableheadingrow"/>
            </w:pPr>
            <w:r w:rsidRPr="003D294A">
              <w:t>Discount rate (revised base case: 5% costs and outcomes)</w:t>
            </w:r>
          </w:p>
        </w:tc>
      </w:tr>
      <w:tr w:rsidR="00B535AD" w:rsidRPr="003D294A" w14:paraId="5CA175F7" w14:textId="77777777">
        <w:tc>
          <w:tcPr>
            <w:tcW w:w="4108" w:type="dxa"/>
          </w:tcPr>
          <w:p w14:paraId="4BB96386" w14:textId="77777777" w:rsidR="00B535AD" w:rsidRPr="003D294A" w:rsidRDefault="00B535AD" w:rsidP="00CF7B47">
            <w:pPr>
              <w:pStyle w:val="COMTabletext"/>
              <w:keepNext w:val="0"/>
            </w:pPr>
            <w:r w:rsidRPr="003D294A">
              <w:t>0%</w:t>
            </w:r>
          </w:p>
        </w:tc>
        <w:tc>
          <w:tcPr>
            <w:tcW w:w="1227" w:type="dxa"/>
            <w:vAlign w:val="center"/>
          </w:tcPr>
          <w:p w14:paraId="222BE7D9" w14:textId="7AE0FADF"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096A23FC" w14:textId="77777777" w:rsidR="00B535AD" w:rsidRPr="003D294A" w:rsidRDefault="00B535AD" w:rsidP="00CF7B47">
            <w:pPr>
              <w:pStyle w:val="COMTabletext"/>
              <w:keepNext w:val="0"/>
              <w:jc w:val="center"/>
            </w:pPr>
            <w:r w:rsidRPr="003D294A">
              <w:t>1.05</w:t>
            </w:r>
          </w:p>
        </w:tc>
        <w:tc>
          <w:tcPr>
            <w:tcW w:w="1228" w:type="dxa"/>
            <w:vAlign w:val="center"/>
          </w:tcPr>
          <w:p w14:paraId="47F33E35" w14:textId="75E2518E"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3</w:t>
            </w:r>
          </w:p>
        </w:tc>
        <w:tc>
          <w:tcPr>
            <w:tcW w:w="1228" w:type="dxa"/>
            <w:vAlign w:val="center"/>
          </w:tcPr>
          <w:p w14:paraId="59A651EA" w14:textId="62A20F44"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254A8A67" w14:textId="77777777">
        <w:tc>
          <w:tcPr>
            <w:tcW w:w="4108" w:type="dxa"/>
          </w:tcPr>
          <w:p w14:paraId="39377D84" w14:textId="77777777" w:rsidR="00B535AD" w:rsidRPr="003D294A" w:rsidRDefault="00B535AD" w:rsidP="00CF7B47">
            <w:pPr>
              <w:pStyle w:val="COMTabletext"/>
              <w:keepNext w:val="0"/>
            </w:pPr>
            <w:r w:rsidRPr="003D294A">
              <w:t>3.5%</w:t>
            </w:r>
          </w:p>
        </w:tc>
        <w:tc>
          <w:tcPr>
            <w:tcW w:w="1227" w:type="dxa"/>
            <w:vAlign w:val="center"/>
          </w:tcPr>
          <w:p w14:paraId="20D7034D" w14:textId="1F79A8C9"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73A66C59" w14:textId="77777777" w:rsidR="00B535AD" w:rsidRPr="003D294A" w:rsidRDefault="00B535AD" w:rsidP="00CF7B47">
            <w:pPr>
              <w:pStyle w:val="COMTabletext"/>
              <w:keepNext w:val="0"/>
              <w:jc w:val="center"/>
            </w:pPr>
            <w:r w:rsidRPr="003D294A">
              <w:t>0.80</w:t>
            </w:r>
          </w:p>
        </w:tc>
        <w:tc>
          <w:tcPr>
            <w:tcW w:w="1228" w:type="dxa"/>
            <w:vAlign w:val="center"/>
          </w:tcPr>
          <w:p w14:paraId="52978832" w14:textId="3807820A"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1</w:t>
            </w:r>
          </w:p>
        </w:tc>
        <w:tc>
          <w:tcPr>
            <w:tcW w:w="1228" w:type="dxa"/>
            <w:vAlign w:val="center"/>
          </w:tcPr>
          <w:p w14:paraId="1A50B55E" w14:textId="59815981"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6FFD411E" w14:textId="77777777">
        <w:trPr>
          <w:trHeight w:val="64"/>
        </w:trPr>
        <w:tc>
          <w:tcPr>
            <w:tcW w:w="9019" w:type="dxa"/>
            <w:gridSpan w:val="5"/>
            <w:vAlign w:val="center"/>
          </w:tcPr>
          <w:p w14:paraId="50127AC9" w14:textId="77777777" w:rsidR="00B535AD" w:rsidRPr="003D294A" w:rsidRDefault="00B535AD" w:rsidP="00CF7B47">
            <w:pPr>
              <w:pStyle w:val="COMTableheadingrow"/>
            </w:pPr>
            <w:r w:rsidRPr="003D294A">
              <w:t>UPCR health states (revised base case: higher disease management costs in UPCR 1-3 and UPCR&gt;3, UPCR disutility in UPCR 1-3 and UPCR&gt;3, discontinuation rate 5% in UPCR&lt;1 and UPCR 1-3 and 80% in UPCR&gt;3)</w:t>
            </w:r>
          </w:p>
        </w:tc>
      </w:tr>
      <w:tr w:rsidR="00B535AD" w:rsidRPr="003D294A" w14:paraId="1C2483A8" w14:textId="77777777">
        <w:trPr>
          <w:trHeight w:val="64"/>
        </w:trPr>
        <w:tc>
          <w:tcPr>
            <w:tcW w:w="4108" w:type="dxa"/>
            <w:vAlign w:val="center"/>
          </w:tcPr>
          <w:p w14:paraId="61B7FC68" w14:textId="2AF4DA49" w:rsidR="00B535AD" w:rsidRPr="003D294A" w:rsidRDefault="000B63D8" w:rsidP="00CF7B47">
            <w:pPr>
              <w:pStyle w:val="COMTabletext"/>
              <w:keepNext w:val="0"/>
            </w:pPr>
            <w:r w:rsidRPr="003D294A">
              <w:t xml:space="preserve">Remove </w:t>
            </w:r>
            <w:r w:rsidR="00B535AD" w:rsidRPr="003D294A">
              <w:t xml:space="preserve">difference in costs or utilities by UPCR level, equal discontinuation rate for all UPCR </w:t>
            </w:r>
            <w:r w:rsidRPr="003D294A">
              <w:t>levels</w:t>
            </w:r>
            <w:r w:rsidR="00B535AD" w:rsidRPr="003D294A">
              <w:t xml:space="preserve"> (5%)</w:t>
            </w:r>
          </w:p>
        </w:tc>
        <w:tc>
          <w:tcPr>
            <w:tcW w:w="1227" w:type="dxa"/>
            <w:vAlign w:val="center"/>
          </w:tcPr>
          <w:p w14:paraId="6A5AF9D2" w14:textId="1356E994"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3F2ED78A" w14:textId="77777777" w:rsidR="00B535AD" w:rsidRPr="003D294A" w:rsidRDefault="00B535AD" w:rsidP="00CF7B47">
            <w:pPr>
              <w:pStyle w:val="COMTabletext"/>
              <w:keepNext w:val="0"/>
              <w:jc w:val="center"/>
            </w:pPr>
            <w:r w:rsidRPr="003D294A">
              <w:t>1.02</w:t>
            </w:r>
          </w:p>
        </w:tc>
        <w:tc>
          <w:tcPr>
            <w:tcW w:w="1228" w:type="dxa"/>
            <w:vAlign w:val="center"/>
          </w:tcPr>
          <w:p w14:paraId="030F9258" w14:textId="544FEB5C"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4</w:t>
            </w:r>
          </w:p>
        </w:tc>
        <w:tc>
          <w:tcPr>
            <w:tcW w:w="1228" w:type="dxa"/>
            <w:vAlign w:val="center"/>
          </w:tcPr>
          <w:p w14:paraId="076DD8D8" w14:textId="570D5EA7"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6241E363" w14:textId="77777777">
        <w:trPr>
          <w:trHeight w:val="64"/>
        </w:trPr>
        <w:tc>
          <w:tcPr>
            <w:tcW w:w="9019" w:type="dxa"/>
            <w:gridSpan w:val="5"/>
            <w:vAlign w:val="center"/>
          </w:tcPr>
          <w:p w14:paraId="3FDB7C71" w14:textId="09FDBDA3" w:rsidR="00B535AD" w:rsidRPr="003D294A" w:rsidRDefault="00B535AD" w:rsidP="00CF7B47">
            <w:pPr>
              <w:pStyle w:val="COMTableheadingrow"/>
            </w:pPr>
            <w:r w:rsidRPr="003D294A">
              <w:t xml:space="preserve">Change in eGFR per 3-month cycle (revised base case: pegcetacoplan no change in UPCR&lt;1, -0.71 in UPCR 1-3 and -2.36 in UPCR&gt;3; </w:t>
            </w:r>
            <w:r w:rsidR="00656674">
              <w:t>SoC</w:t>
            </w:r>
            <w:r w:rsidR="00656674" w:rsidRPr="003D294A">
              <w:t xml:space="preserve"> </w:t>
            </w:r>
            <w:r w:rsidRPr="003D294A">
              <w:t xml:space="preserve">-1.47 in UPCR&lt;1, -3.05 in UPCR 1-3 and </w:t>
            </w:r>
            <w:r w:rsidRPr="003D294A">
              <w:noBreakHyphen/>
              <w:t>4.70 in UPCR&gt;3 based on trial data)</w:t>
            </w:r>
          </w:p>
        </w:tc>
      </w:tr>
      <w:tr w:rsidR="00B535AD" w:rsidRPr="003D294A" w14:paraId="381071DA" w14:textId="0288D145">
        <w:trPr>
          <w:trHeight w:val="64"/>
        </w:trPr>
        <w:tc>
          <w:tcPr>
            <w:tcW w:w="4108" w:type="dxa"/>
            <w:vAlign w:val="center"/>
          </w:tcPr>
          <w:p w14:paraId="14BD3784" w14:textId="6660C75E" w:rsidR="00B535AD" w:rsidRPr="003D294A" w:rsidRDefault="00B535AD" w:rsidP="00CF7B47">
            <w:pPr>
              <w:pStyle w:val="COMTabletext"/>
              <w:keepNext w:val="0"/>
            </w:pPr>
            <w:r w:rsidRPr="003D294A">
              <w:t xml:space="preserve">eGFR decline for pegcetacoplan based on 25% of trial-based decline for </w:t>
            </w:r>
            <w:r w:rsidR="00656674">
              <w:t>SoC</w:t>
            </w:r>
          </w:p>
        </w:tc>
        <w:tc>
          <w:tcPr>
            <w:tcW w:w="1227" w:type="dxa"/>
            <w:vAlign w:val="center"/>
          </w:tcPr>
          <w:p w14:paraId="3A0781AB" w14:textId="6FF278FC"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4D06583C" w14:textId="165AD4B2" w:rsidR="00B535AD" w:rsidRPr="003D294A" w:rsidRDefault="00B535AD" w:rsidP="00CF7B47">
            <w:pPr>
              <w:pStyle w:val="COMTabletext"/>
              <w:keepNext w:val="0"/>
              <w:jc w:val="center"/>
            </w:pPr>
            <w:r w:rsidRPr="003D294A">
              <w:t>0.67</w:t>
            </w:r>
          </w:p>
        </w:tc>
        <w:tc>
          <w:tcPr>
            <w:tcW w:w="1228" w:type="dxa"/>
            <w:vAlign w:val="center"/>
          </w:tcPr>
          <w:p w14:paraId="0773CAD8" w14:textId="72686A64"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4</w:t>
            </w:r>
          </w:p>
        </w:tc>
        <w:tc>
          <w:tcPr>
            <w:tcW w:w="1228" w:type="dxa"/>
            <w:vAlign w:val="center"/>
          </w:tcPr>
          <w:p w14:paraId="00397A2B" w14:textId="3A14DA7E"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2324F5B9" w14:textId="77777777">
        <w:trPr>
          <w:trHeight w:val="64"/>
        </w:trPr>
        <w:tc>
          <w:tcPr>
            <w:tcW w:w="4108" w:type="dxa"/>
            <w:vAlign w:val="center"/>
          </w:tcPr>
          <w:p w14:paraId="69EC94CE" w14:textId="29CD40FC" w:rsidR="00B535AD" w:rsidRPr="003D294A" w:rsidRDefault="00B535AD" w:rsidP="00CF7B47">
            <w:pPr>
              <w:pStyle w:val="COMTabletext"/>
              <w:keepNext w:val="0"/>
            </w:pPr>
            <w:r w:rsidRPr="003D294A">
              <w:t xml:space="preserve">eGFR decline for pegcetacoplan based on 50% of trial-based decline for </w:t>
            </w:r>
            <w:r w:rsidR="00656674">
              <w:t>SoC</w:t>
            </w:r>
          </w:p>
        </w:tc>
        <w:tc>
          <w:tcPr>
            <w:tcW w:w="1227" w:type="dxa"/>
            <w:vAlign w:val="center"/>
          </w:tcPr>
          <w:p w14:paraId="34159E8B" w14:textId="1C8F121E"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3C701011" w14:textId="77777777" w:rsidR="00B535AD" w:rsidRPr="003D294A" w:rsidRDefault="00B535AD" w:rsidP="00CF7B47">
            <w:pPr>
              <w:pStyle w:val="COMTabletext"/>
              <w:keepNext w:val="0"/>
              <w:jc w:val="center"/>
            </w:pPr>
            <w:r w:rsidRPr="003D294A">
              <w:t>0.53</w:t>
            </w:r>
          </w:p>
        </w:tc>
        <w:tc>
          <w:tcPr>
            <w:tcW w:w="1228" w:type="dxa"/>
            <w:vAlign w:val="center"/>
          </w:tcPr>
          <w:p w14:paraId="32252049" w14:textId="7AF20330"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55546EA1" w14:textId="08D75B9E"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072CCB93" w14:textId="77777777">
        <w:trPr>
          <w:trHeight w:val="64"/>
        </w:trPr>
        <w:tc>
          <w:tcPr>
            <w:tcW w:w="4108" w:type="dxa"/>
            <w:vAlign w:val="center"/>
          </w:tcPr>
          <w:p w14:paraId="5BF38EE0" w14:textId="4242C33C" w:rsidR="00B535AD" w:rsidRPr="003D294A" w:rsidRDefault="00B535AD" w:rsidP="00CF7B47">
            <w:pPr>
              <w:pStyle w:val="COMTabletext"/>
              <w:keepNext w:val="0"/>
            </w:pPr>
            <w:r w:rsidRPr="003D294A">
              <w:t xml:space="preserve">eGFR decline for pegcetacoplan based on 75% of trial-based decline for </w:t>
            </w:r>
            <w:r w:rsidR="00656674">
              <w:t>SoC</w:t>
            </w:r>
          </w:p>
        </w:tc>
        <w:tc>
          <w:tcPr>
            <w:tcW w:w="1227" w:type="dxa"/>
            <w:vAlign w:val="center"/>
          </w:tcPr>
          <w:p w14:paraId="29BD0AF5" w14:textId="5FB50780"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545A1BD7" w14:textId="77777777" w:rsidR="00B535AD" w:rsidRPr="003D294A" w:rsidRDefault="00B535AD" w:rsidP="00CF7B47">
            <w:pPr>
              <w:pStyle w:val="COMTabletext"/>
              <w:keepNext w:val="0"/>
              <w:jc w:val="center"/>
            </w:pPr>
            <w:r w:rsidRPr="003D294A">
              <w:t>0.41</w:t>
            </w:r>
          </w:p>
        </w:tc>
        <w:tc>
          <w:tcPr>
            <w:tcW w:w="1228" w:type="dxa"/>
            <w:vAlign w:val="center"/>
          </w:tcPr>
          <w:p w14:paraId="1FEAE1D9" w14:textId="3FCC2DA4"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10E6F40A" w14:textId="2AE6CFA2"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550B3231" w14:textId="77777777">
        <w:trPr>
          <w:trHeight w:val="64"/>
        </w:trPr>
        <w:tc>
          <w:tcPr>
            <w:tcW w:w="4108" w:type="dxa"/>
            <w:vAlign w:val="center"/>
          </w:tcPr>
          <w:p w14:paraId="5C8A72C2" w14:textId="1648BDC6" w:rsidR="00B535AD" w:rsidRPr="003D294A" w:rsidRDefault="00B535AD" w:rsidP="00CF7B47">
            <w:pPr>
              <w:pStyle w:val="COMTabletext"/>
              <w:keepNext w:val="0"/>
            </w:pPr>
            <w:r w:rsidRPr="003D294A">
              <w:t xml:space="preserve">eGFR decline for </w:t>
            </w:r>
            <w:r w:rsidR="00656674">
              <w:t>SoC</w:t>
            </w:r>
            <w:r w:rsidR="00656674" w:rsidRPr="003D294A">
              <w:t xml:space="preserve"> </w:t>
            </w:r>
            <w:r w:rsidRPr="003D294A">
              <w:t>based on 125% of trial-based decline for pegcetacoplan</w:t>
            </w:r>
          </w:p>
        </w:tc>
        <w:tc>
          <w:tcPr>
            <w:tcW w:w="1227" w:type="dxa"/>
            <w:vAlign w:val="center"/>
          </w:tcPr>
          <w:p w14:paraId="46616AB2" w14:textId="6EF596D3"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22470FEC" w14:textId="77777777" w:rsidR="00B535AD" w:rsidRPr="003D294A" w:rsidRDefault="00B535AD" w:rsidP="00CF7B47">
            <w:pPr>
              <w:pStyle w:val="COMTabletext"/>
              <w:keepNext w:val="0"/>
              <w:jc w:val="center"/>
            </w:pPr>
            <w:r w:rsidRPr="003D294A">
              <w:t>0.48</w:t>
            </w:r>
          </w:p>
        </w:tc>
        <w:tc>
          <w:tcPr>
            <w:tcW w:w="1228" w:type="dxa"/>
            <w:vAlign w:val="center"/>
          </w:tcPr>
          <w:p w14:paraId="1B3AA1BC" w14:textId="6E379F9E"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335B6A56" w14:textId="2D3556EF"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6D2526BA" w14:textId="77777777">
        <w:trPr>
          <w:trHeight w:val="64"/>
        </w:trPr>
        <w:tc>
          <w:tcPr>
            <w:tcW w:w="4108" w:type="dxa"/>
            <w:vAlign w:val="center"/>
          </w:tcPr>
          <w:p w14:paraId="2991708C" w14:textId="7FA51AC2" w:rsidR="00B535AD" w:rsidRPr="003D294A" w:rsidRDefault="00B535AD" w:rsidP="00CF7B47">
            <w:pPr>
              <w:pStyle w:val="COMTabletext"/>
              <w:keepNext w:val="0"/>
            </w:pPr>
            <w:r w:rsidRPr="003D294A">
              <w:t xml:space="preserve">eGFR decline for </w:t>
            </w:r>
            <w:r w:rsidR="00656674">
              <w:t>SoC</w:t>
            </w:r>
            <w:r w:rsidR="00656674" w:rsidRPr="003D294A">
              <w:t xml:space="preserve"> </w:t>
            </w:r>
            <w:r w:rsidRPr="003D294A">
              <w:t>based on 150% of trial-based decline for pegcetacoplan</w:t>
            </w:r>
          </w:p>
        </w:tc>
        <w:tc>
          <w:tcPr>
            <w:tcW w:w="1227" w:type="dxa"/>
            <w:vAlign w:val="center"/>
          </w:tcPr>
          <w:p w14:paraId="4B97702B" w14:textId="20DDDC2E"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0BB6FC23" w14:textId="77777777" w:rsidR="00B535AD" w:rsidRPr="003D294A" w:rsidRDefault="00B535AD" w:rsidP="00CF7B47">
            <w:pPr>
              <w:pStyle w:val="COMTabletext"/>
              <w:keepNext w:val="0"/>
              <w:jc w:val="center"/>
            </w:pPr>
            <w:r w:rsidRPr="003D294A">
              <w:t>0.53</w:t>
            </w:r>
          </w:p>
        </w:tc>
        <w:tc>
          <w:tcPr>
            <w:tcW w:w="1228" w:type="dxa"/>
            <w:vAlign w:val="center"/>
          </w:tcPr>
          <w:p w14:paraId="05F38E61" w14:textId="18D8862C"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6BA9D389" w14:textId="76F71136"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4D8AF038" w14:textId="22A9F180">
        <w:trPr>
          <w:trHeight w:val="64"/>
        </w:trPr>
        <w:tc>
          <w:tcPr>
            <w:tcW w:w="4108" w:type="dxa"/>
            <w:vAlign w:val="center"/>
          </w:tcPr>
          <w:p w14:paraId="454BA66E" w14:textId="7C008FC4" w:rsidR="00B535AD" w:rsidRPr="003D294A" w:rsidRDefault="00B535AD" w:rsidP="00CF7B47">
            <w:pPr>
              <w:pStyle w:val="COMTabletext"/>
              <w:keepNext w:val="0"/>
            </w:pPr>
            <w:r w:rsidRPr="003D294A">
              <w:t xml:space="preserve">eGFR decline for </w:t>
            </w:r>
            <w:r w:rsidR="00656674">
              <w:t>SoC</w:t>
            </w:r>
            <w:r w:rsidR="00656674" w:rsidRPr="003D294A">
              <w:t xml:space="preserve"> </w:t>
            </w:r>
            <w:r w:rsidRPr="003D294A">
              <w:t>based on 175% of trial-based decline for pegcetacoplan</w:t>
            </w:r>
          </w:p>
        </w:tc>
        <w:tc>
          <w:tcPr>
            <w:tcW w:w="1227" w:type="dxa"/>
            <w:vAlign w:val="center"/>
          </w:tcPr>
          <w:p w14:paraId="023CA35B" w14:textId="24B93AF9"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6B5381EB" w14:textId="19A84513" w:rsidR="00B535AD" w:rsidRPr="003D294A" w:rsidRDefault="00B535AD" w:rsidP="00CF7B47">
            <w:pPr>
              <w:pStyle w:val="COMTabletext"/>
              <w:keepNext w:val="0"/>
              <w:jc w:val="center"/>
            </w:pPr>
            <w:r w:rsidRPr="003D294A">
              <w:t>0.57</w:t>
            </w:r>
          </w:p>
        </w:tc>
        <w:tc>
          <w:tcPr>
            <w:tcW w:w="1228" w:type="dxa"/>
            <w:vAlign w:val="center"/>
          </w:tcPr>
          <w:p w14:paraId="7DAC067C" w14:textId="46EE2263"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4B81CC64" w14:textId="254D3259"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37631A6E" w14:textId="77777777">
        <w:trPr>
          <w:trHeight w:val="64"/>
        </w:trPr>
        <w:tc>
          <w:tcPr>
            <w:tcW w:w="4108" w:type="dxa"/>
            <w:vAlign w:val="center"/>
          </w:tcPr>
          <w:p w14:paraId="662E70A7" w14:textId="03A96AC6" w:rsidR="00B535AD" w:rsidRPr="003D294A" w:rsidRDefault="00B535AD" w:rsidP="00CF7B47">
            <w:pPr>
              <w:pStyle w:val="COMTabletext"/>
              <w:keepNext w:val="0"/>
              <w:rPr>
                <w:vertAlign w:val="superscript"/>
              </w:rPr>
            </w:pPr>
            <w:r w:rsidRPr="003D294A">
              <w:t xml:space="preserve">eGFR decline for </w:t>
            </w:r>
            <w:r w:rsidR="00656674">
              <w:t>SoC</w:t>
            </w:r>
            <w:r w:rsidR="00656674" w:rsidRPr="003D294A">
              <w:t xml:space="preserve"> </w:t>
            </w:r>
            <w:r w:rsidRPr="003D294A">
              <w:t xml:space="preserve">based on mean change in </w:t>
            </w:r>
            <w:r w:rsidR="00656674">
              <w:t>SoC</w:t>
            </w:r>
            <w:r w:rsidR="00656674" w:rsidRPr="003D294A">
              <w:t xml:space="preserve"> </w:t>
            </w:r>
            <w:r w:rsidRPr="003D294A">
              <w:t xml:space="preserve">arm of the key trial of iptacopan (APPEAR-C3G; -3.08 </w:t>
            </w:r>
            <w:r w:rsidR="00F15673" w:rsidRPr="003D294A">
              <w:t>mL</w:t>
            </w:r>
            <w:r w:rsidRPr="003D294A">
              <w:t>/min/1.73 m</w:t>
            </w:r>
            <w:r w:rsidRPr="003D294A">
              <w:rPr>
                <w:vertAlign w:val="superscript"/>
              </w:rPr>
              <w:t>2</w:t>
            </w:r>
            <w:r w:rsidRPr="003D294A">
              <w:t xml:space="preserve">/year applied as -0.77 per 3-month cycle) and trial-based relative difference for pegcetacoplan (19.2% of eGFR decline in </w:t>
            </w:r>
            <w:r w:rsidR="00656674">
              <w:t>SoC</w:t>
            </w:r>
            <w:r w:rsidRPr="003D294A">
              <w:t xml:space="preserve">) </w:t>
            </w:r>
            <w:r w:rsidRPr="003D294A">
              <w:rPr>
                <w:vertAlign w:val="superscript"/>
              </w:rPr>
              <w:t>a</w:t>
            </w:r>
          </w:p>
        </w:tc>
        <w:tc>
          <w:tcPr>
            <w:tcW w:w="1227" w:type="dxa"/>
            <w:vAlign w:val="center"/>
          </w:tcPr>
          <w:p w14:paraId="1EA4AE7B" w14:textId="711B54EA"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2EC6692B" w14:textId="77777777" w:rsidR="00B535AD" w:rsidRPr="003D294A" w:rsidRDefault="00B535AD" w:rsidP="00CF7B47">
            <w:pPr>
              <w:pStyle w:val="COMTabletext"/>
              <w:keepNext w:val="0"/>
              <w:jc w:val="center"/>
            </w:pPr>
            <w:r w:rsidRPr="003D294A">
              <w:t>0.40</w:t>
            </w:r>
          </w:p>
        </w:tc>
        <w:tc>
          <w:tcPr>
            <w:tcW w:w="1228" w:type="dxa"/>
            <w:vAlign w:val="center"/>
          </w:tcPr>
          <w:p w14:paraId="0CBD7136" w14:textId="45114FCC"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5AACEF3F" w14:textId="187A754C"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22056452" w14:textId="77777777">
        <w:trPr>
          <w:trHeight w:val="64"/>
        </w:trPr>
        <w:tc>
          <w:tcPr>
            <w:tcW w:w="4108" w:type="dxa"/>
            <w:vAlign w:val="center"/>
          </w:tcPr>
          <w:p w14:paraId="6FF9BFEE" w14:textId="05F94099" w:rsidR="00B535AD" w:rsidRPr="003D294A" w:rsidRDefault="00B535AD" w:rsidP="00CF7B47">
            <w:pPr>
              <w:pStyle w:val="COMTabletext"/>
              <w:keepNext w:val="0"/>
            </w:pPr>
            <w:r w:rsidRPr="003D294A">
              <w:t xml:space="preserve">eGFR decline for </w:t>
            </w:r>
            <w:r w:rsidR="00656674">
              <w:t>SoC</w:t>
            </w:r>
            <w:r w:rsidR="00656674" w:rsidRPr="003D294A">
              <w:t xml:space="preserve"> </w:t>
            </w:r>
            <w:r w:rsidRPr="003D294A">
              <w:t xml:space="preserve">based on mean change in C3G patients in the </w:t>
            </w:r>
            <w:proofErr w:type="spellStart"/>
            <w:r w:rsidRPr="003D294A">
              <w:t>RaDaR</w:t>
            </w:r>
            <w:proofErr w:type="spellEnd"/>
            <w:r w:rsidRPr="003D294A">
              <w:t xml:space="preserve"> registry (</w:t>
            </w:r>
            <w:r w:rsidRPr="003D294A">
              <w:noBreakHyphen/>
              <w:t>4.2 </w:t>
            </w:r>
            <w:r w:rsidR="00F15673" w:rsidRPr="003D294A">
              <w:t>mL</w:t>
            </w:r>
            <w:r w:rsidRPr="003D294A">
              <w:t>/min/1.73 m</w:t>
            </w:r>
            <w:r w:rsidRPr="003D294A">
              <w:rPr>
                <w:vertAlign w:val="superscript"/>
              </w:rPr>
              <w:t>2</w:t>
            </w:r>
            <w:r w:rsidRPr="003D294A">
              <w:t xml:space="preserve">/year applied as -1.05 per 3-month cycle) and trial-based relative difference for pegcetacoplan (19.2% of eGFR decline in </w:t>
            </w:r>
            <w:r w:rsidR="00656674">
              <w:t>SoC</w:t>
            </w:r>
            <w:r w:rsidRPr="003D294A">
              <w:t xml:space="preserve">) </w:t>
            </w:r>
            <w:r w:rsidRPr="003D294A">
              <w:rPr>
                <w:vertAlign w:val="superscript"/>
              </w:rPr>
              <w:t>a</w:t>
            </w:r>
            <w:r w:rsidR="00CF7B47">
              <w:t xml:space="preserve"> </w:t>
            </w:r>
          </w:p>
        </w:tc>
        <w:tc>
          <w:tcPr>
            <w:tcW w:w="1227" w:type="dxa"/>
            <w:vAlign w:val="center"/>
          </w:tcPr>
          <w:p w14:paraId="5B4502B9" w14:textId="5CEE9707"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01865764" w14:textId="77777777" w:rsidR="00B535AD" w:rsidRPr="003D294A" w:rsidRDefault="00B535AD" w:rsidP="00CF7B47">
            <w:pPr>
              <w:pStyle w:val="COMTabletext"/>
              <w:keepNext w:val="0"/>
              <w:jc w:val="center"/>
            </w:pPr>
            <w:r w:rsidRPr="003D294A">
              <w:t>0.45</w:t>
            </w:r>
          </w:p>
        </w:tc>
        <w:tc>
          <w:tcPr>
            <w:tcW w:w="1228" w:type="dxa"/>
            <w:vAlign w:val="center"/>
          </w:tcPr>
          <w:p w14:paraId="19D34530" w14:textId="47F89D4C"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5911FC35" w14:textId="768767C1"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48BC372E" w14:textId="77777777">
        <w:trPr>
          <w:trHeight w:val="64"/>
        </w:trPr>
        <w:tc>
          <w:tcPr>
            <w:tcW w:w="4108" w:type="dxa"/>
            <w:vAlign w:val="center"/>
          </w:tcPr>
          <w:p w14:paraId="43E65E87" w14:textId="0C77BD5D" w:rsidR="00B535AD" w:rsidRPr="003D294A" w:rsidRDefault="00B535AD" w:rsidP="00CF7B47">
            <w:pPr>
              <w:pStyle w:val="COMTabletext"/>
              <w:keepNext w:val="0"/>
              <w:rPr>
                <w:vertAlign w:val="superscript"/>
              </w:rPr>
            </w:pPr>
            <w:r w:rsidRPr="003D294A">
              <w:t xml:space="preserve">eGFR decline for </w:t>
            </w:r>
            <w:r w:rsidR="00656674">
              <w:t>SoC</w:t>
            </w:r>
            <w:r w:rsidR="00656674" w:rsidRPr="003D294A">
              <w:t xml:space="preserve"> </w:t>
            </w:r>
            <w:r w:rsidRPr="003D294A">
              <w:t xml:space="preserve">based on mean change in IC-MPGN patients in the </w:t>
            </w:r>
            <w:proofErr w:type="spellStart"/>
            <w:r w:rsidRPr="003D294A">
              <w:t>RaDaR</w:t>
            </w:r>
            <w:proofErr w:type="spellEnd"/>
            <w:r w:rsidRPr="003D294A">
              <w:t xml:space="preserve"> registry (</w:t>
            </w:r>
            <w:r w:rsidRPr="003D294A">
              <w:noBreakHyphen/>
              <w:t>3.3 </w:t>
            </w:r>
            <w:r w:rsidR="00F15673" w:rsidRPr="003D294A">
              <w:t>mL</w:t>
            </w:r>
            <w:r w:rsidRPr="003D294A">
              <w:t>/min/1.73 m</w:t>
            </w:r>
            <w:r w:rsidRPr="003D294A">
              <w:rPr>
                <w:vertAlign w:val="superscript"/>
              </w:rPr>
              <w:t>2</w:t>
            </w:r>
            <w:r w:rsidRPr="003D294A">
              <w:t xml:space="preserve">/year applied as -0.83 per 3-month cycle) and trial-based relative difference for pegcetacoplan (19.2% of eGFR decline in </w:t>
            </w:r>
            <w:r w:rsidR="00656674">
              <w:t>SoC</w:t>
            </w:r>
            <w:r w:rsidRPr="003D294A">
              <w:t xml:space="preserve">) </w:t>
            </w:r>
            <w:r w:rsidRPr="003D294A">
              <w:rPr>
                <w:vertAlign w:val="superscript"/>
              </w:rPr>
              <w:t>a</w:t>
            </w:r>
          </w:p>
        </w:tc>
        <w:tc>
          <w:tcPr>
            <w:tcW w:w="1227" w:type="dxa"/>
            <w:vAlign w:val="center"/>
          </w:tcPr>
          <w:p w14:paraId="77C5387B" w14:textId="3AC37638"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6414C5E9" w14:textId="77777777" w:rsidR="00B535AD" w:rsidRPr="003D294A" w:rsidRDefault="00B535AD" w:rsidP="00CF7B47">
            <w:pPr>
              <w:pStyle w:val="COMTabletext"/>
              <w:keepNext w:val="0"/>
              <w:jc w:val="center"/>
            </w:pPr>
            <w:r w:rsidRPr="003D294A">
              <w:t>0.41</w:t>
            </w:r>
          </w:p>
        </w:tc>
        <w:tc>
          <w:tcPr>
            <w:tcW w:w="1228" w:type="dxa"/>
            <w:vAlign w:val="center"/>
          </w:tcPr>
          <w:p w14:paraId="0BF965F9" w14:textId="15DF99E0"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79C9AB44" w14:textId="2706C38C"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38984FE1" w14:textId="45226B87">
        <w:trPr>
          <w:trHeight w:val="64"/>
        </w:trPr>
        <w:tc>
          <w:tcPr>
            <w:tcW w:w="4108" w:type="dxa"/>
            <w:vAlign w:val="center"/>
          </w:tcPr>
          <w:p w14:paraId="779DB3B4" w14:textId="1B9F36B9" w:rsidR="00B535AD" w:rsidRPr="003D294A" w:rsidRDefault="00B535AD" w:rsidP="00CF7B47">
            <w:pPr>
              <w:pStyle w:val="COMTabletext"/>
              <w:keepNext w:val="0"/>
              <w:rPr>
                <w:vertAlign w:val="superscript"/>
              </w:rPr>
            </w:pPr>
            <w:r w:rsidRPr="003D294A">
              <w:t xml:space="preserve">eGFR decline for </w:t>
            </w:r>
            <w:r w:rsidR="00656674">
              <w:t>SoC</w:t>
            </w:r>
            <w:r w:rsidR="00656674" w:rsidRPr="003D294A">
              <w:t xml:space="preserve"> </w:t>
            </w:r>
            <w:r w:rsidRPr="003D294A">
              <w:t>based on median change in C3G/IC-MPGN patients in the GLOSEN registry (</w:t>
            </w:r>
            <w:r w:rsidRPr="003D294A">
              <w:noBreakHyphen/>
              <w:t>1.7 </w:t>
            </w:r>
            <w:r w:rsidR="00F15673" w:rsidRPr="003D294A">
              <w:t>mL</w:t>
            </w:r>
            <w:r w:rsidRPr="003D294A">
              <w:t>/min/1.73 m</w:t>
            </w:r>
            <w:r w:rsidRPr="003D294A">
              <w:rPr>
                <w:vertAlign w:val="superscript"/>
              </w:rPr>
              <w:t>2</w:t>
            </w:r>
            <w:r w:rsidRPr="003D294A">
              <w:t xml:space="preserve">/year applied as -0.43 per 3-month cycle) and trial-based relative difference for pegcetacoplan (19.2% of eGFR decline in </w:t>
            </w:r>
            <w:r w:rsidR="00656674">
              <w:t>SoC</w:t>
            </w:r>
            <w:r w:rsidRPr="003D294A">
              <w:t xml:space="preserve">) </w:t>
            </w:r>
            <w:r w:rsidRPr="003D294A">
              <w:rPr>
                <w:vertAlign w:val="superscript"/>
              </w:rPr>
              <w:t>a</w:t>
            </w:r>
          </w:p>
        </w:tc>
        <w:tc>
          <w:tcPr>
            <w:tcW w:w="1227" w:type="dxa"/>
            <w:vAlign w:val="center"/>
          </w:tcPr>
          <w:p w14:paraId="7803F1FB" w14:textId="444167B5" w:rsidR="00B535AD"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4A67121C" w14:textId="1E7BD256" w:rsidR="00B535AD" w:rsidRPr="003D294A" w:rsidRDefault="00B535AD" w:rsidP="00CF7B47">
            <w:pPr>
              <w:pStyle w:val="COMTabletext"/>
              <w:keepNext w:val="0"/>
              <w:jc w:val="center"/>
            </w:pPr>
            <w:r w:rsidRPr="003D294A">
              <w:t>0.32</w:t>
            </w:r>
          </w:p>
        </w:tc>
        <w:tc>
          <w:tcPr>
            <w:tcW w:w="1228" w:type="dxa"/>
            <w:vAlign w:val="center"/>
          </w:tcPr>
          <w:p w14:paraId="6F2E939C" w14:textId="20D5EEF6" w:rsidR="00B535AD"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68E1C6E6" w14:textId="6CE02985" w:rsidR="00B535AD" w:rsidRPr="003D294A" w:rsidRDefault="00B535AD"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B535AD" w:rsidRPr="003D294A" w14:paraId="6949BB40" w14:textId="77777777">
        <w:trPr>
          <w:trHeight w:val="64"/>
        </w:trPr>
        <w:tc>
          <w:tcPr>
            <w:tcW w:w="9019" w:type="dxa"/>
            <w:gridSpan w:val="5"/>
            <w:vAlign w:val="center"/>
          </w:tcPr>
          <w:p w14:paraId="62B588B0" w14:textId="03D49F7C" w:rsidR="00B535AD" w:rsidRPr="003D294A" w:rsidRDefault="00B535AD" w:rsidP="00CF7B47">
            <w:pPr>
              <w:pStyle w:val="COMTableheadingrow"/>
            </w:pPr>
            <w:r w:rsidRPr="003D294A">
              <w:t>Utility values (revised base case:</w:t>
            </w:r>
            <w:r w:rsidR="00375D24" w:rsidRPr="003D294A">
              <w:t xml:space="preserve"> 0.44 for haemodialysis and 0.53 for peritoneal dialysis based on a single source from the Cooper 2020 systematic review</w:t>
            </w:r>
            <w:r w:rsidR="00670D5A" w:rsidRPr="003D294A">
              <w:t>; healthcare perspective</w:t>
            </w:r>
            <w:r w:rsidRPr="003D294A">
              <w:t>)</w:t>
            </w:r>
          </w:p>
        </w:tc>
      </w:tr>
      <w:tr w:rsidR="00306575" w:rsidRPr="003D294A" w14:paraId="46B86AEC" w14:textId="77777777">
        <w:trPr>
          <w:trHeight w:val="64"/>
        </w:trPr>
        <w:tc>
          <w:tcPr>
            <w:tcW w:w="4108" w:type="dxa"/>
            <w:vAlign w:val="center"/>
          </w:tcPr>
          <w:p w14:paraId="03643D05" w14:textId="2DF5A07E" w:rsidR="00306575" w:rsidRPr="003D294A" w:rsidRDefault="00306575" w:rsidP="00CF7B47">
            <w:pPr>
              <w:pStyle w:val="COMTabletext"/>
              <w:keepNext w:val="0"/>
            </w:pPr>
            <w:r w:rsidRPr="003D294A">
              <w:t>Haemodialysis and peritoneal dialysis utility values based on the mean estimate for haemodialysis (0.67) from Cooper 2020</w:t>
            </w:r>
          </w:p>
        </w:tc>
        <w:tc>
          <w:tcPr>
            <w:tcW w:w="1227" w:type="dxa"/>
            <w:vAlign w:val="center"/>
          </w:tcPr>
          <w:p w14:paraId="3785A8E2" w14:textId="264CEF54" w:rsidR="00306575"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1DACA532" w14:textId="07B176A1" w:rsidR="00306575" w:rsidRPr="003D294A" w:rsidRDefault="00306575" w:rsidP="00CF7B47">
            <w:pPr>
              <w:pStyle w:val="COMTabletext"/>
              <w:keepNext w:val="0"/>
              <w:jc w:val="center"/>
            </w:pPr>
            <w:r w:rsidRPr="003D294A">
              <w:t>0.49</w:t>
            </w:r>
          </w:p>
        </w:tc>
        <w:tc>
          <w:tcPr>
            <w:tcW w:w="1228" w:type="dxa"/>
            <w:vAlign w:val="center"/>
          </w:tcPr>
          <w:p w14:paraId="034A2065" w14:textId="64A88738" w:rsidR="00306575"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5</w:t>
            </w:r>
          </w:p>
        </w:tc>
        <w:tc>
          <w:tcPr>
            <w:tcW w:w="1228" w:type="dxa"/>
            <w:vAlign w:val="center"/>
          </w:tcPr>
          <w:p w14:paraId="4DC98321" w14:textId="7AFE72F0" w:rsidR="00306575" w:rsidRPr="003D294A" w:rsidRDefault="00306575"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r w:rsidR="00306575" w:rsidRPr="003D294A" w14:paraId="78B03434" w14:textId="77777777">
        <w:trPr>
          <w:trHeight w:val="64"/>
        </w:trPr>
        <w:tc>
          <w:tcPr>
            <w:tcW w:w="4108" w:type="dxa"/>
            <w:vAlign w:val="center"/>
          </w:tcPr>
          <w:p w14:paraId="3312F4E0" w14:textId="77777777" w:rsidR="00306575" w:rsidRPr="003D294A" w:rsidRDefault="00306575" w:rsidP="00CF7B47">
            <w:pPr>
              <w:pStyle w:val="COMTabletext"/>
              <w:keepNext w:val="0"/>
            </w:pPr>
            <w:r w:rsidRPr="003D294A">
              <w:t xml:space="preserve">Include caregiver disutility </w:t>
            </w:r>
            <w:r w:rsidRPr="003D294A">
              <w:rPr>
                <w:vertAlign w:val="superscript"/>
              </w:rPr>
              <w:t>b</w:t>
            </w:r>
          </w:p>
        </w:tc>
        <w:tc>
          <w:tcPr>
            <w:tcW w:w="1227" w:type="dxa"/>
            <w:vAlign w:val="center"/>
          </w:tcPr>
          <w:p w14:paraId="7948F762" w14:textId="485246D9" w:rsidR="00306575" w:rsidRPr="003D294A" w:rsidRDefault="006449AB" w:rsidP="00CF7B47">
            <w:pPr>
              <w:pStyle w:val="COMTabletext"/>
              <w:keepNext w:val="0"/>
              <w:jc w:val="center"/>
            </w:pPr>
            <w:r w:rsidRPr="006449AB">
              <w:t>$</w:t>
            </w:r>
            <w:r w:rsidRPr="006449AB">
              <w:rPr>
                <w:sz w:val="2"/>
                <w:highlight w:val="black"/>
              </w:rPr>
              <w:t>redacted content</w:t>
            </w:r>
          </w:p>
        </w:tc>
        <w:tc>
          <w:tcPr>
            <w:tcW w:w="1228" w:type="dxa"/>
            <w:vAlign w:val="center"/>
          </w:tcPr>
          <w:p w14:paraId="7F476BC6" w14:textId="77777777" w:rsidR="00306575" w:rsidRPr="003D294A" w:rsidRDefault="00306575" w:rsidP="00CF7B47">
            <w:pPr>
              <w:pStyle w:val="COMTabletext"/>
              <w:keepNext w:val="0"/>
              <w:jc w:val="center"/>
            </w:pPr>
            <w:r w:rsidRPr="003D294A">
              <w:t>0.90</w:t>
            </w:r>
          </w:p>
        </w:tc>
        <w:tc>
          <w:tcPr>
            <w:tcW w:w="1228" w:type="dxa"/>
            <w:vAlign w:val="center"/>
          </w:tcPr>
          <w:p w14:paraId="71FE90D3" w14:textId="74D18BB1" w:rsidR="00306575" w:rsidRPr="00B56FDA" w:rsidRDefault="006449AB" w:rsidP="00CF7B47">
            <w:pPr>
              <w:pStyle w:val="COMTabletext"/>
              <w:keepNext w:val="0"/>
              <w:jc w:val="center"/>
              <w:rPr>
                <w:vertAlign w:val="superscript"/>
              </w:rPr>
            </w:pPr>
            <w:r w:rsidRPr="006449AB">
              <w:t>$</w:t>
            </w:r>
            <w:r w:rsidRPr="006449AB">
              <w:rPr>
                <w:sz w:val="2"/>
                <w:highlight w:val="black"/>
              </w:rPr>
              <w:t>redacted content</w:t>
            </w:r>
            <w:r w:rsidR="00B56FDA">
              <w:rPr>
                <w:vertAlign w:val="superscript"/>
              </w:rPr>
              <w:t>6</w:t>
            </w:r>
          </w:p>
        </w:tc>
        <w:tc>
          <w:tcPr>
            <w:tcW w:w="1228" w:type="dxa"/>
            <w:vAlign w:val="center"/>
          </w:tcPr>
          <w:p w14:paraId="4E06DF45" w14:textId="3306A9BC" w:rsidR="00306575" w:rsidRPr="003D294A" w:rsidRDefault="00306575" w:rsidP="00CF7B47">
            <w:pPr>
              <w:pStyle w:val="COMTabletext"/>
              <w:keepNext w:val="0"/>
              <w:jc w:val="center"/>
            </w:pPr>
            <w:r w:rsidRPr="003D294A">
              <w:t>-</w:t>
            </w:r>
            <w:r w:rsidR="006449AB" w:rsidRPr="006449AB">
              <w:t xml:space="preserve"> </w:t>
            </w:r>
            <w:r w:rsidR="006449AB" w:rsidRPr="006449AB">
              <w:rPr>
                <w:sz w:val="2"/>
                <w:highlight w:val="black"/>
              </w:rPr>
              <w:t>redacted content</w:t>
            </w:r>
            <w:r w:rsidRPr="003D294A">
              <w:t>%</w:t>
            </w:r>
          </w:p>
        </w:tc>
      </w:tr>
    </w:tbl>
    <w:p w14:paraId="7686B254" w14:textId="77777777" w:rsidR="00B535AD" w:rsidRPr="003D294A" w:rsidRDefault="00B535AD" w:rsidP="00CF7B47">
      <w:pPr>
        <w:pStyle w:val="COMTablefooter"/>
      </w:pPr>
      <w:r w:rsidRPr="003D294A">
        <w:lastRenderedPageBreak/>
        <w:t>Source: Table 3-24, p102 of the submission; ‘Pegcetacoplan CUA’ Excel model provided with the submission</w:t>
      </w:r>
    </w:p>
    <w:p w14:paraId="28742525" w14:textId="77777777" w:rsidR="00B535AD" w:rsidRPr="003D294A" w:rsidRDefault="00B535AD" w:rsidP="00CF7B47">
      <w:pPr>
        <w:pStyle w:val="COMTablefooter"/>
      </w:pPr>
      <w:r w:rsidRPr="003D294A">
        <w:t xml:space="preserve">Abbreviations: C3G, C3 glomerulopathy; CKD, chronic kidney disease; eGFR, estimated glomerular filtration rate; IC-MPGN, immune complex membranoglomerulonephritis; QALY, quality adjusted life year; UPCR, urine protein-creatinine ratio; </w:t>
      </w:r>
    </w:p>
    <w:p w14:paraId="0AC1D430" w14:textId="77777777" w:rsidR="00B535AD" w:rsidRPr="003D294A" w:rsidRDefault="00B535AD" w:rsidP="00CF7B47">
      <w:pPr>
        <w:pStyle w:val="COMTablefooter"/>
      </w:pPr>
      <w:r w:rsidRPr="003D294A">
        <w:rPr>
          <w:vertAlign w:val="superscript"/>
        </w:rPr>
        <w:t>a</w:t>
      </w:r>
      <w:r w:rsidRPr="003D294A">
        <w:t xml:space="preserve"> Based on estimates reported in Kavanagh 2025 (APPEAR-C3G), Masoud 2025 (</w:t>
      </w:r>
      <w:proofErr w:type="spellStart"/>
      <w:r w:rsidRPr="003D294A">
        <w:t>RaDaR</w:t>
      </w:r>
      <w:proofErr w:type="spellEnd"/>
      <w:r w:rsidRPr="003D294A">
        <w:t>) and Caravaca-</w:t>
      </w:r>
      <w:proofErr w:type="spellStart"/>
      <w:r w:rsidRPr="003D294A">
        <w:t>Fontán</w:t>
      </w:r>
      <w:proofErr w:type="spellEnd"/>
      <w:r w:rsidRPr="003D294A">
        <w:t xml:space="preserve"> 2025 (GLOSEN). Estimated eGFR declines were applied equally across all UPCR health states</w:t>
      </w:r>
    </w:p>
    <w:p w14:paraId="1AD40563" w14:textId="77777777" w:rsidR="00B56FDA" w:rsidRDefault="00B535AD" w:rsidP="00B56FDA">
      <w:pPr>
        <w:pStyle w:val="COMTablefooter"/>
        <w:rPr>
          <w:i/>
          <w:szCs w:val="18"/>
        </w:rPr>
      </w:pPr>
      <w:r w:rsidRPr="003D294A">
        <w:rPr>
          <w:vertAlign w:val="superscript"/>
        </w:rPr>
        <w:t>b</w:t>
      </w:r>
      <w:r w:rsidRPr="003D294A">
        <w:t xml:space="preserve"> Based on a survey of EQ-5D-5L utility values in patients with CKD and their caregivers in the United States (Esposito 2023, abstract only). The estimate was based on mean utility values reported for caregivers (0.81) and a matched general population sample (0.94).</w:t>
      </w:r>
    </w:p>
    <w:p w14:paraId="0285BF97" w14:textId="0E8EE42B" w:rsidR="00B56FDA" w:rsidRPr="00B56FDA" w:rsidRDefault="00B56FDA" w:rsidP="00B56FDA">
      <w:pPr>
        <w:pStyle w:val="COMTablefooter"/>
        <w:rPr>
          <w:i/>
        </w:rPr>
      </w:pPr>
      <w:r w:rsidRPr="00B56FDA">
        <w:rPr>
          <w:i/>
        </w:rPr>
        <w:t xml:space="preserve">The redacted values correspond to the following ranges: </w:t>
      </w:r>
    </w:p>
    <w:p w14:paraId="6013BA40" w14:textId="548516EC" w:rsidR="00B56FDA" w:rsidRPr="00B56FDA" w:rsidRDefault="00B56FDA" w:rsidP="00B56FDA">
      <w:pPr>
        <w:pStyle w:val="COMTablefooter"/>
        <w:rPr>
          <w:i/>
        </w:rPr>
      </w:pPr>
      <w:r w:rsidRPr="00B56FDA">
        <w:rPr>
          <w:i/>
          <w:vertAlign w:val="superscript"/>
        </w:rPr>
        <w:t>1</w:t>
      </w:r>
      <w:r w:rsidRPr="00B56FDA">
        <w:rPr>
          <w:i/>
        </w:rPr>
        <w:t xml:space="preserve"> $755,000 to &lt; $855,000</w:t>
      </w:r>
    </w:p>
    <w:p w14:paraId="6FDD2482" w14:textId="49F1C8FB" w:rsidR="00B56FDA" w:rsidRPr="00B56FDA" w:rsidRDefault="00B56FDA" w:rsidP="00B56FDA">
      <w:pPr>
        <w:pStyle w:val="COMTablefooter"/>
        <w:rPr>
          <w:i/>
        </w:rPr>
      </w:pPr>
      <w:r w:rsidRPr="00B56FDA">
        <w:rPr>
          <w:i/>
          <w:vertAlign w:val="superscript"/>
        </w:rPr>
        <w:t>2</w:t>
      </w:r>
      <w:r w:rsidRPr="00B56FDA">
        <w:rPr>
          <w:i/>
        </w:rPr>
        <w:t xml:space="preserve"> $455,000 to &lt; $555,000</w:t>
      </w:r>
    </w:p>
    <w:p w14:paraId="11CE785B" w14:textId="74E5F06D" w:rsidR="00B56FDA" w:rsidRPr="00B56FDA" w:rsidRDefault="00B56FDA" w:rsidP="00B56FDA">
      <w:pPr>
        <w:pStyle w:val="COMTablefooter"/>
        <w:rPr>
          <w:i/>
        </w:rPr>
      </w:pPr>
      <w:r w:rsidRPr="00B56FDA">
        <w:rPr>
          <w:i/>
          <w:vertAlign w:val="superscript"/>
        </w:rPr>
        <w:t>3</w:t>
      </w:r>
      <w:r w:rsidRPr="00B56FDA">
        <w:rPr>
          <w:i/>
        </w:rPr>
        <w:t xml:space="preserve"> $555,000 to &lt; $655,000</w:t>
      </w:r>
    </w:p>
    <w:p w14:paraId="38EBE88A" w14:textId="0C6C4B93" w:rsidR="00B56FDA" w:rsidRPr="00B56FDA" w:rsidRDefault="00B56FDA" w:rsidP="00B56FDA">
      <w:pPr>
        <w:pStyle w:val="COMTablefooter"/>
        <w:rPr>
          <w:i/>
        </w:rPr>
      </w:pPr>
      <w:r w:rsidRPr="00B56FDA">
        <w:rPr>
          <w:i/>
          <w:vertAlign w:val="superscript"/>
        </w:rPr>
        <w:t>4</w:t>
      </w:r>
      <w:r w:rsidRPr="00B56FDA">
        <w:rPr>
          <w:i/>
        </w:rPr>
        <w:t xml:space="preserve"> $855,000 to &lt; $955,000</w:t>
      </w:r>
    </w:p>
    <w:p w14:paraId="4D44D9C9" w14:textId="5F9C1D93" w:rsidR="00B56FDA" w:rsidRPr="00B56FDA" w:rsidRDefault="00B56FDA" w:rsidP="00B56FDA">
      <w:pPr>
        <w:pStyle w:val="COMTablefooter"/>
        <w:rPr>
          <w:i/>
        </w:rPr>
      </w:pPr>
      <w:r w:rsidRPr="00B56FDA">
        <w:rPr>
          <w:i/>
          <w:vertAlign w:val="superscript"/>
        </w:rPr>
        <w:t>5</w:t>
      </w:r>
      <w:r w:rsidRPr="00B56FDA">
        <w:rPr>
          <w:i/>
        </w:rPr>
        <w:t xml:space="preserve"> &gt; $1,055,000</w:t>
      </w:r>
    </w:p>
    <w:p w14:paraId="6563E42F" w14:textId="5587A63D" w:rsidR="00B56FDA" w:rsidRPr="00B56FDA" w:rsidRDefault="00B56FDA" w:rsidP="00B56FDA">
      <w:pPr>
        <w:pStyle w:val="COMTablefooter"/>
        <w:rPr>
          <w:i/>
        </w:rPr>
      </w:pPr>
      <w:r w:rsidRPr="00B56FDA">
        <w:rPr>
          <w:i/>
          <w:vertAlign w:val="superscript"/>
        </w:rPr>
        <w:t>6</w:t>
      </w:r>
      <w:r w:rsidRPr="00B56FDA">
        <w:rPr>
          <w:i/>
        </w:rPr>
        <w:t xml:space="preserve"> $655,000 to &lt; $755,000</w:t>
      </w:r>
    </w:p>
    <w:p w14:paraId="48F5DD73" w14:textId="4435DC0E" w:rsidR="00B535AD" w:rsidRPr="003D294A" w:rsidRDefault="00B535AD" w:rsidP="00CF7B47">
      <w:pPr>
        <w:pStyle w:val="COMTablefooter"/>
      </w:pPr>
    </w:p>
    <w:p w14:paraId="47A98BEB" w14:textId="339AE7FD" w:rsidR="00D66082" w:rsidRPr="003D294A" w:rsidRDefault="00D66082" w:rsidP="00CF7B47">
      <w:pPr>
        <w:pStyle w:val="COMESnumberedpara"/>
      </w:pPr>
      <w:r w:rsidRPr="003D294A">
        <w:t>The model is most sensitive to change in eGFR over time, time horizon, dialysis health state utility values and the inclusion of cost savings and QALY gains due to redirected kidney transplants.</w:t>
      </w:r>
      <w:r w:rsidR="00DC1417">
        <w:t xml:space="preserve"> </w:t>
      </w:r>
      <w:r w:rsidRPr="003D294A">
        <w:t xml:space="preserve">Costs and consequences associated with UPCR health states, cardiovascular events and corticosteroid use had </w:t>
      </w:r>
      <w:r w:rsidR="00527292" w:rsidRPr="003D294A">
        <w:t xml:space="preserve">a </w:t>
      </w:r>
      <w:r w:rsidRPr="003D294A">
        <w:t>limited impact on the economic analysis.</w:t>
      </w:r>
      <w:r w:rsidR="00CF7B47">
        <w:t xml:space="preserve"> </w:t>
      </w:r>
    </w:p>
    <w:p w14:paraId="12968907" w14:textId="1BB140C4" w:rsidR="00D2097F" w:rsidRPr="003D294A" w:rsidRDefault="008E4A1F" w:rsidP="00CF7B47">
      <w:pPr>
        <w:pStyle w:val="COMESnumberedpara"/>
      </w:pPr>
      <w:r w:rsidRPr="003D294A">
        <w:t xml:space="preserve">Given the </w:t>
      </w:r>
      <w:r w:rsidR="00906988" w:rsidRPr="003D294A">
        <w:t xml:space="preserve">unnecessarily </w:t>
      </w:r>
      <w:r w:rsidR="00EE3F20" w:rsidRPr="003D294A">
        <w:t xml:space="preserve">large number of health states included in the model, the Sub-Committees considered that sensitivity analyses </w:t>
      </w:r>
      <w:r w:rsidR="00FB4B39" w:rsidRPr="003D294A">
        <w:t xml:space="preserve">removing UPCR disutilities </w:t>
      </w:r>
      <w:r w:rsidR="00840015" w:rsidRPr="003D294A">
        <w:t xml:space="preserve">(collapsing the </w:t>
      </w:r>
      <w:r w:rsidR="002A393A" w:rsidRPr="003D294A">
        <w:t xml:space="preserve">separate UPCR sub-states) </w:t>
      </w:r>
      <w:r w:rsidR="00AA6C4D" w:rsidRPr="003D294A">
        <w:t>were</w:t>
      </w:r>
      <w:r w:rsidR="0072015C" w:rsidRPr="003D294A">
        <w:t xml:space="preserve"> informative</w:t>
      </w:r>
      <w:r w:rsidR="00865F6C" w:rsidRPr="003D294A">
        <w:t>. Further, given the sensitivity of</w:t>
      </w:r>
      <w:r w:rsidR="00432871" w:rsidRPr="003D294A">
        <w:t xml:space="preserve"> the ICER</w:t>
      </w:r>
      <w:r w:rsidR="00865F6C" w:rsidRPr="003D294A">
        <w:t xml:space="preserve"> </w:t>
      </w:r>
      <w:r w:rsidR="004A5E06" w:rsidRPr="003D294A">
        <w:t>to utility values</w:t>
      </w:r>
      <w:r w:rsidR="00D2097F" w:rsidRPr="003D294A">
        <w:t>,</w:t>
      </w:r>
      <w:r w:rsidR="004A5E06" w:rsidRPr="003D294A">
        <w:t xml:space="preserve"> </w:t>
      </w:r>
      <w:r w:rsidR="00432871" w:rsidRPr="003D294A">
        <w:t>the Sub-Committee considered that multivariate sensitivity analyses using</w:t>
      </w:r>
      <w:r w:rsidR="009B3FB6" w:rsidRPr="003D294A">
        <w:t xml:space="preserve"> mean EQ-5D-3L utility values from Cooper (2020) and </w:t>
      </w:r>
      <w:r w:rsidR="002158B2" w:rsidRPr="003D294A">
        <w:t>removing UPCR disutilities for all CKD stages</w:t>
      </w:r>
      <w:r w:rsidR="004A5E06" w:rsidRPr="003D294A">
        <w:t xml:space="preserve"> </w:t>
      </w:r>
      <w:r w:rsidR="00D2097F" w:rsidRPr="003D294A">
        <w:t>w</w:t>
      </w:r>
      <w:r w:rsidR="007D4ADA" w:rsidRPr="003D294A">
        <w:t>ould be</w:t>
      </w:r>
      <w:r w:rsidR="00D2097F" w:rsidRPr="003D294A">
        <w:t xml:space="preserve"> informative. These </w:t>
      </w:r>
      <w:r w:rsidR="007D4ADA" w:rsidRPr="003D294A">
        <w:t xml:space="preserve">analyses </w:t>
      </w:r>
      <w:r w:rsidR="00D2097F" w:rsidRPr="003D294A">
        <w:t xml:space="preserve">are provided in </w:t>
      </w:r>
      <w:r w:rsidR="007D4ADA" w:rsidRPr="003D294A">
        <w:fldChar w:fldCharType="begin"/>
      </w:r>
      <w:r w:rsidR="007D4ADA" w:rsidRPr="003D294A">
        <w:instrText xml:space="preserve"> REF _Ref222252170 \h </w:instrText>
      </w:r>
      <w:r w:rsidR="0092185D" w:rsidRPr="003D294A">
        <w:instrText xml:space="preserve"> \* MERGEFORMAT </w:instrText>
      </w:r>
      <w:r w:rsidR="007D4ADA" w:rsidRPr="003D294A">
        <w:fldChar w:fldCharType="separate"/>
      </w:r>
      <w:r w:rsidR="00A349E6" w:rsidRPr="003D294A">
        <w:t xml:space="preserve">Table </w:t>
      </w:r>
      <w:r w:rsidR="00A349E6">
        <w:rPr>
          <w:noProof/>
        </w:rPr>
        <w:t>14</w:t>
      </w:r>
      <w:r w:rsidR="007D4ADA" w:rsidRPr="003D294A">
        <w:fldChar w:fldCharType="end"/>
      </w:r>
      <w:r w:rsidR="007D4ADA" w:rsidRPr="003D294A">
        <w:t>.</w:t>
      </w:r>
    </w:p>
    <w:p w14:paraId="0D8E2A76" w14:textId="77777777" w:rsidR="009C7DE9" w:rsidRPr="003D294A" w:rsidRDefault="009C7DE9" w:rsidP="00CF7B47">
      <w:pPr>
        <w:jc w:val="left"/>
        <w:rPr>
          <w:rFonts w:ascii="Arial Narrow" w:eastAsiaTheme="majorEastAsia" w:hAnsi="Arial Narrow" w:cstheme="majorBidi"/>
          <w:b/>
          <w:bCs/>
          <w:i/>
          <w:iCs/>
          <w:sz w:val="20"/>
        </w:rPr>
      </w:pPr>
      <w:bookmarkStart w:id="54" w:name="_Ref222252170"/>
      <w:r w:rsidRPr="003D294A">
        <w:rPr>
          <w:i/>
          <w:iCs/>
        </w:rPr>
        <w:br w:type="page"/>
      </w:r>
    </w:p>
    <w:p w14:paraId="166C109B" w14:textId="2BAD9EA2" w:rsidR="00D36790" w:rsidRPr="003D294A" w:rsidRDefault="00D36790" w:rsidP="00CF7B47">
      <w:pPr>
        <w:pStyle w:val="COMTableFigurecaption"/>
      </w:pPr>
      <w:r w:rsidRPr="003D294A">
        <w:lastRenderedPageBreak/>
        <w:t xml:space="preserve">Table </w:t>
      </w:r>
      <w:fldSimple w:instr=" SEQ Table \* ARABIC ">
        <w:r w:rsidR="00632853">
          <w:rPr>
            <w:noProof/>
          </w:rPr>
          <w:t>14</w:t>
        </w:r>
      </w:fldSimple>
      <w:bookmarkEnd w:id="54"/>
      <w:r w:rsidRPr="003D294A">
        <w:t xml:space="preserve">: </w:t>
      </w:r>
      <w:r w:rsidR="007D4ADA" w:rsidRPr="003D294A">
        <w:t>Additional s</w:t>
      </w:r>
      <w:r w:rsidRPr="003D294A">
        <w:t>ensitivity analyses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Additional sensitivity analyses"/>
      </w:tblPr>
      <w:tblGrid>
        <w:gridCol w:w="4108"/>
        <w:gridCol w:w="1227"/>
        <w:gridCol w:w="1228"/>
        <w:gridCol w:w="1228"/>
        <w:gridCol w:w="1228"/>
      </w:tblGrid>
      <w:tr w:rsidR="0051028A" w:rsidRPr="003D294A" w14:paraId="5C1634E9" w14:textId="77777777" w:rsidTr="000615F6">
        <w:trPr>
          <w:tblHeader/>
        </w:trPr>
        <w:tc>
          <w:tcPr>
            <w:tcW w:w="4108" w:type="dxa"/>
            <w:vAlign w:val="center"/>
          </w:tcPr>
          <w:p w14:paraId="4AC5CF8B" w14:textId="77777777" w:rsidR="00D36790" w:rsidRPr="003D294A" w:rsidRDefault="00D36790" w:rsidP="00CF7B47">
            <w:pPr>
              <w:pStyle w:val="COMTableheadingrow"/>
              <w:keepNext w:val="0"/>
            </w:pPr>
            <w:r w:rsidRPr="003D294A">
              <w:t>Analysis</w:t>
            </w:r>
          </w:p>
        </w:tc>
        <w:tc>
          <w:tcPr>
            <w:tcW w:w="1227" w:type="dxa"/>
            <w:vAlign w:val="center"/>
          </w:tcPr>
          <w:p w14:paraId="21B7DB0B" w14:textId="77777777" w:rsidR="00D36790" w:rsidRPr="003D294A" w:rsidRDefault="00D36790" w:rsidP="00CF7B47">
            <w:pPr>
              <w:pStyle w:val="COMTableheadingrow"/>
              <w:keepNext w:val="0"/>
              <w:jc w:val="center"/>
            </w:pPr>
            <w:r w:rsidRPr="003D294A">
              <w:t>Incremental cost</w:t>
            </w:r>
          </w:p>
        </w:tc>
        <w:tc>
          <w:tcPr>
            <w:tcW w:w="1228" w:type="dxa"/>
            <w:vAlign w:val="center"/>
          </w:tcPr>
          <w:p w14:paraId="255AFCC8" w14:textId="77777777" w:rsidR="00D36790" w:rsidRPr="003D294A" w:rsidRDefault="00D36790" w:rsidP="00CF7B47">
            <w:pPr>
              <w:pStyle w:val="COMTableheadingrow"/>
              <w:keepNext w:val="0"/>
              <w:jc w:val="center"/>
            </w:pPr>
            <w:r w:rsidRPr="003D294A">
              <w:t>Incremental QALYs</w:t>
            </w:r>
          </w:p>
        </w:tc>
        <w:tc>
          <w:tcPr>
            <w:tcW w:w="1228" w:type="dxa"/>
            <w:vAlign w:val="center"/>
          </w:tcPr>
          <w:p w14:paraId="2EA03895" w14:textId="77777777" w:rsidR="00D36790" w:rsidRPr="003D294A" w:rsidRDefault="00D36790" w:rsidP="00CF7B47">
            <w:pPr>
              <w:pStyle w:val="COMTableheadingrow"/>
              <w:keepNext w:val="0"/>
              <w:jc w:val="center"/>
            </w:pPr>
            <w:r w:rsidRPr="003D294A">
              <w:t>ICER</w:t>
            </w:r>
          </w:p>
        </w:tc>
        <w:tc>
          <w:tcPr>
            <w:tcW w:w="1228" w:type="dxa"/>
            <w:vAlign w:val="center"/>
          </w:tcPr>
          <w:p w14:paraId="53A7813F" w14:textId="77777777" w:rsidR="00D36790" w:rsidRPr="003D294A" w:rsidRDefault="00D36790" w:rsidP="00CF7B47">
            <w:pPr>
              <w:pStyle w:val="COMTableheadingrow"/>
              <w:keepNext w:val="0"/>
              <w:jc w:val="center"/>
            </w:pPr>
            <w:r w:rsidRPr="003D294A">
              <w:t>% change</w:t>
            </w:r>
          </w:p>
        </w:tc>
      </w:tr>
      <w:tr w:rsidR="0051028A" w:rsidRPr="003D294A" w14:paraId="242A2499" w14:textId="77777777" w:rsidTr="000615F6">
        <w:trPr>
          <w:tblHeader/>
        </w:trPr>
        <w:tc>
          <w:tcPr>
            <w:tcW w:w="4108" w:type="dxa"/>
          </w:tcPr>
          <w:p w14:paraId="5AF8C57B" w14:textId="49730D58" w:rsidR="0051028A" w:rsidRPr="003D294A" w:rsidRDefault="0051028A" w:rsidP="00CF7B47">
            <w:pPr>
              <w:pStyle w:val="COMTabletext"/>
              <w:keepNext w:val="0"/>
              <w:rPr>
                <w:b/>
                <w:bCs w:val="0"/>
              </w:rPr>
            </w:pPr>
            <w:r w:rsidRPr="003D294A">
              <w:rPr>
                <w:b/>
                <w:bCs w:val="0"/>
                <w:szCs w:val="20"/>
              </w:rPr>
              <w:t>Revised base case</w:t>
            </w:r>
          </w:p>
        </w:tc>
        <w:tc>
          <w:tcPr>
            <w:tcW w:w="1227" w:type="dxa"/>
          </w:tcPr>
          <w:p w14:paraId="14BCDCAC" w14:textId="74DE9621" w:rsidR="0051028A" w:rsidRPr="003D294A" w:rsidRDefault="006449AB" w:rsidP="00CF7B47">
            <w:pPr>
              <w:pStyle w:val="COMTabletext"/>
              <w:keepNext w:val="0"/>
              <w:jc w:val="center"/>
              <w:rPr>
                <w:b/>
                <w:bCs w:val="0"/>
              </w:rPr>
            </w:pPr>
            <w:r w:rsidRPr="006449AB">
              <w:rPr>
                <w:b/>
                <w:bCs w:val="0"/>
                <w:szCs w:val="20"/>
              </w:rPr>
              <w:t>$</w:t>
            </w:r>
            <w:r w:rsidRPr="006449AB">
              <w:rPr>
                <w:b/>
                <w:bCs w:val="0"/>
                <w:sz w:val="2"/>
                <w:szCs w:val="20"/>
                <w:highlight w:val="black"/>
              </w:rPr>
              <w:t>redacted content</w:t>
            </w:r>
          </w:p>
        </w:tc>
        <w:tc>
          <w:tcPr>
            <w:tcW w:w="1228" w:type="dxa"/>
          </w:tcPr>
          <w:p w14:paraId="2C6A75EC" w14:textId="219A3D37" w:rsidR="0051028A" w:rsidRPr="003D294A" w:rsidRDefault="0051028A" w:rsidP="00CF7B47">
            <w:pPr>
              <w:pStyle w:val="COMTabletext"/>
              <w:keepNext w:val="0"/>
              <w:jc w:val="center"/>
              <w:rPr>
                <w:b/>
                <w:bCs w:val="0"/>
              </w:rPr>
            </w:pPr>
            <w:r w:rsidRPr="003D294A">
              <w:rPr>
                <w:b/>
                <w:bCs w:val="0"/>
                <w:szCs w:val="20"/>
              </w:rPr>
              <w:t>0.73</w:t>
            </w:r>
          </w:p>
        </w:tc>
        <w:tc>
          <w:tcPr>
            <w:tcW w:w="1228" w:type="dxa"/>
          </w:tcPr>
          <w:p w14:paraId="0B3AA47F" w14:textId="1946994F" w:rsidR="0051028A" w:rsidRPr="00455302" w:rsidRDefault="006449AB" w:rsidP="00CF7B47">
            <w:pPr>
              <w:pStyle w:val="COMTabletext"/>
              <w:keepNext w:val="0"/>
              <w:jc w:val="center"/>
              <w:rPr>
                <w:b/>
                <w:bCs w:val="0"/>
                <w:vertAlign w:val="superscript"/>
              </w:rPr>
            </w:pPr>
            <w:r w:rsidRPr="006449AB">
              <w:rPr>
                <w:b/>
                <w:bCs w:val="0"/>
                <w:szCs w:val="20"/>
              </w:rPr>
              <w:t>$</w:t>
            </w:r>
            <w:r w:rsidRPr="006449AB">
              <w:rPr>
                <w:b/>
                <w:bCs w:val="0"/>
                <w:sz w:val="2"/>
                <w:szCs w:val="20"/>
                <w:highlight w:val="black"/>
              </w:rPr>
              <w:t>redacted content</w:t>
            </w:r>
            <w:r w:rsidR="00455302">
              <w:rPr>
                <w:b/>
                <w:bCs w:val="0"/>
                <w:szCs w:val="20"/>
                <w:vertAlign w:val="superscript"/>
              </w:rPr>
              <w:t>1</w:t>
            </w:r>
          </w:p>
        </w:tc>
        <w:tc>
          <w:tcPr>
            <w:tcW w:w="1228" w:type="dxa"/>
          </w:tcPr>
          <w:p w14:paraId="63C553BB" w14:textId="556E6076" w:rsidR="0051028A" w:rsidRPr="003D294A" w:rsidRDefault="0051028A" w:rsidP="00CF7B47">
            <w:pPr>
              <w:pStyle w:val="COMTabletext"/>
              <w:keepNext w:val="0"/>
              <w:jc w:val="center"/>
              <w:rPr>
                <w:b/>
                <w:bCs w:val="0"/>
              </w:rPr>
            </w:pPr>
            <w:r w:rsidRPr="003D294A">
              <w:rPr>
                <w:b/>
                <w:bCs w:val="0"/>
                <w:szCs w:val="20"/>
              </w:rPr>
              <w:t>-</w:t>
            </w:r>
          </w:p>
        </w:tc>
      </w:tr>
      <w:tr w:rsidR="0051028A" w:rsidRPr="003D294A" w14:paraId="03DB9F43" w14:textId="77777777" w:rsidTr="000615F6">
        <w:tc>
          <w:tcPr>
            <w:tcW w:w="4108" w:type="dxa"/>
            <w:vAlign w:val="center"/>
          </w:tcPr>
          <w:p w14:paraId="7FCAB820" w14:textId="067782C9" w:rsidR="0051028A" w:rsidRPr="003D294A" w:rsidRDefault="0051028A" w:rsidP="00CF7B47">
            <w:pPr>
              <w:pStyle w:val="COMTabletext"/>
              <w:keepNext w:val="0"/>
              <w:rPr>
                <w:szCs w:val="20"/>
              </w:rPr>
            </w:pPr>
            <w:r w:rsidRPr="003D294A">
              <w:rPr>
                <w:szCs w:val="20"/>
              </w:rPr>
              <w:t>No UPCR disutilities for CKD stages 3 to 5</w:t>
            </w:r>
          </w:p>
        </w:tc>
        <w:tc>
          <w:tcPr>
            <w:tcW w:w="1227" w:type="dxa"/>
            <w:vAlign w:val="center"/>
          </w:tcPr>
          <w:p w14:paraId="1F06ACD2" w14:textId="39B6C6A9" w:rsidR="0051028A" w:rsidRPr="003D294A" w:rsidRDefault="006449AB" w:rsidP="00CF7B47">
            <w:pPr>
              <w:pStyle w:val="COMTabletext"/>
              <w:keepNext w:val="0"/>
              <w:jc w:val="center"/>
              <w:rPr>
                <w:szCs w:val="20"/>
              </w:rPr>
            </w:pPr>
            <w:r w:rsidRPr="006449AB">
              <w:rPr>
                <w:szCs w:val="20"/>
              </w:rPr>
              <w:t>$</w:t>
            </w:r>
            <w:r w:rsidRPr="006449AB">
              <w:rPr>
                <w:sz w:val="2"/>
                <w:szCs w:val="20"/>
                <w:highlight w:val="black"/>
              </w:rPr>
              <w:t>redacted content</w:t>
            </w:r>
          </w:p>
        </w:tc>
        <w:tc>
          <w:tcPr>
            <w:tcW w:w="1228" w:type="dxa"/>
            <w:vAlign w:val="center"/>
          </w:tcPr>
          <w:p w14:paraId="5E20BE3E" w14:textId="21A655F1" w:rsidR="0051028A" w:rsidRPr="003D294A" w:rsidRDefault="0051028A" w:rsidP="00CF7B47">
            <w:pPr>
              <w:pStyle w:val="COMTabletext"/>
              <w:keepNext w:val="0"/>
              <w:jc w:val="center"/>
              <w:rPr>
                <w:szCs w:val="20"/>
              </w:rPr>
            </w:pPr>
            <w:r w:rsidRPr="003D294A">
              <w:rPr>
                <w:szCs w:val="20"/>
              </w:rPr>
              <w:t>0.69</w:t>
            </w:r>
          </w:p>
        </w:tc>
        <w:tc>
          <w:tcPr>
            <w:tcW w:w="1228" w:type="dxa"/>
            <w:vAlign w:val="center"/>
          </w:tcPr>
          <w:p w14:paraId="292F3514" w14:textId="1E237508" w:rsidR="0051028A" w:rsidRPr="00455302" w:rsidRDefault="006449AB" w:rsidP="00CF7B47">
            <w:pPr>
              <w:pStyle w:val="COMTabletext"/>
              <w:keepNext w:val="0"/>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2</w:t>
            </w:r>
          </w:p>
        </w:tc>
        <w:tc>
          <w:tcPr>
            <w:tcW w:w="1228" w:type="dxa"/>
            <w:vAlign w:val="center"/>
          </w:tcPr>
          <w:p w14:paraId="131410F7" w14:textId="67FAC0BF" w:rsidR="0051028A" w:rsidRPr="003D294A" w:rsidRDefault="0051028A" w:rsidP="00CF7B47">
            <w:pPr>
              <w:pStyle w:val="COMTabletext"/>
              <w:keepNext w:val="0"/>
              <w:jc w:val="center"/>
              <w:rPr>
                <w:szCs w:val="20"/>
              </w:rPr>
            </w:pPr>
            <w:r w:rsidRPr="003D294A">
              <w:rPr>
                <w:szCs w:val="20"/>
              </w:rPr>
              <w:t>+</w:t>
            </w:r>
            <w:r w:rsidR="006449AB" w:rsidRPr="006449AB">
              <w:rPr>
                <w:szCs w:val="20"/>
              </w:rPr>
              <w:t xml:space="preserve"> </w:t>
            </w:r>
            <w:r w:rsidR="006449AB" w:rsidRPr="006449AB">
              <w:rPr>
                <w:sz w:val="2"/>
                <w:szCs w:val="20"/>
                <w:highlight w:val="black"/>
              </w:rPr>
              <w:t>redacted content</w:t>
            </w:r>
            <w:r w:rsidRPr="003D294A">
              <w:rPr>
                <w:szCs w:val="20"/>
              </w:rPr>
              <w:t>%</w:t>
            </w:r>
          </w:p>
        </w:tc>
      </w:tr>
      <w:tr w:rsidR="0051028A" w:rsidRPr="003D294A" w14:paraId="71A268B6" w14:textId="77777777" w:rsidTr="000615F6">
        <w:tc>
          <w:tcPr>
            <w:tcW w:w="4108" w:type="dxa"/>
            <w:vAlign w:val="center"/>
          </w:tcPr>
          <w:p w14:paraId="700E12A0" w14:textId="15D5C404" w:rsidR="0051028A" w:rsidRPr="003D294A" w:rsidRDefault="0051028A" w:rsidP="00CF7B47">
            <w:pPr>
              <w:pStyle w:val="COMTabletext"/>
              <w:keepNext w:val="0"/>
              <w:rPr>
                <w:szCs w:val="20"/>
              </w:rPr>
            </w:pPr>
            <w:r w:rsidRPr="003D294A">
              <w:rPr>
                <w:szCs w:val="20"/>
              </w:rPr>
              <w:t>No UPCR disutilities for all CKD stages</w:t>
            </w:r>
          </w:p>
        </w:tc>
        <w:tc>
          <w:tcPr>
            <w:tcW w:w="1227" w:type="dxa"/>
            <w:vAlign w:val="center"/>
          </w:tcPr>
          <w:p w14:paraId="66ED6647" w14:textId="225B8293" w:rsidR="0051028A" w:rsidRPr="003D294A" w:rsidRDefault="006449AB" w:rsidP="00CF7B47">
            <w:pPr>
              <w:pStyle w:val="COMTabletext"/>
              <w:keepNext w:val="0"/>
              <w:jc w:val="center"/>
              <w:rPr>
                <w:szCs w:val="20"/>
              </w:rPr>
            </w:pPr>
            <w:r w:rsidRPr="006449AB">
              <w:rPr>
                <w:szCs w:val="20"/>
              </w:rPr>
              <w:t>$</w:t>
            </w:r>
            <w:r w:rsidRPr="006449AB">
              <w:rPr>
                <w:sz w:val="2"/>
                <w:szCs w:val="20"/>
                <w:highlight w:val="black"/>
              </w:rPr>
              <w:t>redacted content</w:t>
            </w:r>
          </w:p>
        </w:tc>
        <w:tc>
          <w:tcPr>
            <w:tcW w:w="1228" w:type="dxa"/>
            <w:vAlign w:val="center"/>
          </w:tcPr>
          <w:p w14:paraId="3C79B033" w14:textId="1BDAB07F" w:rsidR="0051028A" w:rsidRPr="003D294A" w:rsidRDefault="0051028A" w:rsidP="00CF7B47">
            <w:pPr>
              <w:pStyle w:val="COMTabletext"/>
              <w:keepNext w:val="0"/>
              <w:jc w:val="center"/>
              <w:rPr>
                <w:szCs w:val="20"/>
              </w:rPr>
            </w:pPr>
            <w:r w:rsidRPr="003D294A">
              <w:rPr>
                <w:szCs w:val="20"/>
              </w:rPr>
              <w:t>0.70</w:t>
            </w:r>
          </w:p>
        </w:tc>
        <w:tc>
          <w:tcPr>
            <w:tcW w:w="1228" w:type="dxa"/>
            <w:vAlign w:val="center"/>
          </w:tcPr>
          <w:p w14:paraId="2369586A" w14:textId="2A964FB9" w:rsidR="0051028A" w:rsidRPr="00455302" w:rsidRDefault="006449AB" w:rsidP="00CF7B47">
            <w:pPr>
              <w:pStyle w:val="COMTabletext"/>
              <w:keepNext w:val="0"/>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1</w:t>
            </w:r>
          </w:p>
        </w:tc>
        <w:tc>
          <w:tcPr>
            <w:tcW w:w="1228" w:type="dxa"/>
            <w:vAlign w:val="center"/>
          </w:tcPr>
          <w:p w14:paraId="1B71A3B7" w14:textId="447B40AE" w:rsidR="0051028A" w:rsidRPr="003D294A" w:rsidRDefault="0051028A" w:rsidP="00CF7B47">
            <w:pPr>
              <w:pStyle w:val="COMTabletext"/>
              <w:keepNext w:val="0"/>
              <w:jc w:val="center"/>
              <w:rPr>
                <w:szCs w:val="20"/>
              </w:rPr>
            </w:pPr>
            <w:r w:rsidRPr="003D294A">
              <w:rPr>
                <w:szCs w:val="20"/>
              </w:rPr>
              <w:t>+</w:t>
            </w:r>
            <w:r w:rsidR="006449AB" w:rsidRPr="006449AB">
              <w:rPr>
                <w:szCs w:val="20"/>
              </w:rPr>
              <w:t xml:space="preserve"> </w:t>
            </w:r>
            <w:r w:rsidR="006449AB" w:rsidRPr="006449AB">
              <w:rPr>
                <w:sz w:val="2"/>
                <w:szCs w:val="20"/>
                <w:highlight w:val="black"/>
              </w:rPr>
              <w:t>redacted content</w:t>
            </w:r>
            <w:r w:rsidRPr="003D294A">
              <w:rPr>
                <w:szCs w:val="20"/>
              </w:rPr>
              <w:t>%</w:t>
            </w:r>
          </w:p>
        </w:tc>
      </w:tr>
      <w:tr w:rsidR="0051028A" w:rsidRPr="003D294A" w14:paraId="4F5F7EBF" w14:textId="77777777" w:rsidTr="000615F6">
        <w:tc>
          <w:tcPr>
            <w:tcW w:w="4108" w:type="dxa"/>
            <w:vAlign w:val="center"/>
          </w:tcPr>
          <w:p w14:paraId="2151C446" w14:textId="34460A37" w:rsidR="0051028A" w:rsidRPr="003D294A" w:rsidRDefault="0051028A" w:rsidP="00CF7B47">
            <w:pPr>
              <w:pStyle w:val="COMTabletext"/>
              <w:keepNext w:val="0"/>
              <w:rPr>
                <w:b/>
                <w:bCs w:val="0"/>
              </w:rPr>
            </w:pPr>
            <w:r w:rsidRPr="003D294A">
              <w:rPr>
                <w:szCs w:val="20"/>
              </w:rPr>
              <w:t xml:space="preserve">Scenario analysis using mean EQ-5D-3L utility estimates from Cooper 2020 (CKD 2: 0.85, CKD 3: 0.73, CKD 4: 0.74, CKD 5: 0.73, haemodialysis: 0.67, peritoneal dialysis: 0.57) and </w:t>
            </w:r>
            <w:r w:rsidRPr="003D294A">
              <w:rPr>
                <w:szCs w:val="20"/>
                <w:u w:val="single"/>
              </w:rPr>
              <w:t>include UPCR disutilities</w:t>
            </w:r>
            <w:r w:rsidRPr="003D294A">
              <w:rPr>
                <w:szCs w:val="20"/>
              </w:rPr>
              <w:t xml:space="preserve"> for all CKD stages (-0.063 for UPCR levels &gt;1 g/g) </w:t>
            </w:r>
          </w:p>
        </w:tc>
        <w:tc>
          <w:tcPr>
            <w:tcW w:w="1227" w:type="dxa"/>
            <w:vAlign w:val="center"/>
          </w:tcPr>
          <w:p w14:paraId="58E37444" w14:textId="56823CB7" w:rsidR="0051028A" w:rsidRPr="003D294A" w:rsidRDefault="006449AB" w:rsidP="00CF7B47">
            <w:pPr>
              <w:pStyle w:val="COMTabletext"/>
              <w:keepNext w:val="0"/>
              <w:jc w:val="center"/>
              <w:rPr>
                <w:b/>
                <w:bCs w:val="0"/>
              </w:rPr>
            </w:pPr>
            <w:r w:rsidRPr="006449AB">
              <w:rPr>
                <w:szCs w:val="20"/>
              </w:rPr>
              <w:t>$</w:t>
            </w:r>
            <w:r w:rsidRPr="006449AB">
              <w:rPr>
                <w:sz w:val="2"/>
                <w:szCs w:val="20"/>
                <w:highlight w:val="black"/>
              </w:rPr>
              <w:t>redacted content</w:t>
            </w:r>
          </w:p>
        </w:tc>
        <w:tc>
          <w:tcPr>
            <w:tcW w:w="1228" w:type="dxa"/>
            <w:vAlign w:val="center"/>
          </w:tcPr>
          <w:p w14:paraId="28F02F71" w14:textId="45978D64" w:rsidR="0051028A" w:rsidRPr="003D294A" w:rsidRDefault="0051028A" w:rsidP="00CF7B47">
            <w:pPr>
              <w:pStyle w:val="COMTabletext"/>
              <w:keepNext w:val="0"/>
              <w:jc w:val="center"/>
              <w:rPr>
                <w:b/>
                <w:bCs w:val="0"/>
              </w:rPr>
            </w:pPr>
            <w:r w:rsidRPr="003D294A">
              <w:rPr>
                <w:szCs w:val="20"/>
              </w:rPr>
              <w:t>0.40</w:t>
            </w:r>
          </w:p>
        </w:tc>
        <w:tc>
          <w:tcPr>
            <w:tcW w:w="1228" w:type="dxa"/>
            <w:vAlign w:val="center"/>
          </w:tcPr>
          <w:p w14:paraId="2158DA9E" w14:textId="48C88FAD" w:rsidR="0051028A" w:rsidRPr="003D294A" w:rsidRDefault="006449AB" w:rsidP="00CF7B47">
            <w:pPr>
              <w:pStyle w:val="COMTabletext"/>
              <w:keepNext w:val="0"/>
              <w:jc w:val="center"/>
            </w:pPr>
            <w:r w:rsidRPr="006449AB">
              <w:rPr>
                <w:szCs w:val="20"/>
              </w:rPr>
              <w:t>$</w:t>
            </w:r>
            <w:r w:rsidRPr="006449AB">
              <w:rPr>
                <w:sz w:val="2"/>
                <w:szCs w:val="20"/>
                <w:highlight w:val="black"/>
              </w:rPr>
              <w:t>redacted content</w:t>
            </w:r>
            <w:r w:rsidR="00455302" w:rsidRPr="00455302">
              <w:rPr>
                <w:szCs w:val="20"/>
                <w:vertAlign w:val="superscript"/>
              </w:rPr>
              <w:t>3</w:t>
            </w:r>
          </w:p>
        </w:tc>
        <w:tc>
          <w:tcPr>
            <w:tcW w:w="1228" w:type="dxa"/>
            <w:vAlign w:val="center"/>
          </w:tcPr>
          <w:p w14:paraId="68C7ADB2" w14:textId="17FE5927" w:rsidR="0051028A" w:rsidRPr="003D294A" w:rsidRDefault="0051028A" w:rsidP="00CF7B47">
            <w:pPr>
              <w:pStyle w:val="COMTabletext"/>
              <w:keepNext w:val="0"/>
              <w:jc w:val="center"/>
            </w:pPr>
            <w:r w:rsidRPr="003D294A">
              <w:rPr>
                <w:szCs w:val="20"/>
              </w:rPr>
              <w:t>+</w:t>
            </w:r>
            <w:r w:rsidR="006449AB" w:rsidRPr="006449AB">
              <w:rPr>
                <w:szCs w:val="20"/>
              </w:rPr>
              <w:t xml:space="preserve"> </w:t>
            </w:r>
            <w:r w:rsidR="006449AB" w:rsidRPr="006449AB">
              <w:rPr>
                <w:sz w:val="2"/>
                <w:szCs w:val="20"/>
                <w:highlight w:val="black"/>
              </w:rPr>
              <w:t>redacted content</w:t>
            </w:r>
            <w:r w:rsidRPr="003D294A">
              <w:rPr>
                <w:szCs w:val="20"/>
              </w:rPr>
              <w:t>%</w:t>
            </w:r>
          </w:p>
        </w:tc>
      </w:tr>
      <w:tr w:rsidR="0051028A" w:rsidRPr="003D294A" w14:paraId="1480DC60" w14:textId="77777777" w:rsidTr="000615F6">
        <w:tc>
          <w:tcPr>
            <w:tcW w:w="4108" w:type="dxa"/>
            <w:vAlign w:val="center"/>
          </w:tcPr>
          <w:p w14:paraId="552D68BC" w14:textId="0F49E591" w:rsidR="0051028A" w:rsidRPr="003D294A" w:rsidRDefault="0051028A" w:rsidP="00CF7B47">
            <w:pPr>
              <w:pStyle w:val="COMTabletext"/>
              <w:keepNext w:val="0"/>
              <w:rPr>
                <w:b/>
                <w:bCs w:val="0"/>
              </w:rPr>
            </w:pPr>
            <w:r w:rsidRPr="003D294A">
              <w:rPr>
                <w:szCs w:val="20"/>
              </w:rPr>
              <w:t xml:space="preserve">Scenario analysis using mean EQ-5D-3L utility estimates from Cooper 2020 (CKD 2: 0.85, CKD 3: 0.73, CKD 4: 0.74, CKD 5: 0.73, haemodialysis: 0.67, peritoneal dialysis: 0.57) and </w:t>
            </w:r>
            <w:r w:rsidRPr="003D294A">
              <w:rPr>
                <w:szCs w:val="20"/>
                <w:u w:val="single"/>
              </w:rPr>
              <w:t>no UPCR disutilities</w:t>
            </w:r>
            <w:r w:rsidRPr="003D294A">
              <w:rPr>
                <w:szCs w:val="20"/>
              </w:rPr>
              <w:t xml:space="preserve"> for all CKD stages (-0.063 for UPCR levels &gt;1 g/g)</w:t>
            </w:r>
          </w:p>
        </w:tc>
        <w:tc>
          <w:tcPr>
            <w:tcW w:w="1227" w:type="dxa"/>
            <w:vAlign w:val="center"/>
          </w:tcPr>
          <w:p w14:paraId="4A17E8F6" w14:textId="2466E72F" w:rsidR="0051028A" w:rsidRPr="003D294A" w:rsidRDefault="006449AB" w:rsidP="00CF7B47">
            <w:pPr>
              <w:pStyle w:val="COMTabletext"/>
              <w:keepNext w:val="0"/>
              <w:jc w:val="center"/>
              <w:rPr>
                <w:b/>
                <w:bCs w:val="0"/>
              </w:rPr>
            </w:pPr>
            <w:r w:rsidRPr="006449AB">
              <w:rPr>
                <w:szCs w:val="20"/>
              </w:rPr>
              <w:t>$</w:t>
            </w:r>
            <w:r w:rsidRPr="006449AB">
              <w:rPr>
                <w:sz w:val="2"/>
                <w:szCs w:val="20"/>
                <w:highlight w:val="black"/>
              </w:rPr>
              <w:t>redacted content</w:t>
            </w:r>
          </w:p>
        </w:tc>
        <w:tc>
          <w:tcPr>
            <w:tcW w:w="1228" w:type="dxa"/>
            <w:vAlign w:val="center"/>
          </w:tcPr>
          <w:p w14:paraId="1250F817" w14:textId="7FB32DAB" w:rsidR="0051028A" w:rsidRPr="003D294A" w:rsidRDefault="0051028A" w:rsidP="00CF7B47">
            <w:pPr>
              <w:pStyle w:val="COMTabletext"/>
              <w:keepNext w:val="0"/>
              <w:jc w:val="center"/>
              <w:rPr>
                <w:b/>
                <w:bCs w:val="0"/>
              </w:rPr>
            </w:pPr>
            <w:r w:rsidRPr="003D294A">
              <w:rPr>
                <w:szCs w:val="20"/>
              </w:rPr>
              <w:t>0.37</w:t>
            </w:r>
          </w:p>
        </w:tc>
        <w:tc>
          <w:tcPr>
            <w:tcW w:w="1228" w:type="dxa"/>
            <w:vAlign w:val="center"/>
          </w:tcPr>
          <w:p w14:paraId="474A5236" w14:textId="4AEE7D4F" w:rsidR="0051028A" w:rsidRPr="00455302" w:rsidRDefault="006449AB" w:rsidP="00CF7B47">
            <w:pPr>
              <w:pStyle w:val="COMTabletext"/>
              <w:keepNext w:val="0"/>
              <w:jc w:val="center"/>
              <w:rPr>
                <w:vertAlign w:val="superscript"/>
              </w:rPr>
            </w:pPr>
            <w:r w:rsidRPr="006449AB">
              <w:rPr>
                <w:szCs w:val="20"/>
              </w:rPr>
              <w:t>$</w:t>
            </w:r>
            <w:r w:rsidRPr="006449AB">
              <w:rPr>
                <w:sz w:val="2"/>
                <w:szCs w:val="20"/>
                <w:highlight w:val="black"/>
              </w:rPr>
              <w:t>redacted content</w:t>
            </w:r>
            <w:r w:rsidR="00455302">
              <w:rPr>
                <w:szCs w:val="20"/>
                <w:vertAlign w:val="superscript"/>
              </w:rPr>
              <w:t>3</w:t>
            </w:r>
          </w:p>
        </w:tc>
        <w:tc>
          <w:tcPr>
            <w:tcW w:w="1228" w:type="dxa"/>
            <w:vAlign w:val="center"/>
          </w:tcPr>
          <w:p w14:paraId="0940C2E1" w14:textId="091218DD" w:rsidR="0051028A" w:rsidRPr="003D294A" w:rsidRDefault="0051028A" w:rsidP="00CF7B47">
            <w:pPr>
              <w:pStyle w:val="COMTabletext"/>
              <w:keepNext w:val="0"/>
              <w:jc w:val="center"/>
            </w:pPr>
            <w:r w:rsidRPr="003D294A">
              <w:rPr>
                <w:szCs w:val="20"/>
              </w:rPr>
              <w:t>+</w:t>
            </w:r>
            <w:r w:rsidR="006449AB" w:rsidRPr="006449AB">
              <w:rPr>
                <w:szCs w:val="20"/>
              </w:rPr>
              <w:t xml:space="preserve"> </w:t>
            </w:r>
            <w:r w:rsidR="006449AB" w:rsidRPr="006449AB">
              <w:rPr>
                <w:sz w:val="2"/>
                <w:szCs w:val="20"/>
                <w:highlight w:val="black"/>
              </w:rPr>
              <w:t>redacted content</w:t>
            </w:r>
            <w:r w:rsidRPr="003D294A">
              <w:rPr>
                <w:szCs w:val="20"/>
              </w:rPr>
              <w:t>%</w:t>
            </w:r>
          </w:p>
        </w:tc>
      </w:tr>
    </w:tbl>
    <w:p w14:paraId="21C8D612" w14:textId="65A182C0" w:rsidR="0056422E" w:rsidRDefault="00384DDB" w:rsidP="00CF7B47">
      <w:pPr>
        <w:pStyle w:val="COMTablefooter"/>
      </w:pPr>
      <w:r w:rsidRPr="003D294A">
        <w:t>Source: Table 3.9.1 of the commentary and conducted for ESC DUSC</w:t>
      </w:r>
    </w:p>
    <w:p w14:paraId="71C63586" w14:textId="77777777" w:rsidR="00455302" w:rsidRPr="00455302" w:rsidRDefault="00455302" w:rsidP="00455302">
      <w:pPr>
        <w:pStyle w:val="COMTablefooter"/>
        <w:rPr>
          <w:i/>
        </w:rPr>
      </w:pPr>
      <w:r w:rsidRPr="00455302">
        <w:rPr>
          <w:i/>
        </w:rPr>
        <w:t xml:space="preserve">The redacted values correspond to the following ranges: </w:t>
      </w:r>
    </w:p>
    <w:p w14:paraId="5C0052A9" w14:textId="7B700850" w:rsidR="00455302" w:rsidRPr="00455302" w:rsidRDefault="00455302" w:rsidP="00455302">
      <w:pPr>
        <w:pStyle w:val="COMTablefooter"/>
        <w:rPr>
          <w:i/>
        </w:rPr>
      </w:pPr>
      <w:r w:rsidRPr="00455302">
        <w:rPr>
          <w:i/>
          <w:vertAlign w:val="superscript"/>
        </w:rPr>
        <w:t>1</w:t>
      </w:r>
      <w:r w:rsidRPr="00455302">
        <w:rPr>
          <w:i/>
        </w:rPr>
        <w:t xml:space="preserve"> $755,000 to &lt; $855,000</w:t>
      </w:r>
    </w:p>
    <w:p w14:paraId="136FF656" w14:textId="74AC361E" w:rsidR="00455302" w:rsidRPr="00455302" w:rsidRDefault="00455302" w:rsidP="00455302">
      <w:pPr>
        <w:pStyle w:val="COMTablefooter"/>
        <w:rPr>
          <w:i/>
        </w:rPr>
      </w:pPr>
      <w:r w:rsidRPr="00455302">
        <w:rPr>
          <w:i/>
          <w:vertAlign w:val="superscript"/>
        </w:rPr>
        <w:t>2</w:t>
      </w:r>
      <w:r w:rsidRPr="00455302">
        <w:rPr>
          <w:i/>
        </w:rPr>
        <w:t xml:space="preserve"> $855,000 to &lt; $955,000</w:t>
      </w:r>
    </w:p>
    <w:p w14:paraId="02FB142E" w14:textId="46B4FEAC" w:rsidR="00455302" w:rsidRPr="00455302" w:rsidRDefault="00455302" w:rsidP="00CF7B47">
      <w:pPr>
        <w:pStyle w:val="COMTablefooter"/>
        <w:rPr>
          <w:i/>
        </w:rPr>
      </w:pPr>
      <w:r w:rsidRPr="00455302">
        <w:rPr>
          <w:i/>
          <w:vertAlign w:val="superscript"/>
        </w:rPr>
        <w:t>3</w:t>
      </w:r>
      <w:r w:rsidRPr="00455302">
        <w:rPr>
          <w:i/>
        </w:rPr>
        <w:t xml:space="preserve"> &gt; $1,055,000</w:t>
      </w:r>
    </w:p>
    <w:p w14:paraId="582EBDF8" w14:textId="1B263670" w:rsidR="00CF7B47" w:rsidRDefault="00D66082" w:rsidP="00CF7B47">
      <w:pPr>
        <w:pStyle w:val="COMESnumberedpara"/>
      </w:pPr>
      <w:r w:rsidRPr="003D294A">
        <w:t>The impact of differences in age, disease subtype, serum C3 levels and alternative assumptions regarding the effectiveness of transplant in the target population (e.g. not all patients experience disease recurrence, delay in disease recurrence, alternative rates of decline in kidney function)</w:t>
      </w:r>
      <w:r w:rsidR="00D47581" w:rsidRPr="003D294A">
        <w:t xml:space="preserve"> could not be explored due to limitations with model structure</w:t>
      </w:r>
      <w:r w:rsidRPr="003D294A">
        <w:t>.</w:t>
      </w:r>
    </w:p>
    <w:p w14:paraId="24032255" w14:textId="77777777" w:rsidR="00CF7B47" w:rsidRDefault="00CF7B47">
      <w:pPr>
        <w:jc w:val="left"/>
        <w:rPr>
          <w:rFonts w:asciiTheme="minorHAnsi" w:eastAsiaTheme="minorHAnsi" w:hAnsiTheme="minorHAnsi" w:cstheme="minorBidi"/>
          <w:szCs w:val="22"/>
        </w:rPr>
      </w:pPr>
      <w:r>
        <w:br w:type="page"/>
      </w:r>
    </w:p>
    <w:p w14:paraId="472842D7" w14:textId="5D2E1074" w:rsidR="00C25D9C" w:rsidRPr="003D294A" w:rsidRDefault="00C25D9C" w:rsidP="00CF7B47">
      <w:pPr>
        <w:pStyle w:val="COMESSubsectionheading"/>
      </w:pPr>
      <w:bookmarkStart w:id="55" w:name="_Toc22897646"/>
      <w:bookmarkStart w:id="56" w:name="_Toc219888393"/>
      <w:r w:rsidRPr="003D294A">
        <w:lastRenderedPageBreak/>
        <w:t>Drug cost/patient/year</w:t>
      </w:r>
      <w:bookmarkEnd w:id="55"/>
      <w:bookmarkEnd w:id="56"/>
    </w:p>
    <w:p w14:paraId="51691BD3" w14:textId="7ABE95A8" w:rsidR="00494207" w:rsidRPr="003D294A" w:rsidRDefault="00E16AD8" w:rsidP="00CF7B47">
      <w:pPr>
        <w:pStyle w:val="COMTableFigurecaption"/>
      </w:pPr>
      <w:bookmarkStart w:id="57" w:name="_Ref104805102"/>
      <w:r w:rsidRPr="003D294A">
        <w:t xml:space="preserve">Table </w:t>
      </w:r>
      <w:fldSimple w:instr=" SEQ Table \* ARABIC ">
        <w:r w:rsidR="00632853">
          <w:rPr>
            <w:noProof/>
          </w:rPr>
          <w:t>15</w:t>
        </w:r>
      </w:fldSimple>
      <w:bookmarkEnd w:id="57"/>
      <w:r w:rsidRPr="003D294A">
        <w:t>:</w:t>
      </w:r>
      <w:r w:rsidR="00494207" w:rsidRPr="003D294A">
        <w:t xml:space="preserve"> Drug cost per patient </w:t>
      </w:r>
      <w:r w:rsidR="00E568F9" w:rsidRPr="003D294A">
        <w:t>per year for pegcetacoplan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Drug cost per patient per year for pegcetacoplan"/>
      </w:tblPr>
      <w:tblGrid>
        <w:gridCol w:w="2530"/>
        <w:gridCol w:w="2162"/>
        <w:gridCol w:w="2159"/>
        <w:gridCol w:w="2166"/>
      </w:tblGrid>
      <w:tr w:rsidR="00527292" w:rsidRPr="003D294A" w14:paraId="1790C5BC" w14:textId="77777777">
        <w:trPr>
          <w:cantSplit/>
          <w:tblHeader/>
          <w:jc w:val="center"/>
        </w:trPr>
        <w:tc>
          <w:tcPr>
            <w:tcW w:w="1403" w:type="pct"/>
            <w:vAlign w:val="center"/>
          </w:tcPr>
          <w:p w14:paraId="064E6040" w14:textId="77777777" w:rsidR="00527292" w:rsidRPr="003D294A" w:rsidRDefault="00527292" w:rsidP="00CF7B47">
            <w:pPr>
              <w:pStyle w:val="COMTableheadingrow"/>
            </w:pPr>
          </w:p>
        </w:tc>
        <w:tc>
          <w:tcPr>
            <w:tcW w:w="1199" w:type="pct"/>
            <w:vAlign w:val="center"/>
          </w:tcPr>
          <w:p w14:paraId="07CF3837" w14:textId="77777777" w:rsidR="00527292" w:rsidRPr="003D294A" w:rsidRDefault="00527292" w:rsidP="00CF7B47">
            <w:pPr>
              <w:pStyle w:val="COMTableheadingrow"/>
              <w:jc w:val="center"/>
            </w:pPr>
            <w:r w:rsidRPr="003D294A">
              <w:t>VALIANT trial</w:t>
            </w:r>
          </w:p>
        </w:tc>
        <w:tc>
          <w:tcPr>
            <w:tcW w:w="1197" w:type="pct"/>
            <w:vAlign w:val="center"/>
          </w:tcPr>
          <w:p w14:paraId="33AC5BF7" w14:textId="77777777" w:rsidR="00527292" w:rsidRPr="003D294A" w:rsidRDefault="00527292" w:rsidP="00CF7B47">
            <w:pPr>
              <w:pStyle w:val="COMTableheadingrow"/>
              <w:jc w:val="center"/>
            </w:pPr>
            <w:r w:rsidRPr="003D294A">
              <w:t>Economic model</w:t>
            </w:r>
          </w:p>
        </w:tc>
        <w:tc>
          <w:tcPr>
            <w:tcW w:w="1201" w:type="pct"/>
            <w:vAlign w:val="center"/>
          </w:tcPr>
          <w:p w14:paraId="7650DF3B" w14:textId="77777777" w:rsidR="00527292" w:rsidRPr="003D294A" w:rsidRDefault="00527292" w:rsidP="00CF7B47">
            <w:pPr>
              <w:pStyle w:val="COMTableheadingrow"/>
              <w:jc w:val="center"/>
            </w:pPr>
            <w:r w:rsidRPr="003D294A">
              <w:t>Financial estimates</w:t>
            </w:r>
          </w:p>
        </w:tc>
      </w:tr>
      <w:tr w:rsidR="00527292" w:rsidRPr="003D294A" w14:paraId="255D2703" w14:textId="77777777">
        <w:trPr>
          <w:cantSplit/>
          <w:jc w:val="center"/>
        </w:trPr>
        <w:tc>
          <w:tcPr>
            <w:tcW w:w="1403" w:type="pct"/>
            <w:vAlign w:val="center"/>
          </w:tcPr>
          <w:p w14:paraId="27FE74F8" w14:textId="77777777" w:rsidR="00527292" w:rsidRPr="003D294A" w:rsidRDefault="00527292" w:rsidP="00CF7B47">
            <w:pPr>
              <w:pStyle w:val="COMTabletext"/>
            </w:pPr>
            <w:r w:rsidRPr="003D294A">
              <w:t>Cost per 28 days (effective DPMQ for 8 × 1,080 mg vials)</w:t>
            </w:r>
          </w:p>
        </w:tc>
        <w:tc>
          <w:tcPr>
            <w:tcW w:w="1199" w:type="pct"/>
            <w:vAlign w:val="center"/>
          </w:tcPr>
          <w:p w14:paraId="67DA265B" w14:textId="77777777" w:rsidR="00527292" w:rsidRPr="003D294A" w:rsidRDefault="00527292" w:rsidP="00CF7B47">
            <w:pPr>
              <w:pStyle w:val="COMTabletext"/>
              <w:jc w:val="center"/>
              <w:rPr>
                <w:bCs w:val="0"/>
              </w:rPr>
            </w:pPr>
            <w:r w:rsidRPr="003D294A">
              <w:rPr>
                <w:bCs w:val="0"/>
              </w:rPr>
              <w:t>-</w:t>
            </w:r>
          </w:p>
        </w:tc>
        <w:tc>
          <w:tcPr>
            <w:tcW w:w="1197" w:type="pct"/>
            <w:vAlign w:val="center"/>
          </w:tcPr>
          <w:p w14:paraId="36FE7036" w14:textId="49A29F35" w:rsidR="00527292" w:rsidRPr="003D294A" w:rsidRDefault="006449AB" w:rsidP="00CF7B47">
            <w:pPr>
              <w:pStyle w:val="COMTabletext"/>
              <w:jc w:val="center"/>
              <w:rPr>
                <w:b/>
              </w:rPr>
            </w:pPr>
            <w:r w:rsidRPr="006449AB">
              <w:rPr>
                <w:bCs w:val="0"/>
              </w:rPr>
              <w:t>$</w:t>
            </w:r>
            <w:r w:rsidRPr="006449AB">
              <w:rPr>
                <w:bCs w:val="0"/>
                <w:sz w:val="2"/>
                <w:highlight w:val="black"/>
              </w:rPr>
              <w:t>redacted content</w:t>
            </w:r>
            <w:r w:rsidR="00527292" w:rsidRPr="003D294A">
              <w:rPr>
                <w:bCs w:val="0"/>
              </w:rPr>
              <w:t xml:space="preserve"> </w:t>
            </w:r>
            <w:r w:rsidR="00527292" w:rsidRPr="003D294A">
              <w:rPr>
                <w:bCs w:val="0"/>
                <w:vertAlign w:val="superscript"/>
              </w:rPr>
              <w:t>a</w:t>
            </w:r>
          </w:p>
        </w:tc>
        <w:tc>
          <w:tcPr>
            <w:tcW w:w="1201" w:type="pct"/>
            <w:vAlign w:val="center"/>
          </w:tcPr>
          <w:p w14:paraId="5A23AAD2" w14:textId="0919DD29" w:rsidR="00527292" w:rsidRPr="003D294A" w:rsidRDefault="006449AB" w:rsidP="00CF7B47">
            <w:pPr>
              <w:pStyle w:val="COMTabletext"/>
              <w:jc w:val="center"/>
              <w:rPr>
                <w:bCs w:val="0"/>
                <w:vertAlign w:val="superscript"/>
              </w:rPr>
            </w:pPr>
            <w:r w:rsidRPr="006449AB">
              <w:rPr>
                <w:bCs w:val="0"/>
              </w:rPr>
              <w:t>$</w:t>
            </w:r>
            <w:r w:rsidRPr="006449AB">
              <w:rPr>
                <w:bCs w:val="0"/>
                <w:sz w:val="2"/>
                <w:highlight w:val="black"/>
              </w:rPr>
              <w:t>redacted content</w:t>
            </w:r>
            <w:r w:rsidR="00527292" w:rsidRPr="003D294A">
              <w:rPr>
                <w:bCs w:val="0"/>
              </w:rPr>
              <w:t xml:space="preserve"> </w:t>
            </w:r>
            <w:r w:rsidR="00527292" w:rsidRPr="003D294A">
              <w:rPr>
                <w:bCs w:val="0"/>
                <w:vertAlign w:val="superscript"/>
              </w:rPr>
              <w:t>a</w:t>
            </w:r>
          </w:p>
        </w:tc>
      </w:tr>
      <w:tr w:rsidR="00527292" w:rsidRPr="003D294A" w14:paraId="26DA2847" w14:textId="77777777">
        <w:trPr>
          <w:cantSplit/>
          <w:jc w:val="center"/>
        </w:trPr>
        <w:tc>
          <w:tcPr>
            <w:tcW w:w="1403" w:type="pct"/>
            <w:vAlign w:val="center"/>
          </w:tcPr>
          <w:p w14:paraId="01AE6713" w14:textId="77777777" w:rsidR="00527292" w:rsidRPr="003D294A" w:rsidRDefault="00527292" w:rsidP="00CF7B47">
            <w:pPr>
              <w:pStyle w:val="COMTabletext"/>
            </w:pPr>
            <w:r w:rsidRPr="003D294A">
              <w:t>Treatment adherence</w:t>
            </w:r>
          </w:p>
        </w:tc>
        <w:tc>
          <w:tcPr>
            <w:tcW w:w="1199" w:type="pct"/>
            <w:vAlign w:val="center"/>
          </w:tcPr>
          <w:p w14:paraId="1AB4F43C" w14:textId="77777777" w:rsidR="00527292" w:rsidRPr="003D294A" w:rsidRDefault="00527292" w:rsidP="00CF7B47">
            <w:pPr>
              <w:pStyle w:val="COMTabletext"/>
              <w:jc w:val="center"/>
              <w:rPr>
                <w:bCs w:val="0"/>
              </w:rPr>
            </w:pPr>
            <w:r w:rsidRPr="003D294A">
              <w:rPr>
                <w:bCs w:val="0"/>
              </w:rPr>
              <w:t xml:space="preserve">99% </w:t>
            </w:r>
            <w:r w:rsidRPr="003D294A">
              <w:rPr>
                <w:bCs w:val="0"/>
                <w:vertAlign w:val="superscript"/>
              </w:rPr>
              <w:t>b</w:t>
            </w:r>
            <w:r w:rsidRPr="003D294A">
              <w:rPr>
                <w:bCs w:val="0"/>
              </w:rPr>
              <w:t xml:space="preserve"> </w:t>
            </w:r>
          </w:p>
        </w:tc>
        <w:tc>
          <w:tcPr>
            <w:tcW w:w="1197" w:type="pct"/>
            <w:vAlign w:val="center"/>
          </w:tcPr>
          <w:p w14:paraId="2B0A5B59" w14:textId="77777777" w:rsidR="00527292" w:rsidRPr="003D294A" w:rsidRDefault="00527292" w:rsidP="00CF7B47">
            <w:pPr>
              <w:pStyle w:val="COMTabletext"/>
              <w:jc w:val="center"/>
              <w:rPr>
                <w:bCs w:val="0"/>
                <w:vertAlign w:val="superscript"/>
              </w:rPr>
            </w:pPr>
            <w:r w:rsidRPr="003D294A">
              <w:rPr>
                <w:bCs w:val="0"/>
              </w:rPr>
              <w:t xml:space="preserve">90% </w:t>
            </w:r>
            <w:r w:rsidRPr="003D294A">
              <w:rPr>
                <w:bCs w:val="0"/>
                <w:vertAlign w:val="superscript"/>
              </w:rPr>
              <w:t>c</w:t>
            </w:r>
          </w:p>
        </w:tc>
        <w:tc>
          <w:tcPr>
            <w:tcW w:w="1201" w:type="pct"/>
            <w:vAlign w:val="center"/>
          </w:tcPr>
          <w:p w14:paraId="475F1CA1" w14:textId="77777777" w:rsidR="00527292" w:rsidRPr="003D294A" w:rsidRDefault="00527292" w:rsidP="00CF7B47">
            <w:pPr>
              <w:pStyle w:val="COMTabletext"/>
              <w:jc w:val="center"/>
              <w:rPr>
                <w:bCs w:val="0"/>
                <w:vertAlign w:val="superscript"/>
              </w:rPr>
            </w:pPr>
            <w:r w:rsidRPr="003D294A">
              <w:rPr>
                <w:bCs w:val="0"/>
              </w:rPr>
              <w:t xml:space="preserve">90% </w:t>
            </w:r>
            <w:r w:rsidRPr="003D294A">
              <w:rPr>
                <w:bCs w:val="0"/>
                <w:vertAlign w:val="superscript"/>
              </w:rPr>
              <w:t>c</w:t>
            </w:r>
          </w:p>
        </w:tc>
      </w:tr>
      <w:tr w:rsidR="00527292" w:rsidRPr="003D294A" w14:paraId="44F1EC56" w14:textId="77777777">
        <w:trPr>
          <w:cantSplit/>
          <w:jc w:val="center"/>
        </w:trPr>
        <w:tc>
          <w:tcPr>
            <w:tcW w:w="1403" w:type="pct"/>
            <w:vAlign w:val="center"/>
          </w:tcPr>
          <w:p w14:paraId="1A47F2D4" w14:textId="77777777" w:rsidR="00527292" w:rsidRPr="003D294A" w:rsidRDefault="00527292" w:rsidP="00CF7B47">
            <w:pPr>
              <w:pStyle w:val="COMTabletext"/>
            </w:pPr>
            <w:r w:rsidRPr="003D294A">
              <w:t>Scripts/patient/year</w:t>
            </w:r>
          </w:p>
        </w:tc>
        <w:tc>
          <w:tcPr>
            <w:tcW w:w="1199" w:type="pct"/>
            <w:vAlign w:val="center"/>
          </w:tcPr>
          <w:p w14:paraId="553B69FC" w14:textId="77777777" w:rsidR="00527292" w:rsidRPr="003D294A" w:rsidRDefault="00527292" w:rsidP="00CF7B47">
            <w:pPr>
              <w:pStyle w:val="COMTabletext"/>
              <w:jc w:val="center"/>
              <w:rPr>
                <w:bCs w:val="0"/>
              </w:rPr>
            </w:pPr>
            <w:r w:rsidRPr="003D294A">
              <w:rPr>
                <w:bCs w:val="0"/>
              </w:rPr>
              <w:t>-</w:t>
            </w:r>
          </w:p>
        </w:tc>
        <w:tc>
          <w:tcPr>
            <w:tcW w:w="1197" w:type="pct"/>
            <w:vAlign w:val="center"/>
          </w:tcPr>
          <w:p w14:paraId="635DC083" w14:textId="77777777" w:rsidR="00527292" w:rsidRPr="003D294A" w:rsidRDefault="00527292" w:rsidP="00CF7B47">
            <w:pPr>
              <w:pStyle w:val="COMTabletext"/>
              <w:jc w:val="center"/>
              <w:rPr>
                <w:bCs w:val="0"/>
                <w:vertAlign w:val="superscript"/>
              </w:rPr>
            </w:pPr>
            <w:r w:rsidRPr="003D294A">
              <w:rPr>
                <w:bCs w:val="0"/>
              </w:rPr>
              <w:t xml:space="preserve">11.74 </w:t>
            </w:r>
            <w:r w:rsidRPr="003D294A">
              <w:rPr>
                <w:bCs w:val="0"/>
                <w:vertAlign w:val="superscript"/>
              </w:rPr>
              <w:t>d</w:t>
            </w:r>
          </w:p>
        </w:tc>
        <w:tc>
          <w:tcPr>
            <w:tcW w:w="1201" w:type="pct"/>
            <w:vAlign w:val="center"/>
          </w:tcPr>
          <w:p w14:paraId="1EAF44DF" w14:textId="77777777" w:rsidR="00527292" w:rsidRPr="003D294A" w:rsidRDefault="00527292" w:rsidP="00CF7B47">
            <w:pPr>
              <w:pStyle w:val="COMTabletext"/>
              <w:jc w:val="center"/>
              <w:rPr>
                <w:bCs w:val="0"/>
                <w:vertAlign w:val="superscript"/>
              </w:rPr>
            </w:pPr>
            <w:r w:rsidRPr="003D294A">
              <w:rPr>
                <w:bCs w:val="0"/>
              </w:rPr>
              <w:t xml:space="preserve">11.70 </w:t>
            </w:r>
            <w:r w:rsidRPr="003D294A">
              <w:rPr>
                <w:bCs w:val="0"/>
                <w:vertAlign w:val="superscript"/>
              </w:rPr>
              <w:t>e</w:t>
            </w:r>
          </w:p>
        </w:tc>
      </w:tr>
      <w:tr w:rsidR="00527292" w:rsidRPr="003D294A" w14:paraId="2795C973" w14:textId="77777777">
        <w:trPr>
          <w:cantSplit/>
          <w:jc w:val="center"/>
        </w:trPr>
        <w:tc>
          <w:tcPr>
            <w:tcW w:w="1403" w:type="pct"/>
            <w:vAlign w:val="center"/>
          </w:tcPr>
          <w:p w14:paraId="10048A78" w14:textId="77777777" w:rsidR="00527292" w:rsidRPr="003D294A" w:rsidRDefault="00527292" w:rsidP="00CF7B47">
            <w:pPr>
              <w:pStyle w:val="COMTabletext"/>
            </w:pPr>
            <w:r w:rsidRPr="003D294A">
              <w:t>Cost/patient/year</w:t>
            </w:r>
          </w:p>
        </w:tc>
        <w:tc>
          <w:tcPr>
            <w:tcW w:w="1199" w:type="pct"/>
            <w:vAlign w:val="center"/>
          </w:tcPr>
          <w:p w14:paraId="1940CE4D" w14:textId="77777777" w:rsidR="00527292" w:rsidRPr="003D294A" w:rsidRDefault="00527292" w:rsidP="00CF7B47">
            <w:pPr>
              <w:pStyle w:val="COMTabletext"/>
              <w:jc w:val="center"/>
              <w:rPr>
                <w:bCs w:val="0"/>
              </w:rPr>
            </w:pPr>
            <w:r w:rsidRPr="003D294A">
              <w:rPr>
                <w:bCs w:val="0"/>
              </w:rPr>
              <w:t>-</w:t>
            </w:r>
          </w:p>
        </w:tc>
        <w:tc>
          <w:tcPr>
            <w:tcW w:w="1197" w:type="pct"/>
            <w:vAlign w:val="center"/>
          </w:tcPr>
          <w:p w14:paraId="663715FE" w14:textId="5F3B7702" w:rsidR="00527292" w:rsidRPr="003D294A" w:rsidRDefault="006449AB" w:rsidP="00CF7B47">
            <w:pPr>
              <w:pStyle w:val="COMTabletext"/>
              <w:jc w:val="center"/>
              <w:rPr>
                <w:bCs w:val="0"/>
                <w:vertAlign w:val="superscript"/>
              </w:rPr>
            </w:pPr>
            <w:r w:rsidRPr="006449AB">
              <w:rPr>
                <w:bCs w:val="0"/>
              </w:rPr>
              <w:t>$</w:t>
            </w:r>
            <w:r w:rsidRPr="006449AB">
              <w:rPr>
                <w:bCs w:val="0"/>
                <w:sz w:val="2"/>
                <w:highlight w:val="black"/>
              </w:rPr>
              <w:t>redacted content</w:t>
            </w:r>
            <w:r w:rsidR="00527292" w:rsidRPr="003D294A">
              <w:rPr>
                <w:bCs w:val="0"/>
              </w:rPr>
              <w:t xml:space="preserve"> </w:t>
            </w:r>
            <w:r w:rsidR="00527292" w:rsidRPr="003D294A">
              <w:rPr>
                <w:bCs w:val="0"/>
                <w:vertAlign w:val="superscript"/>
              </w:rPr>
              <w:t>f</w:t>
            </w:r>
          </w:p>
        </w:tc>
        <w:tc>
          <w:tcPr>
            <w:tcW w:w="1201" w:type="pct"/>
            <w:vAlign w:val="center"/>
          </w:tcPr>
          <w:p w14:paraId="6A53B00D" w14:textId="596BFA16" w:rsidR="00527292" w:rsidRPr="003D294A" w:rsidRDefault="006449AB" w:rsidP="00CF7B47">
            <w:pPr>
              <w:pStyle w:val="COMTabletext"/>
              <w:jc w:val="center"/>
              <w:rPr>
                <w:bCs w:val="0"/>
              </w:rPr>
            </w:pPr>
            <w:r w:rsidRPr="006449AB">
              <w:rPr>
                <w:bCs w:val="0"/>
              </w:rPr>
              <w:t>$</w:t>
            </w:r>
            <w:r w:rsidRPr="006449AB">
              <w:rPr>
                <w:bCs w:val="0"/>
                <w:sz w:val="2"/>
                <w:highlight w:val="black"/>
              </w:rPr>
              <w:t>redacted content</w:t>
            </w:r>
            <w:r w:rsidR="00527292" w:rsidRPr="003D294A">
              <w:rPr>
                <w:bCs w:val="0"/>
              </w:rPr>
              <w:t xml:space="preserve"> </w:t>
            </w:r>
            <w:r w:rsidR="00527292" w:rsidRPr="003D294A">
              <w:rPr>
                <w:bCs w:val="0"/>
                <w:vertAlign w:val="superscript"/>
              </w:rPr>
              <w:t>f</w:t>
            </w:r>
          </w:p>
        </w:tc>
      </w:tr>
      <w:tr w:rsidR="00527292" w:rsidRPr="003D294A" w14:paraId="21FB7056" w14:textId="77777777">
        <w:trPr>
          <w:cantSplit/>
          <w:jc w:val="center"/>
        </w:trPr>
        <w:tc>
          <w:tcPr>
            <w:tcW w:w="1403" w:type="pct"/>
            <w:vAlign w:val="center"/>
          </w:tcPr>
          <w:p w14:paraId="385E1BBE" w14:textId="77777777" w:rsidR="00527292" w:rsidRPr="003D294A" w:rsidRDefault="00527292" w:rsidP="00CF7B47">
            <w:pPr>
              <w:pStyle w:val="COMTabletext"/>
            </w:pPr>
            <w:r w:rsidRPr="003D294A">
              <w:t>Proportion of patients on treatment</w:t>
            </w:r>
          </w:p>
        </w:tc>
        <w:tc>
          <w:tcPr>
            <w:tcW w:w="1199" w:type="pct"/>
            <w:vAlign w:val="center"/>
          </w:tcPr>
          <w:p w14:paraId="0D5B0F22" w14:textId="3CAEB057" w:rsidR="00527292" w:rsidRPr="003D294A" w:rsidRDefault="00527292" w:rsidP="00CF7B47">
            <w:pPr>
              <w:pStyle w:val="COMTabletext"/>
              <w:jc w:val="center"/>
              <w:rPr>
                <w:bCs w:val="0"/>
              </w:rPr>
            </w:pPr>
            <w:r w:rsidRPr="003D294A">
              <w:rPr>
                <w:bCs w:val="0"/>
              </w:rPr>
              <w:t>12 months: 94%</w:t>
            </w:r>
            <w:r w:rsidRPr="003D294A">
              <w:rPr>
                <w:bCs w:val="0"/>
                <w:vertAlign w:val="superscript"/>
              </w:rPr>
              <w:t xml:space="preserve"> g</w:t>
            </w:r>
            <w:r w:rsidR="00CF7B47">
              <w:rPr>
                <w:bCs w:val="0"/>
              </w:rPr>
              <w:t xml:space="preserve"> </w:t>
            </w:r>
          </w:p>
        </w:tc>
        <w:tc>
          <w:tcPr>
            <w:tcW w:w="1197" w:type="pct"/>
            <w:vAlign w:val="center"/>
          </w:tcPr>
          <w:p w14:paraId="79604D49" w14:textId="77777777" w:rsidR="00527292" w:rsidRPr="003D294A" w:rsidRDefault="00527292" w:rsidP="00CF7B47">
            <w:pPr>
              <w:pStyle w:val="COMTabletext"/>
              <w:jc w:val="center"/>
              <w:rPr>
                <w:bCs w:val="0"/>
                <w:vertAlign w:val="superscript"/>
              </w:rPr>
            </w:pPr>
            <w:r w:rsidRPr="003D294A">
              <w:rPr>
                <w:bCs w:val="0"/>
              </w:rPr>
              <w:t xml:space="preserve">12 months: 60% </w:t>
            </w:r>
            <w:r w:rsidRPr="003D294A">
              <w:rPr>
                <w:bCs w:val="0"/>
                <w:vertAlign w:val="superscript"/>
              </w:rPr>
              <w:t>h</w:t>
            </w:r>
          </w:p>
          <w:p w14:paraId="7E81E3B9" w14:textId="77777777" w:rsidR="00527292" w:rsidRPr="003D294A" w:rsidRDefault="00527292" w:rsidP="00CF7B47">
            <w:pPr>
              <w:pStyle w:val="COMTabletext"/>
              <w:jc w:val="center"/>
              <w:rPr>
                <w:bCs w:val="0"/>
                <w:vertAlign w:val="superscript"/>
              </w:rPr>
            </w:pPr>
            <w:r w:rsidRPr="003D294A">
              <w:rPr>
                <w:bCs w:val="0"/>
              </w:rPr>
              <w:t xml:space="preserve">24 months: 47% </w:t>
            </w:r>
            <w:r w:rsidRPr="003D294A">
              <w:rPr>
                <w:bCs w:val="0"/>
                <w:vertAlign w:val="superscript"/>
              </w:rPr>
              <w:t>h</w:t>
            </w:r>
          </w:p>
          <w:p w14:paraId="580A3A4C" w14:textId="77777777" w:rsidR="00527292" w:rsidRPr="003D294A" w:rsidRDefault="00527292" w:rsidP="00CF7B47">
            <w:pPr>
              <w:pStyle w:val="COMTabletext"/>
              <w:jc w:val="center"/>
              <w:rPr>
                <w:bCs w:val="0"/>
                <w:vertAlign w:val="superscript"/>
              </w:rPr>
            </w:pPr>
            <w:r w:rsidRPr="003D294A">
              <w:rPr>
                <w:bCs w:val="0"/>
              </w:rPr>
              <w:t xml:space="preserve">36 months: 36% </w:t>
            </w:r>
            <w:r w:rsidRPr="003D294A">
              <w:rPr>
                <w:bCs w:val="0"/>
                <w:vertAlign w:val="superscript"/>
              </w:rPr>
              <w:t>h</w:t>
            </w:r>
          </w:p>
          <w:p w14:paraId="1B6B6CD3" w14:textId="77777777" w:rsidR="00527292" w:rsidRPr="003D294A" w:rsidRDefault="00527292" w:rsidP="00CF7B47">
            <w:pPr>
              <w:pStyle w:val="COMTabletext"/>
              <w:jc w:val="center"/>
              <w:rPr>
                <w:bCs w:val="0"/>
                <w:vertAlign w:val="superscript"/>
              </w:rPr>
            </w:pPr>
            <w:r w:rsidRPr="003D294A">
              <w:rPr>
                <w:bCs w:val="0"/>
              </w:rPr>
              <w:t xml:space="preserve">48 months: 28% </w:t>
            </w:r>
            <w:r w:rsidRPr="003D294A">
              <w:rPr>
                <w:bCs w:val="0"/>
                <w:vertAlign w:val="superscript"/>
              </w:rPr>
              <w:t>h</w:t>
            </w:r>
          </w:p>
          <w:p w14:paraId="033A8DC2" w14:textId="77777777" w:rsidR="00527292" w:rsidRPr="003D294A" w:rsidRDefault="00527292" w:rsidP="00CF7B47">
            <w:pPr>
              <w:pStyle w:val="COMTabletext"/>
              <w:jc w:val="center"/>
              <w:rPr>
                <w:bCs w:val="0"/>
                <w:vertAlign w:val="superscript"/>
              </w:rPr>
            </w:pPr>
            <w:r w:rsidRPr="003D294A">
              <w:rPr>
                <w:bCs w:val="0"/>
              </w:rPr>
              <w:t xml:space="preserve">60 months: 22% </w:t>
            </w:r>
            <w:r w:rsidRPr="003D294A">
              <w:rPr>
                <w:bCs w:val="0"/>
                <w:vertAlign w:val="superscript"/>
              </w:rPr>
              <w:t>h</w:t>
            </w:r>
          </w:p>
        </w:tc>
        <w:tc>
          <w:tcPr>
            <w:tcW w:w="1201" w:type="pct"/>
            <w:vAlign w:val="center"/>
          </w:tcPr>
          <w:p w14:paraId="785CFA4E" w14:textId="6AE8A907" w:rsidR="00527292" w:rsidRPr="003D294A" w:rsidRDefault="00527292" w:rsidP="00CF7B47">
            <w:pPr>
              <w:pStyle w:val="COMTabletext"/>
              <w:jc w:val="center"/>
              <w:rPr>
                <w:bCs w:val="0"/>
                <w:vertAlign w:val="superscript"/>
              </w:rPr>
            </w:pPr>
            <w:r w:rsidRPr="003D294A">
              <w:rPr>
                <w:bCs w:val="0"/>
              </w:rPr>
              <w:t>N</w:t>
            </w:r>
            <w:r w:rsidR="001F478D" w:rsidRPr="003D294A">
              <w:rPr>
                <w:bCs w:val="0"/>
              </w:rPr>
              <w:t>ot estimable</w:t>
            </w:r>
            <w:r w:rsidRPr="003D294A">
              <w:rPr>
                <w:bCs w:val="0"/>
              </w:rPr>
              <w:t xml:space="preserve"> </w:t>
            </w:r>
            <w:r w:rsidRPr="003D294A">
              <w:rPr>
                <w:bCs w:val="0"/>
                <w:vertAlign w:val="superscript"/>
              </w:rPr>
              <w:t>i</w:t>
            </w:r>
          </w:p>
        </w:tc>
      </w:tr>
    </w:tbl>
    <w:p w14:paraId="4611504F" w14:textId="1C6984C1" w:rsidR="00527292" w:rsidRPr="003D294A" w:rsidRDefault="00527292" w:rsidP="00CF7B47">
      <w:pPr>
        <w:pStyle w:val="COMTablefooter"/>
      </w:pPr>
      <w:r w:rsidRPr="003D294A">
        <w:t>Source:</w:t>
      </w:r>
      <w:r w:rsidR="001F478D" w:rsidRPr="003D294A">
        <w:t xml:space="preserve"> Table 6 of the VALIANT 52-week trial report; Table 2-8, p49 of the submission; </w:t>
      </w:r>
      <w:r w:rsidRPr="003D294A">
        <w:t>Section 3 economic model Excel workbook; Section 4 financial implications Excel workbook</w:t>
      </w:r>
    </w:p>
    <w:p w14:paraId="2142C1F7" w14:textId="7954163B" w:rsidR="00527292" w:rsidRPr="003D294A" w:rsidRDefault="00527292" w:rsidP="00CF7B47">
      <w:pPr>
        <w:pStyle w:val="COMTablefooter"/>
      </w:pPr>
      <w:r w:rsidRPr="003D294A">
        <w:t xml:space="preserve">Abbreviations: DPMQ, dispensed price for maximum quantity; </w:t>
      </w:r>
      <w:r w:rsidR="001F478D" w:rsidRPr="003D294A">
        <w:t>UPCR, urine protein-creatinine ratio</w:t>
      </w:r>
    </w:p>
    <w:p w14:paraId="1917DD5A" w14:textId="77777777" w:rsidR="00527292" w:rsidRPr="003D294A" w:rsidRDefault="00527292" w:rsidP="00CF7B47">
      <w:pPr>
        <w:pStyle w:val="COMTablefooter"/>
      </w:pPr>
      <w:r w:rsidRPr="003D294A">
        <w:rPr>
          <w:vertAlign w:val="superscript"/>
        </w:rPr>
        <w:t>a</w:t>
      </w:r>
      <w:r w:rsidRPr="003D294A">
        <w:t xml:space="preserve"> Based on an assumed 89.74%/10.26% public/private hospital split</w:t>
      </w:r>
    </w:p>
    <w:p w14:paraId="43937726" w14:textId="77777777" w:rsidR="00527292" w:rsidRPr="003D294A" w:rsidRDefault="00527292" w:rsidP="00CF7B47">
      <w:pPr>
        <w:pStyle w:val="COMTablefooter"/>
      </w:pPr>
      <w:r w:rsidRPr="003D294A">
        <w:rPr>
          <w:vertAlign w:val="superscript"/>
        </w:rPr>
        <w:t>b</w:t>
      </w:r>
      <w:r w:rsidRPr="003D294A">
        <w:t xml:space="preserve"> Trial-based compliance in both treatment arms during the overall study period (total number of infusions divided by total expected number of infusions)</w:t>
      </w:r>
    </w:p>
    <w:p w14:paraId="0B4EC227" w14:textId="77777777" w:rsidR="00527292" w:rsidRPr="003D294A" w:rsidRDefault="00527292" w:rsidP="00CF7B47">
      <w:pPr>
        <w:pStyle w:val="COMTablefooter"/>
      </w:pPr>
      <w:r w:rsidRPr="003D294A">
        <w:rPr>
          <w:vertAlign w:val="superscript"/>
        </w:rPr>
        <w:t>c</w:t>
      </w:r>
      <w:r w:rsidRPr="003D294A">
        <w:t xml:space="preserve"> Assumption</w:t>
      </w:r>
    </w:p>
    <w:p w14:paraId="677B015F" w14:textId="77777777" w:rsidR="00527292" w:rsidRPr="003D294A" w:rsidRDefault="00527292" w:rsidP="00CF7B47">
      <w:pPr>
        <w:pStyle w:val="COMTablefooter"/>
      </w:pPr>
      <w:r w:rsidRPr="003D294A">
        <w:rPr>
          <w:vertAlign w:val="superscript"/>
        </w:rPr>
        <w:t>d</w:t>
      </w:r>
      <w:r w:rsidRPr="003D294A">
        <w:t xml:space="preserve"> Based on 90% adherence multiplied by 13.04 scripts per year</w:t>
      </w:r>
    </w:p>
    <w:p w14:paraId="74F083FB" w14:textId="77777777" w:rsidR="00527292" w:rsidRPr="003D294A" w:rsidRDefault="00527292" w:rsidP="00CF7B47">
      <w:pPr>
        <w:pStyle w:val="COMTablefooter"/>
      </w:pPr>
      <w:r w:rsidRPr="003D294A">
        <w:rPr>
          <w:vertAlign w:val="superscript"/>
        </w:rPr>
        <w:t>e</w:t>
      </w:r>
      <w:r w:rsidRPr="003D294A">
        <w:t xml:space="preserve"> Based on 90% adherence multiplied by 13.00 scripts per year</w:t>
      </w:r>
    </w:p>
    <w:p w14:paraId="4A0438A8" w14:textId="77777777" w:rsidR="00527292" w:rsidRPr="003D294A" w:rsidRDefault="00527292" w:rsidP="00CF7B47">
      <w:pPr>
        <w:pStyle w:val="COMTablefooter"/>
      </w:pPr>
      <w:r w:rsidRPr="003D294A">
        <w:rPr>
          <w:vertAlign w:val="superscript"/>
        </w:rPr>
        <w:t>f</w:t>
      </w:r>
      <w:r w:rsidRPr="003D294A">
        <w:t xml:space="preserve"> Cost per 28 days multiplied by scripts per patient per year</w:t>
      </w:r>
    </w:p>
    <w:p w14:paraId="1EFE6444" w14:textId="77777777" w:rsidR="00527292" w:rsidRPr="003D294A" w:rsidRDefault="00527292" w:rsidP="00CF7B47">
      <w:pPr>
        <w:pStyle w:val="COMTablefooter"/>
      </w:pPr>
      <w:r w:rsidRPr="003D294A">
        <w:rPr>
          <w:vertAlign w:val="superscript"/>
        </w:rPr>
        <w:t>g</w:t>
      </w:r>
      <w:r w:rsidRPr="003D294A">
        <w:t xml:space="preserve"> Based on total number of patients discontinuing treatment during the overall study period (4/63 patients, 6.3%)</w:t>
      </w:r>
    </w:p>
    <w:p w14:paraId="20595960" w14:textId="77777777" w:rsidR="00527292" w:rsidRPr="003D294A" w:rsidRDefault="00527292" w:rsidP="00CF7B47">
      <w:pPr>
        <w:pStyle w:val="COMTablefooter"/>
      </w:pPr>
      <w:r w:rsidRPr="003D294A">
        <w:rPr>
          <w:vertAlign w:val="superscript"/>
        </w:rPr>
        <w:t>h</w:t>
      </w:r>
      <w:r w:rsidRPr="003D294A">
        <w:t xml:space="preserve"> Proportion of patients on treatment at the start of each year. Based on assumed treatment discontinuations per 3-month cycle of 5% in better UPCR health states (UPCR&lt;1, UPCR 1-3) and 80% in the worse UPCR health state (UPCR&gt;3), and assuming all patients discontinue treatment when switching to dialysis</w:t>
      </w:r>
    </w:p>
    <w:p w14:paraId="1EC67518" w14:textId="77777777" w:rsidR="00527292" w:rsidRPr="003D294A" w:rsidRDefault="00527292" w:rsidP="00CF7B47">
      <w:pPr>
        <w:pStyle w:val="COMTablefooter"/>
      </w:pPr>
      <w:r w:rsidRPr="003D294A">
        <w:rPr>
          <w:vertAlign w:val="superscript"/>
        </w:rPr>
        <w:t>i</w:t>
      </w:r>
      <w:r w:rsidRPr="003D294A">
        <w:t xml:space="preserve"> Due to the prevalence-based approach used to derive the financial estimates (which did not explicitly model pegcetacoplan initiations and discontinuations among treated patients), the numbers of patients initiating and continuing treatment in each year could not be determined. In each year, 4 months of initial treatment (13 scripts per year × 4/12 = 4.33 scripts) and 8 months of continuing treatment adjusted for the proportion achieving a clinical benefit (80%) and treatment persistence (90%; 13 scripts per year × 8/12 × 0.80 × 0.90 = 6.24 scripts) were assumed for the proportion of the eligible population on treatment.</w:t>
      </w:r>
    </w:p>
    <w:p w14:paraId="3DBFE151" w14:textId="602B83C1" w:rsidR="00494207" w:rsidRPr="003D294A" w:rsidRDefault="007E5F57" w:rsidP="00CF7B47">
      <w:pPr>
        <w:pStyle w:val="COMESnumberedpara"/>
      </w:pPr>
      <w:bookmarkStart w:id="58" w:name="_Hlk107307804"/>
      <w:r w:rsidRPr="003D294A">
        <w:t>The submission did not include any administration costs associated with pegcetacoplan</w:t>
      </w:r>
      <w:r w:rsidR="00577CBD" w:rsidRPr="003D294A">
        <w:t xml:space="preserve"> in the economic analyses (economic model and cost-minimisation framework) or financial estimates</w:t>
      </w:r>
      <w:r w:rsidRPr="003D294A">
        <w:t xml:space="preserve">. This may not be reasonable given the submission claimed that in the Australian setting, patients are likely to receive pegcetacoplan subcutaneous infusions either through hospital day units or supported home infusion. </w:t>
      </w:r>
    </w:p>
    <w:p w14:paraId="234A28C4" w14:textId="5698E2DF" w:rsidR="007E5F57" w:rsidRPr="003D294A" w:rsidRDefault="007E5F57" w:rsidP="00CF7B47">
      <w:pPr>
        <w:pStyle w:val="COMESnumberedpara"/>
      </w:pPr>
      <w:r w:rsidRPr="003D294A">
        <w:t>The submission did not include additional costs associated with vaccines and vaccine administration. This was inappropriate given mandatory vaccinations against encapsulated bacteria including meningococcal, pneumococcal and Haemophilus influenzae type B (Hib) as per the draft product information and in the proposed restriction.</w:t>
      </w:r>
    </w:p>
    <w:p w14:paraId="792496BC" w14:textId="75DBAEE2" w:rsidR="007E5F57" w:rsidRPr="003D294A" w:rsidRDefault="007E5F57" w:rsidP="00CF7B47">
      <w:pPr>
        <w:pStyle w:val="COMESnumberedpara"/>
      </w:pPr>
      <w:r w:rsidRPr="003D294A">
        <w:t xml:space="preserve">The submission assumed that the use of pegcetacoplan would not be associated with increased diagnostic and monitoring costs. It is unclear whether </w:t>
      </w:r>
      <w:r w:rsidR="00C270F7" w:rsidRPr="003D294A">
        <w:t xml:space="preserve">this assumption was reasonable given additional treatment-related monitoring requirements for kidney function and proteinuria (as per the proposed restriction) as well as monitoring for infections and adverse events associated with complement inhibition. </w:t>
      </w:r>
    </w:p>
    <w:p w14:paraId="268768EF" w14:textId="3626F292" w:rsidR="00B60939" w:rsidRPr="003D294A" w:rsidRDefault="00B60939" w:rsidP="00CF7B47">
      <w:pPr>
        <w:pStyle w:val="COMESSubsectionheading"/>
        <w:rPr>
          <w:iCs/>
        </w:rPr>
      </w:pPr>
      <w:bookmarkStart w:id="59" w:name="_Toc22897647"/>
      <w:bookmarkStart w:id="60" w:name="_Toc219888394"/>
      <w:bookmarkEnd w:id="58"/>
      <w:r w:rsidRPr="003D294A">
        <w:lastRenderedPageBreak/>
        <w:t>Estimated PBS usage &amp; financial implications</w:t>
      </w:r>
      <w:bookmarkEnd w:id="59"/>
      <w:bookmarkEnd w:id="60"/>
    </w:p>
    <w:p w14:paraId="04B31D2D" w14:textId="5FB98B8C" w:rsidR="0072416F" w:rsidRPr="003D294A" w:rsidRDefault="00A27058" w:rsidP="00CF7B47">
      <w:pPr>
        <w:pStyle w:val="COMESnumberedpara"/>
      </w:pPr>
      <w:r w:rsidRPr="003D294A">
        <w:t xml:space="preserve">This submission was jointly considered by DUSC and ESC. </w:t>
      </w:r>
      <w:r w:rsidR="007D4884" w:rsidRPr="003D294A">
        <w:t xml:space="preserve">The submission used a prevalence-based epidemiological approach to estimate the utilisation and financial implications of listing pegcetacoplan for the treatment of patients aged ≥12 years with C3G or </w:t>
      </w:r>
      <w:r w:rsidR="00F04BF8" w:rsidRPr="003D294A">
        <w:t xml:space="preserve">primary </w:t>
      </w:r>
      <w:r w:rsidR="007D4884" w:rsidRPr="003D294A">
        <w:t>IC</w:t>
      </w:r>
      <w:r w:rsidR="007D4884" w:rsidRPr="003D294A">
        <w:noBreakHyphen/>
        <w:t>MPGN. The prevalence-based approach used to derive the financial estimates did not explicitly model pegcetacoplan initiations and discontinuations among treated patients. As a result, the underlying numbers of patients initiating and continuing treatment in each year of the financial estimates could not be determined.</w:t>
      </w:r>
      <w:r w:rsidR="00AB2278">
        <w:t xml:space="preserve"> </w:t>
      </w:r>
      <w:r w:rsidR="005417CE">
        <w:t>The pre-PBAC response stated that t</w:t>
      </w:r>
      <w:r w:rsidR="005417CE" w:rsidRPr="00CC2C67">
        <w:t>he submission used a prevalent approach whereby annual cohorts were considered separately, to avoid double counting with an annual incident population. This meant that initiations and discontinuations were considered within the eligible population uptake and eligibility criteria.</w:t>
      </w:r>
      <w:r w:rsidR="00030FD9">
        <w:t xml:space="preserve"> </w:t>
      </w:r>
    </w:p>
    <w:p w14:paraId="0347FA34" w14:textId="6B78F9B6" w:rsidR="00F04BF8" w:rsidRPr="003D294A" w:rsidRDefault="00F04BF8" w:rsidP="00CF7B47">
      <w:pPr>
        <w:pStyle w:val="COMESnumberedpara"/>
      </w:pPr>
      <w:r w:rsidRPr="003D294A">
        <w:fldChar w:fldCharType="begin"/>
      </w:r>
      <w:r w:rsidRPr="003D294A">
        <w:instrText xml:space="preserve"> REF _Ref104805262 \h  \* MERGEFORMAT </w:instrText>
      </w:r>
      <w:r w:rsidRPr="003D294A">
        <w:fldChar w:fldCharType="separate"/>
      </w:r>
      <w:r w:rsidR="00632853" w:rsidRPr="003D294A">
        <w:t xml:space="preserve">Table </w:t>
      </w:r>
      <w:r w:rsidR="00632853">
        <w:t>16</w:t>
      </w:r>
      <w:r w:rsidRPr="003D294A">
        <w:fldChar w:fldCharType="end"/>
      </w:r>
      <w:r w:rsidRPr="003D294A">
        <w:t xml:space="preserve"> presents the key inputs relied on in the financial estimates.</w:t>
      </w:r>
    </w:p>
    <w:p w14:paraId="3393BCE7" w14:textId="6E88BE52" w:rsidR="00E42F73" w:rsidRPr="003D294A" w:rsidRDefault="00E16AD8" w:rsidP="00CF7B47">
      <w:pPr>
        <w:pStyle w:val="COMTableFigurecaption"/>
      </w:pPr>
      <w:bookmarkStart w:id="61" w:name="_Ref104805262"/>
      <w:r w:rsidRPr="003D294A">
        <w:t xml:space="preserve">Table </w:t>
      </w:r>
      <w:fldSimple w:instr=" SEQ Table \* ARABIC ">
        <w:r w:rsidR="00632853">
          <w:rPr>
            <w:noProof/>
          </w:rPr>
          <w:t>16</w:t>
        </w:r>
      </w:fldSimple>
      <w:bookmarkEnd w:id="61"/>
      <w:r w:rsidRPr="003D294A">
        <w:t>:</w:t>
      </w:r>
      <w:r w:rsidR="00E42F73" w:rsidRPr="003D294A">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Key inputs for financial estimates"/>
      </w:tblPr>
      <w:tblGrid>
        <w:gridCol w:w="1297"/>
        <w:gridCol w:w="1380"/>
        <w:gridCol w:w="3170"/>
        <w:gridCol w:w="3170"/>
      </w:tblGrid>
      <w:tr w:rsidR="00154C78" w:rsidRPr="003D294A" w14:paraId="2353E9B2" w14:textId="77777777">
        <w:trPr>
          <w:tblHeader/>
        </w:trPr>
        <w:tc>
          <w:tcPr>
            <w:tcW w:w="719" w:type="pct"/>
            <w:vAlign w:val="center"/>
          </w:tcPr>
          <w:p w14:paraId="258E0AC7" w14:textId="77777777" w:rsidR="00154C78" w:rsidRPr="003D294A" w:rsidRDefault="00154C78" w:rsidP="00CF7B47">
            <w:pPr>
              <w:pStyle w:val="COMTableheadingrow"/>
              <w:keepNext w:val="0"/>
            </w:pPr>
            <w:r w:rsidRPr="003D294A">
              <w:t>Data</w:t>
            </w:r>
          </w:p>
        </w:tc>
        <w:tc>
          <w:tcPr>
            <w:tcW w:w="765" w:type="pct"/>
            <w:vAlign w:val="center"/>
          </w:tcPr>
          <w:p w14:paraId="5540393A" w14:textId="77777777" w:rsidR="00154C78" w:rsidRPr="003D294A" w:rsidRDefault="00154C78" w:rsidP="00CF7B47">
            <w:pPr>
              <w:pStyle w:val="COMTableheadingrow"/>
              <w:keepNext w:val="0"/>
              <w:jc w:val="center"/>
            </w:pPr>
            <w:r w:rsidRPr="003D294A">
              <w:t>Value</w:t>
            </w:r>
          </w:p>
        </w:tc>
        <w:tc>
          <w:tcPr>
            <w:tcW w:w="1758" w:type="pct"/>
            <w:vAlign w:val="center"/>
          </w:tcPr>
          <w:p w14:paraId="1BE0441C" w14:textId="77777777" w:rsidR="00154C78" w:rsidRPr="003D294A" w:rsidRDefault="00154C78" w:rsidP="00CF7B47">
            <w:pPr>
              <w:pStyle w:val="COMTableheadingrow"/>
              <w:keepNext w:val="0"/>
              <w:jc w:val="center"/>
            </w:pPr>
            <w:r w:rsidRPr="003D294A">
              <w:t>Source</w:t>
            </w:r>
          </w:p>
        </w:tc>
        <w:tc>
          <w:tcPr>
            <w:tcW w:w="1758" w:type="pct"/>
            <w:vAlign w:val="center"/>
          </w:tcPr>
          <w:p w14:paraId="05A19814" w14:textId="77777777" w:rsidR="00154C78" w:rsidRPr="003D294A" w:rsidRDefault="00154C78" w:rsidP="00CF7B47">
            <w:pPr>
              <w:pStyle w:val="COMTableheadingrow"/>
              <w:keepNext w:val="0"/>
              <w:jc w:val="center"/>
            </w:pPr>
            <w:r w:rsidRPr="003D294A">
              <w:t>Comment</w:t>
            </w:r>
          </w:p>
        </w:tc>
      </w:tr>
      <w:tr w:rsidR="00154C78" w:rsidRPr="003D294A" w14:paraId="58EE5795" w14:textId="77777777">
        <w:tc>
          <w:tcPr>
            <w:tcW w:w="5000" w:type="pct"/>
            <w:gridSpan w:val="4"/>
            <w:vAlign w:val="center"/>
          </w:tcPr>
          <w:p w14:paraId="65390E81" w14:textId="77777777" w:rsidR="00154C78" w:rsidRPr="003D294A" w:rsidRDefault="00154C78" w:rsidP="00CF7B47">
            <w:pPr>
              <w:pStyle w:val="COMTableheadingrow"/>
              <w:keepNext w:val="0"/>
            </w:pPr>
            <w:r w:rsidRPr="003D294A">
              <w:t>Eligible population</w:t>
            </w:r>
          </w:p>
        </w:tc>
      </w:tr>
      <w:tr w:rsidR="00154C78" w:rsidRPr="003D294A" w14:paraId="1C41A0F4" w14:textId="77777777">
        <w:tc>
          <w:tcPr>
            <w:tcW w:w="719" w:type="pct"/>
            <w:vAlign w:val="center"/>
          </w:tcPr>
          <w:p w14:paraId="4AA2DE79" w14:textId="77777777" w:rsidR="00154C78" w:rsidRPr="003D294A" w:rsidRDefault="00154C78" w:rsidP="00CF7B47">
            <w:pPr>
              <w:pStyle w:val="COMTabletext"/>
              <w:keepNext w:val="0"/>
            </w:pPr>
            <w:r w:rsidRPr="003D294A">
              <w:t>Australian population aged ≥12 years</w:t>
            </w:r>
          </w:p>
        </w:tc>
        <w:tc>
          <w:tcPr>
            <w:tcW w:w="765" w:type="pct"/>
            <w:vAlign w:val="center"/>
          </w:tcPr>
          <w:p w14:paraId="653D9EA6" w14:textId="77777777" w:rsidR="00154C78" w:rsidRPr="003D294A" w:rsidRDefault="00154C78" w:rsidP="00CF7B47">
            <w:pPr>
              <w:pStyle w:val="COMTabletext"/>
              <w:keepNext w:val="0"/>
            </w:pPr>
            <w:r w:rsidRPr="003D294A">
              <w:t>2026: 23,962,489</w:t>
            </w:r>
          </w:p>
          <w:p w14:paraId="07FC2637" w14:textId="77777777" w:rsidR="00154C78" w:rsidRPr="003D294A" w:rsidRDefault="00154C78" w:rsidP="00CF7B47">
            <w:pPr>
              <w:pStyle w:val="COMTabletext"/>
              <w:keepNext w:val="0"/>
            </w:pPr>
            <w:r w:rsidRPr="003D294A">
              <w:t>2027: 24,347,849</w:t>
            </w:r>
          </w:p>
          <w:p w14:paraId="6F52D2A3" w14:textId="77777777" w:rsidR="00154C78" w:rsidRPr="003D294A" w:rsidRDefault="00154C78" w:rsidP="00CF7B47">
            <w:pPr>
              <w:pStyle w:val="COMTabletext"/>
              <w:keepNext w:val="0"/>
            </w:pPr>
            <w:r w:rsidRPr="003D294A">
              <w:t>2028: 24,723,857</w:t>
            </w:r>
          </w:p>
          <w:p w14:paraId="57679C11" w14:textId="77777777" w:rsidR="00154C78" w:rsidRPr="003D294A" w:rsidRDefault="00154C78" w:rsidP="00CF7B47">
            <w:pPr>
              <w:pStyle w:val="COMTabletext"/>
              <w:keepNext w:val="0"/>
            </w:pPr>
            <w:r w:rsidRPr="003D294A">
              <w:t>2029: 25,079,076</w:t>
            </w:r>
          </w:p>
          <w:p w14:paraId="3CDB24E6" w14:textId="77777777" w:rsidR="00154C78" w:rsidRPr="003D294A" w:rsidRDefault="00154C78" w:rsidP="00CF7B47">
            <w:pPr>
              <w:pStyle w:val="COMTabletext"/>
              <w:keepNext w:val="0"/>
            </w:pPr>
            <w:r w:rsidRPr="003D294A">
              <w:t>2030: 25,415,004</w:t>
            </w:r>
          </w:p>
          <w:p w14:paraId="3E235489" w14:textId="77777777" w:rsidR="00154C78" w:rsidRPr="003D294A" w:rsidRDefault="00154C78" w:rsidP="00CF7B47">
            <w:pPr>
              <w:pStyle w:val="COMTabletext"/>
              <w:keepNext w:val="0"/>
            </w:pPr>
            <w:r w:rsidRPr="003D294A">
              <w:t>2031: 25,736,468</w:t>
            </w:r>
          </w:p>
        </w:tc>
        <w:tc>
          <w:tcPr>
            <w:tcW w:w="1758" w:type="pct"/>
            <w:vAlign w:val="center"/>
          </w:tcPr>
          <w:p w14:paraId="6C6EE276" w14:textId="77777777" w:rsidR="00154C78" w:rsidRPr="003D294A" w:rsidRDefault="00154C78" w:rsidP="00CF7B47">
            <w:pPr>
              <w:pStyle w:val="COMTabletext"/>
              <w:keepNext w:val="0"/>
            </w:pPr>
            <w:r w:rsidRPr="003D294A">
              <w:t>Population projections, Australia (2023; ABS 3222.0 Series B data).</w:t>
            </w:r>
          </w:p>
        </w:tc>
        <w:tc>
          <w:tcPr>
            <w:tcW w:w="1758" w:type="pct"/>
            <w:vAlign w:val="center"/>
          </w:tcPr>
          <w:p w14:paraId="74F2A8C6" w14:textId="77777777" w:rsidR="00154C78" w:rsidRPr="003D294A" w:rsidRDefault="00154C78" w:rsidP="00CF7B47">
            <w:pPr>
              <w:pStyle w:val="COMTabletext"/>
              <w:keepNext w:val="0"/>
            </w:pPr>
            <w:r w:rsidRPr="003D294A">
              <w:t>This is reasonable.</w:t>
            </w:r>
          </w:p>
        </w:tc>
      </w:tr>
      <w:tr w:rsidR="00154C78" w:rsidRPr="003D294A" w14:paraId="535E2E74" w14:textId="77777777">
        <w:tc>
          <w:tcPr>
            <w:tcW w:w="719" w:type="pct"/>
            <w:vAlign w:val="center"/>
          </w:tcPr>
          <w:p w14:paraId="1CC86F35" w14:textId="77777777" w:rsidR="00154C78" w:rsidRPr="003D294A" w:rsidRDefault="00154C78" w:rsidP="00CF7B47">
            <w:pPr>
              <w:pStyle w:val="COMTabletext"/>
              <w:keepNext w:val="0"/>
            </w:pPr>
            <w:r w:rsidRPr="003D294A">
              <w:t>Prevalence of C3G</w:t>
            </w:r>
          </w:p>
        </w:tc>
        <w:tc>
          <w:tcPr>
            <w:tcW w:w="765" w:type="pct"/>
            <w:vAlign w:val="center"/>
          </w:tcPr>
          <w:p w14:paraId="505F116E" w14:textId="77777777" w:rsidR="00154C78" w:rsidRPr="003D294A" w:rsidRDefault="00154C78" w:rsidP="00CF7B47">
            <w:pPr>
              <w:pStyle w:val="COMTabletext"/>
              <w:keepNext w:val="0"/>
            </w:pPr>
            <w:r w:rsidRPr="003D294A">
              <w:t>20.5 per million</w:t>
            </w:r>
          </w:p>
        </w:tc>
        <w:tc>
          <w:tcPr>
            <w:tcW w:w="1758" w:type="pct"/>
            <w:vAlign w:val="center"/>
          </w:tcPr>
          <w:p w14:paraId="0607CDF7" w14:textId="4E654DE7" w:rsidR="004D4A67" w:rsidRPr="003D294A" w:rsidRDefault="00154C78" w:rsidP="00CF7B47">
            <w:pPr>
              <w:pStyle w:val="COMTabletext"/>
            </w:pPr>
            <w:r w:rsidRPr="003D294A">
              <w:t xml:space="preserve">The </w:t>
            </w:r>
            <w:r w:rsidR="00876A9E" w:rsidRPr="003D294A">
              <w:t xml:space="preserve">PSCR clarified that the </w:t>
            </w:r>
            <w:r w:rsidRPr="003D294A">
              <w:t xml:space="preserve">assumed C3G prevalence of 20.5 per million was obtained </w:t>
            </w:r>
            <w:r w:rsidR="00876A9E" w:rsidRPr="003D294A">
              <w:t xml:space="preserve">from </w:t>
            </w:r>
            <w:r w:rsidR="004422F7" w:rsidRPr="003D294A">
              <w:t xml:space="preserve">a systematic literature review </w:t>
            </w:r>
            <w:r w:rsidR="00C21412" w:rsidRPr="003D294A">
              <w:t>including 11</w:t>
            </w:r>
            <w:r w:rsidR="004422F7" w:rsidRPr="003D294A">
              <w:t xml:space="preserve"> studies </w:t>
            </w:r>
            <w:r w:rsidR="00217C98" w:rsidRPr="003D294A">
              <w:t xml:space="preserve">reporting prevalent or incident cases of IC-MPGN or C3G. </w:t>
            </w:r>
          </w:p>
          <w:p w14:paraId="6A2C863F" w14:textId="0C5D401A" w:rsidR="00006DFF" w:rsidRPr="003D294A" w:rsidRDefault="00154C78" w:rsidP="00CF7B47">
            <w:pPr>
              <w:pStyle w:val="COMTabletext"/>
            </w:pPr>
            <w:r w:rsidRPr="003D294A">
              <w:t>The pooled estimate was adjusted for mortality using an adjustment factor of 0.714. The estimated C3G prevalence was applied to the forecast annual Australian population aged ≥12 years.</w:t>
            </w:r>
          </w:p>
        </w:tc>
        <w:tc>
          <w:tcPr>
            <w:tcW w:w="1758" w:type="pct"/>
            <w:vAlign w:val="center"/>
          </w:tcPr>
          <w:p w14:paraId="4926FE32" w14:textId="77777777" w:rsidR="00154C78" w:rsidRPr="003D294A" w:rsidRDefault="00154C78" w:rsidP="00CF7B47">
            <w:pPr>
              <w:pStyle w:val="COMTabletext"/>
              <w:keepNext w:val="0"/>
            </w:pPr>
            <w:r w:rsidRPr="003D294A">
              <w:t xml:space="preserve">No Australian C3G prevalence estimates were identified. </w:t>
            </w:r>
          </w:p>
          <w:p w14:paraId="77F29FCC" w14:textId="77777777" w:rsidR="00154C78" w:rsidRPr="003D294A" w:rsidRDefault="00154C78" w:rsidP="00CF7B47">
            <w:pPr>
              <w:pStyle w:val="COMTabletext"/>
              <w:keepNext w:val="0"/>
            </w:pPr>
          </w:p>
          <w:p w14:paraId="1BF3F1EF" w14:textId="1821C4B5" w:rsidR="004F752D" w:rsidRPr="003D294A" w:rsidRDefault="00154C78" w:rsidP="00CF7B47">
            <w:pPr>
              <w:pStyle w:val="COMTabletext"/>
              <w:keepNext w:val="0"/>
            </w:pPr>
            <w:r w:rsidRPr="003D294A">
              <w:t>The assumptions and methodology used to calculate the prevalence rates were not provided</w:t>
            </w:r>
            <w:r w:rsidR="00AF1772" w:rsidRPr="003D294A">
              <w:t xml:space="preserve">. </w:t>
            </w:r>
            <w:r w:rsidRPr="003D294A">
              <w:t xml:space="preserve">It is unclear whether the pooled prevalence rate derived from the </w:t>
            </w:r>
            <w:r w:rsidR="00E3093E" w:rsidRPr="003D294A">
              <w:t>meta-analysis</w:t>
            </w:r>
            <w:r w:rsidRPr="003D294A">
              <w:t xml:space="preserve"> reflects the prevalence of C3G in Australia. </w:t>
            </w:r>
            <w:r w:rsidR="004F752D" w:rsidRPr="003D294A">
              <w:t>The Sub-Committees commented that the age range of patients included in these studies was unclear</w:t>
            </w:r>
            <w:r w:rsidR="000E7A3E" w:rsidRPr="003D294A">
              <w:t xml:space="preserve"> and </w:t>
            </w:r>
            <w:r w:rsidR="00E500C1" w:rsidRPr="003D294A">
              <w:t xml:space="preserve">it was unclear whether </w:t>
            </w:r>
            <w:r w:rsidR="000E7A3E" w:rsidRPr="003D294A">
              <w:t xml:space="preserve">applying the estimates only to the Australian population aged </w:t>
            </w:r>
            <w:r w:rsidR="00E500C1" w:rsidRPr="003D294A">
              <w:t>≥12 years was appropriate</w:t>
            </w:r>
            <w:r w:rsidR="004F752D" w:rsidRPr="003D294A">
              <w:t xml:space="preserve">. </w:t>
            </w:r>
          </w:p>
          <w:p w14:paraId="6052462F" w14:textId="78951964" w:rsidR="00154C78" w:rsidRPr="003D294A" w:rsidRDefault="00154C78" w:rsidP="00CF7B47">
            <w:pPr>
              <w:pStyle w:val="COMTabletext"/>
              <w:keepNext w:val="0"/>
            </w:pPr>
          </w:p>
          <w:p w14:paraId="7F3AB926" w14:textId="77777777" w:rsidR="00154C78" w:rsidRPr="003D294A" w:rsidRDefault="00154C78" w:rsidP="00CF7B47">
            <w:pPr>
              <w:pStyle w:val="COMTabletext"/>
              <w:keepNext w:val="0"/>
            </w:pPr>
            <w:r w:rsidRPr="003D294A">
              <w:t>The reported cases in the literature may have included some patients with secondary disease, whereas the proposed restriction specifies patients with primary C3G.</w:t>
            </w:r>
          </w:p>
          <w:p w14:paraId="0ADDDE18" w14:textId="77777777" w:rsidR="00154C78" w:rsidRPr="003D294A" w:rsidRDefault="00154C78" w:rsidP="00CF7B47">
            <w:pPr>
              <w:pStyle w:val="COMTabletext"/>
              <w:keepNext w:val="0"/>
            </w:pPr>
          </w:p>
          <w:p w14:paraId="7C9DF8C9" w14:textId="2BE2CBFC" w:rsidR="00156268" w:rsidRPr="003D294A" w:rsidRDefault="00154C78" w:rsidP="00CF7B47">
            <w:pPr>
              <w:pStyle w:val="COMTabletext"/>
              <w:keepNext w:val="0"/>
              <w:rPr>
                <w:i/>
                <w:iCs/>
              </w:rPr>
            </w:pPr>
            <w:r w:rsidRPr="003D294A">
              <w:lastRenderedPageBreak/>
              <w:t xml:space="preserve">There was inadequate documentation </w:t>
            </w:r>
            <w:r w:rsidR="006C6227" w:rsidRPr="003D294A">
              <w:t>and</w:t>
            </w:r>
            <w:r w:rsidR="00E55370" w:rsidRPr="003D294A">
              <w:t xml:space="preserve"> </w:t>
            </w:r>
            <w:r w:rsidRPr="003D294A">
              <w:t>the methodology used to derive the mortality adjustment factor</w:t>
            </w:r>
            <w:r w:rsidR="008B2D31" w:rsidRPr="003D294A">
              <w:t xml:space="preserve"> </w:t>
            </w:r>
            <w:r w:rsidRPr="003D294A">
              <w:t>could not be verified.</w:t>
            </w:r>
            <w:r w:rsidR="00D45A1E" w:rsidRPr="003D294A">
              <w:t xml:space="preserve"> </w:t>
            </w:r>
            <w:r w:rsidR="00BA1981" w:rsidRPr="003D294A">
              <w:t xml:space="preserve">The PSCR provided </w:t>
            </w:r>
            <w:r w:rsidR="0044446E" w:rsidRPr="003D294A">
              <w:t>additional</w:t>
            </w:r>
            <w:r w:rsidR="00BA1981" w:rsidRPr="003D294A">
              <w:t xml:space="preserve"> detail </w:t>
            </w:r>
            <w:r w:rsidR="005F5FAD" w:rsidRPr="003D294A">
              <w:t xml:space="preserve">with regards to </w:t>
            </w:r>
            <w:r w:rsidR="0041085D" w:rsidRPr="003D294A">
              <w:t>the mortality adjustment</w:t>
            </w:r>
            <w:r w:rsidR="00D45A1E" w:rsidRPr="003D294A">
              <w:t>. The Sub-Committees considered that application of a mortality adjustment appeared reasonable, but considered that it was still unclear how this was calculated</w:t>
            </w:r>
            <w:r w:rsidR="0021233B" w:rsidRPr="003D294A">
              <w:t>.</w:t>
            </w:r>
          </w:p>
        </w:tc>
      </w:tr>
      <w:tr w:rsidR="00154C78" w:rsidRPr="003D294A" w14:paraId="67EA0463" w14:textId="77777777">
        <w:tc>
          <w:tcPr>
            <w:tcW w:w="719" w:type="pct"/>
            <w:vAlign w:val="center"/>
          </w:tcPr>
          <w:p w14:paraId="5F2906A9" w14:textId="77777777" w:rsidR="00154C78" w:rsidRPr="003D294A" w:rsidRDefault="00154C78" w:rsidP="00CF7B47">
            <w:pPr>
              <w:pStyle w:val="COMTabletext"/>
              <w:keepNext w:val="0"/>
            </w:pPr>
            <w:r w:rsidRPr="003D294A">
              <w:lastRenderedPageBreak/>
              <w:t>Prevalence of IC-MPGN</w:t>
            </w:r>
          </w:p>
        </w:tc>
        <w:tc>
          <w:tcPr>
            <w:tcW w:w="765" w:type="pct"/>
            <w:vAlign w:val="center"/>
          </w:tcPr>
          <w:p w14:paraId="43F15829" w14:textId="77777777" w:rsidR="00154C78" w:rsidRPr="003D294A" w:rsidRDefault="00154C78" w:rsidP="00CF7B47">
            <w:pPr>
              <w:pStyle w:val="COMTabletext"/>
              <w:keepNext w:val="0"/>
            </w:pPr>
            <w:r w:rsidRPr="003D294A">
              <w:t>16.2 per million</w:t>
            </w:r>
          </w:p>
        </w:tc>
        <w:tc>
          <w:tcPr>
            <w:tcW w:w="1758" w:type="pct"/>
            <w:vAlign w:val="center"/>
          </w:tcPr>
          <w:p w14:paraId="1CD003C6" w14:textId="4E3A40BF" w:rsidR="00154C78" w:rsidRPr="003D294A" w:rsidRDefault="0056284B" w:rsidP="00CF7B47">
            <w:pPr>
              <w:pStyle w:val="COMTabletext"/>
            </w:pPr>
            <w:r w:rsidRPr="003D294A">
              <w:t xml:space="preserve">The PSCR clarified that the assumed IC-MPGN prevalence of 16.2 per million was obtained from a systematic literature review including 11 studies reporting prevalent or incident cases of IC-MPGN or C3G. </w:t>
            </w:r>
            <w:r w:rsidR="00154C78" w:rsidRPr="003D294A">
              <w:t>The pooled estimate was adjusted for mortality using an adjustment factor of 0.714. The estimated IC-MPGN prevalence was applied to the forecast annual Australian population aged ≥12 years.</w:t>
            </w:r>
          </w:p>
        </w:tc>
        <w:tc>
          <w:tcPr>
            <w:tcW w:w="1758" w:type="pct"/>
            <w:vAlign w:val="center"/>
          </w:tcPr>
          <w:p w14:paraId="732D8577" w14:textId="77777777" w:rsidR="00154C78" w:rsidRPr="003D294A" w:rsidRDefault="00154C78" w:rsidP="00CF7B47">
            <w:pPr>
              <w:pStyle w:val="COMTabletext"/>
              <w:keepNext w:val="0"/>
            </w:pPr>
            <w:r w:rsidRPr="003D294A">
              <w:t xml:space="preserve">No Australian IC-MPGN prevalence estimates were identified. </w:t>
            </w:r>
          </w:p>
          <w:p w14:paraId="34660B76" w14:textId="77777777" w:rsidR="00154C78" w:rsidRPr="003D294A" w:rsidRDefault="00154C78" w:rsidP="00CF7B47">
            <w:pPr>
              <w:pStyle w:val="COMTabletext"/>
              <w:keepNext w:val="0"/>
            </w:pPr>
          </w:p>
          <w:p w14:paraId="49D270A1" w14:textId="1EC1AABC" w:rsidR="00154C78" w:rsidRPr="003D294A" w:rsidRDefault="00154C78" w:rsidP="00CF7B47">
            <w:pPr>
              <w:pStyle w:val="COMTabletext"/>
              <w:keepNext w:val="0"/>
            </w:pPr>
            <w:r w:rsidRPr="003D294A">
              <w:t xml:space="preserve">The assumptions and methodology used to calculate the prevalence rates for each of the included studies were not provided, </w:t>
            </w:r>
            <w:r w:rsidR="0056284B" w:rsidRPr="003D294A">
              <w:t xml:space="preserve">and it is unclear whether the included </w:t>
            </w:r>
            <w:r w:rsidRPr="003D294A">
              <w:t>studies reflect the prevalence of IC</w:t>
            </w:r>
            <w:r w:rsidRPr="003D294A">
              <w:noBreakHyphen/>
              <w:t xml:space="preserve">MPGN in Australia. </w:t>
            </w:r>
          </w:p>
          <w:p w14:paraId="2937A443" w14:textId="77777777" w:rsidR="00154C78" w:rsidRPr="003D294A" w:rsidRDefault="00154C78" w:rsidP="00CF7B47">
            <w:pPr>
              <w:pStyle w:val="COMTabletext"/>
              <w:keepNext w:val="0"/>
            </w:pPr>
          </w:p>
          <w:p w14:paraId="56A554A9" w14:textId="77777777" w:rsidR="00154C78" w:rsidRPr="003D294A" w:rsidRDefault="00154C78" w:rsidP="00CF7B47">
            <w:pPr>
              <w:pStyle w:val="COMTabletext"/>
              <w:keepNext w:val="0"/>
            </w:pPr>
            <w:r w:rsidRPr="003D294A">
              <w:t>The reported cases in the literature may have included some patients with secondary disease, whereas the proposed restriction specifies patients with primary IC-MPGN.</w:t>
            </w:r>
          </w:p>
          <w:p w14:paraId="1FADCBAF" w14:textId="77777777" w:rsidR="00154C78" w:rsidRPr="003D294A" w:rsidRDefault="00154C78" w:rsidP="00CF7B47">
            <w:pPr>
              <w:pStyle w:val="COMTabletext"/>
              <w:keepNext w:val="0"/>
            </w:pPr>
          </w:p>
          <w:p w14:paraId="7B02E65F" w14:textId="44DA1872" w:rsidR="00154C78" w:rsidRPr="003D294A" w:rsidRDefault="00154C78" w:rsidP="00CF7B47">
            <w:pPr>
              <w:pStyle w:val="COMTabletext"/>
              <w:keepNext w:val="0"/>
            </w:pPr>
            <w:r w:rsidRPr="003D294A">
              <w:t>There was inadequate documentation of the methodology used to derive the mortality adjustment factor.</w:t>
            </w:r>
          </w:p>
          <w:p w14:paraId="2A64CE70" w14:textId="77777777" w:rsidR="00802E68" w:rsidRPr="003D294A" w:rsidRDefault="00802E68" w:rsidP="00CF7B47">
            <w:pPr>
              <w:pStyle w:val="COMTabletext"/>
              <w:keepNext w:val="0"/>
            </w:pPr>
          </w:p>
          <w:p w14:paraId="1A2A0444" w14:textId="305D9D2B" w:rsidR="0021233B" w:rsidRPr="003D294A" w:rsidRDefault="0069437F" w:rsidP="00CF7B47">
            <w:pPr>
              <w:pStyle w:val="COMTabletext"/>
              <w:keepNext w:val="0"/>
            </w:pPr>
            <w:r w:rsidRPr="003D294A">
              <w:t>The Sub-Committees commented that the age range of patients included in these studies</w:t>
            </w:r>
            <w:r w:rsidR="0021233B" w:rsidRPr="003D294A">
              <w:t xml:space="preserve"> was unclear </w:t>
            </w:r>
            <w:r w:rsidR="002A7C99">
              <w:t>and therefor</w:t>
            </w:r>
            <w:r w:rsidR="002A6893">
              <w:t>e</w:t>
            </w:r>
            <w:r w:rsidR="002A7C99">
              <w:t xml:space="preserve"> it was unclear </w:t>
            </w:r>
            <w:r w:rsidR="0021233B" w:rsidRPr="003D294A">
              <w:t xml:space="preserve">whether applying the estimates only to the Australian population aged ≥12 years was appropriate. </w:t>
            </w:r>
          </w:p>
          <w:p w14:paraId="7143AABF" w14:textId="7DE89D0F" w:rsidR="0069437F" w:rsidRPr="003D294A" w:rsidRDefault="0069437F" w:rsidP="00CF7B47">
            <w:pPr>
              <w:pStyle w:val="COMTabletext"/>
              <w:keepNext w:val="0"/>
            </w:pPr>
          </w:p>
          <w:p w14:paraId="696BCED1" w14:textId="2BD2D0FB" w:rsidR="00802E68" w:rsidRPr="003D294A" w:rsidRDefault="0021233B" w:rsidP="00CF7B47">
            <w:pPr>
              <w:pStyle w:val="COMTabletext"/>
              <w:keepNext w:val="0"/>
              <w:rPr>
                <w:i/>
                <w:iCs/>
              </w:rPr>
            </w:pPr>
            <w:r w:rsidRPr="003D294A">
              <w:t>The PSCR provided additional detail with regards to the mortality adjustment. The Sub-Committees considered that application of a mortality adjustment appeared reasonable but considered that it was still unclear how this was calculated.</w:t>
            </w:r>
          </w:p>
        </w:tc>
      </w:tr>
      <w:tr w:rsidR="00154C78" w:rsidRPr="003D294A" w14:paraId="1FD552AA" w14:textId="77777777">
        <w:tc>
          <w:tcPr>
            <w:tcW w:w="719" w:type="pct"/>
            <w:vAlign w:val="center"/>
          </w:tcPr>
          <w:p w14:paraId="17B7295A" w14:textId="77777777" w:rsidR="00154C78" w:rsidRPr="003D294A" w:rsidRDefault="00154C78" w:rsidP="00CF7B47">
            <w:pPr>
              <w:pStyle w:val="COMTabletext"/>
              <w:keepNext w:val="0"/>
            </w:pPr>
            <w:r w:rsidRPr="003D294A">
              <w:t>Diagnosis rate (C3G and IC</w:t>
            </w:r>
            <w:r w:rsidRPr="003D294A">
              <w:noBreakHyphen/>
              <w:t>MPGN)</w:t>
            </w:r>
          </w:p>
        </w:tc>
        <w:tc>
          <w:tcPr>
            <w:tcW w:w="765" w:type="pct"/>
            <w:vAlign w:val="center"/>
          </w:tcPr>
          <w:p w14:paraId="68BA1DEF" w14:textId="77777777" w:rsidR="00154C78" w:rsidRPr="003D294A" w:rsidRDefault="00154C78" w:rsidP="00CF7B47">
            <w:pPr>
              <w:pStyle w:val="COMTabletext"/>
              <w:keepNext w:val="0"/>
            </w:pPr>
            <w:r w:rsidRPr="003D294A">
              <w:t>Yr 1-2: 52.50%</w:t>
            </w:r>
          </w:p>
          <w:p w14:paraId="471B5B86" w14:textId="77777777" w:rsidR="00154C78" w:rsidRPr="003D294A" w:rsidRDefault="00154C78" w:rsidP="00CF7B47">
            <w:pPr>
              <w:pStyle w:val="COMTabletext"/>
              <w:keepNext w:val="0"/>
            </w:pPr>
            <w:r w:rsidRPr="003D294A">
              <w:t>Yr 3-4: 63.75%</w:t>
            </w:r>
          </w:p>
          <w:p w14:paraId="7F930DA0" w14:textId="77777777" w:rsidR="00154C78" w:rsidRPr="003D294A" w:rsidRDefault="00154C78" w:rsidP="00CF7B47">
            <w:pPr>
              <w:pStyle w:val="COMTabletext"/>
              <w:keepNext w:val="0"/>
            </w:pPr>
            <w:r w:rsidRPr="003D294A">
              <w:t>Yr 5-6: 71.25%</w:t>
            </w:r>
          </w:p>
        </w:tc>
        <w:tc>
          <w:tcPr>
            <w:tcW w:w="1758" w:type="pct"/>
            <w:vAlign w:val="center"/>
          </w:tcPr>
          <w:p w14:paraId="477EAD2F" w14:textId="77777777" w:rsidR="00154C78" w:rsidRPr="003D294A" w:rsidRDefault="00154C78" w:rsidP="00CF7B47">
            <w:pPr>
              <w:pStyle w:val="COMTabletext"/>
              <w:keepNext w:val="0"/>
            </w:pPr>
            <w:r w:rsidRPr="003D294A">
              <w:t>Assumption; the submission argued that the proportion of patients who are diagnosed would increase over time due to improvements in clinical awareness, biopsy access, and complement testing.</w:t>
            </w:r>
          </w:p>
        </w:tc>
        <w:tc>
          <w:tcPr>
            <w:tcW w:w="1758" w:type="pct"/>
            <w:vAlign w:val="center"/>
          </w:tcPr>
          <w:p w14:paraId="0AA0836A" w14:textId="77777777" w:rsidR="00154C78" w:rsidRPr="003D294A" w:rsidRDefault="00154C78" w:rsidP="00CF7B47">
            <w:pPr>
              <w:pStyle w:val="COMTabletext"/>
              <w:keepNext w:val="0"/>
            </w:pPr>
            <w:r w:rsidRPr="003D294A">
              <w:t>The adjustment of the prevalent population to account for the diagnosis rate was not appropriate, as the prevalence estimates would already reflect the rates of diagnosis for C3G and IC-MPGN. Higher disease detection rates due to clinical awareness, biopsy access, and complement testing would result in an increase in the underlying disease prevalence rates.</w:t>
            </w:r>
          </w:p>
          <w:p w14:paraId="61C6B9DE" w14:textId="00675BD5" w:rsidR="00C26F5C" w:rsidRPr="003D294A" w:rsidRDefault="00C26F5C" w:rsidP="00CF7B47">
            <w:pPr>
              <w:pStyle w:val="COMTabletext"/>
              <w:keepNext w:val="0"/>
              <w:rPr>
                <w:i/>
                <w:iCs/>
              </w:rPr>
            </w:pPr>
            <w:r w:rsidRPr="003D294A">
              <w:lastRenderedPageBreak/>
              <w:t xml:space="preserve">The </w:t>
            </w:r>
            <w:r w:rsidR="00CA1A09" w:rsidRPr="003D294A">
              <w:t>Sub-Committees</w:t>
            </w:r>
            <w:r w:rsidR="00BA2119" w:rsidRPr="003D294A">
              <w:t xml:space="preserve"> </w:t>
            </w:r>
            <w:r w:rsidR="00356119" w:rsidRPr="003D294A">
              <w:t xml:space="preserve">agreed with the commentary and </w:t>
            </w:r>
            <w:r w:rsidRPr="003D294A">
              <w:t xml:space="preserve">considered this </w:t>
            </w:r>
            <w:r w:rsidR="00B0094B" w:rsidRPr="003D294A">
              <w:t>parameter</w:t>
            </w:r>
            <w:r w:rsidRPr="003D294A">
              <w:t xml:space="preserve"> </w:t>
            </w:r>
            <w:r w:rsidR="00503D98" w:rsidRPr="003D294A">
              <w:t xml:space="preserve">should </w:t>
            </w:r>
            <w:r w:rsidRPr="003D294A">
              <w:t xml:space="preserve">be removed from the financial </w:t>
            </w:r>
            <w:r w:rsidR="00B0094B" w:rsidRPr="003D294A">
              <w:t>estimates</w:t>
            </w:r>
            <w:r w:rsidR="00503D98" w:rsidRPr="003D294A">
              <w:t>.</w:t>
            </w:r>
            <w:r w:rsidR="00795982" w:rsidRPr="003D294A">
              <w:rPr>
                <w:i/>
                <w:iCs/>
              </w:rPr>
              <w:t xml:space="preserve"> </w:t>
            </w:r>
          </w:p>
        </w:tc>
      </w:tr>
      <w:tr w:rsidR="00154C78" w:rsidRPr="003D294A" w14:paraId="5EBB2BC1" w14:textId="77777777">
        <w:tc>
          <w:tcPr>
            <w:tcW w:w="719" w:type="pct"/>
            <w:vAlign w:val="center"/>
          </w:tcPr>
          <w:p w14:paraId="55D11581" w14:textId="77777777" w:rsidR="00154C78" w:rsidRPr="003D294A" w:rsidRDefault="00154C78" w:rsidP="00CF7B47">
            <w:pPr>
              <w:pStyle w:val="COMTabletext"/>
              <w:keepNext w:val="0"/>
            </w:pPr>
            <w:r w:rsidRPr="003D294A">
              <w:lastRenderedPageBreak/>
              <w:t>Proportion with subclinical disease (C3G and IC</w:t>
            </w:r>
            <w:r w:rsidRPr="003D294A">
              <w:noBreakHyphen/>
              <w:t>MPGN)</w:t>
            </w:r>
          </w:p>
        </w:tc>
        <w:tc>
          <w:tcPr>
            <w:tcW w:w="765" w:type="pct"/>
            <w:vAlign w:val="center"/>
          </w:tcPr>
          <w:p w14:paraId="5132D638" w14:textId="77777777" w:rsidR="00154C78" w:rsidRPr="003D294A" w:rsidRDefault="00154C78" w:rsidP="00CF7B47">
            <w:pPr>
              <w:pStyle w:val="COMTabletext"/>
              <w:keepNext w:val="0"/>
            </w:pPr>
            <w:r w:rsidRPr="003D294A">
              <w:t>15%</w:t>
            </w:r>
          </w:p>
        </w:tc>
        <w:tc>
          <w:tcPr>
            <w:tcW w:w="1758" w:type="pct"/>
            <w:vAlign w:val="center"/>
          </w:tcPr>
          <w:p w14:paraId="265112D0" w14:textId="77777777" w:rsidR="00154C78" w:rsidRPr="003D294A" w:rsidRDefault="00154C78" w:rsidP="00CF7B47">
            <w:pPr>
              <w:pStyle w:val="COMTabletext"/>
              <w:keepNext w:val="0"/>
            </w:pPr>
            <w:r w:rsidRPr="003D294A">
              <w:t>Assumption; the submission argued that patients with subclinical disease are unlikely to present with symptoms and would only be diagnosed incidentally. The 15% adjustment was applied to the assumed diagnosis rate.</w:t>
            </w:r>
          </w:p>
        </w:tc>
        <w:tc>
          <w:tcPr>
            <w:tcW w:w="1758" w:type="pct"/>
            <w:vAlign w:val="center"/>
          </w:tcPr>
          <w:p w14:paraId="5342C125" w14:textId="77777777" w:rsidR="00154C78" w:rsidRPr="003D294A" w:rsidRDefault="00154C78" w:rsidP="00CF7B47">
            <w:pPr>
              <w:pStyle w:val="COMTabletext"/>
              <w:keepNext w:val="0"/>
            </w:pPr>
            <w:r w:rsidRPr="003D294A">
              <w:t>This assumption did not appear reasonable given that patients with subclinical disease are unlikely to undergo a renal biopsy, which is required for diagnosis of C3G and IC-MPGN, and the proportion of patients that are managed with standard care alone would already be accounted for in the assumed pegcetacoplan uptake rates. The proposed restriction does not include any requirements relating to disease severity (e.g., a minimum level of proteinuria).</w:t>
            </w:r>
          </w:p>
          <w:p w14:paraId="0F4B81B1" w14:textId="326EB249" w:rsidR="00C038FB" w:rsidRPr="003D294A" w:rsidRDefault="00C038FB" w:rsidP="00CF7B47">
            <w:pPr>
              <w:pStyle w:val="COMTabletext"/>
              <w:keepNext w:val="0"/>
            </w:pPr>
            <w:r w:rsidRPr="003D294A">
              <w:t xml:space="preserve">The </w:t>
            </w:r>
            <w:r w:rsidR="00CA1A09" w:rsidRPr="003D294A">
              <w:t>Sub-Committees</w:t>
            </w:r>
            <w:r w:rsidR="00142223" w:rsidRPr="003D294A">
              <w:t xml:space="preserve"> agreed with the commentary and</w:t>
            </w:r>
            <w:r w:rsidRPr="003D294A">
              <w:t xml:space="preserve"> considered this parameter </w:t>
            </w:r>
            <w:r w:rsidR="00AB5B88" w:rsidRPr="003D294A">
              <w:t xml:space="preserve">should </w:t>
            </w:r>
            <w:r w:rsidRPr="003D294A">
              <w:t>be removed from the financial estimates</w:t>
            </w:r>
            <w:r w:rsidR="00142223" w:rsidRPr="003D294A">
              <w:t xml:space="preserve">. </w:t>
            </w:r>
          </w:p>
        </w:tc>
      </w:tr>
      <w:tr w:rsidR="00154C78" w:rsidRPr="003D294A" w14:paraId="4FCD2AA2" w14:textId="77777777">
        <w:tc>
          <w:tcPr>
            <w:tcW w:w="719" w:type="pct"/>
            <w:vAlign w:val="center"/>
          </w:tcPr>
          <w:p w14:paraId="4D8A7DC1" w14:textId="77777777" w:rsidR="00154C78" w:rsidRPr="003D294A" w:rsidRDefault="00154C78" w:rsidP="00CF7B47">
            <w:pPr>
              <w:pStyle w:val="COMTabletext"/>
              <w:keepNext w:val="0"/>
            </w:pPr>
            <w:r w:rsidRPr="003D294A">
              <w:t>Proportion not in Stage 5 CKD (C3G and IC</w:t>
            </w:r>
            <w:r w:rsidRPr="003D294A">
              <w:noBreakHyphen/>
              <w:t>MPGN)</w:t>
            </w:r>
          </w:p>
        </w:tc>
        <w:tc>
          <w:tcPr>
            <w:tcW w:w="765" w:type="pct"/>
            <w:vAlign w:val="center"/>
          </w:tcPr>
          <w:p w14:paraId="55072B81" w14:textId="77777777" w:rsidR="00154C78" w:rsidRPr="003D294A" w:rsidRDefault="00154C78" w:rsidP="00CF7B47">
            <w:pPr>
              <w:pStyle w:val="COMTabletext"/>
              <w:keepNext w:val="0"/>
            </w:pPr>
            <w:r w:rsidRPr="003D294A">
              <w:t>60%</w:t>
            </w:r>
          </w:p>
        </w:tc>
        <w:tc>
          <w:tcPr>
            <w:tcW w:w="1758" w:type="pct"/>
            <w:vAlign w:val="center"/>
          </w:tcPr>
          <w:p w14:paraId="0F1CDE44" w14:textId="77777777" w:rsidR="00154C78" w:rsidRPr="003D294A" w:rsidRDefault="00154C78" w:rsidP="00CF7B47">
            <w:pPr>
              <w:pStyle w:val="COMTabletext"/>
            </w:pPr>
            <w:r w:rsidRPr="003D294A">
              <w:t>The submission stated that the proportion was derived from Sinha (2025). Sinha (2025) conducted a cross-sectional survey of nephrologists actively managing C3G (N=195) and their patients (N=385) in France, Germany, Italy, Spain, the UK, the US, China, and Japan, conducted in 2023.</w:t>
            </w:r>
          </w:p>
          <w:p w14:paraId="6187877B" w14:textId="77777777" w:rsidR="00154C78" w:rsidRPr="003D294A" w:rsidRDefault="00154C78" w:rsidP="00CF7B47">
            <w:pPr>
              <w:pStyle w:val="COMTabletext"/>
              <w:keepNext w:val="0"/>
            </w:pPr>
          </w:p>
        </w:tc>
        <w:tc>
          <w:tcPr>
            <w:tcW w:w="1758" w:type="pct"/>
            <w:vAlign w:val="center"/>
          </w:tcPr>
          <w:p w14:paraId="27655D0A" w14:textId="38440E9B" w:rsidR="00154C78" w:rsidRPr="003D294A" w:rsidRDefault="00154C78" w:rsidP="00CF7B47">
            <w:pPr>
              <w:pStyle w:val="COMTabletext"/>
              <w:keepNext w:val="0"/>
            </w:pPr>
            <w:bookmarkStart w:id="62" w:name="_Hlk218865818"/>
            <w:r w:rsidRPr="003D294A">
              <w:t xml:space="preserve">The underlying source of the estimate </w:t>
            </w:r>
            <w:r w:rsidR="00E363D7" w:rsidRPr="003D294A">
              <w:t xml:space="preserve">applied </w:t>
            </w:r>
            <w:r w:rsidRPr="003D294A">
              <w:t>was unclear.</w:t>
            </w:r>
            <w:bookmarkEnd w:id="62"/>
            <w:r w:rsidRPr="003D294A">
              <w:t xml:space="preserve"> In the Sinha publication, 8.3% of patients were reported to be receiving dialysis, 13.7% were reported to have an eGFR of 15-29 mL/min/1.73 m</w:t>
            </w:r>
            <w:r w:rsidRPr="003D294A">
              <w:rPr>
                <w:vertAlign w:val="superscript"/>
              </w:rPr>
              <w:t>2</w:t>
            </w:r>
            <w:r w:rsidRPr="003D294A">
              <w:t>, and 6.7% were reported to have an eGFR of &lt;15 mL/min/1.73 m</w:t>
            </w:r>
            <w:r w:rsidRPr="003D294A">
              <w:rPr>
                <w:vertAlign w:val="superscript"/>
              </w:rPr>
              <w:t>2</w:t>
            </w:r>
            <w:r w:rsidRPr="003D294A">
              <w:t xml:space="preserve"> at the time of completing the survey</w:t>
            </w:r>
            <w:r w:rsidR="00942960" w:rsidRPr="003D294A">
              <w:t xml:space="preserve"> (i.e. 20.4% </w:t>
            </w:r>
            <w:r w:rsidR="006D6591" w:rsidRPr="003D294A">
              <w:t>were stage 4 or 5 CKD).</w:t>
            </w:r>
            <w:r w:rsidR="00CF7B47">
              <w:rPr>
                <w:i/>
                <w:iCs/>
              </w:rPr>
              <w:t xml:space="preserve"> </w:t>
            </w:r>
          </w:p>
          <w:p w14:paraId="06B656F9" w14:textId="77777777" w:rsidR="00154C78" w:rsidRPr="003D294A" w:rsidRDefault="00154C78" w:rsidP="00CF7B47">
            <w:pPr>
              <w:pStyle w:val="COMTabletext"/>
              <w:keepNext w:val="0"/>
            </w:pPr>
          </w:p>
          <w:p w14:paraId="1C3340F6" w14:textId="77777777" w:rsidR="00154C78" w:rsidRPr="003D294A" w:rsidRDefault="00154C78" w:rsidP="00CF7B47">
            <w:pPr>
              <w:pStyle w:val="COMTabletext"/>
              <w:keepNext w:val="0"/>
            </w:pPr>
            <w:r w:rsidRPr="003D294A">
              <w:t xml:space="preserve">A proportion of patients with Stage 5 CKD will receive a kidney transplant and may subsequently become eligible for treatment pegcetacoplan. </w:t>
            </w:r>
          </w:p>
          <w:p w14:paraId="754FE12D" w14:textId="77777777" w:rsidR="00154C78" w:rsidRPr="003D294A" w:rsidRDefault="00154C78" w:rsidP="00CF7B47">
            <w:pPr>
              <w:pStyle w:val="COMTabletext"/>
              <w:keepNext w:val="0"/>
            </w:pPr>
          </w:p>
          <w:p w14:paraId="04B2BA9D" w14:textId="77777777" w:rsidR="00154C78" w:rsidRPr="003D294A" w:rsidRDefault="00154C78" w:rsidP="00CF7B47">
            <w:pPr>
              <w:pStyle w:val="COMTabletext"/>
              <w:keepNext w:val="0"/>
            </w:pPr>
            <w:r w:rsidRPr="003D294A">
              <w:t>If treatment with pegcetacoplan results in stabilisation of renal function (and an associated delay in progression to dialysis), a higher proportion of patients will remain eligible for continuing treatment with pegcetacoplan over time.</w:t>
            </w:r>
          </w:p>
          <w:p w14:paraId="3023097A" w14:textId="77777777" w:rsidR="00795982" w:rsidRPr="003D294A" w:rsidRDefault="00795982" w:rsidP="00CF7B47">
            <w:pPr>
              <w:pStyle w:val="COMTabletext"/>
              <w:keepNext w:val="0"/>
            </w:pPr>
          </w:p>
          <w:p w14:paraId="01E9BD1B" w14:textId="2C922C04" w:rsidR="00095B17" w:rsidRPr="003D294A" w:rsidRDefault="00795982" w:rsidP="00CF7B47">
            <w:pPr>
              <w:pStyle w:val="COMTabletext"/>
              <w:keepNext w:val="0"/>
            </w:pPr>
            <w:r w:rsidRPr="003D294A">
              <w:lastRenderedPageBreak/>
              <w:t xml:space="preserve">The </w:t>
            </w:r>
            <w:r w:rsidR="00CA1A09" w:rsidRPr="003D294A">
              <w:t>Sub-</w:t>
            </w:r>
            <w:r w:rsidR="007D4990" w:rsidRPr="003D294A">
              <w:t>C</w:t>
            </w:r>
            <w:r w:rsidR="00CA1A09" w:rsidRPr="003D294A">
              <w:t>ommittees</w:t>
            </w:r>
            <w:r w:rsidRPr="003D294A">
              <w:t xml:space="preserve"> considered it uncertain how this parameter </w:t>
            </w:r>
            <w:r w:rsidR="00677969" w:rsidRPr="003D294A">
              <w:t xml:space="preserve">(60%) </w:t>
            </w:r>
            <w:r w:rsidRPr="003D294A">
              <w:t>was der</w:t>
            </w:r>
            <w:r w:rsidR="0024210B" w:rsidRPr="003D294A">
              <w:t>ived.</w:t>
            </w:r>
            <w:r w:rsidR="00C261CB" w:rsidRPr="003D294A">
              <w:t xml:space="preserve"> The </w:t>
            </w:r>
            <w:r w:rsidR="00CA1A09" w:rsidRPr="003D294A">
              <w:t>Sub-Committees</w:t>
            </w:r>
            <w:r w:rsidR="00C261CB" w:rsidRPr="003D294A">
              <w:t xml:space="preserve"> noted the proposed restriction excludes </w:t>
            </w:r>
            <w:r w:rsidR="00FB0DF4" w:rsidRPr="003D294A">
              <w:t xml:space="preserve">initiation of </w:t>
            </w:r>
            <w:r w:rsidR="00C261CB" w:rsidRPr="003D294A">
              <w:t xml:space="preserve">patients with </w:t>
            </w:r>
            <w:r w:rsidR="007601CC" w:rsidRPr="003D294A">
              <w:t>eGFR&lt;30 mL/min/1.73 m</w:t>
            </w:r>
            <w:r w:rsidR="007601CC" w:rsidRPr="003D294A">
              <w:rPr>
                <w:vertAlign w:val="superscript"/>
              </w:rPr>
              <w:t>2</w:t>
            </w:r>
            <w:r w:rsidR="007601CC" w:rsidRPr="003D294A">
              <w:t xml:space="preserve"> i.e. Stages 4 or 5 CKD, while the financial estimate</w:t>
            </w:r>
            <w:r w:rsidR="00F23D2B" w:rsidRPr="003D294A">
              <w:t>s</w:t>
            </w:r>
            <w:r w:rsidR="007601CC" w:rsidRPr="003D294A">
              <w:t xml:space="preserve"> only </w:t>
            </w:r>
            <w:r w:rsidR="005F6507" w:rsidRPr="003D294A">
              <w:t>exclude</w:t>
            </w:r>
            <w:r w:rsidR="007601CC" w:rsidRPr="003D294A">
              <w:t xml:space="preserve"> </w:t>
            </w:r>
            <w:r w:rsidR="005F6507" w:rsidRPr="003D294A">
              <w:t>patients with</w:t>
            </w:r>
            <w:r w:rsidR="007601CC" w:rsidRPr="003D294A">
              <w:t xml:space="preserve"> Stage </w:t>
            </w:r>
            <w:r w:rsidR="002F7EF2" w:rsidRPr="003D294A">
              <w:t>5</w:t>
            </w:r>
            <w:r w:rsidR="007601CC" w:rsidRPr="003D294A">
              <w:t xml:space="preserve"> CKD.</w:t>
            </w:r>
            <w:r w:rsidR="00CF7B47">
              <w:t xml:space="preserve"> </w:t>
            </w:r>
            <w:r w:rsidR="00095B17" w:rsidRPr="003D294A">
              <w:t xml:space="preserve">The </w:t>
            </w:r>
            <w:r w:rsidR="00CA1A09" w:rsidRPr="003D294A">
              <w:t>Sub-Committees</w:t>
            </w:r>
            <w:r w:rsidR="00095B17" w:rsidRPr="003D294A">
              <w:t xml:space="preserve"> </w:t>
            </w:r>
            <w:r w:rsidR="00B53CC6" w:rsidRPr="003D294A">
              <w:t xml:space="preserve">noted in Sinha 2025, </w:t>
            </w:r>
            <w:r w:rsidR="003F160F" w:rsidRPr="003D294A">
              <w:t xml:space="preserve">20.4% of patients </w:t>
            </w:r>
            <w:r w:rsidR="00C17534" w:rsidRPr="003D294A">
              <w:t>were reported with</w:t>
            </w:r>
            <w:r w:rsidR="002D065F" w:rsidRPr="003D294A">
              <w:t xml:space="preserve"> Stage 4 or 5 CKD</w:t>
            </w:r>
            <w:r w:rsidR="007A4965" w:rsidRPr="003D294A">
              <w:t xml:space="preserve">, which would also include </w:t>
            </w:r>
            <w:r w:rsidR="00592BD7" w:rsidRPr="003D294A">
              <w:t>patients receiving dialysis</w:t>
            </w:r>
            <w:r w:rsidR="0016160F" w:rsidRPr="003D294A">
              <w:t xml:space="preserve">. The </w:t>
            </w:r>
            <w:r w:rsidR="00CA1A09" w:rsidRPr="003D294A">
              <w:t>Sub-Committees</w:t>
            </w:r>
            <w:r w:rsidR="0016160F" w:rsidRPr="003D294A">
              <w:t xml:space="preserve"> considered this parameter </w:t>
            </w:r>
            <w:r w:rsidR="00095B17" w:rsidRPr="003D294A">
              <w:t>be revi</w:t>
            </w:r>
            <w:r w:rsidR="002D065F" w:rsidRPr="003D294A">
              <w:t>s</w:t>
            </w:r>
            <w:r w:rsidR="00095B17" w:rsidRPr="003D294A">
              <w:t>ed to 79.6%.</w:t>
            </w:r>
          </w:p>
          <w:p w14:paraId="147E63F3" w14:textId="4BFA0D80" w:rsidR="00761009" w:rsidRPr="003D294A" w:rsidRDefault="00E23996" w:rsidP="00CF7B47">
            <w:pPr>
              <w:pStyle w:val="COMTabletext"/>
              <w:keepNext w:val="0"/>
              <w:rPr>
                <w:i/>
                <w:iCs/>
              </w:rPr>
            </w:pPr>
            <w:r w:rsidRPr="003D294A">
              <w:t>Additionally, t</w:t>
            </w:r>
            <w:r w:rsidR="00761009" w:rsidRPr="003D294A">
              <w:t xml:space="preserve">he </w:t>
            </w:r>
            <w:r w:rsidR="00CA1A09" w:rsidRPr="003D294A">
              <w:t>Sub-Committees</w:t>
            </w:r>
            <w:r w:rsidR="00761009" w:rsidRPr="003D294A">
              <w:t xml:space="preserve"> </w:t>
            </w:r>
            <w:r w:rsidRPr="003D294A">
              <w:t>considered</w:t>
            </w:r>
            <w:r w:rsidR="00761009" w:rsidRPr="003D294A">
              <w:t xml:space="preserve"> </w:t>
            </w:r>
            <w:r w:rsidR="00411A4E" w:rsidRPr="003D294A">
              <w:t>th</w:t>
            </w:r>
            <w:r w:rsidR="00E777CA" w:rsidRPr="003D294A">
              <w:t xml:space="preserve">is </w:t>
            </w:r>
            <w:r w:rsidR="00391DAF" w:rsidRPr="003D294A">
              <w:t>eligible population</w:t>
            </w:r>
            <w:r w:rsidR="00E777CA" w:rsidRPr="003D294A">
              <w:t xml:space="preserve"> </w:t>
            </w:r>
            <w:r w:rsidR="002178C1" w:rsidRPr="003D294A">
              <w:t>may</w:t>
            </w:r>
            <w:r w:rsidR="00E777CA" w:rsidRPr="003D294A">
              <w:t xml:space="preserve"> decrease if </w:t>
            </w:r>
            <w:r w:rsidR="001865E4" w:rsidRPr="003D294A">
              <w:t xml:space="preserve">a </w:t>
            </w:r>
            <w:r w:rsidR="00A679ED" w:rsidRPr="003D294A">
              <w:t>criterion for</w:t>
            </w:r>
            <w:r w:rsidR="001865E4" w:rsidRPr="003D294A">
              <w:t xml:space="preserve"> proteinuria was included </w:t>
            </w:r>
            <w:r w:rsidR="00200B35" w:rsidRPr="003D294A">
              <w:t>in the restriction.</w:t>
            </w:r>
            <w:r w:rsidR="00200B35" w:rsidRPr="003D294A">
              <w:rPr>
                <w:i/>
                <w:iCs/>
              </w:rPr>
              <w:t xml:space="preserve"> </w:t>
            </w:r>
          </w:p>
        </w:tc>
      </w:tr>
      <w:tr w:rsidR="00154C78" w:rsidRPr="003D294A" w14:paraId="0A48385D" w14:textId="77777777">
        <w:tc>
          <w:tcPr>
            <w:tcW w:w="719" w:type="pct"/>
            <w:vAlign w:val="center"/>
          </w:tcPr>
          <w:p w14:paraId="0CE95C07" w14:textId="77777777" w:rsidR="00154C78" w:rsidRPr="003D294A" w:rsidRDefault="00154C78" w:rsidP="00CF7B47">
            <w:pPr>
              <w:pStyle w:val="COMTabletext"/>
              <w:keepNext w:val="0"/>
            </w:pPr>
            <w:r w:rsidRPr="003D294A">
              <w:lastRenderedPageBreak/>
              <w:t>Grandfathered patients</w:t>
            </w:r>
          </w:p>
        </w:tc>
        <w:tc>
          <w:tcPr>
            <w:tcW w:w="765" w:type="pct"/>
            <w:vAlign w:val="center"/>
          </w:tcPr>
          <w:p w14:paraId="6F7C1D7B" w14:textId="2C0D5BF7" w:rsidR="00154C78" w:rsidRPr="003D294A" w:rsidRDefault="006449AB" w:rsidP="00CF7B47">
            <w:pPr>
              <w:pStyle w:val="COMTabletext"/>
              <w:keepNext w:val="0"/>
            </w:pPr>
            <w:r w:rsidRPr="006449AB">
              <w:t xml:space="preserve"> </w:t>
            </w:r>
            <w:r w:rsidRPr="006449AB">
              <w:rPr>
                <w:sz w:val="2"/>
                <w:highlight w:val="black"/>
              </w:rPr>
              <w:t>redacted content</w:t>
            </w:r>
            <w:r w:rsidR="00455302">
              <w:rPr>
                <w:vertAlign w:val="superscript"/>
              </w:rPr>
              <w:t>1</w:t>
            </w:r>
            <w:r w:rsidR="00154C78" w:rsidRPr="003D294A">
              <w:t xml:space="preserve"> patients</w:t>
            </w:r>
          </w:p>
        </w:tc>
        <w:tc>
          <w:tcPr>
            <w:tcW w:w="1758" w:type="pct"/>
            <w:vAlign w:val="center"/>
          </w:tcPr>
          <w:p w14:paraId="0783E695" w14:textId="3A3534A9" w:rsidR="00154C78" w:rsidRPr="003D294A" w:rsidRDefault="00154C78" w:rsidP="00CF7B47">
            <w:pPr>
              <w:pStyle w:val="COMTabletext"/>
              <w:keepNext w:val="0"/>
            </w:pPr>
            <w:r w:rsidRPr="003D294A">
              <w:t xml:space="preserve">The submission estimated that up to </w:t>
            </w:r>
            <w:r w:rsidR="006449AB" w:rsidRPr="006449AB">
              <w:t xml:space="preserve"> </w:t>
            </w:r>
            <w:r w:rsidR="006449AB" w:rsidRPr="006449AB">
              <w:rPr>
                <w:sz w:val="2"/>
                <w:highlight w:val="black"/>
              </w:rPr>
              <w:t>redacted content</w:t>
            </w:r>
            <w:r w:rsidR="00455302">
              <w:rPr>
                <w:vertAlign w:val="superscript"/>
              </w:rPr>
              <w:t>1</w:t>
            </w:r>
            <w:r w:rsidRPr="003D294A">
              <w:t xml:space="preserve"> patients will be receiving pegcetacoplan for C3G and IC-MPGN through clinical trials or compassionate access at the time of PBS listing. Grandfathered patients were assumed to be accounted for in the prevalent patient estimates.</w:t>
            </w:r>
          </w:p>
        </w:tc>
        <w:tc>
          <w:tcPr>
            <w:tcW w:w="1758" w:type="pct"/>
            <w:vAlign w:val="center"/>
          </w:tcPr>
          <w:p w14:paraId="6A318F02" w14:textId="77777777" w:rsidR="00154C78" w:rsidRPr="003D294A" w:rsidRDefault="00154C78" w:rsidP="00CF7B47">
            <w:pPr>
              <w:pStyle w:val="COMTabletext"/>
              <w:keepNext w:val="0"/>
            </w:pPr>
            <w:r w:rsidRPr="003D294A">
              <w:t>This appears reasonable.</w:t>
            </w:r>
          </w:p>
        </w:tc>
      </w:tr>
      <w:tr w:rsidR="00154C78" w:rsidRPr="003D294A" w14:paraId="168BADC9" w14:textId="77777777">
        <w:tc>
          <w:tcPr>
            <w:tcW w:w="5000" w:type="pct"/>
            <w:gridSpan w:val="4"/>
            <w:vAlign w:val="center"/>
          </w:tcPr>
          <w:p w14:paraId="0FA70C33" w14:textId="77777777" w:rsidR="00154C78" w:rsidRPr="003D294A" w:rsidRDefault="00154C78" w:rsidP="00CF7B47">
            <w:pPr>
              <w:pStyle w:val="COMTableheadingrow"/>
              <w:keepNext w:val="0"/>
            </w:pPr>
            <w:r w:rsidRPr="003D294A">
              <w:t>Treatment utilisation</w:t>
            </w:r>
          </w:p>
        </w:tc>
      </w:tr>
      <w:tr w:rsidR="00154C78" w:rsidRPr="003D294A" w14:paraId="2057D725" w14:textId="77777777">
        <w:tc>
          <w:tcPr>
            <w:tcW w:w="719" w:type="pct"/>
            <w:vAlign w:val="center"/>
          </w:tcPr>
          <w:p w14:paraId="0796C6C6" w14:textId="77777777" w:rsidR="00154C78" w:rsidRPr="003D294A" w:rsidRDefault="00154C78" w:rsidP="00CF7B47">
            <w:pPr>
              <w:pStyle w:val="COMTabletext"/>
              <w:keepNext w:val="0"/>
            </w:pPr>
            <w:r w:rsidRPr="003D294A">
              <w:t>Uptake rate (C3G and IC</w:t>
            </w:r>
            <w:r w:rsidRPr="003D294A">
              <w:noBreakHyphen/>
              <w:t>MPGN)</w:t>
            </w:r>
          </w:p>
        </w:tc>
        <w:tc>
          <w:tcPr>
            <w:tcW w:w="765" w:type="pct"/>
            <w:vAlign w:val="center"/>
          </w:tcPr>
          <w:p w14:paraId="3E5449BC" w14:textId="6964811F" w:rsidR="00154C78" w:rsidRPr="003D294A" w:rsidRDefault="00154C78" w:rsidP="00CF7B47">
            <w:pPr>
              <w:pStyle w:val="COMTabletext"/>
              <w:keepNext w:val="0"/>
            </w:pPr>
            <w:r w:rsidRPr="003D294A">
              <w:t xml:space="preserve">Yr 1: </w:t>
            </w:r>
            <w:r w:rsidR="006449AB" w:rsidRPr="006449AB">
              <w:t xml:space="preserve"> </w:t>
            </w:r>
            <w:r w:rsidR="006449AB" w:rsidRPr="006449AB">
              <w:rPr>
                <w:sz w:val="2"/>
                <w:highlight w:val="black"/>
              </w:rPr>
              <w:t>redacted content</w:t>
            </w:r>
            <w:r w:rsidRPr="003D294A">
              <w:t>%</w:t>
            </w:r>
          </w:p>
          <w:p w14:paraId="429D86CA" w14:textId="40572A79" w:rsidR="00154C78" w:rsidRPr="003D294A" w:rsidRDefault="00154C78" w:rsidP="00CF7B47">
            <w:pPr>
              <w:pStyle w:val="COMTabletext"/>
              <w:keepNext w:val="0"/>
            </w:pPr>
            <w:r w:rsidRPr="003D294A">
              <w:t xml:space="preserve">Yr 2: </w:t>
            </w:r>
            <w:r w:rsidR="006449AB" w:rsidRPr="006449AB">
              <w:t xml:space="preserve"> </w:t>
            </w:r>
            <w:r w:rsidR="006449AB" w:rsidRPr="006449AB">
              <w:rPr>
                <w:sz w:val="2"/>
                <w:highlight w:val="black"/>
              </w:rPr>
              <w:t>redacted content</w:t>
            </w:r>
            <w:r w:rsidRPr="003D294A">
              <w:t>%</w:t>
            </w:r>
          </w:p>
          <w:p w14:paraId="3048D6E4" w14:textId="42C490EB" w:rsidR="00154C78" w:rsidRPr="003D294A" w:rsidRDefault="00154C78" w:rsidP="00CF7B47">
            <w:pPr>
              <w:pStyle w:val="COMTabletext"/>
              <w:keepNext w:val="0"/>
            </w:pPr>
            <w:r w:rsidRPr="003D294A">
              <w:t xml:space="preserve">Yr 3: </w:t>
            </w:r>
            <w:r w:rsidR="006449AB" w:rsidRPr="006449AB">
              <w:t xml:space="preserve"> </w:t>
            </w:r>
            <w:r w:rsidR="006449AB" w:rsidRPr="006449AB">
              <w:rPr>
                <w:sz w:val="2"/>
                <w:highlight w:val="black"/>
              </w:rPr>
              <w:t>redacted content</w:t>
            </w:r>
            <w:r w:rsidRPr="003D294A">
              <w:t>%</w:t>
            </w:r>
          </w:p>
          <w:p w14:paraId="7568A4B1" w14:textId="1B2E89D7" w:rsidR="00154C78" w:rsidRPr="003D294A" w:rsidRDefault="00154C78" w:rsidP="00CF7B47">
            <w:pPr>
              <w:pStyle w:val="COMTabletext"/>
              <w:keepNext w:val="0"/>
            </w:pPr>
            <w:r w:rsidRPr="003D294A">
              <w:t xml:space="preserve">Yr 4: </w:t>
            </w:r>
            <w:r w:rsidR="006449AB" w:rsidRPr="006449AB">
              <w:t xml:space="preserve"> </w:t>
            </w:r>
            <w:r w:rsidR="006449AB" w:rsidRPr="006449AB">
              <w:rPr>
                <w:sz w:val="2"/>
                <w:highlight w:val="black"/>
              </w:rPr>
              <w:t>redacted content</w:t>
            </w:r>
            <w:r w:rsidRPr="003D294A">
              <w:t>%</w:t>
            </w:r>
          </w:p>
          <w:p w14:paraId="4A831F86" w14:textId="11103E44" w:rsidR="00154C78" w:rsidRPr="003D294A" w:rsidRDefault="00154C78" w:rsidP="00CF7B47">
            <w:pPr>
              <w:pStyle w:val="COMTabletext"/>
              <w:keepNext w:val="0"/>
            </w:pPr>
            <w:r w:rsidRPr="003D294A">
              <w:t xml:space="preserve">Yr 5: </w:t>
            </w:r>
            <w:r w:rsidR="006449AB" w:rsidRPr="006449AB">
              <w:t xml:space="preserve"> </w:t>
            </w:r>
            <w:r w:rsidR="006449AB" w:rsidRPr="006449AB">
              <w:rPr>
                <w:sz w:val="2"/>
                <w:highlight w:val="black"/>
              </w:rPr>
              <w:t>redacted content</w:t>
            </w:r>
            <w:r w:rsidRPr="003D294A">
              <w:t>%</w:t>
            </w:r>
          </w:p>
          <w:p w14:paraId="235D3006" w14:textId="00471B6B" w:rsidR="00154C78" w:rsidRPr="003D294A" w:rsidRDefault="00154C78" w:rsidP="00CF7B47">
            <w:pPr>
              <w:pStyle w:val="COMTabletext"/>
              <w:keepNext w:val="0"/>
            </w:pPr>
            <w:r w:rsidRPr="003D294A">
              <w:t xml:space="preserve">Yr 6: </w:t>
            </w:r>
            <w:r w:rsidR="006449AB" w:rsidRPr="006449AB">
              <w:t xml:space="preserve"> </w:t>
            </w:r>
            <w:r w:rsidR="006449AB" w:rsidRPr="006449AB">
              <w:rPr>
                <w:sz w:val="2"/>
                <w:highlight w:val="black"/>
              </w:rPr>
              <w:t>redacted content</w:t>
            </w:r>
            <w:r w:rsidRPr="003D294A">
              <w:t>%</w:t>
            </w:r>
          </w:p>
        </w:tc>
        <w:tc>
          <w:tcPr>
            <w:tcW w:w="1758" w:type="pct"/>
            <w:vAlign w:val="center"/>
          </w:tcPr>
          <w:p w14:paraId="49080F93" w14:textId="77777777" w:rsidR="00154C78" w:rsidRPr="003D294A" w:rsidRDefault="00154C78" w:rsidP="00CF7B47">
            <w:pPr>
              <w:pStyle w:val="COMTabletext"/>
              <w:keepNext w:val="0"/>
            </w:pPr>
            <w:r w:rsidRPr="003D294A">
              <w:t>Assumption; the submission argued that the proportion of treated patients is expected to increase over time, with growing clinical experience and broader recognition of complement-mediated disease, and as clinicians become more confident in initiating treatment earlier in the disease course.</w:t>
            </w:r>
          </w:p>
        </w:tc>
        <w:tc>
          <w:tcPr>
            <w:tcW w:w="1758" w:type="pct"/>
            <w:vAlign w:val="center"/>
          </w:tcPr>
          <w:p w14:paraId="29E74C25" w14:textId="77777777" w:rsidR="00154C78" w:rsidRPr="003D294A" w:rsidRDefault="00154C78" w:rsidP="00CF7B47">
            <w:pPr>
              <w:pStyle w:val="COMTabletext"/>
              <w:keepNext w:val="0"/>
            </w:pPr>
            <w:r w:rsidRPr="003D294A">
              <w:t>The uptake rates were difficult to interpret due to the prevalence-based approach used to derive the financial estimates. While the uptake of pegcetacoplan is considered uncertain, it is likely to be higher than estimated in the initial years of listing given there are no other complement inhibitors listed on the PBS for the treatment of C3G or IC</w:t>
            </w:r>
            <w:r w:rsidRPr="003D294A">
              <w:noBreakHyphen/>
              <w:t xml:space="preserve">MPGN. </w:t>
            </w:r>
          </w:p>
          <w:p w14:paraId="52EE3B5B" w14:textId="53FBF7E4" w:rsidR="002A5677" w:rsidRPr="003D294A" w:rsidRDefault="002A5677" w:rsidP="00CF7B47">
            <w:pPr>
              <w:pStyle w:val="COMTabletext"/>
              <w:keepNext w:val="0"/>
            </w:pPr>
            <w:r w:rsidRPr="003D294A">
              <w:t>T</w:t>
            </w:r>
            <w:r w:rsidR="002705D8" w:rsidRPr="003D294A">
              <w:t>he PSCR argued</w:t>
            </w:r>
            <w:r w:rsidR="00882CDE" w:rsidRPr="003D294A">
              <w:t>,</w:t>
            </w:r>
            <w:r w:rsidR="002705D8" w:rsidRPr="003D294A">
              <w:t xml:space="preserve"> </w:t>
            </w:r>
            <w:r w:rsidR="00882CDE" w:rsidRPr="003D294A">
              <w:t>“</w:t>
            </w:r>
            <w:r w:rsidR="002705D8" w:rsidRPr="003D294A">
              <w:t>the uptake</w:t>
            </w:r>
            <w:r w:rsidR="00A167A3" w:rsidRPr="003D294A">
              <w:t xml:space="preserve"> </w:t>
            </w:r>
            <w:r w:rsidR="00951CE4" w:rsidRPr="003D294A">
              <w:t xml:space="preserve">rate assumptions </w:t>
            </w:r>
            <w:r w:rsidR="00882CDE" w:rsidRPr="003D294A">
              <w:t>are intended to reflect nephrologist experience and initial uncertainty related to clinician adoption</w:t>
            </w:r>
            <w:r w:rsidR="006B2D98" w:rsidRPr="003D294A">
              <w:t>.</w:t>
            </w:r>
            <w:r w:rsidR="00C33E49" w:rsidRPr="003D294A">
              <w:t>”</w:t>
            </w:r>
          </w:p>
          <w:p w14:paraId="554A597C" w14:textId="087F37AA" w:rsidR="000C23D6" w:rsidRPr="003D294A" w:rsidRDefault="000C23D6" w:rsidP="00CF7B47">
            <w:pPr>
              <w:pStyle w:val="COMTabletext"/>
              <w:keepNext w:val="0"/>
            </w:pPr>
            <w:r w:rsidRPr="003D294A">
              <w:t xml:space="preserve">The </w:t>
            </w:r>
            <w:r w:rsidR="00CA1A09" w:rsidRPr="003D294A">
              <w:t>Sub-Committees</w:t>
            </w:r>
            <w:r w:rsidRPr="003D294A">
              <w:t xml:space="preserve"> </w:t>
            </w:r>
            <w:r w:rsidR="00532335" w:rsidRPr="003D294A">
              <w:t xml:space="preserve">agreed with the commentary </w:t>
            </w:r>
            <w:r w:rsidR="00DA368F" w:rsidRPr="003D294A">
              <w:t xml:space="preserve">that uptake rates are likely to be underestimated </w:t>
            </w:r>
            <w:r w:rsidR="00532335" w:rsidRPr="003D294A">
              <w:t xml:space="preserve">and </w:t>
            </w:r>
            <w:r w:rsidR="00816BE6" w:rsidRPr="003D294A">
              <w:t>considered</w:t>
            </w:r>
            <w:r w:rsidR="00134C50" w:rsidRPr="003D294A">
              <w:t xml:space="preserve"> uptake rates be revised to </w:t>
            </w:r>
            <w:r w:rsidR="00AC5CD3" w:rsidRPr="003D294A">
              <w:t xml:space="preserve">80% in Years 1 and 2 and 90% in Years 3-6. </w:t>
            </w:r>
          </w:p>
        </w:tc>
      </w:tr>
      <w:tr w:rsidR="00154C78" w:rsidRPr="003D294A" w14:paraId="3DD2E544" w14:textId="77777777">
        <w:tc>
          <w:tcPr>
            <w:tcW w:w="719" w:type="pct"/>
            <w:vAlign w:val="center"/>
          </w:tcPr>
          <w:p w14:paraId="64E56BE6" w14:textId="77777777" w:rsidR="00154C78" w:rsidRPr="003D294A" w:rsidRDefault="00154C78" w:rsidP="00CF7B47">
            <w:pPr>
              <w:pStyle w:val="COMTabletext"/>
              <w:keepNext w:val="0"/>
            </w:pPr>
            <w:r w:rsidRPr="003D294A">
              <w:t>Proportion continuing treatment (C3G and IC-MPGN)</w:t>
            </w:r>
          </w:p>
        </w:tc>
        <w:tc>
          <w:tcPr>
            <w:tcW w:w="765" w:type="pct"/>
            <w:vAlign w:val="center"/>
          </w:tcPr>
          <w:p w14:paraId="50693F01" w14:textId="77777777" w:rsidR="00154C78" w:rsidRPr="003D294A" w:rsidRDefault="00154C78" w:rsidP="00CF7B47">
            <w:pPr>
              <w:pStyle w:val="COMTabletext"/>
              <w:keepNext w:val="0"/>
            </w:pPr>
            <w:r w:rsidRPr="003D294A">
              <w:t>80%</w:t>
            </w:r>
          </w:p>
        </w:tc>
        <w:tc>
          <w:tcPr>
            <w:tcW w:w="1758" w:type="pct"/>
            <w:vAlign w:val="center"/>
          </w:tcPr>
          <w:p w14:paraId="70A2EB24" w14:textId="77777777" w:rsidR="00154C78" w:rsidRPr="003D294A" w:rsidRDefault="00154C78" w:rsidP="00CF7B47">
            <w:pPr>
              <w:pStyle w:val="COMTabletext"/>
              <w:keepNext w:val="0"/>
            </w:pPr>
            <w:r w:rsidRPr="003D294A">
              <w:t>Assumption; based on the proposed continuing treatment restriction criteria and clinician feedback.</w:t>
            </w:r>
            <w:r w:rsidRPr="003D294A">
              <w:rPr>
                <w:i/>
                <w:iCs/>
              </w:rPr>
              <w:t xml:space="preserve"> </w:t>
            </w:r>
            <w:r w:rsidRPr="003D294A">
              <w:t xml:space="preserve">In each treatment year, all patients were assumed to receive 4 months of initial treatment with pegcetacoplan, and 80% of patients were assumed to receive 8 months of continuing treatment. </w:t>
            </w:r>
          </w:p>
        </w:tc>
        <w:tc>
          <w:tcPr>
            <w:tcW w:w="1758" w:type="pct"/>
            <w:vAlign w:val="center"/>
          </w:tcPr>
          <w:p w14:paraId="3523C5DB" w14:textId="77777777" w:rsidR="00154C78" w:rsidRPr="003D294A" w:rsidRDefault="00154C78" w:rsidP="00CF7B47">
            <w:pPr>
              <w:pStyle w:val="COMTabletext"/>
              <w:keepNext w:val="0"/>
            </w:pPr>
            <w:r w:rsidRPr="003D294A">
              <w:t xml:space="preserve">While the proposed restriction requires patients to have experienced a clinical improvement </w:t>
            </w:r>
            <w:proofErr w:type="gramStart"/>
            <w:r w:rsidRPr="003D294A">
              <w:t>as a result of</w:t>
            </w:r>
            <w:proofErr w:type="gramEnd"/>
            <w:r w:rsidRPr="003D294A">
              <w:t xml:space="preserve"> treatment with pegcetacoplan, no objective response measures are included, and it is unclear how this criterion will be interpreted in clinical practice.</w:t>
            </w:r>
          </w:p>
          <w:p w14:paraId="386A2D1D" w14:textId="77777777" w:rsidR="00154C78" w:rsidRPr="003D294A" w:rsidRDefault="00154C78" w:rsidP="00CF7B47">
            <w:pPr>
              <w:pStyle w:val="COMTabletext"/>
              <w:keepNext w:val="0"/>
            </w:pPr>
          </w:p>
          <w:p w14:paraId="5C51811C" w14:textId="10A7E8A1" w:rsidR="00154C78" w:rsidRPr="003D294A" w:rsidRDefault="00154C78" w:rsidP="00CF7B47">
            <w:pPr>
              <w:pStyle w:val="COMTabletext"/>
              <w:keepNext w:val="0"/>
            </w:pPr>
            <w:r w:rsidRPr="003D294A">
              <w:lastRenderedPageBreak/>
              <w:t>Due to the prevalence-based approach used to derive the financial estimates, it is unclear whether the implementation of this assumption in the budget impact model was reasonable</w:t>
            </w:r>
            <w:r w:rsidR="00D06132" w:rsidRPr="003D294A">
              <w:t xml:space="preserve"> as it applies to all patients in each year of the estimates.</w:t>
            </w:r>
          </w:p>
        </w:tc>
      </w:tr>
      <w:tr w:rsidR="00154C78" w:rsidRPr="003D294A" w14:paraId="7BD28F33" w14:textId="77777777">
        <w:tc>
          <w:tcPr>
            <w:tcW w:w="719" w:type="pct"/>
            <w:vAlign w:val="center"/>
          </w:tcPr>
          <w:p w14:paraId="5EB2303A" w14:textId="77777777" w:rsidR="00154C78" w:rsidRPr="003D294A" w:rsidRDefault="00154C78" w:rsidP="00CF7B47">
            <w:pPr>
              <w:pStyle w:val="COMTabletext"/>
              <w:keepNext w:val="0"/>
            </w:pPr>
            <w:r w:rsidRPr="003D294A">
              <w:lastRenderedPageBreak/>
              <w:t>Treatment persistence</w:t>
            </w:r>
          </w:p>
        </w:tc>
        <w:tc>
          <w:tcPr>
            <w:tcW w:w="765" w:type="pct"/>
            <w:vAlign w:val="center"/>
          </w:tcPr>
          <w:p w14:paraId="74F108B1" w14:textId="77777777" w:rsidR="00154C78" w:rsidRPr="003D294A" w:rsidRDefault="00154C78" w:rsidP="00CF7B47">
            <w:pPr>
              <w:pStyle w:val="COMTabletext"/>
              <w:keepNext w:val="0"/>
            </w:pPr>
            <w:r w:rsidRPr="003D294A">
              <w:t>90%</w:t>
            </w:r>
          </w:p>
        </w:tc>
        <w:tc>
          <w:tcPr>
            <w:tcW w:w="1758" w:type="pct"/>
            <w:vAlign w:val="center"/>
          </w:tcPr>
          <w:p w14:paraId="5DE77685" w14:textId="77777777" w:rsidR="00154C78" w:rsidRPr="003D294A" w:rsidRDefault="00154C78" w:rsidP="00CF7B47">
            <w:pPr>
              <w:pStyle w:val="COMTabletext"/>
              <w:keepNext w:val="0"/>
            </w:pPr>
            <w:r w:rsidRPr="003D294A">
              <w:t>Assumption; an additional adjustment for treatment persistence was applied to the duration of continuing treatment in each treatment year (90% × 8 months continuing treatment = 7.2 months).</w:t>
            </w:r>
          </w:p>
        </w:tc>
        <w:tc>
          <w:tcPr>
            <w:tcW w:w="1758" w:type="pct"/>
            <w:vAlign w:val="center"/>
          </w:tcPr>
          <w:p w14:paraId="13BAAEDA" w14:textId="77777777" w:rsidR="00154C78" w:rsidRPr="003D294A" w:rsidRDefault="00154C78" w:rsidP="00CF7B47">
            <w:pPr>
              <w:pStyle w:val="COMTabletext"/>
              <w:keepNext w:val="0"/>
            </w:pPr>
            <w:r w:rsidRPr="003D294A">
              <w:t>Due to the prevalence-based approach used to derive the financial estimates, it is unclear whether the implementation of this assumption in the budget impact model was reasonable.</w:t>
            </w:r>
          </w:p>
        </w:tc>
      </w:tr>
      <w:tr w:rsidR="00154C78" w:rsidRPr="003D294A" w14:paraId="3B892459" w14:textId="77777777">
        <w:tc>
          <w:tcPr>
            <w:tcW w:w="719" w:type="pct"/>
            <w:vAlign w:val="center"/>
          </w:tcPr>
          <w:p w14:paraId="57CC8599" w14:textId="77777777" w:rsidR="00154C78" w:rsidRPr="003D294A" w:rsidRDefault="00154C78" w:rsidP="00CF7B47">
            <w:pPr>
              <w:pStyle w:val="COMTabletext"/>
              <w:keepNext w:val="0"/>
            </w:pPr>
            <w:r w:rsidRPr="003D294A">
              <w:t>Treatment adherence</w:t>
            </w:r>
          </w:p>
        </w:tc>
        <w:tc>
          <w:tcPr>
            <w:tcW w:w="765" w:type="pct"/>
            <w:vAlign w:val="center"/>
          </w:tcPr>
          <w:p w14:paraId="5C2E11FA" w14:textId="77777777" w:rsidR="00154C78" w:rsidRPr="003D294A" w:rsidRDefault="00154C78" w:rsidP="00CF7B47">
            <w:pPr>
              <w:pStyle w:val="COMTabletext"/>
              <w:keepNext w:val="0"/>
            </w:pPr>
            <w:r w:rsidRPr="003D294A">
              <w:t>90%</w:t>
            </w:r>
          </w:p>
        </w:tc>
        <w:tc>
          <w:tcPr>
            <w:tcW w:w="1758" w:type="pct"/>
            <w:vAlign w:val="center"/>
          </w:tcPr>
          <w:p w14:paraId="6E748407" w14:textId="77777777" w:rsidR="00154C78" w:rsidRPr="003D294A" w:rsidRDefault="00154C78" w:rsidP="00CF7B47">
            <w:pPr>
              <w:pStyle w:val="COMTabletext"/>
              <w:keepNext w:val="0"/>
            </w:pPr>
            <w:r w:rsidRPr="003D294A">
              <w:t>Assumption; the submission argued that treatment adherence for pegcetacoplan is expected to be consistent with real-world experience in chronic rare disease therapies requiring regular administration.</w:t>
            </w:r>
          </w:p>
        </w:tc>
        <w:tc>
          <w:tcPr>
            <w:tcW w:w="1758" w:type="pct"/>
            <w:vAlign w:val="center"/>
          </w:tcPr>
          <w:p w14:paraId="06F9E314" w14:textId="77777777" w:rsidR="00154C78" w:rsidRPr="003D294A" w:rsidRDefault="00154C78" w:rsidP="00CF7B47">
            <w:pPr>
              <w:pStyle w:val="COMTabletext"/>
              <w:keepNext w:val="0"/>
            </w:pPr>
            <w:r w:rsidRPr="003D294A">
              <w:t>No references to support the assumed treatment adherence rate were provided.</w:t>
            </w:r>
          </w:p>
        </w:tc>
      </w:tr>
      <w:tr w:rsidR="00154C78" w:rsidRPr="003D294A" w14:paraId="2F4BD0ED" w14:textId="77777777">
        <w:tc>
          <w:tcPr>
            <w:tcW w:w="5000" w:type="pct"/>
            <w:gridSpan w:val="4"/>
            <w:vAlign w:val="center"/>
          </w:tcPr>
          <w:p w14:paraId="17443902" w14:textId="77777777" w:rsidR="00154C78" w:rsidRPr="003D294A" w:rsidRDefault="00154C78" w:rsidP="00CF7B47">
            <w:pPr>
              <w:pStyle w:val="COMTableheadingrow"/>
              <w:keepNext w:val="0"/>
            </w:pPr>
            <w:r w:rsidRPr="003D294A">
              <w:t>Costs</w:t>
            </w:r>
          </w:p>
        </w:tc>
      </w:tr>
      <w:tr w:rsidR="00154C78" w:rsidRPr="003D294A" w14:paraId="40AF5958" w14:textId="77777777">
        <w:tc>
          <w:tcPr>
            <w:tcW w:w="719" w:type="pct"/>
            <w:vAlign w:val="center"/>
          </w:tcPr>
          <w:p w14:paraId="0A9AEDB7" w14:textId="77777777" w:rsidR="00154C78" w:rsidRPr="003D294A" w:rsidRDefault="00154C78" w:rsidP="00CF7B47">
            <w:pPr>
              <w:pStyle w:val="COMTabletext"/>
              <w:keepNext w:val="0"/>
            </w:pPr>
            <w:r w:rsidRPr="003D294A">
              <w:t>Pegcetacoplan</w:t>
            </w:r>
          </w:p>
        </w:tc>
        <w:tc>
          <w:tcPr>
            <w:tcW w:w="765" w:type="pct"/>
            <w:vAlign w:val="center"/>
          </w:tcPr>
          <w:p w14:paraId="749E423F" w14:textId="4AAD635C" w:rsidR="00154C78" w:rsidRPr="003D294A" w:rsidRDefault="006449AB" w:rsidP="00CF7B47">
            <w:pPr>
              <w:pStyle w:val="COMTabletext"/>
              <w:keepNext w:val="0"/>
            </w:pPr>
            <w:r w:rsidRPr="006449AB">
              <w:t>$</w:t>
            </w:r>
            <w:r w:rsidRPr="006449AB">
              <w:rPr>
                <w:sz w:val="2"/>
                <w:highlight w:val="black"/>
              </w:rPr>
              <w:t>redacted content</w:t>
            </w:r>
          </w:p>
        </w:tc>
        <w:tc>
          <w:tcPr>
            <w:tcW w:w="1758" w:type="pct"/>
            <w:vAlign w:val="center"/>
          </w:tcPr>
          <w:p w14:paraId="766050A3" w14:textId="77777777" w:rsidR="00154C78" w:rsidRPr="003D294A" w:rsidRDefault="00154C78" w:rsidP="00CF7B47">
            <w:pPr>
              <w:pStyle w:val="COMTabletext"/>
              <w:keepNext w:val="0"/>
            </w:pPr>
            <w:r w:rsidRPr="003D294A">
              <w:t>Proposed effective DPMQ (8 × 1,080 mg vials).</w:t>
            </w:r>
          </w:p>
        </w:tc>
        <w:tc>
          <w:tcPr>
            <w:tcW w:w="1758" w:type="pct"/>
            <w:vAlign w:val="center"/>
          </w:tcPr>
          <w:p w14:paraId="680270D4" w14:textId="77777777" w:rsidR="00154C78" w:rsidRPr="003D294A" w:rsidRDefault="00154C78" w:rsidP="00CF7B47">
            <w:pPr>
              <w:pStyle w:val="COMTabletext"/>
              <w:keepNext w:val="0"/>
              <w:jc w:val="center"/>
            </w:pPr>
            <w:r w:rsidRPr="003D294A">
              <w:t>-</w:t>
            </w:r>
          </w:p>
        </w:tc>
      </w:tr>
      <w:tr w:rsidR="00154C78" w:rsidRPr="003D294A" w14:paraId="495760A7" w14:textId="77777777">
        <w:tc>
          <w:tcPr>
            <w:tcW w:w="719" w:type="pct"/>
            <w:vAlign w:val="center"/>
          </w:tcPr>
          <w:p w14:paraId="22036721" w14:textId="77777777" w:rsidR="00154C78" w:rsidRPr="003D294A" w:rsidRDefault="00154C78" w:rsidP="00CF7B47">
            <w:pPr>
              <w:pStyle w:val="COMTabletext"/>
              <w:keepNext w:val="0"/>
            </w:pPr>
            <w:r w:rsidRPr="003D294A">
              <w:t>Public/private hospital split</w:t>
            </w:r>
          </w:p>
        </w:tc>
        <w:tc>
          <w:tcPr>
            <w:tcW w:w="765" w:type="pct"/>
            <w:vAlign w:val="center"/>
          </w:tcPr>
          <w:p w14:paraId="77980E83" w14:textId="77777777" w:rsidR="00154C78" w:rsidRPr="003D294A" w:rsidRDefault="00154C78" w:rsidP="00CF7B47">
            <w:pPr>
              <w:pStyle w:val="COMTabletext"/>
              <w:keepNext w:val="0"/>
            </w:pPr>
            <w:r w:rsidRPr="003D294A">
              <w:t>89.74%/10.26%</w:t>
            </w:r>
          </w:p>
        </w:tc>
        <w:tc>
          <w:tcPr>
            <w:tcW w:w="1758" w:type="pct"/>
            <w:vAlign w:val="center"/>
          </w:tcPr>
          <w:p w14:paraId="1F71BA44" w14:textId="77777777" w:rsidR="00154C78" w:rsidRPr="003D294A" w:rsidRDefault="00154C78" w:rsidP="00CF7B47">
            <w:pPr>
              <w:pStyle w:val="COMTabletext"/>
              <w:keepNext w:val="0"/>
            </w:pPr>
            <w:r w:rsidRPr="003D294A">
              <w:t>Based on dispensing data for PBS Items 13175K, 13180Q, 13185Y, 13191G, 13196M, 13197N (pegcetacoplan for the treatment of PNH) in calendar year 2024.</w:t>
            </w:r>
          </w:p>
        </w:tc>
        <w:tc>
          <w:tcPr>
            <w:tcW w:w="1758" w:type="pct"/>
            <w:vAlign w:val="center"/>
          </w:tcPr>
          <w:p w14:paraId="69039426" w14:textId="77777777" w:rsidR="00154C78" w:rsidRPr="003D294A" w:rsidRDefault="00154C78" w:rsidP="00CF7B47">
            <w:pPr>
              <w:pStyle w:val="COMTabletext"/>
              <w:keepNext w:val="0"/>
            </w:pPr>
            <w:r w:rsidRPr="003D294A">
              <w:t>In the absence of specific dispensing data for medicines used to treat CG3 and IC</w:t>
            </w:r>
            <w:r w:rsidRPr="003D294A">
              <w:noBreakHyphen/>
              <w:t xml:space="preserve">MPGN, this appears reasonable. </w:t>
            </w:r>
          </w:p>
        </w:tc>
      </w:tr>
      <w:tr w:rsidR="00154C78" w:rsidRPr="003D294A" w14:paraId="1B813086" w14:textId="77777777">
        <w:tc>
          <w:tcPr>
            <w:tcW w:w="719" w:type="pct"/>
            <w:vAlign w:val="center"/>
          </w:tcPr>
          <w:p w14:paraId="3823C142" w14:textId="77777777" w:rsidR="00154C78" w:rsidRPr="003D294A" w:rsidRDefault="00154C78" w:rsidP="00CF7B47">
            <w:pPr>
              <w:pStyle w:val="COMTabletext"/>
              <w:keepNext w:val="0"/>
            </w:pPr>
            <w:r w:rsidRPr="003D294A">
              <w:t>Patient copayment</w:t>
            </w:r>
          </w:p>
        </w:tc>
        <w:tc>
          <w:tcPr>
            <w:tcW w:w="765" w:type="pct"/>
            <w:vAlign w:val="center"/>
          </w:tcPr>
          <w:p w14:paraId="4EB9CB9B" w14:textId="77777777" w:rsidR="00154C78" w:rsidRPr="003D294A" w:rsidRDefault="00154C78" w:rsidP="00CF7B47">
            <w:pPr>
              <w:pStyle w:val="COMTabletext"/>
              <w:keepNext w:val="0"/>
            </w:pPr>
            <w:r w:rsidRPr="003D294A">
              <w:t>$19.46 per PBS script</w:t>
            </w:r>
          </w:p>
        </w:tc>
        <w:tc>
          <w:tcPr>
            <w:tcW w:w="1758" w:type="pct"/>
            <w:vAlign w:val="center"/>
          </w:tcPr>
          <w:p w14:paraId="48C4CFDA" w14:textId="77777777" w:rsidR="00154C78" w:rsidRPr="003D294A" w:rsidRDefault="00154C78" w:rsidP="00CF7B47">
            <w:pPr>
              <w:pStyle w:val="COMTabletext"/>
            </w:pPr>
            <w:r w:rsidRPr="003D294A">
              <w:t>Average PBS and RPBS copayments based on dispensing data for PBS Items 13175K, 13180Q, 13185Y, 13191G, 13196M, 13197N (pegcetacoplan for the treatment of PNH) in calendar year 2024.</w:t>
            </w:r>
          </w:p>
        </w:tc>
        <w:tc>
          <w:tcPr>
            <w:tcW w:w="1758" w:type="pct"/>
            <w:vAlign w:val="center"/>
          </w:tcPr>
          <w:p w14:paraId="4166B02B" w14:textId="77777777" w:rsidR="00154C78" w:rsidRPr="003D294A" w:rsidRDefault="00154C78" w:rsidP="00CF7B47">
            <w:pPr>
              <w:pStyle w:val="COMTabletext"/>
              <w:keepNext w:val="0"/>
            </w:pPr>
            <w:r w:rsidRPr="003D294A">
              <w:t>In the absence of specific dispensing data for medicines used to treat CG3 and IC</w:t>
            </w:r>
            <w:r w:rsidRPr="003D294A">
              <w:noBreakHyphen/>
              <w:t>MPGN, this appears reasonable. All pegcetacoplan scripts dispensed for PNH were PBS scripts.</w:t>
            </w:r>
          </w:p>
        </w:tc>
      </w:tr>
    </w:tbl>
    <w:p w14:paraId="0D9AB58C" w14:textId="77777777" w:rsidR="00F04BF8" w:rsidRPr="003D294A" w:rsidRDefault="00F04BF8" w:rsidP="00CF7B47">
      <w:pPr>
        <w:pStyle w:val="COMTablefooter"/>
      </w:pPr>
      <w:r w:rsidRPr="003D294A">
        <w:t>Source: Section 4, pp105-119 of the submission; Section 4 financial implications Excel workbook</w:t>
      </w:r>
    </w:p>
    <w:p w14:paraId="033370D6" w14:textId="77777777" w:rsidR="00F04BF8" w:rsidRDefault="00F04BF8" w:rsidP="00CF7B47">
      <w:pPr>
        <w:pStyle w:val="COMTablefooter"/>
      </w:pPr>
      <w:r w:rsidRPr="003D294A">
        <w:t>Abbreviations: C3G, C3 glomerulopathy; CKD, chronic kidney disease; eGFR, estimated glomerular filtration rate; IC-MPGN, immune-complex mediated membranoproliferative glomerulonephritis; UK, United Kingdom; US, United States; Yr, Year</w:t>
      </w:r>
    </w:p>
    <w:p w14:paraId="0FBBE808" w14:textId="77777777" w:rsidR="00455302" w:rsidRPr="00455302" w:rsidRDefault="00455302" w:rsidP="00455302">
      <w:pPr>
        <w:pStyle w:val="COMTablefooter"/>
        <w:rPr>
          <w:i/>
        </w:rPr>
      </w:pPr>
      <w:r w:rsidRPr="00455302">
        <w:rPr>
          <w:i/>
        </w:rPr>
        <w:t xml:space="preserve">The redacted values correspond to the following ranges: </w:t>
      </w:r>
    </w:p>
    <w:p w14:paraId="36C13820" w14:textId="6F2C0EF1" w:rsidR="00455302" w:rsidRPr="00455302" w:rsidRDefault="00455302" w:rsidP="00455302">
      <w:pPr>
        <w:pStyle w:val="COMTablefooter"/>
        <w:rPr>
          <w:i/>
        </w:rPr>
      </w:pPr>
      <w:r w:rsidRPr="00455302">
        <w:rPr>
          <w:i/>
          <w:vertAlign w:val="superscript"/>
        </w:rPr>
        <w:t>1</w:t>
      </w:r>
      <w:r w:rsidRPr="00455302">
        <w:rPr>
          <w:i/>
        </w:rPr>
        <w:t xml:space="preserve"> </w:t>
      </w:r>
      <w:r>
        <w:rPr>
          <w:i/>
        </w:rPr>
        <w:t>&lt; 500</w:t>
      </w:r>
    </w:p>
    <w:p w14:paraId="1200300F" w14:textId="77777777" w:rsidR="00455302" w:rsidRPr="003D294A" w:rsidRDefault="00455302" w:rsidP="00CF7B47">
      <w:pPr>
        <w:pStyle w:val="COMTablefooter"/>
        <w:rPr>
          <w:sz w:val="20"/>
        </w:rPr>
      </w:pPr>
    </w:p>
    <w:p w14:paraId="26FB6670" w14:textId="19D1AA37" w:rsidR="004A2C2C" w:rsidRDefault="00F04BF8" w:rsidP="00CF7B47">
      <w:pPr>
        <w:pStyle w:val="COMESnumberedpara"/>
      </w:pPr>
      <w:r w:rsidRPr="003D294A">
        <w:fldChar w:fldCharType="begin"/>
      </w:r>
      <w:r w:rsidRPr="003D294A">
        <w:instrText xml:space="preserve"> REF _Ref104805295 \h  \* MERGEFORMAT </w:instrText>
      </w:r>
      <w:r w:rsidRPr="003D294A">
        <w:fldChar w:fldCharType="separate"/>
      </w:r>
      <w:r w:rsidR="00632853" w:rsidRPr="003D294A">
        <w:t xml:space="preserve">Table </w:t>
      </w:r>
      <w:r w:rsidR="00632853">
        <w:t>17</w:t>
      </w:r>
      <w:r w:rsidRPr="003D294A">
        <w:fldChar w:fldCharType="end"/>
      </w:r>
      <w:r w:rsidRPr="003D294A">
        <w:t xml:space="preserve"> presents the estimated use and financial implications of listing pegcetacoplan on the PBS/RPBS for the treatment of C3G and primary IC-MPGN.</w:t>
      </w:r>
    </w:p>
    <w:p w14:paraId="1B7BC5D1" w14:textId="77777777" w:rsidR="004A2C2C" w:rsidRDefault="004A2C2C">
      <w:pPr>
        <w:jc w:val="left"/>
        <w:rPr>
          <w:rFonts w:asciiTheme="minorHAnsi" w:eastAsiaTheme="minorHAnsi" w:hAnsiTheme="minorHAnsi" w:cstheme="minorBidi"/>
          <w:szCs w:val="22"/>
        </w:rPr>
      </w:pPr>
      <w:r>
        <w:br w:type="page"/>
      </w:r>
    </w:p>
    <w:p w14:paraId="38EC053C" w14:textId="16275944" w:rsidR="00C25D9C" w:rsidRPr="003D294A" w:rsidRDefault="00E16AD8" w:rsidP="00CF7B47">
      <w:pPr>
        <w:pStyle w:val="COMTableFigurecaption"/>
      </w:pPr>
      <w:bookmarkStart w:id="63" w:name="_Ref104805295"/>
      <w:r w:rsidRPr="003D294A">
        <w:lastRenderedPageBreak/>
        <w:t xml:space="preserve">Table </w:t>
      </w:r>
      <w:fldSimple w:instr=" SEQ Table \* ARABIC ">
        <w:r w:rsidR="00632853">
          <w:rPr>
            <w:noProof/>
          </w:rPr>
          <w:t>17</w:t>
        </w:r>
      </w:fldSimple>
      <w:bookmarkEnd w:id="63"/>
      <w:r w:rsidRPr="003D294A">
        <w:t>:</w:t>
      </w:r>
      <w:r w:rsidR="002A2F50" w:rsidRPr="003D294A">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Pr>
      <w:tblGrid>
        <w:gridCol w:w="2529"/>
        <w:gridCol w:w="1080"/>
        <w:gridCol w:w="1082"/>
        <w:gridCol w:w="1080"/>
        <w:gridCol w:w="1082"/>
        <w:gridCol w:w="1080"/>
        <w:gridCol w:w="1084"/>
      </w:tblGrid>
      <w:tr w:rsidR="00F04BF8" w:rsidRPr="003D294A" w14:paraId="3439313C" w14:textId="77777777">
        <w:trPr>
          <w:tblHeader/>
        </w:trPr>
        <w:tc>
          <w:tcPr>
            <w:tcW w:w="1402" w:type="pct"/>
            <w:vAlign w:val="center"/>
          </w:tcPr>
          <w:p w14:paraId="23A36494" w14:textId="77777777" w:rsidR="00F04BF8" w:rsidRPr="003D294A" w:rsidRDefault="00F04BF8" w:rsidP="00CF7B47">
            <w:pPr>
              <w:pStyle w:val="COMTableheadingrow"/>
            </w:pPr>
          </w:p>
        </w:tc>
        <w:tc>
          <w:tcPr>
            <w:tcW w:w="599" w:type="pct"/>
            <w:vAlign w:val="center"/>
          </w:tcPr>
          <w:p w14:paraId="4E563FE1" w14:textId="77777777" w:rsidR="00F04BF8" w:rsidRPr="003D294A" w:rsidRDefault="00F04BF8" w:rsidP="00CF7B47">
            <w:pPr>
              <w:pStyle w:val="COMTableheadingrow"/>
              <w:jc w:val="center"/>
            </w:pPr>
            <w:r w:rsidRPr="003D294A">
              <w:t>Year 1</w:t>
            </w:r>
          </w:p>
        </w:tc>
        <w:tc>
          <w:tcPr>
            <w:tcW w:w="600" w:type="pct"/>
            <w:vAlign w:val="center"/>
          </w:tcPr>
          <w:p w14:paraId="5DDD8AD4" w14:textId="77777777" w:rsidR="00F04BF8" w:rsidRPr="003D294A" w:rsidRDefault="00F04BF8" w:rsidP="00CF7B47">
            <w:pPr>
              <w:pStyle w:val="COMTableheadingrow"/>
              <w:jc w:val="center"/>
            </w:pPr>
            <w:r w:rsidRPr="003D294A">
              <w:t>Year 2</w:t>
            </w:r>
          </w:p>
        </w:tc>
        <w:tc>
          <w:tcPr>
            <w:tcW w:w="599" w:type="pct"/>
            <w:vAlign w:val="center"/>
          </w:tcPr>
          <w:p w14:paraId="1723DD08" w14:textId="77777777" w:rsidR="00F04BF8" w:rsidRPr="003D294A" w:rsidRDefault="00F04BF8" w:rsidP="00CF7B47">
            <w:pPr>
              <w:pStyle w:val="COMTableheadingrow"/>
              <w:jc w:val="center"/>
            </w:pPr>
            <w:r w:rsidRPr="003D294A">
              <w:t>Year 3</w:t>
            </w:r>
          </w:p>
        </w:tc>
        <w:tc>
          <w:tcPr>
            <w:tcW w:w="600" w:type="pct"/>
            <w:vAlign w:val="center"/>
          </w:tcPr>
          <w:p w14:paraId="55E3329A" w14:textId="77777777" w:rsidR="00F04BF8" w:rsidRPr="003D294A" w:rsidRDefault="00F04BF8" w:rsidP="00CF7B47">
            <w:pPr>
              <w:pStyle w:val="COMTableheadingrow"/>
              <w:jc w:val="center"/>
            </w:pPr>
            <w:r w:rsidRPr="003D294A">
              <w:t>Year 4</w:t>
            </w:r>
          </w:p>
        </w:tc>
        <w:tc>
          <w:tcPr>
            <w:tcW w:w="599" w:type="pct"/>
            <w:vAlign w:val="center"/>
          </w:tcPr>
          <w:p w14:paraId="08192EB7" w14:textId="77777777" w:rsidR="00F04BF8" w:rsidRPr="003D294A" w:rsidRDefault="00F04BF8" w:rsidP="00CF7B47">
            <w:pPr>
              <w:pStyle w:val="COMTableheadingrow"/>
              <w:jc w:val="center"/>
            </w:pPr>
            <w:r w:rsidRPr="003D294A">
              <w:t>Year 5</w:t>
            </w:r>
          </w:p>
        </w:tc>
        <w:tc>
          <w:tcPr>
            <w:tcW w:w="600" w:type="pct"/>
          </w:tcPr>
          <w:p w14:paraId="4921E41E" w14:textId="77777777" w:rsidR="00F04BF8" w:rsidRPr="003D294A" w:rsidRDefault="00F04BF8" w:rsidP="00CF7B47">
            <w:pPr>
              <w:pStyle w:val="COMTableheadingrow"/>
              <w:jc w:val="center"/>
            </w:pPr>
            <w:r w:rsidRPr="003D294A">
              <w:t>Year 6</w:t>
            </w:r>
          </w:p>
        </w:tc>
      </w:tr>
      <w:tr w:rsidR="00F04BF8" w:rsidRPr="003D294A" w14:paraId="774407B5" w14:textId="77777777">
        <w:tc>
          <w:tcPr>
            <w:tcW w:w="5000" w:type="pct"/>
            <w:gridSpan w:val="7"/>
            <w:vAlign w:val="center"/>
          </w:tcPr>
          <w:p w14:paraId="11229893" w14:textId="77777777" w:rsidR="00F04BF8" w:rsidRPr="003D294A" w:rsidRDefault="00F04BF8" w:rsidP="00CF7B47">
            <w:pPr>
              <w:pStyle w:val="COMTabletext"/>
              <w:rPr>
                <w:b/>
                <w:bCs w:val="0"/>
                <w:szCs w:val="20"/>
              </w:rPr>
            </w:pPr>
            <w:r w:rsidRPr="003D294A">
              <w:rPr>
                <w:b/>
                <w:bCs w:val="0"/>
                <w:szCs w:val="20"/>
              </w:rPr>
              <w:t>Estimated extent of use</w:t>
            </w:r>
          </w:p>
        </w:tc>
      </w:tr>
      <w:tr w:rsidR="00F04BF8" w:rsidRPr="003D294A" w14:paraId="529D813D" w14:textId="77777777">
        <w:tc>
          <w:tcPr>
            <w:tcW w:w="1402" w:type="pct"/>
            <w:vAlign w:val="center"/>
          </w:tcPr>
          <w:p w14:paraId="07E88F76" w14:textId="77777777" w:rsidR="00F04BF8" w:rsidRPr="003D294A" w:rsidRDefault="00F04BF8" w:rsidP="00CF7B47">
            <w:pPr>
              <w:pStyle w:val="COMTabletext"/>
              <w:rPr>
                <w:rFonts w:ascii="Times" w:hAnsi="Times"/>
                <w:szCs w:val="20"/>
                <w:vertAlign w:val="superscript"/>
              </w:rPr>
            </w:pPr>
            <w:r w:rsidRPr="003D294A">
              <w:rPr>
                <w:szCs w:val="20"/>
              </w:rPr>
              <w:t xml:space="preserve">Number of patients treated </w:t>
            </w:r>
            <w:r w:rsidRPr="003D294A">
              <w:rPr>
                <w:szCs w:val="20"/>
                <w:vertAlign w:val="superscript"/>
              </w:rPr>
              <w:t>a</w:t>
            </w:r>
          </w:p>
        </w:tc>
        <w:tc>
          <w:tcPr>
            <w:tcW w:w="599" w:type="pct"/>
          </w:tcPr>
          <w:p w14:paraId="7FD45A23" w14:textId="74FB7BCD"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c>
          <w:tcPr>
            <w:tcW w:w="600" w:type="pct"/>
          </w:tcPr>
          <w:p w14:paraId="1092DA5E" w14:textId="3CB58AF6"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c>
          <w:tcPr>
            <w:tcW w:w="599" w:type="pct"/>
          </w:tcPr>
          <w:p w14:paraId="6CD0001E" w14:textId="0412DF6E"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c>
          <w:tcPr>
            <w:tcW w:w="600" w:type="pct"/>
          </w:tcPr>
          <w:p w14:paraId="02A1730B" w14:textId="4D67B5E0"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c>
          <w:tcPr>
            <w:tcW w:w="599" w:type="pct"/>
          </w:tcPr>
          <w:p w14:paraId="06C70F18" w14:textId="40A2CE7F"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c>
          <w:tcPr>
            <w:tcW w:w="600" w:type="pct"/>
          </w:tcPr>
          <w:p w14:paraId="1D9AB1A3" w14:textId="571C2C36"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r>
      <w:tr w:rsidR="00F04BF8" w:rsidRPr="003D294A" w14:paraId="38A55ACA" w14:textId="77777777">
        <w:tc>
          <w:tcPr>
            <w:tcW w:w="1402" w:type="pct"/>
            <w:vAlign w:val="center"/>
          </w:tcPr>
          <w:p w14:paraId="7F73D33E" w14:textId="77777777" w:rsidR="00F04BF8" w:rsidRPr="003D294A" w:rsidRDefault="00F04BF8" w:rsidP="00CF7B47">
            <w:pPr>
              <w:pStyle w:val="COMTabletext"/>
              <w:rPr>
                <w:rFonts w:ascii="Times" w:hAnsi="Times"/>
                <w:szCs w:val="20"/>
                <w:vertAlign w:val="superscript"/>
              </w:rPr>
            </w:pPr>
            <w:r w:rsidRPr="003D294A">
              <w:rPr>
                <w:szCs w:val="20"/>
              </w:rPr>
              <w:t xml:space="preserve">Number of scripts dispensed </w:t>
            </w:r>
            <w:r w:rsidRPr="003D294A">
              <w:rPr>
                <w:szCs w:val="20"/>
                <w:vertAlign w:val="superscript"/>
              </w:rPr>
              <w:t>b</w:t>
            </w:r>
          </w:p>
        </w:tc>
        <w:tc>
          <w:tcPr>
            <w:tcW w:w="599" w:type="pct"/>
          </w:tcPr>
          <w:p w14:paraId="197BDE06" w14:textId="16DA87FC"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1</w:t>
            </w:r>
          </w:p>
        </w:tc>
        <w:tc>
          <w:tcPr>
            <w:tcW w:w="600" w:type="pct"/>
          </w:tcPr>
          <w:p w14:paraId="40014041" w14:textId="7AECEA9B"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2</w:t>
            </w:r>
          </w:p>
        </w:tc>
        <w:tc>
          <w:tcPr>
            <w:tcW w:w="599" w:type="pct"/>
          </w:tcPr>
          <w:p w14:paraId="0B0AE0AC" w14:textId="5A830125"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2</w:t>
            </w:r>
          </w:p>
        </w:tc>
        <w:tc>
          <w:tcPr>
            <w:tcW w:w="600" w:type="pct"/>
          </w:tcPr>
          <w:p w14:paraId="3B59DEE8" w14:textId="373FA915"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2</w:t>
            </w:r>
          </w:p>
        </w:tc>
        <w:tc>
          <w:tcPr>
            <w:tcW w:w="599" w:type="pct"/>
          </w:tcPr>
          <w:p w14:paraId="01C93B82" w14:textId="4680AD2A"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2</w:t>
            </w:r>
          </w:p>
        </w:tc>
        <w:tc>
          <w:tcPr>
            <w:tcW w:w="600" w:type="pct"/>
          </w:tcPr>
          <w:p w14:paraId="1FFC99CF" w14:textId="35861F4A" w:rsidR="00F04BF8" w:rsidRPr="00455302" w:rsidRDefault="006449AB" w:rsidP="00CF7B47">
            <w:pPr>
              <w:pStyle w:val="COMTabletext"/>
              <w:jc w:val="center"/>
              <w:rPr>
                <w:color w:val="000000"/>
                <w:szCs w:val="20"/>
                <w:vertAlign w:val="superscript"/>
              </w:rPr>
            </w:pPr>
            <w:r w:rsidRPr="006449AB">
              <w:rPr>
                <w:szCs w:val="20"/>
              </w:rPr>
              <w:t xml:space="preserve"> </w:t>
            </w:r>
            <w:r w:rsidRPr="006449AB">
              <w:rPr>
                <w:sz w:val="2"/>
                <w:szCs w:val="20"/>
                <w:highlight w:val="black"/>
              </w:rPr>
              <w:t>redacted content</w:t>
            </w:r>
            <w:r w:rsidR="00455302">
              <w:rPr>
                <w:szCs w:val="20"/>
                <w:vertAlign w:val="superscript"/>
              </w:rPr>
              <w:t>2</w:t>
            </w:r>
          </w:p>
        </w:tc>
      </w:tr>
      <w:tr w:rsidR="00F04BF8" w:rsidRPr="003D294A" w14:paraId="149F1DDF" w14:textId="77777777">
        <w:tc>
          <w:tcPr>
            <w:tcW w:w="5000" w:type="pct"/>
            <w:gridSpan w:val="7"/>
            <w:vAlign w:val="center"/>
          </w:tcPr>
          <w:p w14:paraId="3A98D7E4" w14:textId="77777777" w:rsidR="00F04BF8" w:rsidRPr="003D294A" w:rsidRDefault="00F04BF8" w:rsidP="00CF7B47">
            <w:pPr>
              <w:pStyle w:val="COMTabletext"/>
              <w:rPr>
                <w:b/>
                <w:bCs w:val="0"/>
                <w:szCs w:val="20"/>
              </w:rPr>
            </w:pPr>
            <w:r w:rsidRPr="003D294A">
              <w:rPr>
                <w:b/>
                <w:bCs w:val="0"/>
                <w:szCs w:val="20"/>
              </w:rPr>
              <w:t>Estimated financial implications of pegcetacoplan</w:t>
            </w:r>
          </w:p>
        </w:tc>
      </w:tr>
      <w:tr w:rsidR="00F04BF8" w:rsidRPr="003D294A" w14:paraId="17964BB1" w14:textId="77777777">
        <w:tc>
          <w:tcPr>
            <w:tcW w:w="1402" w:type="pct"/>
            <w:vAlign w:val="center"/>
          </w:tcPr>
          <w:p w14:paraId="3749B7E6" w14:textId="77777777" w:rsidR="00F04BF8" w:rsidRPr="003D294A" w:rsidRDefault="00F04BF8" w:rsidP="00CF7B47">
            <w:pPr>
              <w:pStyle w:val="COMTabletext"/>
              <w:rPr>
                <w:szCs w:val="20"/>
              </w:rPr>
            </w:pPr>
            <w:r w:rsidRPr="003D294A">
              <w:rPr>
                <w:szCs w:val="20"/>
              </w:rPr>
              <w:t>Net cost to the PBS/RPBS</w:t>
            </w:r>
          </w:p>
        </w:tc>
        <w:tc>
          <w:tcPr>
            <w:tcW w:w="599" w:type="pct"/>
          </w:tcPr>
          <w:p w14:paraId="2220BBC3" w14:textId="1E8A9E8F" w:rsidR="00F04BF8" w:rsidRPr="00455302" w:rsidRDefault="006449AB" w:rsidP="00CF7B47">
            <w:pPr>
              <w:pStyle w:val="COMTabletext"/>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3</w:t>
            </w:r>
          </w:p>
        </w:tc>
        <w:tc>
          <w:tcPr>
            <w:tcW w:w="600" w:type="pct"/>
          </w:tcPr>
          <w:p w14:paraId="5CCFED12" w14:textId="3ABCF415" w:rsidR="00F04BF8" w:rsidRPr="00455302" w:rsidRDefault="006449AB" w:rsidP="00CF7B47">
            <w:pPr>
              <w:pStyle w:val="COMTabletext"/>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4</w:t>
            </w:r>
          </w:p>
        </w:tc>
        <w:tc>
          <w:tcPr>
            <w:tcW w:w="599" w:type="pct"/>
          </w:tcPr>
          <w:p w14:paraId="2FC6C573" w14:textId="775CA5E3" w:rsidR="00F04BF8" w:rsidRPr="00455302" w:rsidRDefault="006449AB" w:rsidP="00CF7B47">
            <w:pPr>
              <w:pStyle w:val="COMTabletext"/>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5</w:t>
            </w:r>
          </w:p>
        </w:tc>
        <w:tc>
          <w:tcPr>
            <w:tcW w:w="600" w:type="pct"/>
          </w:tcPr>
          <w:p w14:paraId="7791948E" w14:textId="2DEE780B" w:rsidR="00F04BF8" w:rsidRPr="00455302" w:rsidRDefault="006449AB" w:rsidP="00CF7B47">
            <w:pPr>
              <w:pStyle w:val="COMTabletext"/>
              <w:jc w:val="center"/>
              <w:rPr>
                <w:szCs w:val="20"/>
              </w:rPr>
            </w:pPr>
            <w:r w:rsidRPr="006449AB">
              <w:rPr>
                <w:szCs w:val="20"/>
              </w:rPr>
              <w:t>$</w:t>
            </w:r>
            <w:r w:rsidRPr="006449AB">
              <w:rPr>
                <w:sz w:val="2"/>
                <w:szCs w:val="20"/>
                <w:highlight w:val="black"/>
              </w:rPr>
              <w:t>redacted content</w:t>
            </w:r>
            <w:r w:rsidR="00455302">
              <w:rPr>
                <w:szCs w:val="20"/>
                <w:vertAlign w:val="superscript"/>
              </w:rPr>
              <w:t>6</w:t>
            </w:r>
          </w:p>
        </w:tc>
        <w:tc>
          <w:tcPr>
            <w:tcW w:w="599" w:type="pct"/>
          </w:tcPr>
          <w:p w14:paraId="26FD0C3D" w14:textId="3A0E81B8" w:rsidR="00F04BF8" w:rsidRPr="00455302" w:rsidRDefault="006449AB" w:rsidP="00CF7B47">
            <w:pPr>
              <w:pStyle w:val="COMTabletext"/>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7</w:t>
            </w:r>
          </w:p>
        </w:tc>
        <w:tc>
          <w:tcPr>
            <w:tcW w:w="600" w:type="pct"/>
          </w:tcPr>
          <w:p w14:paraId="54CB555A" w14:textId="044D5B6E" w:rsidR="00F04BF8" w:rsidRPr="00455302" w:rsidRDefault="006449AB" w:rsidP="00CF7B47">
            <w:pPr>
              <w:pStyle w:val="COMTabletext"/>
              <w:jc w:val="center"/>
              <w:rPr>
                <w:szCs w:val="20"/>
                <w:vertAlign w:val="superscript"/>
              </w:rPr>
            </w:pPr>
            <w:r w:rsidRPr="006449AB">
              <w:rPr>
                <w:szCs w:val="20"/>
              </w:rPr>
              <w:t>$</w:t>
            </w:r>
            <w:r w:rsidRPr="006449AB">
              <w:rPr>
                <w:sz w:val="2"/>
                <w:szCs w:val="20"/>
                <w:highlight w:val="black"/>
              </w:rPr>
              <w:t>redacted content</w:t>
            </w:r>
            <w:r w:rsidR="00455302">
              <w:rPr>
                <w:szCs w:val="20"/>
                <w:vertAlign w:val="superscript"/>
              </w:rPr>
              <w:t>7</w:t>
            </w:r>
          </w:p>
        </w:tc>
      </w:tr>
      <w:tr w:rsidR="00F04BF8" w:rsidRPr="003D294A" w14:paraId="126A4704" w14:textId="77777777">
        <w:tc>
          <w:tcPr>
            <w:tcW w:w="1402" w:type="pct"/>
            <w:vAlign w:val="center"/>
          </w:tcPr>
          <w:p w14:paraId="7BE291A6" w14:textId="77777777" w:rsidR="00F04BF8" w:rsidRPr="003D294A" w:rsidRDefault="00F04BF8" w:rsidP="00CF7B47">
            <w:pPr>
              <w:pStyle w:val="COMTabletext"/>
              <w:rPr>
                <w:rFonts w:ascii="Times" w:hAnsi="Times"/>
                <w:szCs w:val="20"/>
              </w:rPr>
            </w:pPr>
            <w:r w:rsidRPr="003D294A">
              <w:rPr>
                <w:szCs w:val="20"/>
              </w:rPr>
              <w:t>Net cost to MBS</w:t>
            </w:r>
          </w:p>
        </w:tc>
        <w:tc>
          <w:tcPr>
            <w:tcW w:w="599" w:type="pct"/>
            <w:vAlign w:val="center"/>
          </w:tcPr>
          <w:p w14:paraId="3DFA9107" w14:textId="77777777" w:rsidR="00F04BF8" w:rsidRPr="003D294A" w:rsidRDefault="00F04BF8" w:rsidP="00CF7B47">
            <w:pPr>
              <w:pStyle w:val="COMTabletext"/>
              <w:jc w:val="center"/>
              <w:rPr>
                <w:szCs w:val="20"/>
              </w:rPr>
            </w:pPr>
            <w:r w:rsidRPr="003D294A">
              <w:rPr>
                <w:szCs w:val="20"/>
              </w:rPr>
              <w:t>$0</w:t>
            </w:r>
          </w:p>
        </w:tc>
        <w:tc>
          <w:tcPr>
            <w:tcW w:w="600" w:type="pct"/>
            <w:vAlign w:val="center"/>
          </w:tcPr>
          <w:p w14:paraId="509A9FF8" w14:textId="77777777" w:rsidR="00F04BF8" w:rsidRPr="003D294A" w:rsidRDefault="00F04BF8" w:rsidP="00CF7B47">
            <w:pPr>
              <w:pStyle w:val="COMTabletext"/>
              <w:jc w:val="center"/>
              <w:rPr>
                <w:szCs w:val="20"/>
              </w:rPr>
            </w:pPr>
            <w:r w:rsidRPr="003D294A">
              <w:rPr>
                <w:szCs w:val="20"/>
              </w:rPr>
              <w:t>$0</w:t>
            </w:r>
          </w:p>
        </w:tc>
        <w:tc>
          <w:tcPr>
            <w:tcW w:w="599" w:type="pct"/>
            <w:vAlign w:val="center"/>
          </w:tcPr>
          <w:p w14:paraId="56F7D28C" w14:textId="77777777" w:rsidR="00F04BF8" w:rsidRPr="003D294A" w:rsidRDefault="00F04BF8" w:rsidP="00CF7B47">
            <w:pPr>
              <w:pStyle w:val="COMTabletext"/>
              <w:jc w:val="center"/>
              <w:rPr>
                <w:szCs w:val="20"/>
              </w:rPr>
            </w:pPr>
            <w:r w:rsidRPr="003D294A">
              <w:rPr>
                <w:szCs w:val="20"/>
              </w:rPr>
              <w:t>$0</w:t>
            </w:r>
          </w:p>
        </w:tc>
        <w:tc>
          <w:tcPr>
            <w:tcW w:w="600" w:type="pct"/>
            <w:vAlign w:val="center"/>
          </w:tcPr>
          <w:p w14:paraId="7C551C72" w14:textId="77777777" w:rsidR="00F04BF8" w:rsidRPr="003D294A" w:rsidRDefault="00F04BF8" w:rsidP="00CF7B47">
            <w:pPr>
              <w:pStyle w:val="COMTabletext"/>
              <w:jc w:val="center"/>
              <w:rPr>
                <w:szCs w:val="20"/>
              </w:rPr>
            </w:pPr>
            <w:r w:rsidRPr="003D294A">
              <w:rPr>
                <w:szCs w:val="20"/>
              </w:rPr>
              <w:t>$0</w:t>
            </w:r>
          </w:p>
        </w:tc>
        <w:tc>
          <w:tcPr>
            <w:tcW w:w="599" w:type="pct"/>
            <w:vAlign w:val="center"/>
          </w:tcPr>
          <w:p w14:paraId="68314E94" w14:textId="77777777" w:rsidR="00F04BF8" w:rsidRPr="003D294A" w:rsidRDefault="00F04BF8" w:rsidP="00CF7B47">
            <w:pPr>
              <w:pStyle w:val="COMTabletext"/>
              <w:jc w:val="center"/>
              <w:rPr>
                <w:szCs w:val="20"/>
              </w:rPr>
            </w:pPr>
            <w:r w:rsidRPr="003D294A">
              <w:rPr>
                <w:szCs w:val="20"/>
              </w:rPr>
              <w:t>$0</w:t>
            </w:r>
          </w:p>
        </w:tc>
        <w:tc>
          <w:tcPr>
            <w:tcW w:w="600" w:type="pct"/>
          </w:tcPr>
          <w:p w14:paraId="46A065B2" w14:textId="77777777" w:rsidR="00F04BF8" w:rsidRPr="003D294A" w:rsidRDefault="00F04BF8" w:rsidP="00CF7B47">
            <w:pPr>
              <w:pStyle w:val="COMTabletext"/>
              <w:jc w:val="center"/>
              <w:rPr>
                <w:szCs w:val="20"/>
              </w:rPr>
            </w:pPr>
            <w:r w:rsidRPr="003D294A">
              <w:rPr>
                <w:szCs w:val="20"/>
              </w:rPr>
              <w:t>$0</w:t>
            </w:r>
          </w:p>
        </w:tc>
      </w:tr>
      <w:tr w:rsidR="00F04BF8" w:rsidRPr="003D294A" w14:paraId="3FA354C7" w14:textId="77777777">
        <w:tc>
          <w:tcPr>
            <w:tcW w:w="1402" w:type="pct"/>
            <w:vAlign w:val="center"/>
          </w:tcPr>
          <w:p w14:paraId="123326C5" w14:textId="77777777" w:rsidR="00F04BF8" w:rsidRPr="003D294A" w:rsidRDefault="00F04BF8" w:rsidP="00CF7B47">
            <w:pPr>
              <w:pStyle w:val="COMTabletext"/>
              <w:rPr>
                <w:b/>
                <w:szCs w:val="20"/>
              </w:rPr>
            </w:pPr>
            <w:r w:rsidRPr="003D294A">
              <w:rPr>
                <w:b/>
                <w:szCs w:val="20"/>
              </w:rPr>
              <w:t>Net cost to the PBS/RPBS/MBS</w:t>
            </w:r>
          </w:p>
        </w:tc>
        <w:tc>
          <w:tcPr>
            <w:tcW w:w="599" w:type="pct"/>
          </w:tcPr>
          <w:p w14:paraId="4F62FD87" w14:textId="29D9D4AA" w:rsidR="00F04BF8" w:rsidRPr="00455302" w:rsidRDefault="006449AB" w:rsidP="00CF7B47">
            <w:pPr>
              <w:pStyle w:val="COMTabletext"/>
              <w:jc w:val="center"/>
              <w:rPr>
                <w:b/>
                <w:szCs w:val="20"/>
                <w:vertAlign w:val="superscript"/>
              </w:rPr>
            </w:pPr>
            <w:r w:rsidRPr="006449AB">
              <w:rPr>
                <w:b/>
                <w:szCs w:val="20"/>
              </w:rPr>
              <w:t>$</w:t>
            </w:r>
            <w:r w:rsidRPr="006449AB">
              <w:rPr>
                <w:b/>
                <w:sz w:val="2"/>
                <w:szCs w:val="20"/>
                <w:highlight w:val="black"/>
              </w:rPr>
              <w:t>redacted content</w:t>
            </w:r>
            <w:r w:rsidR="00455302">
              <w:rPr>
                <w:b/>
                <w:szCs w:val="20"/>
                <w:vertAlign w:val="superscript"/>
              </w:rPr>
              <w:t>3</w:t>
            </w:r>
          </w:p>
        </w:tc>
        <w:tc>
          <w:tcPr>
            <w:tcW w:w="600" w:type="pct"/>
          </w:tcPr>
          <w:p w14:paraId="23A4F318" w14:textId="0115C3F5" w:rsidR="00F04BF8" w:rsidRPr="00455302" w:rsidRDefault="006449AB" w:rsidP="00CF7B47">
            <w:pPr>
              <w:pStyle w:val="COMTabletext"/>
              <w:jc w:val="center"/>
              <w:rPr>
                <w:b/>
                <w:szCs w:val="20"/>
                <w:vertAlign w:val="superscript"/>
              </w:rPr>
            </w:pPr>
            <w:r w:rsidRPr="006449AB">
              <w:rPr>
                <w:b/>
                <w:szCs w:val="20"/>
              </w:rPr>
              <w:t>$</w:t>
            </w:r>
            <w:r w:rsidRPr="006449AB">
              <w:rPr>
                <w:b/>
                <w:sz w:val="2"/>
                <w:szCs w:val="20"/>
                <w:highlight w:val="black"/>
              </w:rPr>
              <w:t>redacted content</w:t>
            </w:r>
            <w:r w:rsidR="00455302">
              <w:rPr>
                <w:b/>
                <w:szCs w:val="20"/>
                <w:vertAlign w:val="superscript"/>
              </w:rPr>
              <w:t>4</w:t>
            </w:r>
          </w:p>
        </w:tc>
        <w:tc>
          <w:tcPr>
            <w:tcW w:w="599" w:type="pct"/>
          </w:tcPr>
          <w:p w14:paraId="0A0EAB66" w14:textId="3A1DFA62" w:rsidR="00F04BF8" w:rsidRPr="00455302" w:rsidRDefault="006449AB" w:rsidP="00CF7B47">
            <w:pPr>
              <w:pStyle w:val="COMTabletext"/>
              <w:jc w:val="center"/>
              <w:rPr>
                <w:b/>
                <w:szCs w:val="20"/>
                <w:vertAlign w:val="superscript"/>
              </w:rPr>
            </w:pPr>
            <w:r w:rsidRPr="006449AB">
              <w:rPr>
                <w:b/>
                <w:szCs w:val="20"/>
              </w:rPr>
              <w:t>$</w:t>
            </w:r>
            <w:r w:rsidRPr="006449AB">
              <w:rPr>
                <w:b/>
                <w:sz w:val="2"/>
                <w:szCs w:val="20"/>
                <w:highlight w:val="black"/>
              </w:rPr>
              <w:t>redacted content</w:t>
            </w:r>
            <w:r w:rsidR="00455302">
              <w:rPr>
                <w:b/>
                <w:szCs w:val="20"/>
                <w:vertAlign w:val="superscript"/>
              </w:rPr>
              <w:t>5</w:t>
            </w:r>
          </w:p>
        </w:tc>
        <w:tc>
          <w:tcPr>
            <w:tcW w:w="600" w:type="pct"/>
          </w:tcPr>
          <w:p w14:paraId="6FD22D10" w14:textId="52819BE1" w:rsidR="00F04BF8" w:rsidRPr="00455302" w:rsidRDefault="006449AB" w:rsidP="00CF7B47">
            <w:pPr>
              <w:pStyle w:val="COMTabletext"/>
              <w:jc w:val="center"/>
              <w:rPr>
                <w:b/>
                <w:szCs w:val="20"/>
                <w:vertAlign w:val="superscript"/>
              </w:rPr>
            </w:pPr>
            <w:r w:rsidRPr="006449AB">
              <w:rPr>
                <w:b/>
                <w:szCs w:val="20"/>
              </w:rPr>
              <w:t>$</w:t>
            </w:r>
            <w:r w:rsidRPr="006449AB">
              <w:rPr>
                <w:b/>
                <w:sz w:val="2"/>
                <w:szCs w:val="20"/>
                <w:highlight w:val="black"/>
              </w:rPr>
              <w:t>redacted content</w:t>
            </w:r>
            <w:r w:rsidR="00455302">
              <w:rPr>
                <w:b/>
                <w:szCs w:val="20"/>
                <w:vertAlign w:val="superscript"/>
              </w:rPr>
              <w:t>6</w:t>
            </w:r>
          </w:p>
        </w:tc>
        <w:tc>
          <w:tcPr>
            <w:tcW w:w="599" w:type="pct"/>
          </w:tcPr>
          <w:p w14:paraId="6D17A3D0" w14:textId="0143D9C0" w:rsidR="00F04BF8" w:rsidRPr="00455302" w:rsidRDefault="006449AB" w:rsidP="00CF7B47">
            <w:pPr>
              <w:pStyle w:val="COMTabletext"/>
              <w:jc w:val="center"/>
              <w:rPr>
                <w:b/>
                <w:szCs w:val="20"/>
                <w:vertAlign w:val="superscript"/>
              </w:rPr>
            </w:pPr>
            <w:r w:rsidRPr="006449AB">
              <w:rPr>
                <w:b/>
                <w:szCs w:val="20"/>
              </w:rPr>
              <w:t>$</w:t>
            </w:r>
            <w:r w:rsidRPr="006449AB">
              <w:rPr>
                <w:b/>
                <w:sz w:val="2"/>
                <w:szCs w:val="20"/>
                <w:highlight w:val="black"/>
              </w:rPr>
              <w:t>redacted content</w:t>
            </w:r>
            <w:r w:rsidR="00455302">
              <w:rPr>
                <w:b/>
                <w:szCs w:val="20"/>
                <w:vertAlign w:val="superscript"/>
              </w:rPr>
              <w:t>7</w:t>
            </w:r>
          </w:p>
        </w:tc>
        <w:tc>
          <w:tcPr>
            <w:tcW w:w="600" w:type="pct"/>
          </w:tcPr>
          <w:p w14:paraId="3EF45D12" w14:textId="1F18076A" w:rsidR="00F04BF8" w:rsidRPr="00455302" w:rsidRDefault="006449AB" w:rsidP="00CF7B47">
            <w:pPr>
              <w:pStyle w:val="COMTabletext"/>
              <w:jc w:val="center"/>
              <w:rPr>
                <w:b/>
                <w:szCs w:val="20"/>
                <w:vertAlign w:val="superscript"/>
              </w:rPr>
            </w:pPr>
            <w:r w:rsidRPr="006449AB">
              <w:rPr>
                <w:b/>
                <w:szCs w:val="20"/>
              </w:rPr>
              <w:t>$</w:t>
            </w:r>
            <w:r w:rsidRPr="006449AB">
              <w:rPr>
                <w:b/>
                <w:sz w:val="2"/>
                <w:szCs w:val="20"/>
                <w:highlight w:val="black"/>
              </w:rPr>
              <w:t>redacted content</w:t>
            </w:r>
            <w:r w:rsidR="00455302">
              <w:rPr>
                <w:b/>
                <w:szCs w:val="20"/>
                <w:vertAlign w:val="superscript"/>
              </w:rPr>
              <w:t>7</w:t>
            </w:r>
          </w:p>
        </w:tc>
      </w:tr>
    </w:tbl>
    <w:p w14:paraId="77F83CF1" w14:textId="77777777" w:rsidR="00F04BF8" w:rsidRPr="003D294A" w:rsidRDefault="00F04BF8" w:rsidP="00CF7B47">
      <w:pPr>
        <w:pStyle w:val="COMTablefooter"/>
      </w:pPr>
      <w:r w:rsidRPr="003D294A">
        <w:t>Source: Section 4 financial implications Excel workbook.</w:t>
      </w:r>
    </w:p>
    <w:p w14:paraId="0946E3EA" w14:textId="77777777" w:rsidR="00F04BF8" w:rsidRPr="003D294A" w:rsidRDefault="00F04BF8" w:rsidP="00CF7B47">
      <w:pPr>
        <w:pStyle w:val="COMTablefooter"/>
      </w:pPr>
      <w:proofErr w:type="spellStart"/>
      <w:r w:rsidRPr="003D294A">
        <w:rPr>
          <w:vertAlign w:val="superscript"/>
        </w:rPr>
        <w:t>a</w:t>
      </w:r>
      <w:proofErr w:type="spellEnd"/>
      <w:r w:rsidRPr="003D294A">
        <w:t xml:space="preserve"> Estimated by multiplying the number of eligible patients in each year by the assumed uptake rate. The numbers of patients initiating and continuing treatment with pegcetacoplan in each year of listing were not explicitly modelled.</w:t>
      </w:r>
    </w:p>
    <w:p w14:paraId="7FA22CF2" w14:textId="77777777" w:rsidR="00F04BF8" w:rsidRDefault="00F04BF8" w:rsidP="00455302">
      <w:pPr>
        <w:pStyle w:val="COMTablefooter"/>
        <w:spacing w:after="0"/>
      </w:pPr>
      <w:r w:rsidRPr="003D294A">
        <w:rPr>
          <w:vertAlign w:val="superscript"/>
        </w:rPr>
        <w:t>b</w:t>
      </w:r>
      <w:r w:rsidRPr="003D294A">
        <w:t xml:space="preserve"> In each year, 4 months of initial treatment (13 scripts per year × 4/12 = 4.33 scripts) and 8 months of continuing treatment (with adjustments applied for the proportion achieving a clinical benefit and persistence; 13 scripts per year × 8/12 × 0.80 × 0.90 = 6.24 scripts) were assumed. The number of scripts was further adjusted for treatment adherence of 90%.</w:t>
      </w:r>
    </w:p>
    <w:p w14:paraId="2F9D62A1" w14:textId="77777777" w:rsidR="00455302" w:rsidRPr="00455302" w:rsidRDefault="00455302" w:rsidP="00455302">
      <w:pPr>
        <w:jc w:val="left"/>
        <w:rPr>
          <w:rFonts w:ascii="Arial Narrow" w:hAnsi="Arial Narrow"/>
          <w:i/>
          <w:sz w:val="18"/>
          <w:szCs w:val="18"/>
        </w:rPr>
      </w:pPr>
      <w:r w:rsidRPr="00455302">
        <w:rPr>
          <w:rFonts w:ascii="Arial Narrow" w:hAnsi="Arial Narrow"/>
          <w:i/>
          <w:sz w:val="18"/>
          <w:szCs w:val="18"/>
        </w:rPr>
        <w:t xml:space="preserve">The redacted values correspond to the following ranges: </w:t>
      </w:r>
    </w:p>
    <w:p w14:paraId="43DD8E09" w14:textId="2B625E2E" w:rsidR="00455302" w:rsidRPr="00455302" w:rsidRDefault="00455302" w:rsidP="00455302">
      <w:pPr>
        <w:jc w:val="left"/>
        <w:rPr>
          <w:rFonts w:ascii="Arial Narrow" w:hAnsi="Arial Narrow"/>
          <w:i/>
          <w:sz w:val="18"/>
          <w:szCs w:val="18"/>
        </w:rPr>
      </w:pPr>
      <w:r w:rsidRPr="00455302">
        <w:rPr>
          <w:rFonts w:ascii="Arial Narrow" w:hAnsi="Arial Narrow"/>
          <w:i/>
          <w:sz w:val="18"/>
          <w:szCs w:val="18"/>
          <w:vertAlign w:val="superscript"/>
        </w:rPr>
        <w:t>1</w:t>
      </w:r>
      <w:r w:rsidRPr="00455302">
        <w:rPr>
          <w:rFonts w:ascii="Arial Narrow" w:hAnsi="Arial Narrow"/>
          <w:i/>
          <w:sz w:val="18"/>
          <w:szCs w:val="18"/>
        </w:rPr>
        <w:t xml:space="preserve"> &lt; 500</w:t>
      </w:r>
    </w:p>
    <w:p w14:paraId="259EB70E" w14:textId="610421BF" w:rsidR="00455302" w:rsidRPr="00455302" w:rsidRDefault="00455302" w:rsidP="00455302">
      <w:pPr>
        <w:jc w:val="left"/>
        <w:rPr>
          <w:rFonts w:ascii="Arial Narrow" w:hAnsi="Arial Narrow"/>
          <w:i/>
          <w:sz w:val="18"/>
          <w:szCs w:val="18"/>
        </w:rPr>
      </w:pPr>
      <w:r w:rsidRPr="00455302">
        <w:rPr>
          <w:rFonts w:ascii="Arial Narrow" w:hAnsi="Arial Narrow"/>
          <w:i/>
          <w:sz w:val="18"/>
          <w:szCs w:val="18"/>
          <w:vertAlign w:val="superscript"/>
        </w:rPr>
        <w:t>2</w:t>
      </w:r>
      <w:r w:rsidRPr="00455302">
        <w:rPr>
          <w:rFonts w:ascii="Arial Narrow" w:hAnsi="Arial Narrow"/>
          <w:i/>
          <w:sz w:val="18"/>
          <w:szCs w:val="18"/>
        </w:rPr>
        <w:t xml:space="preserve"> 500 to &lt; 5,000</w:t>
      </w:r>
    </w:p>
    <w:p w14:paraId="54E14803" w14:textId="2888CBD9" w:rsidR="00455302" w:rsidRPr="00455302" w:rsidRDefault="00455302" w:rsidP="00455302">
      <w:pPr>
        <w:jc w:val="left"/>
        <w:rPr>
          <w:rFonts w:ascii="Arial Narrow" w:hAnsi="Arial Narrow"/>
          <w:i/>
          <w:sz w:val="18"/>
          <w:szCs w:val="18"/>
        </w:rPr>
      </w:pPr>
      <w:r w:rsidRPr="00455302">
        <w:rPr>
          <w:rFonts w:ascii="Arial Narrow" w:hAnsi="Arial Narrow"/>
          <w:i/>
          <w:sz w:val="18"/>
          <w:szCs w:val="18"/>
          <w:vertAlign w:val="superscript"/>
        </w:rPr>
        <w:t>3</w:t>
      </w:r>
      <w:r w:rsidRPr="00455302">
        <w:rPr>
          <w:rFonts w:ascii="Arial Narrow" w:hAnsi="Arial Narrow"/>
          <w:i/>
          <w:sz w:val="18"/>
          <w:szCs w:val="18"/>
        </w:rPr>
        <w:t xml:space="preserve"> $0 to &lt; $10 million</w:t>
      </w:r>
    </w:p>
    <w:p w14:paraId="61947035" w14:textId="415037AB" w:rsidR="00455302" w:rsidRPr="00455302" w:rsidRDefault="00455302" w:rsidP="00455302">
      <w:pPr>
        <w:jc w:val="left"/>
        <w:rPr>
          <w:rFonts w:ascii="Arial Narrow" w:hAnsi="Arial Narrow"/>
          <w:i/>
          <w:sz w:val="18"/>
          <w:szCs w:val="18"/>
        </w:rPr>
      </w:pPr>
      <w:r w:rsidRPr="00455302">
        <w:rPr>
          <w:rFonts w:ascii="Arial Narrow" w:hAnsi="Arial Narrow"/>
          <w:i/>
          <w:sz w:val="18"/>
          <w:szCs w:val="18"/>
          <w:vertAlign w:val="superscript"/>
        </w:rPr>
        <w:t>4</w:t>
      </w:r>
      <w:r w:rsidRPr="00455302">
        <w:rPr>
          <w:rFonts w:ascii="Arial Narrow" w:hAnsi="Arial Narrow"/>
          <w:i/>
          <w:sz w:val="18"/>
          <w:szCs w:val="18"/>
        </w:rPr>
        <w:t xml:space="preserve"> $10 million to &lt; $20 million</w:t>
      </w:r>
    </w:p>
    <w:p w14:paraId="16A18848" w14:textId="2C7C7A52" w:rsidR="00455302" w:rsidRPr="00455302" w:rsidRDefault="00455302" w:rsidP="00455302">
      <w:pPr>
        <w:jc w:val="left"/>
        <w:rPr>
          <w:rFonts w:ascii="Arial Narrow" w:hAnsi="Arial Narrow"/>
          <w:i/>
          <w:sz w:val="18"/>
          <w:szCs w:val="18"/>
        </w:rPr>
      </w:pPr>
      <w:r w:rsidRPr="00455302">
        <w:rPr>
          <w:rFonts w:ascii="Arial Narrow" w:hAnsi="Arial Narrow"/>
          <w:i/>
          <w:sz w:val="18"/>
          <w:szCs w:val="18"/>
          <w:vertAlign w:val="superscript"/>
        </w:rPr>
        <w:t>5</w:t>
      </w:r>
      <w:r w:rsidRPr="00455302">
        <w:rPr>
          <w:rFonts w:ascii="Arial Narrow" w:hAnsi="Arial Narrow"/>
          <w:i/>
          <w:sz w:val="18"/>
          <w:szCs w:val="18"/>
        </w:rPr>
        <w:t xml:space="preserve"> $30 million to &lt; $40 million</w:t>
      </w:r>
    </w:p>
    <w:p w14:paraId="63167F1D" w14:textId="1A818666" w:rsidR="00455302" w:rsidRPr="00455302" w:rsidRDefault="00455302" w:rsidP="00455302">
      <w:pPr>
        <w:jc w:val="left"/>
        <w:rPr>
          <w:rFonts w:ascii="Arial Narrow" w:hAnsi="Arial Narrow"/>
          <w:i/>
          <w:sz w:val="18"/>
          <w:szCs w:val="18"/>
        </w:rPr>
      </w:pPr>
      <w:r w:rsidRPr="00455302">
        <w:rPr>
          <w:rFonts w:ascii="Arial Narrow" w:hAnsi="Arial Narrow"/>
          <w:i/>
          <w:sz w:val="18"/>
          <w:szCs w:val="18"/>
          <w:vertAlign w:val="superscript"/>
        </w:rPr>
        <w:t>6</w:t>
      </w:r>
      <w:r>
        <w:rPr>
          <w:rFonts w:ascii="Arial Narrow" w:hAnsi="Arial Narrow"/>
          <w:i/>
          <w:sz w:val="18"/>
          <w:szCs w:val="18"/>
          <w:vertAlign w:val="superscript"/>
        </w:rPr>
        <w:t xml:space="preserve"> </w:t>
      </w:r>
      <w:r w:rsidRPr="00455302">
        <w:rPr>
          <w:rFonts w:ascii="Arial Narrow" w:hAnsi="Arial Narrow"/>
          <w:i/>
          <w:sz w:val="18"/>
          <w:szCs w:val="18"/>
        </w:rPr>
        <w:t>$40 million to &lt; $50 million</w:t>
      </w:r>
    </w:p>
    <w:p w14:paraId="4DF602A1" w14:textId="76F9067B" w:rsidR="00455302" w:rsidRPr="00455302" w:rsidRDefault="00455302" w:rsidP="00455302">
      <w:pPr>
        <w:jc w:val="left"/>
        <w:rPr>
          <w:rFonts w:ascii="Arial Narrow" w:hAnsi="Arial Narrow"/>
          <w:i/>
          <w:sz w:val="18"/>
          <w:szCs w:val="18"/>
        </w:rPr>
      </w:pPr>
      <w:r>
        <w:rPr>
          <w:rFonts w:ascii="Arial Narrow" w:hAnsi="Arial Narrow"/>
          <w:i/>
          <w:sz w:val="18"/>
          <w:szCs w:val="18"/>
          <w:vertAlign w:val="superscript"/>
        </w:rPr>
        <w:t>7</w:t>
      </w:r>
      <w:r w:rsidRPr="00455302">
        <w:rPr>
          <w:rFonts w:ascii="Arial Narrow" w:hAnsi="Arial Narrow"/>
          <w:i/>
          <w:sz w:val="18"/>
          <w:szCs w:val="18"/>
        </w:rPr>
        <w:t xml:space="preserve"> $60 million to &lt; $70 million</w:t>
      </w:r>
    </w:p>
    <w:p w14:paraId="760251DC" w14:textId="77777777" w:rsidR="00455302" w:rsidRPr="003D294A" w:rsidRDefault="00455302" w:rsidP="00CF7B47">
      <w:pPr>
        <w:pStyle w:val="COMTablefooter"/>
      </w:pPr>
    </w:p>
    <w:p w14:paraId="7D8A2DE8" w14:textId="6A402F36" w:rsidR="00F04BF8" w:rsidRPr="003D294A" w:rsidRDefault="00F04BF8" w:rsidP="00CF7B47">
      <w:pPr>
        <w:pStyle w:val="COMESnumberedpara"/>
      </w:pPr>
      <w:r w:rsidRPr="003D294A">
        <w:t xml:space="preserve">The estimated cost of pegcetacoplan to the PBS/RPBS was </w:t>
      </w:r>
      <w:r w:rsidR="00455302" w:rsidRPr="00455302">
        <w:t>$0 to &lt; $10 million</w:t>
      </w:r>
      <w:r w:rsidRPr="003D294A">
        <w:t xml:space="preserve"> in Year 1, increasing to </w:t>
      </w:r>
      <w:r w:rsidR="00455302" w:rsidRPr="00455302">
        <w:t>$60 million to &lt; $70 million</w:t>
      </w:r>
      <w:r w:rsidRPr="003D294A">
        <w:t xml:space="preserve"> in Year 6, a total cost of </w:t>
      </w:r>
      <w:r w:rsidR="00455302" w:rsidRPr="00455302">
        <w:t>$200 million to &lt; $300 million</w:t>
      </w:r>
      <w:r w:rsidRPr="003D294A">
        <w:t xml:space="preserve"> over the first 6 years of listing.</w:t>
      </w:r>
    </w:p>
    <w:p w14:paraId="39101731" w14:textId="65ACAA75" w:rsidR="00F04BF8" w:rsidRPr="003D294A" w:rsidRDefault="00F04BF8" w:rsidP="00CF7B47">
      <w:pPr>
        <w:pStyle w:val="COMESnumberedpara"/>
        <w:spacing w:after="0"/>
        <w:rPr>
          <w:i/>
          <w:iCs/>
        </w:rPr>
      </w:pPr>
      <w:bookmarkStart w:id="64" w:name="_Ref222261733"/>
      <w:r w:rsidRPr="003D294A">
        <w:t xml:space="preserve">The cost to the PBS/RPBS is considered </w:t>
      </w:r>
      <w:r w:rsidR="0099486A">
        <w:t xml:space="preserve">highly uncertain and likely </w:t>
      </w:r>
      <w:r w:rsidR="00223661" w:rsidRPr="003D294A">
        <w:t>underestimated for</w:t>
      </w:r>
      <w:r w:rsidRPr="003D294A">
        <w:t xml:space="preserve"> the following reasons</w:t>
      </w:r>
      <w:r w:rsidRPr="003D294A">
        <w:rPr>
          <w:i/>
          <w:iCs/>
        </w:rPr>
        <w:t>:</w:t>
      </w:r>
      <w:bookmarkEnd w:id="64"/>
    </w:p>
    <w:p w14:paraId="39567AA8" w14:textId="3058EF87" w:rsidR="00F04BF8" w:rsidRPr="003D294A" w:rsidRDefault="00F04BF8" w:rsidP="00CF7B47">
      <w:pPr>
        <w:pStyle w:val="COMESbulletlist"/>
        <w:spacing w:after="0"/>
        <w:ind w:left="1094" w:hanging="357"/>
        <w:jc w:val="both"/>
        <w:rPr>
          <w:rFonts w:eastAsiaTheme="minorHAnsi"/>
        </w:rPr>
      </w:pPr>
      <w:r w:rsidRPr="003D294A">
        <w:rPr>
          <w:rFonts w:eastAsiaTheme="minorHAnsi"/>
        </w:rPr>
        <w:t>The prevalence-based approach used to derive the financial estimates did not explicitly model pegcetacoplan initiations and discontinuations among treated patients. As a result, the underlying numbers of patients initiating and continuing treatment in each year of the financial estimates could not be determined, and it is unclear whether the implementation of the uptake rates, treatment persistence, and the proportion of patients achieving a clinical benefit with pegcetacoplan in the budget impact model were reasonable.</w:t>
      </w:r>
      <w:r w:rsidR="002C7BD5" w:rsidRPr="003D294A">
        <w:rPr>
          <w:rFonts w:eastAsiaTheme="minorHAnsi"/>
        </w:rPr>
        <w:t xml:space="preserve"> The </w:t>
      </w:r>
      <w:r w:rsidR="00CA1A09" w:rsidRPr="003D294A">
        <w:rPr>
          <w:rFonts w:eastAsiaTheme="minorHAnsi"/>
        </w:rPr>
        <w:t>Sub-</w:t>
      </w:r>
      <w:r w:rsidR="006D6B60" w:rsidRPr="003D294A">
        <w:rPr>
          <w:rFonts w:eastAsiaTheme="minorHAnsi"/>
        </w:rPr>
        <w:t>Committees</w:t>
      </w:r>
      <w:r w:rsidR="002C7BD5" w:rsidRPr="003D294A">
        <w:rPr>
          <w:rFonts w:eastAsiaTheme="minorHAnsi"/>
        </w:rPr>
        <w:t xml:space="preserve"> </w:t>
      </w:r>
      <w:r w:rsidR="000F0BD7" w:rsidRPr="003D294A">
        <w:rPr>
          <w:rFonts w:eastAsiaTheme="minorHAnsi"/>
        </w:rPr>
        <w:t>considered</w:t>
      </w:r>
      <w:r w:rsidR="00884BC3" w:rsidRPr="003D294A">
        <w:rPr>
          <w:rFonts w:eastAsiaTheme="minorHAnsi"/>
        </w:rPr>
        <w:t xml:space="preserve"> </w:t>
      </w:r>
      <w:r w:rsidR="0005723C" w:rsidRPr="003D294A">
        <w:rPr>
          <w:rFonts w:eastAsiaTheme="minorHAnsi"/>
        </w:rPr>
        <w:t>a prevalence based</w:t>
      </w:r>
      <w:r w:rsidR="00F61006" w:rsidRPr="003D294A">
        <w:rPr>
          <w:rFonts w:eastAsiaTheme="minorHAnsi"/>
        </w:rPr>
        <w:t xml:space="preserve"> </w:t>
      </w:r>
      <w:r w:rsidR="00BA3D5A" w:rsidRPr="003D294A">
        <w:rPr>
          <w:rFonts w:eastAsiaTheme="minorHAnsi"/>
        </w:rPr>
        <w:t>approach</w:t>
      </w:r>
      <w:r w:rsidR="00037B7B" w:rsidRPr="003D294A">
        <w:rPr>
          <w:rFonts w:eastAsiaTheme="minorHAnsi"/>
        </w:rPr>
        <w:t xml:space="preserve"> </w:t>
      </w:r>
      <w:r w:rsidR="00F61006" w:rsidRPr="003D294A">
        <w:rPr>
          <w:rFonts w:eastAsiaTheme="minorHAnsi"/>
        </w:rPr>
        <w:t>would be appropriate in</w:t>
      </w:r>
      <w:r w:rsidR="000F0BD7" w:rsidRPr="003D294A">
        <w:rPr>
          <w:rFonts w:eastAsiaTheme="minorHAnsi"/>
        </w:rPr>
        <w:t xml:space="preserve"> </w:t>
      </w:r>
      <w:r w:rsidR="006D6B60" w:rsidRPr="003D294A">
        <w:rPr>
          <w:rFonts w:eastAsiaTheme="minorHAnsi"/>
        </w:rPr>
        <w:t>a</w:t>
      </w:r>
      <w:r w:rsidR="000F0BD7" w:rsidRPr="003D294A">
        <w:rPr>
          <w:rFonts w:eastAsiaTheme="minorHAnsi"/>
        </w:rPr>
        <w:t xml:space="preserve"> population that </w:t>
      </w:r>
      <w:r w:rsidR="00027E2B" w:rsidRPr="003D294A">
        <w:rPr>
          <w:rFonts w:eastAsiaTheme="minorHAnsi"/>
        </w:rPr>
        <w:t>has reached</w:t>
      </w:r>
      <w:r w:rsidR="00F61006" w:rsidRPr="003D294A">
        <w:rPr>
          <w:rFonts w:eastAsiaTheme="minorHAnsi"/>
        </w:rPr>
        <w:t xml:space="preserve"> </w:t>
      </w:r>
      <w:r w:rsidR="00C17248" w:rsidRPr="003D294A">
        <w:rPr>
          <w:rFonts w:eastAsiaTheme="minorHAnsi"/>
        </w:rPr>
        <w:t xml:space="preserve">a steady state </w:t>
      </w:r>
      <w:r w:rsidR="000D43CF" w:rsidRPr="003D294A">
        <w:rPr>
          <w:rFonts w:eastAsiaTheme="minorHAnsi"/>
        </w:rPr>
        <w:t xml:space="preserve">(where the </w:t>
      </w:r>
      <w:r w:rsidR="0094283E" w:rsidRPr="003D294A">
        <w:rPr>
          <w:rFonts w:eastAsiaTheme="minorHAnsi"/>
        </w:rPr>
        <w:t xml:space="preserve">number of treated patients remains approximately constant over time) </w:t>
      </w:r>
      <w:r w:rsidR="00953412" w:rsidRPr="003D294A">
        <w:rPr>
          <w:rFonts w:eastAsiaTheme="minorHAnsi"/>
        </w:rPr>
        <w:t xml:space="preserve">and </w:t>
      </w:r>
      <w:r w:rsidR="00027E2B" w:rsidRPr="003D294A">
        <w:rPr>
          <w:rFonts w:eastAsiaTheme="minorHAnsi"/>
        </w:rPr>
        <w:t xml:space="preserve">with </w:t>
      </w:r>
      <w:r w:rsidR="00953412" w:rsidRPr="003D294A">
        <w:rPr>
          <w:rFonts w:eastAsiaTheme="minorHAnsi"/>
        </w:rPr>
        <w:t>stable treatment duration</w:t>
      </w:r>
      <w:r w:rsidR="0094283E" w:rsidRPr="003D294A">
        <w:rPr>
          <w:rFonts w:eastAsiaTheme="minorHAnsi"/>
        </w:rPr>
        <w:t xml:space="preserve"> (</w:t>
      </w:r>
      <w:r w:rsidR="009878A3" w:rsidRPr="003D294A">
        <w:rPr>
          <w:rFonts w:eastAsiaTheme="minorHAnsi"/>
        </w:rPr>
        <w:t>average duration of treatment</w:t>
      </w:r>
      <w:r w:rsidR="00465FC2" w:rsidRPr="003D294A">
        <w:rPr>
          <w:rFonts w:eastAsiaTheme="minorHAnsi"/>
        </w:rPr>
        <w:t xml:space="preserve">– from initiation, </w:t>
      </w:r>
      <w:r w:rsidR="0094038E" w:rsidRPr="003D294A">
        <w:rPr>
          <w:rFonts w:eastAsiaTheme="minorHAnsi"/>
        </w:rPr>
        <w:t>discontinuation</w:t>
      </w:r>
      <w:r w:rsidR="00465FC2" w:rsidRPr="003D294A">
        <w:rPr>
          <w:rFonts w:eastAsiaTheme="minorHAnsi"/>
        </w:rPr>
        <w:t>, progression, transplant or death, remains stable over time</w:t>
      </w:r>
      <w:r w:rsidR="00B3751A">
        <w:rPr>
          <w:rFonts w:eastAsiaTheme="minorHAnsi"/>
        </w:rPr>
        <w:t>)</w:t>
      </w:r>
      <w:r w:rsidR="00953412" w:rsidRPr="003D294A">
        <w:rPr>
          <w:rFonts w:eastAsiaTheme="minorHAnsi"/>
        </w:rPr>
        <w:t>.</w:t>
      </w:r>
      <w:r w:rsidR="00BA3D5A" w:rsidRPr="003D294A">
        <w:rPr>
          <w:rFonts w:eastAsiaTheme="minorHAnsi"/>
        </w:rPr>
        <w:t xml:space="preserve"> </w:t>
      </w:r>
      <w:r w:rsidR="006D6B60" w:rsidRPr="003D294A">
        <w:rPr>
          <w:rFonts w:eastAsiaTheme="minorHAnsi"/>
        </w:rPr>
        <w:t>The Sub-Committees considered n</w:t>
      </w:r>
      <w:r w:rsidR="00BA3D5A" w:rsidRPr="003D294A">
        <w:rPr>
          <w:rFonts w:eastAsiaTheme="minorHAnsi"/>
        </w:rPr>
        <w:t xml:space="preserve">either of </w:t>
      </w:r>
      <w:r w:rsidR="00B03206" w:rsidRPr="003D294A">
        <w:rPr>
          <w:rFonts w:eastAsiaTheme="minorHAnsi"/>
        </w:rPr>
        <w:t>these</w:t>
      </w:r>
      <w:r w:rsidR="00BA3D5A" w:rsidRPr="003D294A">
        <w:rPr>
          <w:rFonts w:eastAsiaTheme="minorHAnsi"/>
        </w:rPr>
        <w:t xml:space="preserve"> assumptions would hold if pegcetacoplan delays progression or reduces mortality.</w:t>
      </w:r>
      <w:r w:rsidR="0005723C" w:rsidRPr="003D294A">
        <w:rPr>
          <w:rFonts w:eastAsiaTheme="minorHAnsi"/>
        </w:rPr>
        <w:t xml:space="preserve"> </w:t>
      </w:r>
      <w:r w:rsidR="00BA3D5A" w:rsidRPr="003D294A">
        <w:rPr>
          <w:rFonts w:eastAsiaTheme="minorHAnsi"/>
        </w:rPr>
        <w:t xml:space="preserve">The </w:t>
      </w:r>
      <w:r w:rsidR="00CA1A09" w:rsidRPr="003D294A">
        <w:rPr>
          <w:rFonts w:eastAsiaTheme="minorHAnsi"/>
        </w:rPr>
        <w:t>Sub-</w:t>
      </w:r>
      <w:r w:rsidR="007D4990" w:rsidRPr="003D294A">
        <w:rPr>
          <w:rFonts w:eastAsiaTheme="minorHAnsi"/>
        </w:rPr>
        <w:t>Committees</w:t>
      </w:r>
      <w:r w:rsidR="00BA3D5A" w:rsidRPr="003D294A">
        <w:rPr>
          <w:rFonts w:eastAsiaTheme="minorHAnsi"/>
        </w:rPr>
        <w:t xml:space="preserve"> </w:t>
      </w:r>
      <w:r w:rsidR="00884BC3" w:rsidRPr="003D294A">
        <w:rPr>
          <w:rFonts w:eastAsiaTheme="minorHAnsi"/>
        </w:rPr>
        <w:t xml:space="preserve">considered </w:t>
      </w:r>
      <w:r w:rsidR="002A6112" w:rsidRPr="003D294A">
        <w:rPr>
          <w:rFonts w:eastAsiaTheme="minorHAnsi"/>
        </w:rPr>
        <w:t xml:space="preserve">a </w:t>
      </w:r>
      <w:r w:rsidR="00085DA6" w:rsidRPr="003D294A">
        <w:rPr>
          <w:rFonts w:eastAsiaTheme="minorHAnsi"/>
        </w:rPr>
        <w:t xml:space="preserve">combined </w:t>
      </w:r>
      <w:r w:rsidR="002A6112" w:rsidRPr="003D294A">
        <w:rPr>
          <w:rFonts w:eastAsiaTheme="minorHAnsi"/>
        </w:rPr>
        <w:t>prevalence and incidence approach would be more appropriate</w:t>
      </w:r>
      <w:r w:rsidR="002E731F" w:rsidRPr="003D294A">
        <w:rPr>
          <w:rFonts w:eastAsiaTheme="minorHAnsi"/>
        </w:rPr>
        <w:t xml:space="preserve"> to capture initiation and continuation</w:t>
      </w:r>
      <w:r w:rsidR="004E1DB2" w:rsidRPr="003D294A">
        <w:rPr>
          <w:rFonts w:eastAsiaTheme="minorHAnsi"/>
        </w:rPr>
        <w:t xml:space="preserve"> of </w:t>
      </w:r>
      <w:r w:rsidR="00167DCF" w:rsidRPr="003D294A">
        <w:rPr>
          <w:rFonts w:eastAsiaTheme="minorHAnsi"/>
        </w:rPr>
        <w:t>treatment</w:t>
      </w:r>
      <w:r w:rsidR="002A6112" w:rsidRPr="003D294A">
        <w:rPr>
          <w:rFonts w:eastAsiaTheme="minorHAnsi"/>
        </w:rPr>
        <w:t xml:space="preserve">. </w:t>
      </w:r>
    </w:p>
    <w:p w14:paraId="45AC604A" w14:textId="386B49F2" w:rsidR="00F04BF8" w:rsidRPr="003D294A" w:rsidRDefault="00F04BF8" w:rsidP="00CF7B47">
      <w:pPr>
        <w:pStyle w:val="COMESbulletlist"/>
        <w:spacing w:after="0"/>
        <w:ind w:left="1094" w:hanging="357"/>
        <w:jc w:val="both"/>
        <w:rPr>
          <w:rFonts w:eastAsiaTheme="minorHAnsi"/>
        </w:rPr>
      </w:pPr>
      <w:r w:rsidRPr="003D294A">
        <w:rPr>
          <w:rFonts w:eastAsiaTheme="minorHAnsi"/>
        </w:rPr>
        <w:t xml:space="preserve">The prevalence of C3G and primary IC-MPGN in Australia are unclear. There was a </w:t>
      </w:r>
      <w:r w:rsidR="00167DCF" w:rsidRPr="003D294A">
        <w:rPr>
          <w:rFonts w:eastAsiaTheme="minorHAnsi"/>
        </w:rPr>
        <w:t>substantial</w:t>
      </w:r>
      <w:r w:rsidRPr="003D294A">
        <w:rPr>
          <w:rFonts w:eastAsiaTheme="minorHAnsi"/>
        </w:rPr>
        <w:t xml:space="preserve"> variation in the prevalence rates derived from international studies reporting cases of C3G and IC-MPGN. The assumptions and methodology used to calculate the prevalence rates for each of the included studies were not provided</w:t>
      </w:r>
      <w:r w:rsidR="00AE1D84" w:rsidRPr="003D294A">
        <w:rPr>
          <w:rFonts w:eastAsiaTheme="minorHAnsi"/>
        </w:rPr>
        <w:t xml:space="preserve"> and t</w:t>
      </w:r>
      <w:r w:rsidRPr="003D294A">
        <w:rPr>
          <w:rFonts w:eastAsiaTheme="minorHAnsi"/>
        </w:rPr>
        <w:t xml:space="preserve">here was inadequate documentation of the methodology used to derive the </w:t>
      </w:r>
      <w:r w:rsidRPr="003D294A">
        <w:rPr>
          <w:rFonts w:eastAsiaTheme="minorHAnsi"/>
        </w:rPr>
        <w:lastRenderedPageBreak/>
        <w:t>mortality adjustment factor.</w:t>
      </w:r>
      <w:r w:rsidR="00A11CEE">
        <w:rPr>
          <w:rFonts w:eastAsiaTheme="minorHAnsi"/>
        </w:rPr>
        <w:t xml:space="preserve"> The pre-PBAC response </w:t>
      </w:r>
      <w:r w:rsidR="00E96C90">
        <w:rPr>
          <w:rFonts w:eastAsiaTheme="minorHAnsi"/>
        </w:rPr>
        <w:t xml:space="preserve">acknowledged that the Australian incidence and prevalence of </w:t>
      </w:r>
      <w:r w:rsidR="00F80C1E">
        <w:rPr>
          <w:rFonts w:eastAsiaTheme="minorHAnsi"/>
        </w:rPr>
        <w:t xml:space="preserve">C3G and primary </w:t>
      </w:r>
      <w:r w:rsidR="00642AC4">
        <w:rPr>
          <w:rFonts w:eastAsiaTheme="minorHAnsi"/>
        </w:rPr>
        <w:t>IC-MPGN</w:t>
      </w:r>
      <w:r w:rsidR="00E96C90">
        <w:rPr>
          <w:rFonts w:eastAsiaTheme="minorHAnsi"/>
        </w:rPr>
        <w:t xml:space="preserve"> is uncertain</w:t>
      </w:r>
      <w:r w:rsidR="00642AC4">
        <w:rPr>
          <w:rFonts w:eastAsiaTheme="minorHAnsi"/>
        </w:rPr>
        <w:t xml:space="preserve"> due to their rarity, differing and evolving case definitions and </w:t>
      </w:r>
      <w:r w:rsidR="00057308">
        <w:rPr>
          <w:rFonts w:eastAsiaTheme="minorHAnsi"/>
        </w:rPr>
        <w:t>biopsy practices and underdiagnosis</w:t>
      </w:r>
      <w:r w:rsidR="00E96C90">
        <w:rPr>
          <w:rFonts w:eastAsiaTheme="minorHAnsi"/>
        </w:rPr>
        <w:t xml:space="preserve">. </w:t>
      </w:r>
    </w:p>
    <w:p w14:paraId="00F6C7E2" w14:textId="77777777" w:rsidR="00F04BF8" w:rsidRPr="003D294A" w:rsidRDefault="00F04BF8" w:rsidP="00CF7B47">
      <w:pPr>
        <w:pStyle w:val="COMESbulletlist"/>
        <w:spacing w:after="0"/>
        <w:ind w:left="1094" w:hanging="357"/>
        <w:jc w:val="both"/>
        <w:rPr>
          <w:rFonts w:eastAsiaTheme="minorHAnsi"/>
        </w:rPr>
      </w:pPr>
      <w:r w:rsidRPr="003D294A">
        <w:rPr>
          <w:rFonts w:eastAsiaTheme="minorHAnsi"/>
        </w:rPr>
        <w:t>The adjustment of the prevalent patient numbers to account for the C3G and IC</w:t>
      </w:r>
      <w:r w:rsidRPr="003D294A">
        <w:rPr>
          <w:rFonts w:eastAsiaTheme="minorHAnsi"/>
        </w:rPr>
        <w:noBreakHyphen/>
        <w:t xml:space="preserve">MPGN diagnosis rates was not appropriate, as the prevalence estimates would already capture the rates of diagnosis for C3G and IC-MPGN. </w:t>
      </w:r>
    </w:p>
    <w:p w14:paraId="165EEA24" w14:textId="77777777" w:rsidR="00F04BF8" w:rsidRPr="003D294A" w:rsidRDefault="00F04BF8" w:rsidP="00CF7B47">
      <w:pPr>
        <w:pStyle w:val="COMESbulletlist"/>
        <w:spacing w:after="0"/>
        <w:ind w:left="1094" w:hanging="357"/>
        <w:jc w:val="both"/>
        <w:rPr>
          <w:rFonts w:eastAsiaTheme="minorHAnsi"/>
        </w:rPr>
      </w:pPr>
      <w:r w:rsidRPr="003D294A">
        <w:rPr>
          <w:rFonts w:eastAsiaTheme="minorHAnsi"/>
        </w:rPr>
        <w:t>The adjustment of the prevalent population to account for patients with subclinical disease did not appear reasonable, given that patients with subclinical disease are unlikely to undergo a renal biopsy, which is required for diagnosis of C3G and IC-MPGN. The proportion of patients who are managed in early stages of the disease with standard care alone would already be accounted for in the assumed pegcetacoplan uptake rates.</w:t>
      </w:r>
    </w:p>
    <w:p w14:paraId="52493408" w14:textId="2B4D61EB" w:rsidR="00F04BF8" w:rsidRPr="003D294A" w:rsidRDefault="00F04BF8" w:rsidP="00CF7B47">
      <w:pPr>
        <w:pStyle w:val="COMESbulletlist"/>
        <w:spacing w:after="0"/>
        <w:ind w:left="1094" w:hanging="357"/>
        <w:jc w:val="both"/>
        <w:rPr>
          <w:rFonts w:eastAsiaTheme="minorHAnsi"/>
        </w:rPr>
      </w:pPr>
      <w:r w:rsidRPr="003D294A">
        <w:rPr>
          <w:rFonts w:eastAsiaTheme="minorHAnsi"/>
        </w:rPr>
        <w:t xml:space="preserve">The submission assumed that 40% of patients would be ineligible for treatment with pegcetacoplan due to having Stage 5 CKD. In the publication </w:t>
      </w:r>
      <w:r w:rsidR="00641C16" w:rsidRPr="003D294A">
        <w:rPr>
          <w:rFonts w:eastAsiaTheme="minorHAnsi"/>
        </w:rPr>
        <w:t xml:space="preserve">cited as the source </w:t>
      </w:r>
      <w:r w:rsidR="003A1008" w:rsidRPr="003D294A">
        <w:rPr>
          <w:rFonts w:eastAsiaTheme="minorHAnsi"/>
        </w:rPr>
        <w:t xml:space="preserve">for this estimate </w:t>
      </w:r>
      <w:r w:rsidRPr="003D294A">
        <w:rPr>
          <w:rFonts w:eastAsiaTheme="minorHAnsi"/>
        </w:rPr>
        <w:t>(Sinha 2025), at the time of the survey completion, 13.7% were reported to have an eGFR of 15-29 mL/min/1.73 m</w:t>
      </w:r>
      <w:r w:rsidRPr="003D294A">
        <w:rPr>
          <w:rFonts w:eastAsiaTheme="minorHAnsi"/>
          <w:vertAlign w:val="superscript"/>
        </w:rPr>
        <w:t>2</w:t>
      </w:r>
      <w:r w:rsidRPr="003D294A">
        <w:rPr>
          <w:rFonts w:eastAsiaTheme="minorHAnsi"/>
        </w:rPr>
        <w:t>, and 6.7% were reported to have an eGFR of &lt;15 mL/min/1.73 m</w:t>
      </w:r>
      <w:r w:rsidRPr="003D294A">
        <w:rPr>
          <w:rFonts w:eastAsiaTheme="minorHAnsi"/>
          <w:vertAlign w:val="superscript"/>
        </w:rPr>
        <w:t>2</w:t>
      </w:r>
      <w:r w:rsidRPr="003D294A">
        <w:rPr>
          <w:rFonts w:eastAsiaTheme="minorHAnsi"/>
        </w:rPr>
        <w:t xml:space="preserve">. </w:t>
      </w:r>
      <w:r w:rsidR="004121E4" w:rsidRPr="003D294A">
        <w:t xml:space="preserve">The </w:t>
      </w:r>
      <w:r w:rsidR="00CA1A09" w:rsidRPr="003D294A">
        <w:t>Sub-</w:t>
      </w:r>
      <w:r w:rsidR="007D4990" w:rsidRPr="003D294A">
        <w:t>Committees</w:t>
      </w:r>
      <w:r w:rsidR="004121E4" w:rsidRPr="003D294A">
        <w:t xml:space="preserve"> noted the proposed restriction excludes patients with Stage 4 </w:t>
      </w:r>
      <w:r w:rsidR="00AB7EE9" w:rsidRPr="003D294A">
        <w:t>or</w:t>
      </w:r>
      <w:r w:rsidR="004121E4" w:rsidRPr="003D294A">
        <w:t xml:space="preserve"> 5 CKD and as such, based on Sinha 2025, the proportion of patients ineligible due to having Stage 4 </w:t>
      </w:r>
      <w:r w:rsidR="00AB7EE9" w:rsidRPr="003D294A">
        <w:t>or</w:t>
      </w:r>
      <w:r w:rsidR="004121E4" w:rsidRPr="003D294A">
        <w:t xml:space="preserve"> 5 CKD to be 20.4%</w:t>
      </w:r>
      <w:r w:rsidR="00AC1C6E" w:rsidRPr="003D294A">
        <w:t xml:space="preserve"> (13.7% + 6.7%).</w:t>
      </w:r>
      <w:r w:rsidR="00CF7B47">
        <w:t xml:space="preserve"> </w:t>
      </w:r>
      <w:r w:rsidR="004121E4" w:rsidRPr="003D294A">
        <w:t xml:space="preserve"> </w:t>
      </w:r>
    </w:p>
    <w:p w14:paraId="123E7CE6" w14:textId="471D8ED0" w:rsidR="003E0046" w:rsidRPr="003D294A" w:rsidRDefault="003E0046" w:rsidP="00CF7B47">
      <w:pPr>
        <w:pStyle w:val="COMESbulletlist"/>
        <w:spacing w:after="0"/>
        <w:ind w:left="1094" w:hanging="357"/>
        <w:jc w:val="both"/>
        <w:rPr>
          <w:rFonts w:eastAsiaTheme="minorHAnsi"/>
        </w:rPr>
      </w:pPr>
      <w:r w:rsidRPr="003D294A">
        <w:rPr>
          <w:rFonts w:eastAsiaTheme="minorHAnsi"/>
        </w:rPr>
        <w:t xml:space="preserve">A proportion of patients with Stage 5 CKD will receive a kidney transplant and may subsequently be eligible for treatment with pegcetacoplan, however these patients were not explicitly included in the estimates. </w:t>
      </w:r>
    </w:p>
    <w:p w14:paraId="5D5DEAC9" w14:textId="0081E518" w:rsidR="00F04BF8" w:rsidRPr="003D294A" w:rsidRDefault="00F04BF8" w:rsidP="00CF7B47">
      <w:pPr>
        <w:pStyle w:val="COMESbulletlist"/>
        <w:spacing w:after="0"/>
        <w:ind w:left="1094" w:hanging="357"/>
        <w:jc w:val="both"/>
        <w:rPr>
          <w:rFonts w:eastAsiaTheme="minorHAnsi"/>
        </w:rPr>
      </w:pPr>
      <w:r w:rsidRPr="003D294A">
        <w:rPr>
          <w:rFonts w:eastAsiaTheme="minorHAnsi"/>
        </w:rPr>
        <w:t>Uptake rates were considered uncertain and likely to be underestimated in the initial years of listing, given that there are no other complement inhibitors listed on the PBS for the treatment of C3G or IC-MPGN.</w:t>
      </w:r>
    </w:p>
    <w:p w14:paraId="77051B4D" w14:textId="1D63BFCF" w:rsidR="00F04BF8" w:rsidRPr="003D294A" w:rsidRDefault="00F04BF8" w:rsidP="00CF7B47">
      <w:pPr>
        <w:pStyle w:val="COMESbulletlist"/>
        <w:ind w:left="1094" w:hanging="357"/>
        <w:jc w:val="both"/>
        <w:rPr>
          <w:rFonts w:eastAsiaTheme="minorHAnsi"/>
        </w:rPr>
      </w:pPr>
      <w:r w:rsidRPr="003D294A">
        <w:rPr>
          <w:rFonts w:eastAsiaTheme="minorHAnsi"/>
        </w:rPr>
        <w:t xml:space="preserve">There is potential for use outside of the proposed restriction among patients who do not achieve a clinical benefit during the initial treatment period, </w:t>
      </w:r>
      <w:r w:rsidR="00C932AD">
        <w:rPr>
          <w:rFonts w:eastAsiaTheme="minorHAnsi"/>
        </w:rPr>
        <w:t xml:space="preserve">or </w:t>
      </w:r>
      <w:r w:rsidRPr="003D294A">
        <w:rPr>
          <w:rFonts w:eastAsiaTheme="minorHAnsi"/>
        </w:rPr>
        <w:t>patients with an eGFR &lt;30m mL/min/1.73 m</w:t>
      </w:r>
      <w:r w:rsidRPr="003D294A">
        <w:rPr>
          <w:rFonts w:eastAsiaTheme="minorHAnsi"/>
          <w:vertAlign w:val="superscript"/>
        </w:rPr>
        <w:t>2</w:t>
      </w:r>
      <w:r w:rsidR="00CF7B47">
        <w:rPr>
          <w:rFonts w:eastAsiaTheme="minorHAnsi"/>
        </w:rPr>
        <w:t xml:space="preserve"> </w:t>
      </w:r>
      <w:r w:rsidRPr="003D294A">
        <w:rPr>
          <w:rFonts w:eastAsiaTheme="minorHAnsi"/>
        </w:rPr>
        <w:t>at the time of treatment initiation.</w:t>
      </w:r>
      <w:r w:rsidR="00B93E9F" w:rsidRPr="003D294A">
        <w:rPr>
          <w:rFonts w:eastAsiaTheme="minorHAnsi"/>
        </w:rPr>
        <w:t xml:space="preserve"> The Sub-</w:t>
      </w:r>
      <w:r w:rsidR="00302D36" w:rsidRPr="003D294A">
        <w:rPr>
          <w:rFonts w:eastAsiaTheme="minorHAnsi"/>
        </w:rPr>
        <w:t>Committees</w:t>
      </w:r>
      <w:r w:rsidR="00B93E9F" w:rsidRPr="003D294A">
        <w:rPr>
          <w:rFonts w:eastAsiaTheme="minorHAnsi"/>
        </w:rPr>
        <w:t xml:space="preserve"> considered </w:t>
      </w:r>
      <w:r w:rsidR="005B5351" w:rsidRPr="003D294A">
        <w:rPr>
          <w:rFonts w:eastAsiaTheme="minorHAnsi"/>
        </w:rPr>
        <w:t xml:space="preserve">the ongoing use in </w:t>
      </w:r>
      <w:r w:rsidR="000329B7" w:rsidRPr="003D294A">
        <w:rPr>
          <w:rFonts w:eastAsiaTheme="minorHAnsi"/>
        </w:rPr>
        <w:t>patients</w:t>
      </w:r>
      <w:r w:rsidR="005B5351" w:rsidRPr="003D294A">
        <w:rPr>
          <w:rFonts w:eastAsiaTheme="minorHAnsi"/>
        </w:rPr>
        <w:t xml:space="preserve"> not achieving clinical benefit </w:t>
      </w:r>
      <w:r w:rsidR="000329B7" w:rsidRPr="003D294A">
        <w:rPr>
          <w:rFonts w:eastAsiaTheme="minorHAnsi"/>
        </w:rPr>
        <w:t xml:space="preserve">or in </w:t>
      </w:r>
      <w:r w:rsidR="00302D36" w:rsidRPr="003D294A">
        <w:rPr>
          <w:rFonts w:eastAsiaTheme="minorHAnsi"/>
        </w:rPr>
        <w:t>patients with eGFR &lt;30m mL/min/1.73 m</w:t>
      </w:r>
      <w:r w:rsidR="00302D36" w:rsidRPr="003D294A">
        <w:rPr>
          <w:rFonts w:eastAsiaTheme="minorHAnsi"/>
          <w:vertAlign w:val="superscript"/>
        </w:rPr>
        <w:t>2</w:t>
      </w:r>
      <w:r w:rsidR="00302D36" w:rsidRPr="003D294A">
        <w:rPr>
          <w:rFonts w:eastAsiaTheme="minorHAnsi"/>
        </w:rPr>
        <w:t xml:space="preserve"> was small.</w:t>
      </w:r>
    </w:p>
    <w:p w14:paraId="63135177" w14:textId="0AC7F3AC" w:rsidR="00C756BA" w:rsidRPr="003D294A" w:rsidRDefault="00C756BA" w:rsidP="00CF7B47">
      <w:pPr>
        <w:pStyle w:val="COMESnumberedpara"/>
      </w:pPr>
      <w:r w:rsidRPr="003D294A">
        <w:t xml:space="preserve">The </w:t>
      </w:r>
      <w:r w:rsidR="00E10B35" w:rsidRPr="003D294A">
        <w:t xml:space="preserve">evaluation noted that the </w:t>
      </w:r>
      <w:r w:rsidRPr="003D294A">
        <w:t xml:space="preserve">financial estimates </w:t>
      </w:r>
      <w:r w:rsidR="00E10B35" w:rsidRPr="003D294A">
        <w:t>were</w:t>
      </w:r>
      <w:r w:rsidRPr="003D294A">
        <w:t xml:space="preserve"> sensitive </w:t>
      </w:r>
      <w:r w:rsidR="00B3751A">
        <w:t xml:space="preserve">to </w:t>
      </w:r>
      <w:r w:rsidRPr="003D294A">
        <w:t>the prevalence of C3G and IC-MPGN, the diagnosis rate, the proportion with subclinical disease, the proportion who are not in Stage 5 CKD, the treatment uptake rates, the proportion continuing treatment and the treatment adherence.</w:t>
      </w:r>
    </w:p>
    <w:p w14:paraId="0BC88D81" w14:textId="77777777" w:rsidR="00361EEF" w:rsidRPr="003D294A" w:rsidRDefault="00361EEF" w:rsidP="00CF7B47">
      <w:pPr>
        <w:pStyle w:val="COMESnumberedpara"/>
        <w:numPr>
          <w:ilvl w:val="0"/>
          <w:numId w:val="0"/>
        </w:numPr>
        <w:ind w:left="720"/>
      </w:pPr>
    </w:p>
    <w:p w14:paraId="1393C1CD" w14:textId="3007B473" w:rsidR="00D919AE" w:rsidRPr="003D294A" w:rsidRDefault="00D919AE" w:rsidP="00CF7B47">
      <w:pPr>
        <w:pStyle w:val="COMESSubsectionheading"/>
      </w:pPr>
      <w:bookmarkStart w:id="65" w:name="_Toc22897649"/>
      <w:bookmarkStart w:id="66" w:name="_Toc219888396"/>
      <w:r w:rsidRPr="003D294A">
        <w:t>Quality Use of Medicines</w:t>
      </w:r>
    </w:p>
    <w:p w14:paraId="59AF484C" w14:textId="77777777" w:rsidR="00CD3A3C" w:rsidRPr="003D294A" w:rsidRDefault="00CD3A3C" w:rsidP="00CF7B47">
      <w:pPr>
        <w:pStyle w:val="COMESnumberedpara"/>
      </w:pPr>
      <w:r w:rsidRPr="003D294A">
        <w:t>The submission did not identify any quality use of medicines issues, and no activities to support the quality use of medicines were proposed. </w:t>
      </w:r>
    </w:p>
    <w:p w14:paraId="527C8E76" w14:textId="4F4A9402" w:rsidR="003534EF" w:rsidRPr="003D294A" w:rsidRDefault="00CD3A3C" w:rsidP="00CF7B47">
      <w:pPr>
        <w:pStyle w:val="COMESnumberedpara"/>
        <w:rPr>
          <w:lang w:eastAsia="en-US"/>
        </w:rPr>
      </w:pPr>
      <w:r w:rsidRPr="003D294A">
        <w:rPr>
          <w:lang w:eastAsia="en-US"/>
        </w:rPr>
        <w:lastRenderedPageBreak/>
        <w:t xml:space="preserve">The </w:t>
      </w:r>
      <w:r w:rsidR="00CA1A09" w:rsidRPr="003D294A">
        <w:rPr>
          <w:lang w:eastAsia="en-US"/>
        </w:rPr>
        <w:t>Sub-</w:t>
      </w:r>
      <w:r w:rsidR="007D4990" w:rsidRPr="003D294A">
        <w:rPr>
          <w:lang w:eastAsia="en-US"/>
        </w:rPr>
        <w:t>Committees</w:t>
      </w:r>
      <w:r w:rsidRPr="003D294A">
        <w:rPr>
          <w:lang w:eastAsia="en-US"/>
        </w:rPr>
        <w:t xml:space="preserve"> </w:t>
      </w:r>
      <w:r w:rsidR="003A46F6" w:rsidRPr="003D294A">
        <w:rPr>
          <w:lang w:eastAsia="en-US"/>
        </w:rPr>
        <w:t xml:space="preserve">noted the Product Information </w:t>
      </w:r>
      <w:r w:rsidR="000E3967" w:rsidRPr="003D294A">
        <w:rPr>
          <w:lang w:eastAsia="en-US"/>
        </w:rPr>
        <w:t>contains a boxed warning relating to serious infections caused by encapsulated bacteria</w:t>
      </w:r>
      <w:r w:rsidR="005223AC" w:rsidRPr="003D294A">
        <w:rPr>
          <w:lang w:eastAsia="en-US"/>
        </w:rPr>
        <w:t xml:space="preserve"> and </w:t>
      </w:r>
      <w:r w:rsidR="00F6704E" w:rsidRPr="003D294A">
        <w:rPr>
          <w:lang w:eastAsia="en-US"/>
        </w:rPr>
        <w:t xml:space="preserve">the requirement to vaccinate and/or revaccinate according </w:t>
      </w:r>
      <w:r w:rsidR="00577D31" w:rsidRPr="003D294A">
        <w:rPr>
          <w:lang w:eastAsia="en-US"/>
        </w:rPr>
        <w:t>to current national vaccination guidelines</w:t>
      </w:r>
      <w:r w:rsidR="000E3967" w:rsidRPr="003D294A">
        <w:rPr>
          <w:lang w:eastAsia="en-US"/>
        </w:rPr>
        <w:t xml:space="preserve">. </w:t>
      </w:r>
    </w:p>
    <w:p w14:paraId="6BC40A42" w14:textId="366D13CD" w:rsidR="000A6789" w:rsidRPr="008072DA" w:rsidRDefault="00075EA1" w:rsidP="008072DA">
      <w:pPr>
        <w:pStyle w:val="COMESnumberedpara"/>
        <w:rPr>
          <w:lang w:eastAsia="en-US"/>
        </w:rPr>
      </w:pPr>
      <w:r w:rsidRPr="003D294A">
        <w:rPr>
          <w:bCs/>
          <w:lang w:eastAsia="en-US"/>
        </w:rPr>
        <w:t xml:space="preserve">The </w:t>
      </w:r>
      <w:r w:rsidR="00CA1A09" w:rsidRPr="003D294A">
        <w:rPr>
          <w:bCs/>
          <w:lang w:eastAsia="en-US"/>
        </w:rPr>
        <w:t>Sub-Committee</w:t>
      </w:r>
      <w:r w:rsidR="00620515" w:rsidRPr="003D294A">
        <w:rPr>
          <w:bCs/>
          <w:lang w:eastAsia="en-US"/>
        </w:rPr>
        <w:t>s noted p</w:t>
      </w:r>
      <w:r w:rsidRPr="003D294A">
        <w:rPr>
          <w:bCs/>
          <w:lang w:eastAsia="en-US"/>
        </w:rPr>
        <w:t>rescribing information in the restriction (both initial and continuing) states: “Prior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r w:rsidR="00620515" w:rsidRPr="003D294A">
        <w:rPr>
          <w:bCs/>
          <w:lang w:eastAsia="en-US"/>
        </w:rPr>
        <w:t xml:space="preserve"> </w:t>
      </w:r>
      <w:r w:rsidR="00295314" w:rsidRPr="003D294A">
        <w:rPr>
          <w:bCs/>
          <w:lang w:eastAsia="en-US"/>
        </w:rPr>
        <w:t>T</w:t>
      </w:r>
      <w:r w:rsidR="00620515" w:rsidRPr="003D294A">
        <w:rPr>
          <w:bCs/>
          <w:lang w:eastAsia="en-US"/>
        </w:rPr>
        <w:t xml:space="preserve">he </w:t>
      </w:r>
      <w:r w:rsidR="00CA1A09" w:rsidRPr="003D294A">
        <w:rPr>
          <w:bCs/>
          <w:lang w:eastAsia="en-US"/>
        </w:rPr>
        <w:t>Sub-</w:t>
      </w:r>
      <w:r w:rsidR="007D4990" w:rsidRPr="003D294A">
        <w:rPr>
          <w:bCs/>
          <w:lang w:eastAsia="en-US"/>
        </w:rPr>
        <w:t>Committees</w:t>
      </w:r>
      <w:r w:rsidR="00620515" w:rsidRPr="003D294A">
        <w:rPr>
          <w:bCs/>
          <w:lang w:eastAsia="en-US"/>
        </w:rPr>
        <w:t xml:space="preserve"> commented that </w:t>
      </w:r>
      <w:r w:rsidR="00D46344" w:rsidRPr="003D294A">
        <w:rPr>
          <w:bCs/>
          <w:lang w:eastAsia="en-US"/>
        </w:rPr>
        <w:t xml:space="preserve">the sponsor did not provide details regarding how these vaccination records would be obtained. </w:t>
      </w:r>
      <w:r w:rsidR="003225FA" w:rsidRPr="003D294A">
        <w:rPr>
          <w:bCs/>
          <w:lang w:eastAsia="en-US"/>
        </w:rPr>
        <w:t xml:space="preserve">Additionally, the </w:t>
      </w:r>
      <w:r w:rsidR="00CA1A09" w:rsidRPr="003D294A">
        <w:rPr>
          <w:bCs/>
          <w:lang w:eastAsia="en-US"/>
        </w:rPr>
        <w:t>Sub-</w:t>
      </w:r>
      <w:r w:rsidR="007D4990" w:rsidRPr="003D294A">
        <w:rPr>
          <w:bCs/>
          <w:lang w:eastAsia="en-US"/>
        </w:rPr>
        <w:t>Committees</w:t>
      </w:r>
      <w:r w:rsidR="009E612F" w:rsidRPr="003D294A">
        <w:rPr>
          <w:bCs/>
          <w:lang w:eastAsia="en-US"/>
        </w:rPr>
        <w:t xml:space="preserve"> noted the submission did not account for the cost of immunisations</w:t>
      </w:r>
      <w:r w:rsidR="00F519FC" w:rsidRPr="003D294A">
        <w:rPr>
          <w:bCs/>
          <w:lang w:eastAsia="en-US"/>
        </w:rPr>
        <w:t xml:space="preserve"> in the financial estimates</w:t>
      </w:r>
      <w:r w:rsidR="009E612F" w:rsidRPr="003D294A">
        <w:rPr>
          <w:bCs/>
          <w:lang w:eastAsia="en-US"/>
        </w:rPr>
        <w:t xml:space="preserve">, however noted </w:t>
      </w:r>
      <w:r w:rsidR="0037740E" w:rsidRPr="003D294A">
        <w:rPr>
          <w:bCs/>
          <w:lang w:eastAsia="en-US"/>
        </w:rPr>
        <w:t>the</w:t>
      </w:r>
      <w:r w:rsidR="009E612F" w:rsidRPr="003D294A">
        <w:rPr>
          <w:bCs/>
          <w:lang w:eastAsia="en-US"/>
        </w:rPr>
        <w:t xml:space="preserve"> </w:t>
      </w:r>
      <w:r w:rsidR="00F519FC" w:rsidRPr="003D294A">
        <w:rPr>
          <w:bCs/>
          <w:lang w:eastAsia="en-US"/>
        </w:rPr>
        <w:t xml:space="preserve">financial </w:t>
      </w:r>
      <w:r w:rsidR="009E612F" w:rsidRPr="003D294A">
        <w:rPr>
          <w:bCs/>
          <w:lang w:eastAsia="en-US"/>
        </w:rPr>
        <w:t xml:space="preserve">impact </w:t>
      </w:r>
      <w:r w:rsidR="00F519FC" w:rsidRPr="003D294A">
        <w:rPr>
          <w:bCs/>
          <w:lang w:eastAsia="en-US"/>
        </w:rPr>
        <w:t xml:space="preserve">would be </w:t>
      </w:r>
      <w:r w:rsidR="00573C0D" w:rsidRPr="003D294A">
        <w:rPr>
          <w:bCs/>
          <w:lang w:eastAsia="en-US"/>
        </w:rPr>
        <w:t>low</w:t>
      </w:r>
      <w:r w:rsidR="0037740E" w:rsidRPr="003D294A">
        <w:rPr>
          <w:bCs/>
          <w:lang w:eastAsia="en-US"/>
        </w:rPr>
        <w:t xml:space="preserve"> relative to the cost of </w:t>
      </w:r>
      <w:r w:rsidR="00B3751A">
        <w:rPr>
          <w:bCs/>
          <w:lang w:eastAsia="en-US"/>
        </w:rPr>
        <w:t>pegcetacoplan</w:t>
      </w:r>
      <w:r w:rsidR="00573C0D" w:rsidRPr="003D294A">
        <w:rPr>
          <w:bCs/>
          <w:lang w:eastAsia="en-US"/>
        </w:rPr>
        <w:t xml:space="preserve">. </w:t>
      </w:r>
    </w:p>
    <w:bookmarkEnd w:id="65"/>
    <w:bookmarkEnd w:id="66"/>
    <w:p w14:paraId="1A076DD5" w14:textId="77777777" w:rsidR="00F90C3E" w:rsidRPr="003D294A" w:rsidRDefault="00F90C3E" w:rsidP="00CF7B47">
      <w:pPr>
        <w:ind w:firstLine="709"/>
        <w:rPr>
          <w:rFonts w:asciiTheme="minorHAnsi" w:hAnsiTheme="minorHAnsi"/>
          <w:i/>
        </w:rPr>
      </w:pPr>
    </w:p>
    <w:p w14:paraId="6E3DAA4C" w14:textId="11483434" w:rsidR="00F90C3E" w:rsidRPr="003D294A" w:rsidRDefault="00F90C3E" w:rsidP="00CF7B47">
      <w:pPr>
        <w:ind w:firstLine="709"/>
        <w:rPr>
          <w:rFonts w:asciiTheme="minorHAnsi" w:hAnsiTheme="minorHAnsi"/>
          <w:i/>
        </w:rPr>
      </w:pPr>
      <w:r w:rsidRPr="003D294A">
        <w:rPr>
          <w:rFonts w:asciiTheme="minorHAnsi" w:hAnsiTheme="minorHAnsi"/>
          <w:i/>
        </w:rPr>
        <w:t>For more detail on PBAC’s view, see section 7 PBAC outcome.</w:t>
      </w:r>
    </w:p>
    <w:p w14:paraId="09223F20" w14:textId="67836E4F" w:rsidR="009C5DCE" w:rsidRPr="003D294A" w:rsidRDefault="009C5DCE" w:rsidP="00CF7B47"/>
    <w:p w14:paraId="6B470F2C" w14:textId="77777777" w:rsidR="00F736C7" w:rsidRPr="003D294A" w:rsidRDefault="00F736C7" w:rsidP="00CF7B47">
      <w:pPr>
        <w:pStyle w:val="2-SectionHeading"/>
        <w:numPr>
          <w:ilvl w:val="0"/>
          <w:numId w:val="1"/>
        </w:numPr>
        <w:outlineLvl w:val="0"/>
      </w:pPr>
      <w:bookmarkStart w:id="67" w:name="_Hlk76381249"/>
      <w:bookmarkStart w:id="68" w:name="_Toc219888398"/>
      <w:r w:rsidRPr="003D294A">
        <w:t>PBAC Outcome</w:t>
      </w:r>
    </w:p>
    <w:p w14:paraId="0D3936B9" w14:textId="48A983C7" w:rsidR="003C09BA" w:rsidRPr="003D294A" w:rsidRDefault="003C09BA" w:rsidP="00CF7B47">
      <w:pPr>
        <w:pStyle w:val="COMESnumberedpara"/>
      </w:pPr>
      <w:bookmarkStart w:id="69" w:name="_Hlk111543188"/>
      <w:r w:rsidRPr="003D294A">
        <w:t xml:space="preserve">The PBAC did not recommend listing pegcetacoplan for treatment of complement 3 glomerulopathy (C3G) or primary immune complex membranoproliferative glomerulonephritis (IC-MPGN). The PBAC considered that there is a high clinical need for treatments for C3G or IC-MPGN, which are conditions that impact relatively young patients and cause decline in kidney function. </w:t>
      </w:r>
      <w:r w:rsidR="009F601D">
        <w:t>T</w:t>
      </w:r>
      <w:r w:rsidRPr="003D294A">
        <w:t>he PBAC noted the clinical benefit was only supported by</w:t>
      </w:r>
      <w:r w:rsidR="00073D27">
        <w:t xml:space="preserve"> </w:t>
      </w:r>
      <w:r w:rsidRPr="003D294A">
        <w:t>evidence</w:t>
      </w:r>
      <w:r w:rsidR="00736E37">
        <w:t xml:space="preserve"> of changes in</w:t>
      </w:r>
      <w:r w:rsidRPr="003D294A">
        <w:t xml:space="preserve"> </w:t>
      </w:r>
      <w:r w:rsidR="00736E37">
        <w:t>surrogate measures, with a</w:t>
      </w:r>
      <w:r w:rsidRPr="003D294A">
        <w:t xml:space="preserve"> statistically significant reduction in</w:t>
      </w:r>
      <w:r w:rsidR="009F601D">
        <w:t xml:space="preserve"> proteinuria and</w:t>
      </w:r>
      <w:r w:rsidRPr="003D294A">
        <w:t xml:space="preserve"> </w:t>
      </w:r>
      <w:r w:rsidR="00816D11">
        <w:t xml:space="preserve">evidence of a </w:t>
      </w:r>
      <w:r w:rsidRPr="003D294A">
        <w:t xml:space="preserve">slower decline in eGFR compared to placebo. </w:t>
      </w:r>
      <w:r w:rsidR="009F601D" w:rsidRPr="003D294A">
        <w:t xml:space="preserve">The PBAC considered </w:t>
      </w:r>
      <w:r w:rsidR="00764F1D">
        <w:t>that</w:t>
      </w:r>
      <w:r w:rsidR="00E76B6C">
        <w:t>,</w:t>
      </w:r>
      <w:r w:rsidR="00764F1D">
        <w:t xml:space="preserve"> </w:t>
      </w:r>
      <w:proofErr w:type="gramStart"/>
      <w:r w:rsidR="00764F1D">
        <w:t>on the basis of</w:t>
      </w:r>
      <w:proofErr w:type="gramEnd"/>
      <w:r w:rsidR="00764F1D">
        <w:t xml:space="preserve"> these </w:t>
      </w:r>
      <w:r w:rsidR="005B514E">
        <w:t>differences</w:t>
      </w:r>
      <w:r w:rsidR="00E76B6C">
        <w:t>,</w:t>
      </w:r>
      <w:r w:rsidR="005B514E">
        <w:t xml:space="preserve"> </w:t>
      </w:r>
      <w:r w:rsidR="009F601D" w:rsidRPr="003D294A">
        <w:t xml:space="preserve">it is possible that pegcetacoplan provides a clinical benefit for some patients in terms of slowing progression to end-stage kidney disease. </w:t>
      </w:r>
      <w:r w:rsidRPr="003D294A">
        <w:t xml:space="preserve">The PBAC considered that the </w:t>
      </w:r>
      <w:r w:rsidR="0017125C">
        <w:t xml:space="preserve">modelled </w:t>
      </w:r>
      <w:r w:rsidRPr="003D294A">
        <w:t xml:space="preserve">benefits relating to avoiding long-term dialysis and transplant were improbable and highly uncertain due to the limited clinical data, reliance on indirect measures of health benefit, and unsupported assumptions. </w:t>
      </w:r>
      <w:r w:rsidR="00271DCF" w:rsidRPr="00271DCF">
        <w:t xml:space="preserve">The PBAC considered that </w:t>
      </w:r>
      <w:r w:rsidR="00271DCF">
        <w:t>there was a</w:t>
      </w:r>
      <w:r w:rsidR="00271DCF" w:rsidRPr="00271DCF">
        <w:t xml:space="preserve"> high level of uncertainty in the modelled costs and outcomes</w:t>
      </w:r>
      <w:r w:rsidR="00A52A15">
        <w:t xml:space="preserve"> and</w:t>
      </w:r>
      <w:r w:rsidR="00271DCF">
        <w:t xml:space="preserve"> </w:t>
      </w:r>
      <w:r w:rsidR="00271DCF" w:rsidRPr="00271DCF">
        <w:t>the very high ICERs reflect the high price requested for pegcetacoplan</w:t>
      </w:r>
      <w:r w:rsidR="00A52A15">
        <w:t xml:space="preserve">. The PBAC </w:t>
      </w:r>
      <w:r w:rsidR="00271DCF" w:rsidRPr="00271DCF">
        <w:t xml:space="preserve">advised that a substantial price reduction would be required for pegcetacoplan to be considered cost-effective. </w:t>
      </w:r>
    </w:p>
    <w:bookmarkEnd w:id="69"/>
    <w:p w14:paraId="32084A9A" w14:textId="4D8AFAF1" w:rsidR="00401B6F" w:rsidRPr="003D294A" w:rsidRDefault="00401B6F" w:rsidP="00CF7B47">
      <w:pPr>
        <w:pStyle w:val="COMESnumberedpara"/>
        <w:numPr>
          <w:ilvl w:val="1"/>
          <w:numId w:val="1"/>
        </w:numPr>
        <w:rPr>
          <w:rFonts w:ascii="Aptos" w:hAnsi="Aptos" w:cs="Aptos"/>
        </w:rPr>
      </w:pPr>
      <w:r w:rsidRPr="003D294A">
        <w:rPr>
          <w:snapToGrid w:val="0"/>
        </w:rPr>
        <w:t xml:space="preserve">The PBAC considered that the primary reason for this outcome was the </w:t>
      </w:r>
      <w:r w:rsidR="00D22046" w:rsidRPr="003D294A">
        <w:rPr>
          <w:snapToGrid w:val="0"/>
        </w:rPr>
        <w:t>economic evaluation</w:t>
      </w:r>
      <w:r w:rsidRPr="003D294A">
        <w:rPr>
          <w:snapToGrid w:val="0"/>
        </w:rPr>
        <w:t>.</w:t>
      </w:r>
    </w:p>
    <w:p w14:paraId="7C7D1B58" w14:textId="7AE63052" w:rsidR="00AE29F3" w:rsidRPr="003D294A" w:rsidRDefault="002B11C2" w:rsidP="00CF7B47">
      <w:pPr>
        <w:pStyle w:val="COMESnumberedpara"/>
        <w:numPr>
          <w:ilvl w:val="1"/>
          <w:numId w:val="1"/>
        </w:numPr>
        <w:spacing w:after="120"/>
        <w:rPr>
          <w:snapToGrid w:val="0"/>
        </w:rPr>
      </w:pPr>
      <w:r w:rsidRPr="003D294A">
        <w:rPr>
          <w:snapToGrid w:val="0"/>
        </w:rPr>
        <w:t xml:space="preserve">The PBAC acknowledged </w:t>
      </w:r>
      <w:r w:rsidR="00476D03" w:rsidRPr="003D294A">
        <w:rPr>
          <w:snapToGrid w:val="0"/>
        </w:rPr>
        <w:t xml:space="preserve">that </w:t>
      </w:r>
      <w:r w:rsidRPr="003D294A">
        <w:rPr>
          <w:snapToGrid w:val="0"/>
        </w:rPr>
        <w:t>C3G</w:t>
      </w:r>
      <w:r w:rsidR="00476D03" w:rsidRPr="003D294A">
        <w:rPr>
          <w:rFonts w:ascii="Calibri" w:eastAsia="Times New Roman" w:hAnsi="Calibri" w:cs="Arial"/>
          <w:snapToGrid w:val="0"/>
          <w:szCs w:val="24"/>
        </w:rPr>
        <w:t xml:space="preserve"> </w:t>
      </w:r>
      <w:r w:rsidR="00FD1428" w:rsidRPr="003D294A">
        <w:rPr>
          <w:rFonts w:ascii="Calibri" w:eastAsia="Times New Roman" w:hAnsi="Calibri" w:cs="Arial"/>
          <w:snapToGrid w:val="0"/>
          <w:szCs w:val="24"/>
        </w:rPr>
        <w:t>is</w:t>
      </w:r>
      <w:r w:rsidR="00C42568" w:rsidRPr="003D294A">
        <w:rPr>
          <w:rFonts w:ascii="Calibri" w:eastAsia="Times New Roman" w:hAnsi="Calibri" w:cs="Arial"/>
          <w:snapToGrid w:val="0"/>
          <w:szCs w:val="24"/>
        </w:rPr>
        <w:t xml:space="preserve"> </w:t>
      </w:r>
      <w:r w:rsidR="00EA780A" w:rsidRPr="003D294A">
        <w:rPr>
          <w:rFonts w:ascii="Calibri" w:eastAsia="Times New Roman" w:hAnsi="Calibri" w:cs="Arial"/>
          <w:snapToGrid w:val="0"/>
          <w:szCs w:val="24"/>
        </w:rPr>
        <w:t xml:space="preserve">a disease </w:t>
      </w:r>
      <w:r w:rsidR="004735FC" w:rsidRPr="003D294A">
        <w:rPr>
          <w:rFonts w:ascii="Calibri" w:eastAsia="Times New Roman" w:hAnsi="Calibri" w:cs="Arial"/>
          <w:snapToGrid w:val="0"/>
          <w:szCs w:val="24"/>
        </w:rPr>
        <w:t xml:space="preserve">which predominantly affects </w:t>
      </w:r>
      <w:r w:rsidR="00664928" w:rsidRPr="003D294A">
        <w:rPr>
          <w:rFonts w:ascii="Calibri" w:eastAsia="Times New Roman" w:hAnsi="Calibri" w:cs="Arial"/>
          <w:snapToGrid w:val="0"/>
          <w:szCs w:val="24"/>
        </w:rPr>
        <w:t>adolescents and young adults</w:t>
      </w:r>
      <w:r w:rsidR="00FD1428" w:rsidRPr="003D294A">
        <w:rPr>
          <w:rFonts w:ascii="Calibri" w:eastAsia="Times New Roman" w:hAnsi="Calibri" w:cs="Arial"/>
          <w:snapToGrid w:val="0"/>
          <w:szCs w:val="24"/>
        </w:rPr>
        <w:t xml:space="preserve"> and the impacts of this disease included </w:t>
      </w:r>
      <w:r w:rsidR="002A5917" w:rsidRPr="003D294A">
        <w:rPr>
          <w:rFonts w:ascii="Calibri" w:eastAsia="Times New Roman" w:hAnsi="Calibri" w:cs="Arial"/>
          <w:snapToGrid w:val="0"/>
          <w:szCs w:val="24"/>
        </w:rPr>
        <w:t>severely disrupting education, employment, family life and mental health</w:t>
      </w:r>
      <w:r w:rsidRPr="003D294A">
        <w:rPr>
          <w:snapToGrid w:val="0"/>
        </w:rPr>
        <w:t>. Input from individuals, healthcare professionals and organisations</w:t>
      </w:r>
      <w:r w:rsidR="00D122A4" w:rsidRPr="003D294A">
        <w:rPr>
          <w:snapToGrid w:val="0"/>
        </w:rPr>
        <w:t xml:space="preserve"> </w:t>
      </w:r>
      <w:r w:rsidR="00D122A4" w:rsidRPr="003D294A">
        <w:rPr>
          <w:rFonts w:ascii="Calibri" w:eastAsia="Times New Roman" w:hAnsi="Calibri" w:cs="Arial"/>
          <w:snapToGrid w:val="0"/>
          <w:szCs w:val="24"/>
        </w:rPr>
        <w:t xml:space="preserve">had a strong emphasis on the importance of early and equitable access to effective treatment for </w:t>
      </w:r>
      <w:r w:rsidR="00725FBC" w:rsidRPr="003D294A">
        <w:rPr>
          <w:rFonts w:ascii="Calibri" w:eastAsia="Times New Roman" w:hAnsi="Calibri" w:cs="Arial"/>
          <w:snapToGrid w:val="0"/>
          <w:szCs w:val="24"/>
        </w:rPr>
        <w:t>CG3</w:t>
      </w:r>
      <w:r w:rsidR="00D933FB" w:rsidRPr="003D294A">
        <w:rPr>
          <w:rFonts w:ascii="Calibri" w:eastAsia="Times New Roman" w:hAnsi="Calibri" w:cs="Arial"/>
          <w:snapToGrid w:val="0"/>
          <w:szCs w:val="24"/>
        </w:rPr>
        <w:t xml:space="preserve">. </w:t>
      </w:r>
      <w:r w:rsidR="00D933FB" w:rsidRPr="003D294A">
        <w:t xml:space="preserve">The PBAC </w:t>
      </w:r>
      <w:r w:rsidR="00D933FB" w:rsidRPr="003D294A">
        <w:lastRenderedPageBreak/>
        <w:t xml:space="preserve">considered that there is a high clinical need for treatments for C3G, noting that other treatments are limited to supportive measures which do not impact the underlying mechanism of C3G, and most patients progress to end-stage kidney disease (requiring dialysis or transplant) despite these therapies. </w:t>
      </w:r>
      <w:r w:rsidR="006404A8" w:rsidRPr="003D294A">
        <w:rPr>
          <w:snapToGrid w:val="0"/>
        </w:rPr>
        <w:t xml:space="preserve">The inputs </w:t>
      </w:r>
      <w:r w:rsidR="00E6297A" w:rsidRPr="003D294A">
        <w:rPr>
          <w:snapToGrid w:val="0"/>
        </w:rPr>
        <w:t xml:space="preserve">noted </w:t>
      </w:r>
      <w:r w:rsidR="006404A8" w:rsidRPr="003D294A">
        <w:rPr>
          <w:snapToGrid w:val="0"/>
        </w:rPr>
        <w:t xml:space="preserve">that reducing the incidence of kidney failure can prevent physical, mental and emotional symptoms, prevent reduced quality of life and life participation as well as reduce carer burden and loss of income for patients and their families and carers. The inputs also noted that pegcetacoplan is well tolerated and acceptable to patients despite the requirement for subcutaneous administration. </w:t>
      </w:r>
      <w:r w:rsidR="004D7D80" w:rsidRPr="003D294A">
        <w:rPr>
          <w:rFonts w:cs="Arial"/>
          <w:bCs/>
          <w:snapToGrid w:val="0"/>
          <w:szCs w:val="24"/>
        </w:rPr>
        <w:t>The PBAC valued the inputs provided as they allowed additional insight into the patient, carer and health care provider perspective for a rare disease.</w:t>
      </w:r>
    </w:p>
    <w:p w14:paraId="01A4B4E2" w14:textId="3D52C265" w:rsidR="003922C8" w:rsidRPr="003D294A" w:rsidRDefault="00DE4F18" w:rsidP="00CF7B47">
      <w:pPr>
        <w:pStyle w:val="COMESnumberedpara"/>
        <w:numPr>
          <w:ilvl w:val="1"/>
          <w:numId w:val="1"/>
        </w:numPr>
        <w:spacing w:after="120"/>
      </w:pPr>
      <w:r w:rsidRPr="003D294A">
        <w:t xml:space="preserve">The PBAC considered that the proposed clinical place was appropriate. </w:t>
      </w:r>
      <w:r w:rsidR="003922C8" w:rsidRPr="003D294A">
        <w:rPr>
          <w:snapToGrid w:val="0"/>
        </w:rPr>
        <w:t xml:space="preserve">The proposed clinical place for pegcetacoplan was </w:t>
      </w:r>
      <w:r w:rsidR="003922C8" w:rsidRPr="003D294A">
        <w:t xml:space="preserve">as </w:t>
      </w:r>
      <w:r w:rsidR="00E64A75" w:rsidRPr="003D294A">
        <w:t xml:space="preserve">initial treatment in patients with native kidneys who have moderate to severe disease, </w:t>
      </w:r>
      <w:r w:rsidR="003F2303" w:rsidRPr="003D294A">
        <w:t xml:space="preserve">in addition to supportive measures with ACEI/ARB, SGLT2 inhibitors, as well as blood pressure control. </w:t>
      </w:r>
      <w:r w:rsidR="00CC33DA" w:rsidRPr="003D294A">
        <w:t xml:space="preserve">The </w:t>
      </w:r>
      <w:r w:rsidR="00A109A0" w:rsidRPr="003D294A">
        <w:t xml:space="preserve">submission also </w:t>
      </w:r>
      <w:r w:rsidR="00982667" w:rsidRPr="003D294A">
        <w:t>suggested</w:t>
      </w:r>
      <w:r w:rsidR="00CC33DA" w:rsidRPr="003D294A">
        <w:t xml:space="preserve"> that for patients with native kidneys use of pegcetacoplan would result in reduced use of immunosuppressive therapy</w:t>
      </w:r>
      <w:r w:rsidR="00982667" w:rsidRPr="003D294A">
        <w:t xml:space="preserve"> in clinical practice. The PBAC considered this was reasonable</w:t>
      </w:r>
      <w:r w:rsidR="00CC33DA" w:rsidRPr="003D294A">
        <w:t xml:space="preserve">, </w:t>
      </w:r>
      <w:r w:rsidR="00AB3923" w:rsidRPr="003D294A">
        <w:t xml:space="preserve">although </w:t>
      </w:r>
      <w:proofErr w:type="gramStart"/>
      <w:r w:rsidR="007E4B8C" w:rsidRPr="003D294A">
        <w:t>the majority of</w:t>
      </w:r>
      <w:proofErr w:type="gramEnd"/>
      <w:r w:rsidR="007E4B8C" w:rsidRPr="003D294A">
        <w:t xml:space="preserve"> </w:t>
      </w:r>
      <w:r w:rsidR="00AB3923" w:rsidRPr="003D294A">
        <w:t>patients</w:t>
      </w:r>
      <w:r w:rsidR="007E4B8C" w:rsidRPr="003D294A">
        <w:t xml:space="preserve"> in the VALIANT trial</w:t>
      </w:r>
      <w:r w:rsidR="00AB3923" w:rsidRPr="003D294A">
        <w:t xml:space="preserve"> continued </w:t>
      </w:r>
      <w:r w:rsidR="007E4B8C" w:rsidRPr="003D294A">
        <w:t xml:space="preserve">to receive </w:t>
      </w:r>
      <w:r w:rsidR="00A109A0" w:rsidRPr="003D294A">
        <w:t>immunosuppressant therapy</w:t>
      </w:r>
      <w:r w:rsidR="00CC33DA" w:rsidRPr="003D294A">
        <w:t>.</w:t>
      </w:r>
      <w:r w:rsidRPr="003D294A">
        <w:t xml:space="preserve"> The PBAC</w:t>
      </w:r>
      <w:r w:rsidR="00A52D95" w:rsidRPr="003D294A">
        <w:t xml:space="preserve"> also</w:t>
      </w:r>
      <w:r w:rsidRPr="003D294A">
        <w:t xml:space="preserve"> </w:t>
      </w:r>
      <w:r w:rsidR="00194279" w:rsidRPr="003D294A">
        <w:t xml:space="preserve">noted that a small number of </w:t>
      </w:r>
      <w:r w:rsidR="00387C8E" w:rsidRPr="003D294A">
        <w:t xml:space="preserve">patients in the VALIANT trial had received a kidney transplant. The PBAC </w:t>
      </w:r>
      <w:r w:rsidRPr="003D294A">
        <w:t>considered</w:t>
      </w:r>
      <w:r w:rsidR="00CC33DA" w:rsidRPr="003D294A">
        <w:t xml:space="preserve"> </w:t>
      </w:r>
      <w:r w:rsidR="001E6381" w:rsidRPr="003D294A">
        <w:t>that treatment of patients with C3G or primary IC-MPGN recurrence following a kidney transplant was clinically appropriate given the same mechanism of disease and noting the high clinical need for disease modifying treatments for these patients</w:t>
      </w:r>
      <w:r w:rsidRPr="003D294A">
        <w:t xml:space="preserve">. </w:t>
      </w:r>
    </w:p>
    <w:p w14:paraId="2F62EB0F" w14:textId="167DF432" w:rsidR="00A504AA" w:rsidRPr="003D294A" w:rsidRDefault="00A504AA" w:rsidP="00CF7B47">
      <w:pPr>
        <w:numPr>
          <w:ilvl w:val="1"/>
          <w:numId w:val="1"/>
        </w:numPr>
        <w:spacing w:after="120"/>
        <w:rPr>
          <w:rFonts w:asciiTheme="minorHAnsi" w:hAnsiTheme="minorHAnsi"/>
          <w:snapToGrid w:val="0"/>
        </w:rPr>
      </w:pPr>
      <w:bookmarkStart w:id="70" w:name="_Ref226720965"/>
      <w:r w:rsidRPr="003D294A">
        <w:rPr>
          <w:rFonts w:asciiTheme="minorHAnsi" w:hAnsiTheme="minorHAnsi"/>
          <w:snapToGrid w:val="0"/>
        </w:rPr>
        <w:t xml:space="preserve">The PBAC considered that the proposed restrictions </w:t>
      </w:r>
      <w:r w:rsidR="00214937" w:rsidRPr="003D294A">
        <w:rPr>
          <w:rFonts w:asciiTheme="minorHAnsi" w:hAnsiTheme="minorHAnsi"/>
          <w:snapToGrid w:val="0"/>
        </w:rPr>
        <w:t xml:space="preserve">were generally appropriate and aligned with the </w:t>
      </w:r>
      <w:r w:rsidR="00B27897" w:rsidRPr="003D294A">
        <w:rPr>
          <w:rFonts w:asciiTheme="minorHAnsi" w:hAnsiTheme="minorHAnsi"/>
          <w:snapToGrid w:val="0"/>
        </w:rPr>
        <w:t xml:space="preserve">population in the </w:t>
      </w:r>
      <w:r w:rsidR="009E00A3" w:rsidRPr="003D294A">
        <w:rPr>
          <w:rFonts w:asciiTheme="minorHAnsi" w:hAnsiTheme="minorHAnsi"/>
          <w:snapToGrid w:val="0"/>
        </w:rPr>
        <w:t>clinical evidence (VALIANT trial).</w:t>
      </w:r>
      <w:r w:rsidR="005F0174" w:rsidRPr="003D294A">
        <w:rPr>
          <w:rFonts w:asciiTheme="minorHAnsi" w:hAnsiTheme="minorHAnsi"/>
          <w:snapToGrid w:val="0"/>
        </w:rPr>
        <w:t xml:space="preserve"> </w:t>
      </w:r>
      <w:r w:rsidR="001A5C1B" w:rsidRPr="003D294A">
        <w:rPr>
          <w:rFonts w:asciiTheme="minorHAnsi" w:hAnsiTheme="minorHAnsi"/>
          <w:snapToGrid w:val="0"/>
        </w:rPr>
        <w:t>The PBAC considered that a Written Authority level would be appropriate for the initial and grandfather restrictions and Telephone</w:t>
      </w:r>
      <w:r w:rsidR="006F25B5" w:rsidRPr="003D294A">
        <w:rPr>
          <w:rFonts w:asciiTheme="minorHAnsi" w:hAnsiTheme="minorHAnsi"/>
          <w:snapToGrid w:val="0"/>
        </w:rPr>
        <w:t>/Online</w:t>
      </w:r>
      <w:r w:rsidR="001A5C1B" w:rsidRPr="003D294A">
        <w:rPr>
          <w:rFonts w:asciiTheme="minorHAnsi" w:hAnsiTheme="minorHAnsi"/>
          <w:snapToGrid w:val="0"/>
        </w:rPr>
        <w:t xml:space="preserve"> </w:t>
      </w:r>
      <w:r w:rsidR="006F25B5" w:rsidRPr="003D294A">
        <w:rPr>
          <w:rFonts w:asciiTheme="minorHAnsi" w:hAnsiTheme="minorHAnsi"/>
          <w:snapToGrid w:val="0"/>
        </w:rPr>
        <w:t xml:space="preserve">Authority level would be appropriate for the continuing listings. </w:t>
      </w:r>
      <w:r w:rsidR="009E00A3" w:rsidRPr="003D294A">
        <w:rPr>
          <w:rFonts w:asciiTheme="minorHAnsi" w:hAnsiTheme="minorHAnsi"/>
          <w:snapToGrid w:val="0"/>
        </w:rPr>
        <w:t xml:space="preserve">The PBAC </w:t>
      </w:r>
      <w:r w:rsidR="008C0B3D" w:rsidRPr="003D294A">
        <w:rPr>
          <w:rFonts w:asciiTheme="minorHAnsi" w:hAnsiTheme="minorHAnsi"/>
          <w:snapToGrid w:val="0"/>
        </w:rPr>
        <w:t xml:space="preserve">considered that it would not be appropriate to limit treatment </w:t>
      </w:r>
      <w:r w:rsidR="00294428" w:rsidRPr="003D294A">
        <w:rPr>
          <w:rFonts w:asciiTheme="minorHAnsi" w:hAnsiTheme="minorHAnsi"/>
          <w:snapToGrid w:val="0"/>
        </w:rPr>
        <w:t xml:space="preserve">to patients with decreased serum </w:t>
      </w:r>
      <w:r w:rsidR="00F92A19" w:rsidRPr="003D294A">
        <w:rPr>
          <w:rFonts w:asciiTheme="minorHAnsi" w:hAnsiTheme="minorHAnsi"/>
          <w:snapToGrid w:val="0"/>
        </w:rPr>
        <w:t xml:space="preserve">C3 levels as it </w:t>
      </w:r>
      <w:r w:rsidR="00294428" w:rsidRPr="003D294A">
        <w:rPr>
          <w:rFonts w:asciiTheme="minorHAnsi" w:hAnsiTheme="minorHAnsi"/>
          <w:snapToGrid w:val="0"/>
        </w:rPr>
        <w:t>is</w:t>
      </w:r>
      <w:r w:rsidR="00F92A19" w:rsidRPr="003D294A">
        <w:rPr>
          <w:rFonts w:asciiTheme="minorHAnsi" w:hAnsiTheme="minorHAnsi"/>
          <w:snapToGrid w:val="0"/>
        </w:rPr>
        <w:t xml:space="preserve"> uncertain whether C3 levels are a treatment effect modifier</w:t>
      </w:r>
      <w:r w:rsidR="004A5513" w:rsidRPr="003D294A">
        <w:rPr>
          <w:rFonts w:asciiTheme="minorHAnsi" w:hAnsiTheme="minorHAnsi"/>
          <w:snapToGrid w:val="0"/>
        </w:rPr>
        <w:t>. The PBAC considered that the</w:t>
      </w:r>
      <w:r w:rsidR="008012D1" w:rsidRPr="003D294A">
        <w:rPr>
          <w:rFonts w:asciiTheme="minorHAnsi" w:hAnsiTheme="minorHAnsi"/>
          <w:snapToGrid w:val="0"/>
        </w:rPr>
        <w:t xml:space="preserve"> following additional</w:t>
      </w:r>
      <w:r w:rsidR="004A5513" w:rsidRPr="003D294A">
        <w:rPr>
          <w:rFonts w:asciiTheme="minorHAnsi" w:hAnsiTheme="minorHAnsi"/>
          <w:snapToGrid w:val="0"/>
        </w:rPr>
        <w:t xml:space="preserve"> changes to the restrictions</w:t>
      </w:r>
      <w:r w:rsidR="008012D1" w:rsidRPr="003D294A">
        <w:rPr>
          <w:rFonts w:asciiTheme="minorHAnsi" w:hAnsiTheme="minorHAnsi"/>
          <w:snapToGrid w:val="0"/>
        </w:rPr>
        <w:t xml:space="preserve"> would be appropriate:</w:t>
      </w:r>
      <w:bookmarkEnd w:id="70"/>
    </w:p>
    <w:p w14:paraId="29536B65" w14:textId="76E06F28" w:rsidR="00B73183" w:rsidRPr="003D294A" w:rsidRDefault="113F73C9" w:rsidP="00CF7B47">
      <w:pPr>
        <w:pStyle w:val="ListParagraph"/>
        <w:jc w:val="both"/>
      </w:pPr>
      <w:r>
        <w:t>Additional eligibility c</w:t>
      </w:r>
      <w:r w:rsidR="00AF6187">
        <w:t>riteria</w:t>
      </w:r>
      <w:r w:rsidR="00AF6187" w:rsidRPr="003D294A">
        <w:t xml:space="preserve"> </w:t>
      </w:r>
      <w:r w:rsidR="00DE2BA0" w:rsidRPr="003D294A">
        <w:t xml:space="preserve">for </w:t>
      </w:r>
      <w:r w:rsidR="00B73183" w:rsidRPr="003D294A">
        <w:t>post-transplant patients</w:t>
      </w:r>
      <w:r w:rsidR="009C28BE" w:rsidRPr="003D294A">
        <w:t xml:space="preserve"> </w:t>
      </w:r>
      <w:r w:rsidR="008A5919" w:rsidRPr="003D294A">
        <w:t xml:space="preserve">should be revised </w:t>
      </w:r>
      <w:r w:rsidR="007552F7" w:rsidRPr="003D294A">
        <w:t>such</w:t>
      </w:r>
      <w:r w:rsidR="008A5919" w:rsidRPr="003D294A">
        <w:t xml:space="preserve"> that </w:t>
      </w:r>
      <w:r w:rsidR="00B73183" w:rsidRPr="003D294A">
        <w:t xml:space="preserve">eligibility </w:t>
      </w:r>
      <w:r w:rsidR="002901CF" w:rsidRPr="003D294A">
        <w:t>requir</w:t>
      </w:r>
      <w:r w:rsidR="00E647BB" w:rsidRPr="003D294A">
        <w:t>es</w:t>
      </w:r>
      <w:r w:rsidR="00B73183" w:rsidRPr="003D294A">
        <w:t xml:space="preserve"> biopsy-proven disease recurrence.</w:t>
      </w:r>
    </w:p>
    <w:p w14:paraId="467D8FE4" w14:textId="72A1265C" w:rsidR="008012D1" w:rsidRPr="003D294A" w:rsidRDefault="0041585E" w:rsidP="00CF7B47">
      <w:pPr>
        <w:pStyle w:val="ListParagraph"/>
        <w:jc w:val="both"/>
      </w:pPr>
      <w:r w:rsidRPr="003D294A">
        <w:t xml:space="preserve">Addition of a criterion requiring </w:t>
      </w:r>
      <w:r w:rsidR="16792642">
        <w:t xml:space="preserve">patients to </w:t>
      </w:r>
      <w:r w:rsidR="00845AC5">
        <w:t>have</w:t>
      </w:r>
      <w:r w:rsidR="16792642">
        <w:t xml:space="preserve"> </w:t>
      </w:r>
      <w:r>
        <w:t>proteinuria</w:t>
      </w:r>
      <w:r w:rsidRPr="003D294A">
        <w:t xml:space="preserve"> ≥1.0 g/day </w:t>
      </w:r>
      <w:r w:rsidR="3421423B">
        <w:t xml:space="preserve">under </w:t>
      </w:r>
      <w:r w:rsidRPr="003D294A">
        <w:t>the initial treatment restriction, consistent with the trial population.</w:t>
      </w:r>
    </w:p>
    <w:p w14:paraId="2607C9B2" w14:textId="458171FE" w:rsidR="0041585E" w:rsidRPr="003D294A" w:rsidRDefault="0041585E" w:rsidP="00CF7B47">
      <w:pPr>
        <w:pStyle w:val="ListParagraph"/>
        <w:jc w:val="both"/>
      </w:pPr>
      <w:r w:rsidRPr="003D294A">
        <w:t xml:space="preserve">Addition of a treatment criterion requiring continued use of supportive measures as appropriate (optimised use of ACEI/ARB +/- SGLT2), consistent with </w:t>
      </w:r>
      <w:r w:rsidR="00A764ED" w:rsidRPr="003D294A">
        <w:t>clinical</w:t>
      </w:r>
      <w:r w:rsidRPr="003D294A">
        <w:t xml:space="preserve"> </w:t>
      </w:r>
      <w:r w:rsidR="00A764ED" w:rsidRPr="003D294A">
        <w:t>guidelines and the with trial</w:t>
      </w:r>
      <w:r w:rsidR="00306F53" w:rsidRPr="003D294A">
        <w:t xml:space="preserve"> population</w:t>
      </w:r>
      <w:r w:rsidRPr="003D294A">
        <w:t>.</w:t>
      </w:r>
    </w:p>
    <w:p w14:paraId="255C2E58" w14:textId="2377064B" w:rsidR="00A764ED" w:rsidRPr="003D294A" w:rsidRDefault="00A764ED" w:rsidP="00CF7B47">
      <w:pPr>
        <w:pStyle w:val="ListParagraph"/>
        <w:jc w:val="both"/>
      </w:pPr>
      <w:r w:rsidRPr="003D294A">
        <w:t xml:space="preserve">The </w:t>
      </w:r>
      <w:r w:rsidR="00306D50">
        <w:t xml:space="preserve">first </w:t>
      </w:r>
      <w:r w:rsidR="00E028E2" w:rsidRPr="003D294A">
        <w:t xml:space="preserve">continuing </w:t>
      </w:r>
      <w:r w:rsidRPr="003D294A">
        <w:t xml:space="preserve">restriction should specify that patients must demonstrate </w:t>
      </w:r>
      <w:r w:rsidR="00306D50" w:rsidRPr="00306D50">
        <w:t xml:space="preserve">evidence of improvement or stabilisation of disease </w:t>
      </w:r>
      <w:r w:rsidR="00306D50">
        <w:t>defined as</w:t>
      </w:r>
      <w:r w:rsidR="00306D50" w:rsidRPr="00306D50">
        <w:t xml:space="preserve"> a </w:t>
      </w:r>
      <w:r w:rsidR="00306D50" w:rsidRPr="00306D50">
        <w:rPr>
          <w:u w:val="single"/>
        </w:rPr>
        <w:t>&gt;</w:t>
      </w:r>
      <w:r w:rsidR="00306D50" w:rsidRPr="00306D50">
        <w:t xml:space="preserve">50% reduction in FMU UPCR or a </w:t>
      </w:r>
      <w:r w:rsidR="00306D50" w:rsidRPr="00306D50">
        <w:rPr>
          <w:u w:val="single"/>
        </w:rPr>
        <w:t>&lt;</w:t>
      </w:r>
      <w:r w:rsidR="00306D50" w:rsidRPr="00306D50">
        <w:t>15% decrease in eGFR from baseline</w:t>
      </w:r>
      <w:r w:rsidR="00F548C9">
        <w:t xml:space="preserve"> after 16 </w:t>
      </w:r>
      <w:r w:rsidR="00F548C9">
        <w:lastRenderedPageBreak/>
        <w:t>weeks of treatment</w:t>
      </w:r>
      <w:r w:rsidR="00306D50">
        <w:t>. For subsequent continuing restrictions demonstration of improvement or stabilisation of disease based on clinician judgement would be appropriate</w:t>
      </w:r>
      <w:r w:rsidRPr="003D294A">
        <w:t>, given the progressive nature of C3G and p</w:t>
      </w:r>
      <w:r w:rsidR="00201ECB" w:rsidRPr="003D294A">
        <w:t xml:space="preserve">rimary </w:t>
      </w:r>
      <w:r w:rsidRPr="003D294A">
        <w:t>IC-MPGN.</w:t>
      </w:r>
      <w:r w:rsidR="00E028E2" w:rsidRPr="003D294A">
        <w:t xml:space="preserve"> </w:t>
      </w:r>
    </w:p>
    <w:p w14:paraId="3DDEF29B" w14:textId="3213B1D8" w:rsidR="00F736C7" w:rsidRPr="003D294A" w:rsidRDefault="00222372" w:rsidP="00CF7B47">
      <w:pPr>
        <w:numPr>
          <w:ilvl w:val="1"/>
          <w:numId w:val="1"/>
        </w:numPr>
        <w:spacing w:after="120"/>
        <w:rPr>
          <w:rFonts w:asciiTheme="minorHAnsi" w:hAnsiTheme="minorHAnsi"/>
          <w:snapToGrid w:val="0"/>
        </w:rPr>
      </w:pPr>
      <w:r w:rsidRPr="003D294A">
        <w:rPr>
          <w:rFonts w:asciiTheme="minorHAnsi" w:hAnsiTheme="minorHAnsi"/>
          <w:snapToGrid w:val="0"/>
        </w:rPr>
        <w:t xml:space="preserve">The PBAC considered the </w:t>
      </w:r>
      <w:r w:rsidRPr="003D294A">
        <w:t>nominated main comparator of “standard of care”</w:t>
      </w:r>
      <w:r w:rsidR="006D58F6" w:rsidRPr="003D294A">
        <w:t xml:space="preserve"> (supportive measures that include renin-angiotensin system inhibition with ACEI/ARB, SGLT2 inhibitors and blood pressure control; as well as general immunosuppression e.g. mycophenolate mofetil, corticosteroids)</w:t>
      </w:r>
      <w:r w:rsidR="00631922" w:rsidRPr="003D294A">
        <w:t xml:space="preserve"> </w:t>
      </w:r>
      <w:r w:rsidRPr="003D294A">
        <w:t xml:space="preserve">was appropriate, and noted that iptacopan is </w:t>
      </w:r>
      <w:r w:rsidR="00A0738B">
        <w:t xml:space="preserve">also </w:t>
      </w:r>
      <w:r w:rsidRPr="003D294A">
        <w:t>a relevant near-market comparator.</w:t>
      </w:r>
      <w:r w:rsidR="00CF7B47">
        <w:t xml:space="preserve"> </w:t>
      </w:r>
    </w:p>
    <w:p w14:paraId="3A397258" w14:textId="45F68E84" w:rsidR="00CD0BE8" w:rsidRPr="00CD0BE8" w:rsidRDefault="00AD3539" w:rsidP="00CF7B47">
      <w:pPr>
        <w:numPr>
          <w:ilvl w:val="1"/>
          <w:numId w:val="1"/>
        </w:numPr>
        <w:spacing w:after="120"/>
        <w:rPr>
          <w:rFonts w:asciiTheme="minorHAnsi" w:eastAsiaTheme="minorHAnsi" w:hAnsiTheme="minorHAnsi" w:cstheme="minorBidi"/>
          <w:szCs w:val="22"/>
        </w:rPr>
      </w:pPr>
      <w:r>
        <w:t>The submission</w:t>
      </w:r>
      <w:r w:rsidR="00AF636B">
        <w:t xml:space="preserve">’s comparison with </w:t>
      </w:r>
      <w:r w:rsidR="00AE5BE0">
        <w:t>standard of care</w:t>
      </w:r>
      <w:r>
        <w:t xml:space="preserve"> was based on a head-to-head randomised trial of pegcetacoplan versus placebo in patients with C3G or primary IC-MPGN (VALIANT)</w:t>
      </w:r>
      <w:r w:rsidR="00DA1246">
        <w:t xml:space="preserve"> over a 26-week double blind period f</w:t>
      </w:r>
      <w:r w:rsidR="00155DA6">
        <w:t>ol</w:t>
      </w:r>
      <w:r w:rsidR="00DA1246">
        <w:t xml:space="preserve">lowed by a </w:t>
      </w:r>
      <w:r w:rsidR="009C4EFB">
        <w:t>26-week open label period</w:t>
      </w:r>
      <w:r>
        <w:t>.</w:t>
      </w:r>
      <w:r w:rsidR="00AE5BE0">
        <w:t xml:space="preserve"> </w:t>
      </w:r>
      <w:r w:rsidR="00C320B8" w:rsidRPr="003D294A">
        <w:t xml:space="preserve">The </w:t>
      </w:r>
      <w:r w:rsidR="003C4B88">
        <w:t xml:space="preserve">primary </w:t>
      </w:r>
      <w:r w:rsidR="00BC2ADC">
        <w:t>outcome</w:t>
      </w:r>
      <w:r w:rsidR="003C4B88">
        <w:t xml:space="preserve"> from</w:t>
      </w:r>
      <w:r w:rsidR="00BC2ADC">
        <w:t xml:space="preserve"> VALIANT w</w:t>
      </w:r>
      <w:r w:rsidR="00C42F27">
        <w:t>as change in</w:t>
      </w:r>
      <w:r w:rsidR="00C320B8" w:rsidRPr="003D294A">
        <w:t xml:space="preserve"> </w:t>
      </w:r>
      <w:r w:rsidR="005531C0">
        <w:t xml:space="preserve">first morning </w:t>
      </w:r>
      <w:r w:rsidR="00F6441B">
        <w:t>UPCR with</w:t>
      </w:r>
      <w:r w:rsidR="00ED0D56">
        <w:t xml:space="preserve"> </w:t>
      </w:r>
      <w:r w:rsidR="00E54D22">
        <w:t xml:space="preserve">key </w:t>
      </w:r>
      <w:r w:rsidR="00ED0D56">
        <w:t xml:space="preserve">secondary outcomes of </w:t>
      </w:r>
      <w:r w:rsidR="00E447FD">
        <w:t>change in eGFR</w:t>
      </w:r>
      <w:r w:rsidR="002C3B4A">
        <w:t xml:space="preserve"> </w:t>
      </w:r>
      <w:r w:rsidR="00E54D22">
        <w:t xml:space="preserve">and </w:t>
      </w:r>
      <w:r w:rsidR="003B1075">
        <w:t xml:space="preserve">the composite endpoint </w:t>
      </w:r>
      <w:r w:rsidR="00F904C0">
        <w:t>(</w:t>
      </w:r>
      <w:r w:rsidR="00F904C0" w:rsidRPr="004B10B6">
        <w:rPr>
          <w:rFonts w:cstheme="minorHAnsi"/>
        </w:rPr>
        <w:t>≤</w:t>
      </w:r>
      <w:r w:rsidR="00F904C0">
        <w:t xml:space="preserve">15% reduction in eGFR and </w:t>
      </w:r>
      <w:r w:rsidR="00F904C0" w:rsidRPr="004B10B6">
        <w:rPr>
          <w:rFonts w:cstheme="minorHAnsi"/>
        </w:rPr>
        <w:t>≥</w:t>
      </w:r>
      <w:r w:rsidR="00F904C0">
        <w:t xml:space="preserve">50% </w:t>
      </w:r>
      <w:r w:rsidR="002D69C3">
        <w:t>reduction in UPCR</w:t>
      </w:r>
      <w:r w:rsidR="00D40B46">
        <w:t>)</w:t>
      </w:r>
      <w:r w:rsidR="002D69C3">
        <w:t xml:space="preserve">. </w:t>
      </w:r>
      <w:r w:rsidR="001A6E59" w:rsidRPr="004B10B6">
        <w:rPr>
          <w:rFonts w:asciiTheme="minorHAnsi" w:hAnsiTheme="minorHAnsi"/>
          <w:snapToGrid w:val="0"/>
        </w:rPr>
        <w:t>The PBAC noted the outcomes in the key trial reflected short-term changes in proteinuria and eGFR, with comparative data limited to 6 months. The submission presented epidemiological evidence supporting the use of reduction in proteinuria and stabilisation in eGFR as surrogate measures for the target clinical outcome of end stage kidney disease, however there were no direct data demonstrating that treatment-related changes in proteinuria or eGFR would result in a quantifiable change in the risk of kidney failure specifically in patients with C3G</w:t>
      </w:r>
      <w:r w:rsidR="00C773D8" w:rsidRPr="004B10B6">
        <w:rPr>
          <w:rFonts w:asciiTheme="minorHAnsi" w:hAnsiTheme="minorHAnsi"/>
          <w:snapToGrid w:val="0"/>
        </w:rPr>
        <w:t xml:space="preserve">/primary </w:t>
      </w:r>
      <w:r w:rsidR="00804409" w:rsidRPr="004B10B6">
        <w:rPr>
          <w:rFonts w:asciiTheme="minorHAnsi" w:hAnsiTheme="minorHAnsi"/>
          <w:snapToGrid w:val="0"/>
        </w:rPr>
        <w:t>IC-MPGN</w:t>
      </w:r>
      <w:r w:rsidR="001A6E59" w:rsidRPr="004B10B6">
        <w:rPr>
          <w:rFonts w:asciiTheme="minorHAnsi" w:hAnsiTheme="minorHAnsi"/>
          <w:snapToGrid w:val="0"/>
        </w:rPr>
        <w:t xml:space="preserve">. The PBAC </w:t>
      </w:r>
      <w:r w:rsidR="0044497A">
        <w:rPr>
          <w:rFonts w:asciiTheme="minorHAnsi" w:hAnsiTheme="minorHAnsi"/>
          <w:snapToGrid w:val="0"/>
        </w:rPr>
        <w:t xml:space="preserve">considered that </w:t>
      </w:r>
      <w:r w:rsidR="001A6E59" w:rsidRPr="004B10B6">
        <w:rPr>
          <w:rFonts w:asciiTheme="minorHAnsi" w:hAnsiTheme="minorHAnsi"/>
          <w:snapToGrid w:val="0"/>
        </w:rPr>
        <w:t xml:space="preserve">biological plausibility and epidemiological evidence support proteinuria and eGFR levels as </w:t>
      </w:r>
      <w:r w:rsidR="005241A8" w:rsidRPr="004B10B6">
        <w:rPr>
          <w:rFonts w:asciiTheme="minorHAnsi" w:hAnsiTheme="minorHAnsi"/>
          <w:snapToGrid w:val="0"/>
        </w:rPr>
        <w:t xml:space="preserve">well-established </w:t>
      </w:r>
      <w:r w:rsidR="001A6E59" w:rsidRPr="004B10B6">
        <w:rPr>
          <w:rFonts w:asciiTheme="minorHAnsi" w:hAnsiTheme="minorHAnsi"/>
          <w:snapToGrid w:val="0"/>
        </w:rPr>
        <w:t xml:space="preserve">prognostic variables for kidney disease progression, </w:t>
      </w:r>
      <w:r w:rsidR="00827845">
        <w:rPr>
          <w:rFonts w:asciiTheme="minorHAnsi" w:hAnsiTheme="minorHAnsi"/>
          <w:snapToGrid w:val="0"/>
        </w:rPr>
        <w:t>and this was supported by the clinician in the sponsor hearing. H</w:t>
      </w:r>
      <w:r w:rsidR="001A6E59" w:rsidRPr="004B10B6">
        <w:rPr>
          <w:rFonts w:asciiTheme="minorHAnsi" w:hAnsiTheme="minorHAnsi"/>
          <w:snapToGrid w:val="0"/>
        </w:rPr>
        <w:t>owever, the magnitude by which proteinuria reduction or eGFR stabilisation mitigates progression to ESKD and its associated sequelae remains uncertain.</w:t>
      </w:r>
      <w:r w:rsidR="004B10B6">
        <w:rPr>
          <w:rFonts w:asciiTheme="minorHAnsi" w:hAnsiTheme="minorHAnsi"/>
          <w:snapToGrid w:val="0"/>
        </w:rPr>
        <w:t xml:space="preserve"> </w:t>
      </w:r>
      <w:r w:rsidR="00C320B8" w:rsidRPr="003D294A">
        <w:t xml:space="preserve">The </w:t>
      </w:r>
      <w:r w:rsidR="0048175A">
        <w:t xml:space="preserve">PBAC agreed with the </w:t>
      </w:r>
      <w:r w:rsidR="00C320B8" w:rsidRPr="003D294A">
        <w:t xml:space="preserve">Sub-Committees that </w:t>
      </w:r>
      <w:r w:rsidR="0093571C">
        <w:t xml:space="preserve">it </w:t>
      </w:r>
      <w:r w:rsidR="0093571C" w:rsidRPr="003D294A">
        <w:t xml:space="preserve">would be difficult to attain </w:t>
      </w:r>
      <w:r w:rsidR="00C320B8" w:rsidRPr="003D294A">
        <w:t xml:space="preserve">data </w:t>
      </w:r>
      <w:r w:rsidR="007437F4">
        <w:t>to demonstrate</w:t>
      </w:r>
      <w:r w:rsidR="007437F4" w:rsidRPr="003D294A">
        <w:t xml:space="preserve"> </w:t>
      </w:r>
      <w:r w:rsidR="00C320B8" w:rsidRPr="003D294A">
        <w:t xml:space="preserve">treatment-related changes in proteinuria or eGFR </w:t>
      </w:r>
      <w:r w:rsidR="007437F4">
        <w:t>that</w:t>
      </w:r>
      <w:r w:rsidR="007437F4" w:rsidRPr="003D294A">
        <w:t xml:space="preserve"> </w:t>
      </w:r>
      <w:r w:rsidR="00C320B8" w:rsidRPr="003D294A">
        <w:t>result in a quantifiable change in the risk of kidney failure in these patients.</w:t>
      </w:r>
      <w:r w:rsidR="0019271D">
        <w:t xml:space="preserve"> </w:t>
      </w:r>
    </w:p>
    <w:p w14:paraId="3ECCF811" w14:textId="096D8F1B" w:rsidR="00C633BC" w:rsidRPr="00B35C00" w:rsidRDefault="00412502" w:rsidP="00CF7B47">
      <w:pPr>
        <w:numPr>
          <w:ilvl w:val="1"/>
          <w:numId w:val="1"/>
        </w:numPr>
        <w:spacing w:after="120"/>
        <w:rPr>
          <w:rFonts w:asciiTheme="minorHAnsi" w:eastAsiaTheme="minorHAnsi" w:hAnsiTheme="minorHAnsi" w:cstheme="minorBidi"/>
          <w:szCs w:val="22"/>
        </w:rPr>
      </w:pPr>
      <w:r w:rsidRPr="003C7A64">
        <w:rPr>
          <w:rFonts w:asciiTheme="minorHAnsi" w:hAnsiTheme="minorHAnsi"/>
          <w:snapToGrid w:val="0"/>
        </w:rPr>
        <w:t xml:space="preserve">The PBAC noted that treatment with pegcetacoplan was associated with a statistically significant reduction in </w:t>
      </w:r>
      <w:r w:rsidR="00FD7186" w:rsidRPr="003C7A64">
        <w:rPr>
          <w:rFonts w:asciiTheme="minorHAnsi" w:hAnsiTheme="minorHAnsi"/>
          <w:snapToGrid w:val="0"/>
        </w:rPr>
        <w:t>first morning</w:t>
      </w:r>
      <w:r w:rsidRPr="003C7A64">
        <w:rPr>
          <w:rFonts w:asciiTheme="minorHAnsi" w:hAnsiTheme="minorHAnsi"/>
          <w:snapToGrid w:val="0"/>
        </w:rPr>
        <w:t xml:space="preserve"> UPCR compared to placebo at </w:t>
      </w:r>
      <w:r w:rsidR="002D4BD0" w:rsidRPr="003C7A64">
        <w:rPr>
          <w:rFonts w:asciiTheme="minorHAnsi" w:hAnsiTheme="minorHAnsi"/>
          <w:snapToGrid w:val="0"/>
        </w:rPr>
        <w:t>2</w:t>
      </w:r>
      <w:r w:rsidRPr="003C7A64">
        <w:rPr>
          <w:rFonts w:asciiTheme="minorHAnsi" w:hAnsiTheme="minorHAnsi"/>
          <w:snapToGrid w:val="0"/>
        </w:rPr>
        <w:t xml:space="preserve">6 </w:t>
      </w:r>
      <w:r w:rsidR="002D4BD0" w:rsidRPr="003C7A64">
        <w:rPr>
          <w:rFonts w:asciiTheme="minorHAnsi" w:hAnsiTheme="minorHAnsi"/>
          <w:snapToGrid w:val="0"/>
        </w:rPr>
        <w:t>weeks</w:t>
      </w:r>
      <w:r w:rsidRPr="003C7A64">
        <w:rPr>
          <w:rFonts w:asciiTheme="minorHAnsi" w:hAnsiTheme="minorHAnsi"/>
          <w:snapToGrid w:val="0"/>
        </w:rPr>
        <w:t xml:space="preserve">, and effects on proteinuria were sustained at 12 months during the open-label extension period. However, the PBAC noted that </w:t>
      </w:r>
      <w:r w:rsidR="00DF45B8" w:rsidRPr="003C7A64">
        <w:rPr>
          <w:rFonts w:asciiTheme="minorHAnsi" w:hAnsiTheme="minorHAnsi"/>
          <w:snapToGrid w:val="0"/>
        </w:rPr>
        <w:t>a</w:t>
      </w:r>
      <w:r w:rsidR="001815B6" w:rsidRPr="003C7A64">
        <w:rPr>
          <w:rFonts w:asciiTheme="minorHAnsi" w:hAnsiTheme="minorHAnsi"/>
          <w:snapToGrid w:val="0"/>
        </w:rPr>
        <w:t xml:space="preserve">lthough there was a numerical difference </w:t>
      </w:r>
      <w:r w:rsidR="00DF45B8" w:rsidRPr="003C7A64">
        <w:rPr>
          <w:rFonts w:asciiTheme="minorHAnsi" w:hAnsiTheme="minorHAnsi"/>
          <w:snapToGrid w:val="0"/>
        </w:rPr>
        <w:t>in the decline in eGFR</w:t>
      </w:r>
      <w:r w:rsidR="009D6257" w:rsidRPr="003C7A64">
        <w:rPr>
          <w:rFonts w:asciiTheme="minorHAnsi" w:hAnsiTheme="minorHAnsi"/>
          <w:snapToGrid w:val="0"/>
        </w:rPr>
        <w:t xml:space="preserve"> between the treatment arms </w:t>
      </w:r>
      <w:r w:rsidR="00BA36E8" w:rsidRPr="003C7A64">
        <w:rPr>
          <w:rFonts w:asciiTheme="minorHAnsi" w:hAnsiTheme="minorHAnsi"/>
          <w:snapToGrid w:val="0"/>
        </w:rPr>
        <w:t xml:space="preserve">the value was </w:t>
      </w:r>
      <w:r w:rsidR="003F3D21" w:rsidRPr="003C7A64">
        <w:rPr>
          <w:rFonts w:asciiTheme="minorHAnsi" w:hAnsiTheme="minorHAnsi"/>
          <w:snapToGrid w:val="0"/>
        </w:rPr>
        <w:t>not formally tested for statistical significance due to the hierarchical endpoint testing strategy</w:t>
      </w:r>
      <w:r w:rsidR="00346B66" w:rsidRPr="003C7A64">
        <w:rPr>
          <w:rFonts w:asciiTheme="minorHAnsi" w:hAnsiTheme="minorHAnsi"/>
          <w:snapToGrid w:val="0"/>
        </w:rPr>
        <w:t xml:space="preserve"> and the PBAC considered that</w:t>
      </w:r>
      <w:r w:rsidR="003F3D21" w:rsidRPr="003C7A64">
        <w:rPr>
          <w:rFonts w:asciiTheme="minorHAnsi" w:hAnsiTheme="minorHAnsi"/>
          <w:snapToGrid w:val="0"/>
        </w:rPr>
        <w:t xml:space="preserve"> the duration of the double-blind phase of the trial was likely too short and the sample size too small to </w:t>
      </w:r>
      <w:r w:rsidR="007B502A">
        <w:rPr>
          <w:rFonts w:asciiTheme="minorHAnsi" w:hAnsiTheme="minorHAnsi"/>
          <w:snapToGrid w:val="0"/>
        </w:rPr>
        <w:t>unequiv</w:t>
      </w:r>
      <w:r w:rsidR="000842F2">
        <w:rPr>
          <w:rFonts w:asciiTheme="minorHAnsi" w:hAnsiTheme="minorHAnsi"/>
          <w:snapToGrid w:val="0"/>
        </w:rPr>
        <w:t>ocal</w:t>
      </w:r>
      <w:r w:rsidR="007B502A" w:rsidRPr="003C7A64">
        <w:rPr>
          <w:rFonts w:asciiTheme="minorHAnsi" w:hAnsiTheme="minorHAnsi"/>
          <w:snapToGrid w:val="0"/>
        </w:rPr>
        <w:t xml:space="preserve">ly </w:t>
      </w:r>
      <w:r w:rsidR="003F3D21" w:rsidRPr="003C7A64">
        <w:rPr>
          <w:rFonts w:asciiTheme="minorHAnsi" w:hAnsiTheme="minorHAnsi"/>
          <w:snapToGrid w:val="0"/>
        </w:rPr>
        <w:t xml:space="preserve">demonstrate any </w:t>
      </w:r>
      <w:r w:rsidR="00DA1EC1">
        <w:rPr>
          <w:rFonts w:asciiTheme="minorHAnsi" w:hAnsiTheme="minorHAnsi"/>
          <w:snapToGrid w:val="0"/>
        </w:rPr>
        <w:t>reduction</w:t>
      </w:r>
      <w:r w:rsidR="00DA1EC1" w:rsidRPr="003C7A64">
        <w:rPr>
          <w:rFonts w:asciiTheme="minorHAnsi" w:hAnsiTheme="minorHAnsi"/>
          <w:snapToGrid w:val="0"/>
        </w:rPr>
        <w:t xml:space="preserve"> </w:t>
      </w:r>
      <w:r w:rsidR="003F3D21" w:rsidRPr="003C7A64">
        <w:rPr>
          <w:rFonts w:asciiTheme="minorHAnsi" w:hAnsiTheme="minorHAnsi"/>
          <w:snapToGrid w:val="0"/>
        </w:rPr>
        <w:t>in eGFR decline.</w:t>
      </w:r>
      <w:r w:rsidR="009D6257" w:rsidRPr="003C7A64">
        <w:rPr>
          <w:rFonts w:asciiTheme="minorHAnsi" w:hAnsiTheme="minorHAnsi"/>
          <w:snapToGrid w:val="0"/>
        </w:rPr>
        <w:t xml:space="preserve"> </w:t>
      </w:r>
      <w:r w:rsidR="00C633BC">
        <w:rPr>
          <w:rFonts w:asciiTheme="minorHAnsi" w:hAnsiTheme="minorHAnsi"/>
          <w:snapToGrid w:val="0"/>
        </w:rPr>
        <w:t xml:space="preserve">The </w:t>
      </w:r>
      <w:r w:rsidR="00C633BC">
        <w:t>PBAC</w:t>
      </w:r>
      <w:r w:rsidR="00C633BC">
        <w:rPr>
          <w:rFonts w:asciiTheme="minorHAnsi" w:hAnsiTheme="minorHAnsi"/>
          <w:snapToGrid w:val="0"/>
        </w:rPr>
        <w:t xml:space="preserve"> </w:t>
      </w:r>
      <w:r w:rsidR="003C7A64">
        <w:rPr>
          <w:rFonts w:asciiTheme="minorHAnsi" w:eastAsiaTheme="minorHAnsi" w:hAnsiTheme="minorHAnsi" w:cstheme="minorBidi"/>
          <w:szCs w:val="22"/>
        </w:rPr>
        <w:t xml:space="preserve">also </w:t>
      </w:r>
      <w:r w:rsidR="00C633BC" w:rsidRPr="003C7A64">
        <w:rPr>
          <w:rFonts w:asciiTheme="minorHAnsi" w:eastAsiaTheme="minorHAnsi" w:hAnsiTheme="minorHAnsi" w:cstheme="minorBidi"/>
          <w:szCs w:val="22"/>
        </w:rPr>
        <w:t xml:space="preserve">noted </w:t>
      </w:r>
      <w:r w:rsidR="00AA0C73">
        <w:t>that the</w:t>
      </w:r>
      <w:r w:rsidR="00C633BC" w:rsidRPr="003C7A64">
        <w:rPr>
          <w:rFonts w:asciiTheme="minorHAnsi" w:eastAsiaTheme="minorHAnsi" w:hAnsiTheme="minorHAnsi" w:cstheme="minorBidi"/>
          <w:szCs w:val="22"/>
        </w:rPr>
        <w:t xml:space="preserve"> eGFR decline in the placebo arm was substantially </w:t>
      </w:r>
      <w:r w:rsidR="001B4E6C">
        <w:rPr>
          <w:rFonts w:asciiTheme="minorHAnsi" w:eastAsiaTheme="minorHAnsi" w:hAnsiTheme="minorHAnsi" w:cstheme="minorBidi"/>
          <w:szCs w:val="22"/>
        </w:rPr>
        <w:t>faster</w:t>
      </w:r>
      <w:r w:rsidR="001B4E6C" w:rsidRPr="003C7A64">
        <w:rPr>
          <w:rFonts w:asciiTheme="minorHAnsi" w:eastAsiaTheme="minorHAnsi" w:hAnsiTheme="minorHAnsi" w:cstheme="minorBidi"/>
          <w:szCs w:val="22"/>
        </w:rPr>
        <w:t xml:space="preserve"> </w:t>
      </w:r>
      <w:r w:rsidR="00C633BC" w:rsidRPr="003C7A64">
        <w:rPr>
          <w:rFonts w:asciiTheme="minorHAnsi" w:eastAsiaTheme="minorHAnsi" w:hAnsiTheme="minorHAnsi" w:cstheme="minorBidi"/>
          <w:szCs w:val="22"/>
        </w:rPr>
        <w:t xml:space="preserve">than </w:t>
      </w:r>
      <w:r w:rsidR="000559CE">
        <w:rPr>
          <w:rFonts w:asciiTheme="minorHAnsi" w:eastAsiaTheme="minorHAnsi" w:hAnsiTheme="minorHAnsi" w:cstheme="minorBidi"/>
          <w:szCs w:val="22"/>
        </w:rPr>
        <w:t>would be expected in clinical practice,</w:t>
      </w:r>
      <w:r w:rsidR="004E1860">
        <w:rPr>
          <w:rFonts w:asciiTheme="minorHAnsi" w:eastAsiaTheme="minorHAnsi" w:hAnsiTheme="minorHAnsi" w:cstheme="minorBidi"/>
          <w:szCs w:val="22"/>
        </w:rPr>
        <w:t xml:space="preserve"> which added uncertainty in </w:t>
      </w:r>
      <w:r w:rsidR="00C70AC4">
        <w:rPr>
          <w:rFonts w:asciiTheme="minorHAnsi" w:eastAsiaTheme="minorHAnsi" w:hAnsiTheme="minorHAnsi" w:cstheme="minorBidi"/>
          <w:szCs w:val="22"/>
        </w:rPr>
        <w:t>interpreting this outcome</w:t>
      </w:r>
      <w:r w:rsidR="00C633BC" w:rsidRPr="003C7A64">
        <w:rPr>
          <w:rFonts w:asciiTheme="minorHAnsi" w:eastAsiaTheme="minorHAnsi" w:hAnsiTheme="minorHAnsi" w:cstheme="minorBidi"/>
          <w:szCs w:val="22"/>
        </w:rPr>
        <w:t xml:space="preserve">. </w:t>
      </w:r>
      <w:r w:rsidR="001A41E9">
        <w:rPr>
          <w:rFonts w:asciiTheme="minorHAnsi" w:eastAsiaTheme="minorHAnsi" w:hAnsiTheme="minorHAnsi" w:cstheme="minorBidi"/>
          <w:szCs w:val="22"/>
        </w:rPr>
        <w:t xml:space="preserve">The PBAC also noted that the comparative </w:t>
      </w:r>
      <w:r w:rsidR="004D1DB8">
        <w:rPr>
          <w:rFonts w:asciiTheme="minorHAnsi" w:eastAsiaTheme="minorHAnsi" w:hAnsiTheme="minorHAnsi" w:cstheme="minorBidi"/>
          <w:szCs w:val="22"/>
        </w:rPr>
        <w:t xml:space="preserve">period of the trial was </w:t>
      </w:r>
      <w:r w:rsidR="002F16CC">
        <w:rPr>
          <w:rFonts w:asciiTheme="minorHAnsi" w:eastAsiaTheme="minorHAnsi" w:hAnsiTheme="minorHAnsi" w:cstheme="minorBidi"/>
          <w:szCs w:val="22"/>
        </w:rPr>
        <w:t xml:space="preserve">likely </w:t>
      </w:r>
      <w:r w:rsidR="004D1DB8">
        <w:rPr>
          <w:rFonts w:asciiTheme="minorHAnsi" w:eastAsiaTheme="minorHAnsi" w:hAnsiTheme="minorHAnsi" w:cstheme="minorBidi"/>
          <w:szCs w:val="22"/>
        </w:rPr>
        <w:t xml:space="preserve">too short to demonstrate </w:t>
      </w:r>
      <w:r w:rsidR="009422A5">
        <w:rPr>
          <w:rFonts w:asciiTheme="minorHAnsi" w:eastAsiaTheme="minorHAnsi" w:hAnsiTheme="minorHAnsi" w:cstheme="minorBidi"/>
          <w:szCs w:val="22"/>
        </w:rPr>
        <w:t xml:space="preserve">differences in </w:t>
      </w:r>
      <w:r w:rsidR="00882E21">
        <w:rPr>
          <w:rFonts w:asciiTheme="minorHAnsi" w:eastAsiaTheme="minorHAnsi" w:hAnsiTheme="minorHAnsi" w:cstheme="minorBidi"/>
          <w:szCs w:val="22"/>
        </w:rPr>
        <w:t>q</w:t>
      </w:r>
      <w:r w:rsidR="009422A5">
        <w:rPr>
          <w:rFonts w:asciiTheme="minorHAnsi" w:eastAsiaTheme="minorHAnsi" w:hAnsiTheme="minorHAnsi" w:cstheme="minorBidi"/>
          <w:szCs w:val="22"/>
        </w:rPr>
        <w:t xml:space="preserve">uality of </w:t>
      </w:r>
      <w:r w:rsidR="00882E21">
        <w:rPr>
          <w:rFonts w:asciiTheme="minorHAnsi" w:eastAsiaTheme="minorHAnsi" w:hAnsiTheme="minorHAnsi" w:cstheme="minorBidi"/>
          <w:szCs w:val="22"/>
        </w:rPr>
        <w:t>l</w:t>
      </w:r>
      <w:r w:rsidR="009422A5">
        <w:rPr>
          <w:rFonts w:asciiTheme="minorHAnsi" w:eastAsiaTheme="minorHAnsi" w:hAnsiTheme="minorHAnsi" w:cstheme="minorBidi"/>
          <w:szCs w:val="22"/>
        </w:rPr>
        <w:t>ife</w:t>
      </w:r>
      <w:r w:rsidR="00882E21">
        <w:rPr>
          <w:rFonts w:asciiTheme="minorHAnsi" w:eastAsiaTheme="minorHAnsi" w:hAnsiTheme="minorHAnsi" w:cstheme="minorBidi"/>
          <w:szCs w:val="22"/>
        </w:rPr>
        <w:t xml:space="preserve"> measures</w:t>
      </w:r>
      <w:r w:rsidR="009422A5">
        <w:rPr>
          <w:rFonts w:asciiTheme="minorHAnsi" w:eastAsiaTheme="minorHAnsi" w:hAnsiTheme="minorHAnsi" w:cstheme="minorBidi"/>
          <w:szCs w:val="22"/>
        </w:rPr>
        <w:t>.</w:t>
      </w:r>
      <w:r w:rsidR="007112C1">
        <w:rPr>
          <w:rFonts w:asciiTheme="minorHAnsi" w:eastAsiaTheme="minorHAnsi" w:hAnsiTheme="minorHAnsi" w:cstheme="minorBidi"/>
          <w:szCs w:val="22"/>
        </w:rPr>
        <w:t xml:space="preserve"> </w:t>
      </w:r>
      <w:r w:rsidR="008F3E81">
        <w:rPr>
          <w:rFonts w:asciiTheme="minorHAnsi" w:eastAsiaTheme="minorHAnsi" w:hAnsiTheme="minorHAnsi" w:cstheme="minorBidi"/>
          <w:szCs w:val="22"/>
        </w:rPr>
        <w:t>Overall,</w:t>
      </w:r>
      <w:r w:rsidR="007112C1">
        <w:rPr>
          <w:rFonts w:asciiTheme="minorHAnsi" w:eastAsiaTheme="minorHAnsi" w:hAnsiTheme="minorHAnsi" w:cstheme="minorBidi"/>
          <w:szCs w:val="22"/>
        </w:rPr>
        <w:t xml:space="preserve"> the PBAC considered that </w:t>
      </w:r>
      <w:r w:rsidR="007112C1" w:rsidRPr="001E5C47">
        <w:rPr>
          <w:rFonts w:asciiTheme="minorHAnsi" w:hAnsiTheme="minorHAnsi"/>
          <w:snapToGrid w:val="0"/>
          <w:szCs w:val="20"/>
        </w:rPr>
        <w:t xml:space="preserve">the claim of superior comparative effectiveness over </w:t>
      </w:r>
      <w:r w:rsidR="007112C1">
        <w:rPr>
          <w:rFonts w:asciiTheme="minorHAnsi" w:hAnsiTheme="minorHAnsi"/>
          <w:snapToGrid w:val="0"/>
          <w:szCs w:val="20"/>
        </w:rPr>
        <w:t>standard of care</w:t>
      </w:r>
      <w:r w:rsidR="007112C1" w:rsidRPr="001E5C47">
        <w:rPr>
          <w:rFonts w:asciiTheme="minorHAnsi" w:hAnsiTheme="minorHAnsi"/>
          <w:snapToGrid w:val="0"/>
          <w:szCs w:val="20"/>
        </w:rPr>
        <w:t xml:space="preserve"> was adequately supported by the data for the </w:t>
      </w:r>
      <w:r w:rsidR="007112C1" w:rsidRPr="001E5C47">
        <w:rPr>
          <w:rFonts w:asciiTheme="minorHAnsi" w:hAnsiTheme="minorHAnsi"/>
          <w:snapToGrid w:val="0"/>
          <w:szCs w:val="20"/>
        </w:rPr>
        <w:lastRenderedPageBreak/>
        <w:t xml:space="preserve">surrogate measure of reduction in proteinuria, </w:t>
      </w:r>
      <w:r w:rsidR="004C0725">
        <w:rPr>
          <w:rFonts w:asciiTheme="minorHAnsi" w:hAnsiTheme="minorHAnsi"/>
          <w:snapToGrid w:val="0"/>
          <w:szCs w:val="20"/>
        </w:rPr>
        <w:t>for which there is strong biologically plausibility for an impact on kidney disease</w:t>
      </w:r>
      <w:r w:rsidR="00B9163F">
        <w:rPr>
          <w:rFonts w:asciiTheme="minorHAnsi" w:hAnsiTheme="minorHAnsi"/>
          <w:snapToGrid w:val="0"/>
          <w:szCs w:val="20"/>
        </w:rPr>
        <w:t>, h</w:t>
      </w:r>
      <w:r w:rsidR="007112C1">
        <w:rPr>
          <w:rFonts w:asciiTheme="minorHAnsi" w:hAnsiTheme="minorHAnsi"/>
          <w:snapToGrid w:val="0"/>
          <w:szCs w:val="20"/>
        </w:rPr>
        <w:t xml:space="preserve">owever, </w:t>
      </w:r>
      <w:r w:rsidR="004C0725">
        <w:rPr>
          <w:rFonts w:asciiTheme="minorHAnsi" w:hAnsiTheme="minorHAnsi"/>
          <w:snapToGrid w:val="0"/>
          <w:szCs w:val="20"/>
        </w:rPr>
        <w:t xml:space="preserve">the magnitude of </w:t>
      </w:r>
      <w:r w:rsidR="007112C1" w:rsidRPr="001E5C47">
        <w:rPr>
          <w:rFonts w:asciiTheme="minorHAnsi" w:hAnsiTheme="minorHAnsi"/>
          <w:snapToGrid w:val="0"/>
          <w:szCs w:val="20"/>
        </w:rPr>
        <w:t xml:space="preserve">change in eGFR </w:t>
      </w:r>
      <w:r w:rsidR="00EA3BE7" w:rsidRPr="001E5C47">
        <w:rPr>
          <w:rFonts w:asciiTheme="minorHAnsi" w:hAnsiTheme="minorHAnsi"/>
          <w:snapToGrid w:val="0"/>
          <w:szCs w:val="20"/>
        </w:rPr>
        <w:t>w</w:t>
      </w:r>
      <w:r w:rsidR="00EA3BE7">
        <w:rPr>
          <w:rFonts w:asciiTheme="minorHAnsi" w:hAnsiTheme="minorHAnsi"/>
          <w:snapToGrid w:val="0"/>
          <w:szCs w:val="20"/>
        </w:rPr>
        <w:t>as</w:t>
      </w:r>
      <w:r w:rsidR="00EA3BE7" w:rsidRPr="001E5C47">
        <w:rPr>
          <w:rFonts w:asciiTheme="minorHAnsi" w:hAnsiTheme="minorHAnsi"/>
          <w:snapToGrid w:val="0"/>
          <w:szCs w:val="20"/>
        </w:rPr>
        <w:t xml:space="preserve"> </w:t>
      </w:r>
      <w:r w:rsidR="007112C1" w:rsidRPr="001E5C47">
        <w:rPr>
          <w:rFonts w:asciiTheme="minorHAnsi" w:hAnsiTheme="minorHAnsi"/>
          <w:snapToGrid w:val="0"/>
          <w:szCs w:val="20"/>
        </w:rPr>
        <w:t>less certain</w:t>
      </w:r>
      <w:r w:rsidR="007112C1">
        <w:rPr>
          <w:rFonts w:asciiTheme="minorHAnsi" w:hAnsiTheme="minorHAnsi"/>
          <w:snapToGrid w:val="0"/>
          <w:szCs w:val="20"/>
        </w:rPr>
        <w:t>.</w:t>
      </w:r>
    </w:p>
    <w:p w14:paraId="58040B07" w14:textId="2508F7F6" w:rsidR="00665F0C" w:rsidRPr="004036A6" w:rsidRDefault="00665F0C" w:rsidP="00CF7B47">
      <w:pPr>
        <w:pStyle w:val="COMESnumberedpara"/>
        <w:numPr>
          <w:ilvl w:val="1"/>
          <w:numId w:val="1"/>
        </w:numPr>
      </w:pPr>
      <w:r>
        <w:t xml:space="preserve">The PBAC noted that </w:t>
      </w:r>
      <w:r w:rsidR="00816D28">
        <w:t>pegcetacoplan</w:t>
      </w:r>
      <w:r>
        <w:t xml:space="preserve"> was associated with a higher rate of </w:t>
      </w:r>
      <w:r w:rsidR="005356B2">
        <w:t xml:space="preserve">infections/infestations and </w:t>
      </w:r>
      <w:r w:rsidR="00924E0B">
        <w:t>infusion site</w:t>
      </w:r>
      <w:r>
        <w:t xml:space="preserve"> </w:t>
      </w:r>
      <w:r w:rsidR="001807CB">
        <w:t xml:space="preserve">related AEs </w:t>
      </w:r>
      <w:r>
        <w:t xml:space="preserve">compared with placebo. The PBAC noted that adverse events of special interest included an increased risk of the incidence of infections (serious/severe or caused by encapsulated bacteria) compared to placebo. </w:t>
      </w:r>
      <w:r w:rsidR="001807CB">
        <w:t>T</w:t>
      </w:r>
      <w:r>
        <w:t xml:space="preserve">he PBAC considered </w:t>
      </w:r>
      <w:r w:rsidR="001807CB">
        <w:t xml:space="preserve">the claim of non-inferior safety </w:t>
      </w:r>
      <w:r w:rsidR="005241BE">
        <w:t>was not reasonable and a</w:t>
      </w:r>
      <w:r>
        <w:t xml:space="preserve"> claim of inferior comparative safety w</w:t>
      </w:r>
      <w:r w:rsidR="005241BE">
        <w:t>ould be appropriate</w:t>
      </w:r>
      <w:r>
        <w:t xml:space="preserve">. The PBAC noted that </w:t>
      </w:r>
      <w:r w:rsidRPr="004036A6">
        <w:t xml:space="preserve">the </w:t>
      </w:r>
      <w:r w:rsidR="00EC3CA2">
        <w:t xml:space="preserve">draft </w:t>
      </w:r>
      <w:r w:rsidRPr="004036A6">
        <w:t xml:space="preserve">product information for </w:t>
      </w:r>
      <w:r w:rsidR="005241BE">
        <w:t>pegcetacoplan</w:t>
      </w:r>
      <w:r w:rsidRPr="004036A6">
        <w:t xml:space="preserve"> include</w:t>
      </w:r>
      <w:r w:rsidR="005241BE">
        <w:t>s</w:t>
      </w:r>
      <w:r w:rsidRPr="004036A6">
        <w:t xml:space="preserve"> a boxed warning regarding the risk of serious infections caused by encapsulated bacteria, such as </w:t>
      </w:r>
      <w:r w:rsidRPr="004036A6">
        <w:rPr>
          <w:i/>
          <w:iCs/>
        </w:rPr>
        <w:t>Streptococcus pneumoniae</w:t>
      </w:r>
      <w:r w:rsidRPr="004036A6">
        <w:t xml:space="preserve">, </w:t>
      </w:r>
      <w:r w:rsidRPr="004036A6">
        <w:rPr>
          <w:i/>
          <w:iCs/>
        </w:rPr>
        <w:t>Neisseria meningitidis</w:t>
      </w:r>
      <w:r w:rsidRPr="004036A6">
        <w:t xml:space="preserve">, and </w:t>
      </w:r>
      <w:r w:rsidRPr="004036A6">
        <w:rPr>
          <w:i/>
          <w:iCs/>
        </w:rPr>
        <w:t xml:space="preserve">Haemophilus influenzae </w:t>
      </w:r>
      <w:r w:rsidRPr="004036A6">
        <w:t xml:space="preserve">type B, with recommendations to vaccinate against these bacteria prior to initiation of </w:t>
      </w:r>
      <w:r w:rsidR="00EC3CA2">
        <w:t>pegcetacoplan</w:t>
      </w:r>
      <w:r w:rsidRPr="004036A6">
        <w:t xml:space="preserve"> treatment. The PBAC advi</w:t>
      </w:r>
      <w:r>
        <w:t>sed it would be appropriate</w:t>
      </w:r>
      <w:r w:rsidRPr="004036A6">
        <w:t xml:space="preserve"> to </w:t>
      </w:r>
      <w:r>
        <w:t>extend</w:t>
      </w:r>
      <w:r w:rsidRPr="004036A6">
        <w:t xml:space="preserve"> access to these vaccines on the National Immunisation Program (NIP)</w:t>
      </w:r>
      <w:r>
        <w:t xml:space="preserve"> for </w:t>
      </w:r>
      <w:r w:rsidRPr="00AA0474">
        <w:t xml:space="preserve">a person who is undergoing treatment, or will commence treatment with </w:t>
      </w:r>
      <w:r w:rsidR="00EC3CA2">
        <w:t>pegcetacoplan</w:t>
      </w:r>
      <w:r w:rsidRPr="00AA0474">
        <w:t xml:space="preserve"> for a condition specified under the Pharmaceutical Benefits Scheme (PBS)</w:t>
      </w:r>
      <w:r w:rsidRPr="004036A6">
        <w:t>.</w:t>
      </w:r>
      <w:r>
        <w:t xml:space="preserve"> </w:t>
      </w:r>
    </w:p>
    <w:p w14:paraId="4334473E" w14:textId="01F588BE" w:rsidR="002D4EED" w:rsidRPr="00B50177" w:rsidRDefault="002D4EED" w:rsidP="00CF7B47">
      <w:pPr>
        <w:numPr>
          <w:ilvl w:val="1"/>
          <w:numId w:val="1"/>
        </w:numPr>
        <w:spacing w:after="120"/>
        <w:rPr>
          <w:rFonts w:asciiTheme="minorHAnsi" w:hAnsiTheme="minorHAnsi"/>
          <w:snapToGrid w:val="0"/>
        </w:rPr>
      </w:pPr>
      <w:r w:rsidRPr="00B50177">
        <w:rPr>
          <w:rFonts w:asciiTheme="minorHAnsi" w:hAnsiTheme="minorHAnsi"/>
          <w:snapToGrid w:val="0"/>
        </w:rPr>
        <w:t xml:space="preserve">The submission also presented a Bucher indirect comparison of pegcetacoplan (VALIANT) versus iptacopan (APPEAR-C3G) using placebo as a common reference. </w:t>
      </w:r>
      <w:r w:rsidR="00F35C9F" w:rsidRPr="00B50177">
        <w:rPr>
          <w:rFonts w:asciiTheme="minorHAnsi" w:hAnsiTheme="minorHAnsi"/>
          <w:snapToGrid w:val="0"/>
        </w:rPr>
        <w:t xml:space="preserve">Although the VALIANT and APPEAR-C3G trials shared similar trial designs and outcome definitions, the VALIANT trial population was broader as it included adolescents, primary IC-MPGN, post-transplant recurrent disease, patients with serum C3 levels above 77 mg/dL (0.85 × lower limit of normal) and did not exclude those with signs of rapidly progressive crescentic glomerulonephritis. </w:t>
      </w:r>
      <w:r w:rsidR="00C53007" w:rsidRPr="00B50177">
        <w:rPr>
          <w:rFonts w:asciiTheme="minorHAnsi" w:hAnsiTheme="minorHAnsi"/>
          <w:snapToGrid w:val="0"/>
        </w:rPr>
        <w:t>B</w:t>
      </w:r>
      <w:r w:rsidR="00493313" w:rsidRPr="00B50177">
        <w:rPr>
          <w:rFonts w:asciiTheme="minorHAnsi" w:hAnsiTheme="minorHAnsi"/>
          <w:snapToGrid w:val="0"/>
        </w:rPr>
        <w:t xml:space="preserve">aseline </w:t>
      </w:r>
      <w:r w:rsidR="00830F5F" w:rsidRPr="00B50177">
        <w:rPr>
          <w:rFonts w:asciiTheme="minorHAnsi" w:hAnsiTheme="minorHAnsi"/>
          <w:snapToGrid w:val="0"/>
        </w:rPr>
        <w:t>24-hour UPCR levels were similar between trials</w:t>
      </w:r>
      <w:r w:rsidR="00C53007" w:rsidRPr="00B50177">
        <w:rPr>
          <w:rFonts w:asciiTheme="minorHAnsi" w:hAnsiTheme="minorHAnsi"/>
          <w:snapToGrid w:val="0"/>
        </w:rPr>
        <w:t>, however</w:t>
      </w:r>
      <w:r w:rsidR="00830F5F" w:rsidRPr="00B50177">
        <w:rPr>
          <w:rFonts w:asciiTheme="minorHAnsi" w:hAnsiTheme="minorHAnsi"/>
          <w:snapToGrid w:val="0"/>
        </w:rPr>
        <w:t xml:space="preserve"> </w:t>
      </w:r>
      <w:r w:rsidR="0068172D" w:rsidRPr="00B50177">
        <w:rPr>
          <w:rFonts w:asciiTheme="minorHAnsi" w:hAnsiTheme="minorHAnsi"/>
          <w:snapToGrid w:val="0"/>
        </w:rPr>
        <w:t xml:space="preserve">eGFR levels </w:t>
      </w:r>
      <w:r w:rsidR="00F35C9F" w:rsidRPr="00F35C9F">
        <w:rPr>
          <w:rFonts w:asciiTheme="minorHAnsi" w:hAnsiTheme="minorHAnsi"/>
          <w:snapToGrid w:val="0"/>
        </w:rPr>
        <w:t xml:space="preserve">suggested that the APPEAR-C3G population could be at an earlier stage of disease, with better preserved kidney function compared to those in the VALIANT trial. </w:t>
      </w:r>
      <w:r w:rsidR="00E51ECD" w:rsidRPr="00B50177">
        <w:rPr>
          <w:rFonts w:asciiTheme="minorHAnsi" w:hAnsiTheme="minorHAnsi"/>
          <w:snapToGrid w:val="0"/>
        </w:rPr>
        <w:t>In addition, the</w:t>
      </w:r>
      <w:r w:rsidRPr="00B50177">
        <w:rPr>
          <w:rFonts w:asciiTheme="minorHAnsi" w:hAnsiTheme="minorHAnsi"/>
          <w:snapToGrid w:val="0"/>
        </w:rPr>
        <w:t xml:space="preserve"> eGFR decline in the placebo arm </w:t>
      </w:r>
      <w:r w:rsidR="00E51ECD" w:rsidRPr="00B50177">
        <w:rPr>
          <w:rFonts w:asciiTheme="minorHAnsi" w:hAnsiTheme="minorHAnsi"/>
          <w:snapToGrid w:val="0"/>
        </w:rPr>
        <w:t xml:space="preserve">of VALIANT </w:t>
      </w:r>
      <w:r w:rsidRPr="00B50177">
        <w:rPr>
          <w:rFonts w:asciiTheme="minorHAnsi" w:hAnsiTheme="minorHAnsi"/>
          <w:snapToGrid w:val="0"/>
        </w:rPr>
        <w:t xml:space="preserve">that was substantially </w:t>
      </w:r>
      <w:r w:rsidR="00876D80">
        <w:rPr>
          <w:rFonts w:asciiTheme="minorHAnsi" w:hAnsiTheme="minorHAnsi"/>
          <w:snapToGrid w:val="0"/>
        </w:rPr>
        <w:t>faster</w:t>
      </w:r>
      <w:r w:rsidR="00876D80" w:rsidRPr="00B50177">
        <w:rPr>
          <w:rFonts w:asciiTheme="minorHAnsi" w:hAnsiTheme="minorHAnsi"/>
          <w:snapToGrid w:val="0"/>
        </w:rPr>
        <w:t xml:space="preserve"> </w:t>
      </w:r>
      <w:r w:rsidRPr="00B50177">
        <w:rPr>
          <w:rFonts w:asciiTheme="minorHAnsi" w:hAnsiTheme="minorHAnsi"/>
          <w:snapToGrid w:val="0"/>
        </w:rPr>
        <w:t xml:space="preserve">than the placebo arm of the APPEAR-C3G trial of iptacopan </w:t>
      </w:r>
      <w:r w:rsidR="00AF0354" w:rsidRPr="00B50177">
        <w:rPr>
          <w:rFonts w:asciiTheme="minorHAnsi" w:hAnsiTheme="minorHAnsi"/>
          <w:snapToGrid w:val="0"/>
        </w:rPr>
        <w:t xml:space="preserve">suggested that there were meaningful differences between the </w:t>
      </w:r>
      <w:r w:rsidR="00C53007" w:rsidRPr="00B50177">
        <w:rPr>
          <w:rFonts w:asciiTheme="minorHAnsi" w:hAnsiTheme="minorHAnsi"/>
          <w:snapToGrid w:val="0"/>
        </w:rPr>
        <w:t>populations</w:t>
      </w:r>
      <w:r w:rsidR="00AF0354" w:rsidRPr="00B50177">
        <w:rPr>
          <w:rFonts w:asciiTheme="minorHAnsi" w:hAnsiTheme="minorHAnsi"/>
          <w:snapToGrid w:val="0"/>
        </w:rPr>
        <w:t xml:space="preserve"> included in the </w:t>
      </w:r>
      <w:r w:rsidR="00C53007" w:rsidRPr="00B50177">
        <w:rPr>
          <w:rFonts w:asciiTheme="minorHAnsi" w:hAnsiTheme="minorHAnsi"/>
          <w:snapToGrid w:val="0"/>
        </w:rPr>
        <w:t>VALIANT and APPEAR-C3G trials.</w:t>
      </w:r>
      <w:r w:rsidR="003C5C2D" w:rsidRPr="00B50177">
        <w:rPr>
          <w:rFonts w:asciiTheme="minorHAnsi" w:hAnsiTheme="minorHAnsi"/>
          <w:snapToGrid w:val="0"/>
        </w:rPr>
        <w:t xml:space="preserve"> </w:t>
      </w:r>
      <w:r w:rsidR="00AF1628" w:rsidRPr="00B50177">
        <w:rPr>
          <w:rFonts w:asciiTheme="minorHAnsi" w:hAnsiTheme="minorHAnsi"/>
          <w:snapToGrid w:val="0"/>
        </w:rPr>
        <w:t xml:space="preserve">The </w:t>
      </w:r>
      <w:r w:rsidR="00B50177" w:rsidRPr="00B50177">
        <w:rPr>
          <w:rFonts w:asciiTheme="minorHAnsi" w:hAnsiTheme="minorHAnsi"/>
          <w:snapToGrid w:val="0"/>
        </w:rPr>
        <w:t xml:space="preserve">indirect comparison </w:t>
      </w:r>
      <w:r w:rsidR="00AF1628" w:rsidRPr="00B50177">
        <w:rPr>
          <w:rFonts w:asciiTheme="minorHAnsi" w:hAnsiTheme="minorHAnsi"/>
          <w:snapToGrid w:val="0"/>
        </w:rPr>
        <w:t>suggest</w:t>
      </w:r>
      <w:r w:rsidR="00B50177" w:rsidRPr="00B50177">
        <w:rPr>
          <w:rFonts w:asciiTheme="minorHAnsi" w:hAnsiTheme="minorHAnsi"/>
          <w:snapToGrid w:val="0"/>
        </w:rPr>
        <w:t>ed</w:t>
      </w:r>
      <w:r w:rsidR="00AF1628" w:rsidRPr="00B50177">
        <w:rPr>
          <w:rFonts w:asciiTheme="minorHAnsi" w:hAnsiTheme="minorHAnsi"/>
          <w:snapToGrid w:val="0"/>
        </w:rPr>
        <w:t xml:space="preserve"> that pegcetacoplan was associated with statistically significantly greater relative reductions in UPCR compared to</w:t>
      </w:r>
      <w:r w:rsidR="00B50177" w:rsidRPr="00B50177">
        <w:rPr>
          <w:rFonts w:asciiTheme="minorHAnsi" w:hAnsiTheme="minorHAnsi"/>
          <w:snapToGrid w:val="0"/>
        </w:rPr>
        <w:t xml:space="preserve"> iptacopan</w:t>
      </w:r>
      <w:r w:rsidR="002F16CC">
        <w:rPr>
          <w:rFonts w:asciiTheme="minorHAnsi" w:hAnsiTheme="minorHAnsi"/>
          <w:snapToGrid w:val="0"/>
        </w:rPr>
        <w:t>, but this was uncertain due to these transitivity issues</w:t>
      </w:r>
      <w:r w:rsidR="00B50177" w:rsidRPr="00B50177">
        <w:rPr>
          <w:rFonts w:asciiTheme="minorHAnsi" w:hAnsiTheme="minorHAnsi"/>
          <w:snapToGrid w:val="0"/>
        </w:rPr>
        <w:t xml:space="preserve">. </w:t>
      </w:r>
      <w:r w:rsidR="00E33705" w:rsidRPr="00B50177">
        <w:rPr>
          <w:rFonts w:asciiTheme="minorHAnsi" w:hAnsiTheme="minorHAnsi"/>
          <w:snapToGrid w:val="0"/>
        </w:rPr>
        <w:t xml:space="preserve">There was no apparent difference between pegcetacoplan and iptacopan in terms of mean change in eGFR from baseline. </w:t>
      </w:r>
      <w:r w:rsidR="008A4C78">
        <w:rPr>
          <w:rFonts w:asciiTheme="minorHAnsi" w:hAnsiTheme="minorHAnsi"/>
          <w:snapToGrid w:val="0"/>
        </w:rPr>
        <w:t xml:space="preserve">The PBAC considered that </w:t>
      </w:r>
      <w:r w:rsidR="008A4C78" w:rsidRPr="001E5C47">
        <w:rPr>
          <w:rFonts w:asciiTheme="minorHAnsi" w:hAnsiTheme="minorHAnsi"/>
          <w:snapToGrid w:val="0"/>
          <w:szCs w:val="20"/>
        </w:rPr>
        <w:t xml:space="preserve">the claim of superiority over iptacopan was not adequately supported by the data </w:t>
      </w:r>
      <w:r w:rsidR="008A4C78">
        <w:rPr>
          <w:rFonts w:asciiTheme="minorHAnsi" w:hAnsiTheme="minorHAnsi"/>
          <w:snapToGrid w:val="0"/>
          <w:szCs w:val="20"/>
        </w:rPr>
        <w:t xml:space="preserve">due to </w:t>
      </w:r>
      <w:r w:rsidR="003C3358" w:rsidRPr="00B50177">
        <w:rPr>
          <w:rFonts w:asciiTheme="minorHAnsi" w:hAnsiTheme="minorHAnsi"/>
          <w:snapToGrid w:val="0"/>
        </w:rPr>
        <w:t xml:space="preserve">key differences between the VALIANT and APPEAR-C3G trial populations </w:t>
      </w:r>
      <w:r w:rsidR="00B0372B">
        <w:rPr>
          <w:rFonts w:asciiTheme="minorHAnsi" w:hAnsiTheme="minorHAnsi"/>
          <w:snapToGrid w:val="0"/>
        </w:rPr>
        <w:t xml:space="preserve">in the indirect </w:t>
      </w:r>
      <w:r w:rsidR="00305344">
        <w:rPr>
          <w:rFonts w:asciiTheme="minorHAnsi" w:hAnsiTheme="minorHAnsi"/>
          <w:snapToGrid w:val="0"/>
        </w:rPr>
        <w:t>comparison.</w:t>
      </w:r>
    </w:p>
    <w:p w14:paraId="7862006A" w14:textId="0293DA7A" w:rsidR="005736D4" w:rsidRDefault="006A562A" w:rsidP="00CF7B47">
      <w:pPr>
        <w:pStyle w:val="COMESnumberedpara"/>
      </w:pPr>
      <w:r w:rsidRPr="006A562A">
        <w:t>The submission presented a</w:t>
      </w:r>
      <w:r w:rsidR="00D6020A">
        <w:t xml:space="preserve"> cost-utility analysis for the</w:t>
      </w:r>
      <w:r w:rsidR="00C8024E">
        <w:t xml:space="preserve"> </w:t>
      </w:r>
      <w:r w:rsidRPr="006A562A">
        <w:t xml:space="preserve">economic evaluation of pegcetacoplan compared to </w:t>
      </w:r>
      <w:r w:rsidR="009736FF">
        <w:t>standard of care</w:t>
      </w:r>
      <w:r w:rsidRPr="006A562A">
        <w:t xml:space="preserve">. </w:t>
      </w:r>
      <w:r>
        <w:t>The PBAC noted</w:t>
      </w:r>
      <w:r w:rsidR="000F601C">
        <w:t xml:space="preserve"> the model was complex, and</w:t>
      </w:r>
      <w:r>
        <w:t xml:space="preserve"> that </w:t>
      </w:r>
      <w:r w:rsidR="006B4063">
        <w:t>the</w:t>
      </w:r>
      <w:r w:rsidR="00AA7EB7">
        <w:t>re were limited</w:t>
      </w:r>
      <w:r w:rsidR="006B4063">
        <w:t xml:space="preserve"> </w:t>
      </w:r>
      <w:r w:rsidR="00EB02EF">
        <w:t xml:space="preserve">trial data to </w:t>
      </w:r>
      <w:r w:rsidR="004C3BB0">
        <w:t>model disease progression</w:t>
      </w:r>
      <w:r w:rsidR="00D24679">
        <w:t>.</w:t>
      </w:r>
      <w:r w:rsidR="004C3BB0">
        <w:t xml:space="preserve"> </w:t>
      </w:r>
      <w:r w:rsidR="00286D8D">
        <w:t>T</w:t>
      </w:r>
      <w:r w:rsidR="005158D5">
        <w:t>he t</w:t>
      </w:r>
      <w:r w:rsidR="00D56E57">
        <w:t xml:space="preserve">reatment benefit </w:t>
      </w:r>
      <w:r w:rsidR="001D5E27">
        <w:t xml:space="preserve">beyond the </w:t>
      </w:r>
      <w:r w:rsidR="0019119C">
        <w:t xml:space="preserve">indirect measures </w:t>
      </w:r>
      <w:r w:rsidR="005158D5">
        <w:t xml:space="preserve">over </w:t>
      </w:r>
      <w:r w:rsidR="0019119C">
        <w:t xml:space="preserve">the </w:t>
      </w:r>
      <w:r w:rsidR="001D5E27">
        <w:t xml:space="preserve">26 week duration of the comparative phase </w:t>
      </w:r>
      <w:r w:rsidR="007B6492">
        <w:t xml:space="preserve">of the trial </w:t>
      </w:r>
      <w:r w:rsidR="00D56E57">
        <w:t xml:space="preserve">and </w:t>
      </w:r>
      <w:r w:rsidR="00616DA0">
        <w:t xml:space="preserve">most </w:t>
      </w:r>
      <w:r>
        <w:t>of the data</w:t>
      </w:r>
      <w:r w:rsidR="00616DA0">
        <w:t xml:space="preserve"> inputs</w:t>
      </w:r>
      <w:r>
        <w:t xml:space="preserve"> informing the model</w:t>
      </w:r>
      <w:r w:rsidR="00953053">
        <w:t>,</w:t>
      </w:r>
      <w:r>
        <w:t xml:space="preserve"> </w:t>
      </w:r>
      <w:r w:rsidR="008F4637">
        <w:t xml:space="preserve">relied </w:t>
      </w:r>
      <w:r w:rsidR="008F4637">
        <w:lastRenderedPageBreak/>
        <w:t xml:space="preserve">on </w:t>
      </w:r>
      <w:r w:rsidR="00006BA9">
        <w:t xml:space="preserve">post hoc analyses or </w:t>
      </w:r>
      <w:r w:rsidR="00122DE6">
        <w:t xml:space="preserve">were </w:t>
      </w:r>
      <w:r w:rsidR="00BB1323">
        <w:t xml:space="preserve">drawn from </w:t>
      </w:r>
      <w:r w:rsidR="00EB02EF">
        <w:t>sources</w:t>
      </w:r>
      <w:r w:rsidR="00D56E57">
        <w:t xml:space="preserve"> that were not </w:t>
      </w:r>
      <w:r w:rsidR="00286D8D">
        <w:t xml:space="preserve">adequately </w:t>
      </w:r>
      <w:r w:rsidR="00D56E57">
        <w:t xml:space="preserve">justified in the submission. </w:t>
      </w:r>
      <w:r w:rsidR="005736D4">
        <w:t>The PBAC noted that the evaluation and the Sub-Committees considered the cost-effectiveness estimate should not be considered reliable given uncertainties with modelled change in eGFR estimates based on the VALIANT trial that were substantially worse than in other studies of C3G/IC-MPGN, the assumption that all post-transplant patients (with a successful graft) have immediate disease recurrence which substantially underestimates the effectiveness of transplantation, inadequately justified dialysis utility values and limitations with the model structure that precluded the ability to explore the impact of differences in patient and disease characteristics.</w:t>
      </w:r>
    </w:p>
    <w:p w14:paraId="41EC0C7F" w14:textId="09F60FD3" w:rsidR="008D61BC" w:rsidRDefault="00776E21" w:rsidP="00CF7B47">
      <w:pPr>
        <w:pStyle w:val="COMESnumberedpara"/>
      </w:pPr>
      <w:bookmarkStart w:id="71" w:name="_Ref226720182"/>
      <w:r w:rsidRPr="003D294A">
        <w:t xml:space="preserve">Based on the economic model, treatment with pegcetacoplan was associated with an incremental cost per QALY gained of </w:t>
      </w:r>
      <w:r w:rsidR="00137160" w:rsidRPr="00137160">
        <w:t>$755,000 to &lt; $855,000</w:t>
      </w:r>
      <w:r w:rsidRPr="003D294A">
        <w:t xml:space="preserve"> compared to </w:t>
      </w:r>
      <w:r>
        <w:t>SoC</w:t>
      </w:r>
      <w:r w:rsidRPr="003D294A">
        <w:t xml:space="preserve"> for the treatment of C3G or primary IC-MPGN.</w:t>
      </w:r>
      <w:r>
        <w:t xml:space="preserve"> </w:t>
      </w:r>
      <w:r w:rsidR="00031521">
        <w:t>A m</w:t>
      </w:r>
      <w:r w:rsidR="002612A8" w:rsidRPr="003D294A">
        <w:t>ultivariate sensitivity analys</w:t>
      </w:r>
      <w:r w:rsidR="00031521">
        <w:t>is</w:t>
      </w:r>
      <w:r w:rsidR="002612A8" w:rsidRPr="003D294A">
        <w:t xml:space="preserve"> using mean EQ-5D-3L utility values from Cooper (2020) and removing UPCR disutilities for all CKD stages</w:t>
      </w:r>
      <w:r w:rsidR="002612A8">
        <w:t xml:space="preserve"> increased the ICER to </w:t>
      </w:r>
      <w:r w:rsidR="008072DA" w:rsidRPr="008072DA">
        <w:t>&gt; $1,055,000</w:t>
      </w:r>
      <w:r w:rsidR="00E60430">
        <w:t xml:space="preserve"> per QALY gained. </w:t>
      </w:r>
      <w:r w:rsidR="00D00FE2" w:rsidRPr="00D00FE2">
        <w:t xml:space="preserve">The PBAC </w:t>
      </w:r>
      <w:r w:rsidR="00D64520">
        <w:t>considered that</w:t>
      </w:r>
      <w:r w:rsidR="008343E3">
        <w:t xml:space="preserve"> </w:t>
      </w:r>
      <w:r w:rsidR="00937995">
        <w:t>in addition to the</w:t>
      </w:r>
      <w:r w:rsidR="007760F7">
        <w:t xml:space="preserve"> high level of uncertainty in the modelled costs and outcomes</w:t>
      </w:r>
      <w:r w:rsidR="00DB40A8">
        <w:t>,</w:t>
      </w:r>
      <w:r w:rsidR="007760F7">
        <w:t xml:space="preserve"> </w:t>
      </w:r>
      <w:r w:rsidR="00D00FE2" w:rsidRPr="00D00FE2">
        <w:t xml:space="preserve">the very high ICERs from the submission model reflect the high price requested for </w:t>
      </w:r>
      <w:r w:rsidR="00D64520">
        <w:t>pegcetacoplan</w:t>
      </w:r>
      <w:r w:rsidR="00D00FE2" w:rsidRPr="00D00FE2">
        <w:t xml:space="preserve"> and advised that a </w:t>
      </w:r>
      <w:r w:rsidR="003E45CE">
        <w:t xml:space="preserve">substantial </w:t>
      </w:r>
      <w:r w:rsidR="00D00FE2" w:rsidRPr="00D00FE2">
        <w:t xml:space="preserve">price reduction would be required </w:t>
      </w:r>
      <w:r w:rsidR="00D725C1">
        <w:t>for pegcetacoplan</w:t>
      </w:r>
      <w:r w:rsidR="00D00FE2" w:rsidRPr="00D00FE2">
        <w:t xml:space="preserve"> to be considered cost-effective.</w:t>
      </w:r>
      <w:r w:rsidR="00D64520">
        <w:t xml:space="preserve"> </w:t>
      </w:r>
      <w:r w:rsidR="00A20A55">
        <w:t>The PBAC recalled that the same advice had been provided regarding the submission for iptacopan for C3G</w:t>
      </w:r>
      <w:r w:rsidR="00294D73">
        <w:t xml:space="preserve"> (paragraph 7.16, iptacopan </w:t>
      </w:r>
      <w:r w:rsidR="005E2EC1">
        <w:t>Public Summary Document [</w:t>
      </w:r>
      <w:r w:rsidR="00294D73">
        <w:t>PSD</w:t>
      </w:r>
      <w:r w:rsidR="005E2EC1">
        <w:t>]</w:t>
      </w:r>
      <w:r w:rsidR="00294D73">
        <w:t>, November 2025 PBAC meeting).</w:t>
      </w:r>
      <w:bookmarkEnd w:id="71"/>
    </w:p>
    <w:p w14:paraId="41283934" w14:textId="7A379138" w:rsidR="00F736C7" w:rsidRPr="00663C29" w:rsidRDefault="00EE43AA" w:rsidP="00CF7B47">
      <w:pPr>
        <w:numPr>
          <w:ilvl w:val="1"/>
          <w:numId w:val="1"/>
        </w:numPr>
        <w:spacing w:after="120"/>
      </w:pPr>
      <w:bookmarkStart w:id="72" w:name="_Ref226720905"/>
      <w:r>
        <w:rPr>
          <w:snapToGrid w:val="0"/>
          <w:lang w:eastAsia="en-US"/>
        </w:rPr>
        <w:t xml:space="preserve">The PBAC also recalled its advice regarding the submission for iptacopan for C3G from the November </w:t>
      </w:r>
      <w:r w:rsidR="00200502">
        <w:rPr>
          <w:snapToGrid w:val="0"/>
          <w:lang w:eastAsia="en-US"/>
        </w:rPr>
        <w:t xml:space="preserve">2025 </w:t>
      </w:r>
      <w:r>
        <w:rPr>
          <w:snapToGrid w:val="0"/>
          <w:lang w:eastAsia="en-US"/>
        </w:rPr>
        <w:t>meeting that</w:t>
      </w:r>
      <w:r w:rsidR="00652D7B">
        <w:rPr>
          <w:snapToGrid w:val="0"/>
          <w:lang w:eastAsia="en-US"/>
        </w:rPr>
        <w:t>,</w:t>
      </w:r>
      <w:r>
        <w:rPr>
          <w:snapToGrid w:val="0"/>
          <w:lang w:eastAsia="en-US"/>
        </w:rPr>
        <w:t xml:space="preserve"> </w:t>
      </w:r>
      <w:r w:rsidRPr="00EE43AA">
        <w:rPr>
          <w:snapToGrid w:val="0"/>
          <w:lang w:eastAsia="en-US"/>
        </w:rPr>
        <w:t>although there are limited trial data for iptacopan, modelling disease progression and treatment benefit in patients with C3G was feasible and could provide confidence in the cost-effectiveness of iptacopan with a more conservative approach to modelling the treatment benefit</w:t>
      </w:r>
      <w:r w:rsidR="00D6020A">
        <w:rPr>
          <w:snapToGrid w:val="0"/>
          <w:lang w:eastAsia="en-US"/>
        </w:rPr>
        <w:t xml:space="preserve"> </w:t>
      </w:r>
      <w:r w:rsidR="006B0D2C">
        <w:rPr>
          <w:snapToGrid w:val="0"/>
          <w:lang w:eastAsia="en-US"/>
        </w:rPr>
        <w:t xml:space="preserve">for </w:t>
      </w:r>
      <w:r w:rsidR="00D6020A">
        <w:t>C3G (paragraph 7.16, iptacopan PSD, November 2025 PBAC meeting).</w:t>
      </w:r>
      <w:r w:rsidR="00D6020A">
        <w:rPr>
          <w:snapToGrid w:val="0"/>
          <w:lang w:eastAsia="en-US"/>
        </w:rPr>
        <w:t xml:space="preserve"> </w:t>
      </w:r>
      <w:r>
        <w:rPr>
          <w:snapToGrid w:val="0"/>
          <w:lang w:eastAsia="en-US"/>
        </w:rPr>
        <w:t xml:space="preserve">The PBAC acknowledged that there were challenges </w:t>
      </w:r>
      <w:r w:rsidR="00E023CE">
        <w:rPr>
          <w:snapToGrid w:val="0"/>
          <w:lang w:eastAsia="en-US"/>
        </w:rPr>
        <w:t xml:space="preserve">in estimating the long-term benefits from </w:t>
      </w:r>
      <w:r w:rsidR="001C56BE">
        <w:rPr>
          <w:snapToGrid w:val="0"/>
          <w:lang w:eastAsia="en-US"/>
        </w:rPr>
        <w:t xml:space="preserve">complement inhibitors (iptacopan and pegcetacoplan) </w:t>
      </w:r>
      <w:r w:rsidR="003A417D">
        <w:rPr>
          <w:snapToGrid w:val="0"/>
          <w:lang w:eastAsia="en-US"/>
        </w:rPr>
        <w:t>for patients with the rare conditions of C3G and primary IC-MPGN</w:t>
      </w:r>
      <w:r w:rsidR="00C73464">
        <w:rPr>
          <w:snapToGrid w:val="0"/>
          <w:lang w:eastAsia="en-US"/>
        </w:rPr>
        <w:t xml:space="preserve"> based on the small trials, with short comparative treatment phases.</w:t>
      </w:r>
      <w:r w:rsidR="00801520">
        <w:rPr>
          <w:snapToGrid w:val="0"/>
          <w:lang w:eastAsia="en-US"/>
        </w:rPr>
        <w:t xml:space="preserve"> On balance, </w:t>
      </w:r>
      <w:r w:rsidR="00801520" w:rsidRPr="00801520">
        <w:rPr>
          <w:snapToGrid w:val="0"/>
          <w:lang w:eastAsia="en-US"/>
        </w:rPr>
        <w:t>the PBAC considered that, given the data to inform economic model</w:t>
      </w:r>
      <w:r w:rsidR="00801520">
        <w:rPr>
          <w:snapToGrid w:val="0"/>
          <w:lang w:eastAsia="en-US"/>
        </w:rPr>
        <w:t xml:space="preserve">s for iptacopan and </w:t>
      </w:r>
      <w:r w:rsidR="00C211C2">
        <w:rPr>
          <w:snapToGrid w:val="0"/>
          <w:lang w:eastAsia="en-US"/>
        </w:rPr>
        <w:t>pegcetacoplan</w:t>
      </w:r>
      <w:r w:rsidR="00801520" w:rsidRPr="00801520">
        <w:rPr>
          <w:snapToGrid w:val="0"/>
          <w:lang w:eastAsia="en-US"/>
        </w:rPr>
        <w:t xml:space="preserve"> are limited, the uncertainty in the ICER was unlikely to be adequately resolved with further revision to </w:t>
      </w:r>
      <w:r w:rsidR="00801520" w:rsidRPr="00663C29">
        <w:rPr>
          <w:snapToGrid w:val="0"/>
          <w:lang w:eastAsia="en-US"/>
        </w:rPr>
        <w:t>the economic model</w:t>
      </w:r>
      <w:r w:rsidR="00C211C2" w:rsidRPr="00663C29">
        <w:rPr>
          <w:snapToGrid w:val="0"/>
          <w:lang w:eastAsia="en-US"/>
        </w:rPr>
        <w:t>s</w:t>
      </w:r>
      <w:r w:rsidR="00801520" w:rsidRPr="00663C29">
        <w:rPr>
          <w:snapToGrid w:val="0"/>
          <w:lang w:eastAsia="en-US"/>
        </w:rPr>
        <w:t>.</w:t>
      </w:r>
      <w:r w:rsidR="008D3429" w:rsidRPr="00663C29">
        <w:rPr>
          <w:snapToGrid w:val="0"/>
          <w:lang w:eastAsia="en-US"/>
        </w:rPr>
        <w:t xml:space="preserve"> </w:t>
      </w:r>
      <w:r w:rsidR="003A3DC0" w:rsidRPr="003A3DC0">
        <w:rPr>
          <w:snapToGrid w:val="0"/>
          <w:lang w:eastAsia="en-US"/>
        </w:rPr>
        <w:t>In the context of a substantial price reduction, and noting the clinical need and available evidence, the PBAC considered the cost-effectiveness may be able to be assessed using a cost/responder approach</w:t>
      </w:r>
      <w:r w:rsidR="00261372">
        <w:rPr>
          <w:snapToGrid w:val="0"/>
          <w:lang w:eastAsia="en-US"/>
        </w:rPr>
        <w:t xml:space="preserve">. </w:t>
      </w:r>
      <w:r w:rsidR="00CF7587">
        <w:rPr>
          <w:snapToGrid w:val="0"/>
          <w:lang w:eastAsia="en-US"/>
        </w:rPr>
        <w:t xml:space="preserve">The </w:t>
      </w:r>
      <w:r w:rsidR="00DB64A7">
        <w:rPr>
          <w:snapToGrid w:val="0"/>
          <w:lang w:eastAsia="en-US"/>
        </w:rPr>
        <w:t>PBAC considered that</w:t>
      </w:r>
      <w:r w:rsidR="00D22640">
        <w:rPr>
          <w:snapToGrid w:val="0"/>
          <w:lang w:eastAsia="en-US"/>
        </w:rPr>
        <w:t xml:space="preserve"> </w:t>
      </w:r>
      <w:r w:rsidR="00652D7B">
        <w:rPr>
          <w:snapToGrid w:val="0"/>
          <w:lang w:eastAsia="en-US"/>
        </w:rPr>
        <w:t xml:space="preserve">a </w:t>
      </w:r>
      <w:r w:rsidR="002F36D6">
        <w:rPr>
          <w:snapToGrid w:val="0"/>
          <w:lang w:eastAsia="en-US"/>
        </w:rPr>
        <w:t>cost per responder</w:t>
      </w:r>
      <w:r w:rsidR="00F8594D">
        <w:rPr>
          <w:snapToGrid w:val="0"/>
          <w:lang w:eastAsia="en-US"/>
        </w:rPr>
        <w:t xml:space="preserve"> </w:t>
      </w:r>
      <w:r w:rsidR="00F276AA">
        <w:rPr>
          <w:snapToGrid w:val="0"/>
          <w:lang w:eastAsia="en-US"/>
        </w:rPr>
        <w:t>approach should provide interpretation</w:t>
      </w:r>
      <w:r w:rsidR="00A41B7A">
        <w:rPr>
          <w:snapToGrid w:val="0"/>
          <w:lang w:eastAsia="en-US"/>
        </w:rPr>
        <w:t xml:space="preserve">, and </w:t>
      </w:r>
      <w:r w:rsidR="002B624A">
        <w:rPr>
          <w:snapToGrid w:val="0"/>
          <w:lang w:eastAsia="en-US"/>
        </w:rPr>
        <w:t xml:space="preserve">quantification </w:t>
      </w:r>
      <w:r w:rsidR="00A41B7A">
        <w:rPr>
          <w:snapToGrid w:val="0"/>
          <w:lang w:eastAsia="en-US"/>
        </w:rPr>
        <w:t>where possible</w:t>
      </w:r>
      <w:r w:rsidR="002B624A">
        <w:rPr>
          <w:snapToGrid w:val="0"/>
          <w:lang w:eastAsia="en-US"/>
        </w:rPr>
        <w:t>,</w:t>
      </w:r>
      <w:r w:rsidR="00F276AA">
        <w:rPr>
          <w:snapToGrid w:val="0"/>
          <w:lang w:eastAsia="en-US"/>
        </w:rPr>
        <w:t xml:space="preserve"> of the</w:t>
      </w:r>
      <w:r w:rsidR="00CF7587">
        <w:rPr>
          <w:snapToGrid w:val="0"/>
          <w:lang w:eastAsia="en-US"/>
        </w:rPr>
        <w:t xml:space="preserve"> clinically meaningful benefits </w:t>
      </w:r>
      <w:r w:rsidR="000E226D">
        <w:rPr>
          <w:snapToGrid w:val="0"/>
          <w:lang w:eastAsia="en-US"/>
        </w:rPr>
        <w:t xml:space="preserve">that are expected to result from reduced proteinuria and potential reduction in decline in eGFR </w:t>
      </w:r>
      <w:r w:rsidR="009F441D">
        <w:rPr>
          <w:snapToGrid w:val="0"/>
          <w:lang w:eastAsia="en-US"/>
        </w:rPr>
        <w:t>response</w:t>
      </w:r>
      <w:r w:rsidR="000E226D">
        <w:rPr>
          <w:snapToGrid w:val="0"/>
          <w:lang w:eastAsia="en-US"/>
        </w:rPr>
        <w:t xml:space="preserve">, for example, </w:t>
      </w:r>
      <w:r w:rsidR="00CF7587">
        <w:rPr>
          <w:snapToGrid w:val="0"/>
          <w:lang w:eastAsia="en-US"/>
        </w:rPr>
        <w:t>avoiding or delaying dialysis and transplants.</w:t>
      </w:r>
      <w:bookmarkEnd w:id="72"/>
      <w:r w:rsidR="00A0091B">
        <w:rPr>
          <w:snapToGrid w:val="0"/>
          <w:lang w:eastAsia="en-US"/>
        </w:rPr>
        <w:t xml:space="preserve"> </w:t>
      </w:r>
    </w:p>
    <w:p w14:paraId="2C767711" w14:textId="7D2666A1" w:rsidR="00B25B98" w:rsidRDefault="00B25B98" w:rsidP="00CF7B47">
      <w:pPr>
        <w:pStyle w:val="COMESnumberedpara"/>
      </w:pPr>
      <w:bookmarkStart w:id="73" w:name="_Ref226720991"/>
      <w:r w:rsidRPr="00663C29">
        <w:t xml:space="preserve">The </w:t>
      </w:r>
      <w:r w:rsidR="00663C29" w:rsidRPr="00663C29">
        <w:t>submission use</w:t>
      </w:r>
      <w:r w:rsidR="00C500B1">
        <w:t>d</w:t>
      </w:r>
      <w:r w:rsidR="00663C29" w:rsidRPr="00663C29">
        <w:t xml:space="preserve"> a </w:t>
      </w:r>
      <w:r w:rsidRPr="00663C29">
        <w:t>prevalence-based approach used to derive the financial estimates</w:t>
      </w:r>
      <w:r w:rsidR="00663C29" w:rsidRPr="00663C29">
        <w:t>, which</w:t>
      </w:r>
      <w:r w:rsidRPr="00663C29">
        <w:t xml:space="preserve"> did not explicitly model pegcetacoplan initiations and </w:t>
      </w:r>
      <w:r w:rsidRPr="00663C29">
        <w:lastRenderedPageBreak/>
        <w:t>discontinuations among treated patients. As a result, the underlying numbers of patients initiating and continuing treatment in each year of the financial estimates could not be determined</w:t>
      </w:r>
      <w:r w:rsidR="00653DCB">
        <w:t xml:space="preserve"> and</w:t>
      </w:r>
      <w:r w:rsidRPr="00663C29">
        <w:t xml:space="preserve"> it </w:t>
      </w:r>
      <w:r w:rsidR="00663C29">
        <w:t>wa</w:t>
      </w:r>
      <w:r w:rsidRPr="00663C29">
        <w:t xml:space="preserve">s unclear whether the uptake rates, treatment persistence, and the proportion of patients achieving a clinical benefit with pegcetacoplan </w:t>
      </w:r>
      <w:r w:rsidR="00420271">
        <w:t xml:space="preserve">in each year </w:t>
      </w:r>
      <w:r w:rsidRPr="00663C29">
        <w:t>were reasonable.</w:t>
      </w:r>
      <w:r w:rsidR="00663C29">
        <w:t xml:space="preserve"> </w:t>
      </w:r>
      <w:r w:rsidR="00E07441" w:rsidRPr="003D294A">
        <w:t xml:space="preserve">The </w:t>
      </w:r>
      <w:r w:rsidR="00E07441">
        <w:t>PBAC agreed with the Sub-Committees tha</w:t>
      </w:r>
      <w:r w:rsidR="00627B82">
        <w:t>t</w:t>
      </w:r>
      <w:r w:rsidR="00E07441" w:rsidRPr="003D294A">
        <w:t xml:space="preserve"> a combined prevalence and incidence approach would be more appropriate to capture initiation and continuation of treatment. </w:t>
      </w:r>
      <w:r w:rsidR="006E0822">
        <w:t>The PBAC considered that the prevalence of C3G and primary IC-MPGN were uncertain</w:t>
      </w:r>
      <w:r w:rsidR="000B0618">
        <w:t xml:space="preserve"> as</w:t>
      </w:r>
      <w:r w:rsidR="006E0822">
        <w:t xml:space="preserve"> </w:t>
      </w:r>
      <w:r w:rsidR="00844D88">
        <w:t xml:space="preserve">no reliable Australian sources were </w:t>
      </w:r>
      <w:r w:rsidR="000B0618">
        <w:t xml:space="preserve">available </w:t>
      </w:r>
      <w:r w:rsidR="00446EEA">
        <w:t xml:space="preserve">but </w:t>
      </w:r>
      <w:r w:rsidR="006E0822">
        <w:t xml:space="preserve">the </w:t>
      </w:r>
      <w:r w:rsidR="00CC3B93">
        <w:t>values</w:t>
      </w:r>
      <w:r w:rsidR="006E0822">
        <w:t xml:space="preserve"> applied </w:t>
      </w:r>
      <w:r w:rsidR="00446EEA">
        <w:t xml:space="preserve">by the submission </w:t>
      </w:r>
      <w:r w:rsidR="006E0822">
        <w:t xml:space="preserve">appeared reasonable. </w:t>
      </w:r>
      <w:r w:rsidR="007F76FC">
        <w:t xml:space="preserve">The PBAC considered that the </w:t>
      </w:r>
      <w:r w:rsidR="007F76FC" w:rsidRPr="007F76FC">
        <w:t>adjustment</w:t>
      </w:r>
      <w:r w:rsidR="007F76FC">
        <w:t>s</w:t>
      </w:r>
      <w:r w:rsidR="007F76FC" w:rsidRPr="007F76FC">
        <w:t xml:space="preserve"> of the prevalent patient numbers to account for diagnosis rates </w:t>
      </w:r>
      <w:r w:rsidR="007F76FC">
        <w:t xml:space="preserve">and </w:t>
      </w:r>
      <w:r w:rsidR="007F76FC" w:rsidRPr="007F76FC">
        <w:t xml:space="preserve">patients with subclinical disease </w:t>
      </w:r>
      <w:r w:rsidR="007F76FC">
        <w:t>were not reasonable</w:t>
      </w:r>
      <w:r w:rsidR="007F76FC" w:rsidRPr="007F76FC">
        <w:t xml:space="preserve"> </w:t>
      </w:r>
      <w:r w:rsidR="000B5583">
        <w:t>as prevalence rates would already account for these factors</w:t>
      </w:r>
      <w:r w:rsidR="007F76FC" w:rsidRPr="007F76FC">
        <w:t xml:space="preserve">. </w:t>
      </w:r>
      <w:r w:rsidR="005955CB">
        <w:t xml:space="preserve">The PBAC considered that the proportion of patients assumed to be ineligible </w:t>
      </w:r>
      <w:r w:rsidR="00D72C6A">
        <w:t>due to stage 5 CKD was uncertain and should be revised</w:t>
      </w:r>
      <w:r w:rsidR="00BF0C69">
        <w:t xml:space="preserve"> as advised by the Sub-Committees (see </w:t>
      </w:r>
      <w:r w:rsidR="00BF0C69">
        <w:fldChar w:fldCharType="begin"/>
      </w:r>
      <w:r w:rsidR="00BF0C69">
        <w:instrText xml:space="preserve"> REF _Ref104805262 \h </w:instrText>
      </w:r>
      <w:r w:rsidR="00BF0C69">
        <w:fldChar w:fldCharType="separate"/>
      </w:r>
      <w:r w:rsidR="00632853" w:rsidRPr="003D294A">
        <w:t xml:space="preserve">Table </w:t>
      </w:r>
      <w:r w:rsidR="00632853">
        <w:rPr>
          <w:noProof/>
        </w:rPr>
        <w:t>16</w:t>
      </w:r>
      <w:r w:rsidR="00BF0C69">
        <w:fldChar w:fldCharType="end"/>
      </w:r>
      <w:r w:rsidR="00BF0C69">
        <w:t>)</w:t>
      </w:r>
      <w:r w:rsidR="00D72C6A">
        <w:t xml:space="preserve">, and that the proportion of patients who </w:t>
      </w:r>
      <w:r w:rsidR="00627B82">
        <w:t>require treatment</w:t>
      </w:r>
      <w:r w:rsidR="00812D6E">
        <w:t xml:space="preserve"> </w:t>
      </w:r>
      <w:r w:rsidR="00627B82">
        <w:t>following</w:t>
      </w:r>
      <w:r w:rsidR="00812D6E">
        <w:t xml:space="preserve"> a kidney transplant should also be </w:t>
      </w:r>
      <w:r w:rsidR="00627B82">
        <w:t xml:space="preserve">explicitly </w:t>
      </w:r>
      <w:r w:rsidR="00812D6E">
        <w:t>considered.</w:t>
      </w:r>
      <w:bookmarkEnd w:id="73"/>
      <w:r w:rsidR="007F76FC" w:rsidRPr="007F76FC">
        <w:t xml:space="preserve"> </w:t>
      </w:r>
    </w:p>
    <w:p w14:paraId="30B3F7A0" w14:textId="46CC7720" w:rsidR="00F736C7" w:rsidRPr="003D294A" w:rsidRDefault="00F736C7" w:rsidP="00CF7B47">
      <w:pPr>
        <w:pStyle w:val="COMESnumberedpara"/>
        <w:rPr>
          <w:snapToGrid w:val="0"/>
        </w:rPr>
      </w:pPr>
      <w:r w:rsidRPr="00663C29">
        <w:rPr>
          <w:snapToGrid w:val="0"/>
        </w:rPr>
        <w:t>The PBAC considered</w:t>
      </w:r>
      <w:r w:rsidRPr="003D294A">
        <w:rPr>
          <w:snapToGrid w:val="0"/>
        </w:rPr>
        <w:t xml:space="preserve"> the outstanding issues could be easily resolved in a simple resubmission for </w:t>
      </w:r>
      <w:r w:rsidR="00BB43DD">
        <w:rPr>
          <w:snapToGrid w:val="0"/>
        </w:rPr>
        <w:t>pegcetacoplan</w:t>
      </w:r>
      <w:r w:rsidRPr="003D294A">
        <w:rPr>
          <w:snapToGrid w:val="0"/>
        </w:rPr>
        <w:t xml:space="preserve"> using the early re-entry pathway. If the sponsor accepts this pathway, the following changes may address these outstanding issues without requiring further re-evaluation. </w:t>
      </w:r>
    </w:p>
    <w:p w14:paraId="4ED9D53E" w14:textId="06DB042F" w:rsidR="00944AC9" w:rsidRDefault="00944AC9" w:rsidP="00CF7B47">
      <w:pPr>
        <w:pStyle w:val="ListParagraph"/>
      </w:pPr>
      <w:r>
        <w:t xml:space="preserve">Revisions to the proposed listing (see paragraph </w:t>
      </w:r>
      <w:r>
        <w:fldChar w:fldCharType="begin"/>
      </w:r>
      <w:r>
        <w:instrText xml:space="preserve"> REF _Ref226720965 \r \h </w:instrText>
      </w:r>
      <w:r>
        <w:fldChar w:fldCharType="separate"/>
      </w:r>
      <w:r w:rsidR="00632853">
        <w:t>7.5</w:t>
      </w:r>
      <w:r>
        <w:fldChar w:fldCharType="end"/>
      </w:r>
      <w:r>
        <w:t>)</w:t>
      </w:r>
    </w:p>
    <w:p w14:paraId="069A0E33" w14:textId="56B6A812" w:rsidR="00DB1639" w:rsidRDefault="00301431" w:rsidP="00CF7B47">
      <w:pPr>
        <w:pStyle w:val="ListParagraph"/>
      </w:pPr>
      <w:r>
        <w:t xml:space="preserve">A substantial reduction in the </w:t>
      </w:r>
      <w:r w:rsidR="00D41C6B">
        <w:t>cost of</w:t>
      </w:r>
      <w:r>
        <w:t xml:space="preserve"> </w:t>
      </w:r>
      <w:proofErr w:type="spellStart"/>
      <w:r>
        <w:t>pegcetacoplan</w:t>
      </w:r>
      <w:proofErr w:type="spellEnd"/>
      <w:r>
        <w:t xml:space="preserve"> </w:t>
      </w:r>
      <w:r w:rsidR="009F6B04">
        <w:t xml:space="preserve">(see paragraph </w:t>
      </w:r>
      <w:r w:rsidR="009F6B04">
        <w:fldChar w:fldCharType="begin"/>
      </w:r>
      <w:r w:rsidR="009F6B04">
        <w:instrText xml:space="preserve"> REF _Ref226720182 \r \h </w:instrText>
      </w:r>
      <w:r w:rsidR="009F6B04">
        <w:fldChar w:fldCharType="separate"/>
      </w:r>
      <w:r w:rsidR="00632853">
        <w:t>7.12</w:t>
      </w:r>
      <w:r w:rsidR="009F6B04">
        <w:fldChar w:fldCharType="end"/>
      </w:r>
      <w:r w:rsidR="009F6B04">
        <w:t>)</w:t>
      </w:r>
      <w:r w:rsidR="00ED1BD0">
        <w:t>.</w:t>
      </w:r>
    </w:p>
    <w:p w14:paraId="5828DC48" w14:textId="7D83C39D" w:rsidR="009F6B04" w:rsidRDefault="00A76549" w:rsidP="00CF7B47">
      <w:pPr>
        <w:pStyle w:val="ListParagraph"/>
      </w:pPr>
      <w:r>
        <w:t xml:space="preserve">A simplified cost-effectiveness analysis including cost per responder </w:t>
      </w:r>
      <w:r w:rsidR="00901A23">
        <w:t xml:space="preserve">analyses </w:t>
      </w:r>
      <w:r w:rsidR="005E0798">
        <w:t xml:space="preserve">with interpretation </w:t>
      </w:r>
      <w:r w:rsidR="003401F0">
        <w:t>of the ratio(s) provided</w:t>
      </w:r>
      <w:r w:rsidR="00D51041">
        <w:t xml:space="preserve"> </w:t>
      </w:r>
      <w:r w:rsidR="00901A23">
        <w:t>(</w:t>
      </w:r>
      <w:r w:rsidR="00944AC9">
        <w:t xml:space="preserve">see </w:t>
      </w:r>
      <w:r w:rsidR="00901A23">
        <w:t xml:space="preserve">paragraph </w:t>
      </w:r>
      <w:r w:rsidR="00ED1BD0">
        <w:fldChar w:fldCharType="begin"/>
      </w:r>
      <w:r w:rsidR="00ED1BD0">
        <w:instrText xml:space="preserve"> REF _Ref226720905 \r \h </w:instrText>
      </w:r>
      <w:r w:rsidR="00ED1BD0">
        <w:fldChar w:fldCharType="separate"/>
      </w:r>
      <w:r w:rsidR="00632853">
        <w:t>7.13</w:t>
      </w:r>
      <w:r w:rsidR="00ED1BD0">
        <w:fldChar w:fldCharType="end"/>
      </w:r>
      <w:r w:rsidR="00ED1BD0">
        <w:t>).</w:t>
      </w:r>
    </w:p>
    <w:p w14:paraId="032F806F" w14:textId="385A901C" w:rsidR="00F736C7" w:rsidRDefault="00ED1BD0" w:rsidP="00CF7B47">
      <w:pPr>
        <w:pStyle w:val="ListParagraph"/>
      </w:pPr>
      <w:r>
        <w:t xml:space="preserve">Revised </w:t>
      </w:r>
      <w:r w:rsidR="00944AC9">
        <w:t xml:space="preserve">financial estimates (see paragraph </w:t>
      </w:r>
      <w:r w:rsidR="00944AC9">
        <w:fldChar w:fldCharType="begin"/>
      </w:r>
      <w:r w:rsidR="00944AC9">
        <w:instrText xml:space="preserve"> REF _Ref226720991 \r \h </w:instrText>
      </w:r>
      <w:r w:rsidR="00944AC9">
        <w:fldChar w:fldCharType="separate"/>
      </w:r>
      <w:r w:rsidR="00632853">
        <w:t>7.14</w:t>
      </w:r>
      <w:r w:rsidR="00944AC9">
        <w:fldChar w:fldCharType="end"/>
      </w:r>
      <w:r w:rsidR="00944AC9">
        <w:t>).</w:t>
      </w:r>
    </w:p>
    <w:p w14:paraId="04A9BA94" w14:textId="5AC812C3" w:rsidR="00BE3782" w:rsidRPr="003D294A" w:rsidRDefault="00BE3782" w:rsidP="00CF7B47">
      <w:pPr>
        <w:pStyle w:val="ListParagraph"/>
      </w:pPr>
      <w:r>
        <w:t xml:space="preserve">Proposal of </w:t>
      </w:r>
      <w:proofErr w:type="gramStart"/>
      <w:r>
        <w:t>an</w:t>
      </w:r>
      <w:proofErr w:type="gramEnd"/>
      <w:r>
        <w:t xml:space="preserve"> </w:t>
      </w:r>
      <w:r w:rsidR="00103550">
        <w:t>risk sharing agreement (</w:t>
      </w:r>
      <w:r>
        <w:t>RSA</w:t>
      </w:r>
      <w:r w:rsidR="00103550">
        <w:t>)</w:t>
      </w:r>
      <w:r>
        <w:t xml:space="preserve"> </w:t>
      </w:r>
      <w:r w:rsidR="00842D33">
        <w:t xml:space="preserve">to </w:t>
      </w:r>
      <w:r w:rsidR="00B578E1" w:rsidRPr="00B578E1">
        <w:t>address the risk of use in a much larger population than expected, or for longer than expected</w:t>
      </w:r>
      <w:r w:rsidR="00842D33">
        <w:t xml:space="preserve"> and in the context of highly uncertain cost-effectiveness for pegcetacoplan.</w:t>
      </w:r>
    </w:p>
    <w:p w14:paraId="505EC47E" w14:textId="05574649" w:rsidR="00F736C7" w:rsidRPr="003D294A" w:rsidRDefault="00F736C7" w:rsidP="00CF7B47">
      <w:pPr>
        <w:ind w:left="720"/>
        <w:rPr>
          <w:rFonts w:asciiTheme="minorHAnsi" w:hAnsiTheme="minorHAnsi"/>
          <w:snapToGrid w:val="0"/>
        </w:rPr>
      </w:pPr>
      <w:r w:rsidRPr="003D294A">
        <w:rPr>
          <w:rFonts w:asciiTheme="minorHAnsi" w:hAnsiTheme="minorHAnsi"/>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030BF6D9" w14:textId="2D647DE0" w:rsidR="00F736C7" w:rsidRPr="003D294A" w:rsidRDefault="00F736C7" w:rsidP="00CF7B47">
      <w:pPr>
        <w:numPr>
          <w:ilvl w:val="1"/>
          <w:numId w:val="1"/>
        </w:numPr>
        <w:spacing w:before="60" w:after="60"/>
        <w:rPr>
          <w:rFonts w:asciiTheme="minorHAnsi" w:hAnsiTheme="minorHAnsi"/>
          <w:bCs/>
          <w:snapToGrid w:val="0"/>
        </w:rPr>
      </w:pPr>
      <w:r w:rsidRPr="003D294A">
        <w:rPr>
          <w:rFonts w:asciiTheme="minorHAnsi" w:hAnsiTheme="minorHAnsi"/>
          <w:bCs/>
          <w:snapToGrid w:val="0"/>
        </w:rPr>
        <w:t xml:space="preserve">The PBAC noted that this submission is eligible for an Independent Review. </w:t>
      </w:r>
    </w:p>
    <w:p w14:paraId="7D099794" w14:textId="77777777" w:rsidR="00F736C7" w:rsidRPr="003D294A" w:rsidRDefault="00F736C7" w:rsidP="00CF7B47">
      <w:pPr>
        <w:spacing w:before="240"/>
        <w:rPr>
          <w:rFonts w:asciiTheme="minorHAnsi" w:hAnsiTheme="minorHAnsi"/>
          <w:b/>
          <w:bCs/>
          <w:snapToGrid w:val="0"/>
        </w:rPr>
      </w:pPr>
      <w:r w:rsidRPr="003D294A">
        <w:rPr>
          <w:rFonts w:asciiTheme="minorHAnsi" w:hAnsiTheme="minorHAnsi"/>
          <w:b/>
          <w:bCs/>
          <w:snapToGrid w:val="0"/>
        </w:rPr>
        <w:t>Outcome:</w:t>
      </w:r>
    </w:p>
    <w:p w14:paraId="7409042C" w14:textId="339262D1" w:rsidR="00F736C7" w:rsidRPr="003D294A" w:rsidRDefault="00F736C7" w:rsidP="00CF7B47">
      <w:pPr>
        <w:rPr>
          <w:rFonts w:asciiTheme="minorHAnsi" w:hAnsiTheme="minorHAnsi"/>
          <w:bCs/>
          <w:snapToGrid w:val="0"/>
        </w:rPr>
      </w:pPr>
      <w:r w:rsidRPr="003D294A">
        <w:rPr>
          <w:rFonts w:asciiTheme="minorHAnsi" w:hAnsiTheme="minorHAnsi"/>
          <w:bCs/>
          <w:snapToGrid w:val="0"/>
        </w:rPr>
        <w:t>Not recommended</w:t>
      </w:r>
    </w:p>
    <w:bookmarkEnd w:id="67"/>
    <w:bookmarkEnd w:id="68"/>
    <w:p w14:paraId="72BCAF71" w14:textId="222E85A2" w:rsidR="005E2EC1" w:rsidRPr="005E2EC1" w:rsidRDefault="005E2EC1" w:rsidP="005E2EC1">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8</w:t>
      </w:r>
      <w:r w:rsidRPr="005E2EC1">
        <w:rPr>
          <w:rFonts w:asciiTheme="minorHAnsi" w:hAnsiTheme="minorHAnsi"/>
          <w:b/>
          <w:snapToGrid w:val="0"/>
          <w:sz w:val="32"/>
          <w:szCs w:val="32"/>
          <w:lang w:eastAsia="en-US"/>
        </w:rPr>
        <w:tab/>
        <w:t>Context for Decision</w:t>
      </w:r>
    </w:p>
    <w:p w14:paraId="4BA3784A" w14:textId="77777777" w:rsidR="005E2EC1" w:rsidRPr="005E2EC1" w:rsidRDefault="005E2EC1" w:rsidP="005E2EC1">
      <w:pPr>
        <w:spacing w:after="120"/>
        <w:ind w:left="720"/>
        <w:rPr>
          <w:rFonts w:cs="Calibri"/>
          <w:bCs/>
          <w:szCs w:val="22"/>
          <w:lang w:val="en-GB"/>
        </w:rPr>
      </w:pPr>
      <w:r w:rsidRPr="005E2EC1">
        <w:rPr>
          <w:rFonts w:cs="Calibri"/>
          <w:bCs/>
          <w:szCs w:val="22"/>
          <w:lang w:val="en-GB"/>
        </w:rPr>
        <w:t xml:space="preserve">The PBAC helps decide whether and, if so, how medicines should be subsidised through the Pharmaceutical Benefits Scheme (PBS) in Australia. It considers </w:t>
      </w:r>
      <w:r w:rsidRPr="005E2EC1">
        <w:rPr>
          <w:rFonts w:cs="Calibri"/>
          <w:bCs/>
          <w:szCs w:val="22"/>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94A7AA2" w14:textId="7B2BBB69" w:rsidR="005E2EC1" w:rsidRPr="005E2EC1" w:rsidRDefault="005E2EC1" w:rsidP="005E2EC1">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9</w:t>
      </w:r>
      <w:r w:rsidRPr="005E2EC1">
        <w:rPr>
          <w:rFonts w:asciiTheme="minorHAnsi" w:hAnsiTheme="minorHAnsi"/>
          <w:b/>
          <w:snapToGrid w:val="0"/>
          <w:sz w:val="32"/>
          <w:szCs w:val="32"/>
          <w:lang w:eastAsia="en-US"/>
        </w:rPr>
        <w:tab/>
        <w:t>Sponsor’s Comment</w:t>
      </w:r>
    </w:p>
    <w:p w14:paraId="5B7777F3" w14:textId="1B9BB7B0" w:rsidR="00F90C3E" w:rsidRPr="003D294A" w:rsidRDefault="005E2EC1" w:rsidP="005E2EC1">
      <w:pPr>
        <w:ind w:firstLine="720"/>
        <w:jc w:val="left"/>
        <w:rPr>
          <w:rFonts w:asciiTheme="minorHAnsi" w:eastAsiaTheme="majorEastAsia" w:hAnsiTheme="minorHAnsi" w:cstheme="majorBidi"/>
          <w:b/>
          <w:color w:val="000000" w:themeColor="text1"/>
        </w:rPr>
      </w:pPr>
      <w:r w:rsidRPr="005E2EC1">
        <w:rPr>
          <w:rFonts w:cs="Calibri"/>
          <w:bCs/>
          <w:szCs w:val="22"/>
          <w:lang w:eastAsia="en-US"/>
        </w:rPr>
        <w:t>The sponsor had no comment.</w:t>
      </w:r>
    </w:p>
    <w:sectPr w:rsidR="00F90C3E" w:rsidRPr="003D294A" w:rsidSect="0075425B">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2D0C" w14:textId="77777777" w:rsidR="008B51A6" w:rsidRPr="003D294A" w:rsidRDefault="008B51A6" w:rsidP="00124A51">
      <w:r w:rsidRPr="003D294A">
        <w:separator/>
      </w:r>
    </w:p>
    <w:p w14:paraId="74ECFFA5" w14:textId="77777777" w:rsidR="008B51A6" w:rsidRPr="003D294A" w:rsidRDefault="008B51A6"/>
    <w:p w14:paraId="4318586C" w14:textId="77777777" w:rsidR="008B51A6" w:rsidRPr="003D294A" w:rsidRDefault="008B51A6"/>
    <w:p w14:paraId="18050E43" w14:textId="77777777" w:rsidR="008B51A6" w:rsidRPr="003D294A" w:rsidRDefault="008B51A6"/>
    <w:p w14:paraId="1500F0D1" w14:textId="77777777" w:rsidR="008B51A6" w:rsidRPr="003D294A" w:rsidRDefault="008B51A6"/>
  </w:endnote>
  <w:endnote w:type="continuationSeparator" w:id="0">
    <w:p w14:paraId="423D3CA9" w14:textId="77777777" w:rsidR="008B51A6" w:rsidRPr="003D294A" w:rsidRDefault="008B51A6" w:rsidP="00124A51">
      <w:r w:rsidRPr="003D294A">
        <w:continuationSeparator/>
      </w:r>
    </w:p>
    <w:p w14:paraId="424CE527" w14:textId="77777777" w:rsidR="008B51A6" w:rsidRPr="003D294A" w:rsidRDefault="008B51A6"/>
    <w:p w14:paraId="1AFFE721" w14:textId="77777777" w:rsidR="008B51A6" w:rsidRPr="003D294A" w:rsidRDefault="008B51A6"/>
    <w:p w14:paraId="6652AE49" w14:textId="77777777" w:rsidR="008B51A6" w:rsidRPr="003D294A" w:rsidRDefault="008B51A6"/>
    <w:p w14:paraId="0CF5036F" w14:textId="77777777" w:rsidR="008B51A6" w:rsidRPr="003D294A" w:rsidRDefault="008B5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931E" w14:textId="5B9C970F" w:rsidR="0000272E" w:rsidRPr="003D294A" w:rsidRDefault="00DC3687">
    <w:pPr>
      <w:pStyle w:val="Footer"/>
    </w:pPr>
    <w:r>
      <w:rPr>
        <w:noProof/>
      </w:rPr>
      <mc:AlternateContent>
        <mc:Choice Requires="wps">
          <w:drawing>
            <wp:anchor distT="0" distB="0" distL="0" distR="0" simplePos="0" relativeHeight="251663365" behindDoc="0" locked="0" layoutInCell="1" allowOverlap="1" wp14:anchorId="215C0C0B" wp14:editId="28ED9F63">
              <wp:simplePos x="635" y="635"/>
              <wp:positionH relativeFrom="page">
                <wp:align>center</wp:align>
              </wp:positionH>
              <wp:positionV relativeFrom="page">
                <wp:align>bottom</wp:align>
              </wp:positionV>
              <wp:extent cx="622300" cy="376555"/>
              <wp:effectExtent l="0" t="0" r="6350" b="0"/>
              <wp:wrapNone/>
              <wp:docPr id="20717185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C91C51" w14:textId="3A502153"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C0C0B"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CC91C51" w14:textId="3A502153"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EBF41D3" w:rsidR="00D843F2" w:rsidRPr="003D294A" w:rsidRDefault="00DC3687" w:rsidP="00753B29">
    <w:pPr>
      <w:jc w:val="center"/>
    </w:pPr>
    <w:r>
      <w:rPr>
        <w:noProof/>
      </w:rPr>
      <mc:AlternateContent>
        <mc:Choice Requires="wps">
          <w:drawing>
            <wp:anchor distT="0" distB="0" distL="0" distR="0" simplePos="0" relativeHeight="251664389" behindDoc="0" locked="0" layoutInCell="1" allowOverlap="1" wp14:anchorId="4A4D07DB" wp14:editId="552B44AC">
              <wp:simplePos x="635" y="635"/>
              <wp:positionH relativeFrom="page">
                <wp:align>center</wp:align>
              </wp:positionH>
              <wp:positionV relativeFrom="page">
                <wp:align>bottom</wp:align>
              </wp:positionV>
              <wp:extent cx="622300" cy="376555"/>
              <wp:effectExtent l="0" t="0" r="6350" b="0"/>
              <wp:wrapNone/>
              <wp:docPr id="8669674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2B2AB4" w14:textId="49121228"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4D07DB"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E2B2AB4" w14:textId="49121228"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v:textbox>
              <w10:wrap anchorx="page" anchory="page"/>
            </v:shape>
          </w:pict>
        </mc:Fallback>
      </mc:AlternateContent>
    </w:r>
  </w:p>
  <w:p w14:paraId="37484CD3" w14:textId="3E0A484F" w:rsidR="00D843F2" w:rsidRPr="003D294A" w:rsidRDefault="008B51A6" w:rsidP="006028D3">
    <w:pPr>
      <w:pStyle w:val="PageFooter"/>
      <w:rPr>
        <w:b w:val="0"/>
        <w:bCs/>
      </w:rPr>
    </w:pPr>
    <w:sdt>
      <w:sdtPr>
        <w:rPr>
          <w:b w:val="0"/>
          <w:bCs/>
        </w:rPr>
        <w:id w:val="1036156457"/>
        <w:docPartObj>
          <w:docPartGallery w:val="Page Numbers (Bottom of Page)"/>
          <w:docPartUnique/>
        </w:docPartObj>
      </w:sdtPr>
      <w:sdtEndPr/>
      <w:sdtContent>
        <w:r w:rsidR="00D843F2" w:rsidRPr="003D294A">
          <w:rPr>
            <w:b w:val="0"/>
            <w:bCs/>
          </w:rPr>
          <w:fldChar w:fldCharType="begin"/>
        </w:r>
        <w:r w:rsidR="00D843F2" w:rsidRPr="003D294A">
          <w:rPr>
            <w:b w:val="0"/>
            <w:bCs/>
          </w:rPr>
          <w:instrText xml:space="preserve"> PAGE   \* MERGEFORMAT </w:instrText>
        </w:r>
        <w:r w:rsidR="00D843F2" w:rsidRPr="003D294A">
          <w:rPr>
            <w:b w:val="0"/>
            <w:bCs/>
          </w:rPr>
          <w:fldChar w:fldCharType="separate"/>
        </w:r>
        <w:r w:rsidR="00D843F2" w:rsidRPr="003D294A">
          <w:rPr>
            <w:b w:val="0"/>
            <w:bCs/>
          </w:rPr>
          <w:t>2</w:t>
        </w:r>
        <w:r w:rsidR="00D843F2" w:rsidRPr="003D294A">
          <w:rPr>
            <w:b w:val="0"/>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1E2F" w14:textId="3E10CF02" w:rsidR="0000272E" w:rsidRPr="003D294A" w:rsidRDefault="00DC3687">
    <w:pPr>
      <w:pStyle w:val="Footer"/>
    </w:pPr>
    <w:r>
      <w:rPr>
        <w:noProof/>
      </w:rPr>
      <mc:AlternateContent>
        <mc:Choice Requires="wps">
          <w:drawing>
            <wp:anchor distT="0" distB="0" distL="0" distR="0" simplePos="0" relativeHeight="251662341" behindDoc="0" locked="0" layoutInCell="1" allowOverlap="1" wp14:anchorId="25E244BD" wp14:editId="2E42F637">
              <wp:simplePos x="635" y="635"/>
              <wp:positionH relativeFrom="page">
                <wp:align>center</wp:align>
              </wp:positionH>
              <wp:positionV relativeFrom="page">
                <wp:align>bottom</wp:align>
              </wp:positionV>
              <wp:extent cx="622300" cy="376555"/>
              <wp:effectExtent l="0" t="0" r="6350" b="0"/>
              <wp:wrapNone/>
              <wp:docPr id="19166630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64EF1F" w14:textId="73362B23"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244B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864EF1F" w14:textId="73362B23"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D972" w14:textId="77777777" w:rsidR="008B51A6" w:rsidRPr="003D294A" w:rsidRDefault="008B51A6" w:rsidP="00124A51">
      <w:r w:rsidRPr="003D294A">
        <w:separator/>
      </w:r>
    </w:p>
    <w:p w14:paraId="2BF5A11D" w14:textId="77777777" w:rsidR="008B51A6" w:rsidRPr="003D294A" w:rsidRDefault="008B51A6"/>
    <w:p w14:paraId="09329FF1" w14:textId="77777777" w:rsidR="008B51A6" w:rsidRPr="003D294A" w:rsidRDefault="008B51A6"/>
    <w:p w14:paraId="762EA22F" w14:textId="77777777" w:rsidR="008B51A6" w:rsidRPr="003D294A" w:rsidRDefault="008B51A6"/>
    <w:p w14:paraId="7610E9C5" w14:textId="77777777" w:rsidR="008B51A6" w:rsidRPr="003D294A" w:rsidRDefault="008B51A6"/>
  </w:footnote>
  <w:footnote w:type="continuationSeparator" w:id="0">
    <w:p w14:paraId="4DDAAE01" w14:textId="77777777" w:rsidR="008B51A6" w:rsidRPr="003D294A" w:rsidRDefault="008B51A6" w:rsidP="00124A51">
      <w:r w:rsidRPr="003D294A">
        <w:continuationSeparator/>
      </w:r>
    </w:p>
    <w:p w14:paraId="595243EA" w14:textId="77777777" w:rsidR="008B51A6" w:rsidRPr="003D294A" w:rsidRDefault="008B51A6"/>
    <w:p w14:paraId="440459E6" w14:textId="77777777" w:rsidR="008B51A6" w:rsidRPr="003D294A" w:rsidRDefault="008B51A6"/>
    <w:p w14:paraId="75F9A9FD" w14:textId="77777777" w:rsidR="008B51A6" w:rsidRPr="003D294A" w:rsidRDefault="008B51A6"/>
    <w:p w14:paraId="05FB3C29" w14:textId="77777777" w:rsidR="008B51A6" w:rsidRPr="003D294A" w:rsidRDefault="008B51A6"/>
  </w:footnote>
  <w:footnote w:id="1">
    <w:p w14:paraId="33C1E8B0" w14:textId="7C4CE57F" w:rsidR="00037B0A" w:rsidRDefault="00037B0A">
      <w:pPr>
        <w:pStyle w:val="FootnoteText"/>
      </w:pPr>
      <w:r w:rsidRPr="003D294A">
        <w:rPr>
          <w:rStyle w:val="FootnoteReference"/>
        </w:rPr>
        <w:footnoteRef/>
      </w:r>
      <w:r w:rsidRPr="003D294A">
        <w:t xml:space="preserve"> </w:t>
      </w:r>
      <w:hyperlink r:id="rId1" w:history="1">
        <w:r w:rsidR="00AB4D89" w:rsidRPr="003D294A">
          <w:rPr>
            <w:rStyle w:val="Hyperlink"/>
          </w:rPr>
          <w:t>Pharmaceutical Benefits Scheme (PBS) | Recommendations made by the PBAC – November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DC53" w14:textId="51280AED" w:rsidR="0000272E" w:rsidRPr="003D294A" w:rsidRDefault="00DC3687">
    <w:pPr>
      <w:pStyle w:val="Header"/>
    </w:pPr>
    <w:r>
      <w:rPr>
        <w:noProof/>
      </w:rPr>
      <mc:AlternateContent>
        <mc:Choice Requires="wps">
          <w:drawing>
            <wp:anchor distT="0" distB="0" distL="0" distR="0" simplePos="0" relativeHeight="251660293" behindDoc="0" locked="0" layoutInCell="1" allowOverlap="1" wp14:anchorId="083815E5" wp14:editId="27B9D6CF">
              <wp:simplePos x="635" y="635"/>
              <wp:positionH relativeFrom="page">
                <wp:align>center</wp:align>
              </wp:positionH>
              <wp:positionV relativeFrom="page">
                <wp:align>top</wp:align>
              </wp:positionV>
              <wp:extent cx="622300" cy="376555"/>
              <wp:effectExtent l="0" t="0" r="6350" b="4445"/>
              <wp:wrapNone/>
              <wp:docPr id="9648179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67E246" w14:textId="386086B3"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815E5"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C67E246" w14:textId="386086B3"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5A7C857" w:rsidR="00D843F2" w:rsidRPr="003D294A" w:rsidRDefault="00DC3687" w:rsidP="00B94414">
    <w:pPr>
      <w:pStyle w:val="Header"/>
    </w:pPr>
    <w:r>
      <w:rPr>
        <w:noProof/>
      </w:rPr>
      <mc:AlternateContent>
        <mc:Choice Requires="wps">
          <w:drawing>
            <wp:anchor distT="0" distB="0" distL="0" distR="0" simplePos="0" relativeHeight="251661317" behindDoc="0" locked="0" layoutInCell="1" allowOverlap="1" wp14:anchorId="5C5A9FDE" wp14:editId="6961C084">
              <wp:simplePos x="635" y="635"/>
              <wp:positionH relativeFrom="page">
                <wp:align>center</wp:align>
              </wp:positionH>
              <wp:positionV relativeFrom="page">
                <wp:align>top</wp:align>
              </wp:positionV>
              <wp:extent cx="622300" cy="376555"/>
              <wp:effectExtent l="0" t="0" r="6350" b="4445"/>
              <wp:wrapNone/>
              <wp:docPr id="10796398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9E3360" w14:textId="4725D8C5"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A9FD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39E3360" w14:textId="4725D8C5"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v:textbox>
              <w10:wrap anchorx="page" anchory="page"/>
            </v:shape>
          </w:pict>
        </mc:Fallback>
      </mc:AlternateContent>
    </w:r>
    <w:r w:rsidR="005E2EC1">
      <w:t>Public Summary Document</w:t>
    </w:r>
    <w:r w:rsidR="00A95720" w:rsidRPr="003D294A">
      <w:t xml:space="preserve"> - </w:t>
    </w:r>
    <w:r w:rsidR="00D843F2" w:rsidRPr="003D294A">
      <w:t>M</w:t>
    </w:r>
    <w:r w:rsidR="0036247E" w:rsidRPr="003D294A">
      <w:t>arch</w:t>
    </w:r>
    <w:r w:rsidR="00D843F2" w:rsidRPr="003D294A">
      <w:t xml:space="preserve"> 202</w:t>
    </w:r>
    <w:r w:rsidR="0036247E" w:rsidRPr="003D294A">
      <w:t>6</w:t>
    </w:r>
    <w:r w:rsidR="00D843F2" w:rsidRPr="003D294A">
      <w:t xml:space="preserve"> PBAC Meeting</w:t>
    </w:r>
  </w:p>
  <w:p w14:paraId="03AF943B" w14:textId="77777777" w:rsidR="00D843F2" w:rsidRPr="003D294A" w:rsidRDefault="00D843F2" w:rsidP="00B94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C891" w14:textId="17708107" w:rsidR="0000272E" w:rsidRPr="003D294A" w:rsidRDefault="00DC3687">
    <w:pPr>
      <w:pStyle w:val="Header"/>
    </w:pPr>
    <w:r>
      <w:rPr>
        <w:noProof/>
      </w:rPr>
      <mc:AlternateContent>
        <mc:Choice Requires="wps">
          <w:drawing>
            <wp:anchor distT="0" distB="0" distL="0" distR="0" simplePos="0" relativeHeight="251659269" behindDoc="0" locked="0" layoutInCell="1" allowOverlap="1" wp14:anchorId="5212B84B" wp14:editId="59341F0E">
              <wp:simplePos x="635" y="635"/>
              <wp:positionH relativeFrom="page">
                <wp:align>center</wp:align>
              </wp:positionH>
              <wp:positionV relativeFrom="page">
                <wp:align>top</wp:align>
              </wp:positionV>
              <wp:extent cx="622300" cy="376555"/>
              <wp:effectExtent l="0" t="0" r="6350" b="4445"/>
              <wp:wrapNone/>
              <wp:docPr id="105249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381701" w14:textId="52D73E81"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2B84B"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0381701" w14:textId="52D73E81" w:rsidR="00DC3687" w:rsidRPr="00DC3687" w:rsidRDefault="00DC3687" w:rsidP="00DC3687">
                    <w:pPr>
                      <w:rPr>
                        <w:rFonts w:ascii="Aptos" w:eastAsia="Aptos" w:hAnsi="Aptos" w:cs="Aptos"/>
                        <w:noProof/>
                        <w:color w:val="FF0000"/>
                      </w:rPr>
                    </w:pPr>
                    <w:r w:rsidRPr="00DC368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219F8"/>
    <w:multiLevelType w:val="hybridMultilevel"/>
    <w:tmpl w:val="6CA0CEB4"/>
    <w:lvl w:ilvl="0" w:tplc="4F38898A">
      <w:start w:val="1"/>
      <w:numFmt w:val="bullet"/>
      <w:pStyle w:val="COMES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E07A47CC"/>
    <w:lvl w:ilvl="0" w:tplc="E1B6BF4A">
      <w:start w:val="1"/>
      <w:numFmt w:val="decimal"/>
      <w:lvlText w:val="%1."/>
      <w:lvlJc w:val="left"/>
      <w:pPr>
        <w:ind w:left="36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D5C697E6"/>
    <w:lvl w:ilvl="0" w:tplc="CFE87BE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4D033C"/>
    <w:multiLevelType w:val="multilevel"/>
    <w:tmpl w:val="DB70053A"/>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322805612">
    <w:abstractNumId w:val="15"/>
  </w:num>
  <w:num w:numId="2" w16cid:durableId="285307860">
    <w:abstractNumId w:val="10"/>
  </w:num>
  <w:num w:numId="3" w16cid:durableId="1727025945">
    <w:abstractNumId w:val="13"/>
  </w:num>
  <w:num w:numId="4" w16cid:durableId="710809888">
    <w:abstractNumId w:val="9"/>
  </w:num>
  <w:num w:numId="5" w16cid:durableId="766928054">
    <w:abstractNumId w:val="15"/>
  </w:num>
  <w:num w:numId="6" w16cid:durableId="215631553">
    <w:abstractNumId w:val="0"/>
  </w:num>
  <w:num w:numId="7" w16cid:durableId="1077634904">
    <w:abstractNumId w:val="4"/>
  </w:num>
  <w:num w:numId="8" w16cid:durableId="165361264">
    <w:abstractNumId w:val="6"/>
  </w:num>
  <w:num w:numId="9" w16cid:durableId="1935018442">
    <w:abstractNumId w:val="16"/>
  </w:num>
  <w:num w:numId="10" w16cid:durableId="1660116426">
    <w:abstractNumId w:val="2"/>
  </w:num>
  <w:num w:numId="11" w16cid:durableId="408699874">
    <w:abstractNumId w:val="11"/>
  </w:num>
  <w:num w:numId="12" w16cid:durableId="1569418770">
    <w:abstractNumId w:val="3"/>
  </w:num>
  <w:num w:numId="13" w16cid:durableId="705176722">
    <w:abstractNumId w:val="1"/>
  </w:num>
  <w:num w:numId="14" w16cid:durableId="1926569401">
    <w:abstractNumId w:val="7"/>
  </w:num>
  <w:num w:numId="15" w16cid:durableId="1979457665">
    <w:abstractNumId w:val="8"/>
  </w:num>
  <w:num w:numId="16" w16cid:durableId="2038313566">
    <w:abstractNumId w:val="5"/>
  </w:num>
  <w:num w:numId="17" w16cid:durableId="129744317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997201">
    <w:abstractNumId w:val="14"/>
  </w:num>
  <w:num w:numId="19" w16cid:durableId="1283729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9635319">
    <w:abstractNumId w:val="15"/>
  </w:num>
  <w:num w:numId="21" w16cid:durableId="193816830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70"/>
    <w:rsid w:val="000005C6"/>
    <w:rsid w:val="00000745"/>
    <w:rsid w:val="00000790"/>
    <w:rsid w:val="00000CD5"/>
    <w:rsid w:val="00000FFE"/>
    <w:rsid w:val="0000110B"/>
    <w:rsid w:val="000014A3"/>
    <w:rsid w:val="0000167D"/>
    <w:rsid w:val="00001FBE"/>
    <w:rsid w:val="000023D1"/>
    <w:rsid w:val="0000272E"/>
    <w:rsid w:val="0000277B"/>
    <w:rsid w:val="00002AAF"/>
    <w:rsid w:val="00002C96"/>
    <w:rsid w:val="000033EF"/>
    <w:rsid w:val="00003499"/>
    <w:rsid w:val="00003769"/>
    <w:rsid w:val="000039B7"/>
    <w:rsid w:val="00003ADF"/>
    <w:rsid w:val="000043E8"/>
    <w:rsid w:val="00004529"/>
    <w:rsid w:val="000047B0"/>
    <w:rsid w:val="00004ACB"/>
    <w:rsid w:val="00004B37"/>
    <w:rsid w:val="00004D35"/>
    <w:rsid w:val="000050B2"/>
    <w:rsid w:val="000051E6"/>
    <w:rsid w:val="000052F8"/>
    <w:rsid w:val="000056B9"/>
    <w:rsid w:val="000059C2"/>
    <w:rsid w:val="00005AE5"/>
    <w:rsid w:val="0000639A"/>
    <w:rsid w:val="0000658A"/>
    <w:rsid w:val="000065DD"/>
    <w:rsid w:val="00006AB9"/>
    <w:rsid w:val="00006BA9"/>
    <w:rsid w:val="00006DFF"/>
    <w:rsid w:val="00006E52"/>
    <w:rsid w:val="000075CE"/>
    <w:rsid w:val="00010A77"/>
    <w:rsid w:val="00010BEF"/>
    <w:rsid w:val="00010F36"/>
    <w:rsid w:val="00010FEE"/>
    <w:rsid w:val="00011092"/>
    <w:rsid w:val="00011112"/>
    <w:rsid w:val="000111AC"/>
    <w:rsid w:val="00011405"/>
    <w:rsid w:val="0001178A"/>
    <w:rsid w:val="000117F2"/>
    <w:rsid w:val="00011E64"/>
    <w:rsid w:val="00012406"/>
    <w:rsid w:val="00012F1D"/>
    <w:rsid w:val="0001308A"/>
    <w:rsid w:val="00013247"/>
    <w:rsid w:val="000133D8"/>
    <w:rsid w:val="00013AC3"/>
    <w:rsid w:val="00013BBD"/>
    <w:rsid w:val="00013BF1"/>
    <w:rsid w:val="00013D06"/>
    <w:rsid w:val="00013F7A"/>
    <w:rsid w:val="00013FC6"/>
    <w:rsid w:val="00014045"/>
    <w:rsid w:val="000141B5"/>
    <w:rsid w:val="00014675"/>
    <w:rsid w:val="00014A1D"/>
    <w:rsid w:val="000150A2"/>
    <w:rsid w:val="00015104"/>
    <w:rsid w:val="00015744"/>
    <w:rsid w:val="00015886"/>
    <w:rsid w:val="00015D5F"/>
    <w:rsid w:val="00016151"/>
    <w:rsid w:val="000162EF"/>
    <w:rsid w:val="00016976"/>
    <w:rsid w:val="00016AD6"/>
    <w:rsid w:val="00016D57"/>
    <w:rsid w:val="00017943"/>
    <w:rsid w:val="00017B9E"/>
    <w:rsid w:val="00017CDC"/>
    <w:rsid w:val="00017FEE"/>
    <w:rsid w:val="0002013F"/>
    <w:rsid w:val="0002035E"/>
    <w:rsid w:val="0002066B"/>
    <w:rsid w:val="000206CC"/>
    <w:rsid w:val="000206D4"/>
    <w:rsid w:val="00020736"/>
    <w:rsid w:val="000207BA"/>
    <w:rsid w:val="000207C9"/>
    <w:rsid w:val="000212EA"/>
    <w:rsid w:val="00021BC2"/>
    <w:rsid w:val="00021D0F"/>
    <w:rsid w:val="00021E16"/>
    <w:rsid w:val="000220E3"/>
    <w:rsid w:val="0002225F"/>
    <w:rsid w:val="0002226B"/>
    <w:rsid w:val="0002228B"/>
    <w:rsid w:val="000222CD"/>
    <w:rsid w:val="000227B8"/>
    <w:rsid w:val="000228D6"/>
    <w:rsid w:val="00022CF8"/>
    <w:rsid w:val="0002300C"/>
    <w:rsid w:val="0002343F"/>
    <w:rsid w:val="00023763"/>
    <w:rsid w:val="00023E4F"/>
    <w:rsid w:val="00023E6A"/>
    <w:rsid w:val="00023FAD"/>
    <w:rsid w:val="000240A4"/>
    <w:rsid w:val="000242A2"/>
    <w:rsid w:val="000246E0"/>
    <w:rsid w:val="00024A69"/>
    <w:rsid w:val="00024A9A"/>
    <w:rsid w:val="00024B28"/>
    <w:rsid w:val="00024B54"/>
    <w:rsid w:val="00024EB5"/>
    <w:rsid w:val="00025207"/>
    <w:rsid w:val="00025BC0"/>
    <w:rsid w:val="00025C43"/>
    <w:rsid w:val="00025C5D"/>
    <w:rsid w:val="00025D6E"/>
    <w:rsid w:val="00025F5D"/>
    <w:rsid w:val="00026170"/>
    <w:rsid w:val="000264C6"/>
    <w:rsid w:val="00026C81"/>
    <w:rsid w:val="00027019"/>
    <w:rsid w:val="0002709E"/>
    <w:rsid w:val="00027165"/>
    <w:rsid w:val="000272F3"/>
    <w:rsid w:val="000274B8"/>
    <w:rsid w:val="0002761A"/>
    <w:rsid w:val="00027796"/>
    <w:rsid w:val="00027BE3"/>
    <w:rsid w:val="00027CE0"/>
    <w:rsid w:val="00027E2B"/>
    <w:rsid w:val="00030085"/>
    <w:rsid w:val="0003048E"/>
    <w:rsid w:val="000304BF"/>
    <w:rsid w:val="00030A1A"/>
    <w:rsid w:val="00030B21"/>
    <w:rsid w:val="00030C23"/>
    <w:rsid w:val="00030F3D"/>
    <w:rsid w:val="00030FD9"/>
    <w:rsid w:val="00031447"/>
    <w:rsid w:val="00031521"/>
    <w:rsid w:val="00031CCB"/>
    <w:rsid w:val="00031F58"/>
    <w:rsid w:val="00031FD0"/>
    <w:rsid w:val="000324C4"/>
    <w:rsid w:val="00032996"/>
    <w:rsid w:val="000329B7"/>
    <w:rsid w:val="00032D45"/>
    <w:rsid w:val="00032E20"/>
    <w:rsid w:val="00033004"/>
    <w:rsid w:val="000334E8"/>
    <w:rsid w:val="000335EE"/>
    <w:rsid w:val="00033863"/>
    <w:rsid w:val="0003388A"/>
    <w:rsid w:val="000339F6"/>
    <w:rsid w:val="00033BA2"/>
    <w:rsid w:val="00033D5B"/>
    <w:rsid w:val="000346C6"/>
    <w:rsid w:val="000346EF"/>
    <w:rsid w:val="00034781"/>
    <w:rsid w:val="00034811"/>
    <w:rsid w:val="000353C0"/>
    <w:rsid w:val="000353ED"/>
    <w:rsid w:val="0003555F"/>
    <w:rsid w:val="00035B25"/>
    <w:rsid w:val="00035DC0"/>
    <w:rsid w:val="00035E1A"/>
    <w:rsid w:val="00035E1B"/>
    <w:rsid w:val="00035F4D"/>
    <w:rsid w:val="000360C3"/>
    <w:rsid w:val="0003617B"/>
    <w:rsid w:val="000361E6"/>
    <w:rsid w:val="00036484"/>
    <w:rsid w:val="000365E7"/>
    <w:rsid w:val="00036763"/>
    <w:rsid w:val="0003678B"/>
    <w:rsid w:val="00036829"/>
    <w:rsid w:val="000377CB"/>
    <w:rsid w:val="0003794F"/>
    <w:rsid w:val="00037B0A"/>
    <w:rsid w:val="00037B7B"/>
    <w:rsid w:val="0004087C"/>
    <w:rsid w:val="00040895"/>
    <w:rsid w:val="00040A8D"/>
    <w:rsid w:val="000410A0"/>
    <w:rsid w:val="000411C1"/>
    <w:rsid w:val="00041332"/>
    <w:rsid w:val="0004157E"/>
    <w:rsid w:val="000416CD"/>
    <w:rsid w:val="000416F3"/>
    <w:rsid w:val="00041763"/>
    <w:rsid w:val="00041B91"/>
    <w:rsid w:val="00041CAE"/>
    <w:rsid w:val="00041CE1"/>
    <w:rsid w:val="00042887"/>
    <w:rsid w:val="00042D1D"/>
    <w:rsid w:val="000431B0"/>
    <w:rsid w:val="000435EE"/>
    <w:rsid w:val="00043C37"/>
    <w:rsid w:val="00043C3A"/>
    <w:rsid w:val="00043C66"/>
    <w:rsid w:val="00043FCD"/>
    <w:rsid w:val="00044028"/>
    <w:rsid w:val="000442C2"/>
    <w:rsid w:val="00044309"/>
    <w:rsid w:val="00044701"/>
    <w:rsid w:val="00044A46"/>
    <w:rsid w:val="00045017"/>
    <w:rsid w:val="00045133"/>
    <w:rsid w:val="000452B7"/>
    <w:rsid w:val="000458E9"/>
    <w:rsid w:val="00045905"/>
    <w:rsid w:val="00045973"/>
    <w:rsid w:val="00045A2B"/>
    <w:rsid w:val="00045B23"/>
    <w:rsid w:val="00045EAA"/>
    <w:rsid w:val="0004698F"/>
    <w:rsid w:val="00046D64"/>
    <w:rsid w:val="000470E7"/>
    <w:rsid w:val="000471A4"/>
    <w:rsid w:val="000471EB"/>
    <w:rsid w:val="000476AB"/>
    <w:rsid w:val="00047861"/>
    <w:rsid w:val="00047A7E"/>
    <w:rsid w:val="00047DA2"/>
    <w:rsid w:val="0005051C"/>
    <w:rsid w:val="00050645"/>
    <w:rsid w:val="00050726"/>
    <w:rsid w:val="00050836"/>
    <w:rsid w:val="000508C2"/>
    <w:rsid w:val="00050A79"/>
    <w:rsid w:val="00051301"/>
    <w:rsid w:val="00051516"/>
    <w:rsid w:val="0005163A"/>
    <w:rsid w:val="000518EB"/>
    <w:rsid w:val="00051F94"/>
    <w:rsid w:val="000526C8"/>
    <w:rsid w:val="000526D3"/>
    <w:rsid w:val="00052983"/>
    <w:rsid w:val="00052F21"/>
    <w:rsid w:val="00053225"/>
    <w:rsid w:val="0005370F"/>
    <w:rsid w:val="000539D0"/>
    <w:rsid w:val="000539FC"/>
    <w:rsid w:val="00053D66"/>
    <w:rsid w:val="00053E73"/>
    <w:rsid w:val="00053EB7"/>
    <w:rsid w:val="00053FF1"/>
    <w:rsid w:val="000542FD"/>
    <w:rsid w:val="0005441F"/>
    <w:rsid w:val="00054621"/>
    <w:rsid w:val="00054635"/>
    <w:rsid w:val="0005464D"/>
    <w:rsid w:val="000546D7"/>
    <w:rsid w:val="0005496A"/>
    <w:rsid w:val="00054A8D"/>
    <w:rsid w:val="00054ED1"/>
    <w:rsid w:val="00055316"/>
    <w:rsid w:val="000557EB"/>
    <w:rsid w:val="00055901"/>
    <w:rsid w:val="000559CE"/>
    <w:rsid w:val="00055BFF"/>
    <w:rsid w:val="000563C9"/>
    <w:rsid w:val="00056B83"/>
    <w:rsid w:val="00056BA4"/>
    <w:rsid w:val="00056D43"/>
    <w:rsid w:val="00056ECF"/>
    <w:rsid w:val="0005723C"/>
    <w:rsid w:val="00057308"/>
    <w:rsid w:val="000574D2"/>
    <w:rsid w:val="00057D1D"/>
    <w:rsid w:val="00057E01"/>
    <w:rsid w:val="000604DF"/>
    <w:rsid w:val="00060E48"/>
    <w:rsid w:val="00061331"/>
    <w:rsid w:val="0006134E"/>
    <w:rsid w:val="000615F6"/>
    <w:rsid w:val="00061A11"/>
    <w:rsid w:val="000621A7"/>
    <w:rsid w:val="00062324"/>
    <w:rsid w:val="000629B4"/>
    <w:rsid w:val="00062A3C"/>
    <w:rsid w:val="00062AD5"/>
    <w:rsid w:val="00062B96"/>
    <w:rsid w:val="00062C11"/>
    <w:rsid w:val="00062CC0"/>
    <w:rsid w:val="00062E9F"/>
    <w:rsid w:val="00063070"/>
    <w:rsid w:val="00063308"/>
    <w:rsid w:val="000633DA"/>
    <w:rsid w:val="00063491"/>
    <w:rsid w:val="000636E9"/>
    <w:rsid w:val="00063A4D"/>
    <w:rsid w:val="00063D56"/>
    <w:rsid w:val="00063E46"/>
    <w:rsid w:val="00064677"/>
    <w:rsid w:val="00064C7A"/>
    <w:rsid w:val="00064FBE"/>
    <w:rsid w:val="00064FF5"/>
    <w:rsid w:val="0006516E"/>
    <w:rsid w:val="000651C7"/>
    <w:rsid w:val="000651CF"/>
    <w:rsid w:val="000653B5"/>
    <w:rsid w:val="0006579C"/>
    <w:rsid w:val="0006597C"/>
    <w:rsid w:val="00065A2C"/>
    <w:rsid w:val="00065C26"/>
    <w:rsid w:val="00065CBC"/>
    <w:rsid w:val="00065D31"/>
    <w:rsid w:val="00066360"/>
    <w:rsid w:val="00066A75"/>
    <w:rsid w:val="00066AF8"/>
    <w:rsid w:val="00066BB8"/>
    <w:rsid w:val="000671DF"/>
    <w:rsid w:val="00067A33"/>
    <w:rsid w:val="00067B3D"/>
    <w:rsid w:val="00067BC7"/>
    <w:rsid w:val="00070069"/>
    <w:rsid w:val="000700D2"/>
    <w:rsid w:val="00070139"/>
    <w:rsid w:val="00070799"/>
    <w:rsid w:val="00070C3E"/>
    <w:rsid w:val="00070E44"/>
    <w:rsid w:val="000711A4"/>
    <w:rsid w:val="00071248"/>
    <w:rsid w:val="00071380"/>
    <w:rsid w:val="000714A0"/>
    <w:rsid w:val="000718DF"/>
    <w:rsid w:val="000720B9"/>
    <w:rsid w:val="0007297F"/>
    <w:rsid w:val="00072D6F"/>
    <w:rsid w:val="00072E0F"/>
    <w:rsid w:val="00072E72"/>
    <w:rsid w:val="000733B0"/>
    <w:rsid w:val="00073406"/>
    <w:rsid w:val="000737F7"/>
    <w:rsid w:val="00073882"/>
    <w:rsid w:val="0007390E"/>
    <w:rsid w:val="00073A40"/>
    <w:rsid w:val="00073C43"/>
    <w:rsid w:val="00073CCA"/>
    <w:rsid w:val="00073D27"/>
    <w:rsid w:val="0007471E"/>
    <w:rsid w:val="00074D90"/>
    <w:rsid w:val="0007504A"/>
    <w:rsid w:val="00075078"/>
    <w:rsid w:val="00075557"/>
    <w:rsid w:val="0007562F"/>
    <w:rsid w:val="00075922"/>
    <w:rsid w:val="00075B15"/>
    <w:rsid w:val="00075EA1"/>
    <w:rsid w:val="00075F82"/>
    <w:rsid w:val="0007672F"/>
    <w:rsid w:val="00076914"/>
    <w:rsid w:val="00076A88"/>
    <w:rsid w:val="00076B54"/>
    <w:rsid w:val="00076C9B"/>
    <w:rsid w:val="00076DA4"/>
    <w:rsid w:val="00076E3D"/>
    <w:rsid w:val="00076F22"/>
    <w:rsid w:val="000771CF"/>
    <w:rsid w:val="00077455"/>
    <w:rsid w:val="000774F0"/>
    <w:rsid w:val="000777DD"/>
    <w:rsid w:val="0007789A"/>
    <w:rsid w:val="00077C37"/>
    <w:rsid w:val="00077C3D"/>
    <w:rsid w:val="000801DD"/>
    <w:rsid w:val="0008067A"/>
    <w:rsid w:val="000806C9"/>
    <w:rsid w:val="00080817"/>
    <w:rsid w:val="00080909"/>
    <w:rsid w:val="00080975"/>
    <w:rsid w:val="000809BD"/>
    <w:rsid w:val="000812CA"/>
    <w:rsid w:val="0008172C"/>
    <w:rsid w:val="000819DE"/>
    <w:rsid w:val="00081E63"/>
    <w:rsid w:val="00081F75"/>
    <w:rsid w:val="0008258D"/>
    <w:rsid w:val="000829FA"/>
    <w:rsid w:val="00082BBF"/>
    <w:rsid w:val="00082D97"/>
    <w:rsid w:val="00082F5A"/>
    <w:rsid w:val="0008318E"/>
    <w:rsid w:val="00083580"/>
    <w:rsid w:val="00083763"/>
    <w:rsid w:val="00083B8A"/>
    <w:rsid w:val="00083C75"/>
    <w:rsid w:val="00083D2F"/>
    <w:rsid w:val="00083E1A"/>
    <w:rsid w:val="00083E99"/>
    <w:rsid w:val="00083FC6"/>
    <w:rsid w:val="000840B6"/>
    <w:rsid w:val="000841FA"/>
    <w:rsid w:val="00084265"/>
    <w:rsid w:val="000842F2"/>
    <w:rsid w:val="0008478D"/>
    <w:rsid w:val="000849BB"/>
    <w:rsid w:val="00084DD6"/>
    <w:rsid w:val="00084F47"/>
    <w:rsid w:val="00084FA8"/>
    <w:rsid w:val="000852E8"/>
    <w:rsid w:val="000854AA"/>
    <w:rsid w:val="0008561A"/>
    <w:rsid w:val="000856BF"/>
    <w:rsid w:val="000856C5"/>
    <w:rsid w:val="00085A20"/>
    <w:rsid w:val="00085ADD"/>
    <w:rsid w:val="00085C31"/>
    <w:rsid w:val="00085DA6"/>
    <w:rsid w:val="0008618C"/>
    <w:rsid w:val="00086BD5"/>
    <w:rsid w:val="00087159"/>
    <w:rsid w:val="0008727B"/>
    <w:rsid w:val="000872AC"/>
    <w:rsid w:val="000874AF"/>
    <w:rsid w:val="0008757D"/>
    <w:rsid w:val="000902D9"/>
    <w:rsid w:val="000902E0"/>
    <w:rsid w:val="000904EA"/>
    <w:rsid w:val="00090C7E"/>
    <w:rsid w:val="00090CA4"/>
    <w:rsid w:val="00090E16"/>
    <w:rsid w:val="000911AC"/>
    <w:rsid w:val="00091207"/>
    <w:rsid w:val="000915C6"/>
    <w:rsid w:val="000917F0"/>
    <w:rsid w:val="00091892"/>
    <w:rsid w:val="00091FBB"/>
    <w:rsid w:val="00092364"/>
    <w:rsid w:val="00092600"/>
    <w:rsid w:val="0009262B"/>
    <w:rsid w:val="000927F1"/>
    <w:rsid w:val="00092893"/>
    <w:rsid w:val="00092FE7"/>
    <w:rsid w:val="000931CC"/>
    <w:rsid w:val="00093310"/>
    <w:rsid w:val="00093628"/>
    <w:rsid w:val="00093846"/>
    <w:rsid w:val="00093B39"/>
    <w:rsid w:val="00093DB9"/>
    <w:rsid w:val="00093DE4"/>
    <w:rsid w:val="000940AD"/>
    <w:rsid w:val="000940C5"/>
    <w:rsid w:val="00094137"/>
    <w:rsid w:val="000942F1"/>
    <w:rsid w:val="0009445C"/>
    <w:rsid w:val="0009447F"/>
    <w:rsid w:val="00094D63"/>
    <w:rsid w:val="00094F10"/>
    <w:rsid w:val="00095200"/>
    <w:rsid w:val="00095278"/>
    <w:rsid w:val="00095737"/>
    <w:rsid w:val="00095A16"/>
    <w:rsid w:val="00095B17"/>
    <w:rsid w:val="00095E94"/>
    <w:rsid w:val="00095FE5"/>
    <w:rsid w:val="00096138"/>
    <w:rsid w:val="000961BA"/>
    <w:rsid w:val="00096225"/>
    <w:rsid w:val="00096271"/>
    <w:rsid w:val="00096284"/>
    <w:rsid w:val="00096392"/>
    <w:rsid w:val="00096919"/>
    <w:rsid w:val="00096AD4"/>
    <w:rsid w:val="0009700D"/>
    <w:rsid w:val="00097633"/>
    <w:rsid w:val="0009775E"/>
    <w:rsid w:val="00097851"/>
    <w:rsid w:val="00097D56"/>
    <w:rsid w:val="000A06BC"/>
    <w:rsid w:val="000A0743"/>
    <w:rsid w:val="000A10ED"/>
    <w:rsid w:val="000A13B6"/>
    <w:rsid w:val="000A13F4"/>
    <w:rsid w:val="000A15A0"/>
    <w:rsid w:val="000A1BC0"/>
    <w:rsid w:val="000A1EA1"/>
    <w:rsid w:val="000A29B9"/>
    <w:rsid w:val="000A2B53"/>
    <w:rsid w:val="000A2D14"/>
    <w:rsid w:val="000A2D17"/>
    <w:rsid w:val="000A2F9E"/>
    <w:rsid w:val="000A32D5"/>
    <w:rsid w:val="000A356E"/>
    <w:rsid w:val="000A3A09"/>
    <w:rsid w:val="000A3BD6"/>
    <w:rsid w:val="000A3E38"/>
    <w:rsid w:val="000A3E47"/>
    <w:rsid w:val="000A4DD2"/>
    <w:rsid w:val="000A4F70"/>
    <w:rsid w:val="000A4FF5"/>
    <w:rsid w:val="000A5218"/>
    <w:rsid w:val="000A522B"/>
    <w:rsid w:val="000A528F"/>
    <w:rsid w:val="000A54A3"/>
    <w:rsid w:val="000A5820"/>
    <w:rsid w:val="000A5A1E"/>
    <w:rsid w:val="000A5A69"/>
    <w:rsid w:val="000A6039"/>
    <w:rsid w:val="000A61EE"/>
    <w:rsid w:val="000A6413"/>
    <w:rsid w:val="000A6540"/>
    <w:rsid w:val="000A660E"/>
    <w:rsid w:val="000A6610"/>
    <w:rsid w:val="000A662C"/>
    <w:rsid w:val="000A664D"/>
    <w:rsid w:val="000A6789"/>
    <w:rsid w:val="000A6FA9"/>
    <w:rsid w:val="000A710E"/>
    <w:rsid w:val="000A73A4"/>
    <w:rsid w:val="000A73BE"/>
    <w:rsid w:val="000A7453"/>
    <w:rsid w:val="000A748F"/>
    <w:rsid w:val="000A7498"/>
    <w:rsid w:val="000A7AFC"/>
    <w:rsid w:val="000A7D08"/>
    <w:rsid w:val="000A7E9D"/>
    <w:rsid w:val="000B0121"/>
    <w:rsid w:val="000B0618"/>
    <w:rsid w:val="000B0670"/>
    <w:rsid w:val="000B072F"/>
    <w:rsid w:val="000B0E75"/>
    <w:rsid w:val="000B0EAA"/>
    <w:rsid w:val="000B0FE7"/>
    <w:rsid w:val="000B12C4"/>
    <w:rsid w:val="000B136E"/>
    <w:rsid w:val="000B153A"/>
    <w:rsid w:val="000B23A8"/>
    <w:rsid w:val="000B2821"/>
    <w:rsid w:val="000B2C4F"/>
    <w:rsid w:val="000B2DA2"/>
    <w:rsid w:val="000B2DCB"/>
    <w:rsid w:val="000B37C2"/>
    <w:rsid w:val="000B3909"/>
    <w:rsid w:val="000B3911"/>
    <w:rsid w:val="000B3BB7"/>
    <w:rsid w:val="000B400B"/>
    <w:rsid w:val="000B413F"/>
    <w:rsid w:val="000B4198"/>
    <w:rsid w:val="000B4289"/>
    <w:rsid w:val="000B459A"/>
    <w:rsid w:val="000B4AA4"/>
    <w:rsid w:val="000B4B91"/>
    <w:rsid w:val="000B4F0D"/>
    <w:rsid w:val="000B4FFD"/>
    <w:rsid w:val="000B50CE"/>
    <w:rsid w:val="000B5273"/>
    <w:rsid w:val="000B5583"/>
    <w:rsid w:val="000B5610"/>
    <w:rsid w:val="000B5A6E"/>
    <w:rsid w:val="000B5CE0"/>
    <w:rsid w:val="000B63D8"/>
    <w:rsid w:val="000B6617"/>
    <w:rsid w:val="000B6CAC"/>
    <w:rsid w:val="000B6E5C"/>
    <w:rsid w:val="000B7445"/>
    <w:rsid w:val="000B7457"/>
    <w:rsid w:val="000B7612"/>
    <w:rsid w:val="000B77A4"/>
    <w:rsid w:val="000B787C"/>
    <w:rsid w:val="000B78AE"/>
    <w:rsid w:val="000B7998"/>
    <w:rsid w:val="000B7A7F"/>
    <w:rsid w:val="000B7B7B"/>
    <w:rsid w:val="000B7B7C"/>
    <w:rsid w:val="000C0480"/>
    <w:rsid w:val="000C066A"/>
    <w:rsid w:val="000C09A6"/>
    <w:rsid w:val="000C0AA9"/>
    <w:rsid w:val="000C0B82"/>
    <w:rsid w:val="000C0C08"/>
    <w:rsid w:val="000C0E41"/>
    <w:rsid w:val="000C14C9"/>
    <w:rsid w:val="000C17BA"/>
    <w:rsid w:val="000C188F"/>
    <w:rsid w:val="000C1AA6"/>
    <w:rsid w:val="000C1C13"/>
    <w:rsid w:val="000C1C82"/>
    <w:rsid w:val="000C214D"/>
    <w:rsid w:val="000C23D6"/>
    <w:rsid w:val="000C245E"/>
    <w:rsid w:val="000C256D"/>
    <w:rsid w:val="000C25F0"/>
    <w:rsid w:val="000C278D"/>
    <w:rsid w:val="000C28EE"/>
    <w:rsid w:val="000C2C16"/>
    <w:rsid w:val="000C2D9E"/>
    <w:rsid w:val="000C334A"/>
    <w:rsid w:val="000C37FB"/>
    <w:rsid w:val="000C38DF"/>
    <w:rsid w:val="000C3C5D"/>
    <w:rsid w:val="000C3D05"/>
    <w:rsid w:val="000C3DF9"/>
    <w:rsid w:val="000C3FE9"/>
    <w:rsid w:val="000C4CF2"/>
    <w:rsid w:val="000C4E36"/>
    <w:rsid w:val="000C525F"/>
    <w:rsid w:val="000C5327"/>
    <w:rsid w:val="000C556B"/>
    <w:rsid w:val="000C6186"/>
    <w:rsid w:val="000C6646"/>
    <w:rsid w:val="000C6653"/>
    <w:rsid w:val="000C6713"/>
    <w:rsid w:val="000C694F"/>
    <w:rsid w:val="000C6D3E"/>
    <w:rsid w:val="000C70EF"/>
    <w:rsid w:val="000C7B6E"/>
    <w:rsid w:val="000C7C82"/>
    <w:rsid w:val="000C7DE7"/>
    <w:rsid w:val="000D038B"/>
    <w:rsid w:val="000D051D"/>
    <w:rsid w:val="000D072B"/>
    <w:rsid w:val="000D0789"/>
    <w:rsid w:val="000D0ACB"/>
    <w:rsid w:val="000D0D3B"/>
    <w:rsid w:val="000D1474"/>
    <w:rsid w:val="000D1ACB"/>
    <w:rsid w:val="000D1BC1"/>
    <w:rsid w:val="000D1BFC"/>
    <w:rsid w:val="000D1D5D"/>
    <w:rsid w:val="000D1D70"/>
    <w:rsid w:val="000D2132"/>
    <w:rsid w:val="000D215F"/>
    <w:rsid w:val="000D2242"/>
    <w:rsid w:val="000D276E"/>
    <w:rsid w:val="000D281A"/>
    <w:rsid w:val="000D2848"/>
    <w:rsid w:val="000D2F6D"/>
    <w:rsid w:val="000D30D1"/>
    <w:rsid w:val="000D318C"/>
    <w:rsid w:val="000D319F"/>
    <w:rsid w:val="000D326A"/>
    <w:rsid w:val="000D3911"/>
    <w:rsid w:val="000D3A5F"/>
    <w:rsid w:val="000D3B31"/>
    <w:rsid w:val="000D3B87"/>
    <w:rsid w:val="000D3C0D"/>
    <w:rsid w:val="000D3C7E"/>
    <w:rsid w:val="000D3E0E"/>
    <w:rsid w:val="000D3E14"/>
    <w:rsid w:val="000D3F88"/>
    <w:rsid w:val="000D43CF"/>
    <w:rsid w:val="000D45D9"/>
    <w:rsid w:val="000D4EC3"/>
    <w:rsid w:val="000D51D4"/>
    <w:rsid w:val="000D51FB"/>
    <w:rsid w:val="000D523C"/>
    <w:rsid w:val="000D5B10"/>
    <w:rsid w:val="000D5B77"/>
    <w:rsid w:val="000D60A6"/>
    <w:rsid w:val="000D65AC"/>
    <w:rsid w:val="000D72F5"/>
    <w:rsid w:val="000D732A"/>
    <w:rsid w:val="000D7351"/>
    <w:rsid w:val="000D76D0"/>
    <w:rsid w:val="000D78BF"/>
    <w:rsid w:val="000D78F1"/>
    <w:rsid w:val="000D7A0C"/>
    <w:rsid w:val="000D7ACF"/>
    <w:rsid w:val="000E060C"/>
    <w:rsid w:val="000E0640"/>
    <w:rsid w:val="000E0A15"/>
    <w:rsid w:val="000E0BD4"/>
    <w:rsid w:val="000E0DDC"/>
    <w:rsid w:val="000E12DF"/>
    <w:rsid w:val="000E135D"/>
    <w:rsid w:val="000E2168"/>
    <w:rsid w:val="000E226D"/>
    <w:rsid w:val="000E250C"/>
    <w:rsid w:val="000E2596"/>
    <w:rsid w:val="000E2658"/>
    <w:rsid w:val="000E280F"/>
    <w:rsid w:val="000E2A3C"/>
    <w:rsid w:val="000E2C56"/>
    <w:rsid w:val="000E302E"/>
    <w:rsid w:val="000E3390"/>
    <w:rsid w:val="000E342D"/>
    <w:rsid w:val="000E37B7"/>
    <w:rsid w:val="000E3967"/>
    <w:rsid w:val="000E3D20"/>
    <w:rsid w:val="000E4283"/>
    <w:rsid w:val="000E43D3"/>
    <w:rsid w:val="000E472B"/>
    <w:rsid w:val="000E4893"/>
    <w:rsid w:val="000E4895"/>
    <w:rsid w:val="000E4BDC"/>
    <w:rsid w:val="000E4C77"/>
    <w:rsid w:val="000E53CB"/>
    <w:rsid w:val="000E582A"/>
    <w:rsid w:val="000E615A"/>
    <w:rsid w:val="000E64DD"/>
    <w:rsid w:val="000E659C"/>
    <w:rsid w:val="000E6710"/>
    <w:rsid w:val="000E67C7"/>
    <w:rsid w:val="000E6808"/>
    <w:rsid w:val="000E691F"/>
    <w:rsid w:val="000E6A94"/>
    <w:rsid w:val="000E6F66"/>
    <w:rsid w:val="000E7650"/>
    <w:rsid w:val="000E77B4"/>
    <w:rsid w:val="000E7A3E"/>
    <w:rsid w:val="000E7E17"/>
    <w:rsid w:val="000F00BA"/>
    <w:rsid w:val="000F0343"/>
    <w:rsid w:val="000F048A"/>
    <w:rsid w:val="000F0491"/>
    <w:rsid w:val="000F05A8"/>
    <w:rsid w:val="000F05CA"/>
    <w:rsid w:val="000F0742"/>
    <w:rsid w:val="000F0BD7"/>
    <w:rsid w:val="000F0CB3"/>
    <w:rsid w:val="000F1185"/>
    <w:rsid w:val="000F1197"/>
    <w:rsid w:val="000F236D"/>
    <w:rsid w:val="000F2418"/>
    <w:rsid w:val="000F30B0"/>
    <w:rsid w:val="000F316A"/>
    <w:rsid w:val="000F35BD"/>
    <w:rsid w:val="000F35F3"/>
    <w:rsid w:val="000F3974"/>
    <w:rsid w:val="000F3A24"/>
    <w:rsid w:val="000F3B56"/>
    <w:rsid w:val="000F3C74"/>
    <w:rsid w:val="000F4052"/>
    <w:rsid w:val="000F437F"/>
    <w:rsid w:val="000F4B85"/>
    <w:rsid w:val="000F4BB8"/>
    <w:rsid w:val="000F4FA9"/>
    <w:rsid w:val="000F53FB"/>
    <w:rsid w:val="000F542C"/>
    <w:rsid w:val="000F542E"/>
    <w:rsid w:val="000F54BC"/>
    <w:rsid w:val="000F5937"/>
    <w:rsid w:val="000F5942"/>
    <w:rsid w:val="000F5C1D"/>
    <w:rsid w:val="000F601C"/>
    <w:rsid w:val="000F642B"/>
    <w:rsid w:val="000F642F"/>
    <w:rsid w:val="000F6656"/>
    <w:rsid w:val="000F66AE"/>
    <w:rsid w:val="000F6A07"/>
    <w:rsid w:val="000F6D5A"/>
    <w:rsid w:val="000F6FA0"/>
    <w:rsid w:val="000F7127"/>
    <w:rsid w:val="000F7695"/>
    <w:rsid w:val="000F7A91"/>
    <w:rsid w:val="000F7B54"/>
    <w:rsid w:val="000F7C49"/>
    <w:rsid w:val="000F7E9B"/>
    <w:rsid w:val="000F7EE2"/>
    <w:rsid w:val="000F7EF7"/>
    <w:rsid w:val="000F7FC2"/>
    <w:rsid w:val="000F7FDC"/>
    <w:rsid w:val="001000B3"/>
    <w:rsid w:val="00100853"/>
    <w:rsid w:val="001009B5"/>
    <w:rsid w:val="00100B7A"/>
    <w:rsid w:val="00100F2F"/>
    <w:rsid w:val="00100F8A"/>
    <w:rsid w:val="0010100F"/>
    <w:rsid w:val="001017D6"/>
    <w:rsid w:val="00101AAA"/>
    <w:rsid w:val="00101C09"/>
    <w:rsid w:val="00102046"/>
    <w:rsid w:val="0010230F"/>
    <w:rsid w:val="00102670"/>
    <w:rsid w:val="0010284D"/>
    <w:rsid w:val="001029B9"/>
    <w:rsid w:val="00102AF1"/>
    <w:rsid w:val="00102E2F"/>
    <w:rsid w:val="00102F42"/>
    <w:rsid w:val="001030EB"/>
    <w:rsid w:val="0010353B"/>
    <w:rsid w:val="00103550"/>
    <w:rsid w:val="00103810"/>
    <w:rsid w:val="001039BC"/>
    <w:rsid w:val="001039C3"/>
    <w:rsid w:val="00103F23"/>
    <w:rsid w:val="00104045"/>
    <w:rsid w:val="00104064"/>
    <w:rsid w:val="0010419B"/>
    <w:rsid w:val="00104432"/>
    <w:rsid w:val="001044B9"/>
    <w:rsid w:val="0010452E"/>
    <w:rsid w:val="00104C25"/>
    <w:rsid w:val="00104D58"/>
    <w:rsid w:val="00104DB6"/>
    <w:rsid w:val="00104E8D"/>
    <w:rsid w:val="001052B8"/>
    <w:rsid w:val="001054C1"/>
    <w:rsid w:val="00105AE2"/>
    <w:rsid w:val="00105B4B"/>
    <w:rsid w:val="00105D93"/>
    <w:rsid w:val="001060C6"/>
    <w:rsid w:val="0010612D"/>
    <w:rsid w:val="001066BE"/>
    <w:rsid w:val="0010689A"/>
    <w:rsid w:val="001068A5"/>
    <w:rsid w:val="001068EE"/>
    <w:rsid w:val="001069C2"/>
    <w:rsid w:val="001069C9"/>
    <w:rsid w:val="00106ACC"/>
    <w:rsid w:val="00106B80"/>
    <w:rsid w:val="00106C8A"/>
    <w:rsid w:val="001072CC"/>
    <w:rsid w:val="00107336"/>
    <w:rsid w:val="00107822"/>
    <w:rsid w:val="001079F6"/>
    <w:rsid w:val="0011032E"/>
    <w:rsid w:val="00110A2E"/>
    <w:rsid w:val="00110C40"/>
    <w:rsid w:val="00111117"/>
    <w:rsid w:val="0011118D"/>
    <w:rsid w:val="00111433"/>
    <w:rsid w:val="0011178E"/>
    <w:rsid w:val="001119A9"/>
    <w:rsid w:val="00111E6E"/>
    <w:rsid w:val="00111F63"/>
    <w:rsid w:val="00111F99"/>
    <w:rsid w:val="00112344"/>
    <w:rsid w:val="0011237F"/>
    <w:rsid w:val="001123F0"/>
    <w:rsid w:val="00112569"/>
    <w:rsid w:val="001127DC"/>
    <w:rsid w:val="001128B9"/>
    <w:rsid w:val="00112A46"/>
    <w:rsid w:val="00112A47"/>
    <w:rsid w:val="00112E72"/>
    <w:rsid w:val="00112EC8"/>
    <w:rsid w:val="0011348B"/>
    <w:rsid w:val="00113719"/>
    <w:rsid w:val="0011398D"/>
    <w:rsid w:val="00113AD0"/>
    <w:rsid w:val="00114178"/>
    <w:rsid w:val="00114514"/>
    <w:rsid w:val="00114792"/>
    <w:rsid w:val="0011540F"/>
    <w:rsid w:val="001154FD"/>
    <w:rsid w:val="00115982"/>
    <w:rsid w:val="00115DA0"/>
    <w:rsid w:val="00116076"/>
    <w:rsid w:val="001163C0"/>
    <w:rsid w:val="00116C53"/>
    <w:rsid w:val="00117510"/>
    <w:rsid w:val="00117D16"/>
    <w:rsid w:val="00120562"/>
    <w:rsid w:val="0012074B"/>
    <w:rsid w:val="001207E7"/>
    <w:rsid w:val="00121000"/>
    <w:rsid w:val="001210F4"/>
    <w:rsid w:val="001212FD"/>
    <w:rsid w:val="00121407"/>
    <w:rsid w:val="001216E9"/>
    <w:rsid w:val="00121799"/>
    <w:rsid w:val="00121CAF"/>
    <w:rsid w:val="00121CC3"/>
    <w:rsid w:val="00121DF4"/>
    <w:rsid w:val="00121F1C"/>
    <w:rsid w:val="00121F79"/>
    <w:rsid w:val="0012228B"/>
    <w:rsid w:val="001222FC"/>
    <w:rsid w:val="0012252C"/>
    <w:rsid w:val="00122652"/>
    <w:rsid w:val="00122783"/>
    <w:rsid w:val="001229C8"/>
    <w:rsid w:val="00122BEF"/>
    <w:rsid w:val="00122DE6"/>
    <w:rsid w:val="0012304F"/>
    <w:rsid w:val="00123133"/>
    <w:rsid w:val="0012316B"/>
    <w:rsid w:val="001231B6"/>
    <w:rsid w:val="00123344"/>
    <w:rsid w:val="001235EA"/>
    <w:rsid w:val="00123902"/>
    <w:rsid w:val="00123921"/>
    <w:rsid w:val="00123968"/>
    <w:rsid w:val="00123DBE"/>
    <w:rsid w:val="00124420"/>
    <w:rsid w:val="00124514"/>
    <w:rsid w:val="00124835"/>
    <w:rsid w:val="001249F4"/>
    <w:rsid w:val="00124A51"/>
    <w:rsid w:val="00124BB2"/>
    <w:rsid w:val="00124D55"/>
    <w:rsid w:val="00125091"/>
    <w:rsid w:val="001251E7"/>
    <w:rsid w:val="00125376"/>
    <w:rsid w:val="00125C1F"/>
    <w:rsid w:val="0012620E"/>
    <w:rsid w:val="001262A0"/>
    <w:rsid w:val="00126621"/>
    <w:rsid w:val="001269BF"/>
    <w:rsid w:val="00126A7A"/>
    <w:rsid w:val="00126B1D"/>
    <w:rsid w:val="00126B30"/>
    <w:rsid w:val="00126BD5"/>
    <w:rsid w:val="00127180"/>
    <w:rsid w:val="00127300"/>
    <w:rsid w:val="00127819"/>
    <w:rsid w:val="00127C17"/>
    <w:rsid w:val="00127E4D"/>
    <w:rsid w:val="00127F61"/>
    <w:rsid w:val="00127F94"/>
    <w:rsid w:val="001300AD"/>
    <w:rsid w:val="001301E9"/>
    <w:rsid w:val="00130205"/>
    <w:rsid w:val="0013020C"/>
    <w:rsid w:val="0013064C"/>
    <w:rsid w:val="00130779"/>
    <w:rsid w:val="00130813"/>
    <w:rsid w:val="00130884"/>
    <w:rsid w:val="0013095A"/>
    <w:rsid w:val="001309A9"/>
    <w:rsid w:val="00130BAE"/>
    <w:rsid w:val="00130C0D"/>
    <w:rsid w:val="00130E00"/>
    <w:rsid w:val="00131308"/>
    <w:rsid w:val="00131892"/>
    <w:rsid w:val="00131D1C"/>
    <w:rsid w:val="00131D82"/>
    <w:rsid w:val="00131DDE"/>
    <w:rsid w:val="00132331"/>
    <w:rsid w:val="00132B22"/>
    <w:rsid w:val="00133002"/>
    <w:rsid w:val="0013320D"/>
    <w:rsid w:val="0013326E"/>
    <w:rsid w:val="00133379"/>
    <w:rsid w:val="001335C9"/>
    <w:rsid w:val="001336BB"/>
    <w:rsid w:val="0013392E"/>
    <w:rsid w:val="00133AEA"/>
    <w:rsid w:val="00133D36"/>
    <w:rsid w:val="00133D62"/>
    <w:rsid w:val="00133E4B"/>
    <w:rsid w:val="00134081"/>
    <w:rsid w:val="001340A7"/>
    <w:rsid w:val="001347E1"/>
    <w:rsid w:val="00134863"/>
    <w:rsid w:val="001348E5"/>
    <w:rsid w:val="00134C50"/>
    <w:rsid w:val="00134CB7"/>
    <w:rsid w:val="00134EAB"/>
    <w:rsid w:val="00134F7D"/>
    <w:rsid w:val="00134FF1"/>
    <w:rsid w:val="00135091"/>
    <w:rsid w:val="001352A5"/>
    <w:rsid w:val="001357D3"/>
    <w:rsid w:val="00135D18"/>
    <w:rsid w:val="00135D3A"/>
    <w:rsid w:val="00136113"/>
    <w:rsid w:val="001364C0"/>
    <w:rsid w:val="00136676"/>
    <w:rsid w:val="001366BF"/>
    <w:rsid w:val="00136D08"/>
    <w:rsid w:val="00136E08"/>
    <w:rsid w:val="00137160"/>
    <w:rsid w:val="00137500"/>
    <w:rsid w:val="00137645"/>
    <w:rsid w:val="00137781"/>
    <w:rsid w:val="00137785"/>
    <w:rsid w:val="00137C4C"/>
    <w:rsid w:val="00137CE1"/>
    <w:rsid w:val="00137F29"/>
    <w:rsid w:val="001400F6"/>
    <w:rsid w:val="0014015A"/>
    <w:rsid w:val="001404C7"/>
    <w:rsid w:val="00140555"/>
    <w:rsid w:val="0014078F"/>
    <w:rsid w:val="00140B7A"/>
    <w:rsid w:val="00140C4C"/>
    <w:rsid w:val="00140E99"/>
    <w:rsid w:val="00140F45"/>
    <w:rsid w:val="001412F3"/>
    <w:rsid w:val="00141334"/>
    <w:rsid w:val="001413F3"/>
    <w:rsid w:val="0014150E"/>
    <w:rsid w:val="00141820"/>
    <w:rsid w:val="00141C37"/>
    <w:rsid w:val="00141C59"/>
    <w:rsid w:val="00141E4A"/>
    <w:rsid w:val="00141F7E"/>
    <w:rsid w:val="0014209A"/>
    <w:rsid w:val="00142223"/>
    <w:rsid w:val="001422F0"/>
    <w:rsid w:val="00142C57"/>
    <w:rsid w:val="00142E09"/>
    <w:rsid w:val="0014335B"/>
    <w:rsid w:val="00143609"/>
    <w:rsid w:val="00143942"/>
    <w:rsid w:val="001439D8"/>
    <w:rsid w:val="00143AE7"/>
    <w:rsid w:val="00143F67"/>
    <w:rsid w:val="001443F0"/>
    <w:rsid w:val="001444E2"/>
    <w:rsid w:val="00144756"/>
    <w:rsid w:val="00145152"/>
    <w:rsid w:val="00145234"/>
    <w:rsid w:val="00145540"/>
    <w:rsid w:val="001456B0"/>
    <w:rsid w:val="00145BD1"/>
    <w:rsid w:val="00145C93"/>
    <w:rsid w:val="00145F23"/>
    <w:rsid w:val="00145FDE"/>
    <w:rsid w:val="001460F8"/>
    <w:rsid w:val="00146765"/>
    <w:rsid w:val="001467F9"/>
    <w:rsid w:val="001468E2"/>
    <w:rsid w:val="001469BF"/>
    <w:rsid w:val="00146AB9"/>
    <w:rsid w:val="0014705C"/>
    <w:rsid w:val="00147279"/>
    <w:rsid w:val="00147933"/>
    <w:rsid w:val="00147B80"/>
    <w:rsid w:val="00147BDD"/>
    <w:rsid w:val="00147D2E"/>
    <w:rsid w:val="001501C5"/>
    <w:rsid w:val="00150433"/>
    <w:rsid w:val="001507E1"/>
    <w:rsid w:val="0015080C"/>
    <w:rsid w:val="00150BA9"/>
    <w:rsid w:val="00150C75"/>
    <w:rsid w:val="00150FB0"/>
    <w:rsid w:val="00151DB0"/>
    <w:rsid w:val="00151E2C"/>
    <w:rsid w:val="00152357"/>
    <w:rsid w:val="0015294D"/>
    <w:rsid w:val="00152DF6"/>
    <w:rsid w:val="00153467"/>
    <w:rsid w:val="00153808"/>
    <w:rsid w:val="00153F58"/>
    <w:rsid w:val="00154376"/>
    <w:rsid w:val="001547AB"/>
    <w:rsid w:val="00154C30"/>
    <w:rsid w:val="00154C78"/>
    <w:rsid w:val="00154E8A"/>
    <w:rsid w:val="0015537C"/>
    <w:rsid w:val="0015558A"/>
    <w:rsid w:val="00155951"/>
    <w:rsid w:val="00155DA6"/>
    <w:rsid w:val="00155DDA"/>
    <w:rsid w:val="001561A9"/>
    <w:rsid w:val="00156268"/>
    <w:rsid w:val="00156603"/>
    <w:rsid w:val="001568E5"/>
    <w:rsid w:val="00156F8F"/>
    <w:rsid w:val="00157130"/>
    <w:rsid w:val="00157204"/>
    <w:rsid w:val="001574EE"/>
    <w:rsid w:val="001576B1"/>
    <w:rsid w:val="00157B02"/>
    <w:rsid w:val="00157EA1"/>
    <w:rsid w:val="00160176"/>
    <w:rsid w:val="0016047B"/>
    <w:rsid w:val="00160485"/>
    <w:rsid w:val="0016053A"/>
    <w:rsid w:val="001607E0"/>
    <w:rsid w:val="00160A4C"/>
    <w:rsid w:val="00160DBE"/>
    <w:rsid w:val="00160F10"/>
    <w:rsid w:val="00160F45"/>
    <w:rsid w:val="00160F60"/>
    <w:rsid w:val="001613C6"/>
    <w:rsid w:val="001615B1"/>
    <w:rsid w:val="0016160F"/>
    <w:rsid w:val="00162022"/>
    <w:rsid w:val="00162048"/>
    <w:rsid w:val="00162227"/>
    <w:rsid w:val="001622B4"/>
    <w:rsid w:val="00162738"/>
    <w:rsid w:val="00162913"/>
    <w:rsid w:val="00162BAA"/>
    <w:rsid w:val="00162E24"/>
    <w:rsid w:val="001632D6"/>
    <w:rsid w:val="001634FB"/>
    <w:rsid w:val="00163EFF"/>
    <w:rsid w:val="00163F66"/>
    <w:rsid w:val="00164458"/>
    <w:rsid w:val="00164713"/>
    <w:rsid w:val="0016478E"/>
    <w:rsid w:val="001656DD"/>
    <w:rsid w:val="001658C4"/>
    <w:rsid w:val="001659A1"/>
    <w:rsid w:val="00165EC4"/>
    <w:rsid w:val="001661FB"/>
    <w:rsid w:val="00166210"/>
    <w:rsid w:val="00166749"/>
    <w:rsid w:val="00166B83"/>
    <w:rsid w:val="00166D91"/>
    <w:rsid w:val="00166F88"/>
    <w:rsid w:val="001670B5"/>
    <w:rsid w:val="001671A0"/>
    <w:rsid w:val="001673AE"/>
    <w:rsid w:val="00167495"/>
    <w:rsid w:val="0016757B"/>
    <w:rsid w:val="0016767F"/>
    <w:rsid w:val="00167771"/>
    <w:rsid w:val="0016777E"/>
    <w:rsid w:val="00167CE8"/>
    <w:rsid w:val="00167DCF"/>
    <w:rsid w:val="00170017"/>
    <w:rsid w:val="00170153"/>
    <w:rsid w:val="00171215"/>
    <w:rsid w:val="0017125C"/>
    <w:rsid w:val="001714ED"/>
    <w:rsid w:val="00171585"/>
    <w:rsid w:val="001718A8"/>
    <w:rsid w:val="00171C88"/>
    <w:rsid w:val="0017217F"/>
    <w:rsid w:val="0017238F"/>
    <w:rsid w:val="0017272D"/>
    <w:rsid w:val="00172961"/>
    <w:rsid w:val="00172BCE"/>
    <w:rsid w:val="00172DBB"/>
    <w:rsid w:val="00172F0E"/>
    <w:rsid w:val="001731D6"/>
    <w:rsid w:val="001734AE"/>
    <w:rsid w:val="00173565"/>
    <w:rsid w:val="001735D7"/>
    <w:rsid w:val="001735E3"/>
    <w:rsid w:val="00173B07"/>
    <w:rsid w:val="00173B9D"/>
    <w:rsid w:val="00173F1E"/>
    <w:rsid w:val="0017431A"/>
    <w:rsid w:val="00174706"/>
    <w:rsid w:val="00174BE3"/>
    <w:rsid w:val="001751FA"/>
    <w:rsid w:val="001754DC"/>
    <w:rsid w:val="00175A0C"/>
    <w:rsid w:val="00175BBE"/>
    <w:rsid w:val="00175C18"/>
    <w:rsid w:val="00175F08"/>
    <w:rsid w:val="00175F71"/>
    <w:rsid w:val="00176004"/>
    <w:rsid w:val="001760F3"/>
    <w:rsid w:val="0017622D"/>
    <w:rsid w:val="0017660F"/>
    <w:rsid w:val="00176AF8"/>
    <w:rsid w:val="00176C46"/>
    <w:rsid w:val="00176EAD"/>
    <w:rsid w:val="00176FB4"/>
    <w:rsid w:val="001770F9"/>
    <w:rsid w:val="0017710B"/>
    <w:rsid w:val="00177B80"/>
    <w:rsid w:val="00177BFE"/>
    <w:rsid w:val="00177DDC"/>
    <w:rsid w:val="001807CB"/>
    <w:rsid w:val="00180840"/>
    <w:rsid w:val="00180AB3"/>
    <w:rsid w:val="00180BC1"/>
    <w:rsid w:val="00180F9A"/>
    <w:rsid w:val="0018101D"/>
    <w:rsid w:val="00181385"/>
    <w:rsid w:val="00181521"/>
    <w:rsid w:val="001815B6"/>
    <w:rsid w:val="00181907"/>
    <w:rsid w:val="00181C10"/>
    <w:rsid w:val="00181CE3"/>
    <w:rsid w:val="00181D56"/>
    <w:rsid w:val="00181D9C"/>
    <w:rsid w:val="00181F5F"/>
    <w:rsid w:val="0018286C"/>
    <w:rsid w:val="00182A98"/>
    <w:rsid w:val="00182F7E"/>
    <w:rsid w:val="0018364E"/>
    <w:rsid w:val="001837FF"/>
    <w:rsid w:val="00183F8F"/>
    <w:rsid w:val="0018411D"/>
    <w:rsid w:val="001842D5"/>
    <w:rsid w:val="00184A29"/>
    <w:rsid w:val="00184B0E"/>
    <w:rsid w:val="00184DCA"/>
    <w:rsid w:val="00185466"/>
    <w:rsid w:val="00185590"/>
    <w:rsid w:val="00185905"/>
    <w:rsid w:val="00185BC3"/>
    <w:rsid w:val="0018605C"/>
    <w:rsid w:val="00186210"/>
    <w:rsid w:val="00186262"/>
    <w:rsid w:val="001865E4"/>
    <w:rsid w:val="001868A9"/>
    <w:rsid w:val="00186D40"/>
    <w:rsid w:val="00186F12"/>
    <w:rsid w:val="001871DF"/>
    <w:rsid w:val="0018752F"/>
    <w:rsid w:val="001876C5"/>
    <w:rsid w:val="00187CC3"/>
    <w:rsid w:val="00187E42"/>
    <w:rsid w:val="00187F42"/>
    <w:rsid w:val="00187FC3"/>
    <w:rsid w:val="00190C51"/>
    <w:rsid w:val="00190D1C"/>
    <w:rsid w:val="00190EA2"/>
    <w:rsid w:val="0019119C"/>
    <w:rsid w:val="001911D2"/>
    <w:rsid w:val="00191A24"/>
    <w:rsid w:val="00191D98"/>
    <w:rsid w:val="00191E18"/>
    <w:rsid w:val="0019271D"/>
    <w:rsid w:val="0019289A"/>
    <w:rsid w:val="00192BCD"/>
    <w:rsid w:val="00192C24"/>
    <w:rsid w:val="00193027"/>
    <w:rsid w:val="001933C6"/>
    <w:rsid w:val="001937D1"/>
    <w:rsid w:val="00193838"/>
    <w:rsid w:val="001938C1"/>
    <w:rsid w:val="00193937"/>
    <w:rsid w:val="00193D38"/>
    <w:rsid w:val="00193DF0"/>
    <w:rsid w:val="00194279"/>
    <w:rsid w:val="001942D2"/>
    <w:rsid w:val="00194706"/>
    <w:rsid w:val="001948DD"/>
    <w:rsid w:val="00194A14"/>
    <w:rsid w:val="00194AD8"/>
    <w:rsid w:val="00195012"/>
    <w:rsid w:val="00195222"/>
    <w:rsid w:val="00195452"/>
    <w:rsid w:val="00195454"/>
    <w:rsid w:val="0019549A"/>
    <w:rsid w:val="0019583B"/>
    <w:rsid w:val="00195ED1"/>
    <w:rsid w:val="001960AF"/>
    <w:rsid w:val="001961A8"/>
    <w:rsid w:val="001963B7"/>
    <w:rsid w:val="001963E0"/>
    <w:rsid w:val="00196652"/>
    <w:rsid w:val="00196758"/>
    <w:rsid w:val="00196ED6"/>
    <w:rsid w:val="00196F7C"/>
    <w:rsid w:val="001972CD"/>
    <w:rsid w:val="001975C3"/>
    <w:rsid w:val="001975D8"/>
    <w:rsid w:val="00197EC8"/>
    <w:rsid w:val="00197F09"/>
    <w:rsid w:val="001A00BA"/>
    <w:rsid w:val="001A00BD"/>
    <w:rsid w:val="001A0635"/>
    <w:rsid w:val="001A064F"/>
    <w:rsid w:val="001A0B5E"/>
    <w:rsid w:val="001A0C16"/>
    <w:rsid w:val="001A0D26"/>
    <w:rsid w:val="001A0D54"/>
    <w:rsid w:val="001A0EAE"/>
    <w:rsid w:val="001A0FB5"/>
    <w:rsid w:val="001A178E"/>
    <w:rsid w:val="001A1BBD"/>
    <w:rsid w:val="001A1C56"/>
    <w:rsid w:val="001A1EE2"/>
    <w:rsid w:val="001A20E5"/>
    <w:rsid w:val="001A24AD"/>
    <w:rsid w:val="001A2636"/>
    <w:rsid w:val="001A2762"/>
    <w:rsid w:val="001A27E1"/>
    <w:rsid w:val="001A28B8"/>
    <w:rsid w:val="001A2C89"/>
    <w:rsid w:val="001A3271"/>
    <w:rsid w:val="001A351C"/>
    <w:rsid w:val="001A3550"/>
    <w:rsid w:val="001A3804"/>
    <w:rsid w:val="001A3967"/>
    <w:rsid w:val="001A3AF1"/>
    <w:rsid w:val="001A3C04"/>
    <w:rsid w:val="001A4129"/>
    <w:rsid w:val="001A41E9"/>
    <w:rsid w:val="001A43FA"/>
    <w:rsid w:val="001A4651"/>
    <w:rsid w:val="001A47C5"/>
    <w:rsid w:val="001A48AE"/>
    <w:rsid w:val="001A4AEC"/>
    <w:rsid w:val="001A5198"/>
    <w:rsid w:val="001A52E7"/>
    <w:rsid w:val="001A5372"/>
    <w:rsid w:val="001A5462"/>
    <w:rsid w:val="001A5501"/>
    <w:rsid w:val="001A558B"/>
    <w:rsid w:val="001A5723"/>
    <w:rsid w:val="001A5804"/>
    <w:rsid w:val="001A59FB"/>
    <w:rsid w:val="001A5C1B"/>
    <w:rsid w:val="001A5CAE"/>
    <w:rsid w:val="001A5E9E"/>
    <w:rsid w:val="001A5F96"/>
    <w:rsid w:val="001A61AC"/>
    <w:rsid w:val="001A6354"/>
    <w:rsid w:val="001A6366"/>
    <w:rsid w:val="001A699B"/>
    <w:rsid w:val="001A6B11"/>
    <w:rsid w:val="001A6BDE"/>
    <w:rsid w:val="001A6C0F"/>
    <w:rsid w:val="001A6DCF"/>
    <w:rsid w:val="001A6E59"/>
    <w:rsid w:val="001A6ECB"/>
    <w:rsid w:val="001A6F8D"/>
    <w:rsid w:val="001A7174"/>
    <w:rsid w:val="001A77DB"/>
    <w:rsid w:val="001A7810"/>
    <w:rsid w:val="001A7971"/>
    <w:rsid w:val="001A7A2B"/>
    <w:rsid w:val="001A7AE8"/>
    <w:rsid w:val="001A7D6E"/>
    <w:rsid w:val="001A7E4B"/>
    <w:rsid w:val="001B00E8"/>
    <w:rsid w:val="001B01F8"/>
    <w:rsid w:val="001B041C"/>
    <w:rsid w:val="001B0503"/>
    <w:rsid w:val="001B092A"/>
    <w:rsid w:val="001B0C15"/>
    <w:rsid w:val="001B0F75"/>
    <w:rsid w:val="001B1274"/>
    <w:rsid w:val="001B171C"/>
    <w:rsid w:val="001B177F"/>
    <w:rsid w:val="001B17AC"/>
    <w:rsid w:val="001B1B0D"/>
    <w:rsid w:val="001B1DE6"/>
    <w:rsid w:val="001B204E"/>
    <w:rsid w:val="001B2176"/>
    <w:rsid w:val="001B229F"/>
    <w:rsid w:val="001B2372"/>
    <w:rsid w:val="001B24F7"/>
    <w:rsid w:val="001B2A4A"/>
    <w:rsid w:val="001B30FD"/>
    <w:rsid w:val="001B3244"/>
    <w:rsid w:val="001B3443"/>
    <w:rsid w:val="001B3A47"/>
    <w:rsid w:val="001B3C5C"/>
    <w:rsid w:val="001B3FAE"/>
    <w:rsid w:val="001B3FB7"/>
    <w:rsid w:val="001B4282"/>
    <w:rsid w:val="001B43E4"/>
    <w:rsid w:val="001B44DD"/>
    <w:rsid w:val="001B450A"/>
    <w:rsid w:val="001B468E"/>
    <w:rsid w:val="001B4D20"/>
    <w:rsid w:val="001B4E2A"/>
    <w:rsid w:val="001B4E6C"/>
    <w:rsid w:val="001B52FA"/>
    <w:rsid w:val="001B53EF"/>
    <w:rsid w:val="001B554C"/>
    <w:rsid w:val="001B5867"/>
    <w:rsid w:val="001B588E"/>
    <w:rsid w:val="001B5E2C"/>
    <w:rsid w:val="001B5F1C"/>
    <w:rsid w:val="001B5F53"/>
    <w:rsid w:val="001B6099"/>
    <w:rsid w:val="001B61EF"/>
    <w:rsid w:val="001B63A0"/>
    <w:rsid w:val="001B685A"/>
    <w:rsid w:val="001B6913"/>
    <w:rsid w:val="001B6CC0"/>
    <w:rsid w:val="001B6D01"/>
    <w:rsid w:val="001B7718"/>
    <w:rsid w:val="001B77EC"/>
    <w:rsid w:val="001B7E79"/>
    <w:rsid w:val="001B7F84"/>
    <w:rsid w:val="001C0534"/>
    <w:rsid w:val="001C06DE"/>
    <w:rsid w:val="001C0882"/>
    <w:rsid w:val="001C148B"/>
    <w:rsid w:val="001C1598"/>
    <w:rsid w:val="001C1B1F"/>
    <w:rsid w:val="001C1E3F"/>
    <w:rsid w:val="001C1ED2"/>
    <w:rsid w:val="001C20DD"/>
    <w:rsid w:val="001C211C"/>
    <w:rsid w:val="001C21F0"/>
    <w:rsid w:val="001C2A9B"/>
    <w:rsid w:val="001C2F49"/>
    <w:rsid w:val="001C3001"/>
    <w:rsid w:val="001C3599"/>
    <w:rsid w:val="001C3A6F"/>
    <w:rsid w:val="001C3DD6"/>
    <w:rsid w:val="001C3E67"/>
    <w:rsid w:val="001C3EA6"/>
    <w:rsid w:val="001C4299"/>
    <w:rsid w:val="001C45D2"/>
    <w:rsid w:val="001C4874"/>
    <w:rsid w:val="001C4ED2"/>
    <w:rsid w:val="001C56BE"/>
    <w:rsid w:val="001C56CD"/>
    <w:rsid w:val="001C5905"/>
    <w:rsid w:val="001C59A6"/>
    <w:rsid w:val="001C5A93"/>
    <w:rsid w:val="001C5AB2"/>
    <w:rsid w:val="001C5E6C"/>
    <w:rsid w:val="001C5F94"/>
    <w:rsid w:val="001C67CA"/>
    <w:rsid w:val="001C6B82"/>
    <w:rsid w:val="001C6E66"/>
    <w:rsid w:val="001C6E97"/>
    <w:rsid w:val="001C7630"/>
    <w:rsid w:val="001C76C3"/>
    <w:rsid w:val="001C77E4"/>
    <w:rsid w:val="001C78EA"/>
    <w:rsid w:val="001D0088"/>
    <w:rsid w:val="001D081D"/>
    <w:rsid w:val="001D087D"/>
    <w:rsid w:val="001D0D15"/>
    <w:rsid w:val="001D0F88"/>
    <w:rsid w:val="001D1100"/>
    <w:rsid w:val="001D1391"/>
    <w:rsid w:val="001D1726"/>
    <w:rsid w:val="001D1A53"/>
    <w:rsid w:val="001D2162"/>
    <w:rsid w:val="001D25D7"/>
    <w:rsid w:val="001D26E9"/>
    <w:rsid w:val="001D29F8"/>
    <w:rsid w:val="001D2B83"/>
    <w:rsid w:val="001D2F0B"/>
    <w:rsid w:val="001D3097"/>
    <w:rsid w:val="001D3CDB"/>
    <w:rsid w:val="001D4603"/>
    <w:rsid w:val="001D474A"/>
    <w:rsid w:val="001D481A"/>
    <w:rsid w:val="001D4922"/>
    <w:rsid w:val="001D4CEE"/>
    <w:rsid w:val="001D4FAE"/>
    <w:rsid w:val="001D50B2"/>
    <w:rsid w:val="001D51A7"/>
    <w:rsid w:val="001D5256"/>
    <w:rsid w:val="001D5A8D"/>
    <w:rsid w:val="001D5ADC"/>
    <w:rsid w:val="001D5BC5"/>
    <w:rsid w:val="001D5BE4"/>
    <w:rsid w:val="001D5D50"/>
    <w:rsid w:val="001D5DFF"/>
    <w:rsid w:val="001D5E27"/>
    <w:rsid w:val="001D600D"/>
    <w:rsid w:val="001D618E"/>
    <w:rsid w:val="001D6478"/>
    <w:rsid w:val="001D67AB"/>
    <w:rsid w:val="001D6BB5"/>
    <w:rsid w:val="001D6E86"/>
    <w:rsid w:val="001D71F4"/>
    <w:rsid w:val="001D72FD"/>
    <w:rsid w:val="001D7488"/>
    <w:rsid w:val="001D74A9"/>
    <w:rsid w:val="001D75FE"/>
    <w:rsid w:val="001D7645"/>
    <w:rsid w:val="001D7706"/>
    <w:rsid w:val="001D7F22"/>
    <w:rsid w:val="001E06C2"/>
    <w:rsid w:val="001E07D4"/>
    <w:rsid w:val="001E0F82"/>
    <w:rsid w:val="001E0FFB"/>
    <w:rsid w:val="001E115D"/>
    <w:rsid w:val="001E12CD"/>
    <w:rsid w:val="001E1364"/>
    <w:rsid w:val="001E15AE"/>
    <w:rsid w:val="001E1A9E"/>
    <w:rsid w:val="001E1E86"/>
    <w:rsid w:val="001E238E"/>
    <w:rsid w:val="001E2483"/>
    <w:rsid w:val="001E256D"/>
    <w:rsid w:val="001E25FF"/>
    <w:rsid w:val="001E283F"/>
    <w:rsid w:val="001E29AC"/>
    <w:rsid w:val="001E2A28"/>
    <w:rsid w:val="001E2B1E"/>
    <w:rsid w:val="001E2B4F"/>
    <w:rsid w:val="001E2C13"/>
    <w:rsid w:val="001E2CFF"/>
    <w:rsid w:val="001E2D27"/>
    <w:rsid w:val="001E2F24"/>
    <w:rsid w:val="001E30D4"/>
    <w:rsid w:val="001E3242"/>
    <w:rsid w:val="001E33C9"/>
    <w:rsid w:val="001E34DF"/>
    <w:rsid w:val="001E352B"/>
    <w:rsid w:val="001E365F"/>
    <w:rsid w:val="001E36DC"/>
    <w:rsid w:val="001E37EA"/>
    <w:rsid w:val="001E39C6"/>
    <w:rsid w:val="001E3A57"/>
    <w:rsid w:val="001E3ADB"/>
    <w:rsid w:val="001E3FF7"/>
    <w:rsid w:val="001E4228"/>
    <w:rsid w:val="001E4564"/>
    <w:rsid w:val="001E4842"/>
    <w:rsid w:val="001E4AE1"/>
    <w:rsid w:val="001E4F18"/>
    <w:rsid w:val="001E52EB"/>
    <w:rsid w:val="001E548F"/>
    <w:rsid w:val="001E5500"/>
    <w:rsid w:val="001E5753"/>
    <w:rsid w:val="001E5A1D"/>
    <w:rsid w:val="001E5A47"/>
    <w:rsid w:val="001E5AC2"/>
    <w:rsid w:val="001E5C47"/>
    <w:rsid w:val="001E5F75"/>
    <w:rsid w:val="001E61BF"/>
    <w:rsid w:val="001E61D2"/>
    <w:rsid w:val="001E6381"/>
    <w:rsid w:val="001E6885"/>
    <w:rsid w:val="001E693D"/>
    <w:rsid w:val="001E6A9C"/>
    <w:rsid w:val="001E725B"/>
    <w:rsid w:val="001E740C"/>
    <w:rsid w:val="001E7A5E"/>
    <w:rsid w:val="001E7ABE"/>
    <w:rsid w:val="001E7B0B"/>
    <w:rsid w:val="001F0002"/>
    <w:rsid w:val="001F0122"/>
    <w:rsid w:val="001F02AE"/>
    <w:rsid w:val="001F0803"/>
    <w:rsid w:val="001F0B5B"/>
    <w:rsid w:val="001F1235"/>
    <w:rsid w:val="001F12A5"/>
    <w:rsid w:val="001F13D9"/>
    <w:rsid w:val="001F14B0"/>
    <w:rsid w:val="001F1648"/>
    <w:rsid w:val="001F1A63"/>
    <w:rsid w:val="001F1B6C"/>
    <w:rsid w:val="001F1CB3"/>
    <w:rsid w:val="001F1D63"/>
    <w:rsid w:val="001F1F88"/>
    <w:rsid w:val="001F2055"/>
    <w:rsid w:val="001F26D0"/>
    <w:rsid w:val="001F29F3"/>
    <w:rsid w:val="001F2AEA"/>
    <w:rsid w:val="001F2EC1"/>
    <w:rsid w:val="001F2EF3"/>
    <w:rsid w:val="001F2FDF"/>
    <w:rsid w:val="001F3015"/>
    <w:rsid w:val="001F3041"/>
    <w:rsid w:val="001F32B0"/>
    <w:rsid w:val="001F3731"/>
    <w:rsid w:val="001F387D"/>
    <w:rsid w:val="001F38B5"/>
    <w:rsid w:val="001F4081"/>
    <w:rsid w:val="001F43D1"/>
    <w:rsid w:val="001F44F5"/>
    <w:rsid w:val="001F478D"/>
    <w:rsid w:val="001F4D2D"/>
    <w:rsid w:val="001F4D40"/>
    <w:rsid w:val="001F5656"/>
    <w:rsid w:val="001F5852"/>
    <w:rsid w:val="001F5B9E"/>
    <w:rsid w:val="001F5D8B"/>
    <w:rsid w:val="001F604A"/>
    <w:rsid w:val="001F614C"/>
    <w:rsid w:val="001F6300"/>
    <w:rsid w:val="001F6414"/>
    <w:rsid w:val="001F6A0D"/>
    <w:rsid w:val="001F6B6F"/>
    <w:rsid w:val="001F6C6C"/>
    <w:rsid w:val="001F6D2C"/>
    <w:rsid w:val="001F71EA"/>
    <w:rsid w:val="001F7361"/>
    <w:rsid w:val="001F75C8"/>
    <w:rsid w:val="001F7866"/>
    <w:rsid w:val="001F79FA"/>
    <w:rsid w:val="00200190"/>
    <w:rsid w:val="00200502"/>
    <w:rsid w:val="00200970"/>
    <w:rsid w:val="00200B35"/>
    <w:rsid w:val="00200C73"/>
    <w:rsid w:val="00200CE6"/>
    <w:rsid w:val="00200D70"/>
    <w:rsid w:val="002011B0"/>
    <w:rsid w:val="00201247"/>
    <w:rsid w:val="00201381"/>
    <w:rsid w:val="00201524"/>
    <w:rsid w:val="00201A42"/>
    <w:rsid w:val="00201C71"/>
    <w:rsid w:val="00201ECB"/>
    <w:rsid w:val="002020CD"/>
    <w:rsid w:val="0020242E"/>
    <w:rsid w:val="00202505"/>
    <w:rsid w:val="002026A4"/>
    <w:rsid w:val="002027D8"/>
    <w:rsid w:val="00202D29"/>
    <w:rsid w:val="00202E7A"/>
    <w:rsid w:val="00203103"/>
    <w:rsid w:val="00203181"/>
    <w:rsid w:val="002031BF"/>
    <w:rsid w:val="00203783"/>
    <w:rsid w:val="0020385F"/>
    <w:rsid w:val="002038A4"/>
    <w:rsid w:val="0020394D"/>
    <w:rsid w:val="00203AAF"/>
    <w:rsid w:val="00203C44"/>
    <w:rsid w:val="00203C84"/>
    <w:rsid w:val="00203CF2"/>
    <w:rsid w:val="00203E04"/>
    <w:rsid w:val="00203FED"/>
    <w:rsid w:val="00204066"/>
    <w:rsid w:val="002044E8"/>
    <w:rsid w:val="002046F5"/>
    <w:rsid w:val="0020481F"/>
    <w:rsid w:val="002053F6"/>
    <w:rsid w:val="00205463"/>
    <w:rsid w:val="00205811"/>
    <w:rsid w:val="002059BB"/>
    <w:rsid w:val="00205F7A"/>
    <w:rsid w:val="002062F9"/>
    <w:rsid w:val="002063D9"/>
    <w:rsid w:val="002064EA"/>
    <w:rsid w:val="0020654D"/>
    <w:rsid w:val="0020683C"/>
    <w:rsid w:val="002068A0"/>
    <w:rsid w:val="00206A57"/>
    <w:rsid w:val="00206A78"/>
    <w:rsid w:val="00206BEC"/>
    <w:rsid w:val="00206CC7"/>
    <w:rsid w:val="00206CE2"/>
    <w:rsid w:val="00207021"/>
    <w:rsid w:val="002072B6"/>
    <w:rsid w:val="0020732F"/>
    <w:rsid w:val="00207734"/>
    <w:rsid w:val="002077B9"/>
    <w:rsid w:val="00207C89"/>
    <w:rsid w:val="00207D00"/>
    <w:rsid w:val="00207E93"/>
    <w:rsid w:val="00207FF3"/>
    <w:rsid w:val="002101C1"/>
    <w:rsid w:val="002103E2"/>
    <w:rsid w:val="00210449"/>
    <w:rsid w:val="00210489"/>
    <w:rsid w:val="00210583"/>
    <w:rsid w:val="002105C1"/>
    <w:rsid w:val="002108A7"/>
    <w:rsid w:val="002108CF"/>
    <w:rsid w:val="00210BD6"/>
    <w:rsid w:val="00210C53"/>
    <w:rsid w:val="002116FD"/>
    <w:rsid w:val="00211963"/>
    <w:rsid w:val="00211C1E"/>
    <w:rsid w:val="00211ED4"/>
    <w:rsid w:val="00212120"/>
    <w:rsid w:val="002121FA"/>
    <w:rsid w:val="00212332"/>
    <w:rsid w:val="0021233B"/>
    <w:rsid w:val="00212895"/>
    <w:rsid w:val="00212D0B"/>
    <w:rsid w:val="00213171"/>
    <w:rsid w:val="00213401"/>
    <w:rsid w:val="00213752"/>
    <w:rsid w:val="00213D2C"/>
    <w:rsid w:val="00213EF5"/>
    <w:rsid w:val="00214490"/>
    <w:rsid w:val="00214540"/>
    <w:rsid w:val="002145C3"/>
    <w:rsid w:val="002147F4"/>
    <w:rsid w:val="00214897"/>
    <w:rsid w:val="00214937"/>
    <w:rsid w:val="00214A03"/>
    <w:rsid w:val="00214CB8"/>
    <w:rsid w:val="002151B0"/>
    <w:rsid w:val="002153FC"/>
    <w:rsid w:val="00215468"/>
    <w:rsid w:val="002155CB"/>
    <w:rsid w:val="00215793"/>
    <w:rsid w:val="002157B7"/>
    <w:rsid w:val="002157D5"/>
    <w:rsid w:val="002158A8"/>
    <w:rsid w:val="002158B2"/>
    <w:rsid w:val="002158B3"/>
    <w:rsid w:val="00215C29"/>
    <w:rsid w:val="00216500"/>
    <w:rsid w:val="00216BF5"/>
    <w:rsid w:val="00216E83"/>
    <w:rsid w:val="00216F88"/>
    <w:rsid w:val="0021708A"/>
    <w:rsid w:val="002171E9"/>
    <w:rsid w:val="00217386"/>
    <w:rsid w:val="002176D5"/>
    <w:rsid w:val="002178C1"/>
    <w:rsid w:val="00217902"/>
    <w:rsid w:val="00217AC0"/>
    <w:rsid w:val="00217BE8"/>
    <w:rsid w:val="00217C98"/>
    <w:rsid w:val="00217EB8"/>
    <w:rsid w:val="00217F1C"/>
    <w:rsid w:val="00217F9F"/>
    <w:rsid w:val="002201E1"/>
    <w:rsid w:val="002204C1"/>
    <w:rsid w:val="00220689"/>
    <w:rsid w:val="002207EC"/>
    <w:rsid w:val="002208C2"/>
    <w:rsid w:val="00220D29"/>
    <w:rsid w:val="00221065"/>
    <w:rsid w:val="002215DE"/>
    <w:rsid w:val="002216AB"/>
    <w:rsid w:val="002218A5"/>
    <w:rsid w:val="00221A3E"/>
    <w:rsid w:val="00221BBE"/>
    <w:rsid w:val="00221D3D"/>
    <w:rsid w:val="00222372"/>
    <w:rsid w:val="0022266D"/>
    <w:rsid w:val="00222A7F"/>
    <w:rsid w:val="0022346C"/>
    <w:rsid w:val="00223661"/>
    <w:rsid w:val="00223684"/>
    <w:rsid w:val="00223B49"/>
    <w:rsid w:val="00223C04"/>
    <w:rsid w:val="00223D5A"/>
    <w:rsid w:val="00223DD1"/>
    <w:rsid w:val="00223E26"/>
    <w:rsid w:val="00223FD9"/>
    <w:rsid w:val="002241DD"/>
    <w:rsid w:val="002242F2"/>
    <w:rsid w:val="00224673"/>
    <w:rsid w:val="00224975"/>
    <w:rsid w:val="00224DD4"/>
    <w:rsid w:val="00224E1E"/>
    <w:rsid w:val="00225913"/>
    <w:rsid w:val="0022591D"/>
    <w:rsid w:val="00225B8D"/>
    <w:rsid w:val="00225D99"/>
    <w:rsid w:val="00225F7C"/>
    <w:rsid w:val="00226076"/>
    <w:rsid w:val="002267F3"/>
    <w:rsid w:val="00226B8C"/>
    <w:rsid w:val="00226D8A"/>
    <w:rsid w:val="002271B2"/>
    <w:rsid w:val="002274A5"/>
    <w:rsid w:val="00227534"/>
    <w:rsid w:val="002278A0"/>
    <w:rsid w:val="002308BA"/>
    <w:rsid w:val="0023093E"/>
    <w:rsid w:val="002309CC"/>
    <w:rsid w:val="00230AD6"/>
    <w:rsid w:val="00230E8C"/>
    <w:rsid w:val="00230F53"/>
    <w:rsid w:val="00230FE9"/>
    <w:rsid w:val="002318A3"/>
    <w:rsid w:val="00231941"/>
    <w:rsid w:val="00231BA9"/>
    <w:rsid w:val="00231F03"/>
    <w:rsid w:val="0023209F"/>
    <w:rsid w:val="0023217C"/>
    <w:rsid w:val="002321D9"/>
    <w:rsid w:val="0023281F"/>
    <w:rsid w:val="00232ECF"/>
    <w:rsid w:val="00233364"/>
    <w:rsid w:val="00233C01"/>
    <w:rsid w:val="0023413C"/>
    <w:rsid w:val="002342CB"/>
    <w:rsid w:val="002346F0"/>
    <w:rsid w:val="0023486A"/>
    <w:rsid w:val="002349DC"/>
    <w:rsid w:val="00234AD2"/>
    <w:rsid w:val="00234B39"/>
    <w:rsid w:val="00234B89"/>
    <w:rsid w:val="00234E07"/>
    <w:rsid w:val="00235128"/>
    <w:rsid w:val="00235488"/>
    <w:rsid w:val="00235580"/>
    <w:rsid w:val="00235C1D"/>
    <w:rsid w:val="00235F1E"/>
    <w:rsid w:val="00235F5F"/>
    <w:rsid w:val="002360E3"/>
    <w:rsid w:val="0023623B"/>
    <w:rsid w:val="0023629D"/>
    <w:rsid w:val="002363A2"/>
    <w:rsid w:val="00236424"/>
    <w:rsid w:val="00236C3A"/>
    <w:rsid w:val="00237070"/>
    <w:rsid w:val="00237097"/>
    <w:rsid w:val="00237146"/>
    <w:rsid w:val="00237213"/>
    <w:rsid w:val="00237255"/>
    <w:rsid w:val="00237463"/>
    <w:rsid w:val="0023787C"/>
    <w:rsid w:val="00237B14"/>
    <w:rsid w:val="00237C99"/>
    <w:rsid w:val="00237CB1"/>
    <w:rsid w:val="00237CE7"/>
    <w:rsid w:val="002401D8"/>
    <w:rsid w:val="00240961"/>
    <w:rsid w:val="00240E75"/>
    <w:rsid w:val="002410DD"/>
    <w:rsid w:val="00241129"/>
    <w:rsid w:val="002413ED"/>
    <w:rsid w:val="002415F1"/>
    <w:rsid w:val="00241694"/>
    <w:rsid w:val="00241732"/>
    <w:rsid w:val="00241A48"/>
    <w:rsid w:val="00241B23"/>
    <w:rsid w:val="00241C36"/>
    <w:rsid w:val="00241E38"/>
    <w:rsid w:val="0024210B"/>
    <w:rsid w:val="002424A7"/>
    <w:rsid w:val="002424AF"/>
    <w:rsid w:val="002429F9"/>
    <w:rsid w:val="00242ABB"/>
    <w:rsid w:val="00242CA3"/>
    <w:rsid w:val="00242DDB"/>
    <w:rsid w:val="00242F79"/>
    <w:rsid w:val="002430C6"/>
    <w:rsid w:val="0024354D"/>
    <w:rsid w:val="002439DC"/>
    <w:rsid w:val="002441D2"/>
    <w:rsid w:val="0024430E"/>
    <w:rsid w:val="00244483"/>
    <w:rsid w:val="0024477A"/>
    <w:rsid w:val="00244961"/>
    <w:rsid w:val="00244BAC"/>
    <w:rsid w:val="00244DC8"/>
    <w:rsid w:val="002458BA"/>
    <w:rsid w:val="00245B87"/>
    <w:rsid w:val="00245CE9"/>
    <w:rsid w:val="00245DBF"/>
    <w:rsid w:val="00245ED7"/>
    <w:rsid w:val="00246039"/>
    <w:rsid w:val="0024636C"/>
    <w:rsid w:val="00246579"/>
    <w:rsid w:val="00246605"/>
    <w:rsid w:val="00247263"/>
    <w:rsid w:val="002478D6"/>
    <w:rsid w:val="00247925"/>
    <w:rsid w:val="00247A95"/>
    <w:rsid w:val="00247E1D"/>
    <w:rsid w:val="0025018E"/>
    <w:rsid w:val="002506B8"/>
    <w:rsid w:val="00251006"/>
    <w:rsid w:val="0025125F"/>
    <w:rsid w:val="002516DA"/>
    <w:rsid w:val="002516ED"/>
    <w:rsid w:val="0025175D"/>
    <w:rsid w:val="00251C58"/>
    <w:rsid w:val="00251D56"/>
    <w:rsid w:val="00251FEA"/>
    <w:rsid w:val="00252244"/>
    <w:rsid w:val="002524D5"/>
    <w:rsid w:val="0025252A"/>
    <w:rsid w:val="00252B03"/>
    <w:rsid w:val="00252CE7"/>
    <w:rsid w:val="00252F9D"/>
    <w:rsid w:val="00253169"/>
    <w:rsid w:val="0025381C"/>
    <w:rsid w:val="00253B1D"/>
    <w:rsid w:val="00253F1F"/>
    <w:rsid w:val="00253F2D"/>
    <w:rsid w:val="00254624"/>
    <w:rsid w:val="00254701"/>
    <w:rsid w:val="00254B8C"/>
    <w:rsid w:val="00254DCF"/>
    <w:rsid w:val="00255224"/>
    <w:rsid w:val="0025534B"/>
    <w:rsid w:val="00255371"/>
    <w:rsid w:val="00255440"/>
    <w:rsid w:val="00255527"/>
    <w:rsid w:val="00255BB7"/>
    <w:rsid w:val="00256236"/>
    <w:rsid w:val="00256409"/>
    <w:rsid w:val="00256EDF"/>
    <w:rsid w:val="002570ED"/>
    <w:rsid w:val="002572C3"/>
    <w:rsid w:val="00257541"/>
    <w:rsid w:val="0025775F"/>
    <w:rsid w:val="00257947"/>
    <w:rsid w:val="00257968"/>
    <w:rsid w:val="00257A39"/>
    <w:rsid w:val="00257AC4"/>
    <w:rsid w:val="00257B60"/>
    <w:rsid w:val="00257BBE"/>
    <w:rsid w:val="00257C2F"/>
    <w:rsid w:val="002601CB"/>
    <w:rsid w:val="00260207"/>
    <w:rsid w:val="00260D60"/>
    <w:rsid w:val="002612A8"/>
    <w:rsid w:val="00261372"/>
    <w:rsid w:val="0026160B"/>
    <w:rsid w:val="00261616"/>
    <w:rsid w:val="0026178F"/>
    <w:rsid w:val="002617D1"/>
    <w:rsid w:val="00261A0A"/>
    <w:rsid w:val="00261B05"/>
    <w:rsid w:val="00261EEF"/>
    <w:rsid w:val="00262248"/>
    <w:rsid w:val="00262595"/>
    <w:rsid w:val="002625DB"/>
    <w:rsid w:val="002627B4"/>
    <w:rsid w:val="002628AB"/>
    <w:rsid w:val="00262A1A"/>
    <w:rsid w:val="00262A87"/>
    <w:rsid w:val="00263057"/>
    <w:rsid w:val="00263490"/>
    <w:rsid w:val="00263B51"/>
    <w:rsid w:val="00263E07"/>
    <w:rsid w:val="00263EB6"/>
    <w:rsid w:val="00264013"/>
    <w:rsid w:val="002640F7"/>
    <w:rsid w:val="00264161"/>
    <w:rsid w:val="0026447F"/>
    <w:rsid w:val="00264818"/>
    <w:rsid w:val="00264C81"/>
    <w:rsid w:val="00264D26"/>
    <w:rsid w:val="00264D32"/>
    <w:rsid w:val="00265501"/>
    <w:rsid w:val="00265672"/>
    <w:rsid w:val="00265C2D"/>
    <w:rsid w:val="00265D66"/>
    <w:rsid w:val="00265DF1"/>
    <w:rsid w:val="00266222"/>
    <w:rsid w:val="002667B0"/>
    <w:rsid w:val="002672BF"/>
    <w:rsid w:val="002672D7"/>
    <w:rsid w:val="00267350"/>
    <w:rsid w:val="00267642"/>
    <w:rsid w:val="00267679"/>
    <w:rsid w:val="0026778F"/>
    <w:rsid w:val="00267AEA"/>
    <w:rsid w:val="00267E20"/>
    <w:rsid w:val="00270025"/>
    <w:rsid w:val="002700E6"/>
    <w:rsid w:val="0027015E"/>
    <w:rsid w:val="00270250"/>
    <w:rsid w:val="00270384"/>
    <w:rsid w:val="002704B0"/>
    <w:rsid w:val="002705D8"/>
    <w:rsid w:val="00270797"/>
    <w:rsid w:val="002712FC"/>
    <w:rsid w:val="00271747"/>
    <w:rsid w:val="00271A74"/>
    <w:rsid w:val="00271A93"/>
    <w:rsid w:val="00271DCF"/>
    <w:rsid w:val="0027218D"/>
    <w:rsid w:val="0027236B"/>
    <w:rsid w:val="002723C8"/>
    <w:rsid w:val="00272631"/>
    <w:rsid w:val="002726BC"/>
    <w:rsid w:val="0027294B"/>
    <w:rsid w:val="002729E3"/>
    <w:rsid w:val="002729FE"/>
    <w:rsid w:val="00272ABD"/>
    <w:rsid w:val="00272E31"/>
    <w:rsid w:val="0027345B"/>
    <w:rsid w:val="00273599"/>
    <w:rsid w:val="00273701"/>
    <w:rsid w:val="002737B3"/>
    <w:rsid w:val="00273937"/>
    <w:rsid w:val="002739B5"/>
    <w:rsid w:val="00273EB4"/>
    <w:rsid w:val="0027405A"/>
    <w:rsid w:val="002741FE"/>
    <w:rsid w:val="0027456D"/>
    <w:rsid w:val="00274682"/>
    <w:rsid w:val="002749BB"/>
    <w:rsid w:val="00274ACB"/>
    <w:rsid w:val="00274CB1"/>
    <w:rsid w:val="00274D31"/>
    <w:rsid w:val="00275158"/>
    <w:rsid w:val="00275173"/>
    <w:rsid w:val="00275253"/>
    <w:rsid w:val="00275A10"/>
    <w:rsid w:val="00275A69"/>
    <w:rsid w:val="00275B38"/>
    <w:rsid w:val="00275C5A"/>
    <w:rsid w:val="0027611B"/>
    <w:rsid w:val="002761A0"/>
    <w:rsid w:val="0027629F"/>
    <w:rsid w:val="00276454"/>
    <w:rsid w:val="002765BF"/>
    <w:rsid w:val="00276765"/>
    <w:rsid w:val="00276896"/>
    <w:rsid w:val="00276A82"/>
    <w:rsid w:val="00276F02"/>
    <w:rsid w:val="00276FCF"/>
    <w:rsid w:val="00277072"/>
    <w:rsid w:val="00277219"/>
    <w:rsid w:val="002772C4"/>
    <w:rsid w:val="002777C5"/>
    <w:rsid w:val="00277CF6"/>
    <w:rsid w:val="00277DC2"/>
    <w:rsid w:val="0028024F"/>
    <w:rsid w:val="0028026C"/>
    <w:rsid w:val="002803BB"/>
    <w:rsid w:val="002805F5"/>
    <w:rsid w:val="002806A2"/>
    <w:rsid w:val="0028082C"/>
    <w:rsid w:val="00280F21"/>
    <w:rsid w:val="00281014"/>
    <w:rsid w:val="0028109A"/>
    <w:rsid w:val="002811C2"/>
    <w:rsid w:val="00281F0E"/>
    <w:rsid w:val="002821F0"/>
    <w:rsid w:val="0028253C"/>
    <w:rsid w:val="00282673"/>
    <w:rsid w:val="002826D3"/>
    <w:rsid w:val="00282A3C"/>
    <w:rsid w:val="0028312A"/>
    <w:rsid w:val="00283261"/>
    <w:rsid w:val="002832AD"/>
    <w:rsid w:val="002836B3"/>
    <w:rsid w:val="00283786"/>
    <w:rsid w:val="002837D4"/>
    <w:rsid w:val="00283922"/>
    <w:rsid w:val="002841E9"/>
    <w:rsid w:val="0028423A"/>
    <w:rsid w:val="002844FB"/>
    <w:rsid w:val="002845A1"/>
    <w:rsid w:val="0028498F"/>
    <w:rsid w:val="00284AB7"/>
    <w:rsid w:val="00284F26"/>
    <w:rsid w:val="00285493"/>
    <w:rsid w:val="002856FC"/>
    <w:rsid w:val="00285794"/>
    <w:rsid w:val="002858E1"/>
    <w:rsid w:val="00285BCE"/>
    <w:rsid w:val="00285C2B"/>
    <w:rsid w:val="00285C65"/>
    <w:rsid w:val="002864C8"/>
    <w:rsid w:val="0028665D"/>
    <w:rsid w:val="00286784"/>
    <w:rsid w:val="00286C7A"/>
    <w:rsid w:val="00286D8D"/>
    <w:rsid w:val="0028708B"/>
    <w:rsid w:val="00287411"/>
    <w:rsid w:val="002875FC"/>
    <w:rsid w:val="00287629"/>
    <w:rsid w:val="00290004"/>
    <w:rsid w:val="0029015B"/>
    <w:rsid w:val="002901CF"/>
    <w:rsid w:val="002902B1"/>
    <w:rsid w:val="00290AE6"/>
    <w:rsid w:val="00290BE2"/>
    <w:rsid w:val="00291179"/>
    <w:rsid w:val="002912CD"/>
    <w:rsid w:val="0029143A"/>
    <w:rsid w:val="002915A8"/>
    <w:rsid w:val="00291631"/>
    <w:rsid w:val="0029163A"/>
    <w:rsid w:val="00291E04"/>
    <w:rsid w:val="002927F6"/>
    <w:rsid w:val="002929FE"/>
    <w:rsid w:val="00292C10"/>
    <w:rsid w:val="0029303C"/>
    <w:rsid w:val="00293319"/>
    <w:rsid w:val="00293B67"/>
    <w:rsid w:val="00293FEA"/>
    <w:rsid w:val="00293FFC"/>
    <w:rsid w:val="0029428A"/>
    <w:rsid w:val="00294405"/>
    <w:rsid w:val="00294428"/>
    <w:rsid w:val="002947C0"/>
    <w:rsid w:val="00294836"/>
    <w:rsid w:val="00294AE8"/>
    <w:rsid w:val="00294C0A"/>
    <w:rsid w:val="00294D73"/>
    <w:rsid w:val="00295314"/>
    <w:rsid w:val="002953D8"/>
    <w:rsid w:val="0029594A"/>
    <w:rsid w:val="0029611F"/>
    <w:rsid w:val="002964FC"/>
    <w:rsid w:val="00296A41"/>
    <w:rsid w:val="00296E58"/>
    <w:rsid w:val="002A01EE"/>
    <w:rsid w:val="002A027C"/>
    <w:rsid w:val="002A03A3"/>
    <w:rsid w:val="002A066E"/>
    <w:rsid w:val="002A0AB9"/>
    <w:rsid w:val="002A0C39"/>
    <w:rsid w:val="002A0C8D"/>
    <w:rsid w:val="002A0CAD"/>
    <w:rsid w:val="002A0D09"/>
    <w:rsid w:val="002A0E3C"/>
    <w:rsid w:val="002A0E46"/>
    <w:rsid w:val="002A0EEC"/>
    <w:rsid w:val="002A0FFF"/>
    <w:rsid w:val="002A141A"/>
    <w:rsid w:val="002A14AB"/>
    <w:rsid w:val="002A1B7A"/>
    <w:rsid w:val="002A1CF7"/>
    <w:rsid w:val="002A1FF8"/>
    <w:rsid w:val="002A2038"/>
    <w:rsid w:val="002A2432"/>
    <w:rsid w:val="002A2459"/>
    <w:rsid w:val="002A2ADE"/>
    <w:rsid w:val="002A2BB0"/>
    <w:rsid w:val="002A2C1C"/>
    <w:rsid w:val="002A2F50"/>
    <w:rsid w:val="002A3030"/>
    <w:rsid w:val="002A31A0"/>
    <w:rsid w:val="002A3311"/>
    <w:rsid w:val="002A393A"/>
    <w:rsid w:val="002A3960"/>
    <w:rsid w:val="002A39AB"/>
    <w:rsid w:val="002A3F2F"/>
    <w:rsid w:val="002A401D"/>
    <w:rsid w:val="002A40E4"/>
    <w:rsid w:val="002A468E"/>
    <w:rsid w:val="002A48E4"/>
    <w:rsid w:val="002A4F3E"/>
    <w:rsid w:val="002A50AD"/>
    <w:rsid w:val="002A51E4"/>
    <w:rsid w:val="002A5422"/>
    <w:rsid w:val="002A5677"/>
    <w:rsid w:val="002A5917"/>
    <w:rsid w:val="002A5D08"/>
    <w:rsid w:val="002A5E20"/>
    <w:rsid w:val="002A5FD4"/>
    <w:rsid w:val="002A6112"/>
    <w:rsid w:val="002A634F"/>
    <w:rsid w:val="002A6399"/>
    <w:rsid w:val="002A6639"/>
    <w:rsid w:val="002A685F"/>
    <w:rsid w:val="002A6893"/>
    <w:rsid w:val="002A6B2A"/>
    <w:rsid w:val="002A6B9A"/>
    <w:rsid w:val="002A6C0D"/>
    <w:rsid w:val="002A6D91"/>
    <w:rsid w:val="002A6F42"/>
    <w:rsid w:val="002A713B"/>
    <w:rsid w:val="002A74D6"/>
    <w:rsid w:val="002A764C"/>
    <w:rsid w:val="002A78D7"/>
    <w:rsid w:val="002A7943"/>
    <w:rsid w:val="002A7A46"/>
    <w:rsid w:val="002A7C99"/>
    <w:rsid w:val="002A7CD8"/>
    <w:rsid w:val="002A7FF2"/>
    <w:rsid w:val="002B0038"/>
    <w:rsid w:val="002B05A1"/>
    <w:rsid w:val="002B06E6"/>
    <w:rsid w:val="002B09A4"/>
    <w:rsid w:val="002B0F7E"/>
    <w:rsid w:val="002B11C2"/>
    <w:rsid w:val="002B14BF"/>
    <w:rsid w:val="002B14EB"/>
    <w:rsid w:val="002B179A"/>
    <w:rsid w:val="002B1C1F"/>
    <w:rsid w:val="002B1D61"/>
    <w:rsid w:val="002B20D4"/>
    <w:rsid w:val="002B24C3"/>
    <w:rsid w:val="002B255C"/>
    <w:rsid w:val="002B261A"/>
    <w:rsid w:val="002B2723"/>
    <w:rsid w:val="002B2796"/>
    <w:rsid w:val="002B2CEC"/>
    <w:rsid w:val="002B305D"/>
    <w:rsid w:val="002B335B"/>
    <w:rsid w:val="002B3684"/>
    <w:rsid w:val="002B38B0"/>
    <w:rsid w:val="002B39F8"/>
    <w:rsid w:val="002B41FB"/>
    <w:rsid w:val="002B42EE"/>
    <w:rsid w:val="002B432F"/>
    <w:rsid w:val="002B4419"/>
    <w:rsid w:val="002B45BF"/>
    <w:rsid w:val="002B4B07"/>
    <w:rsid w:val="002B4CCA"/>
    <w:rsid w:val="002B5270"/>
    <w:rsid w:val="002B53D1"/>
    <w:rsid w:val="002B559F"/>
    <w:rsid w:val="002B5720"/>
    <w:rsid w:val="002B58F1"/>
    <w:rsid w:val="002B5E1A"/>
    <w:rsid w:val="002B624A"/>
    <w:rsid w:val="002B62B3"/>
    <w:rsid w:val="002B630D"/>
    <w:rsid w:val="002B63F9"/>
    <w:rsid w:val="002B65E1"/>
    <w:rsid w:val="002B6754"/>
    <w:rsid w:val="002B692B"/>
    <w:rsid w:val="002B6A04"/>
    <w:rsid w:val="002B6A13"/>
    <w:rsid w:val="002B6AC2"/>
    <w:rsid w:val="002B6AE4"/>
    <w:rsid w:val="002B6B1B"/>
    <w:rsid w:val="002B6BE4"/>
    <w:rsid w:val="002B6C25"/>
    <w:rsid w:val="002B6CCE"/>
    <w:rsid w:val="002B6D02"/>
    <w:rsid w:val="002B6E22"/>
    <w:rsid w:val="002B727C"/>
    <w:rsid w:val="002B72C1"/>
    <w:rsid w:val="002B7A69"/>
    <w:rsid w:val="002B7C70"/>
    <w:rsid w:val="002B7EC7"/>
    <w:rsid w:val="002C0328"/>
    <w:rsid w:val="002C0407"/>
    <w:rsid w:val="002C040F"/>
    <w:rsid w:val="002C0788"/>
    <w:rsid w:val="002C087D"/>
    <w:rsid w:val="002C0BE7"/>
    <w:rsid w:val="002C0E04"/>
    <w:rsid w:val="002C1050"/>
    <w:rsid w:val="002C1925"/>
    <w:rsid w:val="002C1E6B"/>
    <w:rsid w:val="002C2039"/>
    <w:rsid w:val="002C2210"/>
    <w:rsid w:val="002C2510"/>
    <w:rsid w:val="002C2775"/>
    <w:rsid w:val="002C27C1"/>
    <w:rsid w:val="002C298A"/>
    <w:rsid w:val="002C2A47"/>
    <w:rsid w:val="002C2F11"/>
    <w:rsid w:val="002C30A6"/>
    <w:rsid w:val="002C33FE"/>
    <w:rsid w:val="002C354E"/>
    <w:rsid w:val="002C36E3"/>
    <w:rsid w:val="002C3B4A"/>
    <w:rsid w:val="002C3FF5"/>
    <w:rsid w:val="002C4088"/>
    <w:rsid w:val="002C4584"/>
    <w:rsid w:val="002C4A3F"/>
    <w:rsid w:val="002C4AB5"/>
    <w:rsid w:val="002C5099"/>
    <w:rsid w:val="002C5889"/>
    <w:rsid w:val="002C5917"/>
    <w:rsid w:val="002C593F"/>
    <w:rsid w:val="002C5A03"/>
    <w:rsid w:val="002C5D40"/>
    <w:rsid w:val="002C6024"/>
    <w:rsid w:val="002C609A"/>
    <w:rsid w:val="002C67E9"/>
    <w:rsid w:val="002C69E3"/>
    <w:rsid w:val="002C6A0B"/>
    <w:rsid w:val="002C6E63"/>
    <w:rsid w:val="002C6F4B"/>
    <w:rsid w:val="002C703B"/>
    <w:rsid w:val="002C71CE"/>
    <w:rsid w:val="002C7A55"/>
    <w:rsid w:val="002C7BD5"/>
    <w:rsid w:val="002C7C3B"/>
    <w:rsid w:val="002C7EE0"/>
    <w:rsid w:val="002D00F9"/>
    <w:rsid w:val="002D04CD"/>
    <w:rsid w:val="002D065F"/>
    <w:rsid w:val="002D08F8"/>
    <w:rsid w:val="002D0D2E"/>
    <w:rsid w:val="002D0E2E"/>
    <w:rsid w:val="002D18CF"/>
    <w:rsid w:val="002D1F24"/>
    <w:rsid w:val="002D24C7"/>
    <w:rsid w:val="002D2D47"/>
    <w:rsid w:val="002D2DC7"/>
    <w:rsid w:val="002D2EC1"/>
    <w:rsid w:val="002D30EB"/>
    <w:rsid w:val="002D3434"/>
    <w:rsid w:val="002D3687"/>
    <w:rsid w:val="002D36B6"/>
    <w:rsid w:val="002D387A"/>
    <w:rsid w:val="002D3AB6"/>
    <w:rsid w:val="002D3B22"/>
    <w:rsid w:val="002D3C02"/>
    <w:rsid w:val="002D3E2B"/>
    <w:rsid w:val="002D46DC"/>
    <w:rsid w:val="002D46DF"/>
    <w:rsid w:val="002D4717"/>
    <w:rsid w:val="002D471E"/>
    <w:rsid w:val="002D4BD0"/>
    <w:rsid w:val="002D4DF5"/>
    <w:rsid w:val="002D4EED"/>
    <w:rsid w:val="002D5642"/>
    <w:rsid w:val="002D577C"/>
    <w:rsid w:val="002D57B3"/>
    <w:rsid w:val="002D5CEE"/>
    <w:rsid w:val="002D5D82"/>
    <w:rsid w:val="002D5EAA"/>
    <w:rsid w:val="002D638D"/>
    <w:rsid w:val="002D69C3"/>
    <w:rsid w:val="002D6E1B"/>
    <w:rsid w:val="002D6E67"/>
    <w:rsid w:val="002D7690"/>
    <w:rsid w:val="002D7832"/>
    <w:rsid w:val="002D7A8D"/>
    <w:rsid w:val="002E0280"/>
    <w:rsid w:val="002E0365"/>
    <w:rsid w:val="002E03FD"/>
    <w:rsid w:val="002E0870"/>
    <w:rsid w:val="002E0B41"/>
    <w:rsid w:val="002E0C91"/>
    <w:rsid w:val="002E1071"/>
    <w:rsid w:val="002E1333"/>
    <w:rsid w:val="002E15B9"/>
    <w:rsid w:val="002E1604"/>
    <w:rsid w:val="002E1646"/>
    <w:rsid w:val="002E1925"/>
    <w:rsid w:val="002E1F37"/>
    <w:rsid w:val="002E2158"/>
    <w:rsid w:val="002E2366"/>
    <w:rsid w:val="002E244A"/>
    <w:rsid w:val="002E272A"/>
    <w:rsid w:val="002E2DD4"/>
    <w:rsid w:val="002E2FF7"/>
    <w:rsid w:val="002E3038"/>
    <w:rsid w:val="002E305C"/>
    <w:rsid w:val="002E3172"/>
    <w:rsid w:val="002E32EE"/>
    <w:rsid w:val="002E398E"/>
    <w:rsid w:val="002E398F"/>
    <w:rsid w:val="002E3E11"/>
    <w:rsid w:val="002E445E"/>
    <w:rsid w:val="002E4C29"/>
    <w:rsid w:val="002E4EA9"/>
    <w:rsid w:val="002E4F02"/>
    <w:rsid w:val="002E534F"/>
    <w:rsid w:val="002E53E9"/>
    <w:rsid w:val="002E5955"/>
    <w:rsid w:val="002E5A71"/>
    <w:rsid w:val="002E5C25"/>
    <w:rsid w:val="002E612B"/>
    <w:rsid w:val="002E6277"/>
    <w:rsid w:val="002E66E9"/>
    <w:rsid w:val="002E6A7B"/>
    <w:rsid w:val="002E731F"/>
    <w:rsid w:val="002E7722"/>
    <w:rsid w:val="002E7780"/>
    <w:rsid w:val="002E788D"/>
    <w:rsid w:val="002E79BD"/>
    <w:rsid w:val="002E7D24"/>
    <w:rsid w:val="002E7E7C"/>
    <w:rsid w:val="002F02A8"/>
    <w:rsid w:val="002F07BA"/>
    <w:rsid w:val="002F09E7"/>
    <w:rsid w:val="002F0AAB"/>
    <w:rsid w:val="002F0DA9"/>
    <w:rsid w:val="002F1014"/>
    <w:rsid w:val="002F112E"/>
    <w:rsid w:val="002F1401"/>
    <w:rsid w:val="002F162C"/>
    <w:rsid w:val="002F16CC"/>
    <w:rsid w:val="002F1E16"/>
    <w:rsid w:val="002F1E3B"/>
    <w:rsid w:val="002F2026"/>
    <w:rsid w:val="002F20B5"/>
    <w:rsid w:val="002F222F"/>
    <w:rsid w:val="002F23E9"/>
    <w:rsid w:val="002F266A"/>
    <w:rsid w:val="002F282D"/>
    <w:rsid w:val="002F2B57"/>
    <w:rsid w:val="002F31DE"/>
    <w:rsid w:val="002F36BC"/>
    <w:rsid w:val="002F36D6"/>
    <w:rsid w:val="002F4223"/>
    <w:rsid w:val="002F4309"/>
    <w:rsid w:val="002F43F0"/>
    <w:rsid w:val="002F4638"/>
    <w:rsid w:val="002F4BFA"/>
    <w:rsid w:val="002F4E48"/>
    <w:rsid w:val="002F4F02"/>
    <w:rsid w:val="002F63AF"/>
    <w:rsid w:val="002F643C"/>
    <w:rsid w:val="002F6651"/>
    <w:rsid w:val="002F67B6"/>
    <w:rsid w:val="002F6BB6"/>
    <w:rsid w:val="002F6D8F"/>
    <w:rsid w:val="002F6ECE"/>
    <w:rsid w:val="002F7187"/>
    <w:rsid w:val="002F71C0"/>
    <w:rsid w:val="002F73EF"/>
    <w:rsid w:val="002F74F1"/>
    <w:rsid w:val="002F7EF2"/>
    <w:rsid w:val="002F7EF4"/>
    <w:rsid w:val="0030054A"/>
    <w:rsid w:val="003005D9"/>
    <w:rsid w:val="00300DC7"/>
    <w:rsid w:val="00300EE8"/>
    <w:rsid w:val="00301017"/>
    <w:rsid w:val="0030117C"/>
    <w:rsid w:val="0030121D"/>
    <w:rsid w:val="0030123F"/>
    <w:rsid w:val="00301431"/>
    <w:rsid w:val="0030155F"/>
    <w:rsid w:val="00301738"/>
    <w:rsid w:val="0030184C"/>
    <w:rsid w:val="003018DF"/>
    <w:rsid w:val="00301996"/>
    <w:rsid w:val="003022CC"/>
    <w:rsid w:val="00302366"/>
    <w:rsid w:val="003027DA"/>
    <w:rsid w:val="00302AB0"/>
    <w:rsid w:val="00302BB0"/>
    <w:rsid w:val="00302D36"/>
    <w:rsid w:val="003031BA"/>
    <w:rsid w:val="0030334F"/>
    <w:rsid w:val="0030339D"/>
    <w:rsid w:val="003035FB"/>
    <w:rsid w:val="00303AFB"/>
    <w:rsid w:val="00303C85"/>
    <w:rsid w:val="00304176"/>
    <w:rsid w:val="00304734"/>
    <w:rsid w:val="00304A60"/>
    <w:rsid w:val="00304C0B"/>
    <w:rsid w:val="00304F52"/>
    <w:rsid w:val="0030502F"/>
    <w:rsid w:val="00305344"/>
    <w:rsid w:val="00305808"/>
    <w:rsid w:val="0030587A"/>
    <w:rsid w:val="0030587B"/>
    <w:rsid w:val="00305CEC"/>
    <w:rsid w:val="00306425"/>
    <w:rsid w:val="00306575"/>
    <w:rsid w:val="00306D50"/>
    <w:rsid w:val="00306D98"/>
    <w:rsid w:val="00306F53"/>
    <w:rsid w:val="003071EC"/>
    <w:rsid w:val="00307325"/>
    <w:rsid w:val="003075D4"/>
    <w:rsid w:val="003076EF"/>
    <w:rsid w:val="0030786C"/>
    <w:rsid w:val="003079D6"/>
    <w:rsid w:val="00307A9B"/>
    <w:rsid w:val="00307C3A"/>
    <w:rsid w:val="00307FD0"/>
    <w:rsid w:val="003100E7"/>
    <w:rsid w:val="0031020C"/>
    <w:rsid w:val="003102B3"/>
    <w:rsid w:val="003102BB"/>
    <w:rsid w:val="0031031A"/>
    <w:rsid w:val="00310494"/>
    <w:rsid w:val="00310981"/>
    <w:rsid w:val="00310FA7"/>
    <w:rsid w:val="00311152"/>
    <w:rsid w:val="003117F7"/>
    <w:rsid w:val="00311AB5"/>
    <w:rsid w:val="00311D9B"/>
    <w:rsid w:val="0031221C"/>
    <w:rsid w:val="00312258"/>
    <w:rsid w:val="003124D9"/>
    <w:rsid w:val="00312594"/>
    <w:rsid w:val="003129D9"/>
    <w:rsid w:val="00313905"/>
    <w:rsid w:val="00313934"/>
    <w:rsid w:val="00313D2C"/>
    <w:rsid w:val="00313E4B"/>
    <w:rsid w:val="00313E8A"/>
    <w:rsid w:val="00313F53"/>
    <w:rsid w:val="003145BD"/>
    <w:rsid w:val="003145D4"/>
    <w:rsid w:val="0031509E"/>
    <w:rsid w:val="00315197"/>
    <w:rsid w:val="003151C7"/>
    <w:rsid w:val="00315498"/>
    <w:rsid w:val="003159FE"/>
    <w:rsid w:val="00315E7D"/>
    <w:rsid w:val="00315F9A"/>
    <w:rsid w:val="003162A1"/>
    <w:rsid w:val="00316474"/>
    <w:rsid w:val="003164BF"/>
    <w:rsid w:val="00316A86"/>
    <w:rsid w:val="00316AE8"/>
    <w:rsid w:val="00317094"/>
    <w:rsid w:val="0031725E"/>
    <w:rsid w:val="0031731A"/>
    <w:rsid w:val="00317371"/>
    <w:rsid w:val="00317587"/>
    <w:rsid w:val="00317626"/>
    <w:rsid w:val="003178D7"/>
    <w:rsid w:val="00317A4C"/>
    <w:rsid w:val="00317A9C"/>
    <w:rsid w:val="00317BA3"/>
    <w:rsid w:val="003207EE"/>
    <w:rsid w:val="00320A92"/>
    <w:rsid w:val="00320BAA"/>
    <w:rsid w:val="00320CC1"/>
    <w:rsid w:val="00320F4D"/>
    <w:rsid w:val="0032112E"/>
    <w:rsid w:val="00321184"/>
    <w:rsid w:val="003211AB"/>
    <w:rsid w:val="0032166D"/>
    <w:rsid w:val="003216D0"/>
    <w:rsid w:val="00321A27"/>
    <w:rsid w:val="00321D21"/>
    <w:rsid w:val="00322107"/>
    <w:rsid w:val="00322355"/>
    <w:rsid w:val="003223B4"/>
    <w:rsid w:val="003224BE"/>
    <w:rsid w:val="00322553"/>
    <w:rsid w:val="003225FA"/>
    <w:rsid w:val="003226C2"/>
    <w:rsid w:val="00322846"/>
    <w:rsid w:val="00322BDF"/>
    <w:rsid w:val="00322FA2"/>
    <w:rsid w:val="0032310B"/>
    <w:rsid w:val="0032320F"/>
    <w:rsid w:val="00323333"/>
    <w:rsid w:val="003235EB"/>
    <w:rsid w:val="0032387C"/>
    <w:rsid w:val="0032423E"/>
    <w:rsid w:val="003242C1"/>
    <w:rsid w:val="003243E3"/>
    <w:rsid w:val="00324718"/>
    <w:rsid w:val="00324AD0"/>
    <w:rsid w:val="00324F11"/>
    <w:rsid w:val="00325018"/>
    <w:rsid w:val="0032537E"/>
    <w:rsid w:val="00325645"/>
    <w:rsid w:val="0032608F"/>
    <w:rsid w:val="0032655C"/>
    <w:rsid w:val="0032670A"/>
    <w:rsid w:val="0032678D"/>
    <w:rsid w:val="00326DA7"/>
    <w:rsid w:val="00327003"/>
    <w:rsid w:val="003270BF"/>
    <w:rsid w:val="003270E4"/>
    <w:rsid w:val="00327920"/>
    <w:rsid w:val="00327CAB"/>
    <w:rsid w:val="00327D8F"/>
    <w:rsid w:val="0033007A"/>
    <w:rsid w:val="003300D5"/>
    <w:rsid w:val="003301EB"/>
    <w:rsid w:val="0033023A"/>
    <w:rsid w:val="00330636"/>
    <w:rsid w:val="0033067D"/>
    <w:rsid w:val="003306D4"/>
    <w:rsid w:val="00330773"/>
    <w:rsid w:val="00330B51"/>
    <w:rsid w:val="00330DAA"/>
    <w:rsid w:val="00330EE4"/>
    <w:rsid w:val="00330F5C"/>
    <w:rsid w:val="0033129A"/>
    <w:rsid w:val="00331DC1"/>
    <w:rsid w:val="00331F13"/>
    <w:rsid w:val="00332153"/>
    <w:rsid w:val="003322B9"/>
    <w:rsid w:val="0033254A"/>
    <w:rsid w:val="003326BF"/>
    <w:rsid w:val="0033281C"/>
    <w:rsid w:val="00332834"/>
    <w:rsid w:val="00332997"/>
    <w:rsid w:val="003334B9"/>
    <w:rsid w:val="00333503"/>
    <w:rsid w:val="00334360"/>
    <w:rsid w:val="003343F6"/>
    <w:rsid w:val="00334525"/>
    <w:rsid w:val="0033473F"/>
    <w:rsid w:val="0033487A"/>
    <w:rsid w:val="00335005"/>
    <w:rsid w:val="0033503D"/>
    <w:rsid w:val="00335373"/>
    <w:rsid w:val="003353F6"/>
    <w:rsid w:val="00335BE1"/>
    <w:rsid w:val="00335C55"/>
    <w:rsid w:val="0033636B"/>
    <w:rsid w:val="00336412"/>
    <w:rsid w:val="003366C9"/>
    <w:rsid w:val="00336701"/>
    <w:rsid w:val="003368DA"/>
    <w:rsid w:val="003371B0"/>
    <w:rsid w:val="00337385"/>
    <w:rsid w:val="00337504"/>
    <w:rsid w:val="00337970"/>
    <w:rsid w:val="00337B32"/>
    <w:rsid w:val="003401F0"/>
    <w:rsid w:val="003402A0"/>
    <w:rsid w:val="0034047C"/>
    <w:rsid w:val="00340A08"/>
    <w:rsid w:val="00340ABE"/>
    <w:rsid w:val="00340B40"/>
    <w:rsid w:val="00340DF1"/>
    <w:rsid w:val="00340F65"/>
    <w:rsid w:val="00341132"/>
    <w:rsid w:val="00341141"/>
    <w:rsid w:val="0034184B"/>
    <w:rsid w:val="00341963"/>
    <w:rsid w:val="00341C32"/>
    <w:rsid w:val="00341CA0"/>
    <w:rsid w:val="00341CE7"/>
    <w:rsid w:val="003427D0"/>
    <w:rsid w:val="00342807"/>
    <w:rsid w:val="00342952"/>
    <w:rsid w:val="00342998"/>
    <w:rsid w:val="00342BB2"/>
    <w:rsid w:val="00342DE6"/>
    <w:rsid w:val="00342EB8"/>
    <w:rsid w:val="00343277"/>
    <w:rsid w:val="003438F4"/>
    <w:rsid w:val="00343A29"/>
    <w:rsid w:val="00343C8F"/>
    <w:rsid w:val="003441A5"/>
    <w:rsid w:val="0034424C"/>
    <w:rsid w:val="00344262"/>
    <w:rsid w:val="00344698"/>
    <w:rsid w:val="0034509A"/>
    <w:rsid w:val="00345583"/>
    <w:rsid w:val="003456C0"/>
    <w:rsid w:val="00345A17"/>
    <w:rsid w:val="00345DB0"/>
    <w:rsid w:val="00345E8D"/>
    <w:rsid w:val="0034639D"/>
    <w:rsid w:val="0034642E"/>
    <w:rsid w:val="003465D6"/>
    <w:rsid w:val="00346621"/>
    <w:rsid w:val="00346B66"/>
    <w:rsid w:val="00346D16"/>
    <w:rsid w:val="003471DB"/>
    <w:rsid w:val="003471FF"/>
    <w:rsid w:val="00347432"/>
    <w:rsid w:val="00347895"/>
    <w:rsid w:val="00347CDA"/>
    <w:rsid w:val="00347FB2"/>
    <w:rsid w:val="003501A8"/>
    <w:rsid w:val="00350216"/>
    <w:rsid w:val="0035032A"/>
    <w:rsid w:val="003503F5"/>
    <w:rsid w:val="003506CD"/>
    <w:rsid w:val="003510F8"/>
    <w:rsid w:val="0035115C"/>
    <w:rsid w:val="0035137D"/>
    <w:rsid w:val="00351539"/>
    <w:rsid w:val="00351593"/>
    <w:rsid w:val="003517F9"/>
    <w:rsid w:val="00351BA9"/>
    <w:rsid w:val="00351D40"/>
    <w:rsid w:val="003521CB"/>
    <w:rsid w:val="00352527"/>
    <w:rsid w:val="003525FC"/>
    <w:rsid w:val="00352635"/>
    <w:rsid w:val="00353270"/>
    <w:rsid w:val="00353475"/>
    <w:rsid w:val="003534EF"/>
    <w:rsid w:val="00354605"/>
    <w:rsid w:val="003546B4"/>
    <w:rsid w:val="00354C53"/>
    <w:rsid w:val="00354CFF"/>
    <w:rsid w:val="00354EB2"/>
    <w:rsid w:val="00354EBA"/>
    <w:rsid w:val="00354F64"/>
    <w:rsid w:val="00355093"/>
    <w:rsid w:val="003552DF"/>
    <w:rsid w:val="0035585A"/>
    <w:rsid w:val="0035591D"/>
    <w:rsid w:val="00355999"/>
    <w:rsid w:val="00355DB0"/>
    <w:rsid w:val="00356010"/>
    <w:rsid w:val="0035604F"/>
    <w:rsid w:val="003560EC"/>
    <w:rsid w:val="00356119"/>
    <w:rsid w:val="0035620E"/>
    <w:rsid w:val="00356343"/>
    <w:rsid w:val="00356463"/>
    <w:rsid w:val="00356CFE"/>
    <w:rsid w:val="00356E65"/>
    <w:rsid w:val="00356FA9"/>
    <w:rsid w:val="003570A4"/>
    <w:rsid w:val="00357275"/>
    <w:rsid w:val="00357335"/>
    <w:rsid w:val="0035734E"/>
    <w:rsid w:val="003574CA"/>
    <w:rsid w:val="003575BE"/>
    <w:rsid w:val="003579AF"/>
    <w:rsid w:val="00357C9E"/>
    <w:rsid w:val="00357D02"/>
    <w:rsid w:val="00357EE4"/>
    <w:rsid w:val="00360345"/>
    <w:rsid w:val="00360408"/>
    <w:rsid w:val="00360966"/>
    <w:rsid w:val="00360A1C"/>
    <w:rsid w:val="00360B17"/>
    <w:rsid w:val="00361026"/>
    <w:rsid w:val="00361232"/>
    <w:rsid w:val="00361485"/>
    <w:rsid w:val="0036186D"/>
    <w:rsid w:val="00361894"/>
    <w:rsid w:val="00361934"/>
    <w:rsid w:val="00361A05"/>
    <w:rsid w:val="00361DB9"/>
    <w:rsid w:val="00361EEF"/>
    <w:rsid w:val="00361F9A"/>
    <w:rsid w:val="0036201F"/>
    <w:rsid w:val="0036247E"/>
    <w:rsid w:val="003624C4"/>
    <w:rsid w:val="00362B26"/>
    <w:rsid w:val="00362C02"/>
    <w:rsid w:val="00362F6D"/>
    <w:rsid w:val="0036306F"/>
    <w:rsid w:val="00363303"/>
    <w:rsid w:val="0036331C"/>
    <w:rsid w:val="00363400"/>
    <w:rsid w:val="003634BC"/>
    <w:rsid w:val="0036378B"/>
    <w:rsid w:val="003637BB"/>
    <w:rsid w:val="00363B00"/>
    <w:rsid w:val="00363CF7"/>
    <w:rsid w:val="00363F11"/>
    <w:rsid w:val="003642EA"/>
    <w:rsid w:val="00364734"/>
    <w:rsid w:val="00364B66"/>
    <w:rsid w:val="00364EE0"/>
    <w:rsid w:val="00364F7D"/>
    <w:rsid w:val="003652BE"/>
    <w:rsid w:val="003654AC"/>
    <w:rsid w:val="00365655"/>
    <w:rsid w:val="00365C75"/>
    <w:rsid w:val="0036607A"/>
    <w:rsid w:val="00366392"/>
    <w:rsid w:val="00366A46"/>
    <w:rsid w:val="0036721C"/>
    <w:rsid w:val="00367508"/>
    <w:rsid w:val="003675AC"/>
    <w:rsid w:val="003675CA"/>
    <w:rsid w:val="00367774"/>
    <w:rsid w:val="0036777D"/>
    <w:rsid w:val="003678BB"/>
    <w:rsid w:val="00367CED"/>
    <w:rsid w:val="00367DB2"/>
    <w:rsid w:val="00367EB5"/>
    <w:rsid w:val="00370308"/>
    <w:rsid w:val="00370558"/>
    <w:rsid w:val="0037063D"/>
    <w:rsid w:val="0037067A"/>
    <w:rsid w:val="003706AD"/>
    <w:rsid w:val="003706B1"/>
    <w:rsid w:val="00370724"/>
    <w:rsid w:val="00370EB4"/>
    <w:rsid w:val="003710CF"/>
    <w:rsid w:val="0037170B"/>
    <w:rsid w:val="00371A41"/>
    <w:rsid w:val="00371B7C"/>
    <w:rsid w:val="00371E80"/>
    <w:rsid w:val="0037200B"/>
    <w:rsid w:val="00372091"/>
    <w:rsid w:val="003720EC"/>
    <w:rsid w:val="003724D9"/>
    <w:rsid w:val="0037358A"/>
    <w:rsid w:val="00373711"/>
    <w:rsid w:val="0037376A"/>
    <w:rsid w:val="0037391B"/>
    <w:rsid w:val="00373D89"/>
    <w:rsid w:val="003744AE"/>
    <w:rsid w:val="003749D8"/>
    <w:rsid w:val="00374AF5"/>
    <w:rsid w:val="00374B1B"/>
    <w:rsid w:val="00374DF9"/>
    <w:rsid w:val="003750F6"/>
    <w:rsid w:val="00375AB8"/>
    <w:rsid w:val="00375BD8"/>
    <w:rsid w:val="00375D24"/>
    <w:rsid w:val="00375DEC"/>
    <w:rsid w:val="00375FCA"/>
    <w:rsid w:val="003760FC"/>
    <w:rsid w:val="0037635B"/>
    <w:rsid w:val="00376414"/>
    <w:rsid w:val="00376D14"/>
    <w:rsid w:val="00376E2E"/>
    <w:rsid w:val="003770DF"/>
    <w:rsid w:val="003773CF"/>
    <w:rsid w:val="0037740E"/>
    <w:rsid w:val="0037743F"/>
    <w:rsid w:val="00377522"/>
    <w:rsid w:val="003775BB"/>
    <w:rsid w:val="00377BA8"/>
    <w:rsid w:val="0038068A"/>
    <w:rsid w:val="00380BD2"/>
    <w:rsid w:val="0038107E"/>
    <w:rsid w:val="0038134B"/>
    <w:rsid w:val="00381453"/>
    <w:rsid w:val="003815B8"/>
    <w:rsid w:val="003817B9"/>
    <w:rsid w:val="0038209B"/>
    <w:rsid w:val="00382298"/>
    <w:rsid w:val="003822E8"/>
    <w:rsid w:val="0038265B"/>
    <w:rsid w:val="00382ACE"/>
    <w:rsid w:val="00382E57"/>
    <w:rsid w:val="003830D1"/>
    <w:rsid w:val="00383466"/>
    <w:rsid w:val="0038365C"/>
    <w:rsid w:val="0038369B"/>
    <w:rsid w:val="003837B3"/>
    <w:rsid w:val="0038397D"/>
    <w:rsid w:val="00383B78"/>
    <w:rsid w:val="00383DB5"/>
    <w:rsid w:val="00384157"/>
    <w:rsid w:val="00384200"/>
    <w:rsid w:val="003848D9"/>
    <w:rsid w:val="00384DDB"/>
    <w:rsid w:val="003851AD"/>
    <w:rsid w:val="00385272"/>
    <w:rsid w:val="003852C7"/>
    <w:rsid w:val="00385653"/>
    <w:rsid w:val="00385A9D"/>
    <w:rsid w:val="0038608C"/>
    <w:rsid w:val="00386245"/>
    <w:rsid w:val="003862F1"/>
    <w:rsid w:val="00386435"/>
    <w:rsid w:val="00386572"/>
    <w:rsid w:val="00386A39"/>
    <w:rsid w:val="00386D69"/>
    <w:rsid w:val="00387011"/>
    <w:rsid w:val="003870F1"/>
    <w:rsid w:val="00387121"/>
    <w:rsid w:val="003871B6"/>
    <w:rsid w:val="00387224"/>
    <w:rsid w:val="00387380"/>
    <w:rsid w:val="00387401"/>
    <w:rsid w:val="00387542"/>
    <w:rsid w:val="00387C8E"/>
    <w:rsid w:val="00387D51"/>
    <w:rsid w:val="00387F08"/>
    <w:rsid w:val="003902B1"/>
    <w:rsid w:val="00390FD2"/>
    <w:rsid w:val="00390FE7"/>
    <w:rsid w:val="0039179C"/>
    <w:rsid w:val="00391A23"/>
    <w:rsid w:val="00391DAF"/>
    <w:rsid w:val="0039215D"/>
    <w:rsid w:val="003922C8"/>
    <w:rsid w:val="00392303"/>
    <w:rsid w:val="003924E6"/>
    <w:rsid w:val="00392A04"/>
    <w:rsid w:val="00392F29"/>
    <w:rsid w:val="003931D5"/>
    <w:rsid w:val="00393395"/>
    <w:rsid w:val="003935CE"/>
    <w:rsid w:val="0039371D"/>
    <w:rsid w:val="00393907"/>
    <w:rsid w:val="00393AD3"/>
    <w:rsid w:val="00393C60"/>
    <w:rsid w:val="00393C66"/>
    <w:rsid w:val="00393D55"/>
    <w:rsid w:val="0039418B"/>
    <w:rsid w:val="003943F3"/>
    <w:rsid w:val="00394406"/>
    <w:rsid w:val="00394FD7"/>
    <w:rsid w:val="003952D8"/>
    <w:rsid w:val="00395433"/>
    <w:rsid w:val="003958F1"/>
    <w:rsid w:val="00395C5A"/>
    <w:rsid w:val="0039602E"/>
    <w:rsid w:val="00396217"/>
    <w:rsid w:val="00396431"/>
    <w:rsid w:val="0039646D"/>
    <w:rsid w:val="00396579"/>
    <w:rsid w:val="0039662C"/>
    <w:rsid w:val="00396896"/>
    <w:rsid w:val="00396DC5"/>
    <w:rsid w:val="00396F71"/>
    <w:rsid w:val="00396FD0"/>
    <w:rsid w:val="0039721A"/>
    <w:rsid w:val="003978BD"/>
    <w:rsid w:val="00397946"/>
    <w:rsid w:val="00397AFC"/>
    <w:rsid w:val="00397B8A"/>
    <w:rsid w:val="00397BF8"/>
    <w:rsid w:val="00397F0F"/>
    <w:rsid w:val="003A00B0"/>
    <w:rsid w:val="003A02ED"/>
    <w:rsid w:val="003A068F"/>
    <w:rsid w:val="003A089B"/>
    <w:rsid w:val="003A0AE6"/>
    <w:rsid w:val="003A1008"/>
    <w:rsid w:val="003A1232"/>
    <w:rsid w:val="003A1259"/>
    <w:rsid w:val="003A14A3"/>
    <w:rsid w:val="003A162C"/>
    <w:rsid w:val="003A176E"/>
    <w:rsid w:val="003A1896"/>
    <w:rsid w:val="003A1A7A"/>
    <w:rsid w:val="003A1FE9"/>
    <w:rsid w:val="003A2392"/>
    <w:rsid w:val="003A2432"/>
    <w:rsid w:val="003A27AE"/>
    <w:rsid w:val="003A2831"/>
    <w:rsid w:val="003A2A5F"/>
    <w:rsid w:val="003A2E79"/>
    <w:rsid w:val="003A3861"/>
    <w:rsid w:val="003A3A01"/>
    <w:rsid w:val="003A3CB6"/>
    <w:rsid w:val="003A3DC0"/>
    <w:rsid w:val="003A3E05"/>
    <w:rsid w:val="003A3ED1"/>
    <w:rsid w:val="003A3FCF"/>
    <w:rsid w:val="003A417D"/>
    <w:rsid w:val="003A44DB"/>
    <w:rsid w:val="003A45E7"/>
    <w:rsid w:val="003A46F6"/>
    <w:rsid w:val="003A4870"/>
    <w:rsid w:val="003A4AAD"/>
    <w:rsid w:val="003A4AD0"/>
    <w:rsid w:val="003A4B3E"/>
    <w:rsid w:val="003A4C14"/>
    <w:rsid w:val="003A5065"/>
    <w:rsid w:val="003A55C4"/>
    <w:rsid w:val="003A56E0"/>
    <w:rsid w:val="003A59DA"/>
    <w:rsid w:val="003A5F3D"/>
    <w:rsid w:val="003A5F9D"/>
    <w:rsid w:val="003A60EB"/>
    <w:rsid w:val="003A6273"/>
    <w:rsid w:val="003A6360"/>
    <w:rsid w:val="003A6439"/>
    <w:rsid w:val="003A6510"/>
    <w:rsid w:val="003A6865"/>
    <w:rsid w:val="003A688A"/>
    <w:rsid w:val="003A6A16"/>
    <w:rsid w:val="003A6ABA"/>
    <w:rsid w:val="003A6D5A"/>
    <w:rsid w:val="003A74B3"/>
    <w:rsid w:val="003A75DE"/>
    <w:rsid w:val="003A7D82"/>
    <w:rsid w:val="003B024A"/>
    <w:rsid w:val="003B02D4"/>
    <w:rsid w:val="003B03EA"/>
    <w:rsid w:val="003B0481"/>
    <w:rsid w:val="003B0990"/>
    <w:rsid w:val="003B1075"/>
    <w:rsid w:val="003B1260"/>
    <w:rsid w:val="003B168B"/>
    <w:rsid w:val="003B1DDD"/>
    <w:rsid w:val="003B239A"/>
    <w:rsid w:val="003B2880"/>
    <w:rsid w:val="003B293A"/>
    <w:rsid w:val="003B2B85"/>
    <w:rsid w:val="003B2CA9"/>
    <w:rsid w:val="003B2E50"/>
    <w:rsid w:val="003B2EFA"/>
    <w:rsid w:val="003B2FD9"/>
    <w:rsid w:val="003B31DD"/>
    <w:rsid w:val="003B3597"/>
    <w:rsid w:val="003B36B5"/>
    <w:rsid w:val="003B3971"/>
    <w:rsid w:val="003B3EF9"/>
    <w:rsid w:val="003B4121"/>
    <w:rsid w:val="003B4203"/>
    <w:rsid w:val="003B45E8"/>
    <w:rsid w:val="003B496F"/>
    <w:rsid w:val="003B4B76"/>
    <w:rsid w:val="003B4E6F"/>
    <w:rsid w:val="003B55D1"/>
    <w:rsid w:val="003B5664"/>
    <w:rsid w:val="003B57CA"/>
    <w:rsid w:val="003B59A5"/>
    <w:rsid w:val="003B5B61"/>
    <w:rsid w:val="003B5C5A"/>
    <w:rsid w:val="003B5CD8"/>
    <w:rsid w:val="003B5ECB"/>
    <w:rsid w:val="003B630C"/>
    <w:rsid w:val="003B688F"/>
    <w:rsid w:val="003B68C2"/>
    <w:rsid w:val="003B6ACE"/>
    <w:rsid w:val="003B6CD4"/>
    <w:rsid w:val="003B7042"/>
    <w:rsid w:val="003B73E8"/>
    <w:rsid w:val="003B747C"/>
    <w:rsid w:val="003B7623"/>
    <w:rsid w:val="003B77BD"/>
    <w:rsid w:val="003B7872"/>
    <w:rsid w:val="003B7957"/>
    <w:rsid w:val="003B7A52"/>
    <w:rsid w:val="003C00E9"/>
    <w:rsid w:val="003C0146"/>
    <w:rsid w:val="003C0198"/>
    <w:rsid w:val="003C05D3"/>
    <w:rsid w:val="003C097D"/>
    <w:rsid w:val="003C09BA"/>
    <w:rsid w:val="003C0D26"/>
    <w:rsid w:val="003C0D57"/>
    <w:rsid w:val="003C1257"/>
    <w:rsid w:val="003C1264"/>
    <w:rsid w:val="003C13E2"/>
    <w:rsid w:val="003C1654"/>
    <w:rsid w:val="003C1693"/>
    <w:rsid w:val="003C16A2"/>
    <w:rsid w:val="003C1C14"/>
    <w:rsid w:val="003C1FE4"/>
    <w:rsid w:val="003C205C"/>
    <w:rsid w:val="003C22F3"/>
    <w:rsid w:val="003C235C"/>
    <w:rsid w:val="003C264A"/>
    <w:rsid w:val="003C2A1E"/>
    <w:rsid w:val="003C2E64"/>
    <w:rsid w:val="003C2FB8"/>
    <w:rsid w:val="003C3057"/>
    <w:rsid w:val="003C3358"/>
    <w:rsid w:val="003C3749"/>
    <w:rsid w:val="003C3A1E"/>
    <w:rsid w:val="003C3BC1"/>
    <w:rsid w:val="003C3CE9"/>
    <w:rsid w:val="003C3E75"/>
    <w:rsid w:val="003C411D"/>
    <w:rsid w:val="003C455C"/>
    <w:rsid w:val="003C4619"/>
    <w:rsid w:val="003C4737"/>
    <w:rsid w:val="003C4B88"/>
    <w:rsid w:val="003C4B97"/>
    <w:rsid w:val="003C4F0B"/>
    <w:rsid w:val="003C5542"/>
    <w:rsid w:val="003C55FA"/>
    <w:rsid w:val="003C5C2D"/>
    <w:rsid w:val="003C5CF3"/>
    <w:rsid w:val="003C5DA8"/>
    <w:rsid w:val="003C61E3"/>
    <w:rsid w:val="003C61E8"/>
    <w:rsid w:val="003C630B"/>
    <w:rsid w:val="003C630D"/>
    <w:rsid w:val="003C689C"/>
    <w:rsid w:val="003C69CB"/>
    <w:rsid w:val="003C701E"/>
    <w:rsid w:val="003C7217"/>
    <w:rsid w:val="003C7312"/>
    <w:rsid w:val="003C738D"/>
    <w:rsid w:val="003C74AA"/>
    <w:rsid w:val="003C763A"/>
    <w:rsid w:val="003C765C"/>
    <w:rsid w:val="003C7839"/>
    <w:rsid w:val="003C7A64"/>
    <w:rsid w:val="003C7A74"/>
    <w:rsid w:val="003C7AAC"/>
    <w:rsid w:val="003C7C15"/>
    <w:rsid w:val="003C7D19"/>
    <w:rsid w:val="003C7D2F"/>
    <w:rsid w:val="003D0186"/>
    <w:rsid w:val="003D02D5"/>
    <w:rsid w:val="003D09BB"/>
    <w:rsid w:val="003D0A99"/>
    <w:rsid w:val="003D0C0A"/>
    <w:rsid w:val="003D0C5A"/>
    <w:rsid w:val="003D0EE7"/>
    <w:rsid w:val="003D13B0"/>
    <w:rsid w:val="003D15FF"/>
    <w:rsid w:val="003D1828"/>
    <w:rsid w:val="003D1A7E"/>
    <w:rsid w:val="003D1BB4"/>
    <w:rsid w:val="003D1DE4"/>
    <w:rsid w:val="003D1E2F"/>
    <w:rsid w:val="003D1E9A"/>
    <w:rsid w:val="003D1EEA"/>
    <w:rsid w:val="003D1F2A"/>
    <w:rsid w:val="003D20DC"/>
    <w:rsid w:val="003D2422"/>
    <w:rsid w:val="003D2854"/>
    <w:rsid w:val="003D28EF"/>
    <w:rsid w:val="003D294A"/>
    <w:rsid w:val="003D2F42"/>
    <w:rsid w:val="003D36B9"/>
    <w:rsid w:val="003D39A1"/>
    <w:rsid w:val="003D3A26"/>
    <w:rsid w:val="003D3EF7"/>
    <w:rsid w:val="003D3FBF"/>
    <w:rsid w:val="003D4145"/>
    <w:rsid w:val="003D41B8"/>
    <w:rsid w:val="003D42AD"/>
    <w:rsid w:val="003D4307"/>
    <w:rsid w:val="003D4358"/>
    <w:rsid w:val="003D45D0"/>
    <w:rsid w:val="003D4610"/>
    <w:rsid w:val="003D49F5"/>
    <w:rsid w:val="003D4A30"/>
    <w:rsid w:val="003D4AF2"/>
    <w:rsid w:val="003D4B96"/>
    <w:rsid w:val="003D4D9B"/>
    <w:rsid w:val="003D4DCB"/>
    <w:rsid w:val="003D5080"/>
    <w:rsid w:val="003D50FB"/>
    <w:rsid w:val="003D5B0E"/>
    <w:rsid w:val="003D5B7F"/>
    <w:rsid w:val="003D5D1C"/>
    <w:rsid w:val="003D5D30"/>
    <w:rsid w:val="003D5EC4"/>
    <w:rsid w:val="003D5F14"/>
    <w:rsid w:val="003D61E0"/>
    <w:rsid w:val="003D6457"/>
    <w:rsid w:val="003D6632"/>
    <w:rsid w:val="003D6A8C"/>
    <w:rsid w:val="003D6C5E"/>
    <w:rsid w:val="003D6CF8"/>
    <w:rsid w:val="003D6DF1"/>
    <w:rsid w:val="003D6EA4"/>
    <w:rsid w:val="003D70D9"/>
    <w:rsid w:val="003D7288"/>
    <w:rsid w:val="003D7452"/>
    <w:rsid w:val="003D7661"/>
    <w:rsid w:val="003D76AB"/>
    <w:rsid w:val="003D79BB"/>
    <w:rsid w:val="003D79D1"/>
    <w:rsid w:val="003D7C98"/>
    <w:rsid w:val="003D7D9D"/>
    <w:rsid w:val="003D7F64"/>
    <w:rsid w:val="003E0046"/>
    <w:rsid w:val="003E00B5"/>
    <w:rsid w:val="003E0271"/>
    <w:rsid w:val="003E0289"/>
    <w:rsid w:val="003E029E"/>
    <w:rsid w:val="003E0543"/>
    <w:rsid w:val="003E0CC8"/>
    <w:rsid w:val="003E1931"/>
    <w:rsid w:val="003E1F4F"/>
    <w:rsid w:val="003E1FB6"/>
    <w:rsid w:val="003E22CA"/>
    <w:rsid w:val="003E2CC7"/>
    <w:rsid w:val="003E2E72"/>
    <w:rsid w:val="003E3AEF"/>
    <w:rsid w:val="003E3C82"/>
    <w:rsid w:val="003E3DFE"/>
    <w:rsid w:val="003E3EBF"/>
    <w:rsid w:val="003E4180"/>
    <w:rsid w:val="003E41E9"/>
    <w:rsid w:val="003E4270"/>
    <w:rsid w:val="003E4312"/>
    <w:rsid w:val="003E436E"/>
    <w:rsid w:val="003E45CE"/>
    <w:rsid w:val="003E4684"/>
    <w:rsid w:val="003E47DB"/>
    <w:rsid w:val="003E4CB7"/>
    <w:rsid w:val="003E4E84"/>
    <w:rsid w:val="003E4FF9"/>
    <w:rsid w:val="003E514E"/>
    <w:rsid w:val="003E5237"/>
    <w:rsid w:val="003E5603"/>
    <w:rsid w:val="003E568B"/>
    <w:rsid w:val="003E5957"/>
    <w:rsid w:val="003E6604"/>
    <w:rsid w:val="003E6636"/>
    <w:rsid w:val="003E664B"/>
    <w:rsid w:val="003E67EA"/>
    <w:rsid w:val="003E693B"/>
    <w:rsid w:val="003E6A5E"/>
    <w:rsid w:val="003E6FF2"/>
    <w:rsid w:val="003E749E"/>
    <w:rsid w:val="003E7A80"/>
    <w:rsid w:val="003E7B33"/>
    <w:rsid w:val="003E7BC6"/>
    <w:rsid w:val="003E7D70"/>
    <w:rsid w:val="003E7D9F"/>
    <w:rsid w:val="003F039C"/>
    <w:rsid w:val="003F0624"/>
    <w:rsid w:val="003F0819"/>
    <w:rsid w:val="003F0D06"/>
    <w:rsid w:val="003F0FCB"/>
    <w:rsid w:val="003F10DD"/>
    <w:rsid w:val="003F11A6"/>
    <w:rsid w:val="003F1337"/>
    <w:rsid w:val="003F160F"/>
    <w:rsid w:val="003F19B0"/>
    <w:rsid w:val="003F2303"/>
    <w:rsid w:val="003F290B"/>
    <w:rsid w:val="003F2CBE"/>
    <w:rsid w:val="003F2D7B"/>
    <w:rsid w:val="003F3186"/>
    <w:rsid w:val="003F3262"/>
    <w:rsid w:val="003F33E9"/>
    <w:rsid w:val="003F33FF"/>
    <w:rsid w:val="003F3757"/>
    <w:rsid w:val="003F3B48"/>
    <w:rsid w:val="003F3D21"/>
    <w:rsid w:val="003F3EF9"/>
    <w:rsid w:val="003F4004"/>
    <w:rsid w:val="003F4113"/>
    <w:rsid w:val="003F4156"/>
    <w:rsid w:val="003F44BE"/>
    <w:rsid w:val="003F4738"/>
    <w:rsid w:val="003F4807"/>
    <w:rsid w:val="003F496F"/>
    <w:rsid w:val="003F4E2C"/>
    <w:rsid w:val="003F5136"/>
    <w:rsid w:val="003F519D"/>
    <w:rsid w:val="003F53A4"/>
    <w:rsid w:val="003F5672"/>
    <w:rsid w:val="003F587E"/>
    <w:rsid w:val="003F5ADF"/>
    <w:rsid w:val="003F5AF4"/>
    <w:rsid w:val="003F65AD"/>
    <w:rsid w:val="003F688B"/>
    <w:rsid w:val="003F6B42"/>
    <w:rsid w:val="003F71EC"/>
    <w:rsid w:val="003F71F5"/>
    <w:rsid w:val="003F72D3"/>
    <w:rsid w:val="003F73F0"/>
    <w:rsid w:val="003F7816"/>
    <w:rsid w:val="003F7A50"/>
    <w:rsid w:val="003F7A97"/>
    <w:rsid w:val="003F7F6E"/>
    <w:rsid w:val="003F7FC4"/>
    <w:rsid w:val="004003B5"/>
    <w:rsid w:val="00400B29"/>
    <w:rsid w:val="00401847"/>
    <w:rsid w:val="00401B6F"/>
    <w:rsid w:val="00401BD4"/>
    <w:rsid w:val="00401C7B"/>
    <w:rsid w:val="00402003"/>
    <w:rsid w:val="0040223C"/>
    <w:rsid w:val="0040227A"/>
    <w:rsid w:val="00402289"/>
    <w:rsid w:val="004023C2"/>
    <w:rsid w:val="004026EC"/>
    <w:rsid w:val="00402812"/>
    <w:rsid w:val="00402944"/>
    <w:rsid w:val="00402BA5"/>
    <w:rsid w:val="00402FF1"/>
    <w:rsid w:val="004031A4"/>
    <w:rsid w:val="00403362"/>
    <w:rsid w:val="00403723"/>
    <w:rsid w:val="00403A63"/>
    <w:rsid w:val="00403DCB"/>
    <w:rsid w:val="00403F4D"/>
    <w:rsid w:val="00403F5E"/>
    <w:rsid w:val="00404B38"/>
    <w:rsid w:val="0040504B"/>
    <w:rsid w:val="00405076"/>
    <w:rsid w:val="004052D3"/>
    <w:rsid w:val="00405479"/>
    <w:rsid w:val="004059F4"/>
    <w:rsid w:val="00405B92"/>
    <w:rsid w:val="00406680"/>
    <w:rsid w:val="00406D6F"/>
    <w:rsid w:val="00406E41"/>
    <w:rsid w:val="0040724E"/>
    <w:rsid w:val="0040725C"/>
    <w:rsid w:val="0040760C"/>
    <w:rsid w:val="004077A3"/>
    <w:rsid w:val="004078F1"/>
    <w:rsid w:val="00407A73"/>
    <w:rsid w:val="00407CF2"/>
    <w:rsid w:val="00407DF6"/>
    <w:rsid w:val="00407EA4"/>
    <w:rsid w:val="00407FE5"/>
    <w:rsid w:val="00407FE9"/>
    <w:rsid w:val="004101B0"/>
    <w:rsid w:val="00410326"/>
    <w:rsid w:val="0041053A"/>
    <w:rsid w:val="00410708"/>
    <w:rsid w:val="0041085D"/>
    <w:rsid w:val="00410D85"/>
    <w:rsid w:val="00410EC7"/>
    <w:rsid w:val="00411332"/>
    <w:rsid w:val="0041144D"/>
    <w:rsid w:val="004115FA"/>
    <w:rsid w:val="004119A3"/>
    <w:rsid w:val="00411A4E"/>
    <w:rsid w:val="00411AB2"/>
    <w:rsid w:val="00411B39"/>
    <w:rsid w:val="00411BE4"/>
    <w:rsid w:val="00411C94"/>
    <w:rsid w:val="00411CBF"/>
    <w:rsid w:val="00411DEE"/>
    <w:rsid w:val="004121E4"/>
    <w:rsid w:val="004122B9"/>
    <w:rsid w:val="0041238C"/>
    <w:rsid w:val="00412502"/>
    <w:rsid w:val="0041257A"/>
    <w:rsid w:val="004127A7"/>
    <w:rsid w:val="00412ADE"/>
    <w:rsid w:val="00412DAA"/>
    <w:rsid w:val="0041317C"/>
    <w:rsid w:val="004133A4"/>
    <w:rsid w:val="00413440"/>
    <w:rsid w:val="0041367D"/>
    <w:rsid w:val="004137A6"/>
    <w:rsid w:val="00413A1E"/>
    <w:rsid w:val="00413A76"/>
    <w:rsid w:val="00413B6E"/>
    <w:rsid w:val="00413B96"/>
    <w:rsid w:val="00413C86"/>
    <w:rsid w:val="00413D71"/>
    <w:rsid w:val="00414476"/>
    <w:rsid w:val="00414AE5"/>
    <w:rsid w:val="00414C2E"/>
    <w:rsid w:val="00414CB5"/>
    <w:rsid w:val="00414CDF"/>
    <w:rsid w:val="004150A7"/>
    <w:rsid w:val="004151CF"/>
    <w:rsid w:val="00415489"/>
    <w:rsid w:val="0041568C"/>
    <w:rsid w:val="004156F5"/>
    <w:rsid w:val="00415859"/>
    <w:rsid w:val="0041585E"/>
    <w:rsid w:val="0041586B"/>
    <w:rsid w:val="00415898"/>
    <w:rsid w:val="00416119"/>
    <w:rsid w:val="00416364"/>
    <w:rsid w:val="00416A2D"/>
    <w:rsid w:val="00416C32"/>
    <w:rsid w:val="00416DDF"/>
    <w:rsid w:val="00416F11"/>
    <w:rsid w:val="004171D4"/>
    <w:rsid w:val="004173F6"/>
    <w:rsid w:val="00417514"/>
    <w:rsid w:val="00417605"/>
    <w:rsid w:val="00417EE9"/>
    <w:rsid w:val="00420080"/>
    <w:rsid w:val="004201EE"/>
    <w:rsid w:val="00420271"/>
    <w:rsid w:val="004203BB"/>
    <w:rsid w:val="0042047F"/>
    <w:rsid w:val="004207B5"/>
    <w:rsid w:val="00420AA6"/>
    <w:rsid w:val="00420AF2"/>
    <w:rsid w:val="00420B03"/>
    <w:rsid w:val="00420B9F"/>
    <w:rsid w:val="00420DC6"/>
    <w:rsid w:val="00420E84"/>
    <w:rsid w:val="00421694"/>
    <w:rsid w:val="0042169F"/>
    <w:rsid w:val="0042192C"/>
    <w:rsid w:val="00421AF8"/>
    <w:rsid w:val="00421FC6"/>
    <w:rsid w:val="00422006"/>
    <w:rsid w:val="00422260"/>
    <w:rsid w:val="004223E3"/>
    <w:rsid w:val="004224E1"/>
    <w:rsid w:val="004231B4"/>
    <w:rsid w:val="004231BE"/>
    <w:rsid w:val="004234D4"/>
    <w:rsid w:val="004237C5"/>
    <w:rsid w:val="00423B33"/>
    <w:rsid w:val="00423D7F"/>
    <w:rsid w:val="00423DF3"/>
    <w:rsid w:val="00423F13"/>
    <w:rsid w:val="004240E7"/>
    <w:rsid w:val="0042413F"/>
    <w:rsid w:val="004242E7"/>
    <w:rsid w:val="00424DD7"/>
    <w:rsid w:val="00425345"/>
    <w:rsid w:val="00425556"/>
    <w:rsid w:val="0042594D"/>
    <w:rsid w:val="00425B9D"/>
    <w:rsid w:val="00425F9F"/>
    <w:rsid w:val="00426170"/>
    <w:rsid w:val="00426B2A"/>
    <w:rsid w:val="0042727A"/>
    <w:rsid w:val="004306D0"/>
    <w:rsid w:val="00430D00"/>
    <w:rsid w:val="00430DC8"/>
    <w:rsid w:val="00430F3B"/>
    <w:rsid w:val="004316CD"/>
    <w:rsid w:val="004319F8"/>
    <w:rsid w:val="00431AD8"/>
    <w:rsid w:val="00431E55"/>
    <w:rsid w:val="00432119"/>
    <w:rsid w:val="004321F6"/>
    <w:rsid w:val="004324EE"/>
    <w:rsid w:val="004325D4"/>
    <w:rsid w:val="0043260A"/>
    <w:rsid w:val="00432871"/>
    <w:rsid w:val="00432960"/>
    <w:rsid w:val="00432F98"/>
    <w:rsid w:val="00433044"/>
    <w:rsid w:val="004333B7"/>
    <w:rsid w:val="004334AA"/>
    <w:rsid w:val="00433764"/>
    <w:rsid w:val="004338AA"/>
    <w:rsid w:val="00433CE0"/>
    <w:rsid w:val="00433D46"/>
    <w:rsid w:val="00434059"/>
    <w:rsid w:val="00434088"/>
    <w:rsid w:val="004349D1"/>
    <w:rsid w:val="00434B95"/>
    <w:rsid w:val="00434C96"/>
    <w:rsid w:val="00434CC9"/>
    <w:rsid w:val="00434D12"/>
    <w:rsid w:val="00434F2C"/>
    <w:rsid w:val="0043521A"/>
    <w:rsid w:val="00435372"/>
    <w:rsid w:val="00435501"/>
    <w:rsid w:val="00435B36"/>
    <w:rsid w:val="00435D36"/>
    <w:rsid w:val="00435D98"/>
    <w:rsid w:val="00435F00"/>
    <w:rsid w:val="00436073"/>
    <w:rsid w:val="004366ED"/>
    <w:rsid w:val="00436A52"/>
    <w:rsid w:val="00436B59"/>
    <w:rsid w:val="00436E38"/>
    <w:rsid w:val="00436E4B"/>
    <w:rsid w:val="00437553"/>
    <w:rsid w:val="004375B9"/>
    <w:rsid w:val="0043771B"/>
    <w:rsid w:val="00437ABC"/>
    <w:rsid w:val="00437B8C"/>
    <w:rsid w:val="00440451"/>
    <w:rsid w:val="004407D7"/>
    <w:rsid w:val="004407EF"/>
    <w:rsid w:val="00440BAE"/>
    <w:rsid w:val="00440D3A"/>
    <w:rsid w:val="00440DBF"/>
    <w:rsid w:val="00440F91"/>
    <w:rsid w:val="0044180B"/>
    <w:rsid w:val="004419FE"/>
    <w:rsid w:val="00441AE7"/>
    <w:rsid w:val="00441EE5"/>
    <w:rsid w:val="00442060"/>
    <w:rsid w:val="004422F7"/>
    <w:rsid w:val="004428D0"/>
    <w:rsid w:val="00442B55"/>
    <w:rsid w:val="00442C05"/>
    <w:rsid w:val="004432BF"/>
    <w:rsid w:val="0044333A"/>
    <w:rsid w:val="00443372"/>
    <w:rsid w:val="004433F2"/>
    <w:rsid w:val="00443600"/>
    <w:rsid w:val="004438DD"/>
    <w:rsid w:val="00443F5E"/>
    <w:rsid w:val="00444185"/>
    <w:rsid w:val="004442A6"/>
    <w:rsid w:val="004443A7"/>
    <w:rsid w:val="0044442C"/>
    <w:rsid w:val="0044446E"/>
    <w:rsid w:val="004444EE"/>
    <w:rsid w:val="0044497A"/>
    <w:rsid w:val="00444AD4"/>
    <w:rsid w:val="00444B1F"/>
    <w:rsid w:val="00444B90"/>
    <w:rsid w:val="00444F43"/>
    <w:rsid w:val="0044516C"/>
    <w:rsid w:val="004451F6"/>
    <w:rsid w:val="0044556A"/>
    <w:rsid w:val="00445941"/>
    <w:rsid w:val="00445963"/>
    <w:rsid w:val="00445A16"/>
    <w:rsid w:val="00445BF0"/>
    <w:rsid w:val="00445C4D"/>
    <w:rsid w:val="00445CC4"/>
    <w:rsid w:val="00445E66"/>
    <w:rsid w:val="004462AC"/>
    <w:rsid w:val="004464EB"/>
    <w:rsid w:val="004464F1"/>
    <w:rsid w:val="004465BA"/>
    <w:rsid w:val="00446988"/>
    <w:rsid w:val="00446EEA"/>
    <w:rsid w:val="0044749A"/>
    <w:rsid w:val="00447957"/>
    <w:rsid w:val="00447A2E"/>
    <w:rsid w:val="00447C35"/>
    <w:rsid w:val="00447D26"/>
    <w:rsid w:val="00447DFC"/>
    <w:rsid w:val="004500BA"/>
    <w:rsid w:val="0045065B"/>
    <w:rsid w:val="0045078D"/>
    <w:rsid w:val="00450A7D"/>
    <w:rsid w:val="00450A81"/>
    <w:rsid w:val="00450CAF"/>
    <w:rsid w:val="00451DC8"/>
    <w:rsid w:val="00452175"/>
    <w:rsid w:val="00452357"/>
    <w:rsid w:val="00452371"/>
    <w:rsid w:val="0045264F"/>
    <w:rsid w:val="004527BC"/>
    <w:rsid w:val="004528ED"/>
    <w:rsid w:val="00452A2F"/>
    <w:rsid w:val="00452B3D"/>
    <w:rsid w:val="00452D34"/>
    <w:rsid w:val="00452F26"/>
    <w:rsid w:val="004531B1"/>
    <w:rsid w:val="00453682"/>
    <w:rsid w:val="00453689"/>
    <w:rsid w:val="004538FC"/>
    <w:rsid w:val="0045403B"/>
    <w:rsid w:val="0045434A"/>
    <w:rsid w:val="004546D5"/>
    <w:rsid w:val="00454700"/>
    <w:rsid w:val="004548B9"/>
    <w:rsid w:val="00454DE1"/>
    <w:rsid w:val="00454DF4"/>
    <w:rsid w:val="00454E0E"/>
    <w:rsid w:val="00454E38"/>
    <w:rsid w:val="00455121"/>
    <w:rsid w:val="00455302"/>
    <w:rsid w:val="00455408"/>
    <w:rsid w:val="00455434"/>
    <w:rsid w:val="004558E7"/>
    <w:rsid w:val="00455C32"/>
    <w:rsid w:val="00455D45"/>
    <w:rsid w:val="00455F51"/>
    <w:rsid w:val="00456040"/>
    <w:rsid w:val="00456194"/>
    <w:rsid w:val="0045669B"/>
    <w:rsid w:val="00456862"/>
    <w:rsid w:val="0045689F"/>
    <w:rsid w:val="004568BD"/>
    <w:rsid w:val="00456C71"/>
    <w:rsid w:val="00456E3A"/>
    <w:rsid w:val="00457128"/>
    <w:rsid w:val="0045757C"/>
    <w:rsid w:val="00457CD6"/>
    <w:rsid w:val="00457DF6"/>
    <w:rsid w:val="00457E41"/>
    <w:rsid w:val="00457E84"/>
    <w:rsid w:val="004607C5"/>
    <w:rsid w:val="00460EB0"/>
    <w:rsid w:val="004611F3"/>
    <w:rsid w:val="0046159D"/>
    <w:rsid w:val="00461B8C"/>
    <w:rsid w:val="00461BB0"/>
    <w:rsid w:val="00461DAA"/>
    <w:rsid w:val="00461E3C"/>
    <w:rsid w:val="00461F2C"/>
    <w:rsid w:val="0046202D"/>
    <w:rsid w:val="00462174"/>
    <w:rsid w:val="0046232F"/>
    <w:rsid w:val="00462494"/>
    <w:rsid w:val="00462651"/>
    <w:rsid w:val="00462670"/>
    <w:rsid w:val="004628BD"/>
    <w:rsid w:val="004628D9"/>
    <w:rsid w:val="00463360"/>
    <w:rsid w:val="0046337B"/>
    <w:rsid w:val="00463DE3"/>
    <w:rsid w:val="00463E51"/>
    <w:rsid w:val="00464295"/>
    <w:rsid w:val="00464380"/>
    <w:rsid w:val="00464595"/>
    <w:rsid w:val="00464EFB"/>
    <w:rsid w:val="00464F28"/>
    <w:rsid w:val="0046526F"/>
    <w:rsid w:val="004652B5"/>
    <w:rsid w:val="00465363"/>
    <w:rsid w:val="004657FD"/>
    <w:rsid w:val="004658B5"/>
    <w:rsid w:val="00465E54"/>
    <w:rsid w:val="00465FC2"/>
    <w:rsid w:val="004662E1"/>
    <w:rsid w:val="0046672B"/>
    <w:rsid w:val="0046678F"/>
    <w:rsid w:val="004668FF"/>
    <w:rsid w:val="00466B8C"/>
    <w:rsid w:val="00467421"/>
    <w:rsid w:val="00467604"/>
    <w:rsid w:val="0046776A"/>
    <w:rsid w:val="004679EE"/>
    <w:rsid w:val="00467E9D"/>
    <w:rsid w:val="004703AB"/>
    <w:rsid w:val="00470470"/>
    <w:rsid w:val="0047126F"/>
    <w:rsid w:val="0047137A"/>
    <w:rsid w:val="00471EA5"/>
    <w:rsid w:val="00472326"/>
    <w:rsid w:val="0047243C"/>
    <w:rsid w:val="0047271F"/>
    <w:rsid w:val="00472889"/>
    <w:rsid w:val="00472A79"/>
    <w:rsid w:val="00472F6F"/>
    <w:rsid w:val="00473427"/>
    <w:rsid w:val="0047346C"/>
    <w:rsid w:val="00473489"/>
    <w:rsid w:val="00473510"/>
    <w:rsid w:val="004735E9"/>
    <w:rsid w:val="004735FC"/>
    <w:rsid w:val="00473DE1"/>
    <w:rsid w:val="00473F19"/>
    <w:rsid w:val="00474B14"/>
    <w:rsid w:val="00475934"/>
    <w:rsid w:val="00475CAB"/>
    <w:rsid w:val="00475E22"/>
    <w:rsid w:val="00475E58"/>
    <w:rsid w:val="00476683"/>
    <w:rsid w:val="0047677E"/>
    <w:rsid w:val="00476AE7"/>
    <w:rsid w:val="00476CA4"/>
    <w:rsid w:val="00476D03"/>
    <w:rsid w:val="00476E71"/>
    <w:rsid w:val="0047717A"/>
    <w:rsid w:val="004771D0"/>
    <w:rsid w:val="00477380"/>
    <w:rsid w:val="0047756B"/>
    <w:rsid w:val="00477B41"/>
    <w:rsid w:val="00477DFF"/>
    <w:rsid w:val="0048004E"/>
    <w:rsid w:val="00480323"/>
    <w:rsid w:val="0048035A"/>
    <w:rsid w:val="004804E9"/>
    <w:rsid w:val="00480588"/>
    <w:rsid w:val="0048088E"/>
    <w:rsid w:val="004808B8"/>
    <w:rsid w:val="00480B63"/>
    <w:rsid w:val="00480BD3"/>
    <w:rsid w:val="00480DF6"/>
    <w:rsid w:val="00480E1E"/>
    <w:rsid w:val="00480F2B"/>
    <w:rsid w:val="00480FE2"/>
    <w:rsid w:val="0048175A"/>
    <w:rsid w:val="00481D42"/>
    <w:rsid w:val="00481F40"/>
    <w:rsid w:val="0048214C"/>
    <w:rsid w:val="0048235C"/>
    <w:rsid w:val="0048243E"/>
    <w:rsid w:val="00482720"/>
    <w:rsid w:val="0048291A"/>
    <w:rsid w:val="00483325"/>
    <w:rsid w:val="004835E7"/>
    <w:rsid w:val="00483AEA"/>
    <w:rsid w:val="00483C45"/>
    <w:rsid w:val="004841C3"/>
    <w:rsid w:val="00484313"/>
    <w:rsid w:val="0048477D"/>
    <w:rsid w:val="0048484A"/>
    <w:rsid w:val="00484880"/>
    <w:rsid w:val="00484917"/>
    <w:rsid w:val="00484ABF"/>
    <w:rsid w:val="00484E57"/>
    <w:rsid w:val="00484FB9"/>
    <w:rsid w:val="004852C2"/>
    <w:rsid w:val="0048565C"/>
    <w:rsid w:val="004859E1"/>
    <w:rsid w:val="00485A46"/>
    <w:rsid w:val="00485C68"/>
    <w:rsid w:val="00485EF2"/>
    <w:rsid w:val="004867E2"/>
    <w:rsid w:val="0048698C"/>
    <w:rsid w:val="00486D12"/>
    <w:rsid w:val="00487080"/>
    <w:rsid w:val="00487F90"/>
    <w:rsid w:val="00490045"/>
    <w:rsid w:val="00490271"/>
    <w:rsid w:val="00490330"/>
    <w:rsid w:val="00490370"/>
    <w:rsid w:val="004903BB"/>
    <w:rsid w:val="00490582"/>
    <w:rsid w:val="0049076D"/>
    <w:rsid w:val="004908C0"/>
    <w:rsid w:val="00490B17"/>
    <w:rsid w:val="00490BEB"/>
    <w:rsid w:val="004918AF"/>
    <w:rsid w:val="00491B3A"/>
    <w:rsid w:val="00491B3B"/>
    <w:rsid w:val="00491EC9"/>
    <w:rsid w:val="00491FFC"/>
    <w:rsid w:val="00492370"/>
    <w:rsid w:val="00492381"/>
    <w:rsid w:val="004929A6"/>
    <w:rsid w:val="00492CFD"/>
    <w:rsid w:val="00493122"/>
    <w:rsid w:val="0049322B"/>
    <w:rsid w:val="00493313"/>
    <w:rsid w:val="00493338"/>
    <w:rsid w:val="00493AE5"/>
    <w:rsid w:val="00493CCE"/>
    <w:rsid w:val="00493CEB"/>
    <w:rsid w:val="00493E5A"/>
    <w:rsid w:val="00494207"/>
    <w:rsid w:val="004943B4"/>
    <w:rsid w:val="004947A6"/>
    <w:rsid w:val="004947B9"/>
    <w:rsid w:val="00494C90"/>
    <w:rsid w:val="00494DD5"/>
    <w:rsid w:val="00495005"/>
    <w:rsid w:val="0049522A"/>
    <w:rsid w:val="0049577D"/>
    <w:rsid w:val="00495B6C"/>
    <w:rsid w:val="00495CB3"/>
    <w:rsid w:val="00495D0E"/>
    <w:rsid w:val="004962D2"/>
    <w:rsid w:val="0049630F"/>
    <w:rsid w:val="00496689"/>
    <w:rsid w:val="004967F3"/>
    <w:rsid w:val="004968FD"/>
    <w:rsid w:val="00496AFA"/>
    <w:rsid w:val="00496CFC"/>
    <w:rsid w:val="004971C7"/>
    <w:rsid w:val="00497309"/>
    <w:rsid w:val="004979C3"/>
    <w:rsid w:val="004979EE"/>
    <w:rsid w:val="00497DB6"/>
    <w:rsid w:val="00497E1F"/>
    <w:rsid w:val="00497EA8"/>
    <w:rsid w:val="004A0484"/>
    <w:rsid w:val="004A0BFA"/>
    <w:rsid w:val="004A0C16"/>
    <w:rsid w:val="004A0DA1"/>
    <w:rsid w:val="004A0E25"/>
    <w:rsid w:val="004A120F"/>
    <w:rsid w:val="004A13D6"/>
    <w:rsid w:val="004A18B2"/>
    <w:rsid w:val="004A2403"/>
    <w:rsid w:val="004A27CC"/>
    <w:rsid w:val="004A2A7C"/>
    <w:rsid w:val="004A2C2C"/>
    <w:rsid w:val="004A2D27"/>
    <w:rsid w:val="004A2D4C"/>
    <w:rsid w:val="004A368D"/>
    <w:rsid w:val="004A375E"/>
    <w:rsid w:val="004A39A4"/>
    <w:rsid w:val="004A3B8D"/>
    <w:rsid w:val="004A3BA2"/>
    <w:rsid w:val="004A3ED6"/>
    <w:rsid w:val="004A4076"/>
    <w:rsid w:val="004A40DA"/>
    <w:rsid w:val="004A451E"/>
    <w:rsid w:val="004A4728"/>
    <w:rsid w:val="004A476E"/>
    <w:rsid w:val="004A49FA"/>
    <w:rsid w:val="004A4D51"/>
    <w:rsid w:val="004A4D5A"/>
    <w:rsid w:val="004A4ECE"/>
    <w:rsid w:val="004A5144"/>
    <w:rsid w:val="004A52E9"/>
    <w:rsid w:val="004A5513"/>
    <w:rsid w:val="004A5575"/>
    <w:rsid w:val="004A5D9B"/>
    <w:rsid w:val="004A5E06"/>
    <w:rsid w:val="004A6040"/>
    <w:rsid w:val="004A6055"/>
    <w:rsid w:val="004A6276"/>
    <w:rsid w:val="004A6301"/>
    <w:rsid w:val="004A633A"/>
    <w:rsid w:val="004A6395"/>
    <w:rsid w:val="004A6597"/>
    <w:rsid w:val="004A6598"/>
    <w:rsid w:val="004A67A5"/>
    <w:rsid w:val="004A691D"/>
    <w:rsid w:val="004A6B07"/>
    <w:rsid w:val="004A6B66"/>
    <w:rsid w:val="004A6C44"/>
    <w:rsid w:val="004A6CDA"/>
    <w:rsid w:val="004A70DB"/>
    <w:rsid w:val="004A7350"/>
    <w:rsid w:val="004A74B8"/>
    <w:rsid w:val="004A7848"/>
    <w:rsid w:val="004A793B"/>
    <w:rsid w:val="004A7957"/>
    <w:rsid w:val="004A7A2C"/>
    <w:rsid w:val="004A7BF6"/>
    <w:rsid w:val="004A7C74"/>
    <w:rsid w:val="004A7CE8"/>
    <w:rsid w:val="004A7D77"/>
    <w:rsid w:val="004B056B"/>
    <w:rsid w:val="004B07CA"/>
    <w:rsid w:val="004B0C0A"/>
    <w:rsid w:val="004B10B6"/>
    <w:rsid w:val="004B170E"/>
    <w:rsid w:val="004B1CB4"/>
    <w:rsid w:val="004B1DC9"/>
    <w:rsid w:val="004B1DFF"/>
    <w:rsid w:val="004B20AD"/>
    <w:rsid w:val="004B27F0"/>
    <w:rsid w:val="004B286D"/>
    <w:rsid w:val="004B28D0"/>
    <w:rsid w:val="004B290F"/>
    <w:rsid w:val="004B2A16"/>
    <w:rsid w:val="004B2B1B"/>
    <w:rsid w:val="004B2F18"/>
    <w:rsid w:val="004B2FC4"/>
    <w:rsid w:val="004B3483"/>
    <w:rsid w:val="004B36CF"/>
    <w:rsid w:val="004B370F"/>
    <w:rsid w:val="004B380A"/>
    <w:rsid w:val="004B3933"/>
    <w:rsid w:val="004B3B7B"/>
    <w:rsid w:val="004B3C82"/>
    <w:rsid w:val="004B3DDB"/>
    <w:rsid w:val="004B3E40"/>
    <w:rsid w:val="004B3EFC"/>
    <w:rsid w:val="004B3FEC"/>
    <w:rsid w:val="004B44FD"/>
    <w:rsid w:val="004B4A3A"/>
    <w:rsid w:val="004B4DAB"/>
    <w:rsid w:val="004B4E93"/>
    <w:rsid w:val="004B5437"/>
    <w:rsid w:val="004B556E"/>
    <w:rsid w:val="004B57A3"/>
    <w:rsid w:val="004B5983"/>
    <w:rsid w:val="004B5CFC"/>
    <w:rsid w:val="004B5E72"/>
    <w:rsid w:val="004B658B"/>
    <w:rsid w:val="004B6605"/>
    <w:rsid w:val="004B66DE"/>
    <w:rsid w:val="004B67CF"/>
    <w:rsid w:val="004B6A39"/>
    <w:rsid w:val="004B6DFC"/>
    <w:rsid w:val="004B6F0D"/>
    <w:rsid w:val="004B6F45"/>
    <w:rsid w:val="004B6F79"/>
    <w:rsid w:val="004B7652"/>
    <w:rsid w:val="004B774D"/>
    <w:rsid w:val="004B7DE7"/>
    <w:rsid w:val="004B7EF1"/>
    <w:rsid w:val="004C009D"/>
    <w:rsid w:val="004C01D9"/>
    <w:rsid w:val="004C023F"/>
    <w:rsid w:val="004C03D1"/>
    <w:rsid w:val="004C0725"/>
    <w:rsid w:val="004C0F8B"/>
    <w:rsid w:val="004C11AB"/>
    <w:rsid w:val="004C11C0"/>
    <w:rsid w:val="004C1335"/>
    <w:rsid w:val="004C1602"/>
    <w:rsid w:val="004C163F"/>
    <w:rsid w:val="004C1876"/>
    <w:rsid w:val="004C1A5E"/>
    <w:rsid w:val="004C22D7"/>
    <w:rsid w:val="004C2337"/>
    <w:rsid w:val="004C24E0"/>
    <w:rsid w:val="004C2844"/>
    <w:rsid w:val="004C2A9E"/>
    <w:rsid w:val="004C2AC2"/>
    <w:rsid w:val="004C2D08"/>
    <w:rsid w:val="004C3133"/>
    <w:rsid w:val="004C31C5"/>
    <w:rsid w:val="004C383E"/>
    <w:rsid w:val="004C3A1F"/>
    <w:rsid w:val="004C3B02"/>
    <w:rsid w:val="004C3BB0"/>
    <w:rsid w:val="004C3F21"/>
    <w:rsid w:val="004C4A57"/>
    <w:rsid w:val="004C4AED"/>
    <w:rsid w:val="004C4CEE"/>
    <w:rsid w:val="004C546D"/>
    <w:rsid w:val="004C5F3B"/>
    <w:rsid w:val="004C6056"/>
    <w:rsid w:val="004C60F2"/>
    <w:rsid w:val="004C60F7"/>
    <w:rsid w:val="004C6294"/>
    <w:rsid w:val="004C65B3"/>
    <w:rsid w:val="004C6820"/>
    <w:rsid w:val="004C6875"/>
    <w:rsid w:val="004C68D9"/>
    <w:rsid w:val="004C6AEE"/>
    <w:rsid w:val="004C6D68"/>
    <w:rsid w:val="004C7055"/>
    <w:rsid w:val="004C73C8"/>
    <w:rsid w:val="004C73FA"/>
    <w:rsid w:val="004C76DC"/>
    <w:rsid w:val="004D030E"/>
    <w:rsid w:val="004D0607"/>
    <w:rsid w:val="004D0612"/>
    <w:rsid w:val="004D075A"/>
    <w:rsid w:val="004D0BF4"/>
    <w:rsid w:val="004D0C4D"/>
    <w:rsid w:val="004D1096"/>
    <w:rsid w:val="004D10B5"/>
    <w:rsid w:val="004D1189"/>
    <w:rsid w:val="004D140F"/>
    <w:rsid w:val="004D1429"/>
    <w:rsid w:val="004D145C"/>
    <w:rsid w:val="004D18AF"/>
    <w:rsid w:val="004D1A6C"/>
    <w:rsid w:val="004D1C91"/>
    <w:rsid w:val="004D1CC9"/>
    <w:rsid w:val="004D1DB8"/>
    <w:rsid w:val="004D2283"/>
    <w:rsid w:val="004D2290"/>
    <w:rsid w:val="004D237A"/>
    <w:rsid w:val="004D24DD"/>
    <w:rsid w:val="004D2578"/>
    <w:rsid w:val="004D2621"/>
    <w:rsid w:val="004D26AE"/>
    <w:rsid w:val="004D26ED"/>
    <w:rsid w:val="004D281E"/>
    <w:rsid w:val="004D2C2D"/>
    <w:rsid w:val="004D2D77"/>
    <w:rsid w:val="004D3397"/>
    <w:rsid w:val="004D3904"/>
    <w:rsid w:val="004D3A67"/>
    <w:rsid w:val="004D3B58"/>
    <w:rsid w:val="004D3DCB"/>
    <w:rsid w:val="004D3F68"/>
    <w:rsid w:val="004D4447"/>
    <w:rsid w:val="004D4A67"/>
    <w:rsid w:val="004D4C6B"/>
    <w:rsid w:val="004D4FD8"/>
    <w:rsid w:val="004D6008"/>
    <w:rsid w:val="004D635F"/>
    <w:rsid w:val="004D6841"/>
    <w:rsid w:val="004D6994"/>
    <w:rsid w:val="004D69B5"/>
    <w:rsid w:val="004D7227"/>
    <w:rsid w:val="004D7357"/>
    <w:rsid w:val="004D7607"/>
    <w:rsid w:val="004D7A36"/>
    <w:rsid w:val="004D7B5E"/>
    <w:rsid w:val="004D7D80"/>
    <w:rsid w:val="004D7FC4"/>
    <w:rsid w:val="004E0182"/>
    <w:rsid w:val="004E02EE"/>
    <w:rsid w:val="004E0D9D"/>
    <w:rsid w:val="004E0E7F"/>
    <w:rsid w:val="004E0EB8"/>
    <w:rsid w:val="004E1082"/>
    <w:rsid w:val="004E1860"/>
    <w:rsid w:val="004E18E9"/>
    <w:rsid w:val="004E1DB2"/>
    <w:rsid w:val="004E2019"/>
    <w:rsid w:val="004E26D4"/>
    <w:rsid w:val="004E2ADC"/>
    <w:rsid w:val="004E2BB2"/>
    <w:rsid w:val="004E2F3A"/>
    <w:rsid w:val="004E3A87"/>
    <w:rsid w:val="004E3B0F"/>
    <w:rsid w:val="004E40CC"/>
    <w:rsid w:val="004E43B2"/>
    <w:rsid w:val="004E43CD"/>
    <w:rsid w:val="004E43E6"/>
    <w:rsid w:val="004E4CC5"/>
    <w:rsid w:val="004E4DF0"/>
    <w:rsid w:val="004E4E86"/>
    <w:rsid w:val="004E4F1E"/>
    <w:rsid w:val="004E5221"/>
    <w:rsid w:val="004E53DD"/>
    <w:rsid w:val="004E54D0"/>
    <w:rsid w:val="004E553E"/>
    <w:rsid w:val="004E586F"/>
    <w:rsid w:val="004E595B"/>
    <w:rsid w:val="004E5C2B"/>
    <w:rsid w:val="004E5CEF"/>
    <w:rsid w:val="004E5D9E"/>
    <w:rsid w:val="004E5E00"/>
    <w:rsid w:val="004E5E0D"/>
    <w:rsid w:val="004E5F4A"/>
    <w:rsid w:val="004E5FB1"/>
    <w:rsid w:val="004E65A1"/>
    <w:rsid w:val="004E65B5"/>
    <w:rsid w:val="004E69EA"/>
    <w:rsid w:val="004E70BF"/>
    <w:rsid w:val="004E71BD"/>
    <w:rsid w:val="004E72AC"/>
    <w:rsid w:val="004E74CA"/>
    <w:rsid w:val="004E755E"/>
    <w:rsid w:val="004E75F3"/>
    <w:rsid w:val="004E7B32"/>
    <w:rsid w:val="004F00BE"/>
    <w:rsid w:val="004F016A"/>
    <w:rsid w:val="004F073A"/>
    <w:rsid w:val="004F073D"/>
    <w:rsid w:val="004F0B0C"/>
    <w:rsid w:val="004F0DC8"/>
    <w:rsid w:val="004F0E5C"/>
    <w:rsid w:val="004F0FA5"/>
    <w:rsid w:val="004F1920"/>
    <w:rsid w:val="004F1BA6"/>
    <w:rsid w:val="004F1D02"/>
    <w:rsid w:val="004F22E6"/>
    <w:rsid w:val="004F238F"/>
    <w:rsid w:val="004F257E"/>
    <w:rsid w:val="004F2679"/>
    <w:rsid w:val="004F274C"/>
    <w:rsid w:val="004F27D7"/>
    <w:rsid w:val="004F27DF"/>
    <w:rsid w:val="004F2807"/>
    <w:rsid w:val="004F2C86"/>
    <w:rsid w:val="004F2DAD"/>
    <w:rsid w:val="004F2E47"/>
    <w:rsid w:val="004F2F21"/>
    <w:rsid w:val="004F304E"/>
    <w:rsid w:val="004F3334"/>
    <w:rsid w:val="004F359D"/>
    <w:rsid w:val="004F36F7"/>
    <w:rsid w:val="004F37F1"/>
    <w:rsid w:val="004F3DE5"/>
    <w:rsid w:val="004F4333"/>
    <w:rsid w:val="004F4586"/>
    <w:rsid w:val="004F47D5"/>
    <w:rsid w:val="004F4951"/>
    <w:rsid w:val="004F49DD"/>
    <w:rsid w:val="004F4AED"/>
    <w:rsid w:val="004F517F"/>
    <w:rsid w:val="004F528B"/>
    <w:rsid w:val="004F5663"/>
    <w:rsid w:val="004F5B8F"/>
    <w:rsid w:val="004F5C9B"/>
    <w:rsid w:val="004F5D48"/>
    <w:rsid w:val="004F649C"/>
    <w:rsid w:val="004F66D9"/>
    <w:rsid w:val="004F6913"/>
    <w:rsid w:val="004F692E"/>
    <w:rsid w:val="004F6B73"/>
    <w:rsid w:val="004F6BC0"/>
    <w:rsid w:val="004F6D2C"/>
    <w:rsid w:val="004F7043"/>
    <w:rsid w:val="004F70D2"/>
    <w:rsid w:val="004F752D"/>
    <w:rsid w:val="004F763B"/>
    <w:rsid w:val="004F7647"/>
    <w:rsid w:val="004F7865"/>
    <w:rsid w:val="004F7A7A"/>
    <w:rsid w:val="00500194"/>
    <w:rsid w:val="0050022D"/>
    <w:rsid w:val="005007F7"/>
    <w:rsid w:val="0050174E"/>
    <w:rsid w:val="00501854"/>
    <w:rsid w:val="0050195B"/>
    <w:rsid w:val="00502061"/>
    <w:rsid w:val="0050219B"/>
    <w:rsid w:val="005028B6"/>
    <w:rsid w:val="00502BDB"/>
    <w:rsid w:val="00502CD1"/>
    <w:rsid w:val="0050315A"/>
    <w:rsid w:val="00503857"/>
    <w:rsid w:val="005039C9"/>
    <w:rsid w:val="00503C86"/>
    <w:rsid w:val="00503D98"/>
    <w:rsid w:val="00503F17"/>
    <w:rsid w:val="00503F3A"/>
    <w:rsid w:val="005041E2"/>
    <w:rsid w:val="0050431A"/>
    <w:rsid w:val="005043EE"/>
    <w:rsid w:val="005049D2"/>
    <w:rsid w:val="00505837"/>
    <w:rsid w:val="005058B2"/>
    <w:rsid w:val="00505B56"/>
    <w:rsid w:val="00505DF1"/>
    <w:rsid w:val="00505EB0"/>
    <w:rsid w:val="00506078"/>
    <w:rsid w:val="00506115"/>
    <w:rsid w:val="00506124"/>
    <w:rsid w:val="0050612D"/>
    <w:rsid w:val="00506294"/>
    <w:rsid w:val="00506928"/>
    <w:rsid w:val="00506A82"/>
    <w:rsid w:val="005075E0"/>
    <w:rsid w:val="005077EF"/>
    <w:rsid w:val="00507A84"/>
    <w:rsid w:val="00507B9A"/>
    <w:rsid w:val="0051028A"/>
    <w:rsid w:val="00510941"/>
    <w:rsid w:val="00510AFE"/>
    <w:rsid w:val="005111F0"/>
    <w:rsid w:val="005113E9"/>
    <w:rsid w:val="0051194B"/>
    <w:rsid w:val="00511AD5"/>
    <w:rsid w:val="00511DC7"/>
    <w:rsid w:val="005121E5"/>
    <w:rsid w:val="005122A6"/>
    <w:rsid w:val="00512A00"/>
    <w:rsid w:val="00512AE0"/>
    <w:rsid w:val="00512B62"/>
    <w:rsid w:val="00512CE3"/>
    <w:rsid w:val="00513198"/>
    <w:rsid w:val="0051374C"/>
    <w:rsid w:val="00513753"/>
    <w:rsid w:val="005139E4"/>
    <w:rsid w:val="00513BEB"/>
    <w:rsid w:val="00513C69"/>
    <w:rsid w:val="00514003"/>
    <w:rsid w:val="005142C5"/>
    <w:rsid w:val="0051459E"/>
    <w:rsid w:val="00514789"/>
    <w:rsid w:val="00514CCF"/>
    <w:rsid w:val="00514E22"/>
    <w:rsid w:val="0051501B"/>
    <w:rsid w:val="005150A4"/>
    <w:rsid w:val="005152B5"/>
    <w:rsid w:val="00515886"/>
    <w:rsid w:val="005158D5"/>
    <w:rsid w:val="0051597E"/>
    <w:rsid w:val="00515E35"/>
    <w:rsid w:val="00515E62"/>
    <w:rsid w:val="00515ED2"/>
    <w:rsid w:val="00516139"/>
    <w:rsid w:val="00516583"/>
    <w:rsid w:val="005166CE"/>
    <w:rsid w:val="00517689"/>
    <w:rsid w:val="00517C4B"/>
    <w:rsid w:val="005209B6"/>
    <w:rsid w:val="00520A9B"/>
    <w:rsid w:val="0052123C"/>
    <w:rsid w:val="00521319"/>
    <w:rsid w:val="00521387"/>
    <w:rsid w:val="005214AC"/>
    <w:rsid w:val="00521AF3"/>
    <w:rsid w:val="00521EEE"/>
    <w:rsid w:val="00521F19"/>
    <w:rsid w:val="00522098"/>
    <w:rsid w:val="00522172"/>
    <w:rsid w:val="005222D9"/>
    <w:rsid w:val="0052235A"/>
    <w:rsid w:val="005223AC"/>
    <w:rsid w:val="0052273F"/>
    <w:rsid w:val="00522BC8"/>
    <w:rsid w:val="00523164"/>
    <w:rsid w:val="005237BF"/>
    <w:rsid w:val="00523C28"/>
    <w:rsid w:val="005241A8"/>
    <w:rsid w:val="005241BE"/>
    <w:rsid w:val="00524959"/>
    <w:rsid w:val="00525293"/>
    <w:rsid w:val="00525779"/>
    <w:rsid w:val="005258C4"/>
    <w:rsid w:val="00525AD6"/>
    <w:rsid w:val="00525BB9"/>
    <w:rsid w:val="00525E83"/>
    <w:rsid w:val="005263A1"/>
    <w:rsid w:val="00526C3D"/>
    <w:rsid w:val="00526EFE"/>
    <w:rsid w:val="00526FE9"/>
    <w:rsid w:val="00527201"/>
    <w:rsid w:val="00527245"/>
    <w:rsid w:val="00527292"/>
    <w:rsid w:val="005273AA"/>
    <w:rsid w:val="005276EC"/>
    <w:rsid w:val="005279B1"/>
    <w:rsid w:val="00527D02"/>
    <w:rsid w:val="00530020"/>
    <w:rsid w:val="00530219"/>
    <w:rsid w:val="00530769"/>
    <w:rsid w:val="00530C90"/>
    <w:rsid w:val="00531243"/>
    <w:rsid w:val="005314D2"/>
    <w:rsid w:val="00531642"/>
    <w:rsid w:val="0053176B"/>
    <w:rsid w:val="005317B1"/>
    <w:rsid w:val="00531814"/>
    <w:rsid w:val="00531C33"/>
    <w:rsid w:val="00531FB0"/>
    <w:rsid w:val="005320A0"/>
    <w:rsid w:val="00532335"/>
    <w:rsid w:val="00532668"/>
    <w:rsid w:val="00532CDD"/>
    <w:rsid w:val="00532DA2"/>
    <w:rsid w:val="00533177"/>
    <w:rsid w:val="00533582"/>
    <w:rsid w:val="0053367C"/>
    <w:rsid w:val="005338D4"/>
    <w:rsid w:val="005339FA"/>
    <w:rsid w:val="00533F4C"/>
    <w:rsid w:val="005341B3"/>
    <w:rsid w:val="0053433C"/>
    <w:rsid w:val="0053466C"/>
    <w:rsid w:val="005347AC"/>
    <w:rsid w:val="00534FC3"/>
    <w:rsid w:val="005350D6"/>
    <w:rsid w:val="005351DD"/>
    <w:rsid w:val="005353B3"/>
    <w:rsid w:val="005356B2"/>
    <w:rsid w:val="005358CD"/>
    <w:rsid w:val="005359D1"/>
    <w:rsid w:val="00535C3E"/>
    <w:rsid w:val="005365CE"/>
    <w:rsid w:val="005369E9"/>
    <w:rsid w:val="00536F42"/>
    <w:rsid w:val="00537182"/>
    <w:rsid w:val="0053723B"/>
    <w:rsid w:val="005376F8"/>
    <w:rsid w:val="005378B5"/>
    <w:rsid w:val="005378EC"/>
    <w:rsid w:val="00537DF0"/>
    <w:rsid w:val="005401CD"/>
    <w:rsid w:val="005402A3"/>
    <w:rsid w:val="005404B1"/>
    <w:rsid w:val="005404B9"/>
    <w:rsid w:val="005404F1"/>
    <w:rsid w:val="005409EC"/>
    <w:rsid w:val="00540BD4"/>
    <w:rsid w:val="00540CBD"/>
    <w:rsid w:val="00541395"/>
    <w:rsid w:val="005413B7"/>
    <w:rsid w:val="005417CE"/>
    <w:rsid w:val="00541EDD"/>
    <w:rsid w:val="0054210D"/>
    <w:rsid w:val="00542743"/>
    <w:rsid w:val="0054287E"/>
    <w:rsid w:val="005429F0"/>
    <w:rsid w:val="00542C2D"/>
    <w:rsid w:val="00543064"/>
    <w:rsid w:val="00543604"/>
    <w:rsid w:val="00543935"/>
    <w:rsid w:val="00543A69"/>
    <w:rsid w:val="00543B7E"/>
    <w:rsid w:val="00543C32"/>
    <w:rsid w:val="00543CB2"/>
    <w:rsid w:val="0054455F"/>
    <w:rsid w:val="005446D4"/>
    <w:rsid w:val="00544D38"/>
    <w:rsid w:val="00544E37"/>
    <w:rsid w:val="005450DC"/>
    <w:rsid w:val="005452F9"/>
    <w:rsid w:val="005459E2"/>
    <w:rsid w:val="00545A27"/>
    <w:rsid w:val="00545A6D"/>
    <w:rsid w:val="00545B2A"/>
    <w:rsid w:val="00545F52"/>
    <w:rsid w:val="005462E1"/>
    <w:rsid w:val="00546330"/>
    <w:rsid w:val="005464DF"/>
    <w:rsid w:val="005466D2"/>
    <w:rsid w:val="005467CB"/>
    <w:rsid w:val="00546B1C"/>
    <w:rsid w:val="00546B66"/>
    <w:rsid w:val="005471EB"/>
    <w:rsid w:val="005471F2"/>
    <w:rsid w:val="00547337"/>
    <w:rsid w:val="00547415"/>
    <w:rsid w:val="005478BD"/>
    <w:rsid w:val="005479E3"/>
    <w:rsid w:val="00547BB1"/>
    <w:rsid w:val="00550174"/>
    <w:rsid w:val="00550F39"/>
    <w:rsid w:val="00550FF7"/>
    <w:rsid w:val="00551448"/>
    <w:rsid w:val="00551455"/>
    <w:rsid w:val="0055168C"/>
    <w:rsid w:val="00551985"/>
    <w:rsid w:val="00551A5C"/>
    <w:rsid w:val="00551DEE"/>
    <w:rsid w:val="00551E09"/>
    <w:rsid w:val="00552337"/>
    <w:rsid w:val="00552803"/>
    <w:rsid w:val="005528FC"/>
    <w:rsid w:val="00552903"/>
    <w:rsid w:val="00552BBF"/>
    <w:rsid w:val="00552BD3"/>
    <w:rsid w:val="00552DDD"/>
    <w:rsid w:val="00552FDB"/>
    <w:rsid w:val="00553121"/>
    <w:rsid w:val="005531C0"/>
    <w:rsid w:val="005532A0"/>
    <w:rsid w:val="005537B7"/>
    <w:rsid w:val="005538D6"/>
    <w:rsid w:val="00553973"/>
    <w:rsid w:val="00553F56"/>
    <w:rsid w:val="0055433D"/>
    <w:rsid w:val="005543CE"/>
    <w:rsid w:val="005543FB"/>
    <w:rsid w:val="00554888"/>
    <w:rsid w:val="005548A6"/>
    <w:rsid w:val="00554B58"/>
    <w:rsid w:val="00554D00"/>
    <w:rsid w:val="00555109"/>
    <w:rsid w:val="00555228"/>
    <w:rsid w:val="005552BC"/>
    <w:rsid w:val="00555417"/>
    <w:rsid w:val="005554D7"/>
    <w:rsid w:val="00555759"/>
    <w:rsid w:val="00555BD7"/>
    <w:rsid w:val="00555C49"/>
    <w:rsid w:val="00555D72"/>
    <w:rsid w:val="00555DF9"/>
    <w:rsid w:val="00555E68"/>
    <w:rsid w:val="00555F08"/>
    <w:rsid w:val="0055607F"/>
    <w:rsid w:val="00556135"/>
    <w:rsid w:val="0055619D"/>
    <w:rsid w:val="005569A3"/>
    <w:rsid w:val="00556B29"/>
    <w:rsid w:val="00556B35"/>
    <w:rsid w:val="00556BDF"/>
    <w:rsid w:val="00556F8A"/>
    <w:rsid w:val="0055741A"/>
    <w:rsid w:val="0055775C"/>
    <w:rsid w:val="00557C40"/>
    <w:rsid w:val="00557C50"/>
    <w:rsid w:val="00557CCB"/>
    <w:rsid w:val="00557F98"/>
    <w:rsid w:val="0056043E"/>
    <w:rsid w:val="00560596"/>
    <w:rsid w:val="005605F1"/>
    <w:rsid w:val="0056075F"/>
    <w:rsid w:val="00560ABE"/>
    <w:rsid w:val="00560CD9"/>
    <w:rsid w:val="00561015"/>
    <w:rsid w:val="0056108B"/>
    <w:rsid w:val="005611B7"/>
    <w:rsid w:val="005612B4"/>
    <w:rsid w:val="005617D8"/>
    <w:rsid w:val="005618D4"/>
    <w:rsid w:val="005618EA"/>
    <w:rsid w:val="00561A48"/>
    <w:rsid w:val="00561E79"/>
    <w:rsid w:val="00561F2C"/>
    <w:rsid w:val="005621B9"/>
    <w:rsid w:val="0056284B"/>
    <w:rsid w:val="00562DEA"/>
    <w:rsid w:val="0056308B"/>
    <w:rsid w:val="005632BB"/>
    <w:rsid w:val="00563488"/>
    <w:rsid w:val="00563557"/>
    <w:rsid w:val="00563685"/>
    <w:rsid w:val="00563CD6"/>
    <w:rsid w:val="00563D6E"/>
    <w:rsid w:val="00564070"/>
    <w:rsid w:val="005640F4"/>
    <w:rsid w:val="0056422E"/>
    <w:rsid w:val="005644B8"/>
    <w:rsid w:val="00564781"/>
    <w:rsid w:val="00564867"/>
    <w:rsid w:val="00564965"/>
    <w:rsid w:val="00564A29"/>
    <w:rsid w:val="00564B31"/>
    <w:rsid w:val="00564C42"/>
    <w:rsid w:val="00564DDB"/>
    <w:rsid w:val="00565288"/>
    <w:rsid w:val="00565AE7"/>
    <w:rsid w:val="00565C79"/>
    <w:rsid w:val="00565DF0"/>
    <w:rsid w:val="00565EBB"/>
    <w:rsid w:val="00565ED7"/>
    <w:rsid w:val="005661E1"/>
    <w:rsid w:val="005665E3"/>
    <w:rsid w:val="0056696F"/>
    <w:rsid w:val="00566FCA"/>
    <w:rsid w:val="00567332"/>
    <w:rsid w:val="0056737F"/>
    <w:rsid w:val="0056767E"/>
    <w:rsid w:val="005679D1"/>
    <w:rsid w:val="00567AEE"/>
    <w:rsid w:val="00567B27"/>
    <w:rsid w:val="00567F93"/>
    <w:rsid w:val="005703B3"/>
    <w:rsid w:val="005703E7"/>
    <w:rsid w:val="005704AC"/>
    <w:rsid w:val="00570D1F"/>
    <w:rsid w:val="00570E94"/>
    <w:rsid w:val="005713C7"/>
    <w:rsid w:val="00571500"/>
    <w:rsid w:val="00571818"/>
    <w:rsid w:val="005720B3"/>
    <w:rsid w:val="00572269"/>
    <w:rsid w:val="0057244A"/>
    <w:rsid w:val="005729C8"/>
    <w:rsid w:val="00572B81"/>
    <w:rsid w:val="00572F26"/>
    <w:rsid w:val="005731E2"/>
    <w:rsid w:val="005736D4"/>
    <w:rsid w:val="00573A7C"/>
    <w:rsid w:val="00573C0D"/>
    <w:rsid w:val="00573F10"/>
    <w:rsid w:val="005743BA"/>
    <w:rsid w:val="005744B7"/>
    <w:rsid w:val="0057475F"/>
    <w:rsid w:val="00574DD1"/>
    <w:rsid w:val="00574EFF"/>
    <w:rsid w:val="00574FFB"/>
    <w:rsid w:val="0057506F"/>
    <w:rsid w:val="005750C5"/>
    <w:rsid w:val="0057513E"/>
    <w:rsid w:val="005752DE"/>
    <w:rsid w:val="0057543A"/>
    <w:rsid w:val="00575575"/>
    <w:rsid w:val="005758A2"/>
    <w:rsid w:val="00575C25"/>
    <w:rsid w:val="00575D60"/>
    <w:rsid w:val="00575D8D"/>
    <w:rsid w:val="00576027"/>
    <w:rsid w:val="00576337"/>
    <w:rsid w:val="005763CC"/>
    <w:rsid w:val="005765E5"/>
    <w:rsid w:val="00576804"/>
    <w:rsid w:val="00576972"/>
    <w:rsid w:val="00576A38"/>
    <w:rsid w:val="00576A4F"/>
    <w:rsid w:val="00576BB3"/>
    <w:rsid w:val="00576C6F"/>
    <w:rsid w:val="00577248"/>
    <w:rsid w:val="00577478"/>
    <w:rsid w:val="00577480"/>
    <w:rsid w:val="00577CBD"/>
    <w:rsid w:val="00577D31"/>
    <w:rsid w:val="00577E33"/>
    <w:rsid w:val="00577E6D"/>
    <w:rsid w:val="0058058B"/>
    <w:rsid w:val="005816B7"/>
    <w:rsid w:val="005816EF"/>
    <w:rsid w:val="00581B64"/>
    <w:rsid w:val="00581CDA"/>
    <w:rsid w:val="00581EA3"/>
    <w:rsid w:val="0058278A"/>
    <w:rsid w:val="00582AEE"/>
    <w:rsid w:val="00582B99"/>
    <w:rsid w:val="00582BF1"/>
    <w:rsid w:val="00582D9F"/>
    <w:rsid w:val="00582DC7"/>
    <w:rsid w:val="005833BA"/>
    <w:rsid w:val="005835A9"/>
    <w:rsid w:val="00583699"/>
    <w:rsid w:val="00583DBC"/>
    <w:rsid w:val="00583EB2"/>
    <w:rsid w:val="005846BC"/>
    <w:rsid w:val="00584883"/>
    <w:rsid w:val="005849C1"/>
    <w:rsid w:val="00584A99"/>
    <w:rsid w:val="00584C4A"/>
    <w:rsid w:val="00584E03"/>
    <w:rsid w:val="00584F06"/>
    <w:rsid w:val="0058504F"/>
    <w:rsid w:val="005852B1"/>
    <w:rsid w:val="0058546C"/>
    <w:rsid w:val="00585670"/>
    <w:rsid w:val="0058573A"/>
    <w:rsid w:val="005858AD"/>
    <w:rsid w:val="00585909"/>
    <w:rsid w:val="00585983"/>
    <w:rsid w:val="00585CDD"/>
    <w:rsid w:val="00585F6A"/>
    <w:rsid w:val="005860AF"/>
    <w:rsid w:val="005864F0"/>
    <w:rsid w:val="0058655F"/>
    <w:rsid w:val="005866BE"/>
    <w:rsid w:val="0058673B"/>
    <w:rsid w:val="005867BB"/>
    <w:rsid w:val="005867CD"/>
    <w:rsid w:val="00586831"/>
    <w:rsid w:val="00586863"/>
    <w:rsid w:val="00586C21"/>
    <w:rsid w:val="00587058"/>
    <w:rsid w:val="0058757D"/>
    <w:rsid w:val="00587712"/>
    <w:rsid w:val="00587944"/>
    <w:rsid w:val="00587D13"/>
    <w:rsid w:val="00587ED4"/>
    <w:rsid w:val="0059009D"/>
    <w:rsid w:val="00590452"/>
    <w:rsid w:val="00590701"/>
    <w:rsid w:val="00590799"/>
    <w:rsid w:val="005912A5"/>
    <w:rsid w:val="005914E0"/>
    <w:rsid w:val="005916D9"/>
    <w:rsid w:val="00591957"/>
    <w:rsid w:val="00592384"/>
    <w:rsid w:val="00592704"/>
    <w:rsid w:val="005927F1"/>
    <w:rsid w:val="00592B89"/>
    <w:rsid w:val="00592BD7"/>
    <w:rsid w:val="00592C02"/>
    <w:rsid w:val="00593093"/>
    <w:rsid w:val="00593526"/>
    <w:rsid w:val="00593721"/>
    <w:rsid w:val="00593BAE"/>
    <w:rsid w:val="0059416A"/>
    <w:rsid w:val="00594B09"/>
    <w:rsid w:val="005955CB"/>
    <w:rsid w:val="00595653"/>
    <w:rsid w:val="0059569A"/>
    <w:rsid w:val="005956EB"/>
    <w:rsid w:val="005956FE"/>
    <w:rsid w:val="00595DB1"/>
    <w:rsid w:val="00596983"/>
    <w:rsid w:val="005970B6"/>
    <w:rsid w:val="005971E7"/>
    <w:rsid w:val="0059749A"/>
    <w:rsid w:val="005975C4"/>
    <w:rsid w:val="00597B25"/>
    <w:rsid w:val="00597BF9"/>
    <w:rsid w:val="00597E86"/>
    <w:rsid w:val="005A0250"/>
    <w:rsid w:val="005A0802"/>
    <w:rsid w:val="005A09F1"/>
    <w:rsid w:val="005A0C11"/>
    <w:rsid w:val="005A0ED5"/>
    <w:rsid w:val="005A16E3"/>
    <w:rsid w:val="005A1F87"/>
    <w:rsid w:val="005A25FC"/>
    <w:rsid w:val="005A2B53"/>
    <w:rsid w:val="005A2C65"/>
    <w:rsid w:val="005A309A"/>
    <w:rsid w:val="005A30C1"/>
    <w:rsid w:val="005A30F4"/>
    <w:rsid w:val="005A34EB"/>
    <w:rsid w:val="005A34FC"/>
    <w:rsid w:val="005A373D"/>
    <w:rsid w:val="005A38E8"/>
    <w:rsid w:val="005A3A9D"/>
    <w:rsid w:val="005A3B09"/>
    <w:rsid w:val="005A3B76"/>
    <w:rsid w:val="005A3BF6"/>
    <w:rsid w:val="005A3C2E"/>
    <w:rsid w:val="005A3D39"/>
    <w:rsid w:val="005A3DD8"/>
    <w:rsid w:val="005A40C2"/>
    <w:rsid w:val="005A42B3"/>
    <w:rsid w:val="005A4307"/>
    <w:rsid w:val="005A43FD"/>
    <w:rsid w:val="005A4A8B"/>
    <w:rsid w:val="005A5709"/>
    <w:rsid w:val="005A5C6D"/>
    <w:rsid w:val="005A6036"/>
    <w:rsid w:val="005A65ED"/>
    <w:rsid w:val="005A662A"/>
    <w:rsid w:val="005A6837"/>
    <w:rsid w:val="005A6B06"/>
    <w:rsid w:val="005A6BC0"/>
    <w:rsid w:val="005A6C3A"/>
    <w:rsid w:val="005A6DF2"/>
    <w:rsid w:val="005A6E86"/>
    <w:rsid w:val="005A704A"/>
    <w:rsid w:val="005A73BB"/>
    <w:rsid w:val="005A777F"/>
    <w:rsid w:val="005A7A0B"/>
    <w:rsid w:val="005A7B0A"/>
    <w:rsid w:val="005A7DE4"/>
    <w:rsid w:val="005A7E9B"/>
    <w:rsid w:val="005A7F6E"/>
    <w:rsid w:val="005A7F94"/>
    <w:rsid w:val="005B045A"/>
    <w:rsid w:val="005B06E4"/>
    <w:rsid w:val="005B0AE6"/>
    <w:rsid w:val="005B0B58"/>
    <w:rsid w:val="005B0C2F"/>
    <w:rsid w:val="005B0C98"/>
    <w:rsid w:val="005B0D79"/>
    <w:rsid w:val="005B0FCE"/>
    <w:rsid w:val="005B124D"/>
    <w:rsid w:val="005B1456"/>
    <w:rsid w:val="005B1F6B"/>
    <w:rsid w:val="005B1FC4"/>
    <w:rsid w:val="005B27FD"/>
    <w:rsid w:val="005B2AA0"/>
    <w:rsid w:val="005B2D20"/>
    <w:rsid w:val="005B2F8A"/>
    <w:rsid w:val="005B2F97"/>
    <w:rsid w:val="005B3147"/>
    <w:rsid w:val="005B3580"/>
    <w:rsid w:val="005B380B"/>
    <w:rsid w:val="005B3DB8"/>
    <w:rsid w:val="005B3E01"/>
    <w:rsid w:val="005B3E32"/>
    <w:rsid w:val="005B3F02"/>
    <w:rsid w:val="005B4092"/>
    <w:rsid w:val="005B4895"/>
    <w:rsid w:val="005B48B2"/>
    <w:rsid w:val="005B48EF"/>
    <w:rsid w:val="005B4AC8"/>
    <w:rsid w:val="005B4E53"/>
    <w:rsid w:val="005B501B"/>
    <w:rsid w:val="005B514E"/>
    <w:rsid w:val="005B5351"/>
    <w:rsid w:val="005B5362"/>
    <w:rsid w:val="005B5857"/>
    <w:rsid w:val="005B5D5E"/>
    <w:rsid w:val="005B5FB7"/>
    <w:rsid w:val="005B69C4"/>
    <w:rsid w:val="005B6DF4"/>
    <w:rsid w:val="005B719E"/>
    <w:rsid w:val="005B7216"/>
    <w:rsid w:val="005B77E6"/>
    <w:rsid w:val="005B7D98"/>
    <w:rsid w:val="005C001F"/>
    <w:rsid w:val="005C05AC"/>
    <w:rsid w:val="005C0A06"/>
    <w:rsid w:val="005C0B64"/>
    <w:rsid w:val="005C0F6C"/>
    <w:rsid w:val="005C0FE1"/>
    <w:rsid w:val="005C100B"/>
    <w:rsid w:val="005C1415"/>
    <w:rsid w:val="005C19C4"/>
    <w:rsid w:val="005C1A58"/>
    <w:rsid w:val="005C1B7F"/>
    <w:rsid w:val="005C1B83"/>
    <w:rsid w:val="005C1BA7"/>
    <w:rsid w:val="005C20C6"/>
    <w:rsid w:val="005C2333"/>
    <w:rsid w:val="005C2337"/>
    <w:rsid w:val="005C25FF"/>
    <w:rsid w:val="005C26E8"/>
    <w:rsid w:val="005C272E"/>
    <w:rsid w:val="005C280A"/>
    <w:rsid w:val="005C2945"/>
    <w:rsid w:val="005C29BE"/>
    <w:rsid w:val="005C2D55"/>
    <w:rsid w:val="005C2FCF"/>
    <w:rsid w:val="005C3388"/>
    <w:rsid w:val="005C339B"/>
    <w:rsid w:val="005C346B"/>
    <w:rsid w:val="005C3540"/>
    <w:rsid w:val="005C39E6"/>
    <w:rsid w:val="005C3E43"/>
    <w:rsid w:val="005C3F2D"/>
    <w:rsid w:val="005C3F6E"/>
    <w:rsid w:val="005C3FD2"/>
    <w:rsid w:val="005C4215"/>
    <w:rsid w:val="005C497A"/>
    <w:rsid w:val="005C4C1E"/>
    <w:rsid w:val="005C4E73"/>
    <w:rsid w:val="005C4F36"/>
    <w:rsid w:val="005C52E2"/>
    <w:rsid w:val="005C5311"/>
    <w:rsid w:val="005C55CA"/>
    <w:rsid w:val="005C58FC"/>
    <w:rsid w:val="005C5ABC"/>
    <w:rsid w:val="005C601C"/>
    <w:rsid w:val="005C6603"/>
    <w:rsid w:val="005C68A5"/>
    <w:rsid w:val="005C703D"/>
    <w:rsid w:val="005C712B"/>
    <w:rsid w:val="005C7268"/>
    <w:rsid w:val="005C73F6"/>
    <w:rsid w:val="005C74F8"/>
    <w:rsid w:val="005C7569"/>
    <w:rsid w:val="005C7576"/>
    <w:rsid w:val="005C75DA"/>
    <w:rsid w:val="005C788C"/>
    <w:rsid w:val="005C7CF1"/>
    <w:rsid w:val="005D00B0"/>
    <w:rsid w:val="005D0286"/>
    <w:rsid w:val="005D02D4"/>
    <w:rsid w:val="005D044D"/>
    <w:rsid w:val="005D088A"/>
    <w:rsid w:val="005D0ABD"/>
    <w:rsid w:val="005D0C87"/>
    <w:rsid w:val="005D0CCB"/>
    <w:rsid w:val="005D11B0"/>
    <w:rsid w:val="005D17E8"/>
    <w:rsid w:val="005D18AD"/>
    <w:rsid w:val="005D1A12"/>
    <w:rsid w:val="005D1AB5"/>
    <w:rsid w:val="005D1D09"/>
    <w:rsid w:val="005D21CD"/>
    <w:rsid w:val="005D235B"/>
    <w:rsid w:val="005D238D"/>
    <w:rsid w:val="005D26B4"/>
    <w:rsid w:val="005D26D4"/>
    <w:rsid w:val="005D26DC"/>
    <w:rsid w:val="005D2D30"/>
    <w:rsid w:val="005D2DBD"/>
    <w:rsid w:val="005D3439"/>
    <w:rsid w:val="005D3999"/>
    <w:rsid w:val="005D400A"/>
    <w:rsid w:val="005D419B"/>
    <w:rsid w:val="005D4BE8"/>
    <w:rsid w:val="005D4C85"/>
    <w:rsid w:val="005D4E8D"/>
    <w:rsid w:val="005D5322"/>
    <w:rsid w:val="005D5628"/>
    <w:rsid w:val="005D5649"/>
    <w:rsid w:val="005D57D6"/>
    <w:rsid w:val="005D5883"/>
    <w:rsid w:val="005D597B"/>
    <w:rsid w:val="005D61E2"/>
    <w:rsid w:val="005D627F"/>
    <w:rsid w:val="005D6348"/>
    <w:rsid w:val="005D677E"/>
    <w:rsid w:val="005D71BA"/>
    <w:rsid w:val="005D72C8"/>
    <w:rsid w:val="005D75E1"/>
    <w:rsid w:val="005D76A5"/>
    <w:rsid w:val="005E012D"/>
    <w:rsid w:val="005E0798"/>
    <w:rsid w:val="005E0BA8"/>
    <w:rsid w:val="005E1173"/>
    <w:rsid w:val="005E11AF"/>
    <w:rsid w:val="005E1583"/>
    <w:rsid w:val="005E1995"/>
    <w:rsid w:val="005E1BF1"/>
    <w:rsid w:val="005E1E3F"/>
    <w:rsid w:val="005E203C"/>
    <w:rsid w:val="005E2267"/>
    <w:rsid w:val="005E23F2"/>
    <w:rsid w:val="005E26A8"/>
    <w:rsid w:val="005E2B3F"/>
    <w:rsid w:val="005E2C7C"/>
    <w:rsid w:val="005E2EC1"/>
    <w:rsid w:val="005E3475"/>
    <w:rsid w:val="005E3A81"/>
    <w:rsid w:val="005E3D65"/>
    <w:rsid w:val="005E41BD"/>
    <w:rsid w:val="005E438B"/>
    <w:rsid w:val="005E43CD"/>
    <w:rsid w:val="005E456B"/>
    <w:rsid w:val="005E521D"/>
    <w:rsid w:val="005E5570"/>
    <w:rsid w:val="005E5649"/>
    <w:rsid w:val="005E57ED"/>
    <w:rsid w:val="005E5921"/>
    <w:rsid w:val="005E5928"/>
    <w:rsid w:val="005E5929"/>
    <w:rsid w:val="005E5A01"/>
    <w:rsid w:val="005E5A24"/>
    <w:rsid w:val="005E63B1"/>
    <w:rsid w:val="005E63BB"/>
    <w:rsid w:val="005E6B7D"/>
    <w:rsid w:val="005E6CBC"/>
    <w:rsid w:val="005E6F45"/>
    <w:rsid w:val="005E72B6"/>
    <w:rsid w:val="005E72FF"/>
    <w:rsid w:val="005E73C0"/>
    <w:rsid w:val="005E782F"/>
    <w:rsid w:val="005E7B75"/>
    <w:rsid w:val="005E7DC0"/>
    <w:rsid w:val="005E7E4E"/>
    <w:rsid w:val="005F00A1"/>
    <w:rsid w:val="005F0174"/>
    <w:rsid w:val="005F06C9"/>
    <w:rsid w:val="005F06ED"/>
    <w:rsid w:val="005F075C"/>
    <w:rsid w:val="005F07ED"/>
    <w:rsid w:val="005F0C92"/>
    <w:rsid w:val="005F0F19"/>
    <w:rsid w:val="005F1131"/>
    <w:rsid w:val="005F1773"/>
    <w:rsid w:val="005F185D"/>
    <w:rsid w:val="005F1D95"/>
    <w:rsid w:val="005F206E"/>
    <w:rsid w:val="005F250B"/>
    <w:rsid w:val="005F2706"/>
    <w:rsid w:val="005F385B"/>
    <w:rsid w:val="005F3926"/>
    <w:rsid w:val="005F3A88"/>
    <w:rsid w:val="005F433B"/>
    <w:rsid w:val="005F43BF"/>
    <w:rsid w:val="005F45A4"/>
    <w:rsid w:val="005F4EAC"/>
    <w:rsid w:val="005F52F1"/>
    <w:rsid w:val="005F5464"/>
    <w:rsid w:val="005F56F8"/>
    <w:rsid w:val="005F5DF2"/>
    <w:rsid w:val="005F5FAD"/>
    <w:rsid w:val="005F6507"/>
    <w:rsid w:val="005F6A8F"/>
    <w:rsid w:val="005F6BB7"/>
    <w:rsid w:val="005F7060"/>
    <w:rsid w:val="005F70DE"/>
    <w:rsid w:val="005F710A"/>
    <w:rsid w:val="005F73C6"/>
    <w:rsid w:val="005F7503"/>
    <w:rsid w:val="005F7588"/>
    <w:rsid w:val="005F77FF"/>
    <w:rsid w:val="005F7B92"/>
    <w:rsid w:val="005F7C9C"/>
    <w:rsid w:val="00600348"/>
    <w:rsid w:val="0060043B"/>
    <w:rsid w:val="006005B6"/>
    <w:rsid w:val="006006EF"/>
    <w:rsid w:val="00600744"/>
    <w:rsid w:val="00600B17"/>
    <w:rsid w:val="00600BF7"/>
    <w:rsid w:val="00601519"/>
    <w:rsid w:val="006015EF"/>
    <w:rsid w:val="00601DF9"/>
    <w:rsid w:val="00601E68"/>
    <w:rsid w:val="006023E8"/>
    <w:rsid w:val="00602555"/>
    <w:rsid w:val="006026A0"/>
    <w:rsid w:val="00602766"/>
    <w:rsid w:val="006028D3"/>
    <w:rsid w:val="00602A3B"/>
    <w:rsid w:val="00602BCE"/>
    <w:rsid w:val="00603858"/>
    <w:rsid w:val="00603931"/>
    <w:rsid w:val="006039DD"/>
    <w:rsid w:val="00603C97"/>
    <w:rsid w:val="00603CB0"/>
    <w:rsid w:val="00603DB9"/>
    <w:rsid w:val="00604C64"/>
    <w:rsid w:val="00605113"/>
    <w:rsid w:val="006056B6"/>
    <w:rsid w:val="00605DCB"/>
    <w:rsid w:val="006063A0"/>
    <w:rsid w:val="00606C87"/>
    <w:rsid w:val="00606F4E"/>
    <w:rsid w:val="00606FBA"/>
    <w:rsid w:val="00607669"/>
    <w:rsid w:val="006076F4"/>
    <w:rsid w:val="00607AFD"/>
    <w:rsid w:val="00607BDE"/>
    <w:rsid w:val="00610645"/>
    <w:rsid w:val="00610848"/>
    <w:rsid w:val="0061092A"/>
    <w:rsid w:val="00611194"/>
    <w:rsid w:val="00611261"/>
    <w:rsid w:val="006113AA"/>
    <w:rsid w:val="006114F6"/>
    <w:rsid w:val="00611A23"/>
    <w:rsid w:val="00611A50"/>
    <w:rsid w:val="00611B12"/>
    <w:rsid w:val="00611B41"/>
    <w:rsid w:val="00611E07"/>
    <w:rsid w:val="00612098"/>
    <w:rsid w:val="00612384"/>
    <w:rsid w:val="00612852"/>
    <w:rsid w:val="00612958"/>
    <w:rsid w:val="0061295A"/>
    <w:rsid w:val="00612D2A"/>
    <w:rsid w:val="00612D40"/>
    <w:rsid w:val="00612F97"/>
    <w:rsid w:val="006132D0"/>
    <w:rsid w:val="0061345D"/>
    <w:rsid w:val="00613DBA"/>
    <w:rsid w:val="0061431A"/>
    <w:rsid w:val="00614428"/>
    <w:rsid w:val="006149DD"/>
    <w:rsid w:val="00614B65"/>
    <w:rsid w:val="00614BD4"/>
    <w:rsid w:val="00614DAF"/>
    <w:rsid w:val="00614ED7"/>
    <w:rsid w:val="0061543F"/>
    <w:rsid w:val="0061549B"/>
    <w:rsid w:val="00615697"/>
    <w:rsid w:val="00615CBC"/>
    <w:rsid w:val="00615D1D"/>
    <w:rsid w:val="00615E34"/>
    <w:rsid w:val="00615F3A"/>
    <w:rsid w:val="00615F73"/>
    <w:rsid w:val="006165CC"/>
    <w:rsid w:val="00616802"/>
    <w:rsid w:val="006169DA"/>
    <w:rsid w:val="00616ADE"/>
    <w:rsid w:val="00616B2C"/>
    <w:rsid w:val="00616DA0"/>
    <w:rsid w:val="00616DEC"/>
    <w:rsid w:val="006172BA"/>
    <w:rsid w:val="00617616"/>
    <w:rsid w:val="00617E12"/>
    <w:rsid w:val="00617E7D"/>
    <w:rsid w:val="006200E7"/>
    <w:rsid w:val="006201AF"/>
    <w:rsid w:val="00620515"/>
    <w:rsid w:val="006208D7"/>
    <w:rsid w:val="00620C25"/>
    <w:rsid w:val="00621119"/>
    <w:rsid w:val="00621477"/>
    <w:rsid w:val="00621773"/>
    <w:rsid w:val="0062181D"/>
    <w:rsid w:val="006219E3"/>
    <w:rsid w:val="00621ADA"/>
    <w:rsid w:val="00622373"/>
    <w:rsid w:val="00622377"/>
    <w:rsid w:val="006223FF"/>
    <w:rsid w:val="0062256F"/>
    <w:rsid w:val="00622B96"/>
    <w:rsid w:val="00622CD3"/>
    <w:rsid w:val="00622EE5"/>
    <w:rsid w:val="006231EC"/>
    <w:rsid w:val="00623A66"/>
    <w:rsid w:val="00623DAE"/>
    <w:rsid w:val="00623DD6"/>
    <w:rsid w:val="00623E0E"/>
    <w:rsid w:val="00623F7B"/>
    <w:rsid w:val="0062437B"/>
    <w:rsid w:val="006243A4"/>
    <w:rsid w:val="0062490A"/>
    <w:rsid w:val="0062498F"/>
    <w:rsid w:val="00624A7B"/>
    <w:rsid w:val="00624BD4"/>
    <w:rsid w:val="00624D35"/>
    <w:rsid w:val="00624DD7"/>
    <w:rsid w:val="006252A6"/>
    <w:rsid w:val="006254BB"/>
    <w:rsid w:val="006256A7"/>
    <w:rsid w:val="00625719"/>
    <w:rsid w:val="00625D24"/>
    <w:rsid w:val="00625D81"/>
    <w:rsid w:val="00625DE4"/>
    <w:rsid w:val="006263CB"/>
    <w:rsid w:val="006263DB"/>
    <w:rsid w:val="0062657F"/>
    <w:rsid w:val="006266CE"/>
    <w:rsid w:val="006268C6"/>
    <w:rsid w:val="006270C5"/>
    <w:rsid w:val="006277C9"/>
    <w:rsid w:val="006277D9"/>
    <w:rsid w:val="00627B82"/>
    <w:rsid w:val="00627C98"/>
    <w:rsid w:val="006307D7"/>
    <w:rsid w:val="006308E0"/>
    <w:rsid w:val="00630B6B"/>
    <w:rsid w:val="00630BDC"/>
    <w:rsid w:val="00631112"/>
    <w:rsid w:val="0063158F"/>
    <w:rsid w:val="006317DF"/>
    <w:rsid w:val="0063182A"/>
    <w:rsid w:val="00631922"/>
    <w:rsid w:val="00631988"/>
    <w:rsid w:val="00631B40"/>
    <w:rsid w:val="00631D6B"/>
    <w:rsid w:val="00631E97"/>
    <w:rsid w:val="00632183"/>
    <w:rsid w:val="006323E2"/>
    <w:rsid w:val="006325E6"/>
    <w:rsid w:val="00632769"/>
    <w:rsid w:val="00632853"/>
    <w:rsid w:val="00632982"/>
    <w:rsid w:val="006330A1"/>
    <w:rsid w:val="00633311"/>
    <w:rsid w:val="0063380E"/>
    <w:rsid w:val="00633D12"/>
    <w:rsid w:val="00633E9A"/>
    <w:rsid w:val="0063479F"/>
    <w:rsid w:val="006347EA"/>
    <w:rsid w:val="0063484F"/>
    <w:rsid w:val="00634866"/>
    <w:rsid w:val="0063495D"/>
    <w:rsid w:val="00634B4F"/>
    <w:rsid w:val="00634CB3"/>
    <w:rsid w:val="00634CCE"/>
    <w:rsid w:val="00634E31"/>
    <w:rsid w:val="00634E50"/>
    <w:rsid w:val="00634ED0"/>
    <w:rsid w:val="006352B5"/>
    <w:rsid w:val="006353F0"/>
    <w:rsid w:val="006357B5"/>
    <w:rsid w:val="006359DB"/>
    <w:rsid w:val="00635BF9"/>
    <w:rsid w:val="00635F00"/>
    <w:rsid w:val="00636024"/>
    <w:rsid w:val="0063605F"/>
    <w:rsid w:val="0063630D"/>
    <w:rsid w:val="00636464"/>
    <w:rsid w:val="006364A1"/>
    <w:rsid w:val="006366C6"/>
    <w:rsid w:val="0063678E"/>
    <w:rsid w:val="00636AB1"/>
    <w:rsid w:val="00636C38"/>
    <w:rsid w:val="00636C9F"/>
    <w:rsid w:val="00636E95"/>
    <w:rsid w:val="00636FD8"/>
    <w:rsid w:val="00637331"/>
    <w:rsid w:val="0063740C"/>
    <w:rsid w:val="00637433"/>
    <w:rsid w:val="006375E3"/>
    <w:rsid w:val="00637781"/>
    <w:rsid w:val="006379D8"/>
    <w:rsid w:val="00637AE5"/>
    <w:rsid w:val="00637BCA"/>
    <w:rsid w:val="00637BFD"/>
    <w:rsid w:val="00637C5C"/>
    <w:rsid w:val="00637CF0"/>
    <w:rsid w:val="006402E3"/>
    <w:rsid w:val="0064047D"/>
    <w:rsid w:val="006404A8"/>
    <w:rsid w:val="006404A9"/>
    <w:rsid w:val="0064071E"/>
    <w:rsid w:val="00640B7C"/>
    <w:rsid w:val="00640E23"/>
    <w:rsid w:val="00641C16"/>
    <w:rsid w:val="00641C4E"/>
    <w:rsid w:val="00641C58"/>
    <w:rsid w:val="00641C63"/>
    <w:rsid w:val="00641D47"/>
    <w:rsid w:val="00641DE0"/>
    <w:rsid w:val="00641FB3"/>
    <w:rsid w:val="006422BE"/>
    <w:rsid w:val="00642361"/>
    <w:rsid w:val="00642AAE"/>
    <w:rsid w:val="00642AC4"/>
    <w:rsid w:val="00642B9B"/>
    <w:rsid w:val="00642C01"/>
    <w:rsid w:val="00642DBE"/>
    <w:rsid w:val="00642DF2"/>
    <w:rsid w:val="00642F71"/>
    <w:rsid w:val="006430D0"/>
    <w:rsid w:val="0064313F"/>
    <w:rsid w:val="006433C7"/>
    <w:rsid w:val="006436EF"/>
    <w:rsid w:val="006438C3"/>
    <w:rsid w:val="00643A03"/>
    <w:rsid w:val="00643AC3"/>
    <w:rsid w:val="00643C87"/>
    <w:rsid w:val="00643E38"/>
    <w:rsid w:val="00643E67"/>
    <w:rsid w:val="006442C0"/>
    <w:rsid w:val="0064434C"/>
    <w:rsid w:val="0064444E"/>
    <w:rsid w:val="00644896"/>
    <w:rsid w:val="006449AB"/>
    <w:rsid w:val="006449AC"/>
    <w:rsid w:val="00644AB1"/>
    <w:rsid w:val="00644D15"/>
    <w:rsid w:val="00644EA9"/>
    <w:rsid w:val="0064515B"/>
    <w:rsid w:val="00645F41"/>
    <w:rsid w:val="006465B3"/>
    <w:rsid w:val="00646CC9"/>
    <w:rsid w:val="00646D4A"/>
    <w:rsid w:val="006471CC"/>
    <w:rsid w:val="006472EF"/>
    <w:rsid w:val="006472FE"/>
    <w:rsid w:val="00647533"/>
    <w:rsid w:val="006476DA"/>
    <w:rsid w:val="00647A29"/>
    <w:rsid w:val="00647AE7"/>
    <w:rsid w:val="00650074"/>
    <w:rsid w:val="00650193"/>
    <w:rsid w:val="00650619"/>
    <w:rsid w:val="00650652"/>
    <w:rsid w:val="00650705"/>
    <w:rsid w:val="0065079F"/>
    <w:rsid w:val="006508B9"/>
    <w:rsid w:val="00650CFF"/>
    <w:rsid w:val="0065115D"/>
    <w:rsid w:val="00651505"/>
    <w:rsid w:val="006516A5"/>
    <w:rsid w:val="006516F1"/>
    <w:rsid w:val="00651840"/>
    <w:rsid w:val="00651871"/>
    <w:rsid w:val="00651A88"/>
    <w:rsid w:val="00651C5E"/>
    <w:rsid w:val="00651C75"/>
    <w:rsid w:val="00651D9E"/>
    <w:rsid w:val="00651DA8"/>
    <w:rsid w:val="00651F5D"/>
    <w:rsid w:val="00652398"/>
    <w:rsid w:val="006525E1"/>
    <w:rsid w:val="00652A28"/>
    <w:rsid w:val="00652D7B"/>
    <w:rsid w:val="0065379F"/>
    <w:rsid w:val="00653931"/>
    <w:rsid w:val="00653DCB"/>
    <w:rsid w:val="0065415E"/>
    <w:rsid w:val="006545A6"/>
    <w:rsid w:val="006548B2"/>
    <w:rsid w:val="0065495B"/>
    <w:rsid w:val="00654D4D"/>
    <w:rsid w:val="00654F72"/>
    <w:rsid w:val="006552DE"/>
    <w:rsid w:val="006553D5"/>
    <w:rsid w:val="0065548A"/>
    <w:rsid w:val="00655797"/>
    <w:rsid w:val="00655CD7"/>
    <w:rsid w:val="00655ECC"/>
    <w:rsid w:val="00656048"/>
    <w:rsid w:val="00656188"/>
    <w:rsid w:val="006564E1"/>
    <w:rsid w:val="006564EF"/>
    <w:rsid w:val="00656674"/>
    <w:rsid w:val="00656931"/>
    <w:rsid w:val="0065699A"/>
    <w:rsid w:val="00656BD3"/>
    <w:rsid w:val="00656C53"/>
    <w:rsid w:val="00656C8C"/>
    <w:rsid w:val="00656F14"/>
    <w:rsid w:val="006570C7"/>
    <w:rsid w:val="0065713E"/>
    <w:rsid w:val="0065715A"/>
    <w:rsid w:val="00657323"/>
    <w:rsid w:val="00657795"/>
    <w:rsid w:val="006577A6"/>
    <w:rsid w:val="0065795E"/>
    <w:rsid w:val="00657B53"/>
    <w:rsid w:val="00657F31"/>
    <w:rsid w:val="00660100"/>
    <w:rsid w:val="0066039D"/>
    <w:rsid w:val="00660491"/>
    <w:rsid w:val="00660696"/>
    <w:rsid w:val="00660B9E"/>
    <w:rsid w:val="006610F1"/>
    <w:rsid w:val="00661808"/>
    <w:rsid w:val="00661944"/>
    <w:rsid w:val="00661C6B"/>
    <w:rsid w:val="00661C84"/>
    <w:rsid w:val="006620AE"/>
    <w:rsid w:val="00662179"/>
    <w:rsid w:val="006622AD"/>
    <w:rsid w:val="006622E2"/>
    <w:rsid w:val="006628AE"/>
    <w:rsid w:val="00662962"/>
    <w:rsid w:val="00662970"/>
    <w:rsid w:val="00662B43"/>
    <w:rsid w:val="00662D3E"/>
    <w:rsid w:val="006638DE"/>
    <w:rsid w:val="006638FF"/>
    <w:rsid w:val="00663C29"/>
    <w:rsid w:val="00663CAB"/>
    <w:rsid w:val="00663E58"/>
    <w:rsid w:val="00664692"/>
    <w:rsid w:val="006647A5"/>
    <w:rsid w:val="006647ED"/>
    <w:rsid w:val="00664928"/>
    <w:rsid w:val="0066497C"/>
    <w:rsid w:val="00664F2B"/>
    <w:rsid w:val="006654F4"/>
    <w:rsid w:val="006654F8"/>
    <w:rsid w:val="00665994"/>
    <w:rsid w:val="00665E31"/>
    <w:rsid w:val="00665F0C"/>
    <w:rsid w:val="0066625C"/>
    <w:rsid w:val="0066632B"/>
    <w:rsid w:val="0066648C"/>
    <w:rsid w:val="00666497"/>
    <w:rsid w:val="006669C5"/>
    <w:rsid w:val="006669CB"/>
    <w:rsid w:val="00666A91"/>
    <w:rsid w:val="00666E70"/>
    <w:rsid w:val="006673A1"/>
    <w:rsid w:val="00667489"/>
    <w:rsid w:val="006675EC"/>
    <w:rsid w:val="00667852"/>
    <w:rsid w:val="00667B81"/>
    <w:rsid w:val="00667BE3"/>
    <w:rsid w:val="00667DBA"/>
    <w:rsid w:val="00667E68"/>
    <w:rsid w:val="006704B3"/>
    <w:rsid w:val="006705D1"/>
    <w:rsid w:val="00670661"/>
    <w:rsid w:val="00670B86"/>
    <w:rsid w:val="00670D5A"/>
    <w:rsid w:val="00670F9B"/>
    <w:rsid w:val="00671004"/>
    <w:rsid w:val="006711AA"/>
    <w:rsid w:val="006711BF"/>
    <w:rsid w:val="0067140D"/>
    <w:rsid w:val="00671F86"/>
    <w:rsid w:val="00672121"/>
    <w:rsid w:val="00672155"/>
    <w:rsid w:val="0067220D"/>
    <w:rsid w:val="006722AB"/>
    <w:rsid w:val="00672646"/>
    <w:rsid w:val="0067275D"/>
    <w:rsid w:val="006727F2"/>
    <w:rsid w:val="00672B3D"/>
    <w:rsid w:val="00672FA1"/>
    <w:rsid w:val="00673049"/>
    <w:rsid w:val="00673051"/>
    <w:rsid w:val="0067307C"/>
    <w:rsid w:val="00673207"/>
    <w:rsid w:val="00673977"/>
    <w:rsid w:val="00673B08"/>
    <w:rsid w:val="00674236"/>
    <w:rsid w:val="0067428C"/>
    <w:rsid w:val="0067440F"/>
    <w:rsid w:val="006745CD"/>
    <w:rsid w:val="006748FF"/>
    <w:rsid w:val="00674B14"/>
    <w:rsid w:val="00674D3A"/>
    <w:rsid w:val="00674D7D"/>
    <w:rsid w:val="00674E42"/>
    <w:rsid w:val="006755F2"/>
    <w:rsid w:val="00675A44"/>
    <w:rsid w:val="00675AB5"/>
    <w:rsid w:val="00675CC8"/>
    <w:rsid w:val="00675D12"/>
    <w:rsid w:val="006763E1"/>
    <w:rsid w:val="00676563"/>
    <w:rsid w:val="00676990"/>
    <w:rsid w:val="00676B5A"/>
    <w:rsid w:val="00676D32"/>
    <w:rsid w:val="006772FD"/>
    <w:rsid w:val="006775CC"/>
    <w:rsid w:val="0067772B"/>
    <w:rsid w:val="00677969"/>
    <w:rsid w:val="00677AB9"/>
    <w:rsid w:val="00677F35"/>
    <w:rsid w:val="00677F60"/>
    <w:rsid w:val="006801F9"/>
    <w:rsid w:val="00680403"/>
    <w:rsid w:val="006807A1"/>
    <w:rsid w:val="006808B1"/>
    <w:rsid w:val="006808D4"/>
    <w:rsid w:val="00680975"/>
    <w:rsid w:val="00680AEE"/>
    <w:rsid w:val="006810CD"/>
    <w:rsid w:val="00681105"/>
    <w:rsid w:val="006813F8"/>
    <w:rsid w:val="006814DC"/>
    <w:rsid w:val="0068172D"/>
    <w:rsid w:val="00681789"/>
    <w:rsid w:val="00681CE1"/>
    <w:rsid w:val="00681E56"/>
    <w:rsid w:val="006820F1"/>
    <w:rsid w:val="00682112"/>
    <w:rsid w:val="006825A6"/>
    <w:rsid w:val="00682707"/>
    <w:rsid w:val="006827C4"/>
    <w:rsid w:val="00682BA6"/>
    <w:rsid w:val="00682BC7"/>
    <w:rsid w:val="0068345A"/>
    <w:rsid w:val="00683628"/>
    <w:rsid w:val="00683B4C"/>
    <w:rsid w:val="00683F93"/>
    <w:rsid w:val="006843C7"/>
    <w:rsid w:val="00684417"/>
    <w:rsid w:val="00684520"/>
    <w:rsid w:val="00684679"/>
    <w:rsid w:val="00684E37"/>
    <w:rsid w:val="00684FBB"/>
    <w:rsid w:val="006855EE"/>
    <w:rsid w:val="006856A8"/>
    <w:rsid w:val="006859C0"/>
    <w:rsid w:val="00685AAC"/>
    <w:rsid w:val="00685E50"/>
    <w:rsid w:val="00685EE4"/>
    <w:rsid w:val="0068652D"/>
    <w:rsid w:val="0068680F"/>
    <w:rsid w:val="00686878"/>
    <w:rsid w:val="00686957"/>
    <w:rsid w:val="00686971"/>
    <w:rsid w:val="0068718B"/>
    <w:rsid w:val="006872BA"/>
    <w:rsid w:val="006872CE"/>
    <w:rsid w:val="006877EA"/>
    <w:rsid w:val="00687A15"/>
    <w:rsid w:val="00687F2A"/>
    <w:rsid w:val="006902F9"/>
    <w:rsid w:val="006905B7"/>
    <w:rsid w:val="00690703"/>
    <w:rsid w:val="00690795"/>
    <w:rsid w:val="00690C3D"/>
    <w:rsid w:val="00690D7C"/>
    <w:rsid w:val="00690FDE"/>
    <w:rsid w:val="00691648"/>
    <w:rsid w:val="006917D7"/>
    <w:rsid w:val="00691866"/>
    <w:rsid w:val="00691992"/>
    <w:rsid w:val="00691BE8"/>
    <w:rsid w:val="00691D85"/>
    <w:rsid w:val="00691DF5"/>
    <w:rsid w:val="006923E1"/>
    <w:rsid w:val="00692473"/>
    <w:rsid w:val="0069285D"/>
    <w:rsid w:val="00692A4B"/>
    <w:rsid w:val="00692BF2"/>
    <w:rsid w:val="006934BC"/>
    <w:rsid w:val="006935A4"/>
    <w:rsid w:val="006940FF"/>
    <w:rsid w:val="0069434C"/>
    <w:rsid w:val="0069437F"/>
    <w:rsid w:val="006944D1"/>
    <w:rsid w:val="006946E9"/>
    <w:rsid w:val="006949D9"/>
    <w:rsid w:val="00694BCC"/>
    <w:rsid w:val="00694BF1"/>
    <w:rsid w:val="00694CF3"/>
    <w:rsid w:val="00694F44"/>
    <w:rsid w:val="00695150"/>
    <w:rsid w:val="0069569E"/>
    <w:rsid w:val="006956BD"/>
    <w:rsid w:val="0069573C"/>
    <w:rsid w:val="00695B97"/>
    <w:rsid w:val="00695D29"/>
    <w:rsid w:val="00695E40"/>
    <w:rsid w:val="00696419"/>
    <w:rsid w:val="006968C5"/>
    <w:rsid w:val="00696EF9"/>
    <w:rsid w:val="00696F51"/>
    <w:rsid w:val="0069775B"/>
    <w:rsid w:val="006979A5"/>
    <w:rsid w:val="006A002F"/>
    <w:rsid w:val="006A0091"/>
    <w:rsid w:val="006A016F"/>
    <w:rsid w:val="006A0261"/>
    <w:rsid w:val="006A03C3"/>
    <w:rsid w:val="006A03CA"/>
    <w:rsid w:val="006A052D"/>
    <w:rsid w:val="006A052F"/>
    <w:rsid w:val="006A0ABB"/>
    <w:rsid w:val="006A0DF7"/>
    <w:rsid w:val="006A1713"/>
    <w:rsid w:val="006A1B2F"/>
    <w:rsid w:val="006A1FBE"/>
    <w:rsid w:val="006A201E"/>
    <w:rsid w:val="006A236C"/>
    <w:rsid w:val="006A2441"/>
    <w:rsid w:val="006A25D1"/>
    <w:rsid w:val="006A25D3"/>
    <w:rsid w:val="006A26C0"/>
    <w:rsid w:val="006A2E25"/>
    <w:rsid w:val="006A2E3F"/>
    <w:rsid w:val="006A367B"/>
    <w:rsid w:val="006A3712"/>
    <w:rsid w:val="006A388E"/>
    <w:rsid w:val="006A3986"/>
    <w:rsid w:val="006A4321"/>
    <w:rsid w:val="006A4359"/>
    <w:rsid w:val="006A43D9"/>
    <w:rsid w:val="006A4561"/>
    <w:rsid w:val="006A46DC"/>
    <w:rsid w:val="006A4BC5"/>
    <w:rsid w:val="006A4E58"/>
    <w:rsid w:val="006A4F5E"/>
    <w:rsid w:val="006A5161"/>
    <w:rsid w:val="006A53A5"/>
    <w:rsid w:val="006A54F4"/>
    <w:rsid w:val="006A562A"/>
    <w:rsid w:val="006A566C"/>
    <w:rsid w:val="006A570E"/>
    <w:rsid w:val="006A5817"/>
    <w:rsid w:val="006A5CA9"/>
    <w:rsid w:val="006A6023"/>
    <w:rsid w:val="006A6505"/>
    <w:rsid w:val="006A6B99"/>
    <w:rsid w:val="006A7113"/>
    <w:rsid w:val="006A71AD"/>
    <w:rsid w:val="006A7809"/>
    <w:rsid w:val="006A7C68"/>
    <w:rsid w:val="006A7E5F"/>
    <w:rsid w:val="006A7F2E"/>
    <w:rsid w:val="006B02B9"/>
    <w:rsid w:val="006B06FF"/>
    <w:rsid w:val="006B0A4B"/>
    <w:rsid w:val="006B0D2C"/>
    <w:rsid w:val="006B1C7F"/>
    <w:rsid w:val="006B261B"/>
    <w:rsid w:val="006B2720"/>
    <w:rsid w:val="006B2806"/>
    <w:rsid w:val="006B2964"/>
    <w:rsid w:val="006B2A74"/>
    <w:rsid w:val="006B2C90"/>
    <w:rsid w:val="006B2D98"/>
    <w:rsid w:val="006B2E3B"/>
    <w:rsid w:val="006B3435"/>
    <w:rsid w:val="006B34CB"/>
    <w:rsid w:val="006B34DA"/>
    <w:rsid w:val="006B34DE"/>
    <w:rsid w:val="006B35E6"/>
    <w:rsid w:val="006B3886"/>
    <w:rsid w:val="006B38E6"/>
    <w:rsid w:val="006B3C32"/>
    <w:rsid w:val="006B3E7A"/>
    <w:rsid w:val="006B4063"/>
    <w:rsid w:val="006B434C"/>
    <w:rsid w:val="006B465A"/>
    <w:rsid w:val="006B4BFB"/>
    <w:rsid w:val="006B4D93"/>
    <w:rsid w:val="006B4F24"/>
    <w:rsid w:val="006B5431"/>
    <w:rsid w:val="006B555B"/>
    <w:rsid w:val="006B55BA"/>
    <w:rsid w:val="006B5617"/>
    <w:rsid w:val="006B6072"/>
    <w:rsid w:val="006B627D"/>
    <w:rsid w:val="006B63BA"/>
    <w:rsid w:val="006B6ABF"/>
    <w:rsid w:val="006B6C0E"/>
    <w:rsid w:val="006B6C57"/>
    <w:rsid w:val="006B6DD0"/>
    <w:rsid w:val="006B70BB"/>
    <w:rsid w:val="006B72AD"/>
    <w:rsid w:val="006B737D"/>
    <w:rsid w:val="006B786E"/>
    <w:rsid w:val="006B7AB5"/>
    <w:rsid w:val="006B7E1B"/>
    <w:rsid w:val="006B7E87"/>
    <w:rsid w:val="006C0152"/>
    <w:rsid w:val="006C0399"/>
    <w:rsid w:val="006C03BC"/>
    <w:rsid w:val="006C068B"/>
    <w:rsid w:val="006C1238"/>
    <w:rsid w:val="006C17DB"/>
    <w:rsid w:val="006C1AFB"/>
    <w:rsid w:val="006C1E5D"/>
    <w:rsid w:val="006C1F7B"/>
    <w:rsid w:val="006C1F86"/>
    <w:rsid w:val="006C1FBE"/>
    <w:rsid w:val="006C21B4"/>
    <w:rsid w:val="006C2882"/>
    <w:rsid w:val="006C2A8E"/>
    <w:rsid w:val="006C2C52"/>
    <w:rsid w:val="006C2EEE"/>
    <w:rsid w:val="006C3139"/>
    <w:rsid w:val="006C3255"/>
    <w:rsid w:val="006C3442"/>
    <w:rsid w:val="006C348C"/>
    <w:rsid w:val="006C359B"/>
    <w:rsid w:val="006C37BE"/>
    <w:rsid w:val="006C3C65"/>
    <w:rsid w:val="006C3CD3"/>
    <w:rsid w:val="006C3D4A"/>
    <w:rsid w:val="006C3E14"/>
    <w:rsid w:val="006C3F26"/>
    <w:rsid w:val="006C40E0"/>
    <w:rsid w:val="006C4446"/>
    <w:rsid w:val="006C4866"/>
    <w:rsid w:val="006C49E0"/>
    <w:rsid w:val="006C5598"/>
    <w:rsid w:val="006C5639"/>
    <w:rsid w:val="006C5903"/>
    <w:rsid w:val="006C5A06"/>
    <w:rsid w:val="006C6063"/>
    <w:rsid w:val="006C6227"/>
    <w:rsid w:val="006C6986"/>
    <w:rsid w:val="006C6A76"/>
    <w:rsid w:val="006C6E9E"/>
    <w:rsid w:val="006C72CA"/>
    <w:rsid w:val="006C7790"/>
    <w:rsid w:val="006C7ACC"/>
    <w:rsid w:val="006C7E6F"/>
    <w:rsid w:val="006D03BD"/>
    <w:rsid w:val="006D0BAE"/>
    <w:rsid w:val="006D0D17"/>
    <w:rsid w:val="006D0ECA"/>
    <w:rsid w:val="006D132F"/>
    <w:rsid w:val="006D1486"/>
    <w:rsid w:val="006D1690"/>
    <w:rsid w:val="006D1799"/>
    <w:rsid w:val="006D1862"/>
    <w:rsid w:val="006D19A2"/>
    <w:rsid w:val="006D202E"/>
    <w:rsid w:val="006D208F"/>
    <w:rsid w:val="006D23EC"/>
    <w:rsid w:val="006D25A5"/>
    <w:rsid w:val="006D2FB5"/>
    <w:rsid w:val="006D2FD2"/>
    <w:rsid w:val="006D3051"/>
    <w:rsid w:val="006D3347"/>
    <w:rsid w:val="006D3452"/>
    <w:rsid w:val="006D369E"/>
    <w:rsid w:val="006D3C7D"/>
    <w:rsid w:val="006D3D08"/>
    <w:rsid w:val="006D3D84"/>
    <w:rsid w:val="006D41E0"/>
    <w:rsid w:val="006D41EC"/>
    <w:rsid w:val="006D43CB"/>
    <w:rsid w:val="006D4624"/>
    <w:rsid w:val="006D4659"/>
    <w:rsid w:val="006D47CE"/>
    <w:rsid w:val="006D4A05"/>
    <w:rsid w:val="006D4CBC"/>
    <w:rsid w:val="006D4F6C"/>
    <w:rsid w:val="006D5196"/>
    <w:rsid w:val="006D5374"/>
    <w:rsid w:val="006D5552"/>
    <w:rsid w:val="006D585D"/>
    <w:rsid w:val="006D58F6"/>
    <w:rsid w:val="006D5C90"/>
    <w:rsid w:val="006D5CAE"/>
    <w:rsid w:val="006D5CF1"/>
    <w:rsid w:val="006D5D5F"/>
    <w:rsid w:val="006D6098"/>
    <w:rsid w:val="006D6151"/>
    <w:rsid w:val="006D6556"/>
    <w:rsid w:val="006D6591"/>
    <w:rsid w:val="006D67F6"/>
    <w:rsid w:val="006D68FB"/>
    <w:rsid w:val="006D6AB6"/>
    <w:rsid w:val="006D6AE2"/>
    <w:rsid w:val="006D6B60"/>
    <w:rsid w:val="006D6E4B"/>
    <w:rsid w:val="006D6FC5"/>
    <w:rsid w:val="006D7303"/>
    <w:rsid w:val="006D74D8"/>
    <w:rsid w:val="006D750A"/>
    <w:rsid w:val="006D7625"/>
    <w:rsid w:val="006D7654"/>
    <w:rsid w:val="006D76EE"/>
    <w:rsid w:val="006D7C4E"/>
    <w:rsid w:val="006D7CC7"/>
    <w:rsid w:val="006D7CE5"/>
    <w:rsid w:val="006E00DF"/>
    <w:rsid w:val="006E0688"/>
    <w:rsid w:val="006E0693"/>
    <w:rsid w:val="006E07DC"/>
    <w:rsid w:val="006E0822"/>
    <w:rsid w:val="006E0AE3"/>
    <w:rsid w:val="006E0BCD"/>
    <w:rsid w:val="006E0DE3"/>
    <w:rsid w:val="006E100C"/>
    <w:rsid w:val="006E1327"/>
    <w:rsid w:val="006E132D"/>
    <w:rsid w:val="006E18AF"/>
    <w:rsid w:val="006E1A66"/>
    <w:rsid w:val="006E1A71"/>
    <w:rsid w:val="006E23C8"/>
    <w:rsid w:val="006E26CB"/>
    <w:rsid w:val="006E2868"/>
    <w:rsid w:val="006E2AD2"/>
    <w:rsid w:val="006E2AFE"/>
    <w:rsid w:val="006E2CD8"/>
    <w:rsid w:val="006E2DF7"/>
    <w:rsid w:val="006E327B"/>
    <w:rsid w:val="006E32E8"/>
    <w:rsid w:val="006E3312"/>
    <w:rsid w:val="006E3514"/>
    <w:rsid w:val="006E352E"/>
    <w:rsid w:val="006E3872"/>
    <w:rsid w:val="006E3A06"/>
    <w:rsid w:val="006E3A0D"/>
    <w:rsid w:val="006E3B31"/>
    <w:rsid w:val="006E3C4C"/>
    <w:rsid w:val="006E3F2C"/>
    <w:rsid w:val="006E41AE"/>
    <w:rsid w:val="006E41B9"/>
    <w:rsid w:val="006E433C"/>
    <w:rsid w:val="006E4710"/>
    <w:rsid w:val="006E47BA"/>
    <w:rsid w:val="006E49AF"/>
    <w:rsid w:val="006E4F4A"/>
    <w:rsid w:val="006E52A2"/>
    <w:rsid w:val="006E5654"/>
    <w:rsid w:val="006E5961"/>
    <w:rsid w:val="006E5E48"/>
    <w:rsid w:val="006E5E53"/>
    <w:rsid w:val="006E5ED4"/>
    <w:rsid w:val="006E5F8D"/>
    <w:rsid w:val="006E6682"/>
    <w:rsid w:val="006E69DD"/>
    <w:rsid w:val="006E6AD4"/>
    <w:rsid w:val="006E6E2F"/>
    <w:rsid w:val="006E6F76"/>
    <w:rsid w:val="006E71F5"/>
    <w:rsid w:val="006E729B"/>
    <w:rsid w:val="006E7711"/>
    <w:rsid w:val="006E7DE7"/>
    <w:rsid w:val="006F0398"/>
    <w:rsid w:val="006F06C5"/>
    <w:rsid w:val="006F0DCD"/>
    <w:rsid w:val="006F0E12"/>
    <w:rsid w:val="006F0F17"/>
    <w:rsid w:val="006F1060"/>
    <w:rsid w:val="006F10C9"/>
    <w:rsid w:val="006F1F59"/>
    <w:rsid w:val="006F2197"/>
    <w:rsid w:val="006F23D7"/>
    <w:rsid w:val="006F23EB"/>
    <w:rsid w:val="006F25B5"/>
    <w:rsid w:val="006F2C5B"/>
    <w:rsid w:val="006F306C"/>
    <w:rsid w:val="006F31DE"/>
    <w:rsid w:val="006F3A9F"/>
    <w:rsid w:val="006F3C3F"/>
    <w:rsid w:val="006F3E5D"/>
    <w:rsid w:val="006F4432"/>
    <w:rsid w:val="006F4A32"/>
    <w:rsid w:val="006F4B16"/>
    <w:rsid w:val="006F5A75"/>
    <w:rsid w:val="006F5ED0"/>
    <w:rsid w:val="006F603C"/>
    <w:rsid w:val="006F61C8"/>
    <w:rsid w:val="006F63A5"/>
    <w:rsid w:val="006F65ED"/>
    <w:rsid w:val="006F6DA6"/>
    <w:rsid w:val="006F6E94"/>
    <w:rsid w:val="006F7089"/>
    <w:rsid w:val="006F797A"/>
    <w:rsid w:val="006F7F0B"/>
    <w:rsid w:val="007000B1"/>
    <w:rsid w:val="00700486"/>
    <w:rsid w:val="007004EC"/>
    <w:rsid w:val="007005B8"/>
    <w:rsid w:val="007005EF"/>
    <w:rsid w:val="007007B4"/>
    <w:rsid w:val="007007D1"/>
    <w:rsid w:val="00700BE1"/>
    <w:rsid w:val="00700F5E"/>
    <w:rsid w:val="0070142B"/>
    <w:rsid w:val="007015C6"/>
    <w:rsid w:val="00701641"/>
    <w:rsid w:val="00701788"/>
    <w:rsid w:val="00701925"/>
    <w:rsid w:val="007021C3"/>
    <w:rsid w:val="00702707"/>
    <w:rsid w:val="0070276E"/>
    <w:rsid w:val="00702F8F"/>
    <w:rsid w:val="00702FCD"/>
    <w:rsid w:val="007032B5"/>
    <w:rsid w:val="0070379F"/>
    <w:rsid w:val="00703BA8"/>
    <w:rsid w:val="00703CE0"/>
    <w:rsid w:val="00703DDB"/>
    <w:rsid w:val="007042A5"/>
    <w:rsid w:val="007042DD"/>
    <w:rsid w:val="007046AA"/>
    <w:rsid w:val="00704A71"/>
    <w:rsid w:val="00704A7E"/>
    <w:rsid w:val="00704A89"/>
    <w:rsid w:val="00704BD2"/>
    <w:rsid w:val="00704C6E"/>
    <w:rsid w:val="00704E98"/>
    <w:rsid w:val="00704EF2"/>
    <w:rsid w:val="00704FC8"/>
    <w:rsid w:val="00705437"/>
    <w:rsid w:val="0070581A"/>
    <w:rsid w:val="00705E2D"/>
    <w:rsid w:val="00705F40"/>
    <w:rsid w:val="007069D4"/>
    <w:rsid w:val="0070701B"/>
    <w:rsid w:val="00707346"/>
    <w:rsid w:val="007073F6"/>
    <w:rsid w:val="007076D4"/>
    <w:rsid w:val="007079FC"/>
    <w:rsid w:val="00707A04"/>
    <w:rsid w:val="00707A05"/>
    <w:rsid w:val="0071029A"/>
    <w:rsid w:val="00710360"/>
    <w:rsid w:val="00710674"/>
    <w:rsid w:val="00710B6C"/>
    <w:rsid w:val="00710CCA"/>
    <w:rsid w:val="00710E18"/>
    <w:rsid w:val="00710E9C"/>
    <w:rsid w:val="007112C1"/>
    <w:rsid w:val="007114BD"/>
    <w:rsid w:val="00711A36"/>
    <w:rsid w:val="00711A7E"/>
    <w:rsid w:val="00711CE5"/>
    <w:rsid w:val="00711CEF"/>
    <w:rsid w:val="00712036"/>
    <w:rsid w:val="007120D6"/>
    <w:rsid w:val="00712294"/>
    <w:rsid w:val="007125D3"/>
    <w:rsid w:val="00712D6B"/>
    <w:rsid w:val="00712DC7"/>
    <w:rsid w:val="007131A5"/>
    <w:rsid w:val="0071364E"/>
    <w:rsid w:val="00714366"/>
    <w:rsid w:val="007149A8"/>
    <w:rsid w:val="00714BBE"/>
    <w:rsid w:val="00714C26"/>
    <w:rsid w:val="0071529C"/>
    <w:rsid w:val="00715622"/>
    <w:rsid w:val="0071562E"/>
    <w:rsid w:val="007167F6"/>
    <w:rsid w:val="00716926"/>
    <w:rsid w:val="00716E44"/>
    <w:rsid w:val="00717099"/>
    <w:rsid w:val="007170DA"/>
    <w:rsid w:val="0071711F"/>
    <w:rsid w:val="007172AD"/>
    <w:rsid w:val="007174DA"/>
    <w:rsid w:val="00717546"/>
    <w:rsid w:val="00717634"/>
    <w:rsid w:val="00717C48"/>
    <w:rsid w:val="00717C9A"/>
    <w:rsid w:val="00717DF6"/>
    <w:rsid w:val="00717FA8"/>
    <w:rsid w:val="0072015C"/>
    <w:rsid w:val="0072040A"/>
    <w:rsid w:val="00720441"/>
    <w:rsid w:val="00720801"/>
    <w:rsid w:val="00720AA6"/>
    <w:rsid w:val="0072114A"/>
    <w:rsid w:val="00721200"/>
    <w:rsid w:val="0072139A"/>
    <w:rsid w:val="007213D5"/>
    <w:rsid w:val="00721558"/>
    <w:rsid w:val="00721574"/>
    <w:rsid w:val="0072165A"/>
    <w:rsid w:val="007216D4"/>
    <w:rsid w:val="00721BEE"/>
    <w:rsid w:val="007223F6"/>
    <w:rsid w:val="007224B0"/>
    <w:rsid w:val="0072252A"/>
    <w:rsid w:val="0072257F"/>
    <w:rsid w:val="00722B1B"/>
    <w:rsid w:val="00722B93"/>
    <w:rsid w:val="00722DC7"/>
    <w:rsid w:val="00722EFA"/>
    <w:rsid w:val="00722F39"/>
    <w:rsid w:val="0072302A"/>
    <w:rsid w:val="00723512"/>
    <w:rsid w:val="00723595"/>
    <w:rsid w:val="00723A80"/>
    <w:rsid w:val="00723CD7"/>
    <w:rsid w:val="00723E28"/>
    <w:rsid w:val="00723F5A"/>
    <w:rsid w:val="00724106"/>
    <w:rsid w:val="0072416F"/>
    <w:rsid w:val="0072442D"/>
    <w:rsid w:val="007244BC"/>
    <w:rsid w:val="007245B8"/>
    <w:rsid w:val="00724858"/>
    <w:rsid w:val="00724E88"/>
    <w:rsid w:val="00724EE9"/>
    <w:rsid w:val="00725072"/>
    <w:rsid w:val="00725184"/>
    <w:rsid w:val="00725273"/>
    <w:rsid w:val="0072546D"/>
    <w:rsid w:val="007254CE"/>
    <w:rsid w:val="00725570"/>
    <w:rsid w:val="00725847"/>
    <w:rsid w:val="00725865"/>
    <w:rsid w:val="00725AD4"/>
    <w:rsid w:val="00725C2C"/>
    <w:rsid w:val="00725CB8"/>
    <w:rsid w:val="00725DAD"/>
    <w:rsid w:val="00725EFB"/>
    <w:rsid w:val="00725FBC"/>
    <w:rsid w:val="0072632A"/>
    <w:rsid w:val="00726427"/>
    <w:rsid w:val="00726483"/>
    <w:rsid w:val="00726649"/>
    <w:rsid w:val="00726877"/>
    <w:rsid w:val="0072696B"/>
    <w:rsid w:val="00726A48"/>
    <w:rsid w:val="00726AEE"/>
    <w:rsid w:val="00726EFF"/>
    <w:rsid w:val="007276F1"/>
    <w:rsid w:val="0072775E"/>
    <w:rsid w:val="007279D4"/>
    <w:rsid w:val="00727C94"/>
    <w:rsid w:val="00727D48"/>
    <w:rsid w:val="007307CE"/>
    <w:rsid w:val="00730A99"/>
    <w:rsid w:val="0073104D"/>
    <w:rsid w:val="007312D3"/>
    <w:rsid w:val="00731367"/>
    <w:rsid w:val="0073153B"/>
    <w:rsid w:val="0073154F"/>
    <w:rsid w:val="00731644"/>
    <w:rsid w:val="0073165A"/>
    <w:rsid w:val="007317A7"/>
    <w:rsid w:val="00731819"/>
    <w:rsid w:val="00731B0A"/>
    <w:rsid w:val="00731EAE"/>
    <w:rsid w:val="00732298"/>
    <w:rsid w:val="007326E6"/>
    <w:rsid w:val="00732784"/>
    <w:rsid w:val="00733012"/>
    <w:rsid w:val="00733073"/>
    <w:rsid w:val="007332B8"/>
    <w:rsid w:val="00733AA9"/>
    <w:rsid w:val="00733D13"/>
    <w:rsid w:val="00733DD8"/>
    <w:rsid w:val="00733E3B"/>
    <w:rsid w:val="00733E45"/>
    <w:rsid w:val="00733F37"/>
    <w:rsid w:val="00734943"/>
    <w:rsid w:val="00734FA3"/>
    <w:rsid w:val="00735033"/>
    <w:rsid w:val="00735328"/>
    <w:rsid w:val="00735371"/>
    <w:rsid w:val="007353C4"/>
    <w:rsid w:val="0073571F"/>
    <w:rsid w:val="00735D26"/>
    <w:rsid w:val="00735EA0"/>
    <w:rsid w:val="00736377"/>
    <w:rsid w:val="0073685B"/>
    <w:rsid w:val="00736E37"/>
    <w:rsid w:val="007371D1"/>
    <w:rsid w:val="00737535"/>
    <w:rsid w:val="007377D0"/>
    <w:rsid w:val="007377E2"/>
    <w:rsid w:val="00737B3F"/>
    <w:rsid w:val="00737C27"/>
    <w:rsid w:val="00737CEF"/>
    <w:rsid w:val="00737F81"/>
    <w:rsid w:val="00740366"/>
    <w:rsid w:val="00740673"/>
    <w:rsid w:val="0074069C"/>
    <w:rsid w:val="00740D69"/>
    <w:rsid w:val="00740E43"/>
    <w:rsid w:val="00741E28"/>
    <w:rsid w:val="00741F35"/>
    <w:rsid w:val="007421F3"/>
    <w:rsid w:val="0074228B"/>
    <w:rsid w:val="00742667"/>
    <w:rsid w:val="00742CA9"/>
    <w:rsid w:val="00742EC2"/>
    <w:rsid w:val="00742F4D"/>
    <w:rsid w:val="007430B2"/>
    <w:rsid w:val="007432F9"/>
    <w:rsid w:val="007432FB"/>
    <w:rsid w:val="0074335B"/>
    <w:rsid w:val="007433BC"/>
    <w:rsid w:val="0074374D"/>
    <w:rsid w:val="007437F4"/>
    <w:rsid w:val="00743889"/>
    <w:rsid w:val="00743B53"/>
    <w:rsid w:val="0074409A"/>
    <w:rsid w:val="00744344"/>
    <w:rsid w:val="0074449F"/>
    <w:rsid w:val="007449BF"/>
    <w:rsid w:val="007449D7"/>
    <w:rsid w:val="007450C8"/>
    <w:rsid w:val="0074536F"/>
    <w:rsid w:val="00745F68"/>
    <w:rsid w:val="00746278"/>
    <w:rsid w:val="007462F5"/>
    <w:rsid w:val="007463FE"/>
    <w:rsid w:val="00746800"/>
    <w:rsid w:val="00746865"/>
    <w:rsid w:val="00746BC0"/>
    <w:rsid w:val="00746DE2"/>
    <w:rsid w:val="00747467"/>
    <w:rsid w:val="007476DF"/>
    <w:rsid w:val="00747AF5"/>
    <w:rsid w:val="0075055C"/>
    <w:rsid w:val="007506B4"/>
    <w:rsid w:val="007507AB"/>
    <w:rsid w:val="00750F70"/>
    <w:rsid w:val="007510B4"/>
    <w:rsid w:val="00751208"/>
    <w:rsid w:val="007512D8"/>
    <w:rsid w:val="0075158F"/>
    <w:rsid w:val="007516B9"/>
    <w:rsid w:val="0075183F"/>
    <w:rsid w:val="00751E28"/>
    <w:rsid w:val="00751F80"/>
    <w:rsid w:val="00752142"/>
    <w:rsid w:val="007523F9"/>
    <w:rsid w:val="00752483"/>
    <w:rsid w:val="00752897"/>
    <w:rsid w:val="007528B8"/>
    <w:rsid w:val="007529EB"/>
    <w:rsid w:val="00752B67"/>
    <w:rsid w:val="00753209"/>
    <w:rsid w:val="007532CA"/>
    <w:rsid w:val="007533B0"/>
    <w:rsid w:val="0075357E"/>
    <w:rsid w:val="00753B29"/>
    <w:rsid w:val="00753C25"/>
    <w:rsid w:val="00753CD0"/>
    <w:rsid w:val="00753DDD"/>
    <w:rsid w:val="00753EA8"/>
    <w:rsid w:val="007540A8"/>
    <w:rsid w:val="0075425B"/>
    <w:rsid w:val="0075441B"/>
    <w:rsid w:val="0075452A"/>
    <w:rsid w:val="0075458D"/>
    <w:rsid w:val="00754631"/>
    <w:rsid w:val="007546C9"/>
    <w:rsid w:val="007547C2"/>
    <w:rsid w:val="00754B2B"/>
    <w:rsid w:val="00754DE1"/>
    <w:rsid w:val="007552F7"/>
    <w:rsid w:val="0075545C"/>
    <w:rsid w:val="007557B9"/>
    <w:rsid w:val="00755A25"/>
    <w:rsid w:val="00755E85"/>
    <w:rsid w:val="007562F3"/>
    <w:rsid w:val="00756DE9"/>
    <w:rsid w:val="00756E25"/>
    <w:rsid w:val="00756E4D"/>
    <w:rsid w:val="00756E4F"/>
    <w:rsid w:val="00756E89"/>
    <w:rsid w:val="00756E9B"/>
    <w:rsid w:val="00756FEB"/>
    <w:rsid w:val="007573E8"/>
    <w:rsid w:val="007574BE"/>
    <w:rsid w:val="007576BB"/>
    <w:rsid w:val="00757971"/>
    <w:rsid w:val="00757AA8"/>
    <w:rsid w:val="007601CC"/>
    <w:rsid w:val="007601E0"/>
    <w:rsid w:val="007601E4"/>
    <w:rsid w:val="007603FA"/>
    <w:rsid w:val="00760449"/>
    <w:rsid w:val="007605B5"/>
    <w:rsid w:val="007606DD"/>
    <w:rsid w:val="00760849"/>
    <w:rsid w:val="00760A09"/>
    <w:rsid w:val="00760A0E"/>
    <w:rsid w:val="00760B49"/>
    <w:rsid w:val="00760C4E"/>
    <w:rsid w:val="00760F9E"/>
    <w:rsid w:val="00761009"/>
    <w:rsid w:val="0076116D"/>
    <w:rsid w:val="00761224"/>
    <w:rsid w:val="00761445"/>
    <w:rsid w:val="00761532"/>
    <w:rsid w:val="007616E6"/>
    <w:rsid w:val="00761A57"/>
    <w:rsid w:val="00761FCA"/>
    <w:rsid w:val="007623E1"/>
    <w:rsid w:val="00762448"/>
    <w:rsid w:val="0076264C"/>
    <w:rsid w:val="007627BE"/>
    <w:rsid w:val="0076298E"/>
    <w:rsid w:val="00762A2A"/>
    <w:rsid w:val="00762A33"/>
    <w:rsid w:val="00762AC3"/>
    <w:rsid w:val="00762D43"/>
    <w:rsid w:val="00762ED1"/>
    <w:rsid w:val="00763832"/>
    <w:rsid w:val="00763871"/>
    <w:rsid w:val="00763991"/>
    <w:rsid w:val="0076402C"/>
    <w:rsid w:val="0076449D"/>
    <w:rsid w:val="007649CC"/>
    <w:rsid w:val="00764B34"/>
    <w:rsid w:val="00764F03"/>
    <w:rsid w:val="00764F1D"/>
    <w:rsid w:val="00764FD3"/>
    <w:rsid w:val="00765435"/>
    <w:rsid w:val="007654BA"/>
    <w:rsid w:val="00765563"/>
    <w:rsid w:val="00765598"/>
    <w:rsid w:val="0076569A"/>
    <w:rsid w:val="0076595D"/>
    <w:rsid w:val="00765AB5"/>
    <w:rsid w:val="00765B1A"/>
    <w:rsid w:val="00765CB0"/>
    <w:rsid w:val="00765DC1"/>
    <w:rsid w:val="00766056"/>
    <w:rsid w:val="007663C6"/>
    <w:rsid w:val="007669A3"/>
    <w:rsid w:val="00766C6F"/>
    <w:rsid w:val="00766D6E"/>
    <w:rsid w:val="007672D7"/>
    <w:rsid w:val="007673D2"/>
    <w:rsid w:val="00767996"/>
    <w:rsid w:val="00767B94"/>
    <w:rsid w:val="00767CC1"/>
    <w:rsid w:val="0077008D"/>
    <w:rsid w:val="0077053C"/>
    <w:rsid w:val="00770718"/>
    <w:rsid w:val="007708E1"/>
    <w:rsid w:val="00770E15"/>
    <w:rsid w:val="00770F41"/>
    <w:rsid w:val="007710F1"/>
    <w:rsid w:val="007712E8"/>
    <w:rsid w:val="00771322"/>
    <w:rsid w:val="0077144D"/>
    <w:rsid w:val="007714F0"/>
    <w:rsid w:val="007716B4"/>
    <w:rsid w:val="00771B5F"/>
    <w:rsid w:val="00771C8F"/>
    <w:rsid w:val="007724F4"/>
    <w:rsid w:val="007725FF"/>
    <w:rsid w:val="00772C77"/>
    <w:rsid w:val="00772F72"/>
    <w:rsid w:val="00773333"/>
    <w:rsid w:val="00773638"/>
    <w:rsid w:val="00773877"/>
    <w:rsid w:val="00773A44"/>
    <w:rsid w:val="00773EA4"/>
    <w:rsid w:val="007747C4"/>
    <w:rsid w:val="007751AC"/>
    <w:rsid w:val="007757FE"/>
    <w:rsid w:val="00775813"/>
    <w:rsid w:val="007758C3"/>
    <w:rsid w:val="007759DC"/>
    <w:rsid w:val="00775D70"/>
    <w:rsid w:val="007760F7"/>
    <w:rsid w:val="007761B2"/>
    <w:rsid w:val="007768DB"/>
    <w:rsid w:val="00776A29"/>
    <w:rsid w:val="00776E21"/>
    <w:rsid w:val="00776F33"/>
    <w:rsid w:val="0077702B"/>
    <w:rsid w:val="0077717E"/>
    <w:rsid w:val="007771F1"/>
    <w:rsid w:val="007772ED"/>
    <w:rsid w:val="0077732B"/>
    <w:rsid w:val="00777335"/>
    <w:rsid w:val="007774A1"/>
    <w:rsid w:val="00777562"/>
    <w:rsid w:val="007777B1"/>
    <w:rsid w:val="00777BD4"/>
    <w:rsid w:val="007802CA"/>
    <w:rsid w:val="0078093B"/>
    <w:rsid w:val="00780DD0"/>
    <w:rsid w:val="00781295"/>
    <w:rsid w:val="0078133A"/>
    <w:rsid w:val="007813DE"/>
    <w:rsid w:val="00781478"/>
    <w:rsid w:val="00781AA1"/>
    <w:rsid w:val="00781D45"/>
    <w:rsid w:val="00781F37"/>
    <w:rsid w:val="007821EB"/>
    <w:rsid w:val="007823D4"/>
    <w:rsid w:val="00782584"/>
    <w:rsid w:val="007827BD"/>
    <w:rsid w:val="00782C99"/>
    <w:rsid w:val="00783452"/>
    <w:rsid w:val="007836B9"/>
    <w:rsid w:val="00783A21"/>
    <w:rsid w:val="00783A4B"/>
    <w:rsid w:val="0078419D"/>
    <w:rsid w:val="007842EE"/>
    <w:rsid w:val="007843F2"/>
    <w:rsid w:val="00784510"/>
    <w:rsid w:val="007846FA"/>
    <w:rsid w:val="00784D2A"/>
    <w:rsid w:val="00784F62"/>
    <w:rsid w:val="00785A9F"/>
    <w:rsid w:val="00785C19"/>
    <w:rsid w:val="0078640C"/>
    <w:rsid w:val="00786909"/>
    <w:rsid w:val="00786B19"/>
    <w:rsid w:val="007871BD"/>
    <w:rsid w:val="0078768F"/>
    <w:rsid w:val="0078774A"/>
    <w:rsid w:val="00787CC4"/>
    <w:rsid w:val="00787E76"/>
    <w:rsid w:val="00787E94"/>
    <w:rsid w:val="0079004A"/>
    <w:rsid w:val="00790588"/>
    <w:rsid w:val="007906CB"/>
    <w:rsid w:val="00790796"/>
    <w:rsid w:val="0079096A"/>
    <w:rsid w:val="007909BD"/>
    <w:rsid w:val="00791005"/>
    <w:rsid w:val="00791227"/>
    <w:rsid w:val="007917D9"/>
    <w:rsid w:val="007918FF"/>
    <w:rsid w:val="00791BF9"/>
    <w:rsid w:val="00791D51"/>
    <w:rsid w:val="007925AB"/>
    <w:rsid w:val="007925DF"/>
    <w:rsid w:val="0079287F"/>
    <w:rsid w:val="00792B1B"/>
    <w:rsid w:val="00792C20"/>
    <w:rsid w:val="00792E21"/>
    <w:rsid w:val="00792ED7"/>
    <w:rsid w:val="007932DA"/>
    <w:rsid w:val="007932E0"/>
    <w:rsid w:val="00793874"/>
    <w:rsid w:val="007939B5"/>
    <w:rsid w:val="00794037"/>
    <w:rsid w:val="00794926"/>
    <w:rsid w:val="00795389"/>
    <w:rsid w:val="0079543B"/>
    <w:rsid w:val="007957D5"/>
    <w:rsid w:val="00795982"/>
    <w:rsid w:val="00796373"/>
    <w:rsid w:val="007963ED"/>
    <w:rsid w:val="00796501"/>
    <w:rsid w:val="0079658D"/>
    <w:rsid w:val="007965F9"/>
    <w:rsid w:val="0079660E"/>
    <w:rsid w:val="00796616"/>
    <w:rsid w:val="0079664F"/>
    <w:rsid w:val="00796E1F"/>
    <w:rsid w:val="00796E43"/>
    <w:rsid w:val="007972F8"/>
    <w:rsid w:val="00797727"/>
    <w:rsid w:val="00797CFF"/>
    <w:rsid w:val="00797D39"/>
    <w:rsid w:val="00797E9A"/>
    <w:rsid w:val="00797EB8"/>
    <w:rsid w:val="007A0070"/>
    <w:rsid w:val="007A042B"/>
    <w:rsid w:val="007A07D2"/>
    <w:rsid w:val="007A08AA"/>
    <w:rsid w:val="007A09A5"/>
    <w:rsid w:val="007A09D9"/>
    <w:rsid w:val="007A0A12"/>
    <w:rsid w:val="007A0A51"/>
    <w:rsid w:val="007A0BD0"/>
    <w:rsid w:val="007A0E51"/>
    <w:rsid w:val="007A108E"/>
    <w:rsid w:val="007A132D"/>
    <w:rsid w:val="007A1345"/>
    <w:rsid w:val="007A157B"/>
    <w:rsid w:val="007A1675"/>
    <w:rsid w:val="007A1A28"/>
    <w:rsid w:val="007A1D9F"/>
    <w:rsid w:val="007A1F1E"/>
    <w:rsid w:val="007A2021"/>
    <w:rsid w:val="007A2024"/>
    <w:rsid w:val="007A2384"/>
    <w:rsid w:val="007A24C0"/>
    <w:rsid w:val="007A2714"/>
    <w:rsid w:val="007A29D8"/>
    <w:rsid w:val="007A2A6D"/>
    <w:rsid w:val="007A2DDB"/>
    <w:rsid w:val="007A2F07"/>
    <w:rsid w:val="007A338E"/>
    <w:rsid w:val="007A3C91"/>
    <w:rsid w:val="007A3CEF"/>
    <w:rsid w:val="007A48FD"/>
    <w:rsid w:val="007A4965"/>
    <w:rsid w:val="007A499F"/>
    <w:rsid w:val="007A4C8E"/>
    <w:rsid w:val="007A507C"/>
    <w:rsid w:val="007A50AE"/>
    <w:rsid w:val="007A50D1"/>
    <w:rsid w:val="007A5277"/>
    <w:rsid w:val="007A570A"/>
    <w:rsid w:val="007A5A35"/>
    <w:rsid w:val="007A5B0C"/>
    <w:rsid w:val="007A5D75"/>
    <w:rsid w:val="007A5E14"/>
    <w:rsid w:val="007A6047"/>
    <w:rsid w:val="007A6409"/>
    <w:rsid w:val="007A66DA"/>
    <w:rsid w:val="007A685C"/>
    <w:rsid w:val="007A6AD0"/>
    <w:rsid w:val="007A6D23"/>
    <w:rsid w:val="007A6FF7"/>
    <w:rsid w:val="007A70BA"/>
    <w:rsid w:val="007A77CD"/>
    <w:rsid w:val="007A7FEB"/>
    <w:rsid w:val="007B0020"/>
    <w:rsid w:val="007B00AF"/>
    <w:rsid w:val="007B03F2"/>
    <w:rsid w:val="007B046B"/>
    <w:rsid w:val="007B04A8"/>
    <w:rsid w:val="007B052E"/>
    <w:rsid w:val="007B0645"/>
    <w:rsid w:val="007B07B4"/>
    <w:rsid w:val="007B0D68"/>
    <w:rsid w:val="007B0D8A"/>
    <w:rsid w:val="007B1247"/>
    <w:rsid w:val="007B1734"/>
    <w:rsid w:val="007B1B8F"/>
    <w:rsid w:val="007B1BB9"/>
    <w:rsid w:val="007B1DD7"/>
    <w:rsid w:val="007B1F3A"/>
    <w:rsid w:val="007B211E"/>
    <w:rsid w:val="007B22A0"/>
    <w:rsid w:val="007B24BA"/>
    <w:rsid w:val="007B251D"/>
    <w:rsid w:val="007B265B"/>
    <w:rsid w:val="007B268B"/>
    <w:rsid w:val="007B2BDB"/>
    <w:rsid w:val="007B2DC3"/>
    <w:rsid w:val="007B2FAF"/>
    <w:rsid w:val="007B2FEF"/>
    <w:rsid w:val="007B300D"/>
    <w:rsid w:val="007B3077"/>
    <w:rsid w:val="007B3533"/>
    <w:rsid w:val="007B386A"/>
    <w:rsid w:val="007B39EB"/>
    <w:rsid w:val="007B3FD2"/>
    <w:rsid w:val="007B427D"/>
    <w:rsid w:val="007B42FA"/>
    <w:rsid w:val="007B43B8"/>
    <w:rsid w:val="007B4551"/>
    <w:rsid w:val="007B466A"/>
    <w:rsid w:val="007B4A8F"/>
    <w:rsid w:val="007B4AE1"/>
    <w:rsid w:val="007B4CE0"/>
    <w:rsid w:val="007B4F58"/>
    <w:rsid w:val="007B502A"/>
    <w:rsid w:val="007B50EE"/>
    <w:rsid w:val="007B528D"/>
    <w:rsid w:val="007B5679"/>
    <w:rsid w:val="007B58F3"/>
    <w:rsid w:val="007B5988"/>
    <w:rsid w:val="007B5C0F"/>
    <w:rsid w:val="007B5D05"/>
    <w:rsid w:val="007B6110"/>
    <w:rsid w:val="007B63CA"/>
    <w:rsid w:val="007B6492"/>
    <w:rsid w:val="007B6781"/>
    <w:rsid w:val="007B6A2B"/>
    <w:rsid w:val="007B6D55"/>
    <w:rsid w:val="007B702B"/>
    <w:rsid w:val="007B7156"/>
    <w:rsid w:val="007B7259"/>
    <w:rsid w:val="007B7265"/>
    <w:rsid w:val="007B72EA"/>
    <w:rsid w:val="007B77D1"/>
    <w:rsid w:val="007C026D"/>
    <w:rsid w:val="007C03BF"/>
    <w:rsid w:val="007C057C"/>
    <w:rsid w:val="007C07C7"/>
    <w:rsid w:val="007C0A81"/>
    <w:rsid w:val="007C0C85"/>
    <w:rsid w:val="007C1975"/>
    <w:rsid w:val="007C1CD9"/>
    <w:rsid w:val="007C1F9C"/>
    <w:rsid w:val="007C2256"/>
    <w:rsid w:val="007C23EC"/>
    <w:rsid w:val="007C23F9"/>
    <w:rsid w:val="007C26FB"/>
    <w:rsid w:val="007C2828"/>
    <w:rsid w:val="007C2E62"/>
    <w:rsid w:val="007C30DF"/>
    <w:rsid w:val="007C3288"/>
    <w:rsid w:val="007C32EF"/>
    <w:rsid w:val="007C361D"/>
    <w:rsid w:val="007C3848"/>
    <w:rsid w:val="007C3CCB"/>
    <w:rsid w:val="007C3E7D"/>
    <w:rsid w:val="007C40A7"/>
    <w:rsid w:val="007C4212"/>
    <w:rsid w:val="007C4319"/>
    <w:rsid w:val="007C445F"/>
    <w:rsid w:val="007C48E0"/>
    <w:rsid w:val="007C48F7"/>
    <w:rsid w:val="007C493F"/>
    <w:rsid w:val="007C4A4F"/>
    <w:rsid w:val="007C4B84"/>
    <w:rsid w:val="007C4DA2"/>
    <w:rsid w:val="007C4E0E"/>
    <w:rsid w:val="007C517F"/>
    <w:rsid w:val="007C53BB"/>
    <w:rsid w:val="007C57C0"/>
    <w:rsid w:val="007C5A83"/>
    <w:rsid w:val="007C6209"/>
    <w:rsid w:val="007C6458"/>
    <w:rsid w:val="007C67B0"/>
    <w:rsid w:val="007C6988"/>
    <w:rsid w:val="007C6D83"/>
    <w:rsid w:val="007C7071"/>
    <w:rsid w:val="007C70FF"/>
    <w:rsid w:val="007C727E"/>
    <w:rsid w:val="007C72E4"/>
    <w:rsid w:val="007C7533"/>
    <w:rsid w:val="007C764D"/>
    <w:rsid w:val="007C796F"/>
    <w:rsid w:val="007C7BAF"/>
    <w:rsid w:val="007C7C25"/>
    <w:rsid w:val="007D004F"/>
    <w:rsid w:val="007D010E"/>
    <w:rsid w:val="007D035F"/>
    <w:rsid w:val="007D0490"/>
    <w:rsid w:val="007D06B2"/>
    <w:rsid w:val="007D0819"/>
    <w:rsid w:val="007D098C"/>
    <w:rsid w:val="007D0B38"/>
    <w:rsid w:val="007D11BC"/>
    <w:rsid w:val="007D1430"/>
    <w:rsid w:val="007D19D7"/>
    <w:rsid w:val="007D2133"/>
    <w:rsid w:val="007D2B75"/>
    <w:rsid w:val="007D2F15"/>
    <w:rsid w:val="007D318C"/>
    <w:rsid w:val="007D3217"/>
    <w:rsid w:val="007D3674"/>
    <w:rsid w:val="007D3BBA"/>
    <w:rsid w:val="007D3CF6"/>
    <w:rsid w:val="007D3D5D"/>
    <w:rsid w:val="007D3E6B"/>
    <w:rsid w:val="007D416A"/>
    <w:rsid w:val="007D4884"/>
    <w:rsid w:val="007D48FC"/>
    <w:rsid w:val="007D4990"/>
    <w:rsid w:val="007D4A37"/>
    <w:rsid w:val="007D4ADA"/>
    <w:rsid w:val="007D4CE1"/>
    <w:rsid w:val="007D4E5C"/>
    <w:rsid w:val="007D513C"/>
    <w:rsid w:val="007D5440"/>
    <w:rsid w:val="007D5EF5"/>
    <w:rsid w:val="007D649B"/>
    <w:rsid w:val="007D6822"/>
    <w:rsid w:val="007D69EB"/>
    <w:rsid w:val="007D6DEE"/>
    <w:rsid w:val="007D6FB8"/>
    <w:rsid w:val="007E012E"/>
    <w:rsid w:val="007E05FB"/>
    <w:rsid w:val="007E0A32"/>
    <w:rsid w:val="007E0A96"/>
    <w:rsid w:val="007E0CA5"/>
    <w:rsid w:val="007E0E22"/>
    <w:rsid w:val="007E128F"/>
    <w:rsid w:val="007E1294"/>
    <w:rsid w:val="007E15ED"/>
    <w:rsid w:val="007E186A"/>
    <w:rsid w:val="007E1D7B"/>
    <w:rsid w:val="007E2282"/>
    <w:rsid w:val="007E2544"/>
    <w:rsid w:val="007E2654"/>
    <w:rsid w:val="007E292A"/>
    <w:rsid w:val="007E2A1A"/>
    <w:rsid w:val="007E2FA3"/>
    <w:rsid w:val="007E313A"/>
    <w:rsid w:val="007E332F"/>
    <w:rsid w:val="007E355A"/>
    <w:rsid w:val="007E3B3A"/>
    <w:rsid w:val="007E3CE0"/>
    <w:rsid w:val="007E4053"/>
    <w:rsid w:val="007E4428"/>
    <w:rsid w:val="007E4460"/>
    <w:rsid w:val="007E4B8C"/>
    <w:rsid w:val="007E518C"/>
    <w:rsid w:val="007E5F57"/>
    <w:rsid w:val="007E5FCE"/>
    <w:rsid w:val="007E6C16"/>
    <w:rsid w:val="007E6D7D"/>
    <w:rsid w:val="007E6F85"/>
    <w:rsid w:val="007E70AB"/>
    <w:rsid w:val="007E72A5"/>
    <w:rsid w:val="007E7FA5"/>
    <w:rsid w:val="007F04BB"/>
    <w:rsid w:val="007F0506"/>
    <w:rsid w:val="007F086B"/>
    <w:rsid w:val="007F0990"/>
    <w:rsid w:val="007F0BFE"/>
    <w:rsid w:val="007F0E5B"/>
    <w:rsid w:val="007F1017"/>
    <w:rsid w:val="007F107A"/>
    <w:rsid w:val="007F1257"/>
    <w:rsid w:val="007F150B"/>
    <w:rsid w:val="007F20F1"/>
    <w:rsid w:val="007F26C0"/>
    <w:rsid w:val="007F2B29"/>
    <w:rsid w:val="007F2B91"/>
    <w:rsid w:val="007F2DE3"/>
    <w:rsid w:val="007F3467"/>
    <w:rsid w:val="007F3610"/>
    <w:rsid w:val="007F3E45"/>
    <w:rsid w:val="007F3E9E"/>
    <w:rsid w:val="007F4387"/>
    <w:rsid w:val="007F43CD"/>
    <w:rsid w:val="007F4711"/>
    <w:rsid w:val="007F4917"/>
    <w:rsid w:val="007F4A3F"/>
    <w:rsid w:val="007F4A4E"/>
    <w:rsid w:val="007F4A61"/>
    <w:rsid w:val="007F4C62"/>
    <w:rsid w:val="007F4D07"/>
    <w:rsid w:val="007F50FF"/>
    <w:rsid w:val="007F5169"/>
    <w:rsid w:val="007F5255"/>
    <w:rsid w:val="007F56CC"/>
    <w:rsid w:val="007F5729"/>
    <w:rsid w:val="007F5A88"/>
    <w:rsid w:val="007F5BFB"/>
    <w:rsid w:val="007F61C2"/>
    <w:rsid w:val="007F6DD6"/>
    <w:rsid w:val="007F72AA"/>
    <w:rsid w:val="007F72FC"/>
    <w:rsid w:val="007F76FC"/>
    <w:rsid w:val="007F788F"/>
    <w:rsid w:val="007F78EF"/>
    <w:rsid w:val="007F7B6C"/>
    <w:rsid w:val="008004E1"/>
    <w:rsid w:val="00800683"/>
    <w:rsid w:val="00800B65"/>
    <w:rsid w:val="0080100F"/>
    <w:rsid w:val="008012D1"/>
    <w:rsid w:val="00801520"/>
    <w:rsid w:val="00801BDA"/>
    <w:rsid w:val="00801C1E"/>
    <w:rsid w:val="00801F67"/>
    <w:rsid w:val="00801F87"/>
    <w:rsid w:val="008026D4"/>
    <w:rsid w:val="008027F5"/>
    <w:rsid w:val="00802E68"/>
    <w:rsid w:val="00803293"/>
    <w:rsid w:val="0080330A"/>
    <w:rsid w:val="0080336A"/>
    <w:rsid w:val="008034A5"/>
    <w:rsid w:val="008036D3"/>
    <w:rsid w:val="0080372F"/>
    <w:rsid w:val="00803AA4"/>
    <w:rsid w:val="00803BCF"/>
    <w:rsid w:val="0080419C"/>
    <w:rsid w:val="00804409"/>
    <w:rsid w:val="00804A26"/>
    <w:rsid w:val="00804FDB"/>
    <w:rsid w:val="00805142"/>
    <w:rsid w:val="0080566B"/>
    <w:rsid w:val="008058C3"/>
    <w:rsid w:val="00805971"/>
    <w:rsid w:val="00805FCE"/>
    <w:rsid w:val="008060C3"/>
    <w:rsid w:val="00806199"/>
    <w:rsid w:val="0080626B"/>
    <w:rsid w:val="00806476"/>
    <w:rsid w:val="00806485"/>
    <w:rsid w:val="00806B23"/>
    <w:rsid w:val="00806E64"/>
    <w:rsid w:val="00806F2D"/>
    <w:rsid w:val="008071F2"/>
    <w:rsid w:val="008072DA"/>
    <w:rsid w:val="0080749B"/>
    <w:rsid w:val="0080775C"/>
    <w:rsid w:val="00807A8B"/>
    <w:rsid w:val="0081043A"/>
    <w:rsid w:val="00810560"/>
    <w:rsid w:val="008105A6"/>
    <w:rsid w:val="0081085F"/>
    <w:rsid w:val="008108B7"/>
    <w:rsid w:val="00810C18"/>
    <w:rsid w:val="00810DCE"/>
    <w:rsid w:val="00810E7A"/>
    <w:rsid w:val="00811383"/>
    <w:rsid w:val="00811669"/>
    <w:rsid w:val="008118AE"/>
    <w:rsid w:val="00811944"/>
    <w:rsid w:val="00811E3E"/>
    <w:rsid w:val="00812149"/>
    <w:rsid w:val="00812178"/>
    <w:rsid w:val="00812893"/>
    <w:rsid w:val="00812CAC"/>
    <w:rsid w:val="00812D6E"/>
    <w:rsid w:val="00812F6E"/>
    <w:rsid w:val="0081322C"/>
    <w:rsid w:val="00813345"/>
    <w:rsid w:val="008134ED"/>
    <w:rsid w:val="008138E1"/>
    <w:rsid w:val="00813906"/>
    <w:rsid w:val="00813954"/>
    <w:rsid w:val="00813BB8"/>
    <w:rsid w:val="0081411A"/>
    <w:rsid w:val="00814965"/>
    <w:rsid w:val="00814A93"/>
    <w:rsid w:val="00814CA4"/>
    <w:rsid w:val="00814E38"/>
    <w:rsid w:val="00814E4E"/>
    <w:rsid w:val="00815159"/>
    <w:rsid w:val="00815652"/>
    <w:rsid w:val="00815DEF"/>
    <w:rsid w:val="00816361"/>
    <w:rsid w:val="008163B6"/>
    <w:rsid w:val="008166EF"/>
    <w:rsid w:val="00816AD2"/>
    <w:rsid w:val="00816BE6"/>
    <w:rsid w:val="00816D11"/>
    <w:rsid w:val="00816D28"/>
    <w:rsid w:val="00816EF0"/>
    <w:rsid w:val="00816FEF"/>
    <w:rsid w:val="00817E41"/>
    <w:rsid w:val="00817F49"/>
    <w:rsid w:val="008202DF"/>
    <w:rsid w:val="00820A8C"/>
    <w:rsid w:val="00820E4A"/>
    <w:rsid w:val="00820F30"/>
    <w:rsid w:val="00821154"/>
    <w:rsid w:val="008215FB"/>
    <w:rsid w:val="0082172B"/>
    <w:rsid w:val="00821983"/>
    <w:rsid w:val="008219B9"/>
    <w:rsid w:val="00821AC1"/>
    <w:rsid w:val="00821B64"/>
    <w:rsid w:val="00821F5A"/>
    <w:rsid w:val="00822010"/>
    <w:rsid w:val="008220CC"/>
    <w:rsid w:val="00822150"/>
    <w:rsid w:val="00822327"/>
    <w:rsid w:val="00822352"/>
    <w:rsid w:val="0082251D"/>
    <w:rsid w:val="008226C5"/>
    <w:rsid w:val="0082272A"/>
    <w:rsid w:val="00822ACE"/>
    <w:rsid w:val="00822D6E"/>
    <w:rsid w:val="00823174"/>
    <w:rsid w:val="0082335A"/>
    <w:rsid w:val="00823584"/>
    <w:rsid w:val="00823591"/>
    <w:rsid w:val="008235A3"/>
    <w:rsid w:val="008238F2"/>
    <w:rsid w:val="00823AA6"/>
    <w:rsid w:val="00823AD7"/>
    <w:rsid w:val="00823D67"/>
    <w:rsid w:val="00824106"/>
    <w:rsid w:val="0082414B"/>
    <w:rsid w:val="00825085"/>
    <w:rsid w:val="008251AB"/>
    <w:rsid w:val="008251BE"/>
    <w:rsid w:val="00825213"/>
    <w:rsid w:val="008254E5"/>
    <w:rsid w:val="0082558F"/>
    <w:rsid w:val="00825747"/>
    <w:rsid w:val="00825751"/>
    <w:rsid w:val="00825828"/>
    <w:rsid w:val="008259D3"/>
    <w:rsid w:val="00825EB8"/>
    <w:rsid w:val="00826107"/>
    <w:rsid w:val="00826197"/>
    <w:rsid w:val="0082627A"/>
    <w:rsid w:val="008263FE"/>
    <w:rsid w:val="008264EB"/>
    <w:rsid w:val="0082674E"/>
    <w:rsid w:val="008268CE"/>
    <w:rsid w:val="00826A39"/>
    <w:rsid w:val="00826AB4"/>
    <w:rsid w:val="0082761B"/>
    <w:rsid w:val="0082764F"/>
    <w:rsid w:val="00827765"/>
    <w:rsid w:val="00827845"/>
    <w:rsid w:val="00827896"/>
    <w:rsid w:val="00827AA1"/>
    <w:rsid w:val="00827C23"/>
    <w:rsid w:val="00827D14"/>
    <w:rsid w:val="00827D16"/>
    <w:rsid w:val="00827EA8"/>
    <w:rsid w:val="0083009A"/>
    <w:rsid w:val="008300D7"/>
    <w:rsid w:val="00830185"/>
    <w:rsid w:val="00830677"/>
    <w:rsid w:val="00830C03"/>
    <w:rsid w:val="00830F5F"/>
    <w:rsid w:val="008312E9"/>
    <w:rsid w:val="00831839"/>
    <w:rsid w:val="00831AA2"/>
    <w:rsid w:val="00831B07"/>
    <w:rsid w:val="00832283"/>
    <w:rsid w:val="008324F9"/>
    <w:rsid w:val="00832751"/>
    <w:rsid w:val="008329A4"/>
    <w:rsid w:val="00832CF4"/>
    <w:rsid w:val="00832E21"/>
    <w:rsid w:val="00832E34"/>
    <w:rsid w:val="008335DF"/>
    <w:rsid w:val="008338E7"/>
    <w:rsid w:val="00833B05"/>
    <w:rsid w:val="008343E3"/>
    <w:rsid w:val="0083455A"/>
    <w:rsid w:val="00834C73"/>
    <w:rsid w:val="00834D00"/>
    <w:rsid w:val="00834E0A"/>
    <w:rsid w:val="008352C4"/>
    <w:rsid w:val="008353B0"/>
    <w:rsid w:val="0083546A"/>
    <w:rsid w:val="008358C0"/>
    <w:rsid w:val="008359B9"/>
    <w:rsid w:val="00835A47"/>
    <w:rsid w:val="00835A9D"/>
    <w:rsid w:val="0083627D"/>
    <w:rsid w:val="008362B4"/>
    <w:rsid w:val="008364D5"/>
    <w:rsid w:val="0083676E"/>
    <w:rsid w:val="00836BBA"/>
    <w:rsid w:val="00836E18"/>
    <w:rsid w:val="008371D2"/>
    <w:rsid w:val="008374D7"/>
    <w:rsid w:val="00837764"/>
    <w:rsid w:val="00837AE3"/>
    <w:rsid w:val="00837CC3"/>
    <w:rsid w:val="00837F41"/>
    <w:rsid w:val="00840015"/>
    <w:rsid w:val="0084006F"/>
    <w:rsid w:val="008402AA"/>
    <w:rsid w:val="008402E9"/>
    <w:rsid w:val="00840711"/>
    <w:rsid w:val="00840B47"/>
    <w:rsid w:val="00840CA2"/>
    <w:rsid w:val="00840DB2"/>
    <w:rsid w:val="00840F4A"/>
    <w:rsid w:val="008412AB"/>
    <w:rsid w:val="00841D9B"/>
    <w:rsid w:val="00841DE6"/>
    <w:rsid w:val="00841F88"/>
    <w:rsid w:val="00841FC5"/>
    <w:rsid w:val="00842424"/>
    <w:rsid w:val="008425E3"/>
    <w:rsid w:val="00842872"/>
    <w:rsid w:val="0084289E"/>
    <w:rsid w:val="00842B62"/>
    <w:rsid w:val="00842D33"/>
    <w:rsid w:val="00842EC5"/>
    <w:rsid w:val="0084374F"/>
    <w:rsid w:val="00843D11"/>
    <w:rsid w:val="00844A22"/>
    <w:rsid w:val="00844C15"/>
    <w:rsid w:val="00844C62"/>
    <w:rsid w:val="00844D88"/>
    <w:rsid w:val="00844F44"/>
    <w:rsid w:val="008453DC"/>
    <w:rsid w:val="0084558F"/>
    <w:rsid w:val="0084563C"/>
    <w:rsid w:val="0084587D"/>
    <w:rsid w:val="00845A76"/>
    <w:rsid w:val="00845AC5"/>
    <w:rsid w:val="00845E1E"/>
    <w:rsid w:val="00846058"/>
    <w:rsid w:val="008462D1"/>
    <w:rsid w:val="0084656E"/>
    <w:rsid w:val="00846755"/>
    <w:rsid w:val="00846931"/>
    <w:rsid w:val="00846999"/>
    <w:rsid w:val="00846F87"/>
    <w:rsid w:val="008472F5"/>
    <w:rsid w:val="00847703"/>
    <w:rsid w:val="008478F9"/>
    <w:rsid w:val="008479A4"/>
    <w:rsid w:val="008479F3"/>
    <w:rsid w:val="00847DF5"/>
    <w:rsid w:val="008500B2"/>
    <w:rsid w:val="008500EB"/>
    <w:rsid w:val="0085056E"/>
    <w:rsid w:val="0085072F"/>
    <w:rsid w:val="00850FF1"/>
    <w:rsid w:val="008511FB"/>
    <w:rsid w:val="00851659"/>
    <w:rsid w:val="008519CE"/>
    <w:rsid w:val="0085233D"/>
    <w:rsid w:val="00852459"/>
    <w:rsid w:val="00852997"/>
    <w:rsid w:val="0085309D"/>
    <w:rsid w:val="0085310E"/>
    <w:rsid w:val="008537A6"/>
    <w:rsid w:val="008537C1"/>
    <w:rsid w:val="00853822"/>
    <w:rsid w:val="008538C2"/>
    <w:rsid w:val="00853A13"/>
    <w:rsid w:val="00853BBB"/>
    <w:rsid w:val="00853F7B"/>
    <w:rsid w:val="00854576"/>
    <w:rsid w:val="00855097"/>
    <w:rsid w:val="00855340"/>
    <w:rsid w:val="008555E0"/>
    <w:rsid w:val="008557B8"/>
    <w:rsid w:val="008559A5"/>
    <w:rsid w:val="00855AE1"/>
    <w:rsid w:val="00855EE0"/>
    <w:rsid w:val="00856094"/>
    <w:rsid w:val="0085636B"/>
    <w:rsid w:val="0085669F"/>
    <w:rsid w:val="0085671F"/>
    <w:rsid w:val="008567A1"/>
    <w:rsid w:val="00856887"/>
    <w:rsid w:val="00856897"/>
    <w:rsid w:val="00856E9A"/>
    <w:rsid w:val="00856FFB"/>
    <w:rsid w:val="0085740A"/>
    <w:rsid w:val="008574A2"/>
    <w:rsid w:val="008577B7"/>
    <w:rsid w:val="008578A2"/>
    <w:rsid w:val="0086075D"/>
    <w:rsid w:val="00860AE9"/>
    <w:rsid w:val="00860DED"/>
    <w:rsid w:val="008612F9"/>
    <w:rsid w:val="0086131A"/>
    <w:rsid w:val="00861403"/>
    <w:rsid w:val="008615BB"/>
    <w:rsid w:val="008615BF"/>
    <w:rsid w:val="00861656"/>
    <w:rsid w:val="00861A3B"/>
    <w:rsid w:val="00861AC3"/>
    <w:rsid w:val="00861AF6"/>
    <w:rsid w:val="00861CD2"/>
    <w:rsid w:val="00862061"/>
    <w:rsid w:val="008621B1"/>
    <w:rsid w:val="008623CE"/>
    <w:rsid w:val="00862502"/>
    <w:rsid w:val="008626CA"/>
    <w:rsid w:val="008629D0"/>
    <w:rsid w:val="00862CC1"/>
    <w:rsid w:val="0086346C"/>
    <w:rsid w:val="00863522"/>
    <w:rsid w:val="008639BA"/>
    <w:rsid w:val="00863ABD"/>
    <w:rsid w:val="00864070"/>
    <w:rsid w:val="00864153"/>
    <w:rsid w:val="00864276"/>
    <w:rsid w:val="008642A7"/>
    <w:rsid w:val="00864B7F"/>
    <w:rsid w:val="008653DB"/>
    <w:rsid w:val="00865A44"/>
    <w:rsid w:val="00865B56"/>
    <w:rsid w:val="00865F6C"/>
    <w:rsid w:val="008660D4"/>
    <w:rsid w:val="008661B6"/>
    <w:rsid w:val="00866279"/>
    <w:rsid w:val="00866755"/>
    <w:rsid w:val="008667F8"/>
    <w:rsid w:val="00866AB5"/>
    <w:rsid w:val="00866BF1"/>
    <w:rsid w:val="00866D9B"/>
    <w:rsid w:val="00866DD8"/>
    <w:rsid w:val="008670D0"/>
    <w:rsid w:val="00867463"/>
    <w:rsid w:val="008676B3"/>
    <w:rsid w:val="008678CA"/>
    <w:rsid w:val="00867A0B"/>
    <w:rsid w:val="00867A0E"/>
    <w:rsid w:val="00867A81"/>
    <w:rsid w:val="00867B65"/>
    <w:rsid w:val="0087058E"/>
    <w:rsid w:val="00870DD4"/>
    <w:rsid w:val="008710A7"/>
    <w:rsid w:val="00871160"/>
    <w:rsid w:val="0087137A"/>
    <w:rsid w:val="00871951"/>
    <w:rsid w:val="0087195B"/>
    <w:rsid w:val="00871BA0"/>
    <w:rsid w:val="00871FA9"/>
    <w:rsid w:val="008720CC"/>
    <w:rsid w:val="008721FD"/>
    <w:rsid w:val="0087261B"/>
    <w:rsid w:val="008727D3"/>
    <w:rsid w:val="00872800"/>
    <w:rsid w:val="008728E9"/>
    <w:rsid w:val="00872A5E"/>
    <w:rsid w:val="00873187"/>
    <w:rsid w:val="008736D5"/>
    <w:rsid w:val="00873E64"/>
    <w:rsid w:val="00873F82"/>
    <w:rsid w:val="008743C5"/>
    <w:rsid w:val="008743D6"/>
    <w:rsid w:val="0087456A"/>
    <w:rsid w:val="008747D3"/>
    <w:rsid w:val="00874D85"/>
    <w:rsid w:val="0087513B"/>
    <w:rsid w:val="00875B49"/>
    <w:rsid w:val="00875CF6"/>
    <w:rsid w:val="00875EC6"/>
    <w:rsid w:val="00875EE7"/>
    <w:rsid w:val="00875F6B"/>
    <w:rsid w:val="00876377"/>
    <w:rsid w:val="0087643A"/>
    <w:rsid w:val="00876941"/>
    <w:rsid w:val="00876A9E"/>
    <w:rsid w:val="00876D80"/>
    <w:rsid w:val="008772E1"/>
    <w:rsid w:val="008775AA"/>
    <w:rsid w:val="00877686"/>
    <w:rsid w:val="008776DB"/>
    <w:rsid w:val="008776F9"/>
    <w:rsid w:val="00877D7E"/>
    <w:rsid w:val="00877DBC"/>
    <w:rsid w:val="00877DE7"/>
    <w:rsid w:val="00877EA2"/>
    <w:rsid w:val="0088008A"/>
    <w:rsid w:val="008800F5"/>
    <w:rsid w:val="0088024B"/>
    <w:rsid w:val="008803E5"/>
    <w:rsid w:val="0088045E"/>
    <w:rsid w:val="008804D4"/>
    <w:rsid w:val="00880D21"/>
    <w:rsid w:val="00880EC8"/>
    <w:rsid w:val="008814A1"/>
    <w:rsid w:val="0088181C"/>
    <w:rsid w:val="00881BF1"/>
    <w:rsid w:val="0088208E"/>
    <w:rsid w:val="008822BD"/>
    <w:rsid w:val="008824BA"/>
    <w:rsid w:val="00882874"/>
    <w:rsid w:val="00882AF5"/>
    <w:rsid w:val="00882CDE"/>
    <w:rsid w:val="00882E06"/>
    <w:rsid w:val="00882E21"/>
    <w:rsid w:val="00882E3C"/>
    <w:rsid w:val="0088308A"/>
    <w:rsid w:val="0088314F"/>
    <w:rsid w:val="00883171"/>
    <w:rsid w:val="00883185"/>
    <w:rsid w:val="008835F1"/>
    <w:rsid w:val="00883787"/>
    <w:rsid w:val="00883AE7"/>
    <w:rsid w:val="00883DDF"/>
    <w:rsid w:val="00884023"/>
    <w:rsid w:val="00884045"/>
    <w:rsid w:val="008841AA"/>
    <w:rsid w:val="0088423F"/>
    <w:rsid w:val="008842C5"/>
    <w:rsid w:val="00884577"/>
    <w:rsid w:val="00884BC3"/>
    <w:rsid w:val="008851BC"/>
    <w:rsid w:val="0088525F"/>
    <w:rsid w:val="0088555D"/>
    <w:rsid w:val="008855E4"/>
    <w:rsid w:val="00885719"/>
    <w:rsid w:val="00885927"/>
    <w:rsid w:val="008859B9"/>
    <w:rsid w:val="00885D2E"/>
    <w:rsid w:val="00885EA1"/>
    <w:rsid w:val="0088638D"/>
    <w:rsid w:val="008864F9"/>
    <w:rsid w:val="008866BF"/>
    <w:rsid w:val="008868D4"/>
    <w:rsid w:val="00886CD2"/>
    <w:rsid w:val="00886DA1"/>
    <w:rsid w:val="00886FC9"/>
    <w:rsid w:val="008875F1"/>
    <w:rsid w:val="008877A9"/>
    <w:rsid w:val="008878B9"/>
    <w:rsid w:val="00887D2C"/>
    <w:rsid w:val="00887D87"/>
    <w:rsid w:val="00887DC5"/>
    <w:rsid w:val="00887E29"/>
    <w:rsid w:val="00887E9F"/>
    <w:rsid w:val="00887FDC"/>
    <w:rsid w:val="00890008"/>
    <w:rsid w:val="00890235"/>
    <w:rsid w:val="0089026E"/>
    <w:rsid w:val="008907CF"/>
    <w:rsid w:val="0089082A"/>
    <w:rsid w:val="008909FE"/>
    <w:rsid w:val="00890D2C"/>
    <w:rsid w:val="00890DCE"/>
    <w:rsid w:val="00890E45"/>
    <w:rsid w:val="00890FAF"/>
    <w:rsid w:val="008912A5"/>
    <w:rsid w:val="00891429"/>
    <w:rsid w:val="008916DB"/>
    <w:rsid w:val="00891E6F"/>
    <w:rsid w:val="0089208D"/>
    <w:rsid w:val="008924D9"/>
    <w:rsid w:val="0089275D"/>
    <w:rsid w:val="00892867"/>
    <w:rsid w:val="00892978"/>
    <w:rsid w:val="00892A36"/>
    <w:rsid w:val="00892E61"/>
    <w:rsid w:val="008931D3"/>
    <w:rsid w:val="00893239"/>
    <w:rsid w:val="00893281"/>
    <w:rsid w:val="0089358B"/>
    <w:rsid w:val="00893D0E"/>
    <w:rsid w:val="0089420E"/>
    <w:rsid w:val="00894489"/>
    <w:rsid w:val="00894576"/>
    <w:rsid w:val="00894C74"/>
    <w:rsid w:val="00894CD6"/>
    <w:rsid w:val="00894FC9"/>
    <w:rsid w:val="00895460"/>
    <w:rsid w:val="00895707"/>
    <w:rsid w:val="0089589B"/>
    <w:rsid w:val="00895C1F"/>
    <w:rsid w:val="00895D9F"/>
    <w:rsid w:val="008961E1"/>
    <w:rsid w:val="008963A5"/>
    <w:rsid w:val="00896704"/>
    <w:rsid w:val="00896756"/>
    <w:rsid w:val="00896CC1"/>
    <w:rsid w:val="00896D5D"/>
    <w:rsid w:val="00896E76"/>
    <w:rsid w:val="00896E84"/>
    <w:rsid w:val="008970BE"/>
    <w:rsid w:val="008973A2"/>
    <w:rsid w:val="008978FD"/>
    <w:rsid w:val="00897959"/>
    <w:rsid w:val="00897E6B"/>
    <w:rsid w:val="008A0087"/>
    <w:rsid w:val="008A019C"/>
    <w:rsid w:val="008A01F6"/>
    <w:rsid w:val="008A0812"/>
    <w:rsid w:val="008A0A37"/>
    <w:rsid w:val="008A0BB2"/>
    <w:rsid w:val="008A0D35"/>
    <w:rsid w:val="008A0E23"/>
    <w:rsid w:val="008A1D9A"/>
    <w:rsid w:val="008A1F40"/>
    <w:rsid w:val="008A2047"/>
    <w:rsid w:val="008A22F3"/>
    <w:rsid w:val="008A2EDA"/>
    <w:rsid w:val="008A2FAB"/>
    <w:rsid w:val="008A2FC4"/>
    <w:rsid w:val="008A3158"/>
    <w:rsid w:val="008A3363"/>
    <w:rsid w:val="008A3371"/>
    <w:rsid w:val="008A3C3E"/>
    <w:rsid w:val="008A401D"/>
    <w:rsid w:val="008A40DC"/>
    <w:rsid w:val="008A41B2"/>
    <w:rsid w:val="008A41F3"/>
    <w:rsid w:val="008A4840"/>
    <w:rsid w:val="008A4AAF"/>
    <w:rsid w:val="008A4B3D"/>
    <w:rsid w:val="008A4BA0"/>
    <w:rsid w:val="008A4C78"/>
    <w:rsid w:val="008A4E09"/>
    <w:rsid w:val="008A4E63"/>
    <w:rsid w:val="008A4ED8"/>
    <w:rsid w:val="008A53FE"/>
    <w:rsid w:val="008A5878"/>
    <w:rsid w:val="008A5919"/>
    <w:rsid w:val="008A5D2B"/>
    <w:rsid w:val="008A5E2E"/>
    <w:rsid w:val="008A634A"/>
    <w:rsid w:val="008A6A2F"/>
    <w:rsid w:val="008A6AAA"/>
    <w:rsid w:val="008A6D1C"/>
    <w:rsid w:val="008A7141"/>
    <w:rsid w:val="008A71DD"/>
    <w:rsid w:val="008A72B0"/>
    <w:rsid w:val="008A72BE"/>
    <w:rsid w:val="008A7313"/>
    <w:rsid w:val="008A79DE"/>
    <w:rsid w:val="008A7B39"/>
    <w:rsid w:val="008B0017"/>
    <w:rsid w:val="008B0092"/>
    <w:rsid w:val="008B0528"/>
    <w:rsid w:val="008B07A1"/>
    <w:rsid w:val="008B07A4"/>
    <w:rsid w:val="008B0ADC"/>
    <w:rsid w:val="008B0ADE"/>
    <w:rsid w:val="008B0C80"/>
    <w:rsid w:val="008B0E21"/>
    <w:rsid w:val="008B11EB"/>
    <w:rsid w:val="008B127A"/>
    <w:rsid w:val="008B16EF"/>
    <w:rsid w:val="008B174F"/>
    <w:rsid w:val="008B1757"/>
    <w:rsid w:val="008B197B"/>
    <w:rsid w:val="008B1A45"/>
    <w:rsid w:val="008B1AF0"/>
    <w:rsid w:val="008B1C33"/>
    <w:rsid w:val="008B1E60"/>
    <w:rsid w:val="008B2121"/>
    <w:rsid w:val="008B2193"/>
    <w:rsid w:val="008B246C"/>
    <w:rsid w:val="008B2521"/>
    <w:rsid w:val="008B269C"/>
    <w:rsid w:val="008B291D"/>
    <w:rsid w:val="008B2C15"/>
    <w:rsid w:val="008B2D31"/>
    <w:rsid w:val="008B2D9D"/>
    <w:rsid w:val="008B2EDD"/>
    <w:rsid w:val="008B3416"/>
    <w:rsid w:val="008B3830"/>
    <w:rsid w:val="008B38E9"/>
    <w:rsid w:val="008B3984"/>
    <w:rsid w:val="008B3A91"/>
    <w:rsid w:val="008B3BDE"/>
    <w:rsid w:val="008B3BE0"/>
    <w:rsid w:val="008B40B3"/>
    <w:rsid w:val="008B43A0"/>
    <w:rsid w:val="008B43E8"/>
    <w:rsid w:val="008B4469"/>
    <w:rsid w:val="008B4610"/>
    <w:rsid w:val="008B4848"/>
    <w:rsid w:val="008B4AA9"/>
    <w:rsid w:val="008B4B2F"/>
    <w:rsid w:val="008B4B6F"/>
    <w:rsid w:val="008B4C89"/>
    <w:rsid w:val="008B4DAD"/>
    <w:rsid w:val="008B51A6"/>
    <w:rsid w:val="008B5281"/>
    <w:rsid w:val="008B53F9"/>
    <w:rsid w:val="008B565D"/>
    <w:rsid w:val="008B5718"/>
    <w:rsid w:val="008B5952"/>
    <w:rsid w:val="008B5AB1"/>
    <w:rsid w:val="008B5D10"/>
    <w:rsid w:val="008B5EE2"/>
    <w:rsid w:val="008B6065"/>
    <w:rsid w:val="008B6225"/>
    <w:rsid w:val="008B631E"/>
    <w:rsid w:val="008B681A"/>
    <w:rsid w:val="008B6907"/>
    <w:rsid w:val="008B76F6"/>
    <w:rsid w:val="008B7992"/>
    <w:rsid w:val="008B7D3E"/>
    <w:rsid w:val="008B7D7E"/>
    <w:rsid w:val="008C00C6"/>
    <w:rsid w:val="008C04ED"/>
    <w:rsid w:val="008C0B3D"/>
    <w:rsid w:val="008C0B9C"/>
    <w:rsid w:val="008C10D2"/>
    <w:rsid w:val="008C151D"/>
    <w:rsid w:val="008C16A1"/>
    <w:rsid w:val="008C189C"/>
    <w:rsid w:val="008C1B6B"/>
    <w:rsid w:val="008C1EF8"/>
    <w:rsid w:val="008C2128"/>
    <w:rsid w:val="008C25C3"/>
    <w:rsid w:val="008C2AA0"/>
    <w:rsid w:val="008C2B1E"/>
    <w:rsid w:val="008C2D7F"/>
    <w:rsid w:val="008C351B"/>
    <w:rsid w:val="008C36F7"/>
    <w:rsid w:val="008C40F4"/>
    <w:rsid w:val="008C47AB"/>
    <w:rsid w:val="008C4A34"/>
    <w:rsid w:val="008C52F8"/>
    <w:rsid w:val="008C542F"/>
    <w:rsid w:val="008C5502"/>
    <w:rsid w:val="008C55F2"/>
    <w:rsid w:val="008C5610"/>
    <w:rsid w:val="008C5739"/>
    <w:rsid w:val="008C5A0A"/>
    <w:rsid w:val="008C5B0A"/>
    <w:rsid w:val="008C6318"/>
    <w:rsid w:val="008C6336"/>
    <w:rsid w:val="008C64F9"/>
    <w:rsid w:val="008C659F"/>
    <w:rsid w:val="008C6B29"/>
    <w:rsid w:val="008C6F3D"/>
    <w:rsid w:val="008C710E"/>
    <w:rsid w:val="008C717C"/>
    <w:rsid w:val="008C7282"/>
    <w:rsid w:val="008C76C9"/>
    <w:rsid w:val="008C79A1"/>
    <w:rsid w:val="008C7ECB"/>
    <w:rsid w:val="008D0547"/>
    <w:rsid w:val="008D0608"/>
    <w:rsid w:val="008D0627"/>
    <w:rsid w:val="008D078E"/>
    <w:rsid w:val="008D089E"/>
    <w:rsid w:val="008D0A0C"/>
    <w:rsid w:val="008D1084"/>
    <w:rsid w:val="008D13CE"/>
    <w:rsid w:val="008D18B2"/>
    <w:rsid w:val="008D1917"/>
    <w:rsid w:val="008D1B15"/>
    <w:rsid w:val="008D1BC8"/>
    <w:rsid w:val="008D1C15"/>
    <w:rsid w:val="008D1C7E"/>
    <w:rsid w:val="008D1D1B"/>
    <w:rsid w:val="008D2131"/>
    <w:rsid w:val="008D2889"/>
    <w:rsid w:val="008D2C35"/>
    <w:rsid w:val="008D2F45"/>
    <w:rsid w:val="008D2F9C"/>
    <w:rsid w:val="008D311E"/>
    <w:rsid w:val="008D3239"/>
    <w:rsid w:val="008D3429"/>
    <w:rsid w:val="008D3719"/>
    <w:rsid w:val="008D37EA"/>
    <w:rsid w:val="008D3A95"/>
    <w:rsid w:val="008D3B86"/>
    <w:rsid w:val="008D3C26"/>
    <w:rsid w:val="008D42AE"/>
    <w:rsid w:val="008D432E"/>
    <w:rsid w:val="008D43FD"/>
    <w:rsid w:val="008D4755"/>
    <w:rsid w:val="008D4B8C"/>
    <w:rsid w:val="008D4C3D"/>
    <w:rsid w:val="008D4F5A"/>
    <w:rsid w:val="008D504C"/>
    <w:rsid w:val="008D5A6E"/>
    <w:rsid w:val="008D5B5A"/>
    <w:rsid w:val="008D5E3C"/>
    <w:rsid w:val="008D5EA4"/>
    <w:rsid w:val="008D5EE7"/>
    <w:rsid w:val="008D61BC"/>
    <w:rsid w:val="008D61F7"/>
    <w:rsid w:val="008D6475"/>
    <w:rsid w:val="008D64D2"/>
    <w:rsid w:val="008D65A4"/>
    <w:rsid w:val="008D6E20"/>
    <w:rsid w:val="008D743C"/>
    <w:rsid w:val="008D7AE7"/>
    <w:rsid w:val="008D7BCF"/>
    <w:rsid w:val="008D7E2F"/>
    <w:rsid w:val="008E0064"/>
    <w:rsid w:val="008E0598"/>
    <w:rsid w:val="008E06A5"/>
    <w:rsid w:val="008E0D3C"/>
    <w:rsid w:val="008E1069"/>
    <w:rsid w:val="008E119F"/>
    <w:rsid w:val="008E136D"/>
    <w:rsid w:val="008E15C5"/>
    <w:rsid w:val="008E17C1"/>
    <w:rsid w:val="008E189D"/>
    <w:rsid w:val="008E1A83"/>
    <w:rsid w:val="008E1B9E"/>
    <w:rsid w:val="008E1FF3"/>
    <w:rsid w:val="008E235A"/>
    <w:rsid w:val="008E23D8"/>
    <w:rsid w:val="008E27B0"/>
    <w:rsid w:val="008E287C"/>
    <w:rsid w:val="008E28D9"/>
    <w:rsid w:val="008E2CEC"/>
    <w:rsid w:val="008E3709"/>
    <w:rsid w:val="008E3A3A"/>
    <w:rsid w:val="008E4271"/>
    <w:rsid w:val="008E42BC"/>
    <w:rsid w:val="008E47C1"/>
    <w:rsid w:val="008E4A1F"/>
    <w:rsid w:val="008E514B"/>
    <w:rsid w:val="008E53E0"/>
    <w:rsid w:val="008E5418"/>
    <w:rsid w:val="008E55AB"/>
    <w:rsid w:val="008E58D2"/>
    <w:rsid w:val="008E5B6B"/>
    <w:rsid w:val="008E603F"/>
    <w:rsid w:val="008E63B3"/>
    <w:rsid w:val="008E68B2"/>
    <w:rsid w:val="008E6B32"/>
    <w:rsid w:val="008E7265"/>
    <w:rsid w:val="008E72F1"/>
    <w:rsid w:val="008E744C"/>
    <w:rsid w:val="008E74DC"/>
    <w:rsid w:val="008E75E9"/>
    <w:rsid w:val="008E76FA"/>
    <w:rsid w:val="008E77BC"/>
    <w:rsid w:val="008E7A05"/>
    <w:rsid w:val="008E7B2A"/>
    <w:rsid w:val="008F03B0"/>
    <w:rsid w:val="008F043B"/>
    <w:rsid w:val="008F09AB"/>
    <w:rsid w:val="008F0B48"/>
    <w:rsid w:val="008F113B"/>
    <w:rsid w:val="008F117E"/>
    <w:rsid w:val="008F11B3"/>
    <w:rsid w:val="008F120A"/>
    <w:rsid w:val="008F13B0"/>
    <w:rsid w:val="008F179A"/>
    <w:rsid w:val="008F193E"/>
    <w:rsid w:val="008F1ED2"/>
    <w:rsid w:val="008F20A1"/>
    <w:rsid w:val="008F21DD"/>
    <w:rsid w:val="008F23A2"/>
    <w:rsid w:val="008F27E0"/>
    <w:rsid w:val="008F29DF"/>
    <w:rsid w:val="008F2DEB"/>
    <w:rsid w:val="008F3044"/>
    <w:rsid w:val="008F3E81"/>
    <w:rsid w:val="008F3EF4"/>
    <w:rsid w:val="008F4531"/>
    <w:rsid w:val="008F4631"/>
    <w:rsid w:val="008F4637"/>
    <w:rsid w:val="008F48EB"/>
    <w:rsid w:val="008F4C35"/>
    <w:rsid w:val="008F4F0B"/>
    <w:rsid w:val="008F5439"/>
    <w:rsid w:val="008F5591"/>
    <w:rsid w:val="008F579A"/>
    <w:rsid w:val="008F5D65"/>
    <w:rsid w:val="008F5FC7"/>
    <w:rsid w:val="008F6574"/>
    <w:rsid w:val="008F6BF6"/>
    <w:rsid w:val="008F6C48"/>
    <w:rsid w:val="008F7071"/>
    <w:rsid w:val="008F72B7"/>
    <w:rsid w:val="008F7487"/>
    <w:rsid w:val="008F7637"/>
    <w:rsid w:val="008F7EF0"/>
    <w:rsid w:val="009002D5"/>
    <w:rsid w:val="009007CD"/>
    <w:rsid w:val="00900A4F"/>
    <w:rsid w:val="00900C34"/>
    <w:rsid w:val="00900F29"/>
    <w:rsid w:val="00901A23"/>
    <w:rsid w:val="00901B1D"/>
    <w:rsid w:val="00901BB0"/>
    <w:rsid w:val="009023DB"/>
    <w:rsid w:val="00902899"/>
    <w:rsid w:val="009028D1"/>
    <w:rsid w:val="0090297C"/>
    <w:rsid w:val="00902BEC"/>
    <w:rsid w:val="00902F5F"/>
    <w:rsid w:val="0090316D"/>
    <w:rsid w:val="0090379C"/>
    <w:rsid w:val="009039B2"/>
    <w:rsid w:val="00903EA2"/>
    <w:rsid w:val="009040CE"/>
    <w:rsid w:val="00904527"/>
    <w:rsid w:val="009046C4"/>
    <w:rsid w:val="00904793"/>
    <w:rsid w:val="009048F4"/>
    <w:rsid w:val="0090491D"/>
    <w:rsid w:val="00904C3B"/>
    <w:rsid w:val="00904C6B"/>
    <w:rsid w:val="0090517F"/>
    <w:rsid w:val="009051E7"/>
    <w:rsid w:val="0090583E"/>
    <w:rsid w:val="00905981"/>
    <w:rsid w:val="00905BAF"/>
    <w:rsid w:val="009060A9"/>
    <w:rsid w:val="009062A5"/>
    <w:rsid w:val="009066BD"/>
    <w:rsid w:val="00906988"/>
    <w:rsid w:val="00906C3C"/>
    <w:rsid w:val="009071B4"/>
    <w:rsid w:val="009074DF"/>
    <w:rsid w:val="00907577"/>
    <w:rsid w:val="009075D4"/>
    <w:rsid w:val="00907699"/>
    <w:rsid w:val="009078B1"/>
    <w:rsid w:val="009078B9"/>
    <w:rsid w:val="00907946"/>
    <w:rsid w:val="00910110"/>
    <w:rsid w:val="0091060B"/>
    <w:rsid w:val="009109EF"/>
    <w:rsid w:val="00910FA7"/>
    <w:rsid w:val="00910FC6"/>
    <w:rsid w:val="00911272"/>
    <w:rsid w:val="00911339"/>
    <w:rsid w:val="00911A85"/>
    <w:rsid w:val="00912155"/>
    <w:rsid w:val="0091228B"/>
    <w:rsid w:val="009122CB"/>
    <w:rsid w:val="0091233D"/>
    <w:rsid w:val="009128E6"/>
    <w:rsid w:val="009128F1"/>
    <w:rsid w:val="00912988"/>
    <w:rsid w:val="00912F89"/>
    <w:rsid w:val="00913223"/>
    <w:rsid w:val="0091338C"/>
    <w:rsid w:val="0091340A"/>
    <w:rsid w:val="009135D6"/>
    <w:rsid w:val="00913A7B"/>
    <w:rsid w:val="00913BF0"/>
    <w:rsid w:val="00913E73"/>
    <w:rsid w:val="00913FDC"/>
    <w:rsid w:val="00914170"/>
    <w:rsid w:val="009141FB"/>
    <w:rsid w:val="00914C6B"/>
    <w:rsid w:val="00914C77"/>
    <w:rsid w:val="00914F3D"/>
    <w:rsid w:val="00915AC9"/>
    <w:rsid w:val="00915B8E"/>
    <w:rsid w:val="009160A8"/>
    <w:rsid w:val="0091613F"/>
    <w:rsid w:val="00916CA0"/>
    <w:rsid w:val="00916EB6"/>
    <w:rsid w:val="009174BF"/>
    <w:rsid w:val="009179A2"/>
    <w:rsid w:val="00917A71"/>
    <w:rsid w:val="00917ADF"/>
    <w:rsid w:val="00917BCD"/>
    <w:rsid w:val="00917C84"/>
    <w:rsid w:val="00920153"/>
    <w:rsid w:val="0092032D"/>
    <w:rsid w:val="009203AF"/>
    <w:rsid w:val="00920598"/>
    <w:rsid w:val="00920D02"/>
    <w:rsid w:val="00920F27"/>
    <w:rsid w:val="0092136D"/>
    <w:rsid w:val="0092169A"/>
    <w:rsid w:val="00921717"/>
    <w:rsid w:val="0092185D"/>
    <w:rsid w:val="00921904"/>
    <w:rsid w:val="00921A4F"/>
    <w:rsid w:val="00921ACB"/>
    <w:rsid w:val="00921B25"/>
    <w:rsid w:val="00921FCE"/>
    <w:rsid w:val="0092237D"/>
    <w:rsid w:val="009226EB"/>
    <w:rsid w:val="009228C7"/>
    <w:rsid w:val="0092290A"/>
    <w:rsid w:val="0092298E"/>
    <w:rsid w:val="009229D4"/>
    <w:rsid w:val="00922ADD"/>
    <w:rsid w:val="00922DF5"/>
    <w:rsid w:val="00922FCE"/>
    <w:rsid w:val="00923037"/>
    <w:rsid w:val="009231CC"/>
    <w:rsid w:val="0092369B"/>
    <w:rsid w:val="009236EB"/>
    <w:rsid w:val="00923AE7"/>
    <w:rsid w:val="00923B04"/>
    <w:rsid w:val="009247D0"/>
    <w:rsid w:val="00924E0B"/>
    <w:rsid w:val="00925421"/>
    <w:rsid w:val="00925809"/>
    <w:rsid w:val="00925B10"/>
    <w:rsid w:val="00925F3D"/>
    <w:rsid w:val="00926182"/>
    <w:rsid w:val="009263A2"/>
    <w:rsid w:val="00926B15"/>
    <w:rsid w:val="00926C86"/>
    <w:rsid w:val="00927158"/>
    <w:rsid w:val="00927361"/>
    <w:rsid w:val="00927462"/>
    <w:rsid w:val="009277E3"/>
    <w:rsid w:val="0092795B"/>
    <w:rsid w:val="00927C5F"/>
    <w:rsid w:val="0093031B"/>
    <w:rsid w:val="00930425"/>
    <w:rsid w:val="009305F6"/>
    <w:rsid w:val="00930751"/>
    <w:rsid w:val="009309A3"/>
    <w:rsid w:val="00930D28"/>
    <w:rsid w:val="00930EAA"/>
    <w:rsid w:val="00931258"/>
    <w:rsid w:val="009312C7"/>
    <w:rsid w:val="009316B7"/>
    <w:rsid w:val="00931BC0"/>
    <w:rsid w:val="00931D3B"/>
    <w:rsid w:val="00931E09"/>
    <w:rsid w:val="00932182"/>
    <w:rsid w:val="00932521"/>
    <w:rsid w:val="00932B5A"/>
    <w:rsid w:val="0093304E"/>
    <w:rsid w:val="00933250"/>
    <w:rsid w:val="0093335D"/>
    <w:rsid w:val="009333DF"/>
    <w:rsid w:val="00933709"/>
    <w:rsid w:val="00933A3C"/>
    <w:rsid w:val="00933C67"/>
    <w:rsid w:val="00933CBC"/>
    <w:rsid w:val="00933DBA"/>
    <w:rsid w:val="00933E17"/>
    <w:rsid w:val="00933E71"/>
    <w:rsid w:val="00933F22"/>
    <w:rsid w:val="0093402A"/>
    <w:rsid w:val="00934529"/>
    <w:rsid w:val="00934895"/>
    <w:rsid w:val="0093494D"/>
    <w:rsid w:val="00934988"/>
    <w:rsid w:val="00934A00"/>
    <w:rsid w:val="00934D3E"/>
    <w:rsid w:val="00934DFC"/>
    <w:rsid w:val="00935203"/>
    <w:rsid w:val="0093571C"/>
    <w:rsid w:val="00935978"/>
    <w:rsid w:val="00935A7C"/>
    <w:rsid w:val="00935D04"/>
    <w:rsid w:val="00935DB1"/>
    <w:rsid w:val="009366CD"/>
    <w:rsid w:val="00936BB6"/>
    <w:rsid w:val="00936DB1"/>
    <w:rsid w:val="00936F59"/>
    <w:rsid w:val="0093703D"/>
    <w:rsid w:val="00937087"/>
    <w:rsid w:val="00937089"/>
    <w:rsid w:val="009370E2"/>
    <w:rsid w:val="009371A8"/>
    <w:rsid w:val="00937289"/>
    <w:rsid w:val="009375AB"/>
    <w:rsid w:val="00937856"/>
    <w:rsid w:val="00937995"/>
    <w:rsid w:val="00940131"/>
    <w:rsid w:val="00940146"/>
    <w:rsid w:val="0094038E"/>
    <w:rsid w:val="009407B6"/>
    <w:rsid w:val="00940FDD"/>
    <w:rsid w:val="00941187"/>
    <w:rsid w:val="009412C9"/>
    <w:rsid w:val="009414C5"/>
    <w:rsid w:val="0094164F"/>
    <w:rsid w:val="009418DF"/>
    <w:rsid w:val="00941A81"/>
    <w:rsid w:val="00941AF3"/>
    <w:rsid w:val="009422A5"/>
    <w:rsid w:val="009425D7"/>
    <w:rsid w:val="0094283E"/>
    <w:rsid w:val="00942960"/>
    <w:rsid w:val="00942A9A"/>
    <w:rsid w:val="00942CB5"/>
    <w:rsid w:val="00942ED9"/>
    <w:rsid w:val="009430BE"/>
    <w:rsid w:val="0094375F"/>
    <w:rsid w:val="00943D40"/>
    <w:rsid w:val="00944126"/>
    <w:rsid w:val="0094442F"/>
    <w:rsid w:val="0094445E"/>
    <w:rsid w:val="00944610"/>
    <w:rsid w:val="00944AC9"/>
    <w:rsid w:val="00944C47"/>
    <w:rsid w:val="00944DE6"/>
    <w:rsid w:val="00944F8A"/>
    <w:rsid w:val="009456C0"/>
    <w:rsid w:val="00946C6A"/>
    <w:rsid w:val="0094753C"/>
    <w:rsid w:val="00947623"/>
    <w:rsid w:val="009477EE"/>
    <w:rsid w:val="00947A56"/>
    <w:rsid w:val="00947E93"/>
    <w:rsid w:val="00950163"/>
    <w:rsid w:val="009507E6"/>
    <w:rsid w:val="00950F8A"/>
    <w:rsid w:val="009510A2"/>
    <w:rsid w:val="00951951"/>
    <w:rsid w:val="00951CC3"/>
    <w:rsid w:val="00951CE4"/>
    <w:rsid w:val="00951E92"/>
    <w:rsid w:val="0095229E"/>
    <w:rsid w:val="00952452"/>
    <w:rsid w:val="0095264A"/>
    <w:rsid w:val="00952942"/>
    <w:rsid w:val="00952D7E"/>
    <w:rsid w:val="00952DA2"/>
    <w:rsid w:val="00953053"/>
    <w:rsid w:val="00953257"/>
    <w:rsid w:val="0095326A"/>
    <w:rsid w:val="00953412"/>
    <w:rsid w:val="009545DE"/>
    <w:rsid w:val="0095470A"/>
    <w:rsid w:val="0095474C"/>
    <w:rsid w:val="009548BF"/>
    <w:rsid w:val="00954B04"/>
    <w:rsid w:val="00954BCE"/>
    <w:rsid w:val="009552E8"/>
    <w:rsid w:val="00955831"/>
    <w:rsid w:val="00955CA1"/>
    <w:rsid w:val="00956366"/>
    <w:rsid w:val="0095676D"/>
    <w:rsid w:val="009567E5"/>
    <w:rsid w:val="00956BDA"/>
    <w:rsid w:val="00956EEC"/>
    <w:rsid w:val="00957955"/>
    <w:rsid w:val="00957AEE"/>
    <w:rsid w:val="00957D92"/>
    <w:rsid w:val="00957F49"/>
    <w:rsid w:val="00957F83"/>
    <w:rsid w:val="00960185"/>
    <w:rsid w:val="009601DA"/>
    <w:rsid w:val="009602B6"/>
    <w:rsid w:val="009605B1"/>
    <w:rsid w:val="0096089E"/>
    <w:rsid w:val="0096098A"/>
    <w:rsid w:val="00960B6F"/>
    <w:rsid w:val="00960F48"/>
    <w:rsid w:val="0096186B"/>
    <w:rsid w:val="00961A50"/>
    <w:rsid w:val="00961AB4"/>
    <w:rsid w:val="009620B6"/>
    <w:rsid w:val="00962280"/>
    <w:rsid w:val="0096245D"/>
    <w:rsid w:val="00962522"/>
    <w:rsid w:val="00962624"/>
    <w:rsid w:val="00962B4E"/>
    <w:rsid w:val="00962CB9"/>
    <w:rsid w:val="00962F6D"/>
    <w:rsid w:val="0096330C"/>
    <w:rsid w:val="009633D3"/>
    <w:rsid w:val="0096375A"/>
    <w:rsid w:val="009638B3"/>
    <w:rsid w:val="00963AB3"/>
    <w:rsid w:val="00963C76"/>
    <w:rsid w:val="00963F19"/>
    <w:rsid w:val="0096404F"/>
    <w:rsid w:val="00964312"/>
    <w:rsid w:val="00964682"/>
    <w:rsid w:val="00964DFF"/>
    <w:rsid w:val="00964F81"/>
    <w:rsid w:val="00965950"/>
    <w:rsid w:val="00965B8A"/>
    <w:rsid w:val="00965F51"/>
    <w:rsid w:val="00966331"/>
    <w:rsid w:val="00966385"/>
    <w:rsid w:val="00966CE9"/>
    <w:rsid w:val="00966CF8"/>
    <w:rsid w:val="00966EE9"/>
    <w:rsid w:val="00967BD4"/>
    <w:rsid w:val="00967F91"/>
    <w:rsid w:val="00970354"/>
    <w:rsid w:val="009705FE"/>
    <w:rsid w:val="0097071F"/>
    <w:rsid w:val="00970806"/>
    <w:rsid w:val="00970C2D"/>
    <w:rsid w:val="00970D8C"/>
    <w:rsid w:val="00970F3D"/>
    <w:rsid w:val="00971100"/>
    <w:rsid w:val="00971161"/>
    <w:rsid w:val="009716FD"/>
    <w:rsid w:val="009717AC"/>
    <w:rsid w:val="0097194C"/>
    <w:rsid w:val="00971C28"/>
    <w:rsid w:val="0097204E"/>
    <w:rsid w:val="00972C34"/>
    <w:rsid w:val="009736FF"/>
    <w:rsid w:val="00973719"/>
    <w:rsid w:val="009738BF"/>
    <w:rsid w:val="00973B81"/>
    <w:rsid w:val="009749FB"/>
    <w:rsid w:val="00974CAB"/>
    <w:rsid w:val="00974CE3"/>
    <w:rsid w:val="00974D8F"/>
    <w:rsid w:val="00975072"/>
    <w:rsid w:val="009750C4"/>
    <w:rsid w:val="009750FB"/>
    <w:rsid w:val="009751C1"/>
    <w:rsid w:val="009754F3"/>
    <w:rsid w:val="00975699"/>
    <w:rsid w:val="00975A16"/>
    <w:rsid w:val="00976349"/>
    <w:rsid w:val="0097635E"/>
    <w:rsid w:val="00976E7D"/>
    <w:rsid w:val="009772EB"/>
    <w:rsid w:val="00977B8D"/>
    <w:rsid w:val="009802F4"/>
    <w:rsid w:val="0098040A"/>
    <w:rsid w:val="009807A3"/>
    <w:rsid w:val="009807DD"/>
    <w:rsid w:val="00980B8B"/>
    <w:rsid w:val="00980D49"/>
    <w:rsid w:val="00980E46"/>
    <w:rsid w:val="009811F1"/>
    <w:rsid w:val="0098152E"/>
    <w:rsid w:val="009818D9"/>
    <w:rsid w:val="00981E99"/>
    <w:rsid w:val="00981F6F"/>
    <w:rsid w:val="0098262F"/>
    <w:rsid w:val="00982667"/>
    <w:rsid w:val="00982DE5"/>
    <w:rsid w:val="0098332F"/>
    <w:rsid w:val="009839BD"/>
    <w:rsid w:val="009839D1"/>
    <w:rsid w:val="00983BE0"/>
    <w:rsid w:val="00983E15"/>
    <w:rsid w:val="00983E57"/>
    <w:rsid w:val="00984382"/>
    <w:rsid w:val="0098556E"/>
    <w:rsid w:val="00985994"/>
    <w:rsid w:val="00985ABE"/>
    <w:rsid w:val="00985AFA"/>
    <w:rsid w:val="00985DE2"/>
    <w:rsid w:val="009861B8"/>
    <w:rsid w:val="00986504"/>
    <w:rsid w:val="0098651C"/>
    <w:rsid w:val="00986713"/>
    <w:rsid w:val="0098675D"/>
    <w:rsid w:val="00986DDF"/>
    <w:rsid w:val="00987106"/>
    <w:rsid w:val="00987244"/>
    <w:rsid w:val="00987267"/>
    <w:rsid w:val="0098755E"/>
    <w:rsid w:val="009876F9"/>
    <w:rsid w:val="00987701"/>
    <w:rsid w:val="009878A3"/>
    <w:rsid w:val="009879BD"/>
    <w:rsid w:val="00987AB1"/>
    <w:rsid w:val="00987B24"/>
    <w:rsid w:val="00987B4D"/>
    <w:rsid w:val="00987BA4"/>
    <w:rsid w:val="00987E6D"/>
    <w:rsid w:val="00987FD1"/>
    <w:rsid w:val="009903BA"/>
    <w:rsid w:val="0099041C"/>
    <w:rsid w:val="009905AD"/>
    <w:rsid w:val="009909E2"/>
    <w:rsid w:val="00990C51"/>
    <w:rsid w:val="0099100A"/>
    <w:rsid w:val="0099129A"/>
    <w:rsid w:val="009912AE"/>
    <w:rsid w:val="0099135B"/>
    <w:rsid w:val="0099143A"/>
    <w:rsid w:val="009914E8"/>
    <w:rsid w:val="009915DF"/>
    <w:rsid w:val="0099195E"/>
    <w:rsid w:val="00991D2E"/>
    <w:rsid w:val="00992232"/>
    <w:rsid w:val="0099233A"/>
    <w:rsid w:val="00992607"/>
    <w:rsid w:val="009926E0"/>
    <w:rsid w:val="0099298B"/>
    <w:rsid w:val="00992D96"/>
    <w:rsid w:val="00992F7C"/>
    <w:rsid w:val="009930F4"/>
    <w:rsid w:val="00993346"/>
    <w:rsid w:val="009935BB"/>
    <w:rsid w:val="009936AE"/>
    <w:rsid w:val="00993BD0"/>
    <w:rsid w:val="00993CD3"/>
    <w:rsid w:val="00993EB5"/>
    <w:rsid w:val="00993F37"/>
    <w:rsid w:val="00993F90"/>
    <w:rsid w:val="0099421E"/>
    <w:rsid w:val="00994453"/>
    <w:rsid w:val="0099451E"/>
    <w:rsid w:val="0099480B"/>
    <w:rsid w:val="0099486A"/>
    <w:rsid w:val="0099491F"/>
    <w:rsid w:val="00994A19"/>
    <w:rsid w:val="009951D6"/>
    <w:rsid w:val="009951DD"/>
    <w:rsid w:val="00995258"/>
    <w:rsid w:val="0099534D"/>
    <w:rsid w:val="009957E3"/>
    <w:rsid w:val="00995842"/>
    <w:rsid w:val="009959F8"/>
    <w:rsid w:val="00995A0A"/>
    <w:rsid w:val="009960B7"/>
    <w:rsid w:val="00996113"/>
    <w:rsid w:val="0099619C"/>
    <w:rsid w:val="00996571"/>
    <w:rsid w:val="009965EF"/>
    <w:rsid w:val="00996936"/>
    <w:rsid w:val="00996AEA"/>
    <w:rsid w:val="00996B1A"/>
    <w:rsid w:val="00996BD1"/>
    <w:rsid w:val="00996C70"/>
    <w:rsid w:val="009970C1"/>
    <w:rsid w:val="00997520"/>
    <w:rsid w:val="00997814"/>
    <w:rsid w:val="00997848"/>
    <w:rsid w:val="00997CE5"/>
    <w:rsid w:val="00997ED4"/>
    <w:rsid w:val="009A00D0"/>
    <w:rsid w:val="009A01C8"/>
    <w:rsid w:val="009A02E9"/>
    <w:rsid w:val="009A0622"/>
    <w:rsid w:val="009A0A6F"/>
    <w:rsid w:val="009A0C53"/>
    <w:rsid w:val="009A15AF"/>
    <w:rsid w:val="009A17D7"/>
    <w:rsid w:val="009A18AA"/>
    <w:rsid w:val="009A18C1"/>
    <w:rsid w:val="009A18F6"/>
    <w:rsid w:val="009A1D3E"/>
    <w:rsid w:val="009A2035"/>
    <w:rsid w:val="009A238C"/>
    <w:rsid w:val="009A259E"/>
    <w:rsid w:val="009A25AB"/>
    <w:rsid w:val="009A2B7B"/>
    <w:rsid w:val="009A2C30"/>
    <w:rsid w:val="009A2DCC"/>
    <w:rsid w:val="009A349D"/>
    <w:rsid w:val="009A3787"/>
    <w:rsid w:val="009A3799"/>
    <w:rsid w:val="009A3DEC"/>
    <w:rsid w:val="009A491A"/>
    <w:rsid w:val="009A4EAE"/>
    <w:rsid w:val="009A54CC"/>
    <w:rsid w:val="009A5A17"/>
    <w:rsid w:val="009A5ABC"/>
    <w:rsid w:val="009A5AD2"/>
    <w:rsid w:val="009A5DFC"/>
    <w:rsid w:val="009A6357"/>
    <w:rsid w:val="009A68F2"/>
    <w:rsid w:val="009A6DAF"/>
    <w:rsid w:val="009A7182"/>
    <w:rsid w:val="009A7317"/>
    <w:rsid w:val="009A7390"/>
    <w:rsid w:val="009A7462"/>
    <w:rsid w:val="009A77BF"/>
    <w:rsid w:val="009A7F10"/>
    <w:rsid w:val="009B0104"/>
    <w:rsid w:val="009B0D16"/>
    <w:rsid w:val="009B102B"/>
    <w:rsid w:val="009B1125"/>
    <w:rsid w:val="009B1385"/>
    <w:rsid w:val="009B1549"/>
    <w:rsid w:val="009B15DE"/>
    <w:rsid w:val="009B1951"/>
    <w:rsid w:val="009B1D51"/>
    <w:rsid w:val="009B1D77"/>
    <w:rsid w:val="009B21D4"/>
    <w:rsid w:val="009B24B1"/>
    <w:rsid w:val="009B2B77"/>
    <w:rsid w:val="009B3644"/>
    <w:rsid w:val="009B37B6"/>
    <w:rsid w:val="009B3E26"/>
    <w:rsid w:val="009B3FB6"/>
    <w:rsid w:val="009B4089"/>
    <w:rsid w:val="009B4BB9"/>
    <w:rsid w:val="009B4DE7"/>
    <w:rsid w:val="009B4F16"/>
    <w:rsid w:val="009B52BA"/>
    <w:rsid w:val="009B5875"/>
    <w:rsid w:val="009B5881"/>
    <w:rsid w:val="009B5CC1"/>
    <w:rsid w:val="009B5D31"/>
    <w:rsid w:val="009B5D8D"/>
    <w:rsid w:val="009B5F7B"/>
    <w:rsid w:val="009B6332"/>
    <w:rsid w:val="009B6828"/>
    <w:rsid w:val="009B6A33"/>
    <w:rsid w:val="009B6CE5"/>
    <w:rsid w:val="009B756F"/>
    <w:rsid w:val="009B76E5"/>
    <w:rsid w:val="009B7A73"/>
    <w:rsid w:val="009B7A81"/>
    <w:rsid w:val="009B7BEA"/>
    <w:rsid w:val="009B7C9D"/>
    <w:rsid w:val="009B7CF3"/>
    <w:rsid w:val="009B7DFC"/>
    <w:rsid w:val="009C0436"/>
    <w:rsid w:val="009C05D7"/>
    <w:rsid w:val="009C0FB9"/>
    <w:rsid w:val="009C108B"/>
    <w:rsid w:val="009C1271"/>
    <w:rsid w:val="009C1590"/>
    <w:rsid w:val="009C170B"/>
    <w:rsid w:val="009C1845"/>
    <w:rsid w:val="009C1CB5"/>
    <w:rsid w:val="009C1E27"/>
    <w:rsid w:val="009C20E6"/>
    <w:rsid w:val="009C22AF"/>
    <w:rsid w:val="009C22BD"/>
    <w:rsid w:val="009C270F"/>
    <w:rsid w:val="009C28BE"/>
    <w:rsid w:val="009C31F6"/>
    <w:rsid w:val="009C3706"/>
    <w:rsid w:val="009C38F2"/>
    <w:rsid w:val="009C3A3A"/>
    <w:rsid w:val="009C3C04"/>
    <w:rsid w:val="009C4240"/>
    <w:rsid w:val="009C426B"/>
    <w:rsid w:val="009C443C"/>
    <w:rsid w:val="009C47FB"/>
    <w:rsid w:val="009C4921"/>
    <w:rsid w:val="009C4B96"/>
    <w:rsid w:val="009C4ECB"/>
    <w:rsid w:val="009C4EFB"/>
    <w:rsid w:val="009C4F19"/>
    <w:rsid w:val="009C4F4D"/>
    <w:rsid w:val="009C57A1"/>
    <w:rsid w:val="009C5DCE"/>
    <w:rsid w:val="009C5ECC"/>
    <w:rsid w:val="009C63EC"/>
    <w:rsid w:val="009C6701"/>
    <w:rsid w:val="009C6963"/>
    <w:rsid w:val="009C699A"/>
    <w:rsid w:val="009C6C2D"/>
    <w:rsid w:val="009C6CE5"/>
    <w:rsid w:val="009C6CEA"/>
    <w:rsid w:val="009C7275"/>
    <w:rsid w:val="009C78CA"/>
    <w:rsid w:val="009C7B85"/>
    <w:rsid w:val="009C7DB7"/>
    <w:rsid w:val="009C7DE9"/>
    <w:rsid w:val="009C7F5D"/>
    <w:rsid w:val="009D0117"/>
    <w:rsid w:val="009D0254"/>
    <w:rsid w:val="009D0275"/>
    <w:rsid w:val="009D12F7"/>
    <w:rsid w:val="009D142E"/>
    <w:rsid w:val="009D144C"/>
    <w:rsid w:val="009D1A64"/>
    <w:rsid w:val="009D1C93"/>
    <w:rsid w:val="009D1EA6"/>
    <w:rsid w:val="009D203A"/>
    <w:rsid w:val="009D231D"/>
    <w:rsid w:val="009D2641"/>
    <w:rsid w:val="009D2A1D"/>
    <w:rsid w:val="009D30BF"/>
    <w:rsid w:val="009D34E0"/>
    <w:rsid w:val="009D3832"/>
    <w:rsid w:val="009D39E5"/>
    <w:rsid w:val="009D3AC9"/>
    <w:rsid w:val="009D3FA3"/>
    <w:rsid w:val="009D417C"/>
    <w:rsid w:val="009D4DE3"/>
    <w:rsid w:val="009D4DEF"/>
    <w:rsid w:val="009D4E90"/>
    <w:rsid w:val="009D4FBD"/>
    <w:rsid w:val="009D4FDF"/>
    <w:rsid w:val="009D506A"/>
    <w:rsid w:val="009D519B"/>
    <w:rsid w:val="009D52B6"/>
    <w:rsid w:val="009D53C4"/>
    <w:rsid w:val="009D5488"/>
    <w:rsid w:val="009D5624"/>
    <w:rsid w:val="009D56B0"/>
    <w:rsid w:val="009D56FA"/>
    <w:rsid w:val="009D59E7"/>
    <w:rsid w:val="009D5A33"/>
    <w:rsid w:val="009D5B57"/>
    <w:rsid w:val="009D5B91"/>
    <w:rsid w:val="009D5D6E"/>
    <w:rsid w:val="009D5FF7"/>
    <w:rsid w:val="009D603F"/>
    <w:rsid w:val="009D6180"/>
    <w:rsid w:val="009D61CB"/>
    <w:rsid w:val="009D6257"/>
    <w:rsid w:val="009D640B"/>
    <w:rsid w:val="009D6653"/>
    <w:rsid w:val="009D6704"/>
    <w:rsid w:val="009D6A73"/>
    <w:rsid w:val="009D6B39"/>
    <w:rsid w:val="009D6EB5"/>
    <w:rsid w:val="009D6FA4"/>
    <w:rsid w:val="009D73B7"/>
    <w:rsid w:val="009D7570"/>
    <w:rsid w:val="009D792E"/>
    <w:rsid w:val="009D7975"/>
    <w:rsid w:val="009D7A97"/>
    <w:rsid w:val="009D7BC0"/>
    <w:rsid w:val="009E00A3"/>
    <w:rsid w:val="009E03FE"/>
    <w:rsid w:val="009E041A"/>
    <w:rsid w:val="009E0DFE"/>
    <w:rsid w:val="009E121A"/>
    <w:rsid w:val="009E1241"/>
    <w:rsid w:val="009E13F3"/>
    <w:rsid w:val="009E1534"/>
    <w:rsid w:val="009E1581"/>
    <w:rsid w:val="009E158C"/>
    <w:rsid w:val="009E17C6"/>
    <w:rsid w:val="009E17DF"/>
    <w:rsid w:val="009E1ACA"/>
    <w:rsid w:val="009E1ACF"/>
    <w:rsid w:val="009E1B05"/>
    <w:rsid w:val="009E1B1B"/>
    <w:rsid w:val="009E1E7E"/>
    <w:rsid w:val="009E21CE"/>
    <w:rsid w:val="009E2302"/>
    <w:rsid w:val="009E2309"/>
    <w:rsid w:val="009E2990"/>
    <w:rsid w:val="009E2BB8"/>
    <w:rsid w:val="009E30F4"/>
    <w:rsid w:val="009E3104"/>
    <w:rsid w:val="009E310D"/>
    <w:rsid w:val="009E317F"/>
    <w:rsid w:val="009E31F6"/>
    <w:rsid w:val="009E3524"/>
    <w:rsid w:val="009E37CF"/>
    <w:rsid w:val="009E3C2B"/>
    <w:rsid w:val="009E3F05"/>
    <w:rsid w:val="009E44BD"/>
    <w:rsid w:val="009E455F"/>
    <w:rsid w:val="009E4630"/>
    <w:rsid w:val="009E4859"/>
    <w:rsid w:val="009E4A30"/>
    <w:rsid w:val="009E4C07"/>
    <w:rsid w:val="009E4E65"/>
    <w:rsid w:val="009E5051"/>
    <w:rsid w:val="009E5091"/>
    <w:rsid w:val="009E50CE"/>
    <w:rsid w:val="009E5DDB"/>
    <w:rsid w:val="009E612F"/>
    <w:rsid w:val="009E6273"/>
    <w:rsid w:val="009E67D6"/>
    <w:rsid w:val="009E68DF"/>
    <w:rsid w:val="009E6988"/>
    <w:rsid w:val="009E6DB7"/>
    <w:rsid w:val="009E6DDC"/>
    <w:rsid w:val="009E708F"/>
    <w:rsid w:val="009E7355"/>
    <w:rsid w:val="009E7530"/>
    <w:rsid w:val="009E7549"/>
    <w:rsid w:val="009E777F"/>
    <w:rsid w:val="009F0145"/>
    <w:rsid w:val="009F03CA"/>
    <w:rsid w:val="009F0438"/>
    <w:rsid w:val="009F0AEB"/>
    <w:rsid w:val="009F0E9B"/>
    <w:rsid w:val="009F19C5"/>
    <w:rsid w:val="009F1D4B"/>
    <w:rsid w:val="009F1FC3"/>
    <w:rsid w:val="009F20B3"/>
    <w:rsid w:val="009F2221"/>
    <w:rsid w:val="009F2506"/>
    <w:rsid w:val="009F2769"/>
    <w:rsid w:val="009F27B6"/>
    <w:rsid w:val="009F2A29"/>
    <w:rsid w:val="009F2C3C"/>
    <w:rsid w:val="009F2C81"/>
    <w:rsid w:val="009F2D12"/>
    <w:rsid w:val="009F3995"/>
    <w:rsid w:val="009F441D"/>
    <w:rsid w:val="009F4852"/>
    <w:rsid w:val="009F489F"/>
    <w:rsid w:val="009F4D3E"/>
    <w:rsid w:val="009F4E99"/>
    <w:rsid w:val="009F5082"/>
    <w:rsid w:val="009F55DD"/>
    <w:rsid w:val="009F5CBD"/>
    <w:rsid w:val="009F601D"/>
    <w:rsid w:val="009F6120"/>
    <w:rsid w:val="009F68FE"/>
    <w:rsid w:val="009F6975"/>
    <w:rsid w:val="009F6B04"/>
    <w:rsid w:val="009F6C98"/>
    <w:rsid w:val="009F7005"/>
    <w:rsid w:val="009F7014"/>
    <w:rsid w:val="009F71B4"/>
    <w:rsid w:val="009F7201"/>
    <w:rsid w:val="009F742A"/>
    <w:rsid w:val="009F7572"/>
    <w:rsid w:val="009F7698"/>
    <w:rsid w:val="009F7917"/>
    <w:rsid w:val="009F7E3E"/>
    <w:rsid w:val="00A00445"/>
    <w:rsid w:val="00A0077D"/>
    <w:rsid w:val="00A0091B"/>
    <w:rsid w:val="00A00ACA"/>
    <w:rsid w:val="00A00B95"/>
    <w:rsid w:val="00A00D76"/>
    <w:rsid w:val="00A00EC7"/>
    <w:rsid w:val="00A00F03"/>
    <w:rsid w:val="00A00F29"/>
    <w:rsid w:val="00A00F39"/>
    <w:rsid w:val="00A01184"/>
    <w:rsid w:val="00A012C6"/>
    <w:rsid w:val="00A01449"/>
    <w:rsid w:val="00A01835"/>
    <w:rsid w:val="00A01AFA"/>
    <w:rsid w:val="00A01B5C"/>
    <w:rsid w:val="00A01EA9"/>
    <w:rsid w:val="00A01F4A"/>
    <w:rsid w:val="00A02554"/>
    <w:rsid w:val="00A028A0"/>
    <w:rsid w:val="00A02AEB"/>
    <w:rsid w:val="00A0318E"/>
    <w:rsid w:val="00A034DA"/>
    <w:rsid w:val="00A037C2"/>
    <w:rsid w:val="00A038B7"/>
    <w:rsid w:val="00A03A54"/>
    <w:rsid w:val="00A03D43"/>
    <w:rsid w:val="00A03DAC"/>
    <w:rsid w:val="00A03F05"/>
    <w:rsid w:val="00A03F7F"/>
    <w:rsid w:val="00A04380"/>
    <w:rsid w:val="00A043AA"/>
    <w:rsid w:val="00A04683"/>
    <w:rsid w:val="00A04786"/>
    <w:rsid w:val="00A04889"/>
    <w:rsid w:val="00A04B75"/>
    <w:rsid w:val="00A05029"/>
    <w:rsid w:val="00A05385"/>
    <w:rsid w:val="00A05472"/>
    <w:rsid w:val="00A055B0"/>
    <w:rsid w:val="00A05C32"/>
    <w:rsid w:val="00A061D9"/>
    <w:rsid w:val="00A06235"/>
    <w:rsid w:val="00A064CB"/>
    <w:rsid w:val="00A0653F"/>
    <w:rsid w:val="00A065E4"/>
    <w:rsid w:val="00A06E1C"/>
    <w:rsid w:val="00A07248"/>
    <w:rsid w:val="00A07269"/>
    <w:rsid w:val="00A0738B"/>
    <w:rsid w:val="00A074DD"/>
    <w:rsid w:val="00A075D1"/>
    <w:rsid w:val="00A077ED"/>
    <w:rsid w:val="00A078FC"/>
    <w:rsid w:val="00A07BB9"/>
    <w:rsid w:val="00A07C75"/>
    <w:rsid w:val="00A07FE0"/>
    <w:rsid w:val="00A100FD"/>
    <w:rsid w:val="00A102E3"/>
    <w:rsid w:val="00A10901"/>
    <w:rsid w:val="00A109A0"/>
    <w:rsid w:val="00A114EF"/>
    <w:rsid w:val="00A115C2"/>
    <w:rsid w:val="00A118E9"/>
    <w:rsid w:val="00A11CD0"/>
    <w:rsid w:val="00A11CEE"/>
    <w:rsid w:val="00A121D5"/>
    <w:rsid w:val="00A122CD"/>
    <w:rsid w:val="00A12F87"/>
    <w:rsid w:val="00A12FF1"/>
    <w:rsid w:val="00A13498"/>
    <w:rsid w:val="00A135AB"/>
    <w:rsid w:val="00A135BB"/>
    <w:rsid w:val="00A13870"/>
    <w:rsid w:val="00A13948"/>
    <w:rsid w:val="00A13CBC"/>
    <w:rsid w:val="00A13FF1"/>
    <w:rsid w:val="00A14051"/>
    <w:rsid w:val="00A14746"/>
    <w:rsid w:val="00A14C59"/>
    <w:rsid w:val="00A14DE2"/>
    <w:rsid w:val="00A15356"/>
    <w:rsid w:val="00A153BC"/>
    <w:rsid w:val="00A1555B"/>
    <w:rsid w:val="00A155C5"/>
    <w:rsid w:val="00A156B9"/>
    <w:rsid w:val="00A15852"/>
    <w:rsid w:val="00A15BB5"/>
    <w:rsid w:val="00A15CC9"/>
    <w:rsid w:val="00A15F2D"/>
    <w:rsid w:val="00A1628B"/>
    <w:rsid w:val="00A162ED"/>
    <w:rsid w:val="00A16353"/>
    <w:rsid w:val="00A164A8"/>
    <w:rsid w:val="00A16549"/>
    <w:rsid w:val="00A16649"/>
    <w:rsid w:val="00A167A3"/>
    <w:rsid w:val="00A16AD8"/>
    <w:rsid w:val="00A16CDF"/>
    <w:rsid w:val="00A171A1"/>
    <w:rsid w:val="00A177A1"/>
    <w:rsid w:val="00A179F3"/>
    <w:rsid w:val="00A17DAC"/>
    <w:rsid w:val="00A17DE7"/>
    <w:rsid w:val="00A17FD7"/>
    <w:rsid w:val="00A2021E"/>
    <w:rsid w:val="00A2022E"/>
    <w:rsid w:val="00A20862"/>
    <w:rsid w:val="00A20A55"/>
    <w:rsid w:val="00A20C57"/>
    <w:rsid w:val="00A20CD2"/>
    <w:rsid w:val="00A2118E"/>
    <w:rsid w:val="00A21988"/>
    <w:rsid w:val="00A21C95"/>
    <w:rsid w:val="00A21CF3"/>
    <w:rsid w:val="00A21EF0"/>
    <w:rsid w:val="00A21FC4"/>
    <w:rsid w:val="00A220CE"/>
    <w:rsid w:val="00A2244C"/>
    <w:rsid w:val="00A224AC"/>
    <w:rsid w:val="00A22627"/>
    <w:rsid w:val="00A22807"/>
    <w:rsid w:val="00A22AD4"/>
    <w:rsid w:val="00A22DFB"/>
    <w:rsid w:val="00A235C1"/>
    <w:rsid w:val="00A236BC"/>
    <w:rsid w:val="00A23938"/>
    <w:rsid w:val="00A23DCE"/>
    <w:rsid w:val="00A24091"/>
    <w:rsid w:val="00A24244"/>
    <w:rsid w:val="00A24813"/>
    <w:rsid w:val="00A24994"/>
    <w:rsid w:val="00A249B4"/>
    <w:rsid w:val="00A24C60"/>
    <w:rsid w:val="00A24DC4"/>
    <w:rsid w:val="00A25031"/>
    <w:rsid w:val="00A2508C"/>
    <w:rsid w:val="00A25172"/>
    <w:rsid w:val="00A253A0"/>
    <w:rsid w:val="00A254E4"/>
    <w:rsid w:val="00A25BC4"/>
    <w:rsid w:val="00A25DF0"/>
    <w:rsid w:val="00A2667B"/>
    <w:rsid w:val="00A267E4"/>
    <w:rsid w:val="00A268E9"/>
    <w:rsid w:val="00A27058"/>
    <w:rsid w:val="00A27472"/>
    <w:rsid w:val="00A27484"/>
    <w:rsid w:val="00A2751C"/>
    <w:rsid w:val="00A2762C"/>
    <w:rsid w:val="00A276CF"/>
    <w:rsid w:val="00A276EE"/>
    <w:rsid w:val="00A27765"/>
    <w:rsid w:val="00A2780A"/>
    <w:rsid w:val="00A27AEC"/>
    <w:rsid w:val="00A30144"/>
    <w:rsid w:val="00A301F4"/>
    <w:rsid w:val="00A3040B"/>
    <w:rsid w:val="00A3071B"/>
    <w:rsid w:val="00A30DFD"/>
    <w:rsid w:val="00A31A43"/>
    <w:rsid w:val="00A31C2A"/>
    <w:rsid w:val="00A31E43"/>
    <w:rsid w:val="00A320DB"/>
    <w:rsid w:val="00A3227E"/>
    <w:rsid w:val="00A32701"/>
    <w:rsid w:val="00A327F6"/>
    <w:rsid w:val="00A32ADE"/>
    <w:rsid w:val="00A32E61"/>
    <w:rsid w:val="00A334AC"/>
    <w:rsid w:val="00A34286"/>
    <w:rsid w:val="00A343FC"/>
    <w:rsid w:val="00A349E6"/>
    <w:rsid w:val="00A34CB9"/>
    <w:rsid w:val="00A3566D"/>
    <w:rsid w:val="00A35B69"/>
    <w:rsid w:val="00A35C4A"/>
    <w:rsid w:val="00A35D16"/>
    <w:rsid w:val="00A36749"/>
    <w:rsid w:val="00A367AF"/>
    <w:rsid w:val="00A36986"/>
    <w:rsid w:val="00A37A09"/>
    <w:rsid w:val="00A37AC4"/>
    <w:rsid w:val="00A37BCD"/>
    <w:rsid w:val="00A37DBF"/>
    <w:rsid w:val="00A37F7E"/>
    <w:rsid w:val="00A37FE3"/>
    <w:rsid w:val="00A40124"/>
    <w:rsid w:val="00A40204"/>
    <w:rsid w:val="00A408E6"/>
    <w:rsid w:val="00A409BC"/>
    <w:rsid w:val="00A40DB1"/>
    <w:rsid w:val="00A40E8C"/>
    <w:rsid w:val="00A40EB6"/>
    <w:rsid w:val="00A41689"/>
    <w:rsid w:val="00A41691"/>
    <w:rsid w:val="00A41727"/>
    <w:rsid w:val="00A418AA"/>
    <w:rsid w:val="00A41AED"/>
    <w:rsid w:val="00A41B7A"/>
    <w:rsid w:val="00A41B85"/>
    <w:rsid w:val="00A41D1B"/>
    <w:rsid w:val="00A41FAB"/>
    <w:rsid w:val="00A422D3"/>
    <w:rsid w:val="00A42480"/>
    <w:rsid w:val="00A42592"/>
    <w:rsid w:val="00A42732"/>
    <w:rsid w:val="00A42AB4"/>
    <w:rsid w:val="00A42EAC"/>
    <w:rsid w:val="00A430B5"/>
    <w:rsid w:val="00A4324D"/>
    <w:rsid w:val="00A436B9"/>
    <w:rsid w:val="00A4377B"/>
    <w:rsid w:val="00A43C59"/>
    <w:rsid w:val="00A43D05"/>
    <w:rsid w:val="00A43E17"/>
    <w:rsid w:val="00A43EE1"/>
    <w:rsid w:val="00A43F19"/>
    <w:rsid w:val="00A4411C"/>
    <w:rsid w:val="00A441E0"/>
    <w:rsid w:val="00A4445A"/>
    <w:rsid w:val="00A444FC"/>
    <w:rsid w:val="00A44646"/>
    <w:rsid w:val="00A44856"/>
    <w:rsid w:val="00A44C50"/>
    <w:rsid w:val="00A45003"/>
    <w:rsid w:val="00A45A68"/>
    <w:rsid w:val="00A462F2"/>
    <w:rsid w:val="00A46320"/>
    <w:rsid w:val="00A46607"/>
    <w:rsid w:val="00A467BA"/>
    <w:rsid w:val="00A46D49"/>
    <w:rsid w:val="00A46F1C"/>
    <w:rsid w:val="00A46FC2"/>
    <w:rsid w:val="00A471B7"/>
    <w:rsid w:val="00A477C2"/>
    <w:rsid w:val="00A47823"/>
    <w:rsid w:val="00A4790A"/>
    <w:rsid w:val="00A47ADD"/>
    <w:rsid w:val="00A47E60"/>
    <w:rsid w:val="00A500DA"/>
    <w:rsid w:val="00A50228"/>
    <w:rsid w:val="00A5036E"/>
    <w:rsid w:val="00A504AA"/>
    <w:rsid w:val="00A509F3"/>
    <w:rsid w:val="00A50D1D"/>
    <w:rsid w:val="00A50ECD"/>
    <w:rsid w:val="00A51168"/>
    <w:rsid w:val="00A51503"/>
    <w:rsid w:val="00A51616"/>
    <w:rsid w:val="00A518F3"/>
    <w:rsid w:val="00A51FDA"/>
    <w:rsid w:val="00A520FA"/>
    <w:rsid w:val="00A5218D"/>
    <w:rsid w:val="00A52401"/>
    <w:rsid w:val="00A5240A"/>
    <w:rsid w:val="00A524A8"/>
    <w:rsid w:val="00A52729"/>
    <w:rsid w:val="00A52887"/>
    <w:rsid w:val="00A52900"/>
    <w:rsid w:val="00A529AD"/>
    <w:rsid w:val="00A52A15"/>
    <w:rsid w:val="00A52BE7"/>
    <w:rsid w:val="00A52D95"/>
    <w:rsid w:val="00A52EAC"/>
    <w:rsid w:val="00A52EFF"/>
    <w:rsid w:val="00A53008"/>
    <w:rsid w:val="00A53248"/>
    <w:rsid w:val="00A53657"/>
    <w:rsid w:val="00A53675"/>
    <w:rsid w:val="00A537E8"/>
    <w:rsid w:val="00A5388B"/>
    <w:rsid w:val="00A53D97"/>
    <w:rsid w:val="00A53E36"/>
    <w:rsid w:val="00A541E4"/>
    <w:rsid w:val="00A542E8"/>
    <w:rsid w:val="00A54423"/>
    <w:rsid w:val="00A5471B"/>
    <w:rsid w:val="00A54B4A"/>
    <w:rsid w:val="00A54CC1"/>
    <w:rsid w:val="00A54D80"/>
    <w:rsid w:val="00A54FCB"/>
    <w:rsid w:val="00A55258"/>
    <w:rsid w:val="00A55388"/>
    <w:rsid w:val="00A55910"/>
    <w:rsid w:val="00A55BEF"/>
    <w:rsid w:val="00A561BB"/>
    <w:rsid w:val="00A56342"/>
    <w:rsid w:val="00A564D7"/>
    <w:rsid w:val="00A568A6"/>
    <w:rsid w:val="00A568D7"/>
    <w:rsid w:val="00A56939"/>
    <w:rsid w:val="00A56B6A"/>
    <w:rsid w:val="00A56BAB"/>
    <w:rsid w:val="00A56E91"/>
    <w:rsid w:val="00A57233"/>
    <w:rsid w:val="00A573B3"/>
    <w:rsid w:val="00A57699"/>
    <w:rsid w:val="00A57718"/>
    <w:rsid w:val="00A578DC"/>
    <w:rsid w:val="00A57A03"/>
    <w:rsid w:val="00A60120"/>
    <w:rsid w:val="00A6044B"/>
    <w:rsid w:val="00A60C48"/>
    <w:rsid w:val="00A60FEE"/>
    <w:rsid w:val="00A61406"/>
    <w:rsid w:val="00A61619"/>
    <w:rsid w:val="00A616BE"/>
    <w:rsid w:val="00A616EB"/>
    <w:rsid w:val="00A6175B"/>
    <w:rsid w:val="00A61E4A"/>
    <w:rsid w:val="00A623CC"/>
    <w:rsid w:val="00A62427"/>
    <w:rsid w:val="00A6243B"/>
    <w:rsid w:val="00A62877"/>
    <w:rsid w:val="00A62886"/>
    <w:rsid w:val="00A629A0"/>
    <w:rsid w:val="00A62FAB"/>
    <w:rsid w:val="00A63355"/>
    <w:rsid w:val="00A634DE"/>
    <w:rsid w:val="00A63C0C"/>
    <w:rsid w:val="00A64051"/>
    <w:rsid w:val="00A640E2"/>
    <w:rsid w:val="00A649DD"/>
    <w:rsid w:val="00A64B9F"/>
    <w:rsid w:val="00A64D65"/>
    <w:rsid w:val="00A6507E"/>
    <w:rsid w:val="00A65219"/>
    <w:rsid w:val="00A65312"/>
    <w:rsid w:val="00A655B2"/>
    <w:rsid w:val="00A655CE"/>
    <w:rsid w:val="00A6588F"/>
    <w:rsid w:val="00A65EBE"/>
    <w:rsid w:val="00A65F8E"/>
    <w:rsid w:val="00A66819"/>
    <w:rsid w:val="00A66D1E"/>
    <w:rsid w:val="00A6701F"/>
    <w:rsid w:val="00A67171"/>
    <w:rsid w:val="00A67172"/>
    <w:rsid w:val="00A6725B"/>
    <w:rsid w:val="00A67931"/>
    <w:rsid w:val="00A67937"/>
    <w:rsid w:val="00A679ED"/>
    <w:rsid w:val="00A67DF1"/>
    <w:rsid w:val="00A70390"/>
    <w:rsid w:val="00A703F9"/>
    <w:rsid w:val="00A704DC"/>
    <w:rsid w:val="00A70605"/>
    <w:rsid w:val="00A70619"/>
    <w:rsid w:val="00A7099B"/>
    <w:rsid w:val="00A70C79"/>
    <w:rsid w:val="00A70F8B"/>
    <w:rsid w:val="00A71AAD"/>
    <w:rsid w:val="00A7209B"/>
    <w:rsid w:val="00A720E1"/>
    <w:rsid w:val="00A72255"/>
    <w:rsid w:val="00A7227E"/>
    <w:rsid w:val="00A72486"/>
    <w:rsid w:val="00A72EA9"/>
    <w:rsid w:val="00A72ED2"/>
    <w:rsid w:val="00A7308F"/>
    <w:rsid w:val="00A73134"/>
    <w:rsid w:val="00A733F8"/>
    <w:rsid w:val="00A735F4"/>
    <w:rsid w:val="00A7365A"/>
    <w:rsid w:val="00A737AF"/>
    <w:rsid w:val="00A74492"/>
    <w:rsid w:val="00A744B3"/>
    <w:rsid w:val="00A74756"/>
    <w:rsid w:val="00A74A99"/>
    <w:rsid w:val="00A74AAF"/>
    <w:rsid w:val="00A74CD5"/>
    <w:rsid w:val="00A75285"/>
    <w:rsid w:val="00A752B0"/>
    <w:rsid w:val="00A75311"/>
    <w:rsid w:val="00A75317"/>
    <w:rsid w:val="00A75586"/>
    <w:rsid w:val="00A75780"/>
    <w:rsid w:val="00A75A90"/>
    <w:rsid w:val="00A75B8A"/>
    <w:rsid w:val="00A75C83"/>
    <w:rsid w:val="00A76001"/>
    <w:rsid w:val="00A76149"/>
    <w:rsid w:val="00A764ED"/>
    <w:rsid w:val="00A76549"/>
    <w:rsid w:val="00A766A9"/>
    <w:rsid w:val="00A76A01"/>
    <w:rsid w:val="00A76BFF"/>
    <w:rsid w:val="00A76C84"/>
    <w:rsid w:val="00A76FB9"/>
    <w:rsid w:val="00A7756D"/>
    <w:rsid w:val="00A77648"/>
    <w:rsid w:val="00A777B2"/>
    <w:rsid w:val="00A778F7"/>
    <w:rsid w:val="00A77BCE"/>
    <w:rsid w:val="00A77C24"/>
    <w:rsid w:val="00A77FE6"/>
    <w:rsid w:val="00A8022B"/>
    <w:rsid w:val="00A80764"/>
    <w:rsid w:val="00A80D37"/>
    <w:rsid w:val="00A80DCC"/>
    <w:rsid w:val="00A81480"/>
    <w:rsid w:val="00A816E2"/>
    <w:rsid w:val="00A819E7"/>
    <w:rsid w:val="00A8213D"/>
    <w:rsid w:val="00A825D4"/>
    <w:rsid w:val="00A828F6"/>
    <w:rsid w:val="00A82ACE"/>
    <w:rsid w:val="00A82B73"/>
    <w:rsid w:val="00A82F69"/>
    <w:rsid w:val="00A83135"/>
    <w:rsid w:val="00A835B1"/>
    <w:rsid w:val="00A837B6"/>
    <w:rsid w:val="00A84497"/>
    <w:rsid w:val="00A84716"/>
    <w:rsid w:val="00A847E1"/>
    <w:rsid w:val="00A848BA"/>
    <w:rsid w:val="00A84AA7"/>
    <w:rsid w:val="00A84CD5"/>
    <w:rsid w:val="00A850C9"/>
    <w:rsid w:val="00A85857"/>
    <w:rsid w:val="00A85872"/>
    <w:rsid w:val="00A85956"/>
    <w:rsid w:val="00A85E0E"/>
    <w:rsid w:val="00A85F88"/>
    <w:rsid w:val="00A8635F"/>
    <w:rsid w:val="00A86389"/>
    <w:rsid w:val="00A868AF"/>
    <w:rsid w:val="00A86D6D"/>
    <w:rsid w:val="00A86E08"/>
    <w:rsid w:val="00A86E8B"/>
    <w:rsid w:val="00A87071"/>
    <w:rsid w:val="00A87164"/>
    <w:rsid w:val="00A871A9"/>
    <w:rsid w:val="00A874A4"/>
    <w:rsid w:val="00A879C6"/>
    <w:rsid w:val="00A879F4"/>
    <w:rsid w:val="00A87AF3"/>
    <w:rsid w:val="00A87CE7"/>
    <w:rsid w:val="00A90325"/>
    <w:rsid w:val="00A903FB"/>
    <w:rsid w:val="00A905EE"/>
    <w:rsid w:val="00A90876"/>
    <w:rsid w:val="00A90921"/>
    <w:rsid w:val="00A90AE3"/>
    <w:rsid w:val="00A90E75"/>
    <w:rsid w:val="00A90EE5"/>
    <w:rsid w:val="00A917CB"/>
    <w:rsid w:val="00A917E2"/>
    <w:rsid w:val="00A9251B"/>
    <w:rsid w:val="00A92541"/>
    <w:rsid w:val="00A9292D"/>
    <w:rsid w:val="00A92EC2"/>
    <w:rsid w:val="00A93072"/>
    <w:rsid w:val="00A9351D"/>
    <w:rsid w:val="00A938BD"/>
    <w:rsid w:val="00A93953"/>
    <w:rsid w:val="00A94016"/>
    <w:rsid w:val="00A9427D"/>
    <w:rsid w:val="00A9460F"/>
    <w:rsid w:val="00A949D6"/>
    <w:rsid w:val="00A94BB3"/>
    <w:rsid w:val="00A94EFE"/>
    <w:rsid w:val="00A94FD7"/>
    <w:rsid w:val="00A9568F"/>
    <w:rsid w:val="00A95720"/>
    <w:rsid w:val="00A959D8"/>
    <w:rsid w:val="00A95C72"/>
    <w:rsid w:val="00A96424"/>
    <w:rsid w:val="00A968D7"/>
    <w:rsid w:val="00A96BFB"/>
    <w:rsid w:val="00A96CAD"/>
    <w:rsid w:val="00A9763A"/>
    <w:rsid w:val="00A97AC6"/>
    <w:rsid w:val="00A97CFA"/>
    <w:rsid w:val="00AA00DF"/>
    <w:rsid w:val="00AA024A"/>
    <w:rsid w:val="00AA0580"/>
    <w:rsid w:val="00AA05B0"/>
    <w:rsid w:val="00AA09A3"/>
    <w:rsid w:val="00AA0B87"/>
    <w:rsid w:val="00AA0C73"/>
    <w:rsid w:val="00AA0CBB"/>
    <w:rsid w:val="00AA0D16"/>
    <w:rsid w:val="00AA113D"/>
    <w:rsid w:val="00AA11E4"/>
    <w:rsid w:val="00AA1428"/>
    <w:rsid w:val="00AA14B9"/>
    <w:rsid w:val="00AA1CB3"/>
    <w:rsid w:val="00AA1F7B"/>
    <w:rsid w:val="00AA2151"/>
    <w:rsid w:val="00AA2185"/>
    <w:rsid w:val="00AA21F5"/>
    <w:rsid w:val="00AA2298"/>
    <w:rsid w:val="00AA24A6"/>
    <w:rsid w:val="00AA27B1"/>
    <w:rsid w:val="00AA27E1"/>
    <w:rsid w:val="00AA2F5F"/>
    <w:rsid w:val="00AA321E"/>
    <w:rsid w:val="00AA346F"/>
    <w:rsid w:val="00AA359B"/>
    <w:rsid w:val="00AA3713"/>
    <w:rsid w:val="00AA3C8E"/>
    <w:rsid w:val="00AA3CC6"/>
    <w:rsid w:val="00AA3E72"/>
    <w:rsid w:val="00AA426B"/>
    <w:rsid w:val="00AA42C2"/>
    <w:rsid w:val="00AA498D"/>
    <w:rsid w:val="00AA4E8A"/>
    <w:rsid w:val="00AA5283"/>
    <w:rsid w:val="00AA52EB"/>
    <w:rsid w:val="00AA5458"/>
    <w:rsid w:val="00AA54C5"/>
    <w:rsid w:val="00AA5A88"/>
    <w:rsid w:val="00AA5BD9"/>
    <w:rsid w:val="00AA5FFA"/>
    <w:rsid w:val="00AA62FA"/>
    <w:rsid w:val="00AA6402"/>
    <w:rsid w:val="00AA652A"/>
    <w:rsid w:val="00AA653D"/>
    <w:rsid w:val="00AA6BD1"/>
    <w:rsid w:val="00AA6BD5"/>
    <w:rsid w:val="00AA6BD8"/>
    <w:rsid w:val="00AA6C4D"/>
    <w:rsid w:val="00AA6C7D"/>
    <w:rsid w:val="00AA72E4"/>
    <w:rsid w:val="00AA7BC2"/>
    <w:rsid w:val="00AA7C80"/>
    <w:rsid w:val="00AA7DB8"/>
    <w:rsid w:val="00AA7E67"/>
    <w:rsid w:val="00AA7EB7"/>
    <w:rsid w:val="00AA7EFD"/>
    <w:rsid w:val="00AA7FD6"/>
    <w:rsid w:val="00AB018B"/>
    <w:rsid w:val="00AB0314"/>
    <w:rsid w:val="00AB042A"/>
    <w:rsid w:val="00AB0AFF"/>
    <w:rsid w:val="00AB11AD"/>
    <w:rsid w:val="00AB12AA"/>
    <w:rsid w:val="00AB19A9"/>
    <w:rsid w:val="00AB19EB"/>
    <w:rsid w:val="00AB19EF"/>
    <w:rsid w:val="00AB2278"/>
    <w:rsid w:val="00AB2495"/>
    <w:rsid w:val="00AB2ACA"/>
    <w:rsid w:val="00AB2CB7"/>
    <w:rsid w:val="00AB2D34"/>
    <w:rsid w:val="00AB3430"/>
    <w:rsid w:val="00AB36BC"/>
    <w:rsid w:val="00AB37B9"/>
    <w:rsid w:val="00AB37C2"/>
    <w:rsid w:val="00AB3923"/>
    <w:rsid w:val="00AB3983"/>
    <w:rsid w:val="00AB3991"/>
    <w:rsid w:val="00AB3C8C"/>
    <w:rsid w:val="00AB3D11"/>
    <w:rsid w:val="00AB439B"/>
    <w:rsid w:val="00AB4720"/>
    <w:rsid w:val="00AB4AD1"/>
    <w:rsid w:val="00AB4D89"/>
    <w:rsid w:val="00AB4DC6"/>
    <w:rsid w:val="00AB4E6E"/>
    <w:rsid w:val="00AB50B2"/>
    <w:rsid w:val="00AB51DC"/>
    <w:rsid w:val="00AB538A"/>
    <w:rsid w:val="00AB5571"/>
    <w:rsid w:val="00AB55A4"/>
    <w:rsid w:val="00AB55FC"/>
    <w:rsid w:val="00AB5917"/>
    <w:rsid w:val="00AB5A69"/>
    <w:rsid w:val="00AB5ADB"/>
    <w:rsid w:val="00AB5B88"/>
    <w:rsid w:val="00AB5BE1"/>
    <w:rsid w:val="00AB5E07"/>
    <w:rsid w:val="00AB6639"/>
    <w:rsid w:val="00AB679B"/>
    <w:rsid w:val="00AB6A0C"/>
    <w:rsid w:val="00AB6C7A"/>
    <w:rsid w:val="00AB6D16"/>
    <w:rsid w:val="00AB711E"/>
    <w:rsid w:val="00AB71DF"/>
    <w:rsid w:val="00AB75E8"/>
    <w:rsid w:val="00AB7C5D"/>
    <w:rsid w:val="00AB7CFA"/>
    <w:rsid w:val="00AB7EE9"/>
    <w:rsid w:val="00AC06E7"/>
    <w:rsid w:val="00AC0B0B"/>
    <w:rsid w:val="00AC0CC9"/>
    <w:rsid w:val="00AC0DDC"/>
    <w:rsid w:val="00AC171C"/>
    <w:rsid w:val="00AC17A7"/>
    <w:rsid w:val="00AC18FD"/>
    <w:rsid w:val="00AC1C6E"/>
    <w:rsid w:val="00AC1EDA"/>
    <w:rsid w:val="00AC248C"/>
    <w:rsid w:val="00AC28D2"/>
    <w:rsid w:val="00AC2A04"/>
    <w:rsid w:val="00AC2DE6"/>
    <w:rsid w:val="00AC30E0"/>
    <w:rsid w:val="00AC31C5"/>
    <w:rsid w:val="00AC335A"/>
    <w:rsid w:val="00AC3368"/>
    <w:rsid w:val="00AC34E0"/>
    <w:rsid w:val="00AC353C"/>
    <w:rsid w:val="00AC3BCF"/>
    <w:rsid w:val="00AC44D9"/>
    <w:rsid w:val="00AC451C"/>
    <w:rsid w:val="00AC4D4F"/>
    <w:rsid w:val="00AC4D6A"/>
    <w:rsid w:val="00AC4FB3"/>
    <w:rsid w:val="00AC5058"/>
    <w:rsid w:val="00AC5176"/>
    <w:rsid w:val="00AC554C"/>
    <w:rsid w:val="00AC5B42"/>
    <w:rsid w:val="00AC5B48"/>
    <w:rsid w:val="00AC5CD3"/>
    <w:rsid w:val="00AC5F07"/>
    <w:rsid w:val="00AC632F"/>
    <w:rsid w:val="00AC66B9"/>
    <w:rsid w:val="00AC69E6"/>
    <w:rsid w:val="00AC7453"/>
    <w:rsid w:val="00AC7479"/>
    <w:rsid w:val="00AC7743"/>
    <w:rsid w:val="00AC7D94"/>
    <w:rsid w:val="00AC7E49"/>
    <w:rsid w:val="00AD0017"/>
    <w:rsid w:val="00AD020B"/>
    <w:rsid w:val="00AD034B"/>
    <w:rsid w:val="00AD0817"/>
    <w:rsid w:val="00AD0895"/>
    <w:rsid w:val="00AD0AF8"/>
    <w:rsid w:val="00AD0F96"/>
    <w:rsid w:val="00AD1450"/>
    <w:rsid w:val="00AD146A"/>
    <w:rsid w:val="00AD15E8"/>
    <w:rsid w:val="00AD164D"/>
    <w:rsid w:val="00AD1685"/>
    <w:rsid w:val="00AD17C1"/>
    <w:rsid w:val="00AD19B1"/>
    <w:rsid w:val="00AD1C67"/>
    <w:rsid w:val="00AD1C77"/>
    <w:rsid w:val="00AD1FD9"/>
    <w:rsid w:val="00AD23BD"/>
    <w:rsid w:val="00AD2405"/>
    <w:rsid w:val="00AD2836"/>
    <w:rsid w:val="00AD2981"/>
    <w:rsid w:val="00AD2B4B"/>
    <w:rsid w:val="00AD2F4E"/>
    <w:rsid w:val="00AD2FF4"/>
    <w:rsid w:val="00AD318F"/>
    <w:rsid w:val="00AD3437"/>
    <w:rsid w:val="00AD3539"/>
    <w:rsid w:val="00AD356D"/>
    <w:rsid w:val="00AD3864"/>
    <w:rsid w:val="00AD3AF1"/>
    <w:rsid w:val="00AD3B53"/>
    <w:rsid w:val="00AD3EB1"/>
    <w:rsid w:val="00AD454D"/>
    <w:rsid w:val="00AD469E"/>
    <w:rsid w:val="00AD494F"/>
    <w:rsid w:val="00AD49AB"/>
    <w:rsid w:val="00AD4E29"/>
    <w:rsid w:val="00AD50E0"/>
    <w:rsid w:val="00AD60E7"/>
    <w:rsid w:val="00AD6502"/>
    <w:rsid w:val="00AD6940"/>
    <w:rsid w:val="00AD6AC8"/>
    <w:rsid w:val="00AD6CEA"/>
    <w:rsid w:val="00AD6D45"/>
    <w:rsid w:val="00AD6F6F"/>
    <w:rsid w:val="00AD7091"/>
    <w:rsid w:val="00AD75C5"/>
    <w:rsid w:val="00AE00A7"/>
    <w:rsid w:val="00AE00FB"/>
    <w:rsid w:val="00AE0695"/>
    <w:rsid w:val="00AE06AC"/>
    <w:rsid w:val="00AE0BAA"/>
    <w:rsid w:val="00AE0C44"/>
    <w:rsid w:val="00AE0DED"/>
    <w:rsid w:val="00AE0F0D"/>
    <w:rsid w:val="00AE143F"/>
    <w:rsid w:val="00AE1821"/>
    <w:rsid w:val="00AE1D84"/>
    <w:rsid w:val="00AE1FC3"/>
    <w:rsid w:val="00AE2024"/>
    <w:rsid w:val="00AE24DE"/>
    <w:rsid w:val="00AE25CD"/>
    <w:rsid w:val="00AE26A0"/>
    <w:rsid w:val="00AE26E1"/>
    <w:rsid w:val="00AE292A"/>
    <w:rsid w:val="00AE29F3"/>
    <w:rsid w:val="00AE2A28"/>
    <w:rsid w:val="00AE2B19"/>
    <w:rsid w:val="00AE2E8C"/>
    <w:rsid w:val="00AE306F"/>
    <w:rsid w:val="00AE32B9"/>
    <w:rsid w:val="00AE36AE"/>
    <w:rsid w:val="00AE38AB"/>
    <w:rsid w:val="00AE3B56"/>
    <w:rsid w:val="00AE3DDE"/>
    <w:rsid w:val="00AE3E7E"/>
    <w:rsid w:val="00AE43AA"/>
    <w:rsid w:val="00AE45F0"/>
    <w:rsid w:val="00AE4950"/>
    <w:rsid w:val="00AE4B7D"/>
    <w:rsid w:val="00AE4BF6"/>
    <w:rsid w:val="00AE4C9E"/>
    <w:rsid w:val="00AE4DEC"/>
    <w:rsid w:val="00AE57D4"/>
    <w:rsid w:val="00AE58C1"/>
    <w:rsid w:val="00AE5BE0"/>
    <w:rsid w:val="00AE5C6C"/>
    <w:rsid w:val="00AE5F2F"/>
    <w:rsid w:val="00AE6140"/>
    <w:rsid w:val="00AE653E"/>
    <w:rsid w:val="00AE676B"/>
    <w:rsid w:val="00AE6926"/>
    <w:rsid w:val="00AE6A49"/>
    <w:rsid w:val="00AE6B03"/>
    <w:rsid w:val="00AE718A"/>
    <w:rsid w:val="00AE7317"/>
    <w:rsid w:val="00AE74E4"/>
    <w:rsid w:val="00AE78A4"/>
    <w:rsid w:val="00AE7A1B"/>
    <w:rsid w:val="00AE7DB8"/>
    <w:rsid w:val="00AE7E53"/>
    <w:rsid w:val="00AF0354"/>
    <w:rsid w:val="00AF0587"/>
    <w:rsid w:val="00AF05AA"/>
    <w:rsid w:val="00AF0726"/>
    <w:rsid w:val="00AF074A"/>
    <w:rsid w:val="00AF1290"/>
    <w:rsid w:val="00AF1315"/>
    <w:rsid w:val="00AF1628"/>
    <w:rsid w:val="00AF1772"/>
    <w:rsid w:val="00AF18EE"/>
    <w:rsid w:val="00AF19BF"/>
    <w:rsid w:val="00AF1C26"/>
    <w:rsid w:val="00AF1D29"/>
    <w:rsid w:val="00AF26A1"/>
    <w:rsid w:val="00AF2B55"/>
    <w:rsid w:val="00AF2DC3"/>
    <w:rsid w:val="00AF2DF1"/>
    <w:rsid w:val="00AF35F3"/>
    <w:rsid w:val="00AF36DB"/>
    <w:rsid w:val="00AF3C78"/>
    <w:rsid w:val="00AF3CED"/>
    <w:rsid w:val="00AF3EBB"/>
    <w:rsid w:val="00AF3FE3"/>
    <w:rsid w:val="00AF42A7"/>
    <w:rsid w:val="00AF42FF"/>
    <w:rsid w:val="00AF46C0"/>
    <w:rsid w:val="00AF47FA"/>
    <w:rsid w:val="00AF4BC6"/>
    <w:rsid w:val="00AF4C25"/>
    <w:rsid w:val="00AF522A"/>
    <w:rsid w:val="00AF576C"/>
    <w:rsid w:val="00AF581D"/>
    <w:rsid w:val="00AF606B"/>
    <w:rsid w:val="00AF60B0"/>
    <w:rsid w:val="00AF60DC"/>
    <w:rsid w:val="00AF6187"/>
    <w:rsid w:val="00AF6287"/>
    <w:rsid w:val="00AF6347"/>
    <w:rsid w:val="00AF636B"/>
    <w:rsid w:val="00AF6A9A"/>
    <w:rsid w:val="00AF6BED"/>
    <w:rsid w:val="00AF6DBA"/>
    <w:rsid w:val="00AF7984"/>
    <w:rsid w:val="00AF7A74"/>
    <w:rsid w:val="00AF7BA8"/>
    <w:rsid w:val="00AF7C83"/>
    <w:rsid w:val="00B00519"/>
    <w:rsid w:val="00B00823"/>
    <w:rsid w:val="00B0094B"/>
    <w:rsid w:val="00B00F21"/>
    <w:rsid w:val="00B00F7B"/>
    <w:rsid w:val="00B01441"/>
    <w:rsid w:val="00B0154A"/>
    <w:rsid w:val="00B0197B"/>
    <w:rsid w:val="00B01BBC"/>
    <w:rsid w:val="00B01CDF"/>
    <w:rsid w:val="00B01E0F"/>
    <w:rsid w:val="00B02084"/>
    <w:rsid w:val="00B020E8"/>
    <w:rsid w:val="00B023B3"/>
    <w:rsid w:val="00B023D1"/>
    <w:rsid w:val="00B02742"/>
    <w:rsid w:val="00B03206"/>
    <w:rsid w:val="00B033E5"/>
    <w:rsid w:val="00B034C0"/>
    <w:rsid w:val="00B03594"/>
    <w:rsid w:val="00B0372B"/>
    <w:rsid w:val="00B03755"/>
    <w:rsid w:val="00B03980"/>
    <w:rsid w:val="00B03A50"/>
    <w:rsid w:val="00B03A63"/>
    <w:rsid w:val="00B03B3D"/>
    <w:rsid w:val="00B03EE3"/>
    <w:rsid w:val="00B0431C"/>
    <w:rsid w:val="00B04340"/>
    <w:rsid w:val="00B04552"/>
    <w:rsid w:val="00B04A83"/>
    <w:rsid w:val="00B04D38"/>
    <w:rsid w:val="00B04E21"/>
    <w:rsid w:val="00B05530"/>
    <w:rsid w:val="00B05F00"/>
    <w:rsid w:val="00B0637E"/>
    <w:rsid w:val="00B0645A"/>
    <w:rsid w:val="00B0650C"/>
    <w:rsid w:val="00B06601"/>
    <w:rsid w:val="00B068BC"/>
    <w:rsid w:val="00B068D2"/>
    <w:rsid w:val="00B06D3E"/>
    <w:rsid w:val="00B06F10"/>
    <w:rsid w:val="00B06F7C"/>
    <w:rsid w:val="00B07351"/>
    <w:rsid w:val="00B07689"/>
    <w:rsid w:val="00B07830"/>
    <w:rsid w:val="00B07EFA"/>
    <w:rsid w:val="00B10106"/>
    <w:rsid w:val="00B1041B"/>
    <w:rsid w:val="00B10631"/>
    <w:rsid w:val="00B10B41"/>
    <w:rsid w:val="00B10DCC"/>
    <w:rsid w:val="00B114D3"/>
    <w:rsid w:val="00B11731"/>
    <w:rsid w:val="00B11810"/>
    <w:rsid w:val="00B11ADE"/>
    <w:rsid w:val="00B11C4E"/>
    <w:rsid w:val="00B12801"/>
    <w:rsid w:val="00B129A4"/>
    <w:rsid w:val="00B12FC6"/>
    <w:rsid w:val="00B13387"/>
    <w:rsid w:val="00B135DD"/>
    <w:rsid w:val="00B13650"/>
    <w:rsid w:val="00B13836"/>
    <w:rsid w:val="00B13843"/>
    <w:rsid w:val="00B13872"/>
    <w:rsid w:val="00B138DE"/>
    <w:rsid w:val="00B1396A"/>
    <w:rsid w:val="00B13C29"/>
    <w:rsid w:val="00B14400"/>
    <w:rsid w:val="00B1442E"/>
    <w:rsid w:val="00B1459B"/>
    <w:rsid w:val="00B14779"/>
    <w:rsid w:val="00B14DCE"/>
    <w:rsid w:val="00B14F75"/>
    <w:rsid w:val="00B15029"/>
    <w:rsid w:val="00B15238"/>
    <w:rsid w:val="00B15426"/>
    <w:rsid w:val="00B1564B"/>
    <w:rsid w:val="00B15E53"/>
    <w:rsid w:val="00B163EC"/>
    <w:rsid w:val="00B16428"/>
    <w:rsid w:val="00B1686A"/>
    <w:rsid w:val="00B16BF0"/>
    <w:rsid w:val="00B16C38"/>
    <w:rsid w:val="00B16D8C"/>
    <w:rsid w:val="00B17111"/>
    <w:rsid w:val="00B1737F"/>
    <w:rsid w:val="00B17539"/>
    <w:rsid w:val="00B17621"/>
    <w:rsid w:val="00B1772D"/>
    <w:rsid w:val="00B201A4"/>
    <w:rsid w:val="00B201D1"/>
    <w:rsid w:val="00B2028B"/>
    <w:rsid w:val="00B2062A"/>
    <w:rsid w:val="00B207F0"/>
    <w:rsid w:val="00B20889"/>
    <w:rsid w:val="00B20890"/>
    <w:rsid w:val="00B208E7"/>
    <w:rsid w:val="00B20AA9"/>
    <w:rsid w:val="00B20EC9"/>
    <w:rsid w:val="00B20F94"/>
    <w:rsid w:val="00B2132C"/>
    <w:rsid w:val="00B213A6"/>
    <w:rsid w:val="00B218DC"/>
    <w:rsid w:val="00B22624"/>
    <w:rsid w:val="00B22793"/>
    <w:rsid w:val="00B22AE3"/>
    <w:rsid w:val="00B23313"/>
    <w:rsid w:val="00B2350A"/>
    <w:rsid w:val="00B235B0"/>
    <w:rsid w:val="00B23895"/>
    <w:rsid w:val="00B23B32"/>
    <w:rsid w:val="00B23B9D"/>
    <w:rsid w:val="00B23E67"/>
    <w:rsid w:val="00B24658"/>
    <w:rsid w:val="00B248E0"/>
    <w:rsid w:val="00B2495F"/>
    <w:rsid w:val="00B24C3A"/>
    <w:rsid w:val="00B24DF6"/>
    <w:rsid w:val="00B25098"/>
    <w:rsid w:val="00B25187"/>
    <w:rsid w:val="00B25A9E"/>
    <w:rsid w:val="00B25B98"/>
    <w:rsid w:val="00B25D31"/>
    <w:rsid w:val="00B25DF3"/>
    <w:rsid w:val="00B25F29"/>
    <w:rsid w:val="00B262E6"/>
    <w:rsid w:val="00B263BD"/>
    <w:rsid w:val="00B265D4"/>
    <w:rsid w:val="00B266EB"/>
    <w:rsid w:val="00B276CE"/>
    <w:rsid w:val="00B27897"/>
    <w:rsid w:val="00B27A61"/>
    <w:rsid w:val="00B27F57"/>
    <w:rsid w:val="00B30193"/>
    <w:rsid w:val="00B3028E"/>
    <w:rsid w:val="00B3065F"/>
    <w:rsid w:val="00B3075A"/>
    <w:rsid w:val="00B30B0C"/>
    <w:rsid w:val="00B30F2E"/>
    <w:rsid w:val="00B310AD"/>
    <w:rsid w:val="00B311C4"/>
    <w:rsid w:val="00B31A96"/>
    <w:rsid w:val="00B31F25"/>
    <w:rsid w:val="00B32B63"/>
    <w:rsid w:val="00B3324C"/>
    <w:rsid w:val="00B33632"/>
    <w:rsid w:val="00B33652"/>
    <w:rsid w:val="00B33726"/>
    <w:rsid w:val="00B3391C"/>
    <w:rsid w:val="00B33D0D"/>
    <w:rsid w:val="00B34437"/>
    <w:rsid w:val="00B3489C"/>
    <w:rsid w:val="00B34FD3"/>
    <w:rsid w:val="00B34FE2"/>
    <w:rsid w:val="00B35166"/>
    <w:rsid w:val="00B3533F"/>
    <w:rsid w:val="00B35664"/>
    <w:rsid w:val="00B357D8"/>
    <w:rsid w:val="00B35C00"/>
    <w:rsid w:val="00B360F4"/>
    <w:rsid w:val="00B36A00"/>
    <w:rsid w:val="00B36A42"/>
    <w:rsid w:val="00B3751A"/>
    <w:rsid w:val="00B3792B"/>
    <w:rsid w:val="00B37BFC"/>
    <w:rsid w:val="00B40358"/>
    <w:rsid w:val="00B4038E"/>
    <w:rsid w:val="00B40726"/>
    <w:rsid w:val="00B408A6"/>
    <w:rsid w:val="00B4153B"/>
    <w:rsid w:val="00B41614"/>
    <w:rsid w:val="00B4177F"/>
    <w:rsid w:val="00B41905"/>
    <w:rsid w:val="00B4197C"/>
    <w:rsid w:val="00B41F57"/>
    <w:rsid w:val="00B42504"/>
    <w:rsid w:val="00B42715"/>
    <w:rsid w:val="00B42851"/>
    <w:rsid w:val="00B42F80"/>
    <w:rsid w:val="00B42FBC"/>
    <w:rsid w:val="00B432CE"/>
    <w:rsid w:val="00B435CB"/>
    <w:rsid w:val="00B43927"/>
    <w:rsid w:val="00B43A09"/>
    <w:rsid w:val="00B43F41"/>
    <w:rsid w:val="00B4466A"/>
    <w:rsid w:val="00B44D04"/>
    <w:rsid w:val="00B44D80"/>
    <w:rsid w:val="00B45041"/>
    <w:rsid w:val="00B4544A"/>
    <w:rsid w:val="00B4563F"/>
    <w:rsid w:val="00B45B22"/>
    <w:rsid w:val="00B4621E"/>
    <w:rsid w:val="00B4627C"/>
    <w:rsid w:val="00B465EC"/>
    <w:rsid w:val="00B467B0"/>
    <w:rsid w:val="00B469A8"/>
    <w:rsid w:val="00B46D4E"/>
    <w:rsid w:val="00B4701F"/>
    <w:rsid w:val="00B470BA"/>
    <w:rsid w:val="00B475AA"/>
    <w:rsid w:val="00B47AE6"/>
    <w:rsid w:val="00B47DDF"/>
    <w:rsid w:val="00B50177"/>
    <w:rsid w:val="00B501E3"/>
    <w:rsid w:val="00B5029D"/>
    <w:rsid w:val="00B505C8"/>
    <w:rsid w:val="00B50661"/>
    <w:rsid w:val="00B50865"/>
    <w:rsid w:val="00B50C9F"/>
    <w:rsid w:val="00B50DB8"/>
    <w:rsid w:val="00B510AC"/>
    <w:rsid w:val="00B519B9"/>
    <w:rsid w:val="00B51A9A"/>
    <w:rsid w:val="00B51B62"/>
    <w:rsid w:val="00B51BE9"/>
    <w:rsid w:val="00B51E2B"/>
    <w:rsid w:val="00B52135"/>
    <w:rsid w:val="00B5215C"/>
    <w:rsid w:val="00B52268"/>
    <w:rsid w:val="00B529F1"/>
    <w:rsid w:val="00B52B4C"/>
    <w:rsid w:val="00B52CB3"/>
    <w:rsid w:val="00B5320E"/>
    <w:rsid w:val="00B5334D"/>
    <w:rsid w:val="00B535AD"/>
    <w:rsid w:val="00B53654"/>
    <w:rsid w:val="00B53905"/>
    <w:rsid w:val="00B53B29"/>
    <w:rsid w:val="00B53CC3"/>
    <w:rsid w:val="00B53CC6"/>
    <w:rsid w:val="00B53CDA"/>
    <w:rsid w:val="00B53D6D"/>
    <w:rsid w:val="00B53FC9"/>
    <w:rsid w:val="00B546DB"/>
    <w:rsid w:val="00B54739"/>
    <w:rsid w:val="00B54806"/>
    <w:rsid w:val="00B54887"/>
    <w:rsid w:val="00B54AE2"/>
    <w:rsid w:val="00B54B0B"/>
    <w:rsid w:val="00B54B5B"/>
    <w:rsid w:val="00B54DE5"/>
    <w:rsid w:val="00B54EB9"/>
    <w:rsid w:val="00B54ED0"/>
    <w:rsid w:val="00B55482"/>
    <w:rsid w:val="00B5562E"/>
    <w:rsid w:val="00B55862"/>
    <w:rsid w:val="00B55D55"/>
    <w:rsid w:val="00B55D65"/>
    <w:rsid w:val="00B55D95"/>
    <w:rsid w:val="00B55F54"/>
    <w:rsid w:val="00B5604C"/>
    <w:rsid w:val="00B56302"/>
    <w:rsid w:val="00B56305"/>
    <w:rsid w:val="00B563FA"/>
    <w:rsid w:val="00B5646C"/>
    <w:rsid w:val="00B56818"/>
    <w:rsid w:val="00B56C21"/>
    <w:rsid w:val="00B56EC5"/>
    <w:rsid w:val="00B56FDA"/>
    <w:rsid w:val="00B57000"/>
    <w:rsid w:val="00B5736E"/>
    <w:rsid w:val="00B574A6"/>
    <w:rsid w:val="00B576A8"/>
    <w:rsid w:val="00B576CD"/>
    <w:rsid w:val="00B578E1"/>
    <w:rsid w:val="00B57C1F"/>
    <w:rsid w:val="00B602FB"/>
    <w:rsid w:val="00B60677"/>
    <w:rsid w:val="00B6072F"/>
    <w:rsid w:val="00B60939"/>
    <w:rsid w:val="00B60AFD"/>
    <w:rsid w:val="00B60C2C"/>
    <w:rsid w:val="00B61C43"/>
    <w:rsid w:val="00B623E6"/>
    <w:rsid w:val="00B6245F"/>
    <w:rsid w:val="00B62715"/>
    <w:rsid w:val="00B62B51"/>
    <w:rsid w:val="00B63315"/>
    <w:rsid w:val="00B63635"/>
    <w:rsid w:val="00B63E9C"/>
    <w:rsid w:val="00B6452A"/>
    <w:rsid w:val="00B64567"/>
    <w:rsid w:val="00B645CE"/>
    <w:rsid w:val="00B649BB"/>
    <w:rsid w:val="00B64D68"/>
    <w:rsid w:val="00B651A5"/>
    <w:rsid w:val="00B652B7"/>
    <w:rsid w:val="00B65611"/>
    <w:rsid w:val="00B65B4D"/>
    <w:rsid w:val="00B6610E"/>
    <w:rsid w:val="00B6622B"/>
    <w:rsid w:val="00B6651C"/>
    <w:rsid w:val="00B6653C"/>
    <w:rsid w:val="00B6686C"/>
    <w:rsid w:val="00B66CAA"/>
    <w:rsid w:val="00B66DD7"/>
    <w:rsid w:val="00B6701D"/>
    <w:rsid w:val="00B6742B"/>
    <w:rsid w:val="00B67613"/>
    <w:rsid w:val="00B67967"/>
    <w:rsid w:val="00B67C25"/>
    <w:rsid w:val="00B67DE9"/>
    <w:rsid w:val="00B67E16"/>
    <w:rsid w:val="00B7045F"/>
    <w:rsid w:val="00B70D21"/>
    <w:rsid w:val="00B70D81"/>
    <w:rsid w:val="00B70E8E"/>
    <w:rsid w:val="00B70F4E"/>
    <w:rsid w:val="00B710A2"/>
    <w:rsid w:val="00B711BC"/>
    <w:rsid w:val="00B71293"/>
    <w:rsid w:val="00B712C6"/>
    <w:rsid w:val="00B7168E"/>
    <w:rsid w:val="00B717BA"/>
    <w:rsid w:val="00B71853"/>
    <w:rsid w:val="00B721E7"/>
    <w:rsid w:val="00B72816"/>
    <w:rsid w:val="00B73061"/>
    <w:rsid w:val="00B73116"/>
    <w:rsid w:val="00B73183"/>
    <w:rsid w:val="00B733E7"/>
    <w:rsid w:val="00B73B91"/>
    <w:rsid w:val="00B73EC7"/>
    <w:rsid w:val="00B73F65"/>
    <w:rsid w:val="00B74479"/>
    <w:rsid w:val="00B747F7"/>
    <w:rsid w:val="00B748C5"/>
    <w:rsid w:val="00B74EB2"/>
    <w:rsid w:val="00B75011"/>
    <w:rsid w:val="00B75570"/>
    <w:rsid w:val="00B7580B"/>
    <w:rsid w:val="00B75976"/>
    <w:rsid w:val="00B75BC2"/>
    <w:rsid w:val="00B75C1D"/>
    <w:rsid w:val="00B75C7E"/>
    <w:rsid w:val="00B75FCD"/>
    <w:rsid w:val="00B75FFC"/>
    <w:rsid w:val="00B76259"/>
    <w:rsid w:val="00B76410"/>
    <w:rsid w:val="00B76C41"/>
    <w:rsid w:val="00B76C92"/>
    <w:rsid w:val="00B77045"/>
    <w:rsid w:val="00B773D6"/>
    <w:rsid w:val="00B7772C"/>
    <w:rsid w:val="00B77753"/>
    <w:rsid w:val="00B77841"/>
    <w:rsid w:val="00B779A0"/>
    <w:rsid w:val="00B779CB"/>
    <w:rsid w:val="00B77A69"/>
    <w:rsid w:val="00B80407"/>
    <w:rsid w:val="00B805EC"/>
    <w:rsid w:val="00B80780"/>
    <w:rsid w:val="00B80851"/>
    <w:rsid w:val="00B80AB0"/>
    <w:rsid w:val="00B80B43"/>
    <w:rsid w:val="00B80CDB"/>
    <w:rsid w:val="00B80EFD"/>
    <w:rsid w:val="00B818A4"/>
    <w:rsid w:val="00B81D39"/>
    <w:rsid w:val="00B821AB"/>
    <w:rsid w:val="00B836AE"/>
    <w:rsid w:val="00B83739"/>
    <w:rsid w:val="00B83FAB"/>
    <w:rsid w:val="00B83FDC"/>
    <w:rsid w:val="00B840DE"/>
    <w:rsid w:val="00B84117"/>
    <w:rsid w:val="00B84633"/>
    <w:rsid w:val="00B84C61"/>
    <w:rsid w:val="00B84CD8"/>
    <w:rsid w:val="00B84FFC"/>
    <w:rsid w:val="00B8529A"/>
    <w:rsid w:val="00B85701"/>
    <w:rsid w:val="00B85755"/>
    <w:rsid w:val="00B858F0"/>
    <w:rsid w:val="00B85AA2"/>
    <w:rsid w:val="00B85C25"/>
    <w:rsid w:val="00B85C9B"/>
    <w:rsid w:val="00B85CD4"/>
    <w:rsid w:val="00B85DE5"/>
    <w:rsid w:val="00B85F36"/>
    <w:rsid w:val="00B8601B"/>
    <w:rsid w:val="00B86220"/>
    <w:rsid w:val="00B863A0"/>
    <w:rsid w:val="00B8649C"/>
    <w:rsid w:val="00B8662B"/>
    <w:rsid w:val="00B8695D"/>
    <w:rsid w:val="00B87351"/>
    <w:rsid w:val="00B8744A"/>
    <w:rsid w:val="00B87A08"/>
    <w:rsid w:val="00B87E23"/>
    <w:rsid w:val="00B87F0A"/>
    <w:rsid w:val="00B87F4B"/>
    <w:rsid w:val="00B90611"/>
    <w:rsid w:val="00B90679"/>
    <w:rsid w:val="00B90819"/>
    <w:rsid w:val="00B90FF3"/>
    <w:rsid w:val="00B9108E"/>
    <w:rsid w:val="00B911CE"/>
    <w:rsid w:val="00B9135E"/>
    <w:rsid w:val="00B9163F"/>
    <w:rsid w:val="00B91BBA"/>
    <w:rsid w:val="00B926F8"/>
    <w:rsid w:val="00B92D0B"/>
    <w:rsid w:val="00B92D58"/>
    <w:rsid w:val="00B92DB6"/>
    <w:rsid w:val="00B930C6"/>
    <w:rsid w:val="00B93355"/>
    <w:rsid w:val="00B933D5"/>
    <w:rsid w:val="00B93A60"/>
    <w:rsid w:val="00B93B25"/>
    <w:rsid w:val="00B93C5A"/>
    <w:rsid w:val="00B93C7E"/>
    <w:rsid w:val="00B93E9F"/>
    <w:rsid w:val="00B93F5C"/>
    <w:rsid w:val="00B940FD"/>
    <w:rsid w:val="00B94414"/>
    <w:rsid w:val="00B94945"/>
    <w:rsid w:val="00B94A26"/>
    <w:rsid w:val="00B94D7E"/>
    <w:rsid w:val="00B94DD6"/>
    <w:rsid w:val="00B94E1E"/>
    <w:rsid w:val="00B951A1"/>
    <w:rsid w:val="00B95607"/>
    <w:rsid w:val="00B95684"/>
    <w:rsid w:val="00B9571B"/>
    <w:rsid w:val="00B95989"/>
    <w:rsid w:val="00B961B6"/>
    <w:rsid w:val="00B963FA"/>
    <w:rsid w:val="00B9686C"/>
    <w:rsid w:val="00B968B1"/>
    <w:rsid w:val="00B96AF6"/>
    <w:rsid w:val="00B96BFF"/>
    <w:rsid w:val="00B971D5"/>
    <w:rsid w:val="00B9721D"/>
    <w:rsid w:val="00B9723F"/>
    <w:rsid w:val="00B972A3"/>
    <w:rsid w:val="00B972BC"/>
    <w:rsid w:val="00B97828"/>
    <w:rsid w:val="00B97829"/>
    <w:rsid w:val="00B97E63"/>
    <w:rsid w:val="00B97EBF"/>
    <w:rsid w:val="00BA04B4"/>
    <w:rsid w:val="00BA0568"/>
    <w:rsid w:val="00BA095D"/>
    <w:rsid w:val="00BA0D31"/>
    <w:rsid w:val="00BA0DCB"/>
    <w:rsid w:val="00BA1981"/>
    <w:rsid w:val="00BA2119"/>
    <w:rsid w:val="00BA21E7"/>
    <w:rsid w:val="00BA2315"/>
    <w:rsid w:val="00BA237C"/>
    <w:rsid w:val="00BA246C"/>
    <w:rsid w:val="00BA299D"/>
    <w:rsid w:val="00BA2CEA"/>
    <w:rsid w:val="00BA322D"/>
    <w:rsid w:val="00BA328E"/>
    <w:rsid w:val="00BA36E8"/>
    <w:rsid w:val="00BA3B38"/>
    <w:rsid w:val="00BA3BBF"/>
    <w:rsid w:val="00BA3C2C"/>
    <w:rsid w:val="00BA3C33"/>
    <w:rsid w:val="00BA3D5A"/>
    <w:rsid w:val="00BA3D7A"/>
    <w:rsid w:val="00BA3E6A"/>
    <w:rsid w:val="00BA46FB"/>
    <w:rsid w:val="00BA492E"/>
    <w:rsid w:val="00BA4CB9"/>
    <w:rsid w:val="00BA4EDB"/>
    <w:rsid w:val="00BA50D4"/>
    <w:rsid w:val="00BA5484"/>
    <w:rsid w:val="00BA551B"/>
    <w:rsid w:val="00BA57CF"/>
    <w:rsid w:val="00BA590E"/>
    <w:rsid w:val="00BA61FE"/>
    <w:rsid w:val="00BA62A2"/>
    <w:rsid w:val="00BA62DE"/>
    <w:rsid w:val="00BA63FA"/>
    <w:rsid w:val="00BA64AA"/>
    <w:rsid w:val="00BA692D"/>
    <w:rsid w:val="00BA7E12"/>
    <w:rsid w:val="00BB0060"/>
    <w:rsid w:val="00BB00B3"/>
    <w:rsid w:val="00BB0298"/>
    <w:rsid w:val="00BB02B1"/>
    <w:rsid w:val="00BB039F"/>
    <w:rsid w:val="00BB03D1"/>
    <w:rsid w:val="00BB04F9"/>
    <w:rsid w:val="00BB08EF"/>
    <w:rsid w:val="00BB092F"/>
    <w:rsid w:val="00BB09A1"/>
    <w:rsid w:val="00BB0A1F"/>
    <w:rsid w:val="00BB0BDD"/>
    <w:rsid w:val="00BB0C01"/>
    <w:rsid w:val="00BB0E8D"/>
    <w:rsid w:val="00BB0EF6"/>
    <w:rsid w:val="00BB1323"/>
    <w:rsid w:val="00BB1484"/>
    <w:rsid w:val="00BB176C"/>
    <w:rsid w:val="00BB1A79"/>
    <w:rsid w:val="00BB1FF3"/>
    <w:rsid w:val="00BB21B6"/>
    <w:rsid w:val="00BB26E1"/>
    <w:rsid w:val="00BB27B4"/>
    <w:rsid w:val="00BB287C"/>
    <w:rsid w:val="00BB28A1"/>
    <w:rsid w:val="00BB2A73"/>
    <w:rsid w:val="00BB2BB6"/>
    <w:rsid w:val="00BB2E3D"/>
    <w:rsid w:val="00BB31A1"/>
    <w:rsid w:val="00BB3A45"/>
    <w:rsid w:val="00BB3D71"/>
    <w:rsid w:val="00BB417E"/>
    <w:rsid w:val="00BB419E"/>
    <w:rsid w:val="00BB43DD"/>
    <w:rsid w:val="00BB43EA"/>
    <w:rsid w:val="00BB44C1"/>
    <w:rsid w:val="00BB4869"/>
    <w:rsid w:val="00BB4ACC"/>
    <w:rsid w:val="00BB4B36"/>
    <w:rsid w:val="00BB4BD4"/>
    <w:rsid w:val="00BB4D62"/>
    <w:rsid w:val="00BB515F"/>
    <w:rsid w:val="00BB5612"/>
    <w:rsid w:val="00BB5752"/>
    <w:rsid w:val="00BB62B7"/>
    <w:rsid w:val="00BB6324"/>
    <w:rsid w:val="00BB6739"/>
    <w:rsid w:val="00BB68E7"/>
    <w:rsid w:val="00BB692A"/>
    <w:rsid w:val="00BB703E"/>
    <w:rsid w:val="00BB71BC"/>
    <w:rsid w:val="00BB729F"/>
    <w:rsid w:val="00BB732D"/>
    <w:rsid w:val="00BB7405"/>
    <w:rsid w:val="00BB793C"/>
    <w:rsid w:val="00BB7D57"/>
    <w:rsid w:val="00BC00C1"/>
    <w:rsid w:val="00BC0155"/>
    <w:rsid w:val="00BC0202"/>
    <w:rsid w:val="00BC03B9"/>
    <w:rsid w:val="00BC0410"/>
    <w:rsid w:val="00BC07B8"/>
    <w:rsid w:val="00BC0AF7"/>
    <w:rsid w:val="00BC0CC9"/>
    <w:rsid w:val="00BC0E97"/>
    <w:rsid w:val="00BC0EB3"/>
    <w:rsid w:val="00BC1013"/>
    <w:rsid w:val="00BC1195"/>
    <w:rsid w:val="00BC12A6"/>
    <w:rsid w:val="00BC14A4"/>
    <w:rsid w:val="00BC1537"/>
    <w:rsid w:val="00BC156C"/>
    <w:rsid w:val="00BC1697"/>
    <w:rsid w:val="00BC17A4"/>
    <w:rsid w:val="00BC19AF"/>
    <w:rsid w:val="00BC1BDA"/>
    <w:rsid w:val="00BC1C61"/>
    <w:rsid w:val="00BC20CF"/>
    <w:rsid w:val="00BC2278"/>
    <w:rsid w:val="00BC2299"/>
    <w:rsid w:val="00BC22EF"/>
    <w:rsid w:val="00BC280B"/>
    <w:rsid w:val="00BC282B"/>
    <w:rsid w:val="00BC2836"/>
    <w:rsid w:val="00BC2A20"/>
    <w:rsid w:val="00BC2ADC"/>
    <w:rsid w:val="00BC2B09"/>
    <w:rsid w:val="00BC2C7C"/>
    <w:rsid w:val="00BC2EB3"/>
    <w:rsid w:val="00BC3631"/>
    <w:rsid w:val="00BC3717"/>
    <w:rsid w:val="00BC3770"/>
    <w:rsid w:val="00BC3853"/>
    <w:rsid w:val="00BC3876"/>
    <w:rsid w:val="00BC3F30"/>
    <w:rsid w:val="00BC43CF"/>
    <w:rsid w:val="00BC4640"/>
    <w:rsid w:val="00BC46F8"/>
    <w:rsid w:val="00BC47F1"/>
    <w:rsid w:val="00BC48FA"/>
    <w:rsid w:val="00BC4B27"/>
    <w:rsid w:val="00BC4D13"/>
    <w:rsid w:val="00BC50D6"/>
    <w:rsid w:val="00BC5231"/>
    <w:rsid w:val="00BC536F"/>
    <w:rsid w:val="00BC591F"/>
    <w:rsid w:val="00BC6587"/>
    <w:rsid w:val="00BC697C"/>
    <w:rsid w:val="00BC6AA9"/>
    <w:rsid w:val="00BC719B"/>
    <w:rsid w:val="00BC7A34"/>
    <w:rsid w:val="00BC7D30"/>
    <w:rsid w:val="00BC7D6D"/>
    <w:rsid w:val="00BC7D72"/>
    <w:rsid w:val="00BC7DFF"/>
    <w:rsid w:val="00BC7FAB"/>
    <w:rsid w:val="00BD0326"/>
    <w:rsid w:val="00BD0677"/>
    <w:rsid w:val="00BD0909"/>
    <w:rsid w:val="00BD0B3E"/>
    <w:rsid w:val="00BD0D7E"/>
    <w:rsid w:val="00BD0DFE"/>
    <w:rsid w:val="00BD1818"/>
    <w:rsid w:val="00BD19C1"/>
    <w:rsid w:val="00BD2108"/>
    <w:rsid w:val="00BD2206"/>
    <w:rsid w:val="00BD223A"/>
    <w:rsid w:val="00BD268F"/>
    <w:rsid w:val="00BD26BF"/>
    <w:rsid w:val="00BD2F0D"/>
    <w:rsid w:val="00BD3724"/>
    <w:rsid w:val="00BD384B"/>
    <w:rsid w:val="00BD39D3"/>
    <w:rsid w:val="00BD3D9D"/>
    <w:rsid w:val="00BD3E12"/>
    <w:rsid w:val="00BD417B"/>
    <w:rsid w:val="00BD417C"/>
    <w:rsid w:val="00BD46AE"/>
    <w:rsid w:val="00BD484B"/>
    <w:rsid w:val="00BD48B1"/>
    <w:rsid w:val="00BD4A09"/>
    <w:rsid w:val="00BD4BE6"/>
    <w:rsid w:val="00BD4DCA"/>
    <w:rsid w:val="00BD4FB0"/>
    <w:rsid w:val="00BD50EA"/>
    <w:rsid w:val="00BD5806"/>
    <w:rsid w:val="00BD5AC9"/>
    <w:rsid w:val="00BD5FC8"/>
    <w:rsid w:val="00BD60F9"/>
    <w:rsid w:val="00BD6244"/>
    <w:rsid w:val="00BD66EF"/>
    <w:rsid w:val="00BD67CC"/>
    <w:rsid w:val="00BD68A3"/>
    <w:rsid w:val="00BD6938"/>
    <w:rsid w:val="00BD6AC3"/>
    <w:rsid w:val="00BD6B80"/>
    <w:rsid w:val="00BD6B99"/>
    <w:rsid w:val="00BD6CF3"/>
    <w:rsid w:val="00BD6DD6"/>
    <w:rsid w:val="00BD783E"/>
    <w:rsid w:val="00BD7C35"/>
    <w:rsid w:val="00BD7F72"/>
    <w:rsid w:val="00BE0069"/>
    <w:rsid w:val="00BE0422"/>
    <w:rsid w:val="00BE0503"/>
    <w:rsid w:val="00BE0575"/>
    <w:rsid w:val="00BE06F1"/>
    <w:rsid w:val="00BE09D3"/>
    <w:rsid w:val="00BE0C93"/>
    <w:rsid w:val="00BE0E81"/>
    <w:rsid w:val="00BE0ECA"/>
    <w:rsid w:val="00BE1092"/>
    <w:rsid w:val="00BE1446"/>
    <w:rsid w:val="00BE1B9B"/>
    <w:rsid w:val="00BE208B"/>
    <w:rsid w:val="00BE2180"/>
    <w:rsid w:val="00BE21F2"/>
    <w:rsid w:val="00BE233A"/>
    <w:rsid w:val="00BE2868"/>
    <w:rsid w:val="00BE28A9"/>
    <w:rsid w:val="00BE2C32"/>
    <w:rsid w:val="00BE2ECC"/>
    <w:rsid w:val="00BE31C5"/>
    <w:rsid w:val="00BE3247"/>
    <w:rsid w:val="00BE3338"/>
    <w:rsid w:val="00BE3782"/>
    <w:rsid w:val="00BE39A4"/>
    <w:rsid w:val="00BE3B85"/>
    <w:rsid w:val="00BE3CD4"/>
    <w:rsid w:val="00BE3F99"/>
    <w:rsid w:val="00BE4275"/>
    <w:rsid w:val="00BE465B"/>
    <w:rsid w:val="00BE4AB1"/>
    <w:rsid w:val="00BE4CE7"/>
    <w:rsid w:val="00BE4F57"/>
    <w:rsid w:val="00BE4FD8"/>
    <w:rsid w:val="00BE55F7"/>
    <w:rsid w:val="00BE605F"/>
    <w:rsid w:val="00BE6075"/>
    <w:rsid w:val="00BE64F1"/>
    <w:rsid w:val="00BE65AD"/>
    <w:rsid w:val="00BE6767"/>
    <w:rsid w:val="00BE6881"/>
    <w:rsid w:val="00BE6D22"/>
    <w:rsid w:val="00BE6F12"/>
    <w:rsid w:val="00BE71E4"/>
    <w:rsid w:val="00BE77E7"/>
    <w:rsid w:val="00BE79E9"/>
    <w:rsid w:val="00BE7A79"/>
    <w:rsid w:val="00BE7FEC"/>
    <w:rsid w:val="00BF035E"/>
    <w:rsid w:val="00BF06AE"/>
    <w:rsid w:val="00BF06B8"/>
    <w:rsid w:val="00BF073D"/>
    <w:rsid w:val="00BF08A5"/>
    <w:rsid w:val="00BF0C69"/>
    <w:rsid w:val="00BF0CD8"/>
    <w:rsid w:val="00BF0F95"/>
    <w:rsid w:val="00BF1103"/>
    <w:rsid w:val="00BF14AD"/>
    <w:rsid w:val="00BF169A"/>
    <w:rsid w:val="00BF1DF1"/>
    <w:rsid w:val="00BF204E"/>
    <w:rsid w:val="00BF215F"/>
    <w:rsid w:val="00BF2433"/>
    <w:rsid w:val="00BF251F"/>
    <w:rsid w:val="00BF2844"/>
    <w:rsid w:val="00BF2A56"/>
    <w:rsid w:val="00BF2A6F"/>
    <w:rsid w:val="00BF2E6E"/>
    <w:rsid w:val="00BF300D"/>
    <w:rsid w:val="00BF3398"/>
    <w:rsid w:val="00BF33B9"/>
    <w:rsid w:val="00BF3F60"/>
    <w:rsid w:val="00BF4095"/>
    <w:rsid w:val="00BF43E3"/>
    <w:rsid w:val="00BF5084"/>
    <w:rsid w:val="00BF53D0"/>
    <w:rsid w:val="00BF54A3"/>
    <w:rsid w:val="00BF5830"/>
    <w:rsid w:val="00BF5862"/>
    <w:rsid w:val="00BF5BB3"/>
    <w:rsid w:val="00BF5D39"/>
    <w:rsid w:val="00BF61C9"/>
    <w:rsid w:val="00BF62BF"/>
    <w:rsid w:val="00BF6C94"/>
    <w:rsid w:val="00BF6CC1"/>
    <w:rsid w:val="00BF712D"/>
    <w:rsid w:val="00BF7686"/>
    <w:rsid w:val="00BF775E"/>
    <w:rsid w:val="00BF7B6F"/>
    <w:rsid w:val="00BF7BDF"/>
    <w:rsid w:val="00BF7F72"/>
    <w:rsid w:val="00C00037"/>
    <w:rsid w:val="00C003E8"/>
    <w:rsid w:val="00C00424"/>
    <w:rsid w:val="00C006D1"/>
    <w:rsid w:val="00C00A8B"/>
    <w:rsid w:val="00C00BB0"/>
    <w:rsid w:val="00C01141"/>
    <w:rsid w:val="00C013B1"/>
    <w:rsid w:val="00C01588"/>
    <w:rsid w:val="00C020D2"/>
    <w:rsid w:val="00C0212B"/>
    <w:rsid w:val="00C0255F"/>
    <w:rsid w:val="00C0263F"/>
    <w:rsid w:val="00C02B4C"/>
    <w:rsid w:val="00C032A9"/>
    <w:rsid w:val="00C038FB"/>
    <w:rsid w:val="00C03DB4"/>
    <w:rsid w:val="00C03F73"/>
    <w:rsid w:val="00C041C5"/>
    <w:rsid w:val="00C04B7C"/>
    <w:rsid w:val="00C04D1C"/>
    <w:rsid w:val="00C04E47"/>
    <w:rsid w:val="00C0555A"/>
    <w:rsid w:val="00C056B1"/>
    <w:rsid w:val="00C05916"/>
    <w:rsid w:val="00C05C55"/>
    <w:rsid w:val="00C05F99"/>
    <w:rsid w:val="00C067E4"/>
    <w:rsid w:val="00C06DBF"/>
    <w:rsid w:val="00C07C6D"/>
    <w:rsid w:val="00C07CE4"/>
    <w:rsid w:val="00C07D84"/>
    <w:rsid w:val="00C100C0"/>
    <w:rsid w:val="00C10160"/>
    <w:rsid w:val="00C10196"/>
    <w:rsid w:val="00C1097C"/>
    <w:rsid w:val="00C10A48"/>
    <w:rsid w:val="00C10B0E"/>
    <w:rsid w:val="00C10BB2"/>
    <w:rsid w:val="00C1117C"/>
    <w:rsid w:val="00C1150C"/>
    <w:rsid w:val="00C1153F"/>
    <w:rsid w:val="00C1179F"/>
    <w:rsid w:val="00C119C6"/>
    <w:rsid w:val="00C11B5C"/>
    <w:rsid w:val="00C11C0E"/>
    <w:rsid w:val="00C12635"/>
    <w:rsid w:val="00C127B9"/>
    <w:rsid w:val="00C128FA"/>
    <w:rsid w:val="00C12974"/>
    <w:rsid w:val="00C129E4"/>
    <w:rsid w:val="00C12C14"/>
    <w:rsid w:val="00C12E9F"/>
    <w:rsid w:val="00C133DA"/>
    <w:rsid w:val="00C13578"/>
    <w:rsid w:val="00C1367F"/>
    <w:rsid w:val="00C136FA"/>
    <w:rsid w:val="00C13C57"/>
    <w:rsid w:val="00C14C9E"/>
    <w:rsid w:val="00C14E9E"/>
    <w:rsid w:val="00C15003"/>
    <w:rsid w:val="00C15A4C"/>
    <w:rsid w:val="00C15F04"/>
    <w:rsid w:val="00C16155"/>
    <w:rsid w:val="00C1631D"/>
    <w:rsid w:val="00C1674B"/>
    <w:rsid w:val="00C1674F"/>
    <w:rsid w:val="00C1685E"/>
    <w:rsid w:val="00C16F44"/>
    <w:rsid w:val="00C16F78"/>
    <w:rsid w:val="00C17248"/>
    <w:rsid w:val="00C1752D"/>
    <w:rsid w:val="00C17534"/>
    <w:rsid w:val="00C1762F"/>
    <w:rsid w:val="00C17730"/>
    <w:rsid w:val="00C179B3"/>
    <w:rsid w:val="00C17E3F"/>
    <w:rsid w:val="00C20090"/>
    <w:rsid w:val="00C200AA"/>
    <w:rsid w:val="00C2019B"/>
    <w:rsid w:val="00C20348"/>
    <w:rsid w:val="00C203E7"/>
    <w:rsid w:val="00C20420"/>
    <w:rsid w:val="00C2043C"/>
    <w:rsid w:val="00C204BD"/>
    <w:rsid w:val="00C205C2"/>
    <w:rsid w:val="00C20791"/>
    <w:rsid w:val="00C20AFB"/>
    <w:rsid w:val="00C21186"/>
    <w:rsid w:val="00C211C2"/>
    <w:rsid w:val="00C213F3"/>
    <w:rsid w:val="00C21412"/>
    <w:rsid w:val="00C215DC"/>
    <w:rsid w:val="00C21609"/>
    <w:rsid w:val="00C217AB"/>
    <w:rsid w:val="00C21A8C"/>
    <w:rsid w:val="00C21B98"/>
    <w:rsid w:val="00C21FEE"/>
    <w:rsid w:val="00C22519"/>
    <w:rsid w:val="00C22B0A"/>
    <w:rsid w:val="00C22CCC"/>
    <w:rsid w:val="00C22FF4"/>
    <w:rsid w:val="00C2307A"/>
    <w:rsid w:val="00C2371D"/>
    <w:rsid w:val="00C237ED"/>
    <w:rsid w:val="00C239BA"/>
    <w:rsid w:val="00C23BF6"/>
    <w:rsid w:val="00C24133"/>
    <w:rsid w:val="00C2430B"/>
    <w:rsid w:val="00C24632"/>
    <w:rsid w:val="00C24A50"/>
    <w:rsid w:val="00C24B26"/>
    <w:rsid w:val="00C24FEF"/>
    <w:rsid w:val="00C250CC"/>
    <w:rsid w:val="00C25418"/>
    <w:rsid w:val="00C255D1"/>
    <w:rsid w:val="00C25A84"/>
    <w:rsid w:val="00C25B52"/>
    <w:rsid w:val="00C25D33"/>
    <w:rsid w:val="00C25D9C"/>
    <w:rsid w:val="00C25F69"/>
    <w:rsid w:val="00C261CB"/>
    <w:rsid w:val="00C26480"/>
    <w:rsid w:val="00C26554"/>
    <w:rsid w:val="00C26AA4"/>
    <w:rsid w:val="00C26DE3"/>
    <w:rsid w:val="00C26F5C"/>
    <w:rsid w:val="00C270F7"/>
    <w:rsid w:val="00C2728F"/>
    <w:rsid w:val="00C274E1"/>
    <w:rsid w:val="00C2778B"/>
    <w:rsid w:val="00C277A5"/>
    <w:rsid w:val="00C27A6E"/>
    <w:rsid w:val="00C27EAB"/>
    <w:rsid w:val="00C30425"/>
    <w:rsid w:val="00C30809"/>
    <w:rsid w:val="00C30820"/>
    <w:rsid w:val="00C308C5"/>
    <w:rsid w:val="00C30D96"/>
    <w:rsid w:val="00C31572"/>
    <w:rsid w:val="00C31649"/>
    <w:rsid w:val="00C3186B"/>
    <w:rsid w:val="00C31998"/>
    <w:rsid w:val="00C31AA7"/>
    <w:rsid w:val="00C32016"/>
    <w:rsid w:val="00C320B8"/>
    <w:rsid w:val="00C32696"/>
    <w:rsid w:val="00C32BF5"/>
    <w:rsid w:val="00C32E89"/>
    <w:rsid w:val="00C33437"/>
    <w:rsid w:val="00C334F6"/>
    <w:rsid w:val="00C33891"/>
    <w:rsid w:val="00C33933"/>
    <w:rsid w:val="00C33B12"/>
    <w:rsid w:val="00C33B33"/>
    <w:rsid w:val="00C33CF2"/>
    <w:rsid w:val="00C33E49"/>
    <w:rsid w:val="00C33EB9"/>
    <w:rsid w:val="00C33F47"/>
    <w:rsid w:val="00C33F94"/>
    <w:rsid w:val="00C34282"/>
    <w:rsid w:val="00C3434C"/>
    <w:rsid w:val="00C343C4"/>
    <w:rsid w:val="00C344C3"/>
    <w:rsid w:val="00C34680"/>
    <w:rsid w:val="00C347DA"/>
    <w:rsid w:val="00C3485C"/>
    <w:rsid w:val="00C34952"/>
    <w:rsid w:val="00C34BA9"/>
    <w:rsid w:val="00C34DCD"/>
    <w:rsid w:val="00C34E85"/>
    <w:rsid w:val="00C34EB3"/>
    <w:rsid w:val="00C34F9C"/>
    <w:rsid w:val="00C35851"/>
    <w:rsid w:val="00C35AA4"/>
    <w:rsid w:val="00C35B4D"/>
    <w:rsid w:val="00C35E75"/>
    <w:rsid w:val="00C35F40"/>
    <w:rsid w:val="00C35F70"/>
    <w:rsid w:val="00C36558"/>
    <w:rsid w:val="00C36579"/>
    <w:rsid w:val="00C3662F"/>
    <w:rsid w:val="00C36777"/>
    <w:rsid w:val="00C3694D"/>
    <w:rsid w:val="00C36A3E"/>
    <w:rsid w:val="00C36CD3"/>
    <w:rsid w:val="00C37340"/>
    <w:rsid w:val="00C37658"/>
    <w:rsid w:val="00C3794A"/>
    <w:rsid w:val="00C40122"/>
    <w:rsid w:val="00C40242"/>
    <w:rsid w:val="00C40265"/>
    <w:rsid w:val="00C40385"/>
    <w:rsid w:val="00C404AE"/>
    <w:rsid w:val="00C40659"/>
    <w:rsid w:val="00C407D8"/>
    <w:rsid w:val="00C409F2"/>
    <w:rsid w:val="00C41768"/>
    <w:rsid w:val="00C41BC9"/>
    <w:rsid w:val="00C41D6B"/>
    <w:rsid w:val="00C42297"/>
    <w:rsid w:val="00C42568"/>
    <w:rsid w:val="00C42945"/>
    <w:rsid w:val="00C42D49"/>
    <w:rsid w:val="00C42D5E"/>
    <w:rsid w:val="00C42EF1"/>
    <w:rsid w:val="00C42F27"/>
    <w:rsid w:val="00C430D5"/>
    <w:rsid w:val="00C4353E"/>
    <w:rsid w:val="00C43873"/>
    <w:rsid w:val="00C43882"/>
    <w:rsid w:val="00C43AC4"/>
    <w:rsid w:val="00C43E78"/>
    <w:rsid w:val="00C441FA"/>
    <w:rsid w:val="00C44284"/>
    <w:rsid w:val="00C4443D"/>
    <w:rsid w:val="00C44616"/>
    <w:rsid w:val="00C44933"/>
    <w:rsid w:val="00C44AE1"/>
    <w:rsid w:val="00C45114"/>
    <w:rsid w:val="00C4518E"/>
    <w:rsid w:val="00C45683"/>
    <w:rsid w:val="00C45946"/>
    <w:rsid w:val="00C45DD8"/>
    <w:rsid w:val="00C45EB2"/>
    <w:rsid w:val="00C4639F"/>
    <w:rsid w:val="00C46796"/>
    <w:rsid w:val="00C46AFC"/>
    <w:rsid w:val="00C46FD8"/>
    <w:rsid w:val="00C47243"/>
    <w:rsid w:val="00C475AA"/>
    <w:rsid w:val="00C477BA"/>
    <w:rsid w:val="00C478AF"/>
    <w:rsid w:val="00C47C6B"/>
    <w:rsid w:val="00C500B1"/>
    <w:rsid w:val="00C50148"/>
    <w:rsid w:val="00C502E3"/>
    <w:rsid w:val="00C50540"/>
    <w:rsid w:val="00C508BB"/>
    <w:rsid w:val="00C510B3"/>
    <w:rsid w:val="00C514C5"/>
    <w:rsid w:val="00C5179E"/>
    <w:rsid w:val="00C51B7B"/>
    <w:rsid w:val="00C51CE1"/>
    <w:rsid w:val="00C52449"/>
    <w:rsid w:val="00C527C7"/>
    <w:rsid w:val="00C5292F"/>
    <w:rsid w:val="00C52C95"/>
    <w:rsid w:val="00C52DC8"/>
    <w:rsid w:val="00C52E8B"/>
    <w:rsid w:val="00C53007"/>
    <w:rsid w:val="00C533F3"/>
    <w:rsid w:val="00C538FF"/>
    <w:rsid w:val="00C53968"/>
    <w:rsid w:val="00C53999"/>
    <w:rsid w:val="00C5399E"/>
    <w:rsid w:val="00C53C98"/>
    <w:rsid w:val="00C53DBD"/>
    <w:rsid w:val="00C54491"/>
    <w:rsid w:val="00C545AE"/>
    <w:rsid w:val="00C548A3"/>
    <w:rsid w:val="00C54AB0"/>
    <w:rsid w:val="00C54AB6"/>
    <w:rsid w:val="00C54CCB"/>
    <w:rsid w:val="00C54E69"/>
    <w:rsid w:val="00C54F46"/>
    <w:rsid w:val="00C55114"/>
    <w:rsid w:val="00C551F2"/>
    <w:rsid w:val="00C55320"/>
    <w:rsid w:val="00C553E4"/>
    <w:rsid w:val="00C5552A"/>
    <w:rsid w:val="00C559F2"/>
    <w:rsid w:val="00C55E06"/>
    <w:rsid w:val="00C55F9D"/>
    <w:rsid w:val="00C56092"/>
    <w:rsid w:val="00C567CA"/>
    <w:rsid w:val="00C56FCF"/>
    <w:rsid w:val="00C572F2"/>
    <w:rsid w:val="00C572F6"/>
    <w:rsid w:val="00C5753B"/>
    <w:rsid w:val="00C5790D"/>
    <w:rsid w:val="00C57B6C"/>
    <w:rsid w:val="00C60250"/>
    <w:rsid w:val="00C603F8"/>
    <w:rsid w:val="00C60671"/>
    <w:rsid w:val="00C6105A"/>
    <w:rsid w:val="00C61A59"/>
    <w:rsid w:val="00C61B4A"/>
    <w:rsid w:val="00C61ECC"/>
    <w:rsid w:val="00C621D2"/>
    <w:rsid w:val="00C625D0"/>
    <w:rsid w:val="00C626A2"/>
    <w:rsid w:val="00C628A6"/>
    <w:rsid w:val="00C62915"/>
    <w:rsid w:val="00C633BC"/>
    <w:rsid w:val="00C634A8"/>
    <w:rsid w:val="00C63804"/>
    <w:rsid w:val="00C639FB"/>
    <w:rsid w:val="00C63B71"/>
    <w:rsid w:val="00C641FF"/>
    <w:rsid w:val="00C64344"/>
    <w:rsid w:val="00C64713"/>
    <w:rsid w:val="00C64733"/>
    <w:rsid w:val="00C64AEC"/>
    <w:rsid w:val="00C64D87"/>
    <w:rsid w:val="00C64E25"/>
    <w:rsid w:val="00C64E83"/>
    <w:rsid w:val="00C65074"/>
    <w:rsid w:val="00C65108"/>
    <w:rsid w:val="00C6518D"/>
    <w:rsid w:val="00C65576"/>
    <w:rsid w:val="00C65872"/>
    <w:rsid w:val="00C658BC"/>
    <w:rsid w:val="00C659AA"/>
    <w:rsid w:val="00C65B36"/>
    <w:rsid w:val="00C65D36"/>
    <w:rsid w:val="00C65DFF"/>
    <w:rsid w:val="00C66165"/>
    <w:rsid w:val="00C6691B"/>
    <w:rsid w:val="00C66F23"/>
    <w:rsid w:val="00C67431"/>
    <w:rsid w:val="00C674EC"/>
    <w:rsid w:val="00C6797E"/>
    <w:rsid w:val="00C67DB4"/>
    <w:rsid w:val="00C7060A"/>
    <w:rsid w:val="00C70A95"/>
    <w:rsid w:val="00C70AC4"/>
    <w:rsid w:val="00C70BBC"/>
    <w:rsid w:val="00C70E11"/>
    <w:rsid w:val="00C71054"/>
    <w:rsid w:val="00C7151A"/>
    <w:rsid w:val="00C717E3"/>
    <w:rsid w:val="00C718E3"/>
    <w:rsid w:val="00C71F60"/>
    <w:rsid w:val="00C72181"/>
    <w:rsid w:val="00C72241"/>
    <w:rsid w:val="00C723BB"/>
    <w:rsid w:val="00C72AA1"/>
    <w:rsid w:val="00C730D8"/>
    <w:rsid w:val="00C73210"/>
    <w:rsid w:val="00C73464"/>
    <w:rsid w:val="00C73974"/>
    <w:rsid w:val="00C73B13"/>
    <w:rsid w:val="00C73D01"/>
    <w:rsid w:val="00C74127"/>
    <w:rsid w:val="00C741A3"/>
    <w:rsid w:val="00C7420B"/>
    <w:rsid w:val="00C74ACA"/>
    <w:rsid w:val="00C74EC0"/>
    <w:rsid w:val="00C74F61"/>
    <w:rsid w:val="00C750C8"/>
    <w:rsid w:val="00C75160"/>
    <w:rsid w:val="00C7560F"/>
    <w:rsid w:val="00C756BA"/>
    <w:rsid w:val="00C75A47"/>
    <w:rsid w:val="00C75C7C"/>
    <w:rsid w:val="00C75E0E"/>
    <w:rsid w:val="00C765E9"/>
    <w:rsid w:val="00C76638"/>
    <w:rsid w:val="00C76A2C"/>
    <w:rsid w:val="00C76F15"/>
    <w:rsid w:val="00C76F91"/>
    <w:rsid w:val="00C77355"/>
    <w:rsid w:val="00C773D8"/>
    <w:rsid w:val="00C777BA"/>
    <w:rsid w:val="00C77EC0"/>
    <w:rsid w:val="00C8003D"/>
    <w:rsid w:val="00C8024E"/>
    <w:rsid w:val="00C809A0"/>
    <w:rsid w:val="00C80A0E"/>
    <w:rsid w:val="00C80AB4"/>
    <w:rsid w:val="00C80E74"/>
    <w:rsid w:val="00C80E93"/>
    <w:rsid w:val="00C80FE9"/>
    <w:rsid w:val="00C8120F"/>
    <w:rsid w:val="00C812CE"/>
    <w:rsid w:val="00C81312"/>
    <w:rsid w:val="00C81887"/>
    <w:rsid w:val="00C818CC"/>
    <w:rsid w:val="00C81A2C"/>
    <w:rsid w:val="00C8201D"/>
    <w:rsid w:val="00C8213F"/>
    <w:rsid w:val="00C82290"/>
    <w:rsid w:val="00C82337"/>
    <w:rsid w:val="00C827C9"/>
    <w:rsid w:val="00C82AA8"/>
    <w:rsid w:val="00C82B3A"/>
    <w:rsid w:val="00C82CEC"/>
    <w:rsid w:val="00C8303F"/>
    <w:rsid w:val="00C8309C"/>
    <w:rsid w:val="00C83A1B"/>
    <w:rsid w:val="00C83FE9"/>
    <w:rsid w:val="00C845DD"/>
    <w:rsid w:val="00C84BAC"/>
    <w:rsid w:val="00C84C2B"/>
    <w:rsid w:val="00C85154"/>
    <w:rsid w:val="00C85308"/>
    <w:rsid w:val="00C857BE"/>
    <w:rsid w:val="00C85A70"/>
    <w:rsid w:val="00C85F43"/>
    <w:rsid w:val="00C86276"/>
    <w:rsid w:val="00C862F4"/>
    <w:rsid w:val="00C8647E"/>
    <w:rsid w:val="00C86999"/>
    <w:rsid w:val="00C86A2B"/>
    <w:rsid w:val="00C86AEF"/>
    <w:rsid w:val="00C86E6A"/>
    <w:rsid w:val="00C876BC"/>
    <w:rsid w:val="00C8797A"/>
    <w:rsid w:val="00C900B8"/>
    <w:rsid w:val="00C90197"/>
    <w:rsid w:val="00C90364"/>
    <w:rsid w:val="00C90C71"/>
    <w:rsid w:val="00C9108A"/>
    <w:rsid w:val="00C9183B"/>
    <w:rsid w:val="00C91DBC"/>
    <w:rsid w:val="00C91E84"/>
    <w:rsid w:val="00C91FD1"/>
    <w:rsid w:val="00C92186"/>
    <w:rsid w:val="00C922A9"/>
    <w:rsid w:val="00C9272D"/>
    <w:rsid w:val="00C927F8"/>
    <w:rsid w:val="00C9291F"/>
    <w:rsid w:val="00C92E08"/>
    <w:rsid w:val="00C92EBA"/>
    <w:rsid w:val="00C92EF7"/>
    <w:rsid w:val="00C930BF"/>
    <w:rsid w:val="00C931CF"/>
    <w:rsid w:val="00C932AD"/>
    <w:rsid w:val="00C9341C"/>
    <w:rsid w:val="00C93570"/>
    <w:rsid w:val="00C936E7"/>
    <w:rsid w:val="00C936F5"/>
    <w:rsid w:val="00C93734"/>
    <w:rsid w:val="00C938CF"/>
    <w:rsid w:val="00C93B5D"/>
    <w:rsid w:val="00C94053"/>
    <w:rsid w:val="00C94090"/>
    <w:rsid w:val="00C944D5"/>
    <w:rsid w:val="00C9459C"/>
    <w:rsid w:val="00C94AE2"/>
    <w:rsid w:val="00C94D29"/>
    <w:rsid w:val="00C95080"/>
    <w:rsid w:val="00C95123"/>
    <w:rsid w:val="00C95193"/>
    <w:rsid w:val="00C9546E"/>
    <w:rsid w:val="00C955EA"/>
    <w:rsid w:val="00C95AC9"/>
    <w:rsid w:val="00C95C37"/>
    <w:rsid w:val="00C95DC3"/>
    <w:rsid w:val="00C96163"/>
    <w:rsid w:val="00C9624D"/>
    <w:rsid w:val="00C963AE"/>
    <w:rsid w:val="00C967D1"/>
    <w:rsid w:val="00C968B7"/>
    <w:rsid w:val="00C9690E"/>
    <w:rsid w:val="00C969DA"/>
    <w:rsid w:val="00C96B84"/>
    <w:rsid w:val="00C96BB9"/>
    <w:rsid w:val="00C96D90"/>
    <w:rsid w:val="00C96E71"/>
    <w:rsid w:val="00C971AB"/>
    <w:rsid w:val="00C971CD"/>
    <w:rsid w:val="00C97498"/>
    <w:rsid w:val="00C975D9"/>
    <w:rsid w:val="00C9775C"/>
    <w:rsid w:val="00C97793"/>
    <w:rsid w:val="00CA014C"/>
    <w:rsid w:val="00CA0180"/>
    <w:rsid w:val="00CA01FD"/>
    <w:rsid w:val="00CA023F"/>
    <w:rsid w:val="00CA055F"/>
    <w:rsid w:val="00CA065A"/>
    <w:rsid w:val="00CA0AEF"/>
    <w:rsid w:val="00CA0CAB"/>
    <w:rsid w:val="00CA0EAF"/>
    <w:rsid w:val="00CA0F83"/>
    <w:rsid w:val="00CA10F9"/>
    <w:rsid w:val="00CA113A"/>
    <w:rsid w:val="00CA1233"/>
    <w:rsid w:val="00CA1A09"/>
    <w:rsid w:val="00CA1B76"/>
    <w:rsid w:val="00CA1C02"/>
    <w:rsid w:val="00CA1E6C"/>
    <w:rsid w:val="00CA1EE5"/>
    <w:rsid w:val="00CA236D"/>
    <w:rsid w:val="00CA23CC"/>
    <w:rsid w:val="00CA2569"/>
    <w:rsid w:val="00CA2B0B"/>
    <w:rsid w:val="00CA2C77"/>
    <w:rsid w:val="00CA2C7C"/>
    <w:rsid w:val="00CA33EC"/>
    <w:rsid w:val="00CA34EE"/>
    <w:rsid w:val="00CA34FE"/>
    <w:rsid w:val="00CA3502"/>
    <w:rsid w:val="00CA35EC"/>
    <w:rsid w:val="00CA362C"/>
    <w:rsid w:val="00CA38E5"/>
    <w:rsid w:val="00CA39B9"/>
    <w:rsid w:val="00CA444F"/>
    <w:rsid w:val="00CA4513"/>
    <w:rsid w:val="00CA4A7F"/>
    <w:rsid w:val="00CA5245"/>
    <w:rsid w:val="00CA598C"/>
    <w:rsid w:val="00CA5D73"/>
    <w:rsid w:val="00CA5FB1"/>
    <w:rsid w:val="00CA60F4"/>
    <w:rsid w:val="00CA6634"/>
    <w:rsid w:val="00CA6FFE"/>
    <w:rsid w:val="00CA71F4"/>
    <w:rsid w:val="00CA7B09"/>
    <w:rsid w:val="00CB0268"/>
    <w:rsid w:val="00CB0671"/>
    <w:rsid w:val="00CB07ED"/>
    <w:rsid w:val="00CB0AE2"/>
    <w:rsid w:val="00CB0BD7"/>
    <w:rsid w:val="00CB1236"/>
    <w:rsid w:val="00CB12A5"/>
    <w:rsid w:val="00CB13F0"/>
    <w:rsid w:val="00CB14AE"/>
    <w:rsid w:val="00CB165F"/>
    <w:rsid w:val="00CB1884"/>
    <w:rsid w:val="00CB1CAC"/>
    <w:rsid w:val="00CB225A"/>
    <w:rsid w:val="00CB25CF"/>
    <w:rsid w:val="00CB2F24"/>
    <w:rsid w:val="00CB2F2A"/>
    <w:rsid w:val="00CB3512"/>
    <w:rsid w:val="00CB36F1"/>
    <w:rsid w:val="00CB3779"/>
    <w:rsid w:val="00CB3835"/>
    <w:rsid w:val="00CB3CA8"/>
    <w:rsid w:val="00CB4248"/>
    <w:rsid w:val="00CB42B5"/>
    <w:rsid w:val="00CB467D"/>
    <w:rsid w:val="00CB4735"/>
    <w:rsid w:val="00CB4A3C"/>
    <w:rsid w:val="00CB4E9A"/>
    <w:rsid w:val="00CB4F0F"/>
    <w:rsid w:val="00CB4F28"/>
    <w:rsid w:val="00CB5251"/>
    <w:rsid w:val="00CB5510"/>
    <w:rsid w:val="00CB58F0"/>
    <w:rsid w:val="00CB5B1A"/>
    <w:rsid w:val="00CB5D42"/>
    <w:rsid w:val="00CB5ECB"/>
    <w:rsid w:val="00CB5F56"/>
    <w:rsid w:val="00CB601B"/>
    <w:rsid w:val="00CB6296"/>
    <w:rsid w:val="00CB6524"/>
    <w:rsid w:val="00CB672F"/>
    <w:rsid w:val="00CB6A72"/>
    <w:rsid w:val="00CB6B22"/>
    <w:rsid w:val="00CB6D34"/>
    <w:rsid w:val="00CB6E0B"/>
    <w:rsid w:val="00CB7330"/>
    <w:rsid w:val="00CB77F4"/>
    <w:rsid w:val="00CB7CB5"/>
    <w:rsid w:val="00CB7D07"/>
    <w:rsid w:val="00CB7EBF"/>
    <w:rsid w:val="00CB7F5F"/>
    <w:rsid w:val="00CC00A2"/>
    <w:rsid w:val="00CC04D7"/>
    <w:rsid w:val="00CC0600"/>
    <w:rsid w:val="00CC077C"/>
    <w:rsid w:val="00CC088B"/>
    <w:rsid w:val="00CC0DBD"/>
    <w:rsid w:val="00CC1658"/>
    <w:rsid w:val="00CC1B39"/>
    <w:rsid w:val="00CC1BFA"/>
    <w:rsid w:val="00CC1F78"/>
    <w:rsid w:val="00CC20DF"/>
    <w:rsid w:val="00CC24CE"/>
    <w:rsid w:val="00CC278B"/>
    <w:rsid w:val="00CC2912"/>
    <w:rsid w:val="00CC2E5C"/>
    <w:rsid w:val="00CC2E9F"/>
    <w:rsid w:val="00CC2EB9"/>
    <w:rsid w:val="00CC3240"/>
    <w:rsid w:val="00CC33DA"/>
    <w:rsid w:val="00CC35EA"/>
    <w:rsid w:val="00CC3739"/>
    <w:rsid w:val="00CC3786"/>
    <w:rsid w:val="00CC3810"/>
    <w:rsid w:val="00CC3848"/>
    <w:rsid w:val="00CC3B93"/>
    <w:rsid w:val="00CC4227"/>
    <w:rsid w:val="00CC4535"/>
    <w:rsid w:val="00CC45BD"/>
    <w:rsid w:val="00CC48DE"/>
    <w:rsid w:val="00CC4E54"/>
    <w:rsid w:val="00CC5078"/>
    <w:rsid w:val="00CC562B"/>
    <w:rsid w:val="00CC5836"/>
    <w:rsid w:val="00CC5993"/>
    <w:rsid w:val="00CC59C1"/>
    <w:rsid w:val="00CC5B8F"/>
    <w:rsid w:val="00CC62FE"/>
    <w:rsid w:val="00CC65C9"/>
    <w:rsid w:val="00CC6944"/>
    <w:rsid w:val="00CC69F8"/>
    <w:rsid w:val="00CC6D5E"/>
    <w:rsid w:val="00CC6EFD"/>
    <w:rsid w:val="00CC7005"/>
    <w:rsid w:val="00CC723C"/>
    <w:rsid w:val="00CC7275"/>
    <w:rsid w:val="00CC7353"/>
    <w:rsid w:val="00CC7612"/>
    <w:rsid w:val="00CC7A3D"/>
    <w:rsid w:val="00CC7B15"/>
    <w:rsid w:val="00CC7B26"/>
    <w:rsid w:val="00CC7C59"/>
    <w:rsid w:val="00CC7E15"/>
    <w:rsid w:val="00CD0200"/>
    <w:rsid w:val="00CD0498"/>
    <w:rsid w:val="00CD0BE8"/>
    <w:rsid w:val="00CD0D3F"/>
    <w:rsid w:val="00CD1426"/>
    <w:rsid w:val="00CD17F8"/>
    <w:rsid w:val="00CD1DBB"/>
    <w:rsid w:val="00CD2002"/>
    <w:rsid w:val="00CD2246"/>
    <w:rsid w:val="00CD230F"/>
    <w:rsid w:val="00CD23A2"/>
    <w:rsid w:val="00CD240E"/>
    <w:rsid w:val="00CD2952"/>
    <w:rsid w:val="00CD2AD3"/>
    <w:rsid w:val="00CD2B26"/>
    <w:rsid w:val="00CD2BCB"/>
    <w:rsid w:val="00CD2F3C"/>
    <w:rsid w:val="00CD3203"/>
    <w:rsid w:val="00CD37B4"/>
    <w:rsid w:val="00CD397E"/>
    <w:rsid w:val="00CD3A3C"/>
    <w:rsid w:val="00CD3F77"/>
    <w:rsid w:val="00CD411A"/>
    <w:rsid w:val="00CD4E61"/>
    <w:rsid w:val="00CD4F42"/>
    <w:rsid w:val="00CD4F7A"/>
    <w:rsid w:val="00CD5152"/>
    <w:rsid w:val="00CD527E"/>
    <w:rsid w:val="00CD549F"/>
    <w:rsid w:val="00CD55F0"/>
    <w:rsid w:val="00CD58EA"/>
    <w:rsid w:val="00CD5A99"/>
    <w:rsid w:val="00CD5C67"/>
    <w:rsid w:val="00CD5CFF"/>
    <w:rsid w:val="00CD5E16"/>
    <w:rsid w:val="00CD6017"/>
    <w:rsid w:val="00CD6132"/>
    <w:rsid w:val="00CD6246"/>
    <w:rsid w:val="00CD6262"/>
    <w:rsid w:val="00CD6453"/>
    <w:rsid w:val="00CD6ADC"/>
    <w:rsid w:val="00CD6B1D"/>
    <w:rsid w:val="00CD7193"/>
    <w:rsid w:val="00CD736F"/>
    <w:rsid w:val="00CD7F12"/>
    <w:rsid w:val="00CE02BE"/>
    <w:rsid w:val="00CE0950"/>
    <w:rsid w:val="00CE099F"/>
    <w:rsid w:val="00CE0B2C"/>
    <w:rsid w:val="00CE0DEE"/>
    <w:rsid w:val="00CE0FE5"/>
    <w:rsid w:val="00CE10BC"/>
    <w:rsid w:val="00CE1408"/>
    <w:rsid w:val="00CE1515"/>
    <w:rsid w:val="00CE1D9B"/>
    <w:rsid w:val="00CE1EA0"/>
    <w:rsid w:val="00CE1F34"/>
    <w:rsid w:val="00CE206E"/>
    <w:rsid w:val="00CE2177"/>
    <w:rsid w:val="00CE231D"/>
    <w:rsid w:val="00CE2377"/>
    <w:rsid w:val="00CE2424"/>
    <w:rsid w:val="00CE2904"/>
    <w:rsid w:val="00CE2BEA"/>
    <w:rsid w:val="00CE342B"/>
    <w:rsid w:val="00CE3505"/>
    <w:rsid w:val="00CE37F5"/>
    <w:rsid w:val="00CE38C8"/>
    <w:rsid w:val="00CE41CF"/>
    <w:rsid w:val="00CE442B"/>
    <w:rsid w:val="00CE4431"/>
    <w:rsid w:val="00CE4942"/>
    <w:rsid w:val="00CE4BB6"/>
    <w:rsid w:val="00CE5138"/>
    <w:rsid w:val="00CE519E"/>
    <w:rsid w:val="00CE524F"/>
    <w:rsid w:val="00CE58CC"/>
    <w:rsid w:val="00CE5C7D"/>
    <w:rsid w:val="00CE5D6F"/>
    <w:rsid w:val="00CE60FE"/>
    <w:rsid w:val="00CE6274"/>
    <w:rsid w:val="00CE6348"/>
    <w:rsid w:val="00CE644E"/>
    <w:rsid w:val="00CE64CB"/>
    <w:rsid w:val="00CE6690"/>
    <w:rsid w:val="00CE72B9"/>
    <w:rsid w:val="00CE77B6"/>
    <w:rsid w:val="00CE79B7"/>
    <w:rsid w:val="00CE7AD2"/>
    <w:rsid w:val="00CE7F64"/>
    <w:rsid w:val="00CF05AA"/>
    <w:rsid w:val="00CF073C"/>
    <w:rsid w:val="00CF119A"/>
    <w:rsid w:val="00CF1274"/>
    <w:rsid w:val="00CF1517"/>
    <w:rsid w:val="00CF214E"/>
    <w:rsid w:val="00CF21DE"/>
    <w:rsid w:val="00CF290C"/>
    <w:rsid w:val="00CF2942"/>
    <w:rsid w:val="00CF2B8D"/>
    <w:rsid w:val="00CF2CE6"/>
    <w:rsid w:val="00CF2DF0"/>
    <w:rsid w:val="00CF3137"/>
    <w:rsid w:val="00CF34D0"/>
    <w:rsid w:val="00CF3711"/>
    <w:rsid w:val="00CF3A1B"/>
    <w:rsid w:val="00CF4163"/>
    <w:rsid w:val="00CF456B"/>
    <w:rsid w:val="00CF4657"/>
    <w:rsid w:val="00CF4A58"/>
    <w:rsid w:val="00CF4A61"/>
    <w:rsid w:val="00CF4BD1"/>
    <w:rsid w:val="00CF4C7A"/>
    <w:rsid w:val="00CF4D45"/>
    <w:rsid w:val="00CF5213"/>
    <w:rsid w:val="00CF5A22"/>
    <w:rsid w:val="00CF5B43"/>
    <w:rsid w:val="00CF6A75"/>
    <w:rsid w:val="00CF6B2A"/>
    <w:rsid w:val="00CF6C85"/>
    <w:rsid w:val="00CF7587"/>
    <w:rsid w:val="00CF7B47"/>
    <w:rsid w:val="00D000AB"/>
    <w:rsid w:val="00D001A8"/>
    <w:rsid w:val="00D0036B"/>
    <w:rsid w:val="00D006D5"/>
    <w:rsid w:val="00D00A4A"/>
    <w:rsid w:val="00D00FD8"/>
    <w:rsid w:val="00D00FE2"/>
    <w:rsid w:val="00D013A0"/>
    <w:rsid w:val="00D013E9"/>
    <w:rsid w:val="00D01635"/>
    <w:rsid w:val="00D018AA"/>
    <w:rsid w:val="00D01C83"/>
    <w:rsid w:val="00D0229B"/>
    <w:rsid w:val="00D0262E"/>
    <w:rsid w:val="00D02702"/>
    <w:rsid w:val="00D027FF"/>
    <w:rsid w:val="00D0304F"/>
    <w:rsid w:val="00D03199"/>
    <w:rsid w:val="00D03269"/>
    <w:rsid w:val="00D03679"/>
    <w:rsid w:val="00D0382B"/>
    <w:rsid w:val="00D03C59"/>
    <w:rsid w:val="00D03EBE"/>
    <w:rsid w:val="00D0461F"/>
    <w:rsid w:val="00D047AF"/>
    <w:rsid w:val="00D04802"/>
    <w:rsid w:val="00D04C2F"/>
    <w:rsid w:val="00D05943"/>
    <w:rsid w:val="00D05C52"/>
    <w:rsid w:val="00D05E3D"/>
    <w:rsid w:val="00D06132"/>
    <w:rsid w:val="00D06139"/>
    <w:rsid w:val="00D0736E"/>
    <w:rsid w:val="00D073D9"/>
    <w:rsid w:val="00D077E3"/>
    <w:rsid w:val="00D078E5"/>
    <w:rsid w:val="00D07AF8"/>
    <w:rsid w:val="00D10001"/>
    <w:rsid w:val="00D10063"/>
    <w:rsid w:val="00D1015B"/>
    <w:rsid w:val="00D1025B"/>
    <w:rsid w:val="00D10641"/>
    <w:rsid w:val="00D10920"/>
    <w:rsid w:val="00D10E7D"/>
    <w:rsid w:val="00D110BD"/>
    <w:rsid w:val="00D11515"/>
    <w:rsid w:val="00D11556"/>
    <w:rsid w:val="00D11827"/>
    <w:rsid w:val="00D11A87"/>
    <w:rsid w:val="00D11BCD"/>
    <w:rsid w:val="00D11F8F"/>
    <w:rsid w:val="00D122A4"/>
    <w:rsid w:val="00D12614"/>
    <w:rsid w:val="00D12695"/>
    <w:rsid w:val="00D1269C"/>
    <w:rsid w:val="00D127A9"/>
    <w:rsid w:val="00D127CA"/>
    <w:rsid w:val="00D12C91"/>
    <w:rsid w:val="00D13675"/>
    <w:rsid w:val="00D13954"/>
    <w:rsid w:val="00D13979"/>
    <w:rsid w:val="00D13AAD"/>
    <w:rsid w:val="00D13AF0"/>
    <w:rsid w:val="00D13BC2"/>
    <w:rsid w:val="00D141E1"/>
    <w:rsid w:val="00D1449B"/>
    <w:rsid w:val="00D1483B"/>
    <w:rsid w:val="00D14C9D"/>
    <w:rsid w:val="00D14D7D"/>
    <w:rsid w:val="00D14DBF"/>
    <w:rsid w:val="00D14E7C"/>
    <w:rsid w:val="00D15314"/>
    <w:rsid w:val="00D15449"/>
    <w:rsid w:val="00D15455"/>
    <w:rsid w:val="00D15A6B"/>
    <w:rsid w:val="00D15B48"/>
    <w:rsid w:val="00D15BF4"/>
    <w:rsid w:val="00D166D2"/>
    <w:rsid w:val="00D16861"/>
    <w:rsid w:val="00D16B12"/>
    <w:rsid w:val="00D16F23"/>
    <w:rsid w:val="00D16F9F"/>
    <w:rsid w:val="00D17546"/>
    <w:rsid w:val="00D17BC4"/>
    <w:rsid w:val="00D17D6C"/>
    <w:rsid w:val="00D17F5E"/>
    <w:rsid w:val="00D201A1"/>
    <w:rsid w:val="00D2097F"/>
    <w:rsid w:val="00D20F90"/>
    <w:rsid w:val="00D2108C"/>
    <w:rsid w:val="00D21126"/>
    <w:rsid w:val="00D2155B"/>
    <w:rsid w:val="00D21BB4"/>
    <w:rsid w:val="00D21BFE"/>
    <w:rsid w:val="00D22046"/>
    <w:rsid w:val="00D22257"/>
    <w:rsid w:val="00D2263F"/>
    <w:rsid w:val="00D22640"/>
    <w:rsid w:val="00D2267E"/>
    <w:rsid w:val="00D229D1"/>
    <w:rsid w:val="00D23392"/>
    <w:rsid w:val="00D233E3"/>
    <w:rsid w:val="00D236D1"/>
    <w:rsid w:val="00D23D11"/>
    <w:rsid w:val="00D244B6"/>
    <w:rsid w:val="00D2462E"/>
    <w:rsid w:val="00D24679"/>
    <w:rsid w:val="00D24B8C"/>
    <w:rsid w:val="00D24C37"/>
    <w:rsid w:val="00D25106"/>
    <w:rsid w:val="00D25953"/>
    <w:rsid w:val="00D25A3A"/>
    <w:rsid w:val="00D2624F"/>
    <w:rsid w:val="00D2643E"/>
    <w:rsid w:val="00D264CF"/>
    <w:rsid w:val="00D26509"/>
    <w:rsid w:val="00D265E3"/>
    <w:rsid w:val="00D2681A"/>
    <w:rsid w:val="00D26F00"/>
    <w:rsid w:val="00D2706E"/>
    <w:rsid w:val="00D271D2"/>
    <w:rsid w:val="00D271F6"/>
    <w:rsid w:val="00D27326"/>
    <w:rsid w:val="00D2754D"/>
    <w:rsid w:val="00D27932"/>
    <w:rsid w:val="00D27A79"/>
    <w:rsid w:val="00D27B27"/>
    <w:rsid w:val="00D27B7D"/>
    <w:rsid w:val="00D30322"/>
    <w:rsid w:val="00D303EB"/>
    <w:rsid w:val="00D3057A"/>
    <w:rsid w:val="00D30586"/>
    <w:rsid w:val="00D30730"/>
    <w:rsid w:val="00D30B08"/>
    <w:rsid w:val="00D30BA8"/>
    <w:rsid w:val="00D30C70"/>
    <w:rsid w:val="00D30D5B"/>
    <w:rsid w:val="00D30F3F"/>
    <w:rsid w:val="00D31003"/>
    <w:rsid w:val="00D3122A"/>
    <w:rsid w:val="00D3141C"/>
    <w:rsid w:val="00D31761"/>
    <w:rsid w:val="00D3177C"/>
    <w:rsid w:val="00D317FC"/>
    <w:rsid w:val="00D3204C"/>
    <w:rsid w:val="00D32093"/>
    <w:rsid w:val="00D3235A"/>
    <w:rsid w:val="00D326D2"/>
    <w:rsid w:val="00D32D79"/>
    <w:rsid w:val="00D33208"/>
    <w:rsid w:val="00D33299"/>
    <w:rsid w:val="00D333C9"/>
    <w:rsid w:val="00D33A99"/>
    <w:rsid w:val="00D33BE9"/>
    <w:rsid w:val="00D33C35"/>
    <w:rsid w:val="00D33F93"/>
    <w:rsid w:val="00D34042"/>
    <w:rsid w:val="00D3419E"/>
    <w:rsid w:val="00D3423C"/>
    <w:rsid w:val="00D34274"/>
    <w:rsid w:val="00D3445B"/>
    <w:rsid w:val="00D34774"/>
    <w:rsid w:val="00D348F5"/>
    <w:rsid w:val="00D349C7"/>
    <w:rsid w:val="00D34D03"/>
    <w:rsid w:val="00D35686"/>
    <w:rsid w:val="00D3578C"/>
    <w:rsid w:val="00D357FF"/>
    <w:rsid w:val="00D35A29"/>
    <w:rsid w:val="00D35B2F"/>
    <w:rsid w:val="00D35EB3"/>
    <w:rsid w:val="00D3631E"/>
    <w:rsid w:val="00D364E6"/>
    <w:rsid w:val="00D36790"/>
    <w:rsid w:val="00D368B3"/>
    <w:rsid w:val="00D36C62"/>
    <w:rsid w:val="00D37171"/>
    <w:rsid w:val="00D37202"/>
    <w:rsid w:val="00D373DF"/>
    <w:rsid w:val="00D37542"/>
    <w:rsid w:val="00D3761C"/>
    <w:rsid w:val="00D37EC5"/>
    <w:rsid w:val="00D37FD5"/>
    <w:rsid w:val="00D40088"/>
    <w:rsid w:val="00D400F0"/>
    <w:rsid w:val="00D40670"/>
    <w:rsid w:val="00D40790"/>
    <w:rsid w:val="00D40959"/>
    <w:rsid w:val="00D4096E"/>
    <w:rsid w:val="00D40B46"/>
    <w:rsid w:val="00D40F51"/>
    <w:rsid w:val="00D412E7"/>
    <w:rsid w:val="00D4144D"/>
    <w:rsid w:val="00D41465"/>
    <w:rsid w:val="00D41507"/>
    <w:rsid w:val="00D41A07"/>
    <w:rsid w:val="00D41C6B"/>
    <w:rsid w:val="00D41CCB"/>
    <w:rsid w:val="00D41D3E"/>
    <w:rsid w:val="00D4221B"/>
    <w:rsid w:val="00D422B6"/>
    <w:rsid w:val="00D424C7"/>
    <w:rsid w:val="00D427C2"/>
    <w:rsid w:val="00D42A35"/>
    <w:rsid w:val="00D42E78"/>
    <w:rsid w:val="00D432AE"/>
    <w:rsid w:val="00D4349D"/>
    <w:rsid w:val="00D436D2"/>
    <w:rsid w:val="00D43827"/>
    <w:rsid w:val="00D439C2"/>
    <w:rsid w:val="00D43B2A"/>
    <w:rsid w:val="00D43B3C"/>
    <w:rsid w:val="00D43BF4"/>
    <w:rsid w:val="00D43CF1"/>
    <w:rsid w:val="00D43D83"/>
    <w:rsid w:val="00D4462C"/>
    <w:rsid w:val="00D44672"/>
    <w:rsid w:val="00D448DD"/>
    <w:rsid w:val="00D44A56"/>
    <w:rsid w:val="00D45343"/>
    <w:rsid w:val="00D457FF"/>
    <w:rsid w:val="00D45A1E"/>
    <w:rsid w:val="00D45C08"/>
    <w:rsid w:val="00D46197"/>
    <w:rsid w:val="00D46344"/>
    <w:rsid w:val="00D46379"/>
    <w:rsid w:val="00D46384"/>
    <w:rsid w:val="00D463FD"/>
    <w:rsid w:val="00D46455"/>
    <w:rsid w:val="00D464AE"/>
    <w:rsid w:val="00D46880"/>
    <w:rsid w:val="00D468B7"/>
    <w:rsid w:val="00D46969"/>
    <w:rsid w:val="00D46C26"/>
    <w:rsid w:val="00D46E4E"/>
    <w:rsid w:val="00D47144"/>
    <w:rsid w:val="00D47311"/>
    <w:rsid w:val="00D473A2"/>
    <w:rsid w:val="00D47575"/>
    <w:rsid w:val="00D47581"/>
    <w:rsid w:val="00D475EE"/>
    <w:rsid w:val="00D4769E"/>
    <w:rsid w:val="00D4770E"/>
    <w:rsid w:val="00D4798B"/>
    <w:rsid w:val="00D47B71"/>
    <w:rsid w:val="00D50003"/>
    <w:rsid w:val="00D50326"/>
    <w:rsid w:val="00D505A4"/>
    <w:rsid w:val="00D50BA7"/>
    <w:rsid w:val="00D50CCB"/>
    <w:rsid w:val="00D50FD4"/>
    <w:rsid w:val="00D51041"/>
    <w:rsid w:val="00D511D5"/>
    <w:rsid w:val="00D515A0"/>
    <w:rsid w:val="00D516AF"/>
    <w:rsid w:val="00D5173C"/>
    <w:rsid w:val="00D5176A"/>
    <w:rsid w:val="00D51832"/>
    <w:rsid w:val="00D522FD"/>
    <w:rsid w:val="00D52433"/>
    <w:rsid w:val="00D5243B"/>
    <w:rsid w:val="00D52701"/>
    <w:rsid w:val="00D52711"/>
    <w:rsid w:val="00D5275C"/>
    <w:rsid w:val="00D5288F"/>
    <w:rsid w:val="00D52BE9"/>
    <w:rsid w:val="00D52D16"/>
    <w:rsid w:val="00D52D21"/>
    <w:rsid w:val="00D531A3"/>
    <w:rsid w:val="00D531B0"/>
    <w:rsid w:val="00D5325B"/>
    <w:rsid w:val="00D533EC"/>
    <w:rsid w:val="00D539D3"/>
    <w:rsid w:val="00D53D37"/>
    <w:rsid w:val="00D543E7"/>
    <w:rsid w:val="00D544FD"/>
    <w:rsid w:val="00D5459F"/>
    <w:rsid w:val="00D548B9"/>
    <w:rsid w:val="00D549B1"/>
    <w:rsid w:val="00D54E01"/>
    <w:rsid w:val="00D5504F"/>
    <w:rsid w:val="00D55258"/>
    <w:rsid w:val="00D552E7"/>
    <w:rsid w:val="00D55E54"/>
    <w:rsid w:val="00D55E6E"/>
    <w:rsid w:val="00D56273"/>
    <w:rsid w:val="00D56380"/>
    <w:rsid w:val="00D563B6"/>
    <w:rsid w:val="00D563C0"/>
    <w:rsid w:val="00D564E5"/>
    <w:rsid w:val="00D56636"/>
    <w:rsid w:val="00D567BE"/>
    <w:rsid w:val="00D56A95"/>
    <w:rsid w:val="00D56E57"/>
    <w:rsid w:val="00D5702A"/>
    <w:rsid w:val="00D57179"/>
    <w:rsid w:val="00D573E7"/>
    <w:rsid w:val="00D57C9A"/>
    <w:rsid w:val="00D57E0B"/>
    <w:rsid w:val="00D6020A"/>
    <w:rsid w:val="00D6076E"/>
    <w:rsid w:val="00D60990"/>
    <w:rsid w:val="00D60AC2"/>
    <w:rsid w:val="00D60F16"/>
    <w:rsid w:val="00D60F3E"/>
    <w:rsid w:val="00D6143F"/>
    <w:rsid w:val="00D614ED"/>
    <w:rsid w:val="00D61C7A"/>
    <w:rsid w:val="00D61D5C"/>
    <w:rsid w:val="00D62178"/>
    <w:rsid w:val="00D623E5"/>
    <w:rsid w:val="00D62413"/>
    <w:rsid w:val="00D62923"/>
    <w:rsid w:val="00D62991"/>
    <w:rsid w:val="00D62A1E"/>
    <w:rsid w:val="00D62C3C"/>
    <w:rsid w:val="00D62F1A"/>
    <w:rsid w:val="00D63304"/>
    <w:rsid w:val="00D634B5"/>
    <w:rsid w:val="00D63E2F"/>
    <w:rsid w:val="00D63E86"/>
    <w:rsid w:val="00D63EA7"/>
    <w:rsid w:val="00D6429A"/>
    <w:rsid w:val="00D64520"/>
    <w:rsid w:val="00D645D9"/>
    <w:rsid w:val="00D6469A"/>
    <w:rsid w:val="00D652AB"/>
    <w:rsid w:val="00D6547B"/>
    <w:rsid w:val="00D6554A"/>
    <w:rsid w:val="00D65621"/>
    <w:rsid w:val="00D659D6"/>
    <w:rsid w:val="00D65EE6"/>
    <w:rsid w:val="00D65F6E"/>
    <w:rsid w:val="00D66082"/>
    <w:rsid w:val="00D660EC"/>
    <w:rsid w:val="00D660ED"/>
    <w:rsid w:val="00D66719"/>
    <w:rsid w:val="00D66B54"/>
    <w:rsid w:val="00D66BC3"/>
    <w:rsid w:val="00D67008"/>
    <w:rsid w:val="00D670B9"/>
    <w:rsid w:val="00D6734E"/>
    <w:rsid w:val="00D67B52"/>
    <w:rsid w:val="00D67BCC"/>
    <w:rsid w:val="00D70819"/>
    <w:rsid w:val="00D70937"/>
    <w:rsid w:val="00D709CC"/>
    <w:rsid w:val="00D70D17"/>
    <w:rsid w:val="00D70EE8"/>
    <w:rsid w:val="00D70F16"/>
    <w:rsid w:val="00D71552"/>
    <w:rsid w:val="00D71835"/>
    <w:rsid w:val="00D71B19"/>
    <w:rsid w:val="00D71C61"/>
    <w:rsid w:val="00D71DDC"/>
    <w:rsid w:val="00D72226"/>
    <w:rsid w:val="00D723EB"/>
    <w:rsid w:val="00D725C1"/>
    <w:rsid w:val="00D72617"/>
    <w:rsid w:val="00D72C6A"/>
    <w:rsid w:val="00D72CCE"/>
    <w:rsid w:val="00D72CF4"/>
    <w:rsid w:val="00D72D90"/>
    <w:rsid w:val="00D72F57"/>
    <w:rsid w:val="00D72F6C"/>
    <w:rsid w:val="00D7313D"/>
    <w:rsid w:val="00D731A0"/>
    <w:rsid w:val="00D732E8"/>
    <w:rsid w:val="00D7347C"/>
    <w:rsid w:val="00D737BB"/>
    <w:rsid w:val="00D73C67"/>
    <w:rsid w:val="00D73FC9"/>
    <w:rsid w:val="00D740F0"/>
    <w:rsid w:val="00D74C78"/>
    <w:rsid w:val="00D75046"/>
    <w:rsid w:val="00D75055"/>
    <w:rsid w:val="00D754A8"/>
    <w:rsid w:val="00D75514"/>
    <w:rsid w:val="00D755BB"/>
    <w:rsid w:val="00D75663"/>
    <w:rsid w:val="00D7586C"/>
    <w:rsid w:val="00D75BFA"/>
    <w:rsid w:val="00D75D4C"/>
    <w:rsid w:val="00D76A44"/>
    <w:rsid w:val="00D76AE4"/>
    <w:rsid w:val="00D76B9E"/>
    <w:rsid w:val="00D77218"/>
    <w:rsid w:val="00D7761C"/>
    <w:rsid w:val="00D7768E"/>
    <w:rsid w:val="00D77833"/>
    <w:rsid w:val="00D77EC8"/>
    <w:rsid w:val="00D80683"/>
    <w:rsid w:val="00D806C4"/>
    <w:rsid w:val="00D81260"/>
    <w:rsid w:val="00D8141D"/>
    <w:rsid w:val="00D815EF"/>
    <w:rsid w:val="00D81949"/>
    <w:rsid w:val="00D81D16"/>
    <w:rsid w:val="00D81D19"/>
    <w:rsid w:val="00D81F26"/>
    <w:rsid w:val="00D8224B"/>
    <w:rsid w:val="00D822E2"/>
    <w:rsid w:val="00D82597"/>
    <w:rsid w:val="00D825F9"/>
    <w:rsid w:val="00D829D0"/>
    <w:rsid w:val="00D82BA4"/>
    <w:rsid w:val="00D82C11"/>
    <w:rsid w:val="00D82C7C"/>
    <w:rsid w:val="00D8305B"/>
    <w:rsid w:val="00D8332D"/>
    <w:rsid w:val="00D83659"/>
    <w:rsid w:val="00D83753"/>
    <w:rsid w:val="00D8395F"/>
    <w:rsid w:val="00D83AD5"/>
    <w:rsid w:val="00D83CB5"/>
    <w:rsid w:val="00D843F2"/>
    <w:rsid w:val="00D8465C"/>
    <w:rsid w:val="00D84A6B"/>
    <w:rsid w:val="00D85108"/>
    <w:rsid w:val="00D855ED"/>
    <w:rsid w:val="00D85B82"/>
    <w:rsid w:val="00D861CD"/>
    <w:rsid w:val="00D86231"/>
    <w:rsid w:val="00D867C5"/>
    <w:rsid w:val="00D86AD2"/>
    <w:rsid w:val="00D86C17"/>
    <w:rsid w:val="00D875F8"/>
    <w:rsid w:val="00D87872"/>
    <w:rsid w:val="00D878C5"/>
    <w:rsid w:val="00D87E21"/>
    <w:rsid w:val="00D87FD8"/>
    <w:rsid w:val="00D9022B"/>
    <w:rsid w:val="00D909C1"/>
    <w:rsid w:val="00D90AF0"/>
    <w:rsid w:val="00D90E33"/>
    <w:rsid w:val="00D912AB"/>
    <w:rsid w:val="00D915B1"/>
    <w:rsid w:val="00D91707"/>
    <w:rsid w:val="00D9170E"/>
    <w:rsid w:val="00D91923"/>
    <w:rsid w:val="00D919AE"/>
    <w:rsid w:val="00D91BFD"/>
    <w:rsid w:val="00D91CD1"/>
    <w:rsid w:val="00D92BBD"/>
    <w:rsid w:val="00D92C89"/>
    <w:rsid w:val="00D92D9D"/>
    <w:rsid w:val="00D93118"/>
    <w:rsid w:val="00D93198"/>
    <w:rsid w:val="00D9336A"/>
    <w:rsid w:val="00D933FB"/>
    <w:rsid w:val="00D9344D"/>
    <w:rsid w:val="00D93753"/>
    <w:rsid w:val="00D938B0"/>
    <w:rsid w:val="00D941B8"/>
    <w:rsid w:val="00D94675"/>
    <w:rsid w:val="00D946B4"/>
    <w:rsid w:val="00D94A9E"/>
    <w:rsid w:val="00D94DB1"/>
    <w:rsid w:val="00D96189"/>
    <w:rsid w:val="00D961B2"/>
    <w:rsid w:val="00D96E66"/>
    <w:rsid w:val="00D973F5"/>
    <w:rsid w:val="00D97A9B"/>
    <w:rsid w:val="00D97B3D"/>
    <w:rsid w:val="00D97BA5"/>
    <w:rsid w:val="00DA01C7"/>
    <w:rsid w:val="00DA0B8A"/>
    <w:rsid w:val="00DA0E3B"/>
    <w:rsid w:val="00DA1246"/>
    <w:rsid w:val="00DA13FB"/>
    <w:rsid w:val="00DA183E"/>
    <w:rsid w:val="00DA1E35"/>
    <w:rsid w:val="00DA1EC1"/>
    <w:rsid w:val="00DA1EC2"/>
    <w:rsid w:val="00DA2438"/>
    <w:rsid w:val="00DA2961"/>
    <w:rsid w:val="00DA2C8B"/>
    <w:rsid w:val="00DA2C9B"/>
    <w:rsid w:val="00DA2F00"/>
    <w:rsid w:val="00DA2F1D"/>
    <w:rsid w:val="00DA2FE5"/>
    <w:rsid w:val="00DA3167"/>
    <w:rsid w:val="00DA31CA"/>
    <w:rsid w:val="00DA339C"/>
    <w:rsid w:val="00DA368F"/>
    <w:rsid w:val="00DA3ADB"/>
    <w:rsid w:val="00DA3B8C"/>
    <w:rsid w:val="00DA4473"/>
    <w:rsid w:val="00DA4688"/>
    <w:rsid w:val="00DA4841"/>
    <w:rsid w:val="00DA4C20"/>
    <w:rsid w:val="00DA4DC3"/>
    <w:rsid w:val="00DA4DCE"/>
    <w:rsid w:val="00DA4F27"/>
    <w:rsid w:val="00DA4F95"/>
    <w:rsid w:val="00DA546B"/>
    <w:rsid w:val="00DA5BBA"/>
    <w:rsid w:val="00DA5DA2"/>
    <w:rsid w:val="00DA5DB6"/>
    <w:rsid w:val="00DA61E9"/>
    <w:rsid w:val="00DA6322"/>
    <w:rsid w:val="00DA64BC"/>
    <w:rsid w:val="00DA672A"/>
    <w:rsid w:val="00DA68D6"/>
    <w:rsid w:val="00DA69DE"/>
    <w:rsid w:val="00DA6D16"/>
    <w:rsid w:val="00DA6EC3"/>
    <w:rsid w:val="00DA703F"/>
    <w:rsid w:val="00DA71CD"/>
    <w:rsid w:val="00DA7473"/>
    <w:rsid w:val="00DA767D"/>
    <w:rsid w:val="00DA76F8"/>
    <w:rsid w:val="00DA77A1"/>
    <w:rsid w:val="00DA77A5"/>
    <w:rsid w:val="00DA783B"/>
    <w:rsid w:val="00DA78C6"/>
    <w:rsid w:val="00DA7DAE"/>
    <w:rsid w:val="00DA7FEB"/>
    <w:rsid w:val="00DB0435"/>
    <w:rsid w:val="00DB0609"/>
    <w:rsid w:val="00DB0652"/>
    <w:rsid w:val="00DB0736"/>
    <w:rsid w:val="00DB0C46"/>
    <w:rsid w:val="00DB0D25"/>
    <w:rsid w:val="00DB0E36"/>
    <w:rsid w:val="00DB0EFC"/>
    <w:rsid w:val="00DB13A8"/>
    <w:rsid w:val="00DB13C1"/>
    <w:rsid w:val="00DB1639"/>
    <w:rsid w:val="00DB1931"/>
    <w:rsid w:val="00DB1DE2"/>
    <w:rsid w:val="00DB1EB4"/>
    <w:rsid w:val="00DB1EB7"/>
    <w:rsid w:val="00DB1FCF"/>
    <w:rsid w:val="00DB200A"/>
    <w:rsid w:val="00DB2365"/>
    <w:rsid w:val="00DB236B"/>
    <w:rsid w:val="00DB24C2"/>
    <w:rsid w:val="00DB26A7"/>
    <w:rsid w:val="00DB2723"/>
    <w:rsid w:val="00DB287A"/>
    <w:rsid w:val="00DB28C2"/>
    <w:rsid w:val="00DB30CB"/>
    <w:rsid w:val="00DB38FF"/>
    <w:rsid w:val="00DB3AEB"/>
    <w:rsid w:val="00DB3B5B"/>
    <w:rsid w:val="00DB3DBF"/>
    <w:rsid w:val="00DB40A8"/>
    <w:rsid w:val="00DB42FB"/>
    <w:rsid w:val="00DB484F"/>
    <w:rsid w:val="00DB4A48"/>
    <w:rsid w:val="00DB5183"/>
    <w:rsid w:val="00DB53A8"/>
    <w:rsid w:val="00DB5471"/>
    <w:rsid w:val="00DB5B3E"/>
    <w:rsid w:val="00DB5D4F"/>
    <w:rsid w:val="00DB6118"/>
    <w:rsid w:val="00DB64A7"/>
    <w:rsid w:val="00DB6521"/>
    <w:rsid w:val="00DB66D6"/>
    <w:rsid w:val="00DB6768"/>
    <w:rsid w:val="00DB67B1"/>
    <w:rsid w:val="00DB682F"/>
    <w:rsid w:val="00DB6D1E"/>
    <w:rsid w:val="00DB6DB1"/>
    <w:rsid w:val="00DB6E72"/>
    <w:rsid w:val="00DB7270"/>
    <w:rsid w:val="00DB73F5"/>
    <w:rsid w:val="00DB7D73"/>
    <w:rsid w:val="00DB7EB0"/>
    <w:rsid w:val="00DC00D2"/>
    <w:rsid w:val="00DC0107"/>
    <w:rsid w:val="00DC03CE"/>
    <w:rsid w:val="00DC04F6"/>
    <w:rsid w:val="00DC0690"/>
    <w:rsid w:val="00DC07AC"/>
    <w:rsid w:val="00DC0985"/>
    <w:rsid w:val="00DC0993"/>
    <w:rsid w:val="00DC0B77"/>
    <w:rsid w:val="00DC0CFC"/>
    <w:rsid w:val="00DC0F99"/>
    <w:rsid w:val="00DC101D"/>
    <w:rsid w:val="00DC1371"/>
    <w:rsid w:val="00DC1417"/>
    <w:rsid w:val="00DC1775"/>
    <w:rsid w:val="00DC1D24"/>
    <w:rsid w:val="00DC1D65"/>
    <w:rsid w:val="00DC221E"/>
    <w:rsid w:val="00DC2385"/>
    <w:rsid w:val="00DC2571"/>
    <w:rsid w:val="00DC282F"/>
    <w:rsid w:val="00DC2A20"/>
    <w:rsid w:val="00DC2FFA"/>
    <w:rsid w:val="00DC317F"/>
    <w:rsid w:val="00DC33C2"/>
    <w:rsid w:val="00DC35B5"/>
    <w:rsid w:val="00DC3687"/>
    <w:rsid w:val="00DC3732"/>
    <w:rsid w:val="00DC3C57"/>
    <w:rsid w:val="00DC4759"/>
    <w:rsid w:val="00DC4937"/>
    <w:rsid w:val="00DC4B4D"/>
    <w:rsid w:val="00DC4C81"/>
    <w:rsid w:val="00DC5110"/>
    <w:rsid w:val="00DC53FD"/>
    <w:rsid w:val="00DC5501"/>
    <w:rsid w:val="00DC58B8"/>
    <w:rsid w:val="00DC59D2"/>
    <w:rsid w:val="00DC5DE4"/>
    <w:rsid w:val="00DC5E42"/>
    <w:rsid w:val="00DC650E"/>
    <w:rsid w:val="00DC65B6"/>
    <w:rsid w:val="00DC6883"/>
    <w:rsid w:val="00DC68F2"/>
    <w:rsid w:val="00DC6BE9"/>
    <w:rsid w:val="00DC6E77"/>
    <w:rsid w:val="00DC7154"/>
    <w:rsid w:val="00DC7275"/>
    <w:rsid w:val="00DC7727"/>
    <w:rsid w:val="00DC77DC"/>
    <w:rsid w:val="00DC7844"/>
    <w:rsid w:val="00DC7A2A"/>
    <w:rsid w:val="00DC7C13"/>
    <w:rsid w:val="00DC7DD9"/>
    <w:rsid w:val="00DC7E8A"/>
    <w:rsid w:val="00DC7FC2"/>
    <w:rsid w:val="00DD0605"/>
    <w:rsid w:val="00DD0A3A"/>
    <w:rsid w:val="00DD0BD6"/>
    <w:rsid w:val="00DD0F78"/>
    <w:rsid w:val="00DD10CD"/>
    <w:rsid w:val="00DD22E5"/>
    <w:rsid w:val="00DD2506"/>
    <w:rsid w:val="00DD273C"/>
    <w:rsid w:val="00DD27D5"/>
    <w:rsid w:val="00DD2A0F"/>
    <w:rsid w:val="00DD2A7B"/>
    <w:rsid w:val="00DD2C57"/>
    <w:rsid w:val="00DD301B"/>
    <w:rsid w:val="00DD3045"/>
    <w:rsid w:val="00DD32BB"/>
    <w:rsid w:val="00DD32BF"/>
    <w:rsid w:val="00DD3868"/>
    <w:rsid w:val="00DD39DF"/>
    <w:rsid w:val="00DD3ABC"/>
    <w:rsid w:val="00DD3C4D"/>
    <w:rsid w:val="00DD3F28"/>
    <w:rsid w:val="00DD435E"/>
    <w:rsid w:val="00DD443E"/>
    <w:rsid w:val="00DD4446"/>
    <w:rsid w:val="00DD4485"/>
    <w:rsid w:val="00DD4537"/>
    <w:rsid w:val="00DD49EF"/>
    <w:rsid w:val="00DD4E15"/>
    <w:rsid w:val="00DD5355"/>
    <w:rsid w:val="00DD58E9"/>
    <w:rsid w:val="00DD5993"/>
    <w:rsid w:val="00DD5E1D"/>
    <w:rsid w:val="00DD5E96"/>
    <w:rsid w:val="00DD5EDC"/>
    <w:rsid w:val="00DD627C"/>
    <w:rsid w:val="00DD6B5A"/>
    <w:rsid w:val="00DD720F"/>
    <w:rsid w:val="00DD7266"/>
    <w:rsid w:val="00DD7679"/>
    <w:rsid w:val="00DE0159"/>
    <w:rsid w:val="00DE0533"/>
    <w:rsid w:val="00DE08FA"/>
    <w:rsid w:val="00DE090E"/>
    <w:rsid w:val="00DE09D4"/>
    <w:rsid w:val="00DE0BB2"/>
    <w:rsid w:val="00DE0CF0"/>
    <w:rsid w:val="00DE0EB5"/>
    <w:rsid w:val="00DE12E4"/>
    <w:rsid w:val="00DE1437"/>
    <w:rsid w:val="00DE16B8"/>
    <w:rsid w:val="00DE2304"/>
    <w:rsid w:val="00DE2568"/>
    <w:rsid w:val="00DE2631"/>
    <w:rsid w:val="00DE2BA0"/>
    <w:rsid w:val="00DE2C69"/>
    <w:rsid w:val="00DE3138"/>
    <w:rsid w:val="00DE3768"/>
    <w:rsid w:val="00DE37F8"/>
    <w:rsid w:val="00DE3A46"/>
    <w:rsid w:val="00DE3B60"/>
    <w:rsid w:val="00DE3B98"/>
    <w:rsid w:val="00DE4273"/>
    <w:rsid w:val="00DE4469"/>
    <w:rsid w:val="00DE485A"/>
    <w:rsid w:val="00DE49CB"/>
    <w:rsid w:val="00DE4F18"/>
    <w:rsid w:val="00DE4FCB"/>
    <w:rsid w:val="00DE502F"/>
    <w:rsid w:val="00DE5187"/>
    <w:rsid w:val="00DE52D3"/>
    <w:rsid w:val="00DE53E4"/>
    <w:rsid w:val="00DE5629"/>
    <w:rsid w:val="00DE5D07"/>
    <w:rsid w:val="00DE5F45"/>
    <w:rsid w:val="00DE61E3"/>
    <w:rsid w:val="00DE68FE"/>
    <w:rsid w:val="00DE6A9D"/>
    <w:rsid w:val="00DE6CD7"/>
    <w:rsid w:val="00DE72A7"/>
    <w:rsid w:val="00DE7498"/>
    <w:rsid w:val="00DE7706"/>
    <w:rsid w:val="00DE7832"/>
    <w:rsid w:val="00DE7C50"/>
    <w:rsid w:val="00DE7E76"/>
    <w:rsid w:val="00DF01D4"/>
    <w:rsid w:val="00DF07F5"/>
    <w:rsid w:val="00DF093D"/>
    <w:rsid w:val="00DF0ED7"/>
    <w:rsid w:val="00DF13D3"/>
    <w:rsid w:val="00DF167A"/>
    <w:rsid w:val="00DF18FC"/>
    <w:rsid w:val="00DF20C4"/>
    <w:rsid w:val="00DF2159"/>
    <w:rsid w:val="00DF2278"/>
    <w:rsid w:val="00DF29E5"/>
    <w:rsid w:val="00DF2E8C"/>
    <w:rsid w:val="00DF3238"/>
    <w:rsid w:val="00DF35B3"/>
    <w:rsid w:val="00DF35E5"/>
    <w:rsid w:val="00DF3B5E"/>
    <w:rsid w:val="00DF3BB5"/>
    <w:rsid w:val="00DF3E91"/>
    <w:rsid w:val="00DF3F80"/>
    <w:rsid w:val="00DF4313"/>
    <w:rsid w:val="00DF45B8"/>
    <w:rsid w:val="00DF4C45"/>
    <w:rsid w:val="00DF4D46"/>
    <w:rsid w:val="00DF4F28"/>
    <w:rsid w:val="00DF52A3"/>
    <w:rsid w:val="00DF5353"/>
    <w:rsid w:val="00DF538D"/>
    <w:rsid w:val="00DF54E1"/>
    <w:rsid w:val="00DF5629"/>
    <w:rsid w:val="00DF578B"/>
    <w:rsid w:val="00DF5BA0"/>
    <w:rsid w:val="00DF5CB3"/>
    <w:rsid w:val="00DF5D2B"/>
    <w:rsid w:val="00DF5F55"/>
    <w:rsid w:val="00DF61CE"/>
    <w:rsid w:val="00DF622B"/>
    <w:rsid w:val="00DF6341"/>
    <w:rsid w:val="00DF6540"/>
    <w:rsid w:val="00DF66DB"/>
    <w:rsid w:val="00DF6C1B"/>
    <w:rsid w:val="00DF6C35"/>
    <w:rsid w:val="00DF6FFA"/>
    <w:rsid w:val="00DF70B4"/>
    <w:rsid w:val="00DF73E0"/>
    <w:rsid w:val="00DF752A"/>
    <w:rsid w:val="00DF752C"/>
    <w:rsid w:val="00DF774B"/>
    <w:rsid w:val="00DF77EA"/>
    <w:rsid w:val="00DF78AC"/>
    <w:rsid w:val="00DF7C10"/>
    <w:rsid w:val="00DF7CF5"/>
    <w:rsid w:val="00DF7D0D"/>
    <w:rsid w:val="00DF7E8A"/>
    <w:rsid w:val="00DF7F68"/>
    <w:rsid w:val="00E00524"/>
    <w:rsid w:val="00E00C75"/>
    <w:rsid w:val="00E00DCF"/>
    <w:rsid w:val="00E00E29"/>
    <w:rsid w:val="00E00E8E"/>
    <w:rsid w:val="00E01443"/>
    <w:rsid w:val="00E0163B"/>
    <w:rsid w:val="00E01821"/>
    <w:rsid w:val="00E01AE1"/>
    <w:rsid w:val="00E01B27"/>
    <w:rsid w:val="00E023CE"/>
    <w:rsid w:val="00E024C7"/>
    <w:rsid w:val="00E024E0"/>
    <w:rsid w:val="00E025CD"/>
    <w:rsid w:val="00E027E2"/>
    <w:rsid w:val="00E02849"/>
    <w:rsid w:val="00E02883"/>
    <w:rsid w:val="00E028E2"/>
    <w:rsid w:val="00E02D03"/>
    <w:rsid w:val="00E0332C"/>
    <w:rsid w:val="00E03C0E"/>
    <w:rsid w:val="00E03F7A"/>
    <w:rsid w:val="00E04080"/>
    <w:rsid w:val="00E04DEB"/>
    <w:rsid w:val="00E04E8D"/>
    <w:rsid w:val="00E0509F"/>
    <w:rsid w:val="00E051B9"/>
    <w:rsid w:val="00E054C5"/>
    <w:rsid w:val="00E05630"/>
    <w:rsid w:val="00E05ADA"/>
    <w:rsid w:val="00E05FE0"/>
    <w:rsid w:val="00E06CA9"/>
    <w:rsid w:val="00E06CF1"/>
    <w:rsid w:val="00E06DBB"/>
    <w:rsid w:val="00E06F3D"/>
    <w:rsid w:val="00E06FD3"/>
    <w:rsid w:val="00E0704F"/>
    <w:rsid w:val="00E07441"/>
    <w:rsid w:val="00E10149"/>
    <w:rsid w:val="00E10176"/>
    <w:rsid w:val="00E104C5"/>
    <w:rsid w:val="00E1057F"/>
    <w:rsid w:val="00E1086E"/>
    <w:rsid w:val="00E10B35"/>
    <w:rsid w:val="00E11340"/>
    <w:rsid w:val="00E11434"/>
    <w:rsid w:val="00E1162D"/>
    <w:rsid w:val="00E11782"/>
    <w:rsid w:val="00E11ABD"/>
    <w:rsid w:val="00E11E53"/>
    <w:rsid w:val="00E11F04"/>
    <w:rsid w:val="00E122A1"/>
    <w:rsid w:val="00E1263D"/>
    <w:rsid w:val="00E12A9E"/>
    <w:rsid w:val="00E12AA2"/>
    <w:rsid w:val="00E12B84"/>
    <w:rsid w:val="00E12CE7"/>
    <w:rsid w:val="00E13065"/>
    <w:rsid w:val="00E133C1"/>
    <w:rsid w:val="00E13532"/>
    <w:rsid w:val="00E13544"/>
    <w:rsid w:val="00E137AD"/>
    <w:rsid w:val="00E13CAB"/>
    <w:rsid w:val="00E14332"/>
    <w:rsid w:val="00E1445C"/>
    <w:rsid w:val="00E14893"/>
    <w:rsid w:val="00E14B7F"/>
    <w:rsid w:val="00E151EC"/>
    <w:rsid w:val="00E15935"/>
    <w:rsid w:val="00E15AD8"/>
    <w:rsid w:val="00E15BE0"/>
    <w:rsid w:val="00E15D4C"/>
    <w:rsid w:val="00E16299"/>
    <w:rsid w:val="00E16372"/>
    <w:rsid w:val="00E16786"/>
    <w:rsid w:val="00E16AB3"/>
    <w:rsid w:val="00E16AD8"/>
    <w:rsid w:val="00E16F50"/>
    <w:rsid w:val="00E16FDE"/>
    <w:rsid w:val="00E1703D"/>
    <w:rsid w:val="00E1711A"/>
    <w:rsid w:val="00E1743A"/>
    <w:rsid w:val="00E1747C"/>
    <w:rsid w:val="00E176B0"/>
    <w:rsid w:val="00E17B80"/>
    <w:rsid w:val="00E17EE5"/>
    <w:rsid w:val="00E17FFA"/>
    <w:rsid w:val="00E20965"/>
    <w:rsid w:val="00E20DF1"/>
    <w:rsid w:val="00E20E4D"/>
    <w:rsid w:val="00E20ED6"/>
    <w:rsid w:val="00E20FBA"/>
    <w:rsid w:val="00E21358"/>
    <w:rsid w:val="00E21431"/>
    <w:rsid w:val="00E21607"/>
    <w:rsid w:val="00E2175B"/>
    <w:rsid w:val="00E21B04"/>
    <w:rsid w:val="00E22258"/>
    <w:rsid w:val="00E2229C"/>
    <w:rsid w:val="00E222D8"/>
    <w:rsid w:val="00E2249B"/>
    <w:rsid w:val="00E224EF"/>
    <w:rsid w:val="00E229B6"/>
    <w:rsid w:val="00E22A0D"/>
    <w:rsid w:val="00E22BB3"/>
    <w:rsid w:val="00E22F6E"/>
    <w:rsid w:val="00E22FDF"/>
    <w:rsid w:val="00E2306B"/>
    <w:rsid w:val="00E23996"/>
    <w:rsid w:val="00E24188"/>
    <w:rsid w:val="00E244F6"/>
    <w:rsid w:val="00E2450F"/>
    <w:rsid w:val="00E2490F"/>
    <w:rsid w:val="00E24B27"/>
    <w:rsid w:val="00E24CAA"/>
    <w:rsid w:val="00E24E90"/>
    <w:rsid w:val="00E25231"/>
    <w:rsid w:val="00E258DB"/>
    <w:rsid w:val="00E2594C"/>
    <w:rsid w:val="00E25ADE"/>
    <w:rsid w:val="00E25D8F"/>
    <w:rsid w:val="00E25DBD"/>
    <w:rsid w:val="00E25DD5"/>
    <w:rsid w:val="00E26262"/>
    <w:rsid w:val="00E26280"/>
    <w:rsid w:val="00E265E7"/>
    <w:rsid w:val="00E266F3"/>
    <w:rsid w:val="00E26C56"/>
    <w:rsid w:val="00E2771E"/>
    <w:rsid w:val="00E277D0"/>
    <w:rsid w:val="00E27C88"/>
    <w:rsid w:val="00E305B3"/>
    <w:rsid w:val="00E30644"/>
    <w:rsid w:val="00E3093E"/>
    <w:rsid w:val="00E30C5A"/>
    <w:rsid w:val="00E30C7A"/>
    <w:rsid w:val="00E30CFB"/>
    <w:rsid w:val="00E30F82"/>
    <w:rsid w:val="00E30FF6"/>
    <w:rsid w:val="00E3105C"/>
    <w:rsid w:val="00E311B3"/>
    <w:rsid w:val="00E311EF"/>
    <w:rsid w:val="00E31741"/>
    <w:rsid w:val="00E31EA0"/>
    <w:rsid w:val="00E32180"/>
    <w:rsid w:val="00E321ED"/>
    <w:rsid w:val="00E32A1E"/>
    <w:rsid w:val="00E32C76"/>
    <w:rsid w:val="00E32D14"/>
    <w:rsid w:val="00E32ECA"/>
    <w:rsid w:val="00E32F86"/>
    <w:rsid w:val="00E33598"/>
    <w:rsid w:val="00E336CB"/>
    <w:rsid w:val="00E33705"/>
    <w:rsid w:val="00E33B76"/>
    <w:rsid w:val="00E33B80"/>
    <w:rsid w:val="00E33C6B"/>
    <w:rsid w:val="00E344BC"/>
    <w:rsid w:val="00E346F2"/>
    <w:rsid w:val="00E347AB"/>
    <w:rsid w:val="00E34948"/>
    <w:rsid w:val="00E34A56"/>
    <w:rsid w:val="00E34E97"/>
    <w:rsid w:val="00E34F6B"/>
    <w:rsid w:val="00E35016"/>
    <w:rsid w:val="00E3501E"/>
    <w:rsid w:val="00E354DC"/>
    <w:rsid w:val="00E356D4"/>
    <w:rsid w:val="00E3585F"/>
    <w:rsid w:val="00E35ACA"/>
    <w:rsid w:val="00E35D6D"/>
    <w:rsid w:val="00E36176"/>
    <w:rsid w:val="00E3637F"/>
    <w:rsid w:val="00E363D7"/>
    <w:rsid w:val="00E363F1"/>
    <w:rsid w:val="00E366CF"/>
    <w:rsid w:val="00E36BEE"/>
    <w:rsid w:val="00E36CC1"/>
    <w:rsid w:val="00E36CE5"/>
    <w:rsid w:val="00E36DD8"/>
    <w:rsid w:val="00E37479"/>
    <w:rsid w:val="00E37569"/>
    <w:rsid w:val="00E3769A"/>
    <w:rsid w:val="00E378E0"/>
    <w:rsid w:val="00E379FC"/>
    <w:rsid w:val="00E37C36"/>
    <w:rsid w:val="00E37EB5"/>
    <w:rsid w:val="00E401B2"/>
    <w:rsid w:val="00E401DE"/>
    <w:rsid w:val="00E40429"/>
    <w:rsid w:val="00E404DD"/>
    <w:rsid w:val="00E40E27"/>
    <w:rsid w:val="00E40E93"/>
    <w:rsid w:val="00E412B7"/>
    <w:rsid w:val="00E41347"/>
    <w:rsid w:val="00E415C7"/>
    <w:rsid w:val="00E41709"/>
    <w:rsid w:val="00E4185D"/>
    <w:rsid w:val="00E418A5"/>
    <w:rsid w:val="00E41B94"/>
    <w:rsid w:val="00E41D0B"/>
    <w:rsid w:val="00E41D2A"/>
    <w:rsid w:val="00E41E30"/>
    <w:rsid w:val="00E41ECC"/>
    <w:rsid w:val="00E424FB"/>
    <w:rsid w:val="00E4266F"/>
    <w:rsid w:val="00E426B8"/>
    <w:rsid w:val="00E42902"/>
    <w:rsid w:val="00E4293C"/>
    <w:rsid w:val="00E42ABA"/>
    <w:rsid w:val="00E42B96"/>
    <w:rsid w:val="00E42BA2"/>
    <w:rsid w:val="00E42C7B"/>
    <w:rsid w:val="00E42F4F"/>
    <w:rsid w:val="00E42F73"/>
    <w:rsid w:val="00E42FF3"/>
    <w:rsid w:val="00E4317A"/>
    <w:rsid w:val="00E432B7"/>
    <w:rsid w:val="00E435BC"/>
    <w:rsid w:val="00E43882"/>
    <w:rsid w:val="00E4397C"/>
    <w:rsid w:val="00E43B08"/>
    <w:rsid w:val="00E43D70"/>
    <w:rsid w:val="00E43DC6"/>
    <w:rsid w:val="00E43E39"/>
    <w:rsid w:val="00E43F8C"/>
    <w:rsid w:val="00E44419"/>
    <w:rsid w:val="00E44506"/>
    <w:rsid w:val="00E447FD"/>
    <w:rsid w:val="00E448F9"/>
    <w:rsid w:val="00E44ADF"/>
    <w:rsid w:val="00E44CD9"/>
    <w:rsid w:val="00E44FCE"/>
    <w:rsid w:val="00E453AF"/>
    <w:rsid w:val="00E453E9"/>
    <w:rsid w:val="00E457F3"/>
    <w:rsid w:val="00E4580B"/>
    <w:rsid w:val="00E45A80"/>
    <w:rsid w:val="00E45B9F"/>
    <w:rsid w:val="00E46602"/>
    <w:rsid w:val="00E466F3"/>
    <w:rsid w:val="00E46D80"/>
    <w:rsid w:val="00E46E65"/>
    <w:rsid w:val="00E47431"/>
    <w:rsid w:val="00E474ED"/>
    <w:rsid w:val="00E47508"/>
    <w:rsid w:val="00E47684"/>
    <w:rsid w:val="00E4783C"/>
    <w:rsid w:val="00E47B2C"/>
    <w:rsid w:val="00E47BC5"/>
    <w:rsid w:val="00E47D4D"/>
    <w:rsid w:val="00E47F59"/>
    <w:rsid w:val="00E500C1"/>
    <w:rsid w:val="00E50819"/>
    <w:rsid w:val="00E51015"/>
    <w:rsid w:val="00E51560"/>
    <w:rsid w:val="00E5171C"/>
    <w:rsid w:val="00E51821"/>
    <w:rsid w:val="00E51A89"/>
    <w:rsid w:val="00E51BAC"/>
    <w:rsid w:val="00E51D7D"/>
    <w:rsid w:val="00E51DB2"/>
    <w:rsid w:val="00E51ECD"/>
    <w:rsid w:val="00E52485"/>
    <w:rsid w:val="00E52713"/>
    <w:rsid w:val="00E531A0"/>
    <w:rsid w:val="00E53809"/>
    <w:rsid w:val="00E53A34"/>
    <w:rsid w:val="00E53C1F"/>
    <w:rsid w:val="00E53FC8"/>
    <w:rsid w:val="00E54255"/>
    <w:rsid w:val="00E54347"/>
    <w:rsid w:val="00E54BE3"/>
    <w:rsid w:val="00E54C91"/>
    <w:rsid w:val="00E54CBF"/>
    <w:rsid w:val="00E54D22"/>
    <w:rsid w:val="00E55370"/>
    <w:rsid w:val="00E55424"/>
    <w:rsid w:val="00E55643"/>
    <w:rsid w:val="00E55696"/>
    <w:rsid w:val="00E55915"/>
    <w:rsid w:val="00E55A0F"/>
    <w:rsid w:val="00E55AB5"/>
    <w:rsid w:val="00E55BB5"/>
    <w:rsid w:val="00E56013"/>
    <w:rsid w:val="00E56122"/>
    <w:rsid w:val="00E56718"/>
    <w:rsid w:val="00E568F9"/>
    <w:rsid w:val="00E56A33"/>
    <w:rsid w:val="00E56A94"/>
    <w:rsid w:val="00E56E07"/>
    <w:rsid w:val="00E575A0"/>
    <w:rsid w:val="00E57857"/>
    <w:rsid w:val="00E5795E"/>
    <w:rsid w:val="00E6007D"/>
    <w:rsid w:val="00E6011C"/>
    <w:rsid w:val="00E60424"/>
    <w:rsid w:val="00E60430"/>
    <w:rsid w:val="00E60465"/>
    <w:rsid w:val="00E60503"/>
    <w:rsid w:val="00E605DE"/>
    <w:rsid w:val="00E60A96"/>
    <w:rsid w:val="00E60B05"/>
    <w:rsid w:val="00E60C6A"/>
    <w:rsid w:val="00E611DF"/>
    <w:rsid w:val="00E614B1"/>
    <w:rsid w:val="00E61508"/>
    <w:rsid w:val="00E61636"/>
    <w:rsid w:val="00E61D68"/>
    <w:rsid w:val="00E62267"/>
    <w:rsid w:val="00E6233E"/>
    <w:rsid w:val="00E628F5"/>
    <w:rsid w:val="00E6297A"/>
    <w:rsid w:val="00E62999"/>
    <w:rsid w:val="00E62E2D"/>
    <w:rsid w:val="00E63034"/>
    <w:rsid w:val="00E63095"/>
    <w:rsid w:val="00E63190"/>
    <w:rsid w:val="00E63440"/>
    <w:rsid w:val="00E635ED"/>
    <w:rsid w:val="00E6362D"/>
    <w:rsid w:val="00E63A73"/>
    <w:rsid w:val="00E63B68"/>
    <w:rsid w:val="00E645E9"/>
    <w:rsid w:val="00E647BB"/>
    <w:rsid w:val="00E64A75"/>
    <w:rsid w:val="00E64CC4"/>
    <w:rsid w:val="00E653E3"/>
    <w:rsid w:val="00E65564"/>
    <w:rsid w:val="00E65E79"/>
    <w:rsid w:val="00E660C0"/>
    <w:rsid w:val="00E66567"/>
    <w:rsid w:val="00E66787"/>
    <w:rsid w:val="00E668C1"/>
    <w:rsid w:val="00E66947"/>
    <w:rsid w:val="00E66A09"/>
    <w:rsid w:val="00E66BA2"/>
    <w:rsid w:val="00E67171"/>
    <w:rsid w:val="00E671D0"/>
    <w:rsid w:val="00E67416"/>
    <w:rsid w:val="00E6744E"/>
    <w:rsid w:val="00E674CA"/>
    <w:rsid w:val="00E675CC"/>
    <w:rsid w:val="00E678BD"/>
    <w:rsid w:val="00E67DC7"/>
    <w:rsid w:val="00E70219"/>
    <w:rsid w:val="00E705E2"/>
    <w:rsid w:val="00E70E03"/>
    <w:rsid w:val="00E70EDC"/>
    <w:rsid w:val="00E70F1E"/>
    <w:rsid w:val="00E7106A"/>
    <w:rsid w:val="00E71369"/>
    <w:rsid w:val="00E715AA"/>
    <w:rsid w:val="00E718B6"/>
    <w:rsid w:val="00E718C0"/>
    <w:rsid w:val="00E71D05"/>
    <w:rsid w:val="00E72072"/>
    <w:rsid w:val="00E72156"/>
    <w:rsid w:val="00E7234E"/>
    <w:rsid w:val="00E723BA"/>
    <w:rsid w:val="00E727F2"/>
    <w:rsid w:val="00E72A0D"/>
    <w:rsid w:val="00E72C18"/>
    <w:rsid w:val="00E730BA"/>
    <w:rsid w:val="00E733C5"/>
    <w:rsid w:val="00E73581"/>
    <w:rsid w:val="00E73E00"/>
    <w:rsid w:val="00E74542"/>
    <w:rsid w:val="00E746AD"/>
    <w:rsid w:val="00E74EB6"/>
    <w:rsid w:val="00E74EFE"/>
    <w:rsid w:val="00E75A2A"/>
    <w:rsid w:val="00E75ABF"/>
    <w:rsid w:val="00E75FB3"/>
    <w:rsid w:val="00E765AF"/>
    <w:rsid w:val="00E76889"/>
    <w:rsid w:val="00E76B6C"/>
    <w:rsid w:val="00E76C9C"/>
    <w:rsid w:val="00E76FB2"/>
    <w:rsid w:val="00E77011"/>
    <w:rsid w:val="00E772E3"/>
    <w:rsid w:val="00E774DC"/>
    <w:rsid w:val="00E777CA"/>
    <w:rsid w:val="00E777E1"/>
    <w:rsid w:val="00E77E40"/>
    <w:rsid w:val="00E77FF9"/>
    <w:rsid w:val="00E8005B"/>
    <w:rsid w:val="00E80B73"/>
    <w:rsid w:val="00E80D27"/>
    <w:rsid w:val="00E80F46"/>
    <w:rsid w:val="00E8145F"/>
    <w:rsid w:val="00E81474"/>
    <w:rsid w:val="00E81C24"/>
    <w:rsid w:val="00E81DBB"/>
    <w:rsid w:val="00E81EF2"/>
    <w:rsid w:val="00E82620"/>
    <w:rsid w:val="00E8277E"/>
    <w:rsid w:val="00E82F22"/>
    <w:rsid w:val="00E832B0"/>
    <w:rsid w:val="00E833F7"/>
    <w:rsid w:val="00E834D5"/>
    <w:rsid w:val="00E83A46"/>
    <w:rsid w:val="00E83AAA"/>
    <w:rsid w:val="00E83BDF"/>
    <w:rsid w:val="00E83C10"/>
    <w:rsid w:val="00E83D69"/>
    <w:rsid w:val="00E83EE6"/>
    <w:rsid w:val="00E84499"/>
    <w:rsid w:val="00E847E8"/>
    <w:rsid w:val="00E84913"/>
    <w:rsid w:val="00E84C28"/>
    <w:rsid w:val="00E84C84"/>
    <w:rsid w:val="00E84D81"/>
    <w:rsid w:val="00E84EA4"/>
    <w:rsid w:val="00E84F3A"/>
    <w:rsid w:val="00E84F79"/>
    <w:rsid w:val="00E84FAA"/>
    <w:rsid w:val="00E8516E"/>
    <w:rsid w:val="00E85661"/>
    <w:rsid w:val="00E8585B"/>
    <w:rsid w:val="00E85A6F"/>
    <w:rsid w:val="00E85C08"/>
    <w:rsid w:val="00E85C43"/>
    <w:rsid w:val="00E85E71"/>
    <w:rsid w:val="00E85FCC"/>
    <w:rsid w:val="00E86758"/>
    <w:rsid w:val="00E86903"/>
    <w:rsid w:val="00E86920"/>
    <w:rsid w:val="00E86EB5"/>
    <w:rsid w:val="00E86FCC"/>
    <w:rsid w:val="00E87031"/>
    <w:rsid w:val="00E87224"/>
    <w:rsid w:val="00E8748D"/>
    <w:rsid w:val="00E87A1D"/>
    <w:rsid w:val="00E87AAF"/>
    <w:rsid w:val="00E87DD0"/>
    <w:rsid w:val="00E90085"/>
    <w:rsid w:val="00E9094A"/>
    <w:rsid w:val="00E9112A"/>
    <w:rsid w:val="00E91329"/>
    <w:rsid w:val="00E91334"/>
    <w:rsid w:val="00E9171F"/>
    <w:rsid w:val="00E918D0"/>
    <w:rsid w:val="00E91D35"/>
    <w:rsid w:val="00E91FF8"/>
    <w:rsid w:val="00E9204D"/>
    <w:rsid w:val="00E92385"/>
    <w:rsid w:val="00E92476"/>
    <w:rsid w:val="00E926A5"/>
    <w:rsid w:val="00E92AC1"/>
    <w:rsid w:val="00E92BE0"/>
    <w:rsid w:val="00E934DE"/>
    <w:rsid w:val="00E9357C"/>
    <w:rsid w:val="00E936DA"/>
    <w:rsid w:val="00E9387B"/>
    <w:rsid w:val="00E93B0A"/>
    <w:rsid w:val="00E94667"/>
    <w:rsid w:val="00E94E2E"/>
    <w:rsid w:val="00E958E9"/>
    <w:rsid w:val="00E95B41"/>
    <w:rsid w:val="00E95BB6"/>
    <w:rsid w:val="00E95FB9"/>
    <w:rsid w:val="00E962CC"/>
    <w:rsid w:val="00E96B92"/>
    <w:rsid w:val="00E96C90"/>
    <w:rsid w:val="00E96E2B"/>
    <w:rsid w:val="00E96E5B"/>
    <w:rsid w:val="00E97472"/>
    <w:rsid w:val="00E974C6"/>
    <w:rsid w:val="00E97F08"/>
    <w:rsid w:val="00EA03EA"/>
    <w:rsid w:val="00EA0806"/>
    <w:rsid w:val="00EA0836"/>
    <w:rsid w:val="00EA098F"/>
    <w:rsid w:val="00EA0B41"/>
    <w:rsid w:val="00EA0B9F"/>
    <w:rsid w:val="00EA0D71"/>
    <w:rsid w:val="00EA0E68"/>
    <w:rsid w:val="00EA0EA6"/>
    <w:rsid w:val="00EA0EE7"/>
    <w:rsid w:val="00EA1590"/>
    <w:rsid w:val="00EA1797"/>
    <w:rsid w:val="00EA17C3"/>
    <w:rsid w:val="00EA19C6"/>
    <w:rsid w:val="00EA1DA7"/>
    <w:rsid w:val="00EA2014"/>
    <w:rsid w:val="00EA243E"/>
    <w:rsid w:val="00EA2709"/>
    <w:rsid w:val="00EA285F"/>
    <w:rsid w:val="00EA2B18"/>
    <w:rsid w:val="00EA2CAA"/>
    <w:rsid w:val="00EA2E09"/>
    <w:rsid w:val="00EA3049"/>
    <w:rsid w:val="00EA34C4"/>
    <w:rsid w:val="00EA35A8"/>
    <w:rsid w:val="00EA3864"/>
    <w:rsid w:val="00EA3880"/>
    <w:rsid w:val="00EA3AC1"/>
    <w:rsid w:val="00EA3BE7"/>
    <w:rsid w:val="00EA3D48"/>
    <w:rsid w:val="00EA3DDC"/>
    <w:rsid w:val="00EA3F1A"/>
    <w:rsid w:val="00EA4698"/>
    <w:rsid w:val="00EA46BA"/>
    <w:rsid w:val="00EA497F"/>
    <w:rsid w:val="00EA5203"/>
    <w:rsid w:val="00EA528A"/>
    <w:rsid w:val="00EA530D"/>
    <w:rsid w:val="00EA53BF"/>
    <w:rsid w:val="00EA56A2"/>
    <w:rsid w:val="00EA5A6A"/>
    <w:rsid w:val="00EA5C1D"/>
    <w:rsid w:val="00EA62EC"/>
    <w:rsid w:val="00EA6FBC"/>
    <w:rsid w:val="00EA740D"/>
    <w:rsid w:val="00EA780A"/>
    <w:rsid w:val="00EA7DF0"/>
    <w:rsid w:val="00EA7F1C"/>
    <w:rsid w:val="00EB0120"/>
    <w:rsid w:val="00EB01E4"/>
    <w:rsid w:val="00EB0213"/>
    <w:rsid w:val="00EB02E6"/>
    <w:rsid w:val="00EB02EF"/>
    <w:rsid w:val="00EB0C6F"/>
    <w:rsid w:val="00EB0F0F"/>
    <w:rsid w:val="00EB0FF0"/>
    <w:rsid w:val="00EB12E9"/>
    <w:rsid w:val="00EB1590"/>
    <w:rsid w:val="00EB15B6"/>
    <w:rsid w:val="00EB160F"/>
    <w:rsid w:val="00EB19B5"/>
    <w:rsid w:val="00EB235F"/>
    <w:rsid w:val="00EB23AB"/>
    <w:rsid w:val="00EB27C2"/>
    <w:rsid w:val="00EB29A6"/>
    <w:rsid w:val="00EB29A7"/>
    <w:rsid w:val="00EB2A47"/>
    <w:rsid w:val="00EB2A96"/>
    <w:rsid w:val="00EB2FF3"/>
    <w:rsid w:val="00EB34C7"/>
    <w:rsid w:val="00EB35E6"/>
    <w:rsid w:val="00EB3B54"/>
    <w:rsid w:val="00EB3D06"/>
    <w:rsid w:val="00EB3EE8"/>
    <w:rsid w:val="00EB3FB9"/>
    <w:rsid w:val="00EB3FBF"/>
    <w:rsid w:val="00EB42D0"/>
    <w:rsid w:val="00EB4808"/>
    <w:rsid w:val="00EB4916"/>
    <w:rsid w:val="00EB4921"/>
    <w:rsid w:val="00EB4C0C"/>
    <w:rsid w:val="00EB4D7F"/>
    <w:rsid w:val="00EB518D"/>
    <w:rsid w:val="00EB58ED"/>
    <w:rsid w:val="00EB5B7D"/>
    <w:rsid w:val="00EB5C47"/>
    <w:rsid w:val="00EB5CA9"/>
    <w:rsid w:val="00EB64D0"/>
    <w:rsid w:val="00EB653D"/>
    <w:rsid w:val="00EB65AE"/>
    <w:rsid w:val="00EB675D"/>
    <w:rsid w:val="00EB67D6"/>
    <w:rsid w:val="00EB6A4D"/>
    <w:rsid w:val="00EB6ABE"/>
    <w:rsid w:val="00EB773E"/>
    <w:rsid w:val="00EB785A"/>
    <w:rsid w:val="00EB7A49"/>
    <w:rsid w:val="00EC00C9"/>
    <w:rsid w:val="00EC014A"/>
    <w:rsid w:val="00EC038C"/>
    <w:rsid w:val="00EC0560"/>
    <w:rsid w:val="00EC0801"/>
    <w:rsid w:val="00EC0DD9"/>
    <w:rsid w:val="00EC0F42"/>
    <w:rsid w:val="00EC10D7"/>
    <w:rsid w:val="00EC111B"/>
    <w:rsid w:val="00EC1C29"/>
    <w:rsid w:val="00EC1FC0"/>
    <w:rsid w:val="00EC206A"/>
    <w:rsid w:val="00EC2203"/>
    <w:rsid w:val="00EC24F2"/>
    <w:rsid w:val="00EC2649"/>
    <w:rsid w:val="00EC28A7"/>
    <w:rsid w:val="00EC299A"/>
    <w:rsid w:val="00EC2B16"/>
    <w:rsid w:val="00EC2B40"/>
    <w:rsid w:val="00EC3155"/>
    <w:rsid w:val="00EC31ED"/>
    <w:rsid w:val="00EC33D6"/>
    <w:rsid w:val="00EC348F"/>
    <w:rsid w:val="00EC3798"/>
    <w:rsid w:val="00EC3835"/>
    <w:rsid w:val="00EC3842"/>
    <w:rsid w:val="00EC38ED"/>
    <w:rsid w:val="00EC3CA2"/>
    <w:rsid w:val="00EC418F"/>
    <w:rsid w:val="00EC4392"/>
    <w:rsid w:val="00EC5209"/>
    <w:rsid w:val="00EC553D"/>
    <w:rsid w:val="00EC5677"/>
    <w:rsid w:val="00EC5836"/>
    <w:rsid w:val="00EC5C5A"/>
    <w:rsid w:val="00EC6059"/>
    <w:rsid w:val="00EC66EB"/>
    <w:rsid w:val="00EC688C"/>
    <w:rsid w:val="00EC69CC"/>
    <w:rsid w:val="00EC6F9E"/>
    <w:rsid w:val="00EC70DE"/>
    <w:rsid w:val="00EC71E4"/>
    <w:rsid w:val="00EC75FA"/>
    <w:rsid w:val="00EC768B"/>
    <w:rsid w:val="00EC78E3"/>
    <w:rsid w:val="00ED017D"/>
    <w:rsid w:val="00ED03A0"/>
    <w:rsid w:val="00ED0CBB"/>
    <w:rsid w:val="00ED0D56"/>
    <w:rsid w:val="00ED0D92"/>
    <w:rsid w:val="00ED0F9B"/>
    <w:rsid w:val="00ED12E3"/>
    <w:rsid w:val="00ED14ED"/>
    <w:rsid w:val="00ED17AC"/>
    <w:rsid w:val="00ED1BD0"/>
    <w:rsid w:val="00ED26F2"/>
    <w:rsid w:val="00ED2ACF"/>
    <w:rsid w:val="00ED2C1D"/>
    <w:rsid w:val="00ED3053"/>
    <w:rsid w:val="00ED34E5"/>
    <w:rsid w:val="00ED38D8"/>
    <w:rsid w:val="00ED3A6E"/>
    <w:rsid w:val="00ED3B76"/>
    <w:rsid w:val="00ED3C35"/>
    <w:rsid w:val="00ED3F24"/>
    <w:rsid w:val="00ED42D6"/>
    <w:rsid w:val="00ED447C"/>
    <w:rsid w:val="00ED4788"/>
    <w:rsid w:val="00ED480C"/>
    <w:rsid w:val="00ED48B8"/>
    <w:rsid w:val="00ED4A26"/>
    <w:rsid w:val="00ED4B04"/>
    <w:rsid w:val="00ED4BC3"/>
    <w:rsid w:val="00ED4EA9"/>
    <w:rsid w:val="00ED4EBC"/>
    <w:rsid w:val="00ED4FEA"/>
    <w:rsid w:val="00ED51CB"/>
    <w:rsid w:val="00ED522C"/>
    <w:rsid w:val="00ED57EA"/>
    <w:rsid w:val="00ED58B6"/>
    <w:rsid w:val="00ED5BD4"/>
    <w:rsid w:val="00ED5CDC"/>
    <w:rsid w:val="00ED5D2E"/>
    <w:rsid w:val="00ED5D34"/>
    <w:rsid w:val="00ED62A2"/>
    <w:rsid w:val="00ED6461"/>
    <w:rsid w:val="00ED6664"/>
    <w:rsid w:val="00ED68CB"/>
    <w:rsid w:val="00ED6937"/>
    <w:rsid w:val="00ED69F2"/>
    <w:rsid w:val="00ED69F9"/>
    <w:rsid w:val="00ED6A56"/>
    <w:rsid w:val="00ED6B8F"/>
    <w:rsid w:val="00ED701A"/>
    <w:rsid w:val="00ED733C"/>
    <w:rsid w:val="00ED759F"/>
    <w:rsid w:val="00ED76A1"/>
    <w:rsid w:val="00ED7B03"/>
    <w:rsid w:val="00ED7F3A"/>
    <w:rsid w:val="00EE0217"/>
    <w:rsid w:val="00EE023E"/>
    <w:rsid w:val="00EE06B0"/>
    <w:rsid w:val="00EE07D3"/>
    <w:rsid w:val="00EE0868"/>
    <w:rsid w:val="00EE0959"/>
    <w:rsid w:val="00EE0A8C"/>
    <w:rsid w:val="00EE0B0F"/>
    <w:rsid w:val="00EE0D05"/>
    <w:rsid w:val="00EE10E5"/>
    <w:rsid w:val="00EE1841"/>
    <w:rsid w:val="00EE184E"/>
    <w:rsid w:val="00EE185A"/>
    <w:rsid w:val="00EE1996"/>
    <w:rsid w:val="00EE1A8B"/>
    <w:rsid w:val="00EE1C01"/>
    <w:rsid w:val="00EE202A"/>
    <w:rsid w:val="00EE20AA"/>
    <w:rsid w:val="00EE22AF"/>
    <w:rsid w:val="00EE22DE"/>
    <w:rsid w:val="00EE2559"/>
    <w:rsid w:val="00EE27AB"/>
    <w:rsid w:val="00EE2B57"/>
    <w:rsid w:val="00EE2ED3"/>
    <w:rsid w:val="00EE2F3E"/>
    <w:rsid w:val="00EE303B"/>
    <w:rsid w:val="00EE30BD"/>
    <w:rsid w:val="00EE36B6"/>
    <w:rsid w:val="00EE3936"/>
    <w:rsid w:val="00EE3E85"/>
    <w:rsid w:val="00EE3F20"/>
    <w:rsid w:val="00EE432F"/>
    <w:rsid w:val="00EE43AA"/>
    <w:rsid w:val="00EE44C5"/>
    <w:rsid w:val="00EE4554"/>
    <w:rsid w:val="00EE47FF"/>
    <w:rsid w:val="00EE4E6A"/>
    <w:rsid w:val="00EE4EE3"/>
    <w:rsid w:val="00EE5227"/>
    <w:rsid w:val="00EE5283"/>
    <w:rsid w:val="00EE565A"/>
    <w:rsid w:val="00EE5B6D"/>
    <w:rsid w:val="00EE5CE8"/>
    <w:rsid w:val="00EE5D68"/>
    <w:rsid w:val="00EE6057"/>
    <w:rsid w:val="00EE62ED"/>
    <w:rsid w:val="00EE64BB"/>
    <w:rsid w:val="00EE7434"/>
    <w:rsid w:val="00EE76B4"/>
    <w:rsid w:val="00EF00B3"/>
    <w:rsid w:val="00EF015D"/>
    <w:rsid w:val="00EF0171"/>
    <w:rsid w:val="00EF0F1E"/>
    <w:rsid w:val="00EF127C"/>
    <w:rsid w:val="00EF13B7"/>
    <w:rsid w:val="00EF1AF3"/>
    <w:rsid w:val="00EF1B25"/>
    <w:rsid w:val="00EF1BBF"/>
    <w:rsid w:val="00EF1C0E"/>
    <w:rsid w:val="00EF1DA0"/>
    <w:rsid w:val="00EF1DD7"/>
    <w:rsid w:val="00EF276C"/>
    <w:rsid w:val="00EF28A8"/>
    <w:rsid w:val="00EF2B5D"/>
    <w:rsid w:val="00EF3216"/>
    <w:rsid w:val="00EF365B"/>
    <w:rsid w:val="00EF3C98"/>
    <w:rsid w:val="00EF3F52"/>
    <w:rsid w:val="00EF421C"/>
    <w:rsid w:val="00EF43B2"/>
    <w:rsid w:val="00EF45C9"/>
    <w:rsid w:val="00EF469D"/>
    <w:rsid w:val="00EF4747"/>
    <w:rsid w:val="00EF47CD"/>
    <w:rsid w:val="00EF47FE"/>
    <w:rsid w:val="00EF4841"/>
    <w:rsid w:val="00EF4847"/>
    <w:rsid w:val="00EF4BF8"/>
    <w:rsid w:val="00EF4E61"/>
    <w:rsid w:val="00EF4E8A"/>
    <w:rsid w:val="00EF5F33"/>
    <w:rsid w:val="00EF61E4"/>
    <w:rsid w:val="00EF63A4"/>
    <w:rsid w:val="00EF6719"/>
    <w:rsid w:val="00EF6927"/>
    <w:rsid w:val="00EF6B21"/>
    <w:rsid w:val="00EF6D20"/>
    <w:rsid w:val="00EF6F80"/>
    <w:rsid w:val="00EF6FD5"/>
    <w:rsid w:val="00EF705F"/>
    <w:rsid w:val="00EF70DB"/>
    <w:rsid w:val="00EF7E4E"/>
    <w:rsid w:val="00EF7FE2"/>
    <w:rsid w:val="00F00736"/>
    <w:rsid w:val="00F007CF"/>
    <w:rsid w:val="00F008B1"/>
    <w:rsid w:val="00F00952"/>
    <w:rsid w:val="00F00D41"/>
    <w:rsid w:val="00F011B3"/>
    <w:rsid w:val="00F01298"/>
    <w:rsid w:val="00F01679"/>
    <w:rsid w:val="00F017C0"/>
    <w:rsid w:val="00F01C48"/>
    <w:rsid w:val="00F01C97"/>
    <w:rsid w:val="00F02178"/>
    <w:rsid w:val="00F021BE"/>
    <w:rsid w:val="00F02253"/>
    <w:rsid w:val="00F0229B"/>
    <w:rsid w:val="00F023EA"/>
    <w:rsid w:val="00F02600"/>
    <w:rsid w:val="00F0262F"/>
    <w:rsid w:val="00F02AF9"/>
    <w:rsid w:val="00F02BC3"/>
    <w:rsid w:val="00F02BDD"/>
    <w:rsid w:val="00F0316B"/>
    <w:rsid w:val="00F03180"/>
    <w:rsid w:val="00F0328A"/>
    <w:rsid w:val="00F033B3"/>
    <w:rsid w:val="00F03429"/>
    <w:rsid w:val="00F0357A"/>
    <w:rsid w:val="00F03729"/>
    <w:rsid w:val="00F0387C"/>
    <w:rsid w:val="00F0398B"/>
    <w:rsid w:val="00F03C2E"/>
    <w:rsid w:val="00F03C4E"/>
    <w:rsid w:val="00F040D5"/>
    <w:rsid w:val="00F040EA"/>
    <w:rsid w:val="00F04A66"/>
    <w:rsid w:val="00F04B38"/>
    <w:rsid w:val="00F04B4B"/>
    <w:rsid w:val="00F04BF8"/>
    <w:rsid w:val="00F04C0A"/>
    <w:rsid w:val="00F0516C"/>
    <w:rsid w:val="00F05251"/>
    <w:rsid w:val="00F05641"/>
    <w:rsid w:val="00F05E46"/>
    <w:rsid w:val="00F06502"/>
    <w:rsid w:val="00F067A2"/>
    <w:rsid w:val="00F069E3"/>
    <w:rsid w:val="00F06BC4"/>
    <w:rsid w:val="00F06CE6"/>
    <w:rsid w:val="00F06E81"/>
    <w:rsid w:val="00F06EDF"/>
    <w:rsid w:val="00F072A3"/>
    <w:rsid w:val="00F07506"/>
    <w:rsid w:val="00F0785C"/>
    <w:rsid w:val="00F07B9E"/>
    <w:rsid w:val="00F07BD9"/>
    <w:rsid w:val="00F07C4C"/>
    <w:rsid w:val="00F07ED5"/>
    <w:rsid w:val="00F100D2"/>
    <w:rsid w:val="00F1018A"/>
    <w:rsid w:val="00F107C7"/>
    <w:rsid w:val="00F10D3E"/>
    <w:rsid w:val="00F10DEA"/>
    <w:rsid w:val="00F1116F"/>
    <w:rsid w:val="00F118A2"/>
    <w:rsid w:val="00F11BEE"/>
    <w:rsid w:val="00F122B2"/>
    <w:rsid w:val="00F123E0"/>
    <w:rsid w:val="00F124F3"/>
    <w:rsid w:val="00F1263A"/>
    <w:rsid w:val="00F129BE"/>
    <w:rsid w:val="00F12C8A"/>
    <w:rsid w:val="00F12CE2"/>
    <w:rsid w:val="00F12D63"/>
    <w:rsid w:val="00F12DE3"/>
    <w:rsid w:val="00F12FDB"/>
    <w:rsid w:val="00F137DF"/>
    <w:rsid w:val="00F139C5"/>
    <w:rsid w:val="00F13B10"/>
    <w:rsid w:val="00F13BFF"/>
    <w:rsid w:val="00F13F9D"/>
    <w:rsid w:val="00F14134"/>
    <w:rsid w:val="00F1459D"/>
    <w:rsid w:val="00F146D8"/>
    <w:rsid w:val="00F146E4"/>
    <w:rsid w:val="00F1535D"/>
    <w:rsid w:val="00F1547C"/>
    <w:rsid w:val="00F15673"/>
    <w:rsid w:val="00F1581D"/>
    <w:rsid w:val="00F1599E"/>
    <w:rsid w:val="00F159F9"/>
    <w:rsid w:val="00F15B77"/>
    <w:rsid w:val="00F15E5E"/>
    <w:rsid w:val="00F166C6"/>
    <w:rsid w:val="00F167A9"/>
    <w:rsid w:val="00F16E02"/>
    <w:rsid w:val="00F16EC7"/>
    <w:rsid w:val="00F171C6"/>
    <w:rsid w:val="00F17238"/>
    <w:rsid w:val="00F17456"/>
    <w:rsid w:val="00F1799D"/>
    <w:rsid w:val="00F17D29"/>
    <w:rsid w:val="00F17E40"/>
    <w:rsid w:val="00F17ED7"/>
    <w:rsid w:val="00F20345"/>
    <w:rsid w:val="00F20559"/>
    <w:rsid w:val="00F206DE"/>
    <w:rsid w:val="00F20830"/>
    <w:rsid w:val="00F209DD"/>
    <w:rsid w:val="00F20D2E"/>
    <w:rsid w:val="00F210C5"/>
    <w:rsid w:val="00F21236"/>
    <w:rsid w:val="00F213A0"/>
    <w:rsid w:val="00F217F5"/>
    <w:rsid w:val="00F21BB8"/>
    <w:rsid w:val="00F21D4B"/>
    <w:rsid w:val="00F226CB"/>
    <w:rsid w:val="00F22865"/>
    <w:rsid w:val="00F22B10"/>
    <w:rsid w:val="00F22F7F"/>
    <w:rsid w:val="00F232BA"/>
    <w:rsid w:val="00F23533"/>
    <w:rsid w:val="00F236A9"/>
    <w:rsid w:val="00F239DF"/>
    <w:rsid w:val="00F23D2B"/>
    <w:rsid w:val="00F24128"/>
    <w:rsid w:val="00F241AD"/>
    <w:rsid w:val="00F2427E"/>
    <w:rsid w:val="00F24738"/>
    <w:rsid w:val="00F24837"/>
    <w:rsid w:val="00F24A06"/>
    <w:rsid w:val="00F24C9C"/>
    <w:rsid w:val="00F24FB5"/>
    <w:rsid w:val="00F250C0"/>
    <w:rsid w:val="00F2575F"/>
    <w:rsid w:val="00F257F5"/>
    <w:rsid w:val="00F257FB"/>
    <w:rsid w:val="00F262DA"/>
    <w:rsid w:val="00F26527"/>
    <w:rsid w:val="00F267C6"/>
    <w:rsid w:val="00F26C56"/>
    <w:rsid w:val="00F26C89"/>
    <w:rsid w:val="00F271C0"/>
    <w:rsid w:val="00F27406"/>
    <w:rsid w:val="00F274B9"/>
    <w:rsid w:val="00F27565"/>
    <w:rsid w:val="00F276AA"/>
    <w:rsid w:val="00F27D0F"/>
    <w:rsid w:val="00F3004E"/>
    <w:rsid w:val="00F30351"/>
    <w:rsid w:val="00F307D3"/>
    <w:rsid w:val="00F307D6"/>
    <w:rsid w:val="00F3097C"/>
    <w:rsid w:val="00F309AE"/>
    <w:rsid w:val="00F30E55"/>
    <w:rsid w:val="00F310D4"/>
    <w:rsid w:val="00F312ED"/>
    <w:rsid w:val="00F314F2"/>
    <w:rsid w:val="00F31D5A"/>
    <w:rsid w:val="00F31EF7"/>
    <w:rsid w:val="00F32452"/>
    <w:rsid w:val="00F325FB"/>
    <w:rsid w:val="00F32891"/>
    <w:rsid w:val="00F32AFD"/>
    <w:rsid w:val="00F32C29"/>
    <w:rsid w:val="00F33975"/>
    <w:rsid w:val="00F33CC1"/>
    <w:rsid w:val="00F33DE9"/>
    <w:rsid w:val="00F34321"/>
    <w:rsid w:val="00F3438E"/>
    <w:rsid w:val="00F34A5F"/>
    <w:rsid w:val="00F34B8E"/>
    <w:rsid w:val="00F34D93"/>
    <w:rsid w:val="00F34DFC"/>
    <w:rsid w:val="00F350B6"/>
    <w:rsid w:val="00F353D0"/>
    <w:rsid w:val="00F355EE"/>
    <w:rsid w:val="00F3584C"/>
    <w:rsid w:val="00F35955"/>
    <w:rsid w:val="00F35B30"/>
    <w:rsid w:val="00F35C9F"/>
    <w:rsid w:val="00F35E6D"/>
    <w:rsid w:val="00F3619A"/>
    <w:rsid w:val="00F361CC"/>
    <w:rsid w:val="00F36280"/>
    <w:rsid w:val="00F36C26"/>
    <w:rsid w:val="00F36D02"/>
    <w:rsid w:val="00F36DA2"/>
    <w:rsid w:val="00F37753"/>
    <w:rsid w:val="00F37A60"/>
    <w:rsid w:val="00F37B36"/>
    <w:rsid w:val="00F4052F"/>
    <w:rsid w:val="00F40786"/>
    <w:rsid w:val="00F40AAA"/>
    <w:rsid w:val="00F40BA7"/>
    <w:rsid w:val="00F40F9D"/>
    <w:rsid w:val="00F4153A"/>
    <w:rsid w:val="00F415DC"/>
    <w:rsid w:val="00F41ACD"/>
    <w:rsid w:val="00F41BF5"/>
    <w:rsid w:val="00F41C8B"/>
    <w:rsid w:val="00F41D1E"/>
    <w:rsid w:val="00F422B7"/>
    <w:rsid w:val="00F423FD"/>
    <w:rsid w:val="00F42597"/>
    <w:rsid w:val="00F42805"/>
    <w:rsid w:val="00F428BE"/>
    <w:rsid w:val="00F42A6B"/>
    <w:rsid w:val="00F42A94"/>
    <w:rsid w:val="00F42BF3"/>
    <w:rsid w:val="00F42E91"/>
    <w:rsid w:val="00F42EFA"/>
    <w:rsid w:val="00F42F0B"/>
    <w:rsid w:val="00F43136"/>
    <w:rsid w:val="00F43369"/>
    <w:rsid w:val="00F437B8"/>
    <w:rsid w:val="00F437BC"/>
    <w:rsid w:val="00F43D7D"/>
    <w:rsid w:val="00F43D9C"/>
    <w:rsid w:val="00F43E97"/>
    <w:rsid w:val="00F45098"/>
    <w:rsid w:val="00F4556C"/>
    <w:rsid w:val="00F45F9B"/>
    <w:rsid w:val="00F46A9E"/>
    <w:rsid w:val="00F46BEB"/>
    <w:rsid w:val="00F46CB6"/>
    <w:rsid w:val="00F46FE3"/>
    <w:rsid w:val="00F46FEB"/>
    <w:rsid w:val="00F470DE"/>
    <w:rsid w:val="00F471C0"/>
    <w:rsid w:val="00F4756D"/>
    <w:rsid w:val="00F4798A"/>
    <w:rsid w:val="00F47C7C"/>
    <w:rsid w:val="00F47CDB"/>
    <w:rsid w:val="00F47D7F"/>
    <w:rsid w:val="00F47DE8"/>
    <w:rsid w:val="00F5047D"/>
    <w:rsid w:val="00F504BE"/>
    <w:rsid w:val="00F505FB"/>
    <w:rsid w:val="00F506E5"/>
    <w:rsid w:val="00F50803"/>
    <w:rsid w:val="00F50B23"/>
    <w:rsid w:val="00F50D37"/>
    <w:rsid w:val="00F50ECD"/>
    <w:rsid w:val="00F510E2"/>
    <w:rsid w:val="00F514F2"/>
    <w:rsid w:val="00F51523"/>
    <w:rsid w:val="00F5161F"/>
    <w:rsid w:val="00F51657"/>
    <w:rsid w:val="00F51730"/>
    <w:rsid w:val="00F517FE"/>
    <w:rsid w:val="00F519D4"/>
    <w:rsid w:val="00F519FC"/>
    <w:rsid w:val="00F51AA5"/>
    <w:rsid w:val="00F51E52"/>
    <w:rsid w:val="00F520AF"/>
    <w:rsid w:val="00F52142"/>
    <w:rsid w:val="00F52220"/>
    <w:rsid w:val="00F5257D"/>
    <w:rsid w:val="00F52AD0"/>
    <w:rsid w:val="00F52BC8"/>
    <w:rsid w:val="00F52F6A"/>
    <w:rsid w:val="00F530B3"/>
    <w:rsid w:val="00F531D0"/>
    <w:rsid w:val="00F533A3"/>
    <w:rsid w:val="00F535EB"/>
    <w:rsid w:val="00F53696"/>
    <w:rsid w:val="00F53859"/>
    <w:rsid w:val="00F542C1"/>
    <w:rsid w:val="00F542D2"/>
    <w:rsid w:val="00F54368"/>
    <w:rsid w:val="00F543EE"/>
    <w:rsid w:val="00F5447A"/>
    <w:rsid w:val="00F546A5"/>
    <w:rsid w:val="00F54765"/>
    <w:rsid w:val="00F548C9"/>
    <w:rsid w:val="00F54B6A"/>
    <w:rsid w:val="00F54B6C"/>
    <w:rsid w:val="00F54C3D"/>
    <w:rsid w:val="00F54D5E"/>
    <w:rsid w:val="00F54F02"/>
    <w:rsid w:val="00F550BE"/>
    <w:rsid w:val="00F550E3"/>
    <w:rsid w:val="00F55195"/>
    <w:rsid w:val="00F5523B"/>
    <w:rsid w:val="00F559C7"/>
    <w:rsid w:val="00F55A0E"/>
    <w:rsid w:val="00F55DF4"/>
    <w:rsid w:val="00F55E73"/>
    <w:rsid w:val="00F55EDA"/>
    <w:rsid w:val="00F56105"/>
    <w:rsid w:val="00F5634D"/>
    <w:rsid w:val="00F56733"/>
    <w:rsid w:val="00F5691D"/>
    <w:rsid w:val="00F56A08"/>
    <w:rsid w:val="00F56A6B"/>
    <w:rsid w:val="00F56C80"/>
    <w:rsid w:val="00F56E96"/>
    <w:rsid w:val="00F56EE4"/>
    <w:rsid w:val="00F573AD"/>
    <w:rsid w:val="00F57535"/>
    <w:rsid w:val="00F5769E"/>
    <w:rsid w:val="00F57B41"/>
    <w:rsid w:val="00F57EF5"/>
    <w:rsid w:val="00F60092"/>
    <w:rsid w:val="00F60663"/>
    <w:rsid w:val="00F608A7"/>
    <w:rsid w:val="00F60E9D"/>
    <w:rsid w:val="00F60F56"/>
    <w:rsid w:val="00F61006"/>
    <w:rsid w:val="00F6113D"/>
    <w:rsid w:val="00F61363"/>
    <w:rsid w:val="00F616CB"/>
    <w:rsid w:val="00F617AA"/>
    <w:rsid w:val="00F61BFD"/>
    <w:rsid w:val="00F61C18"/>
    <w:rsid w:val="00F61EB1"/>
    <w:rsid w:val="00F61F26"/>
    <w:rsid w:val="00F6217C"/>
    <w:rsid w:val="00F621B5"/>
    <w:rsid w:val="00F622E5"/>
    <w:rsid w:val="00F62572"/>
    <w:rsid w:val="00F62AF9"/>
    <w:rsid w:val="00F62BBC"/>
    <w:rsid w:val="00F62C9C"/>
    <w:rsid w:val="00F62F17"/>
    <w:rsid w:val="00F6349F"/>
    <w:rsid w:val="00F6392F"/>
    <w:rsid w:val="00F63AA5"/>
    <w:rsid w:val="00F63AFC"/>
    <w:rsid w:val="00F63BB4"/>
    <w:rsid w:val="00F64089"/>
    <w:rsid w:val="00F6429E"/>
    <w:rsid w:val="00F6436D"/>
    <w:rsid w:val="00F6441B"/>
    <w:rsid w:val="00F64A7C"/>
    <w:rsid w:val="00F64D59"/>
    <w:rsid w:val="00F65170"/>
    <w:rsid w:val="00F6548A"/>
    <w:rsid w:val="00F654A0"/>
    <w:rsid w:val="00F65503"/>
    <w:rsid w:val="00F65800"/>
    <w:rsid w:val="00F65926"/>
    <w:rsid w:val="00F65DCE"/>
    <w:rsid w:val="00F65EB7"/>
    <w:rsid w:val="00F65F4B"/>
    <w:rsid w:val="00F661BE"/>
    <w:rsid w:val="00F66224"/>
    <w:rsid w:val="00F6636D"/>
    <w:rsid w:val="00F665BB"/>
    <w:rsid w:val="00F66EFE"/>
    <w:rsid w:val="00F67000"/>
    <w:rsid w:val="00F67040"/>
    <w:rsid w:val="00F6704E"/>
    <w:rsid w:val="00F67163"/>
    <w:rsid w:val="00F673C8"/>
    <w:rsid w:val="00F67606"/>
    <w:rsid w:val="00F67A69"/>
    <w:rsid w:val="00F67FA1"/>
    <w:rsid w:val="00F7049C"/>
    <w:rsid w:val="00F705EB"/>
    <w:rsid w:val="00F70701"/>
    <w:rsid w:val="00F709E1"/>
    <w:rsid w:val="00F70BFF"/>
    <w:rsid w:val="00F70C9D"/>
    <w:rsid w:val="00F70D09"/>
    <w:rsid w:val="00F70F14"/>
    <w:rsid w:val="00F7143D"/>
    <w:rsid w:val="00F71861"/>
    <w:rsid w:val="00F722CC"/>
    <w:rsid w:val="00F727A5"/>
    <w:rsid w:val="00F7298D"/>
    <w:rsid w:val="00F72A40"/>
    <w:rsid w:val="00F72A9E"/>
    <w:rsid w:val="00F72B58"/>
    <w:rsid w:val="00F7311E"/>
    <w:rsid w:val="00F7316A"/>
    <w:rsid w:val="00F73525"/>
    <w:rsid w:val="00F73637"/>
    <w:rsid w:val="00F736C7"/>
    <w:rsid w:val="00F73C3E"/>
    <w:rsid w:val="00F73E08"/>
    <w:rsid w:val="00F73E9A"/>
    <w:rsid w:val="00F74125"/>
    <w:rsid w:val="00F74179"/>
    <w:rsid w:val="00F745DF"/>
    <w:rsid w:val="00F7469C"/>
    <w:rsid w:val="00F74703"/>
    <w:rsid w:val="00F74CD9"/>
    <w:rsid w:val="00F74D9B"/>
    <w:rsid w:val="00F74EBD"/>
    <w:rsid w:val="00F74F1A"/>
    <w:rsid w:val="00F7557C"/>
    <w:rsid w:val="00F7564E"/>
    <w:rsid w:val="00F75B45"/>
    <w:rsid w:val="00F75CF2"/>
    <w:rsid w:val="00F75E14"/>
    <w:rsid w:val="00F765D9"/>
    <w:rsid w:val="00F767E5"/>
    <w:rsid w:val="00F76961"/>
    <w:rsid w:val="00F769CC"/>
    <w:rsid w:val="00F76A3D"/>
    <w:rsid w:val="00F76ADC"/>
    <w:rsid w:val="00F770EA"/>
    <w:rsid w:val="00F775DC"/>
    <w:rsid w:val="00F77917"/>
    <w:rsid w:val="00F77A24"/>
    <w:rsid w:val="00F77C93"/>
    <w:rsid w:val="00F80134"/>
    <w:rsid w:val="00F80277"/>
    <w:rsid w:val="00F803E3"/>
    <w:rsid w:val="00F804BF"/>
    <w:rsid w:val="00F806DB"/>
    <w:rsid w:val="00F80A7B"/>
    <w:rsid w:val="00F80C1E"/>
    <w:rsid w:val="00F80C45"/>
    <w:rsid w:val="00F80E5D"/>
    <w:rsid w:val="00F81CB4"/>
    <w:rsid w:val="00F81E78"/>
    <w:rsid w:val="00F81F5D"/>
    <w:rsid w:val="00F82473"/>
    <w:rsid w:val="00F82E7A"/>
    <w:rsid w:val="00F82F85"/>
    <w:rsid w:val="00F83265"/>
    <w:rsid w:val="00F83351"/>
    <w:rsid w:val="00F833C3"/>
    <w:rsid w:val="00F83916"/>
    <w:rsid w:val="00F8396E"/>
    <w:rsid w:val="00F842F6"/>
    <w:rsid w:val="00F8463F"/>
    <w:rsid w:val="00F84A5F"/>
    <w:rsid w:val="00F84C0C"/>
    <w:rsid w:val="00F84C9E"/>
    <w:rsid w:val="00F84DAB"/>
    <w:rsid w:val="00F84E3D"/>
    <w:rsid w:val="00F84E73"/>
    <w:rsid w:val="00F84FD8"/>
    <w:rsid w:val="00F851CE"/>
    <w:rsid w:val="00F8534C"/>
    <w:rsid w:val="00F85454"/>
    <w:rsid w:val="00F8577C"/>
    <w:rsid w:val="00F8594D"/>
    <w:rsid w:val="00F85A1A"/>
    <w:rsid w:val="00F85AC7"/>
    <w:rsid w:val="00F85F25"/>
    <w:rsid w:val="00F86066"/>
    <w:rsid w:val="00F8652E"/>
    <w:rsid w:val="00F86ACE"/>
    <w:rsid w:val="00F86F5E"/>
    <w:rsid w:val="00F87402"/>
    <w:rsid w:val="00F87BE2"/>
    <w:rsid w:val="00F87D8C"/>
    <w:rsid w:val="00F901A4"/>
    <w:rsid w:val="00F90253"/>
    <w:rsid w:val="00F9029B"/>
    <w:rsid w:val="00F904C0"/>
    <w:rsid w:val="00F90A91"/>
    <w:rsid w:val="00F90C3E"/>
    <w:rsid w:val="00F910B8"/>
    <w:rsid w:val="00F91160"/>
    <w:rsid w:val="00F91219"/>
    <w:rsid w:val="00F91523"/>
    <w:rsid w:val="00F916C9"/>
    <w:rsid w:val="00F91976"/>
    <w:rsid w:val="00F91A20"/>
    <w:rsid w:val="00F91B4E"/>
    <w:rsid w:val="00F91E1C"/>
    <w:rsid w:val="00F92444"/>
    <w:rsid w:val="00F92937"/>
    <w:rsid w:val="00F92A19"/>
    <w:rsid w:val="00F92E5B"/>
    <w:rsid w:val="00F93218"/>
    <w:rsid w:val="00F93450"/>
    <w:rsid w:val="00F9386C"/>
    <w:rsid w:val="00F9393E"/>
    <w:rsid w:val="00F93B0D"/>
    <w:rsid w:val="00F94074"/>
    <w:rsid w:val="00F940BE"/>
    <w:rsid w:val="00F946B6"/>
    <w:rsid w:val="00F9477A"/>
    <w:rsid w:val="00F947EB"/>
    <w:rsid w:val="00F94E7E"/>
    <w:rsid w:val="00F951C0"/>
    <w:rsid w:val="00F95286"/>
    <w:rsid w:val="00F955CA"/>
    <w:rsid w:val="00F95BB4"/>
    <w:rsid w:val="00F95FA4"/>
    <w:rsid w:val="00F9623D"/>
    <w:rsid w:val="00F96B32"/>
    <w:rsid w:val="00F96FD0"/>
    <w:rsid w:val="00F9715B"/>
    <w:rsid w:val="00F97409"/>
    <w:rsid w:val="00F97A78"/>
    <w:rsid w:val="00FA016B"/>
    <w:rsid w:val="00FA01FC"/>
    <w:rsid w:val="00FA094F"/>
    <w:rsid w:val="00FA0B20"/>
    <w:rsid w:val="00FA0CAD"/>
    <w:rsid w:val="00FA1283"/>
    <w:rsid w:val="00FA1349"/>
    <w:rsid w:val="00FA157C"/>
    <w:rsid w:val="00FA166D"/>
    <w:rsid w:val="00FA1ED5"/>
    <w:rsid w:val="00FA1EDC"/>
    <w:rsid w:val="00FA24E7"/>
    <w:rsid w:val="00FA2774"/>
    <w:rsid w:val="00FA2B94"/>
    <w:rsid w:val="00FA30A8"/>
    <w:rsid w:val="00FA30B1"/>
    <w:rsid w:val="00FA30B3"/>
    <w:rsid w:val="00FA3336"/>
    <w:rsid w:val="00FA3773"/>
    <w:rsid w:val="00FA411C"/>
    <w:rsid w:val="00FA4346"/>
    <w:rsid w:val="00FA439C"/>
    <w:rsid w:val="00FA4613"/>
    <w:rsid w:val="00FA474C"/>
    <w:rsid w:val="00FA4D61"/>
    <w:rsid w:val="00FA51A1"/>
    <w:rsid w:val="00FA54BF"/>
    <w:rsid w:val="00FA5EE6"/>
    <w:rsid w:val="00FA7523"/>
    <w:rsid w:val="00FA7956"/>
    <w:rsid w:val="00FB00D1"/>
    <w:rsid w:val="00FB0284"/>
    <w:rsid w:val="00FB0306"/>
    <w:rsid w:val="00FB0661"/>
    <w:rsid w:val="00FB0824"/>
    <w:rsid w:val="00FB08BE"/>
    <w:rsid w:val="00FB0CE8"/>
    <w:rsid w:val="00FB0DF4"/>
    <w:rsid w:val="00FB1135"/>
    <w:rsid w:val="00FB1146"/>
    <w:rsid w:val="00FB135F"/>
    <w:rsid w:val="00FB1401"/>
    <w:rsid w:val="00FB171B"/>
    <w:rsid w:val="00FB18E5"/>
    <w:rsid w:val="00FB1935"/>
    <w:rsid w:val="00FB1F4A"/>
    <w:rsid w:val="00FB2126"/>
    <w:rsid w:val="00FB233E"/>
    <w:rsid w:val="00FB2746"/>
    <w:rsid w:val="00FB2FCB"/>
    <w:rsid w:val="00FB34A0"/>
    <w:rsid w:val="00FB3533"/>
    <w:rsid w:val="00FB3598"/>
    <w:rsid w:val="00FB36B7"/>
    <w:rsid w:val="00FB36C9"/>
    <w:rsid w:val="00FB385E"/>
    <w:rsid w:val="00FB3BFF"/>
    <w:rsid w:val="00FB3EE3"/>
    <w:rsid w:val="00FB4302"/>
    <w:rsid w:val="00FB443C"/>
    <w:rsid w:val="00FB4686"/>
    <w:rsid w:val="00FB4B39"/>
    <w:rsid w:val="00FB4C9C"/>
    <w:rsid w:val="00FB4D70"/>
    <w:rsid w:val="00FB4EC4"/>
    <w:rsid w:val="00FB52A0"/>
    <w:rsid w:val="00FB5604"/>
    <w:rsid w:val="00FB5795"/>
    <w:rsid w:val="00FB594D"/>
    <w:rsid w:val="00FB59F3"/>
    <w:rsid w:val="00FB5A7C"/>
    <w:rsid w:val="00FB5D6C"/>
    <w:rsid w:val="00FB5EDC"/>
    <w:rsid w:val="00FB67F8"/>
    <w:rsid w:val="00FB67FA"/>
    <w:rsid w:val="00FB6828"/>
    <w:rsid w:val="00FB69EC"/>
    <w:rsid w:val="00FB6D6E"/>
    <w:rsid w:val="00FB7345"/>
    <w:rsid w:val="00FB7623"/>
    <w:rsid w:val="00FB78EA"/>
    <w:rsid w:val="00FB798E"/>
    <w:rsid w:val="00FB7BA7"/>
    <w:rsid w:val="00FB7C55"/>
    <w:rsid w:val="00FB7FEC"/>
    <w:rsid w:val="00FC08CF"/>
    <w:rsid w:val="00FC08F0"/>
    <w:rsid w:val="00FC094C"/>
    <w:rsid w:val="00FC0C13"/>
    <w:rsid w:val="00FC0EEB"/>
    <w:rsid w:val="00FC1074"/>
    <w:rsid w:val="00FC11A2"/>
    <w:rsid w:val="00FC11E2"/>
    <w:rsid w:val="00FC12C5"/>
    <w:rsid w:val="00FC1884"/>
    <w:rsid w:val="00FC19F1"/>
    <w:rsid w:val="00FC1A27"/>
    <w:rsid w:val="00FC1BA7"/>
    <w:rsid w:val="00FC1E29"/>
    <w:rsid w:val="00FC213F"/>
    <w:rsid w:val="00FC246C"/>
    <w:rsid w:val="00FC288E"/>
    <w:rsid w:val="00FC2E0B"/>
    <w:rsid w:val="00FC2E56"/>
    <w:rsid w:val="00FC3440"/>
    <w:rsid w:val="00FC3608"/>
    <w:rsid w:val="00FC3695"/>
    <w:rsid w:val="00FC371D"/>
    <w:rsid w:val="00FC38C1"/>
    <w:rsid w:val="00FC3BCE"/>
    <w:rsid w:val="00FC3EC6"/>
    <w:rsid w:val="00FC44D9"/>
    <w:rsid w:val="00FC4C69"/>
    <w:rsid w:val="00FC4F12"/>
    <w:rsid w:val="00FC5281"/>
    <w:rsid w:val="00FC5730"/>
    <w:rsid w:val="00FC5783"/>
    <w:rsid w:val="00FC59F3"/>
    <w:rsid w:val="00FC5A98"/>
    <w:rsid w:val="00FC5F0B"/>
    <w:rsid w:val="00FC5F5A"/>
    <w:rsid w:val="00FC5FA1"/>
    <w:rsid w:val="00FC600C"/>
    <w:rsid w:val="00FC62B9"/>
    <w:rsid w:val="00FC6403"/>
    <w:rsid w:val="00FC6B16"/>
    <w:rsid w:val="00FC6C3D"/>
    <w:rsid w:val="00FC6EF8"/>
    <w:rsid w:val="00FC7172"/>
    <w:rsid w:val="00FC7332"/>
    <w:rsid w:val="00FC7A3D"/>
    <w:rsid w:val="00FC7B62"/>
    <w:rsid w:val="00FC7CE5"/>
    <w:rsid w:val="00FC7D4E"/>
    <w:rsid w:val="00FD05F8"/>
    <w:rsid w:val="00FD0641"/>
    <w:rsid w:val="00FD0695"/>
    <w:rsid w:val="00FD0D77"/>
    <w:rsid w:val="00FD10B7"/>
    <w:rsid w:val="00FD1428"/>
    <w:rsid w:val="00FD1BC3"/>
    <w:rsid w:val="00FD1EE8"/>
    <w:rsid w:val="00FD2100"/>
    <w:rsid w:val="00FD22F0"/>
    <w:rsid w:val="00FD23BD"/>
    <w:rsid w:val="00FD244A"/>
    <w:rsid w:val="00FD2932"/>
    <w:rsid w:val="00FD2AF8"/>
    <w:rsid w:val="00FD2D48"/>
    <w:rsid w:val="00FD2D72"/>
    <w:rsid w:val="00FD2D94"/>
    <w:rsid w:val="00FD3A84"/>
    <w:rsid w:val="00FD3B90"/>
    <w:rsid w:val="00FD436C"/>
    <w:rsid w:val="00FD446D"/>
    <w:rsid w:val="00FD4C13"/>
    <w:rsid w:val="00FD4E55"/>
    <w:rsid w:val="00FD4F2C"/>
    <w:rsid w:val="00FD51C3"/>
    <w:rsid w:val="00FD5B55"/>
    <w:rsid w:val="00FD5B56"/>
    <w:rsid w:val="00FD5BE7"/>
    <w:rsid w:val="00FD5C62"/>
    <w:rsid w:val="00FD6394"/>
    <w:rsid w:val="00FD675E"/>
    <w:rsid w:val="00FD6B3F"/>
    <w:rsid w:val="00FD6CC2"/>
    <w:rsid w:val="00FD7186"/>
    <w:rsid w:val="00FD7218"/>
    <w:rsid w:val="00FD7846"/>
    <w:rsid w:val="00FD7854"/>
    <w:rsid w:val="00FD7882"/>
    <w:rsid w:val="00FE013F"/>
    <w:rsid w:val="00FE05B9"/>
    <w:rsid w:val="00FE0763"/>
    <w:rsid w:val="00FE08B3"/>
    <w:rsid w:val="00FE0BC9"/>
    <w:rsid w:val="00FE0C1E"/>
    <w:rsid w:val="00FE0E6C"/>
    <w:rsid w:val="00FE0F28"/>
    <w:rsid w:val="00FE114E"/>
    <w:rsid w:val="00FE16AF"/>
    <w:rsid w:val="00FE1CDC"/>
    <w:rsid w:val="00FE1F6E"/>
    <w:rsid w:val="00FE22CC"/>
    <w:rsid w:val="00FE24C5"/>
    <w:rsid w:val="00FE2D0D"/>
    <w:rsid w:val="00FE2EA9"/>
    <w:rsid w:val="00FE35FD"/>
    <w:rsid w:val="00FE3F63"/>
    <w:rsid w:val="00FE41F1"/>
    <w:rsid w:val="00FE43E4"/>
    <w:rsid w:val="00FE4412"/>
    <w:rsid w:val="00FE464E"/>
    <w:rsid w:val="00FE465F"/>
    <w:rsid w:val="00FE4B89"/>
    <w:rsid w:val="00FE4DF0"/>
    <w:rsid w:val="00FE4E62"/>
    <w:rsid w:val="00FE5BA7"/>
    <w:rsid w:val="00FE5DE9"/>
    <w:rsid w:val="00FE5DF1"/>
    <w:rsid w:val="00FE70C3"/>
    <w:rsid w:val="00FE75D1"/>
    <w:rsid w:val="00FE79C8"/>
    <w:rsid w:val="00FE7FB8"/>
    <w:rsid w:val="00FF068F"/>
    <w:rsid w:val="00FF06A1"/>
    <w:rsid w:val="00FF07C7"/>
    <w:rsid w:val="00FF098E"/>
    <w:rsid w:val="00FF0B6D"/>
    <w:rsid w:val="00FF0C72"/>
    <w:rsid w:val="00FF117B"/>
    <w:rsid w:val="00FF145A"/>
    <w:rsid w:val="00FF14B0"/>
    <w:rsid w:val="00FF1586"/>
    <w:rsid w:val="00FF1A8B"/>
    <w:rsid w:val="00FF1E7C"/>
    <w:rsid w:val="00FF1EAE"/>
    <w:rsid w:val="00FF21D3"/>
    <w:rsid w:val="00FF2220"/>
    <w:rsid w:val="00FF233B"/>
    <w:rsid w:val="00FF25A8"/>
    <w:rsid w:val="00FF2867"/>
    <w:rsid w:val="00FF2A7F"/>
    <w:rsid w:val="00FF2AD9"/>
    <w:rsid w:val="00FF2E7B"/>
    <w:rsid w:val="00FF31CB"/>
    <w:rsid w:val="00FF328A"/>
    <w:rsid w:val="00FF3381"/>
    <w:rsid w:val="00FF344C"/>
    <w:rsid w:val="00FF34DF"/>
    <w:rsid w:val="00FF359F"/>
    <w:rsid w:val="00FF3634"/>
    <w:rsid w:val="00FF3A7F"/>
    <w:rsid w:val="00FF3B03"/>
    <w:rsid w:val="00FF3C8C"/>
    <w:rsid w:val="00FF3D2A"/>
    <w:rsid w:val="00FF3DCF"/>
    <w:rsid w:val="00FF4186"/>
    <w:rsid w:val="00FF4270"/>
    <w:rsid w:val="00FF4442"/>
    <w:rsid w:val="00FF48F8"/>
    <w:rsid w:val="00FF492C"/>
    <w:rsid w:val="00FF4A21"/>
    <w:rsid w:val="00FF5AA3"/>
    <w:rsid w:val="00FF5AB7"/>
    <w:rsid w:val="00FF5AD8"/>
    <w:rsid w:val="00FF5CD9"/>
    <w:rsid w:val="00FF5DFE"/>
    <w:rsid w:val="00FF5E17"/>
    <w:rsid w:val="00FF5F28"/>
    <w:rsid w:val="00FF611B"/>
    <w:rsid w:val="00FF6625"/>
    <w:rsid w:val="00FF6651"/>
    <w:rsid w:val="00FF70FD"/>
    <w:rsid w:val="00FF734C"/>
    <w:rsid w:val="00FF761F"/>
    <w:rsid w:val="00FF76E0"/>
    <w:rsid w:val="00FF7764"/>
    <w:rsid w:val="00FF7827"/>
    <w:rsid w:val="00FF7BE1"/>
    <w:rsid w:val="00FF7D5F"/>
    <w:rsid w:val="00FF7D6F"/>
    <w:rsid w:val="00FF7D70"/>
    <w:rsid w:val="00FF7E59"/>
    <w:rsid w:val="0158A83F"/>
    <w:rsid w:val="113F73C9"/>
    <w:rsid w:val="16792642"/>
    <w:rsid w:val="20BE5903"/>
    <w:rsid w:val="3421423B"/>
    <w:rsid w:val="3C0CA818"/>
    <w:rsid w:val="44206108"/>
    <w:rsid w:val="48E6F35D"/>
    <w:rsid w:val="66788853"/>
    <w:rsid w:val="748C18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63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rsid w:val="00B94414"/>
    <w:rPr>
      <w:rFonts w:asciiTheme="minorHAnsi" w:hAnsiTheme="minorHAnsi" w:cs="Arial"/>
      <w:i/>
      <w:iCs/>
      <w:color w:val="808080"/>
      <w:sz w:val="24"/>
      <w:szCs w:val="24"/>
    </w:rPr>
  </w:style>
  <w:style w:type="table" w:styleId="TableGrid">
    <w:name w:val="Table Grid"/>
    <w:aliases w:val="Summary box,Table Gridbeth,CMA Table Template,ASD Table,RTI AMCP Table,new style,Conclusion box,Table Grid nm,PBAC table,HTAtableplain,MSD Table Grid,Header Table,NICE instructions,Source table_,HealthConsult,Dossier table,Summary Table,统计型"/>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4C3B02"/>
    <w:pPr>
      <w:keepNext/>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4C3B02"/>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5"/>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5E26A8"/>
    <w:pPr>
      <w:keepNext/>
      <w:spacing w:before="120" w:after="120"/>
    </w:pPr>
    <w:rPr>
      <w:rFonts w:asciiTheme="minorHAnsi" w:eastAsiaTheme="majorEastAsia" w:hAnsiTheme="minorHAnsi" w:cstheme="majorBidi"/>
      <w:color w:val="000000" w:themeColor="text1"/>
      <w:spacing w:val="5"/>
      <w:kern w:val="28"/>
      <w:szCs w:val="36"/>
    </w:rPr>
  </w:style>
  <w:style w:type="character" w:customStyle="1" w:styleId="COMESSubsectionheadingChar">
    <w:name w:val="COM ES Subsection heading Char"/>
    <w:basedOn w:val="Heading2Char"/>
    <w:link w:val="COMESSubsectionheading"/>
    <w:rsid w:val="005E26A8"/>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DB38FF"/>
  </w:style>
  <w:style w:type="character" w:customStyle="1" w:styleId="COMESbulletlistChar">
    <w:name w:val="COM ES bullet list Char"/>
    <w:basedOn w:val="DefaultParagraphFont"/>
    <w:link w:val="COMESbulletlist"/>
    <w:rsid w:val="00DB38FF"/>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7"/>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paragraph" w:styleId="Footer">
    <w:name w:val="footer"/>
    <w:basedOn w:val="Normal"/>
    <w:link w:val="FooterChar"/>
    <w:uiPriority w:val="99"/>
    <w:unhideWhenUsed/>
    <w:rsid w:val="00506124"/>
    <w:pPr>
      <w:tabs>
        <w:tab w:val="center" w:pos="4513"/>
        <w:tab w:val="right" w:pos="9026"/>
      </w:tabs>
    </w:pPr>
  </w:style>
  <w:style w:type="character" w:customStyle="1" w:styleId="FooterChar">
    <w:name w:val="Footer Char"/>
    <w:basedOn w:val="DefaultParagraphFont"/>
    <w:link w:val="Footer"/>
    <w:uiPriority w:val="99"/>
    <w:rsid w:val="00506124"/>
    <w:rPr>
      <w:rFonts w:ascii="Calibri" w:hAnsi="Calibri" w:cs="Arial"/>
      <w:sz w:val="24"/>
      <w:szCs w:val="24"/>
    </w:rPr>
  </w:style>
  <w:style w:type="paragraph" w:customStyle="1" w:styleId="COMH3">
    <w:name w:val="COM H3"/>
    <w:basedOn w:val="Normal"/>
    <w:next w:val="Normal"/>
    <w:link w:val="COMH3Char"/>
    <w:qFormat/>
    <w:rsid w:val="00B863A0"/>
    <w:pPr>
      <w:keepNext/>
      <w:spacing w:after="120"/>
    </w:pPr>
    <w:rPr>
      <w:b/>
      <w:iCs/>
      <w:sz w:val="28"/>
    </w:rPr>
  </w:style>
  <w:style w:type="character" w:customStyle="1" w:styleId="COMH3Char">
    <w:name w:val="COM H3 Char"/>
    <w:basedOn w:val="DefaultParagraphFont"/>
    <w:link w:val="COMH3"/>
    <w:rsid w:val="00B863A0"/>
    <w:rPr>
      <w:rFonts w:ascii="Calibri" w:hAnsi="Calibri" w:cs="Arial"/>
      <w:b/>
      <w:iCs/>
      <w:sz w:val="28"/>
      <w:szCs w:val="24"/>
    </w:rPr>
  </w:style>
  <w:style w:type="character" w:styleId="CommentReference">
    <w:name w:val="annotation reference"/>
    <w:aliases w:val="Table Title"/>
    <w:basedOn w:val="DefaultParagraphFont"/>
    <w:uiPriority w:val="99"/>
    <w:unhideWhenUsed/>
    <w:qFormat/>
    <w:rsid w:val="0091060B"/>
    <w:rPr>
      <w:sz w:val="16"/>
      <w:szCs w:val="16"/>
    </w:rPr>
  </w:style>
  <w:style w:type="paragraph" w:styleId="CommentText">
    <w:name w:val="annotation text"/>
    <w:basedOn w:val="Normal"/>
    <w:link w:val="CommentTextChar"/>
    <w:unhideWhenUsed/>
    <w:qFormat/>
    <w:rsid w:val="0091060B"/>
    <w:rPr>
      <w:sz w:val="20"/>
      <w:szCs w:val="20"/>
    </w:rPr>
  </w:style>
  <w:style w:type="character" w:customStyle="1" w:styleId="CommentTextChar">
    <w:name w:val="Comment Text Char"/>
    <w:basedOn w:val="DefaultParagraphFont"/>
    <w:link w:val="CommentText"/>
    <w:rsid w:val="0091060B"/>
    <w:rPr>
      <w:rFonts w:ascii="Calibri" w:hAnsi="Calibri" w:cs="Arial"/>
    </w:rPr>
  </w:style>
  <w:style w:type="paragraph" w:styleId="CommentSubject">
    <w:name w:val="annotation subject"/>
    <w:basedOn w:val="CommentText"/>
    <w:next w:val="CommentText"/>
    <w:link w:val="CommentSubjectChar"/>
    <w:semiHidden/>
    <w:unhideWhenUsed/>
    <w:rsid w:val="0091060B"/>
    <w:rPr>
      <w:b/>
      <w:bCs/>
    </w:rPr>
  </w:style>
  <w:style w:type="character" w:customStyle="1" w:styleId="CommentSubjectChar">
    <w:name w:val="Comment Subject Char"/>
    <w:basedOn w:val="CommentTextChar"/>
    <w:link w:val="CommentSubject"/>
    <w:semiHidden/>
    <w:rsid w:val="0091060B"/>
    <w:rPr>
      <w:rFonts w:ascii="Calibri" w:hAnsi="Calibri" w:cs="Arial"/>
      <w:b/>
      <w:bCs/>
    </w:rPr>
  </w:style>
  <w:style w:type="paragraph" w:customStyle="1" w:styleId="TableText">
    <w:name w:val="Table Text"/>
    <w:link w:val="TableTextChar"/>
    <w:qFormat/>
    <w:rsid w:val="00B16D8C"/>
    <w:pPr>
      <w:keepNext/>
      <w:keepLines/>
      <w:widowControl w:val="0"/>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B16D8C"/>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B16D8C"/>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B16D8C"/>
    <w:rPr>
      <w:rFonts w:ascii="Arial Narrow" w:eastAsiaTheme="majorEastAsia" w:hAnsi="Arial Narrow" w:cstheme="majorBidi"/>
      <w:b/>
      <w:bCs/>
      <w:szCs w:val="24"/>
    </w:rPr>
  </w:style>
  <w:style w:type="paragraph" w:styleId="Caption">
    <w:name w:val="caption"/>
    <w:basedOn w:val="Normal"/>
    <w:next w:val="Normal"/>
    <w:semiHidden/>
    <w:unhideWhenUsed/>
    <w:rsid w:val="00AC353C"/>
    <w:pPr>
      <w:spacing w:after="200"/>
    </w:pPr>
    <w:rPr>
      <w:i/>
      <w:iCs/>
      <w:color w:val="1F497D" w:themeColor="text2"/>
      <w:sz w:val="18"/>
      <w:szCs w:val="18"/>
    </w:rPr>
  </w:style>
  <w:style w:type="paragraph" w:styleId="FootnoteText">
    <w:name w:val="footnote text"/>
    <w:basedOn w:val="Normal"/>
    <w:link w:val="FootnoteTextChar"/>
    <w:semiHidden/>
    <w:unhideWhenUsed/>
    <w:rsid w:val="00037B0A"/>
    <w:rPr>
      <w:sz w:val="20"/>
      <w:szCs w:val="20"/>
    </w:rPr>
  </w:style>
  <w:style w:type="character" w:customStyle="1" w:styleId="FootnoteTextChar">
    <w:name w:val="Footnote Text Char"/>
    <w:basedOn w:val="DefaultParagraphFont"/>
    <w:link w:val="FootnoteText"/>
    <w:semiHidden/>
    <w:rsid w:val="00037B0A"/>
    <w:rPr>
      <w:rFonts w:ascii="Calibri" w:hAnsi="Calibri" w:cs="Arial"/>
    </w:rPr>
  </w:style>
  <w:style w:type="character" w:styleId="FootnoteReference">
    <w:name w:val="footnote reference"/>
    <w:basedOn w:val="DefaultParagraphFont"/>
    <w:semiHidden/>
    <w:unhideWhenUsed/>
    <w:rsid w:val="00037B0A"/>
    <w:rPr>
      <w:vertAlign w:val="superscript"/>
    </w:rPr>
  </w:style>
  <w:style w:type="paragraph" w:customStyle="1" w:styleId="Tabletext8pt">
    <w:name w:val="Table text 8pt"/>
    <w:basedOn w:val="Normal"/>
    <w:link w:val="Tabletext8ptChar"/>
    <w:qFormat/>
    <w:rsid w:val="005150A4"/>
    <w:pPr>
      <w:keepLines/>
      <w:spacing w:before="40" w:after="40" w:line="259" w:lineRule="auto"/>
      <w:jc w:val="left"/>
    </w:pPr>
    <w:rPr>
      <w:rFonts w:ascii="Montserrat" w:eastAsia="Calibri" w:hAnsi="Montserrat" w:cs="Calibri"/>
      <w:sz w:val="16"/>
      <w:szCs w:val="16"/>
      <w:lang w:eastAsia="en-US"/>
    </w:rPr>
  </w:style>
  <w:style w:type="character" w:customStyle="1" w:styleId="Tabletext8ptChar">
    <w:name w:val="Table text 8pt Char"/>
    <w:basedOn w:val="DefaultParagraphFont"/>
    <w:link w:val="Tabletext8pt"/>
    <w:rsid w:val="005150A4"/>
    <w:rPr>
      <w:rFonts w:ascii="Montserrat" w:eastAsia="Calibri" w:hAnsi="Montserrat" w:cs="Calibri"/>
      <w:sz w:val="16"/>
      <w:szCs w:val="16"/>
      <w:lang w:eastAsia="en-US"/>
    </w:rPr>
  </w:style>
  <w:style w:type="paragraph" w:customStyle="1" w:styleId="Bulletpoints">
    <w:name w:val="Bullet points"/>
    <w:basedOn w:val="Normal"/>
    <w:rsid w:val="00CE4BB6"/>
    <w:pPr>
      <w:spacing w:after="120"/>
      <w:ind w:left="720"/>
      <w:contextualSpacing/>
    </w:pPr>
    <w:rPr>
      <w:snapToGrid w:val="0"/>
    </w:rPr>
  </w:style>
  <w:style w:type="paragraph" w:customStyle="1" w:styleId="Default">
    <w:name w:val="Default"/>
    <w:rsid w:val="0041053A"/>
    <w:pPr>
      <w:autoSpaceDE w:val="0"/>
      <w:autoSpaceDN w:val="0"/>
      <w:adjustRightInd w:val="0"/>
    </w:pPr>
    <w:rPr>
      <w:rFonts w:ascii="Calibri" w:hAnsi="Calibri" w:cs="Calibri"/>
      <w:color w:val="000000"/>
      <w:sz w:val="24"/>
      <w:szCs w:val="24"/>
    </w:rPr>
  </w:style>
  <w:style w:type="paragraph" w:customStyle="1" w:styleId="3-SubsectionHeading">
    <w:name w:val="3-Subsection Heading"/>
    <w:basedOn w:val="Heading2"/>
    <w:next w:val="Normal"/>
    <w:link w:val="3-SubsectionHeadingChar"/>
    <w:qFormat/>
    <w:rsid w:val="006F443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F4432"/>
    <w:rPr>
      <w:rFonts w:asciiTheme="minorHAnsi" w:eastAsiaTheme="majorEastAsia" w:hAnsiTheme="minorHAnsi" w:cstheme="majorBidi"/>
      <w:b/>
      <w:i/>
      <w:snapToGrid/>
      <w:spacing w:val="5"/>
      <w:kern w:val="28"/>
      <w:sz w:val="28"/>
      <w:szCs w:val="36"/>
      <w:lang w:eastAsia="en-US"/>
    </w:rPr>
  </w:style>
  <w:style w:type="paragraph" w:customStyle="1" w:styleId="2-SectionHeading">
    <w:name w:val="2-Section Heading"/>
    <w:qFormat/>
    <w:rsid w:val="00F736C7"/>
    <w:pPr>
      <w:keepNext/>
      <w:spacing w:before="240" w:after="120"/>
      <w:outlineLvl w:val="1"/>
    </w:pPr>
    <w:rPr>
      <w:rFonts w:asciiTheme="minorHAnsi" w:hAnsiTheme="minorHAnsi" w:cs="Arial"/>
      <w:b/>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fo/industry/listing/elements/pbac-meetings/pbac-outcomes/recommendations-made-by-the-pbac-novem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698AC957-CF94-43DA-A5B9-7DBCC96DD5E0}">
  <ds:schemaRefs>
    <ds:schemaRef ds:uri="http://schemas.microsoft.com/sharepoint/v3/contenttype/forms"/>
  </ds:schemaRefs>
</ds:datastoreItem>
</file>

<file path=customXml/itemProps2.xml><?xml version="1.0" encoding="utf-8"?>
<ds:datastoreItem xmlns:ds="http://schemas.openxmlformats.org/officeDocument/2006/customXml" ds:itemID="{CA25A1C1-642E-4757-89BC-808F2BBE2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2AA0E911-280A-42F4-A42D-AED2496E88F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22998</Words>
  <Characters>133624</Characters>
  <Application>Microsoft Office Word</Application>
  <DocSecurity>0</DocSecurity>
  <Lines>2904</Lines>
  <Paragraphs>1398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155224</CharactersWithSpaces>
  <SharedDoc>false</SharedDoc>
  <HLinks>
    <vt:vector size="18" baseType="variant">
      <vt:variant>
        <vt:i4>4915205</vt:i4>
      </vt:variant>
      <vt:variant>
        <vt:i4>0</vt:i4>
      </vt:variant>
      <vt:variant>
        <vt:i4>0</vt:i4>
      </vt:variant>
      <vt:variant>
        <vt:i4>5</vt:i4>
      </vt:variant>
      <vt:variant>
        <vt:lpwstr>https://www.pbs.gov.au/info/industry/listing/elements/pbac-meetings/pbac-outcomes/recommendations-made-by-the-pbac-november-2025</vt:lpwstr>
      </vt:variant>
      <vt:variant>
        <vt:lpwstr/>
      </vt:variant>
      <vt:variant>
        <vt:i4>4325389</vt:i4>
      </vt:variant>
      <vt:variant>
        <vt:i4>3</vt:i4>
      </vt:variant>
      <vt:variant>
        <vt:i4>0</vt:i4>
      </vt:variant>
      <vt:variant>
        <vt:i4>5</vt:i4>
      </vt:variant>
      <vt:variant>
        <vt:lpwstr>https://healthgov.sharepoint.com/:f:/r/sites/PBACSecretariat/Shared Documents/2026-3 March PBAC meeting/FINALS/Consumer Inputs - 25.02.2026/6.11 PEGCETACOPLAN - Empaveli%C2%AE?csf=1&amp;web=1&amp;e=pmdCNI</vt:lpwstr>
      </vt:variant>
      <vt:variant>
        <vt:lpwstr/>
      </vt:variant>
      <vt:variant>
        <vt:i4>4718677</vt:i4>
      </vt:variant>
      <vt:variant>
        <vt:i4>0</vt:i4>
      </vt:variant>
      <vt:variant>
        <vt:i4>0</vt:i4>
      </vt:variant>
      <vt:variant>
        <vt:i4>5</vt:i4>
      </vt:variant>
      <vt:variant>
        <vt:lpwstr>https://www.pbs.gov.au/industry/listing/elements/pbac-meetings/psd/2025-11/files/iptacopan-psd-november-2025.pdf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2026-07-07T04:47:00Z</dcterms:created>
  <dcterms:modified xsi:type="dcterms:W3CDTF">2026-07-07T04:47:00Z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a09932,3981f3fe,4059ff47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723df516,7b7bea7c,33acdf93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2026-04-16T00:59:44Z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82baf76d-2b5b-4558-9a82-01b714b2461d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Franchise">
    <vt:lpwstr>3;#N/A|1ef16579-4c18-4c73-b2ad-85016834b037</vt:lpwstr>
  </property>
  <property fmtid="{D5CDD505-2E9C-101B-9397-08002B2CF9AE}" pid="20" name="Organisationtype">
    <vt:lpwstr>1;#Department|1a44dff5-6dad-48ee-a3ca-7a2eca55a50c</vt:lpwstr>
  </property>
  <property fmtid="{D5CDD505-2E9C-101B-9397-08002B2CF9AE}" pid="21" name="Product">
    <vt:lpwstr>4;#No Product|648e1d64-3853-4d3b-b3bc-1c141b443de5</vt:lpwstr>
  </property>
  <property fmtid="{D5CDD505-2E9C-101B-9397-08002B2CF9AE}" pid="22" name="Function">
    <vt:lpwstr>2;#Medical Affairs|348ca8d2-b8d9-4d27-afe1-896d3d6b1be8</vt:lpwstr>
  </property>
  <property fmtid="{D5CDD505-2E9C-101B-9397-08002B2CF9AE}" pid="23" name="Order">
    <vt:r8>59897000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