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104F" w14:textId="77777777" w:rsidR="004D59D4" w:rsidRPr="003A6ACA" w:rsidRDefault="00023FAF" w:rsidP="003A6ACA">
      <w:pPr>
        <w:pStyle w:val="1-MainHeading"/>
        <w:contextualSpacing/>
      </w:pPr>
      <w:bookmarkStart w:id="0" w:name="_Toc219799671"/>
      <w:r>
        <w:t>7</w:t>
      </w:r>
      <w:r w:rsidRPr="003A6ACA">
        <w:t>.03</w:t>
      </w:r>
      <w:r w:rsidRPr="003A6ACA">
        <w:tab/>
        <w:t>PEGVALIASE,</w:t>
      </w:r>
      <w:r w:rsidRPr="003A6ACA">
        <w:br/>
        <w:t>Injection 2.5 mg in 0.5 mL pre-filled syringe</w:t>
      </w:r>
      <w:bookmarkEnd w:id="0"/>
      <w:r w:rsidRPr="003A6ACA">
        <w:t xml:space="preserve"> </w:t>
      </w:r>
    </w:p>
    <w:p w14:paraId="16B38A95" w14:textId="4714706B" w:rsidR="004D59D4" w:rsidRPr="003A6ACA" w:rsidRDefault="00023FAF" w:rsidP="003A6ACA">
      <w:pPr>
        <w:pStyle w:val="1-MainHeading"/>
        <w:ind w:firstLine="0"/>
        <w:contextualSpacing/>
      </w:pPr>
      <w:bookmarkStart w:id="1" w:name="_Toc219799672"/>
      <w:r w:rsidRPr="003A6ACA">
        <w:t>Injection 10 mg in 0.5 mL pre-filled syringe</w:t>
      </w:r>
      <w:bookmarkEnd w:id="1"/>
    </w:p>
    <w:p w14:paraId="00D82E7B" w14:textId="225BC4C8" w:rsidR="004D59D4" w:rsidRPr="003A6ACA" w:rsidRDefault="00023FAF" w:rsidP="003A6ACA">
      <w:pPr>
        <w:pStyle w:val="1-MainHeading"/>
        <w:ind w:firstLine="0"/>
        <w:contextualSpacing/>
      </w:pPr>
      <w:bookmarkStart w:id="2" w:name="_Toc219799673"/>
      <w:r w:rsidRPr="003A6ACA">
        <w:t>Injection 20 mg in 1 mL pre-filled syringe</w:t>
      </w:r>
      <w:bookmarkEnd w:id="2"/>
      <w:r w:rsidR="00CA7469" w:rsidRPr="003A6ACA">
        <w:t>,</w:t>
      </w:r>
    </w:p>
    <w:p w14:paraId="20088C4F" w14:textId="1EC55337" w:rsidR="004D59D4" w:rsidRPr="002567E0" w:rsidRDefault="00023FAF" w:rsidP="003A6ACA">
      <w:pPr>
        <w:pStyle w:val="1-MainHeading"/>
        <w:ind w:firstLine="0"/>
        <w:contextualSpacing/>
      </w:pPr>
      <w:bookmarkStart w:id="3" w:name="_Toc219799674"/>
      <w:r w:rsidRPr="003A6ACA">
        <w:t>Palynziq®,</w:t>
      </w:r>
      <w:r w:rsidRPr="003A6ACA">
        <w:br/>
        <w:t>BioMarin Pharmaceutical Australia Pty Ltd.</w:t>
      </w:r>
      <w:bookmarkEnd w:id="3"/>
      <w:r>
        <w:t xml:space="preserve"> </w:t>
      </w:r>
      <w:r w:rsidR="002567E0">
        <w:br/>
      </w:r>
    </w:p>
    <w:p w14:paraId="59D17B03" w14:textId="77777777" w:rsidR="004D59D4" w:rsidRDefault="00023FAF" w:rsidP="00ED29B1">
      <w:pPr>
        <w:pStyle w:val="2-SectionHeading"/>
        <w:numPr>
          <w:ilvl w:val="0"/>
          <w:numId w:val="1"/>
        </w:numPr>
        <w:spacing w:before="160" w:after="160"/>
      </w:pPr>
      <w:bookmarkStart w:id="4" w:name="_Toc219799676"/>
      <w:r>
        <w:t>Purpose of submission</w:t>
      </w:r>
      <w:bookmarkEnd w:id="4"/>
    </w:p>
    <w:p w14:paraId="5469036C" w14:textId="77777777" w:rsidR="004D59D4" w:rsidRDefault="00023FAF" w:rsidP="00025AAC">
      <w:pPr>
        <w:pStyle w:val="3-BodyText"/>
        <w:numPr>
          <w:ilvl w:val="1"/>
          <w:numId w:val="1"/>
        </w:numPr>
        <w:spacing w:before="160"/>
      </w:pPr>
      <w:bookmarkStart w:id="5" w:name="_Ref214464945"/>
      <w:r>
        <w:t xml:space="preserve">The standard re-entry submission requested listing of </w:t>
      </w:r>
      <w:proofErr w:type="spellStart"/>
      <w:r>
        <w:t>pegvaliase</w:t>
      </w:r>
      <w:proofErr w:type="spellEnd"/>
      <w:r>
        <w:t xml:space="preserve"> for the treatment of patients aged 16 years and older with phenylketonuria (PKU) who have inadequate blood phenylalanine (</w:t>
      </w:r>
      <w:proofErr w:type="spellStart"/>
      <w:r>
        <w:t>Phe</w:t>
      </w:r>
      <w:proofErr w:type="spellEnd"/>
      <w:r>
        <w:t xml:space="preserve">) control (baseline blood </w:t>
      </w:r>
      <w:proofErr w:type="spellStart"/>
      <w:r>
        <w:t>Phe</w:t>
      </w:r>
      <w:proofErr w:type="spellEnd"/>
      <w:r>
        <w:t xml:space="preserve"> level above 600 micromoles per litre [</w:t>
      </w:r>
      <w:r>
        <w:rPr>
          <w:rFonts w:cstheme="minorHAnsi"/>
        </w:rPr>
        <w:t>µ</w:t>
      </w:r>
      <w:r>
        <w:t xml:space="preserve">mol/L]) despite prior management with available treatment options including a </w:t>
      </w:r>
      <w:proofErr w:type="spellStart"/>
      <w:r>
        <w:t>Phe</w:t>
      </w:r>
      <w:proofErr w:type="spellEnd"/>
      <w:r>
        <w:t xml:space="preserve"> restricted diet and </w:t>
      </w:r>
      <w:proofErr w:type="spellStart"/>
      <w:r>
        <w:t>sapropterin</w:t>
      </w:r>
      <w:proofErr w:type="spellEnd"/>
      <w:r>
        <w:t xml:space="preserve">. The resubmission also sought listing for patients aged 16 years and older with PKU who have a protein tolerance of less than 15 grams per day, even if the patient has met the PBS criteria for </w:t>
      </w:r>
      <w:proofErr w:type="spellStart"/>
      <w:r>
        <w:t>sapropterin</w:t>
      </w:r>
      <w:proofErr w:type="spellEnd"/>
      <w:r>
        <w:t xml:space="preserve"> responsiveness (i.e. </w:t>
      </w:r>
      <w:r>
        <w:rPr>
          <w:rFonts w:cstheme="minorHAnsi"/>
        </w:rPr>
        <w:t xml:space="preserve">≥ </w:t>
      </w:r>
      <w:r>
        <w:t xml:space="preserve">30% reduction in blood </w:t>
      </w:r>
      <w:proofErr w:type="spellStart"/>
      <w:r>
        <w:t>Phe</w:t>
      </w:r>
      <w:proofErr w:type="spellEnd"/>
      <w:r>
        <w:t xml:space="preserve"> from baseline). </w:t>
      </w:r>
    </w:p>
    <w:p w14:paraId="5BB51E33" w14:textId="5BEC1588" w:rsidR="004D59D4" w:rsidRDefault="00023FAF" w:rsidP="00025AAC">
      <w:pPr>
        <w:pStyle w:val="3-BodyText"/>
        <w:numPr>
          <w:ilvl w:val="1"/>
          <w:numId w:val="1"/>
        </w:numPr>
        <w:spacing w:before="160"/>
      </w:pPr>
      <w:r>
        <w:t xml:space="preserve">While the PBAC did not previously recommend </w:t>
      </w:r>
      <w:proofErr w:type="spellStart"/>
      <w:r>
        <w:t>pegvaliase</w:t>
      </w:r>
      <w:proofErr w:type="spellEnd"/>
      <w:r>
        <w:t xml:space="preserve"> for the treatment of </w:t>
      </w:r>
      <w:proofErr w:type="spellStart"/>
      <w:r>
        <w:t>hyperphenylalaninaemia</w:t>
      </w:r>
      <w:proofErr w:type="spellEnd"/>
      <w:r>
        <w:t xml:space="preserve"> (HPA) due to PKU in patients aged 16 years and over who are not responsive to </w:t>
      </w:r>
      <w:proofErr w:type="spellStart"/>
      <w:r>
        <w:t>sapropterin</w:t>
      </w:r>
      <w:proofErr w:type="spellEnd"/>
      <w:r>
        <w:t xml:space="preserve">, the PBAC considered there was a high clinical need in a small patient population, but that the sponsor’s proposal to restrict use to patients who are not responsive to </w:t>
      </w:r>
      <w:proofErr w:type="spellStart"/>
      <w:r>
        <w:t>sapropterin</w:t>
      </w:r>
      <w:proofErr w:type="spellEnd"/>
      <w:r>
        <w:t xml:space="preserve"> was inequitable and not clinically appropriate (paragraph 7.1, </w:t>
      </w:r>
      <w:proofErr w:type="spellStart"/>
      <w:r>
        <w:t>pegvaliase</w:t>
      </w:r>
      <w:proofErr w:type="spellEnd"/>
      <w:r>
        <w:t xml:space="preserve">, Public Summary Document, July 2022 PBAC meeting). </w:t>
      </w:r>
    </w:p>
    <w:p w14:paraId="4E546DCF" w14:textId="77777777" w:rsidR="004D59D4" w:rsidRDefault="00023FAF" w:rsidP="00025AAC">
      <w:pPr>
        <w:pStyle w:val="3-BodyText"/>
        <w:numPr>
          <w:ilvl w:val="1"/>
          <w:numId w:val="1"/>
        </w:numPr>
        <w:spacing w:before="160"/>
      </w:pPr>
      <w:r>
        <w:t xml:space="preserve">Listing for </w:t>
      </w:r>
      <w:proofErr w:type="spellStart"/>
      <w:r>
        <w:t>pegvaliase</w:t>
      </w:r>
      <w:proofErr w:type="spellEnd"/>
      <w:r>
        <w:t xml:space="preserve"> was requested </w:t>
      </w:r>
      <w:proofErr w:type="gramStart"/>
      <w:r>
        <w:t>on the basis of</w:t>
      </w:r>
      <w:proofErr w:type="gramEnd"/>
      <w:r>
        <w:t xml:space="preserve"> a cost-utility analysis versus a </w:t>
      </w:r>
      <w:proofErr w:type="spellStart"/>
      <w:r>
        <w:t>Phe</w:t>
      </w:r>
      <w:proofErr w:type="spellEnd"/>
      <w:r>
        <w:t>-restricted diet.</w:t>
      </w:r>
    </w:p>
    <w:p w14:paraId="18056B87" w14:textId="5743D05C" w:rsidR="004D59D4" w:rsidRDefault="00023FAF" w:rsidP="00025AAC">
      <w:pPr>
        <w:pStyle w:val="3-BodyText"/>
        <w:numPr>
          <w:ilvl w:val="1"/>
          <w:numId w:val="1"/>
        </w:numPr>
        <w:spacing w:before="160"/>
      </w:pPr>
      <w:r>
        <w:t xml:space="preserve">The key components of the clinical issue addressed by the resubmission are presented in </w:t>
      </w:r>
      <w:r>
        <w:fldChar w:fldCharType="begin"/>
      </w:r>
      <w:r>
        <w:instrText xml:space="preserve"> REF _Ref216757709 \h </w:instrText>
      </w:r>
      <w:r>
        <w:fldChar w:fldCharType="separate"/>
      </w:r>
      <w:r w:rsidR="00E24060">
        <w:t xml:space="preserve">Table </w:t>
      </w:r>
      <w:r w:rsidR="00E24060">
        <w:rPr>
          <w:noProof/>
        </w:rPr>
        <w:t>1</w:t>
      </w:r>
      <w:r>
        <w:fldChar w:fldCharType="end"/>
      </w:r>
      <w:r>
        <w:t>.</w:t>
      </w:r>
    </w:p>
    <w:p w14:paraId="22FADEE7" w14:textId="501ECA55" w:rsidR="004D59D4" w:rsidRDefault="00023FAF" w:rsidP="00025AAC">
      <w:pPr>
        <w:pStyle w:val="Caption"/>
        <w:spacing w:before="160"/>
        <w:rPr>
          <w:rStyle w:val="CommentReference"/>
          <w:b/>
          <w:szCs w:val="24"/>
        </w:rPr>
      </w:pPr>
      <w:bookmarkStart w:id="6" w:name="_Ref216757709"/>
      <w:r>
        <w:lastRenderedPageBreak/>
        <w:t xml:space="preserve">Table </w:t>
      </w:r>
      <w:fldSimple w:instr=" SEQ Table \* ARABIC ">
        <w:r w:rsidR="00E24060">
          <w:rPr>
            <w:noProof/>
          </w:rPr>
          <w:t>1</w:t>
        </w:r>
      </w:fldSimple>
      <w:bookmarkEnd w:id="5"/>
      <w:bookmarkEnd w:id="6"/>
      <w:r>
        <w:t>:</w:t>
      </w:r>
      <w:r>
        <w:rPr>
          <w:rStyle w:val="CommentReference"/>
          <w:b/>
          <w:szCs w:val="24"/>
        </w:rPr>
        <w:t xml:space="preserve"> Key components of the clinical issue addressed by the submission (as stated in the submission)</w:t>
      </w:r>
    </w:p>
    <w:tbl>
      <w:tblPr>
        <w:tblW w:w="5000" w:type="pct"/>
        <w:tblLayout w:type="fixed"/>
        <w:tblLook w:val="04A0" w:firstRow="1" w:lastRow="0" w:firstColumn="1" w:lastColumn="0" w:noHBand="0" w:noVBand="1"/>
        <w:tblCaption w:val="Table 1: Key components of the clinical issue addressed by the submission (as stated in the submission)"/>
      </w:tblPr>
      <w:tblGrid>
        <w:gridCol w:w="1271"/>
        <w:gridCol w:w="7745"/>
      </w:tblGrid>
      <w:tr w:rsidR="004D59D4" w14:paraId="136AD63E" w14:textId="77777777">
        <w:trPr>
          <w:cantSplit/>
        </w:trPr>
        <w:tc>
          <w:tcPr>
            <w:tcW w:w="1272" w:type="dxa"/>
            <w:tcBorders>
              <w:top w:val="single" w:sz="4" w:space="0" w:color="000000"/>
              <w:left w:val="single" w:sz="4" w:space="0" w:color="000000"/>
              <w:bottom w:val="single" w:sz="4" w:space="0" w:color="000000"/>
              <w:right w:val="single" w:sz="4" w:space="0" w:color="000000"/>
            </w:tcBorders>
          </w:tcPr>
          <w:p w14:paraId="0D461AFD" w14:textId="77777777" w:rsidR="004D59D4" w:rsidRDefault="00023FAF" w:rsidP="00025AAC">
            <w:pPr>
              <w:pStyle w:val="In-tableHeading"/>
            </w:pPr>
            <w:r>
              <w:t>Component</w:t>
            </w:r>
          </w:p>
        </w:tc>
        <w:tc>
          <w:tcPr>
            <w:tcW w:w="7754" w:type="dxa"/>
            <w:tcBorders>
              <w:top w:val="single" w:sz="4" w:space="0" w:color="000000"/>
              <w:left w:val="single" w:sz="4" w:space="0" w:color="000000"/>
              <w:bottom w:val="single" w:sz="4" w:space="0" w:color="000000"/>
              <w:right w:val="single" w:sz="4" w:space="0" w:color="000000"/>
            </w:tcBorders>
          </w:tcPr>
          <w:p w14:paraId="558611EF" w14:textId="77777777" w:rsidR="004D59D4" w:rsidRDefault="00023FAF" w:rsidP="00025AAC">
            <w:pPr>
              <w:pStyle w:val="In-tableHeading"/>
            </w:pPr>
            <w:r>
              <w:t>Description</w:t>
            </w:r>
          </w:p>
        </w:tc>
      </w:tr>
      <w:tr w:rsidR="004D59D4" w14:paraId="2A344E12" w14:textId="77777777">
        <w:trPr>
          <w:cantSplit/>
        </w:trPr>
        <w:tc>
          <w:tcPr>
            <w:tcW w:w="1272" w:type="dxa"/>
            <w:tcBorders>
              <w:top w:val="single" w:sz="4" w:space="0" w:color="000000"/>
              <w:left w:val="single" w:sz="4" w:space="0" w:color="000000"/>
              <w:bottom w:val="single" w:sz="4" w:space="0" w:color="000000"/>
              <w:right w:val="single" w:sz="4" w:space="0" w:color="000000"/>
            </w:tcBorders>
          </w:tcPr>
          <w:p w14:paraId="04A9C8E4" w14:textId="77777777" w:rsidR="004D59D4" w:rsidRDefault="00023FAF" w:rsidP="00025AAC">
            <w:pPr>
              <w:pStyle w:val="TableText1"/>
            </w:pPr>
            <w:r>
              <w:t>Population</w:t>
            </w:r>
          </w:p>
        </w:tc>
        <w:tc>
          <w:tcPr>
            <w:tcW w:w="7754" w:type="dxa"/>
            <w:tcBorders>
              <w:top w:val="single" w:sz="4" w:space="0" w:color="000000"/>
              <w:left w:val="single" w:sz="4" w:space="0" w:color="000000"/>
              <w:bottom w:val="single" w:sz="4" w:space="0" w:color="000000"/>
              <w:right w:val="single" w:sz="4" w:space="0" w:color="000000"/>
            </w:tcBorders>
          </w:tcPr>
          <w:p w14:paraId="5710AE87" w14:textId="77777777" w:rsidR="004D59D4" w:rsidRDefault="00023FAF" w:rsidP="00025AAC">
            <w:pPr>
              <w:pStyle w:val="TableText1"/>
              <w:rPr>
                <w:iCs w:val="0"/>
                <w:vertAlign w:val="superscript"/>
              </w:rPr>
            </w:pPr>
            <w:r>
              <w:t xml:space="preserve">Patients with HPA due to PKU who aged 16 years are or older, have blood phenylalanine levels ≥ 600 micromole/litre (µmol/L) and who are not responsive to </w:t>
            </w:r>
            <w:proofErr w:type="spellStart"/>
            <w:r>
              <w:t>sapropterin</w:t>
            </w:r>
            <w:proofErr w:type="spellEnd"/>
            <w:r>
              <w:t xml:space="preserve"> </w:t>
            </w:r>
            <w:r>
              <w:rPr>
                <w:iCs w:val="0"/>
                <w:u w:val="single"/>
              </w:rPr>
              <w:t xml:space="preserve">or who have a daily protein tolerance of less than 15 grams per </w:t>
            </w:r>
            <w:proofErr w:type="spellStart"/>
            <w:proofErr w:type="gramStart"/>
            <w:r>
              <w:rPr>
                <w:iCs w:val="0"/>
                <w:u w:val="single"/>
              </w:rPr>
              <w:t>day</w:t>
            </w:r>
            <w:r>
              <w:rPr>
                <w:iCs w:val="0"/>
              </w:rPr>
              <w:t>.</w:t>
            </w:r>
            <w:r>
              <w:rPr>
                <w:iCs w:val="0"/>
                <w:vertAlign w:val="superscript"/>
              </w:rPr>
              <w:t>a</w:t>
            </w:r>
            <w:proofErr w:type="spellEnd"/>
            <w:proofErr w:type="gramEnd"/>
          </w:p>
          <w:p w14:paraId="008C876F" w14:textId="77777777" w:rsidR="00F87458" w:rsidRDefault="00F87458" w:rsidP="00025AAC">
            <w:pPr>
              <w:pStyle w:val="TableText1"/>
            </w:pPr>
          </w:p>
        </w:tc>
      </w:tr>
      <w:tr w:rsidR="004D59D4" w14:paraId="42FD3110" w14:textId="77777777">
        <w:trPr>
          <w:cantSplit/>
        </w:trPr>
        <w:tc>
          <w:tcPr>
            <w:tcW w:w="1272" w:type="dxa"/>
            <w:tcBorders>
              <w:top w:val="single" w:sz="4" w:space="0" w:color="000000"/>
              <w:left w:val="single" w:sz="4" w:space="0" w:color="000000"/>
              <w:bottom w:val="single" w:sz="4" w:space="0" w:color="000000"/>
              <w:right w:val="single" w:sz="4" w:space="0" w:color="000000"/>
            </w:tcBorders>
          </w:tcPr>
          <w:p w14:paraId="33A3CA7A" w14:textId="77777777" w:rsidR="004D59D4" w:rsidRDefault="00023FAF" w:rsidP="00025AAC">
            <w:pPr>
              <w:pStyle w:val="TableText1"/>
            </w:pPr>
            <w:r>
              <w:t>Intervention</w:t>
            </w:r>
          </w:p>
        </w:tc>
        <w:tc>
          <w:tcPr>
            <w:tcW w:w="7754" w:type="dxa"/>
            <w:tcBorders>
              <w:top w:val="single" w:sz="4" w:space="0" w:color="000000"/>
              <w:left w:val="single" w:sz="4" w:space="0" w:color="000000"/>
              <w:bottom w:val="single" w:sz="4" w:space="0" w:color="000000"/>
              <w:right w:val="single" w:sz="4" w:space="0" w:color="000000"/>
            </w:tcBorders>
          </w:tcPr>
          <w:p w14:paraId="2D9B89AB" w14:textId="77777777" w:rsidR="004D59D4" w:rsidRDefault="00023FAF" w:rsidP="00025AAC">
            <w:pPr>
              <w:pStyle w:val="TableText1"/>
            </w:pPr>
            <w:proofErr w:type="spellStart"/>
            <w:r>
              <w:t>Pegvaliase</w:t>
            </w:r>
            <w:proofErr w:type="spellEnd"/>
            <w:r>
              <w:t xml:space="preserve"> administered as a subcutaneous injection at a maintenance dose of 20-60 mg daily after induction and titration per the </w:t>
            </w:r>
            <w:proofErr w:type="spellStart"/>
            <w:r>
              <w:t>pegvaliase</w:t>
            </w:r>
            <w:proofErr w:type="spellEnd"/>
            <w:r>
              <w:t xml:space="preserve"> product information document</w:t>
            </w:r>
          </w:p>
        </w:tc>
      </w:tr>
      <w:tr w:rsidR="004D59D4" w14:paraId="4746F8BA" w14:textId="77777777">
        <w:trPr>
          <w:cantSplit/>
        </w:trPr>
        <w:tc>
          <w:tcPr>
            <w:tcW w:w="1272" w:type="dxa"/>
            <w:tcBorders>
              <w:top w:val="single" w:sz="4" w:space="0" w:color="000000"/>
              <w:left w:val="single" w:sz="4" w:space="0" w:color="000000"/>
              <w:bottom w:val="single" w:sz="4" w:space="0" w:color="000000"/>
              <w:right w:val="single" w:sz="4" w:space="0" w:color="000000"/>
            </w:tcBorders>
          </w:tcPr>
          <w:p w14:paraId="064FFD08" w14:textId="77777777" w:rsidR="004D59D4" w:rsidRDefault="00023FAF" w:rsidP="00025AAC">
            <w:pPr>
              <w:pStyle w:val="TableText1"/>
            </w:pPr>
            <w:r>
              <w:t>Comparator</w:t>
            </w:r>
          </w:p>
        </w:tc>
        <w:tc>
          <w:tcPr>
            <w:tcW w:w="7754" w:type="dxa"/>
            <w:tcBorders>
              <w:top w:val="single" w:sz="4" w:space="0" w:color="000000"/>
              <w:left w:val="single" w:sz="4" w:space="0" w:color="000000"/>
              <w:bottom w:val="single" w:sz="4" w:space="0" w:color="000000"/>
              <w:right w:val="single" w:sz="4" w:space="0" w:color="000000"/>
            </w:tcBorders>
          </w:tcPr>
          <w:p w14:paraId="45AADF57" w14:textId="77777777" w:rsidR="004D59D4" w:rsidRDefault="00023FAF" w:rsidP="00025AAC">
            <w:pPr>
              <w:pStyle w:val="TableText1"/>
            </w:pPr>
            <w:proofErr w:type="spellStart"/>
            <w:r>
              <w:t>Phe</w:t>
            </w:r>
            <w:proofErr w:type="spellEnd"/>
            <w:r>
              <w:t>-restricted diet alone</w:t>
            </w:r>
          </w:p>
        </w:tc>
      </w:tr>
      <w:tr w:rsidR="004D59D4" w14:paraId="0B4B3D4E" w14:textId="77777777">
        <w:trPr>
          <w:cantSplit/>
        </w:trPr>
        <w:tc>
          <w:tcPr>
            <w:tcW w:w="1272" w:type="dxa"/>
            <w:tcBorders>
              <w:top w:val="single" w:sz="4" w:space="0" w:color="000000"/>
              <w:left w:val="single" w:sz="4" w:space="0" w:color="000000"/>
              <w:bottom w:val="single" w:sz="4" w:space="0" w:color="000000"/>
              <w:right w:val="single" w:sz="4" w:space="0" w:color="000000"/>
            </w:tcBorders>
          </w:tcPr>
          <w:p w14:paraId="08C0D589" w14:textId="77777777" w:rsidR="004D59D4" w:rsidRDefault="00023FAF" w:rsidP="00025AAC">
            <w:pPr>
              <w:pStyle w:val="TableText1"/>
            </w:pPr>
            <w:r>
              <w:t>Outcomes</w:t>
            </w:r>
          </w:p>
        </w:tc>
        <w:tc>
          <w:tcPr>
            <w:tcW w:w="7754" w:type="dxa"/>
            <w:tcBorders>
              <w:top w:val="single" w:sz="4" w:space="0" w:color="000000"/>
              <w:left w:val="single" w:sz="4" w:space="0" w:color="000000"/>
              <w:bottom w:val="single" w:sz="4" w:space="0" w:color="000000"/>
              <w:right w:val="single" w:sz="4" w:space="0" w:color="000000"/>
            </w:tcBorders>
          </w:tcPr>
          <w:p w14:paraId="68CC93B4" w14:textId="77777777" w:rsidR="004D59D4" w:rsidRDefault="00023FAF" w:rsidP="00025AAC">
            <w:pPr>
              <w:pStyle w:val="TableText1"/>
            </w:pPr>
            <w:r>
              <w:t xml:space="preserve">Reduction in blood </w:t>
            </w:r>
            <w:proofErr w:type="spellStart"/>
            <w:r>
              <w:t>Phe</w:t>
            </w:r>
            <w:proofErr w:type="spellEnd"/>
            <w:r>
              <w:t xml:space="preserve"> levels to &lt; 360 µmol/L or a clinically meaningful reduction in the inattention subscale of the ADHD-RS score (defined as a reduction of at least 5) from </w:t>
            </w:r>
            <w:proofErr w:type="spellStart"/>
            <w:r>
              <w:t>pegvaliase</w:t>
            </w:r>
            <w:proofErr w:type="spellEnd"/>
            <w:r>
              <w:t>-naïve baseline.</w:t>
            </w:r>
          </w:p>
        </w:tc>
      </w:tr>
      <w:tr w:rsidR="004D59D4" w14:paraId="1DFD4F11" w14:textId="77777777">
        <w:trPr>
          <w:cantSplit/>
        </w:trPr>
        <w:tc>
          <w:tcPr>
            <w:tcW w:w="1272" w:type="dxa"/>
            <w:tcBorders>
              <w:top w:val="single" w:sz="4" w:space="0" w:color="000000"/>
              <w:left w:val="single" w:sz="4" w:space="0" w:color="000000"/>
              <w:bottom w:val="single" w:sz="4" w:space="0" w:color="000000"/>
              <w:right w:val="single" w:sz="4" w:space="0" w:color="000000"/>
            </w:tcBorders>
          </w:tcPr>
          <w:p w14:paraId="607B95CD" w14:textId="77777777" w:rsidR="004D59D4" w:rsidRDefault="00023FAF" w:rsidP="00025AAC">
            <w:pPr>
              <w:pStyle w:val="TableText1"/>
            </w:pPr>
            <w:r>
              <w:t>Clinical claim</w:t>
            </w:r>
          </w:p>
        </w:tc>
        <w:tc>
          <w:tcPr>
            <w:tcW w:w="7754" w:type="dxa"/>
            <w:tcBorders>
              <w:top w:val="single" w:sz="4" w:space="0" w:color="000000"/>
              <w:left w:val="single" w:sz="4" w:space="0" w:color="000000"/>
              <w:bottom w:val="single" w:sz="4" w:space="0" w:color="000000"/>
              <w:right w:val="single" w:sz="4" w:space="0" w:color="000000"/>
            </w:tcBorders>
          </w:tcPr>
          <w:p w14:paraId="002EC9B8" w14:textId="77777777" w:rsidR="004D59D4" w:rsidRDefault="00023FAF" w:rsidP="00025AAC">
            <w:pPr>
              <w:pStyle w:val="TableText1"/>
            </w:pPr>
            <w:proofErr w:type="spellStart"/>
            <w:r>
              <w:t>Pegvaliase</w:t>
            </w:r>
            <w:proofErr w:type="spellEnd"/>
            <w:r>
              <w:t xml:space="preserve"> is superior to a </w:t>
            </w:r>
            <w:proofErr w:type="spellStart"/>
            <w:r>
              <w:t>Phe</w:t>
            </w:r>
            <w:proofErr w:type="spellEnd"/>
            <w:r>
              <w:t>-restricted diet for the composite outcome of response (</w:t>
            </w:r>
            <w:proofErr w:type="spellStart"/>
            <w:r>
              <w:t>Phe</w:t>
            </w:r>
            <w:proofErr w:type="spellEnd"/>
            <w:r>
              <w:t xml:space="preserve"> levels or ADHD-RS score). </w:t>
            </w:r>
            <w:proofErr w:type="spellStart"/>
            <w:r>
              <w:t>Pegvaliase</w:t>
            </w:r>
            <w:proofErr w:type="spellEnd"/>
            <w:r>
              <w:t xml:space="preserve"> has inferior safety outcomes compared with a </w:t>
            </w:r>
            <w:proofErr w:type="spellStart"/>
            <w:r>
              <w:t>Phe</w:t>
            </w:r>
            <w:proofErr w:type="spellEnd"/>
            <w:r>
              <w:t>-restricted diet.</w:t>
            </w:r>
          </w:p>
        </w:tc>
      </w:tr>
    </w:tbl>
    <w:p w14:paraId="19CF1400" w14:textId="77777777" w:rsidR="004D59D4" w:rsidRDefault="00023FAF" w:rsidP="00025AAC">
      <w:pPr>
        <w:pStyle w:val="FooterTableFigure"/>
      </w:pPr>
      <w:r>
        <w:t>Source: Table 1.1-1, p14 of the resubmission.</w:t>
      </w:r>
    </w:p>
    <w:p w14:paraId="383EF72D" w14:textId="77777777" w:rsidR="004D59D4" w:rsidRDefault="00023FAF" w:rsidP="00025AAC">
      <w:pPr>
        <w:pStyle w:val="FooterTableFigure"/>
        <w:rPr>
          <w:szCs w:val="20"/>
        </w:rPr>
      </w:pPr>
      <w:r>
        <w:rPr>
          <w:szCs w:val="20"/>
        </w:rPr>
        <w:t xml:space="preserve">ADHD-RS = Attention Deficit Hyperactivity Disorder Rating Scale; HPA = hyperphenylalaninemia; </w:t>
      </w:r>
      <w:proofErr w:type="spellStart"/>
      <w:r>
        <w:rPr>
          <w:szCs w:val="20"/>
        </w:rPr>
        <w:t>Phe</w:t>
      </w:r>
      <w:proofErr w:type="spellEnd"/>
      <w:r>
        <w:rPr>
          <w:szCs w:val="20"/>
        </w:rPr>
        <w:t xml:space="preserve"> = phenylalanine; PKU = phenylketonuria</w:t>
      </w:r>
    </w:p>
    <w:p w14:paraId="629D5582" w14:textId="77777777" w:rsidR="004D59D4" w:rsidRDefault="00023FAF" w:rsidP="00025AAC">
      <w:pPr>
        <w:pStyle w:val="FooterTableFigure"/>
        <w:rPr>
          <w:szCs w:val="20"/>
        </w:rPr>
      </w:pPr>
      <w:proofErr w:type="gramStart"/>
      <w:r>
        <w:rPr>
          <w:szCs w:val="20"/>
          <w:vertAlign w:val="superscript"/>
        </w:rPr>
        <w:t>a</w:t>
      </w:r>
      <w:proofErr w:type="gramEnd"/>
      <w:r>
        <w:rPr>
          <w:szCs w:val="20"/>
        </w:rPr>
        <w:t xml:space="preserve"> Underlined text indicates change compared to the previous submission.</w:t>
      </w:r>
    </w:p>
    <w:p w14:paraId="48E6461A" w14:textId="77777777" w:rsidR="004D59D4" w:rsidRDefault="00023FAF" w:rsidP="00025AAC">
      <w:pPr>
        <w:pStyle w:val="2-SectionHeading"/>
        <w:numPr>
          <w:ilvl w:val="0"/>
          <w:numId w:val="1"/>
        </w:numPr>
        <w:spacing w:before="160" w:after="160"/>
      </w:pPr>
      <w:bookmarkStart w:id="7" w:name="_Toc219799677"/>
      <w:r>
        <w:t>Background</w:t>
      </w:r>
      <w:bookmarkEnd w:id="7"/>
    </w:p>
    <w:p w14:paraId="451C202C" w14:textId="77777777" w:rsidR="004D59D4" w:rsidRDefault="00023FAF" w:rsidP="00025AAC">
      <w:pPr>
        <w:pStyle w:val="4-SubsectionHeading"/>
        <w:spacing w:before="160" w:after="160"/>
      </w:pPr>
      <w:bookmarkStart w:id="8" w:name="_Toc219799678"/>
      <w:bookmarkStart w:id="9" w:name="_Toc22897638"/>
      <w:r>
        <w:t>Registration status</w:t>
      </w:r>
      <w:bookmarkEnd w:id="8"/>
      <w:bookmarkEnd w:id="9"/>
    </w:p>
    <w:p w14:paraId="630B11D2" w14:textId="2286C433" w:rsidR="004D59D4" w:rsidRDefault="00023FAF" w:rsidP="00025AAC">
      <w:pPr>
        <w:pStyle w:val="3-BodyText"/>
        <w:numPr>
          <w:ilvl w:val="1"/>
          <w:numId w:val="8"/>
        </w:numPr>
        <w:spacing w:before="160" w:after="160"/>
      </w:pPr>
      <w:bookmarkStart w:id="10" w:name="_Ref216712294"/>
      <w:proofErr w:type="spellStart"/>
      <w:r>
        <w:t>Pegvaliase</w:t>
      </w:r>
      <w:proofErr w:type="spellEnd"/>
      <w:r>
        <w:t xml:space="preserve"> was granted orphan drug designation by the TGA on 1 April 2020 and was TGA registered on 14th July 2021. The TGA-</w:t>
      </w:r>
      <w:r w:rsidR="00A40BCB">
        <w:t>register</w:t>
      </w:r>
      <w:r>
        <w:t xml:space="preserve">ed indication for </w:t>
      </w:r>
      <w:proofErr w:type="spellStart"/>
      <w:r>
        <w:t>pegvaliase</w:t>
      </w:r>
      <w:proofErr w:type="spellEnd"/>
      <w:r>
        <w:t xml:space="preserve"> is “for the treatment of patients with phenylketonuria (PKU) aged 16 years and older who have inadequate blood phenylalanine control despite prior management with available treatment options”. </w:t>
      </w:r>
      <w:bookmarkEnd w:id="10"/>
    </w:p>
    <w:p w14:paraId="3AB79D53" w14:textId="77777777" w:rsidR="004D59D4" w:rsidRDefault="00023FAF" w:rsidP="00025AAC">
      <w:pPr>
        <w:pStyle w:val="3-BodyText"/>
        <w:numPr>
          <w:ilvl w:val="1"/>
          <w:numId w:val="9"/>
        </w:numPr>
        <w:spacing w:before="160" w:after="160"/>
      </w:pPr>
      <w:bookmarkStart w:id="11" w:name="_Ref216094305"/>
      <w:r>
        <w:t xml:space="preserve">No explicit definition was provided regarding the term ‘prior management with available treatment options’ in the indication. However, the Advisory Committee on Medicines (ACM) advised that </w:t>
      </w:r>
      <w:proofErr w:type="spellStart"/>
      <w:r>
        <w:t>pegvaliase</w:t>
      </w:r>
      <w:proofErr w:type="spellEnd"/>
      <w:r>
        <w:t xml:space="preserve"> should be a third line treatment for those who have failed standard treatment, including </w:t>
      </w:r>
      <w:proofErr w:type="spellStart"/>
      <w:r>
        <w:t>sapropterin</w:t>
      </w:r>
      <w:proofErr w:type="spellEnd"/>
      <w:r>
        <w:t xml:space="preserve">, if relevant, but also advised that the indication should not be restricted to those adhering to nutritional advice or who are unresponsive to, or unable to tolerate, </w:t>
      </w:r>
      <w:proofErr w:type="spellStart"/>
      <w:r>
        <w:t>sapropterin</w:t>
      </w:r>
      <w:proofErr w:type="spellEnd"/>
      <w:r>
        <w:t xml:space="preserve"> (p32, </w:t>
      </w:r>
      <w:proofErr w:type="spellStart"/>
      <w:r>
        <w:t>AusPAR</w:t>
      </w:r>
      <w:proofErr w:type="spellEnd"/>
      <w:r>
        <w:t xml:space="preserve"> </w:t>
      </w:r>
      <w:proofErr w:type="spellStart"/>
      <w:r>
        <w:t>pegvaliase</w:t>
      </w:r>
      <w:proofErr w:type="spellEnd"/>
      <w:r>
        <w:t xml:space="preserve"> November 2021).</w:t>
      </w:r>
      <w:bookmarkEnd w:id="11"/>
    </w:p>
    <w:p w14:paraId="311B528B" w14:textId="77777777" w:rsidR="004D59D4" w:rsidRDefault="00023FAF" w:rsidP="00025AAC">
      <w:pPr>
        <w:pStyle w:val="4-SubsectionHeading"/>
        <w:spacing w:before="160" w:after="160"/>
      </w:pPr>
      <w:bookmarkStart w:id="12" w:name="_Toc22897639"/>
      <w:bookmarkStart w:id="13" w:name="_Toc219799679"/>
      <w:bookmarkEnd w:id="12"/>
      <w:r>
        <w:t>Previous PBAC consideration</w:t>
      </w:r>
      <w:bookmarkEnd w:id="13"/>
    </w:p>
    <w:p w14:paraId="003A6CBA" w14:textId="77777777" w:rsidR="004D59D4" w:rsidRDefault="00023FAF" w:rsidP="00025AAC">
      <w:pPr>
        <w:pStyle w:val="3-BodyText"/>
        <w:numPr>
          <w:ilvl w:val="1"/>
          <w:numId w:val="10"/>
        </w:numPr>
        <w:spacing w:before="160" w:after="160"/>
      </w:pPr>
      <w:r>
        <w:t xml:space="preserve">This is the first resubmission for </w:t>
      </w:r>
      <w:proofErr w:type="spellStart"/>
      <w:r>
        <w:t>pegvaliase</w:t>
      </w:r>
      <w:proofErr w:type="spellEnd"/>
      <w:r>
        <w:t xml:space="preserve"> considered by the PBAC. </w:t>
      </w:r>
    </w:p>
    <w:p w14:paraId="5C69C0F5" w14:textId="531A23AD" w:rsidR="004D59D4" w:rsidRDefault="00023FAF" w:rsidP="00025AAC">
      <w:pPr>
        <w:pStyle w:val="3-BodyText"/>
        <w:numPr>
          <w:ilvl w:val="1"/>
          <w:numId w:val="11"/>
        </w:numPr>
        <w:spacing w:before="160" w:after="160"/>
      </w:pPr>
      <w:r>
        <w:t xml:space="preserve">The key issues in the July 2022 </w:t>
      </w:r>
      <w:proofErr w:type="spellStart"/>
      <w:r>
        <w:t>pegvaliase</w:t>
      </w:r>
      <w:proofErr w:type="spellEnd"/>
      <w:r>
        <w:t xml:space="preserve"> submission and how the resubmission addresses these issues are presented in </w:t>
      </w:r>
      <w:r>
        <w:fldChar w:fldCharType="begin"/>
      </w:r>
      <w:r>
        <w:instrText xml:space="preserve"> REF _Ref214464984 \h </w:instrText>
      </w:r>
      <w:r>
        <w:fldChar w:fldCharType="separate"/>
      </w:r>
      <w:r w:rsidR="001A75FF">
        <w:t xml:space="preserve">Table </w:t>
      </w:r>
      <w:r w:rsidR="001A75FF">
        <w:rPr>
          <w:noProof/>
        </w:rPr>
        <w:t>2</w:t>
      </w:r>
      <w:r>
        <w:fldChar w:fldCharType="end"/>
      </w:r>
      <w:r>
        <w:t>.</w:t>
      </w:r>
    </w:p>
    <w:p w14:paraId="601C6958" w14:textId="0C8E4082" w:rsidR="004D59D4" w:rsidRDefault="00023FAF" w:rsidP="00025AAC">
      <w:pPr>
        <w:pStyle w:val="Caption"/>
        <w:spacing w:before="160"/>
        <w:rPr>
          <w:rStyle w:val="CommentReference"/>
          <w:b/>
          <w:szCs w:val="24"/>
        </w:rPr>
      </w:pPr>
      <w:bookmarkStart w:id="14" w:name="_Ref214464984"/>
      <w:r>
        <w:lastRenderedPageBreak/>
        <w:t xml:space="preserve">Table </w:t>
      </w:r>
      <w:fldSimple w:instr=" SEQ Table \* ARABIC ">
        <w:r w:rsidR="00E24060">
          <w:rPr>
            <w:noProof/>
          </w:rPr>
          <w:t>2</w:t>
        </w:r>
      </w:fldSimple>
      <w:bookmarkEnd w:id="14"/>
      <w:r>
        <w:t>:</w:t>
      </w:r>
      <w:r>
        <w:rPr>
          <w:rStyle w:val="CommentReference"/>
          <w:b/>
          <w:szCs w:val="24"/>
        </w:rPr>
        <w:t xml:space="preserve"> Summary of key matters of concern</w:t>
      </w:r>
    </w:p>
    <w:tbl>
      <w:tblPr>
        <w:tblW w:w="5000" w:type="pct"/>
        <w:tblLayout w:type="fixed"/>
        <w:tblLook w:val="04A0" w:firstRow="1" w:lastRow="0" w:firstColumn="1" w:lastColumn="0" w:noHBand="0" w:noVBand="1"/>
        <w:tblCaption w:val="Table 2: Summary of key matters of concern"/>
      </w:tblPr>
      <w:tblGrid>
        <w:gridCol w:w="1413"/>
        <w:gridCol w:w="3826"/>
        <w:gridCol w:w="3777"/>
      </w:tblGrid>
      <w:tr w:rsidR="004D59D4" w14:paraId="33A877A3" w14:textId="77777777">
        <w:trPr>
          <w:cantSplit/>
          <w:tblHeader/>
        </w:trPr>
        <w:tc>
          <w:tcPr>
            <w:tcW w:w="1415" w:type="dxa"/>
            <w:tcBorders>
              <w:top w:val="single" w:sz="4" w:space="0" w:color="000000"/>
              <w:left w:val="single" w:sz="4" w:space="0" w:color="000000"/>
              <w:bottom w:val="single" w:sz="4" w:space="0" w:color="000000"/>
              <w:right w:val="single" w:sz="4" w:space="0" w:color="000000"/>
            </w:tcBorders>
          </w:tcPr>
          <w:p w14:paraId="3D02443D" w14:textId="77777777" w:rsidR="004D59D4" w:rsidRDefault="00023FAF" w:rsidP="00025AAC">
            <w:pPr>
              <w:pStyle w:val="In-tableHeading"/>
            </w:pPr>
            <w:r>
              <w:t>Component</w:t>
            </w:r>
          </w:p>
        </w:tc>
        <w:tc>
          <w:tcPr>
            <w:tcW w:w="3830" w:type="dxa"/>
            <w:tcBorders>
              <w:top w:val="single" w:sz="4" w:space="0" w:color="000000"/>
              <w:left w:val="single" w:sz="4" w:space="0" w:color="000000"/>
              <w:bottom w:val="single" w:sz="4" w:space="0" w:color="000000"/>
              <w:right w:val="single" w:sz="4" w:space="0" w:color="000000"/>
            </w:tcBorders>
            <w:vAlign w:val="center"/>
          </w:tcPr>
          <w:p w14:paraId="1B00A7E3" w14:textId="77777777" w:rsidR="004D59D4" w:rsidRDefault="00023FAF" w:rsidP="00025AAC">
            <w:pPr>
              <w:pStyle w:val="In-tableHeading"/>
            </w:pPr>
            <w:r>
              <w:t>Matter of concern</w:t>
            </w:r>
          </w:p>
        </w:tc>
        <w:tc>
          <w:tcPr>
            <w:tcW w:w="3781" w:type="dxa"/>
            <w:tcBorders>
              <w:top w:val="single" w:sz="4" w:space="0" w:color="000000"/>
              <w:left w:val="single" w:sz="4" w:space="0" w:color="000000"/>
              <w:bottom w:val="single" w:sz="4" w:space="0" w:color="000000"/>
              <w:right w:val="single" w:sz="4" w:space="0" w:color="000000"/>
            </w:tcBorders>
            <w:vAlign w:val="center"/>
          </w:tcPr>
          <w:p w14:paraId="03356D23" w14:textId="1B0BF816" w:rsidR="004D59D4" w:rsidRDefault="00312CC6" w:rsidP="00025AAC">
            <w:pPr>
              <w:pStyle w:val="In-tableHeading"/>
            </w:pPr>
            <w:r>
              <w:t>Evaluation comments on h</w:t>
            </w:r>
            <w:r w:rsidR="00023FAF">
              <w:t>ow the resubmission addresse</w:t>
            </w:r>
            <w:r>
              <w:t>d</w:t>
            </w:r>
            <w:r w:rsidR="00023FAF">
              <w:t xml:space="preserve"> it</w:t>
            </w:r>
          </w:p>
        </w:tc>
      </w:tr>
      <w:tr w:rsidR="004D59D4" w14:paraId="300411D4" w14:textId="77777777">
        <w:trPr>
          <w:cantSplit/>
        </w:trPr>
        <w:tc>
          <w:tcPr>
            <w:tcW w:w="1415" w:type="dxa"/>
            <w:tcBorders>
              <w:top w:val="single" w:sz="4" w:space="0" w:color="000000"/>
              <w:left w:val="single" w:sz="4" w:space="0" w:color="000000"/>
              <w:bottom w:val="single" w:sz="4" w:space="0" w:color="000000"/>
              <w:right w:val="single" w:sz="4" w:space="0" w:color="000000"/>
            </w:tcBorders>
          </w:tcPr>
          <w:p w14:paraId="61026A3A" w14:textId="77777777" w:rsidR="004D59D4" w:rsidRDefault="00023FAF" w:rsidP="00025AAC">
            <w:pPr>
              <w:pStyle w:val="TableText1"/>
              <w:keepNext w:val="0"/>
              <w:keepLines w:val="0"/>
              <w:rPr>
                <w:iCs w:val="0"/>
              </w:rPr>
            </w:pPr>
            <w:r>
              <w:rPr>
                <w:iCs w:val="0"/>
              </w:rPr>
              <w:t>Proposed restriction</w:t>
            </w:r>
          </w:p>
        </w:tc>
        <w:tc>
          <w:tcPr>
            <w:tcW w:w="3830" w:type="dxa"/>
            <w:tcBorders>
              <w:top w:val="single" w:sz="4" w:space="0" w:color="000000"/>
              <w:left w:val="single" w:sz="4" w:space="0" w:color="000000"/>
              <w:bottom w:val="single" w:sz="4" w:space="0" w:color="000000"/>
              <w:right w:val="single" w:sz="4" w:space="0" w:color="000000"/>
            </w:tcBorders>
          </w:tcPr>
          <w:p w14:paraId="34B224E3" w14:textId="242DC6A1" w:rsidR="004D59D4" w:rsidRDefault="00023FAF" w:rsidP="00025AAC">
            <w:pPr>
              <w:pStyle w:val="TableText1"/>
              <w:keepNext w:val="0"/>
              <w:keepLines w:val="0"/>
              <w:rPr>
                <w:iCs w:val="0"/>
              </w:rPr>
            </w:pPr>
            <w:r>
              <w:rPr>
                <w:iCs w:val="0"/>
              </w:rPr>
              <w:t xml:space="preserve">The PBAC considered there was a high clinical need in a small patient population, but that the sponsor’s proposal to restrict use to patients who are not responsive to </w:t>
            </w:r>
            <w:proofErr w:type="spellStart"/>
            <w:r>
              <w:rPr>
                <w:iCs w:val="0"/>
              </w:rPr>
              <w:t>sapropterin</w:t>
            </w:r>
            <w:proofErr w:type="spellEnd"/>
            <w:r>
              <w:rPr>
                <w:iCs w:val="0"/>
              </w:rPr>
              <w:t xml:space="preserve"> was inequitable and not clinically appropriate (paragraph 7.1, </w:t>
            </w:r>
            <w:proofErr w:type="spellStart"/>
            <w:r>
              <w:rPr>
                <w:iCs w:val="0"/>
              </w:rPr>
              <w:t>pegvaliase</w:t>
            </w:r>
            <w:proofErr w:type="spellEnd"/>
            <w:r>
              <w:rPr>
                <w:iCs w:val="0"/>
              </w:rPr>
              <w:t xml:space="preserve"> </w:t>
            </w:r>
            <w:r w:rsidR="00F91A8F">
              <w:rPr>
                <w:iCs w:val="0"/>
              </w:rPr>
              <w:t>Public Summary Document [</w:t>
            </w:r>
            <w:r>
              <w:rPr>
                <w:iCs w:val="0"/>
              </w:rPr>
              <w:t>PSD</w:t>
            </w:r>
            <w:r w:rsidR="00F91A8F">
              <w:rPr>
                <w:iCs w:val="0"/>
              </w:rPr>
              <w:t>]</w:t>
            </w:r>
            <w:r>
              <w:rPr>
                <w:iCs w:val="0"/>
              </w:rPr>
              <w:t>, July 2022 PBAC meeting).</w:t>
            </w:r>
          </w:p>
        </w:tc>
        <w:tc>
          <w:tcPr>
            <w:tcW w:w="3781" w:type="dxa"/>
            <w:tcBorders>
              <w:top w:val="single" w:sz="4" w:space="0" w:color="000000"/>
              <w:left w:val="single" w:sz="4" w:space="0" w:color="000000"/>
              <w:bottom w:val="single" w:sz="4" w:space="0" w:color="000000"/>
              <w:right w:val="single" w:sz="4" w:space="0" w:color="000000"/>
            </w:tcBorders>
          </w:tcPr>
          <w:p w14:paraId="313DEEEF" w14:textId="392FE5F6" w:rsidR="004D59D4" w:rsidRDefault="00023FAF" w:rsidP="00025AAC">
            <w:pPr>
              <w:pStyle w:val="TableText1"/>
              <w:keepNext w:val="0"/>
              <w:keepLines w:val="0"/>
              <w:rPr>
                <w:iCs w:val="0"/>
              </w:rPr>
            </w:pPr>
            <w:r>
              <w:rPr>
                <w:iCs w:val="0"/>
              </w:rPr>
              <w:t xml:space="preserve">Partially addressed. While the resubmission’s proposed restriction included </w:t>
            </w:r>
            <w:proofErr w:type="spellStart"/>
            <w:r>
              <w:rPr>
                <w:iCs w:val="0"/>
              </w:rPr>
              <w:t>pegvaliase</w:t>
            </w:r>
            <w:proofErr w:type="spellEnd"/>
            <w:r>
              <w:rPr>
                <w:iCs w:val="0"/>
              </w:rPr>
              <w:t xml:space="preserve"> use in an additional patient population who have a daily protein tolerance of less than 15 grams per day (in patients who have responded to </w:t>
            </w:r>
            <w:proofErr w:type="spellStart"/>
            <w:r>
              <w:rPr>
                <w:iCs w:val="0"/>
              </w:rPr>
              <w:t>sapropterin</w:t>
            </w:r>
            <w:proofErr w:type="spellEnd"/>
            <w:r>
              <w:rPr>
                <w:iCs w:val="0"/>
              </w:rPr>
              <w:t xml:space="preserve">), </w:t>
            </w:r>
            <w:r w:rsidR="00B25FDE">
              <w:rPr>
                <w:iCs w:val="0"/>
              </w:rPr>
              <w:t xml:space="preserve">the evaluation considered </w:t>
            </w:r>
            <w:r>
              <w:rPr>
                <w:iCs w:val="0"/>
              </w:rPr>
              <w:t xml:space="preserve">such use may not be consistent with the </w:t>
            </w:r>
            <w:proofErr w:type="spellStart"/>
            <w:r>
              <w:rPr>
                <w:iCs w:val="0"/>
              </w:rPr>
              <w:t>pegvaliase</w:t>
            </w:r>
            <w:proofErr w:type="spellEnd"/>
            <w:r>
              <w:rPr>
                <w:iCs w:val="0"/>
              </w:rPr>
              <w:t xml:space="preserve"> TGA-approved indication that requires patients to have had inadequate blood </w:t>
            </w:r>
            <w:proofErr w:type="spellStart"/>
            <w:r>
              <w:rPr>
                <w:iCs w:val="0"/>
              </w:rPr>
              <w:t>Phe</w:t>
            </w:r>
            <w:proofErr w:type="spellEnd"/>
            <w:r>
              <w:rPr>
                <w:iCs w:val="0"/>
              </w:rPr>
              <w:t xml:space="preserve"> control despite prior management with available treatment options. Refer to paragraphs </w:t>
            </w:r>
            <w:r>
              <w:rPr>
                <w:iCs w:val="0"/>
              </w:rPr>
              <w:fldChar w:fldCharType="begin"/>
            </w:r>
            <w:r>
              <w:rPr>
                <w:iCs w:val="0"/>
              </w:rPr>
              <w:instrText xml:space="preserve"> REF _Ref216722228 \r \r \h </w:instrText>
            </w:r>
            <w:r>
              <w:rPr>
                <w:iCs w:val="0"/>
              </w:rPr>
            </w:r>
            <w:r>
              <w:rPr>
                <w:iCs w:val="0"/>
              </w:rPr>
              <w:fldChar w:fldCharType="separate"/>
            </w:r>
            <w:r w:rsidR="00675925">
              <w:rPr>
                <w:iCs w:val="0"/>
              </w:rPr>
              <w:t>3.4</w:t>
            </w:r>
            <w:r>
              <w:rPr>
                <w:iCs w:val="0"/>
              </w:rPr>
              <w:fldChar w:fldCharType="end"/>
            </w:r>
            <w:r>
              <w:rPr>
                <w:iCs w:val="0"/>
              </w:rPr>
              <w:t xml:space="preserve"> to </w:t>
            </w:r>
            <w:r>
              <w:rPr>
                <w:iCs w:val="0"/>
              </w:rPr>
              <w:fldChar w:fldCharType="begin"/>
            </w:r>
            <w:r>
              <w:rPr>
                <w:iCs w:val="0"/>
              </w:rPr>
              <w:instrText xml:space="preserve"> REF _Ref217374283 \r \r \h </w:instrText>
            </w:r>
            <w:r>
              <w:rPr>
                <w:iCs w:val="0"/>
              </w:rPr>
            </w:r>
            <w:r>
              <w:rPr>
                <w:iCs w:val="0"/>
              </w:rPr>
              <w:fldChar w:fldCharType="separate"/>
            </w:r>
            <w:r w:rsidR="00675925">
              <w:rPr>
                <w:iCs w:val="0"/>
              </w:rPr>
              <w:t>3.7</w:t>
            </w:r>
            <w:r>
              <w:rPr>
                <w:iCs w:val="0"/>
              </w:rPr>
              <w:fldChar w:fldCharType="end"/>
            </w:r>
            <w:r>
              <w:rPr>
                <w:iCs w:val="0"/>
              </w:rPr>
              <w:t xml:space="preserve"> for details.</w:t>
            </w:r>
          </w:p>
        </w:tc>
      </w:tr>
      <w:tr w:rsidR="004D59D4" w14:paraId="3573035F" w14:textId="77777777">
        <w:trPr>
          <w:cantSplit/>
        </w:trPr>
        <w:tc>
          <w:tcPr>
            <w:tcW w:w="1415" w:type="dxa"/>
            <w:tcBorders>
              <w:top w:val="single" w:sz="4" w:space="0" w:color="000000"/>
              <w:left w:val="single" w:sz="4" w:space="0" w:color="000000"/>
              <w:bottom w:val="single" w:sz="4" w:space="0" w:color="000000"/>
              <w:right w:val="single" w:sz="4" w:space="0" w:color="000000"/>
            </w:tcBorders>
          </w:tcPr>
          <w:p w14:paraId="272CC50A" w14:textId="77777777" w:rsidR="004D59D4" w:rsidRDefault="00023FAF" w:rsidP="00025AAC">
            <w:pPr>
              <w:pStyle w:val="TableText1"/>
              <w:keepNext w:val="0"/>
              <w:keepLines w:val="0"/>
              <w:rPr>
                <w:iCs w:val="0"/>
              </w:rPr>
            </w:pPr>
            <w:r>
              <w:rPr>
                <w:iCs w:val="0"/>
              </w:rPr>
              <w:t>Proposed restriction response criteria</w:t>
            </w:r>
          </w:p>
        </w:tc>
        <w:tc>
          <w:tcPr>
            <w:tcW w:w="3830" w:type="dxa"/>
            <w:tcBorders>
              <w:top w:val="single" w:sz="4" w:space="0" w:color="000000"/>
              <w:left w:val="single" w:sz="4" w:space="0" w:color="000000"/>
              <w:bottom w:val="single" w:sz="4" w:space="0" w:color="000000"/>
              <w:right w:val="single" w:sz="4" w:space="0" w:color="000000"/>
            </w:tcBorders>
          </w:tcPr>
          <w:p w14:paraId="7B8FCDFF" w14:textId="77777777" w:rsidR="004D59D4" w:rsidRDefault="00023FAF" w:rsidP="00025AAC">
            <w:pPr>
              <w:pStyle w:val="TableText1"/>
              <w:keepNext w:val="0"/>
              <w:keepLines w:val="0"/>
              <w:rPr>
                <w:iCs w:val="0"/>
              </w:rPr>
            </w:pPr>
            <w:r>
              <w:rPr>
                <w:iCs w:val="0"/>
              </w:rPr>
              <w:t xml:space="preserve">The proposed restriction defined a response to </w:t>
            </w:r>
            <w:proofErr w:type="spellStart"/>
            <w:r>
              <w:rPr>
                <w:iCs w:val="0"/>
              </w:rPr>
              <w:t>pegvaliase</w:t>
            </w:r>
            <w:proofErr w:type="spellEnd"/>
            <w:r>
              <w:rPr>
                <w:iCs w:val="0"/>
              </w:rPr>
              <w:t xml:space="preserve"> as either: (a) blood-</w:t>
            </w:r>
            <w:proofErr w:type="spellStart"/>
            <w:r>
              <w:rPr>
                <w:iCs w:val="0"/>
              </w:rPr>
              <w:t>Phe</w:t>
            </w:r>
            <w:proofErr w:type="spellEnd"/>
            <w:r>
              <w:rPr>
                <w:iCs w:val="0"/>
              </w:rPr>
              <w:t xml:space="preserve"> &lt; 360 µmol/L; or (b) the achievement of a clinically meaningful reduction from </w:t>
            </w:r>
            <w:proofErr w:type="spellStart"/>
            <w:r>
              <w:rPr>
                <w:iCs w:val="0"/>
              </w:rPr>
              <w:t>pegvaliase</w:t>
            </w:r>
            <w:proofErr w:type="spellEnd"/>
            <w:r>
              <w:rPr>
                <w:iCs w:val="0"/>
              </w:rPr>
              <w:t xml:space="preserve">-naïve baseline in the ADHD-RS (≥ 5 points). The PBAC considered that the most appropriate response criteria for </w:t>
            </w:r>
            <w:proofErr w:type="spellStart"/>
            <w:r>
              <w:rPr>
                <w:iCs w:val="0"/>
              </w:rPr>
              <w:t>pegvaliase</w:t>
            </w:r>
            <w:proofErr w:type="spellEnd"/>
            <w:r>
              <w:rPr>
                <w:iCs w:val="0"/>
              </w:rPr>
              <w:t xml:space="preserve"> remained unclear. The PBAC considered that it may not be appropriate to assess initial response based on a single blood-</w:t>
            </w:r>
            <w:proofErr w:type="spellStart"/>
            <w:r>
              <w:rPr>
                <w:iCs w:val="0"/>
              </w:rPr>
              <w:t>Phe</w:t>
            </w:r>
            <w:proofErr w:type="spellEnd"/>
            <w:r>
              <w:rPr>
                <w:iCs w:val="0"/>
              </w:rPr>
              <w:t xml:space="preserve"> &lt; 360 µmol/L measurement as </w:t>
            </w:r>
            <w:proofErr w:type="spellStart"/>
            <w:r>
              <w:rPr>
                <w:iCs w:val="0"/>
              </w:rPr>
              <w:t>Phe</w:t>
            </w:r>
            <w:proofErr w:type="spellEnd"/>
            <w:r>
              <w:rPr>
                <w:iCs w:val="0"/>
              </w:rPr>
              <w:t xml:space="preserve"> levels can fluctuate from day-to-day and in response to variation in dietary </w:t>
            </w:r>
            <w:proofErr w:type="spellStart"/>
            <w:r>
              <w:rPr>
                <w:iCs w:val="0"/>
              </w:rPr>
              <w:t>Phe</w:t>
            </w:r>
            <w:proofErr w:type="spellEnd"/>
            <w:r>
              <w:rPr>
                <w:iCs w:val="0"/>
              </w:rPr>
              <w:t xml:space="preserve"> intake. Additionally, the PBAC noted that the submission did not provide any comparative clinical data to support a claim of superiority in ADHD</w:t>
            </w:r>
            <w:r>
              <w:rPr>
                <w:iCs w:val="0"/>
              </w:rPr>
              <w:noBreakHyphen/>
              <w:t xml:space="preserve">RS inattention subscale score (paragraph 7.5, </w:t>
            </w:r>
            <w:proofErr w:type="spellStart"/>
            <w:r>
              <w:rPr>
                <w:iCs w:val="0"/>
              </w:rPr>
              <w:t>pegvaliase</w:t>
            </w:r>
            <w:proofErr w:type="spellEnd"/>
            <w:r>
              <w:rPr>
                <w:iCs w:val="0"/>
              </w:rPr>
              <w:t xml:space="preserve"> PSD, July 2022 PBAC meeting).</w:t>
            </w:r>
          </w:p>
        </w:tc>
        <w:tc>
          <w:tcPr>
            <w:tcW w:w="3781" w:type="dxa"/>
            <w:tcBorders>
              <w:top w:val="single" w:sz="4" w:space="0" w:color="000000"/>
              <w:left w:val="single" w:sz="4" w:space="0" w:color="000000"/>
              <w:bottom w:val="single" w:sz="4" w:space="0" w:color="000000"/>
              <w:right w:val="single" w:sz="4" w:space="0" w:color="000000"/>
            </w:tcBorders>
          </w:tcPr>
          <w:p w14:paraId="56DEA6C6" w14:textId="43E9BC61" w:rsidR="004D59D4" w:rsidRDefault="00023FAF" w:rsidP="00025AAC">
            <w:pPr>
              <w:pStyle w:val="TableText1"/>
              <w:keepNext w:val="0"/>
              <w:keepLines w:val="0"/>
              <w:rPr>
                <w:iCs w:val="0"/>
              </w:rPr>
            </w:pPr>
            <w:r>
              <w:rPr>
                <w:iCs w:val="0"/>
              </w:rPr>
              <w:t xml:space="preserve">Not adequately addressed. The proposed </w:t>
            </w:r>
            <w:proofErr w:type="spellStart"/>
            <w:r>
              <w:rPr>
                <w:iCs w:val="0"/>
              </w:rPr>
              <w:t>pegvaliase</w:t>
            </w:r>
            <w:proofErr w:type="spellEnd"/>
            <w:r>
              <w:rPr>
                <w:iCs w:val="0"/>
              </w:rPr>
              <w:t xml:space="preserve"> response criteria remained the same as in the previous submission. Consequently, demonstration of a response to treatment remained based on a single blood-</w:t>
            </w:r>
            <w:proofErr w:type="spellStart"/>
            <w:r>
              <w:rPr>
                <w:iCs w:val="0"/>
              </w:rPr>
              <w:t>Phe</w:t>
            </w:r>
            <w:proofErr w:type="spellEnd"/>
            <w:r>
              <w:rPr>
                <w:iCs w:val="0"/>
              </w:rPr>
              <w:t xml:space="preserve"> measurement. Refer to paragraphs </w:t>
            </w:r>
            <w:r>
              <w:rPr>
                <w:iCs w:val="0"/>
              </w:rPr>
              <w:fldChar w:fldCharType="begin"/>
            </w:r>
            <w:r>
              <w:rPr>
                <w:iCs w:val="0"/>
              </w:rPr>
              <w:instrText xml:space="preserve"> REF _Ref216722270 \r \r \h </w:instrText>
            </w:r>
            <w:r>
              <w:rPr>
                <w:iCs w:val="0"/>
              </w:rPr>
            </w:r>
            <w:r>
              <w:rPr>
                <w:iCs w:val="0"/>
              </w:rPr>
              <w:fldChar w:fldCharType="separate"/>
            </w:r>
            <w:r w:rsidR="00675925">
              <w:rPr>
                <w:iCs w:val="0"/>
              </w:rPr>
              <w:t>3.8</w:t>
            </w:r>
            <w:r>
              <w:rPr>
                <w:iCs w:val="0"/>
              </w:rPr>
              <w:fldChar w:fldCharType="end"/>
            </w:r>
            <w:r>
              <w:rPr>
                <w:iCs w:val="0"/>
              </w:rPr>
              <w:t xml:space="preserve"> to </w:t>
            </w:r>
            <w:r>
              <w:rPr>
                <w:iCs w:val="0"/>
              </w:rPr>
              <w:fldChar w:fldCharType="begin"/>
            </w:r>
            <w:r>
              <w:rPr>
                <w:iCs w:val="0"/>
              </w:rPr>
              <w:instrText xml:space="preserve"> REF _Ref216722484 \r \r \h </w:instrText>
            </w:r>
            <w:r>
              <w:rPr>
                <w:iCs w:val="0"/>
              </w:rPr>
            </w:r>
            <w:r>
              <w:rPr>
                <w:iCs w:val="0"/>
              </w:rPr>
              <w:fldChar w:fldCharType="separate"/>
            </w:r>
            <w:r w:rsidR="00675925">
              <w:rPr>
                <w:iCs w:val="0"/>
              </w:rPr>
              <w:t>3.10</w:t>
            </w:r>
            <w:r>
              <w:rPr>
                <w:iCs w:val="0"/>
              </w:rPr>
              <w:fldChar w:fldCharType="end"/>
            </w:r>
            <w:r>
              <w:rPr>
                <w:iCs w:val="0"/>
              </w:rPr>
              <w:t xml:space="preserve"> for details.</w:t>
            </w:r>
          </w:p>
          <w:p w14:paraId="36B0CC6D" w14:textId="77777777" w:rsidR="004D59D4" w:rsidRDefault="004D59D4" w:rsidP="00025AAC">
            <w:pPr>
              <w:pStyle w:val="TableText1"/>
              <w:keepNext w:val="0"/>
              <w:keepLines w:val="0"/>
              <w:rPr>
                <w:iCs w:val="0"/>
              </w:rPr>
            </w:pPr>
          </w:p>
          <w:p w14:paraId="379F4AEA" w14:textId="77777777" w:rsidR="004D59D4" w:rsidRDefault="00023FAF" w:rsidP="00025AAC">
            <w:pPr>
              <w:pStyle w:val="TableText1"/>
              <w:keepNext w:val="0"/>
              <w:keepLines w:val="0"/>
              <w:rPr>
                <w:iCs w:val="0"/>
              </w:rPr>
            </w:pPr>
            <w:r>
              <w:rPr>
                <w:iCs w:val="0"/>
              </w:rPr>
              <w:t xml:space="preserve">The proposed demonstration of response to </w:t>
            </w:r>
            <w:proofErr w:type="spellStart"/>
            <w:r>
              <w:rPr>
                <w:iCs w:val="0"/>
              </w:rPr>
              <w:t>pegvaliase</w:t>
            </w:r>
            <w:proofErr w:type="spellEnd"/>
            <w:r>
              <w:rPr>
                <w:iCs w:val="0"/>
              </w:rPr>
              <w:t xml:space="preserve"> is different to the demonstration of response in the </w:t>
            </w:r>
            <w:proofErr w:type="spellStart"/>
            <w:r>
              <w:rPr>
                <w:iCs w:val="0"/>
              </w:rPr>
              <w:t>sapropterin</w:t>
            </w:r>
            <w:proofErr w:type="spellEnd"/>
            <w:r>
              <w:rPr>
                <w:iCs w:val="0"/>
              </w:rPr>
              <w:t xml:space="preserve"> PBS restriction, that requires patients have ≥ 30% reduction in </w:t>
            </w:r>
            <w:proofErr w:type="spellStart"/>
            <w:r>
              <w:rPr>
                <w:iCs w:val="0"/>
              </w:rPr>
              <w:t>Phe</w:t>
            </w:r>
            <w:proofErr w:type="spellEnd"/>
            <w:r>
              <w:rPr>
                <w:iCs w:val="0"/>
              </w:rPr>
              <w:t xml:space="preserve"> levels from baseline during initial responsiveness testing.</w:t>
            </w:r>
          </w:p>
          <w:p w14:paraId="7509BA43" w14:textId="77777777" w:rsidR="004D59D4" w:rsidRDefault="004D59D4" w:rsidP="00025AAC">
            <w:pPr>
              <w:pStyle w:val="TableText1"/>
              <w:keepNext w:val="0"/>
              <w:keepLines w:val="0"/>
              <w:rPr>
                <w:iCs w:val="0"/>
              </w:rPr>
            </w:pPr>
          </w:p>
          <w:p w14:paraId="113B9294" w14:textId="77777777" w:rsidR="004D59D4" w:rsidRDefault="00023FAF" w:rsidP="00025AAC">
            <w:pPr>
              <w:pStyle w:val="TableText1"/>
              <w:keepNext w:val="0"/>
              <w:keepLines w:val="0"/>
              <w:rPr>
                <w:iCs w:val="0"/>
              </w:rPr>
            </w:pPr>
            <w:r>
              <w:rPr>
                <w:iCs w:val="0"/>
              </w:rPr>
              <w:t xml:space="preserve">As in the previous submission, the resubmission did not provide any comparative clinical data to support the superiority claim in ADHD-RS inattention subscale score. </w:t>
            </w:r>
          </w:p>
        </w:tc>
      </w:tr>
      <w:tr w:rsidR="004D59D4" w14:paraId="327E1309" w14:textId="77777777">
        <w:trPr>
          <w:cantSplit/>
        </w:trPr>
        <w:tc>
          <w:tcPr>
            <w:tcW w:w="1415" w:type="dxa"/>
            <w:tcBorders>
              <w:top w:val="single" w:sz="4" w:space="0" w:color="000000"/>
              <w:left w:val="single" w:sz="4" w:space="0" w:color="000000"/>
              <w:bottom w:val="single" w:sz="4" w:space="0" w:color="000000"/>
              <w:right w:val="single" w:sz="4" w:space="0" w:color="000000"/>
            </w:tcBorders>
          </w:tcPr>
          <w:p w14:paraId="1855118E" w14:textId="77777777" w:rsidR="004D59D4" w:rsidRDefault="00023FAF" w:rsidP="00025AAC">
            <w:pPr>
              <w:pStyle w:val="TableText1"/>
              <w:keepNext w:val="0"/>
              <w:keepLines w:val="0"/>
              <w:rPr>
                <w:iCs w:val="0"/>
              </w:rPr>
            </w:pPr>
            <w:r>
              <w:rPr>
                <w:iCs w:val="0"/>
              </w:rPr>
              <w:t>Proposed restriction, maximum duration of initiation treatment</w:t>
            </w:r>
          </w:p>
        </w:tc>
        <w:tc>
          <w:tcPr>
            <w:tcW w:w="3830" w:type="dxa"/>
            <w:tcBorders>
              <w:top w:val="single" w:sz="4" w:space="0" w:color="000000"/>
              <w:left w:val="single" w:sz="4" w:space="0" w:color="000000"/>
              <w:bottom w:val="single" w:sz="4" w:space="0" w:color="000000"/>
              <w:right w:val="single" w:sz="4" w:space="0" w:color="000000"/>
            </w:tcBorders>
          </w:tcPr>
          <w:p w14:paraId="128F375A" w14:textId="77777777" w:rsidR="004D59D4" w:rsidRDefault="00023FAF" w:rsidP="00025AAC">
            <w:pPr>
              <w:pStyle w:val="TableText1"/>
              <w:keepNext w:val="0"/>
              <w:keepLines w:val="0"/>
              <w:rPr>
                <w:iCs w:val="0"/>
              </w:rPr>
            </w:pPr>
            <w:r>
              <w:rPr>
                <w:iCs w:val="0"/>
              </w:rPr>
              <w:t xml:space="preserve">The proposed restriction allowed up to 24 months treatment under the initial treatment phase (induction, titration and maintenance) before a treatment response must be demonstrated. The ESC considered that two years was an inappropriately long period of time for patients to be on treatment without assessing whether the benefits were outweighing the risks. The ESC considered that a shorter period for assessing response would be more appropriate (paragraph 3.3, </w:t>
            </w:r>
            <w:proofErr w:type="spellStart"/>
            <w:r>
              <w:rPr>
                <w:iCs w:val="0"/>
              </w:rPr>
              <w:t>pegvaliase</w:t>
            </w:r>
            <w:proofErr w:type="spellEnd"/>
            <w:r>
              <w:rPr>
                <w:iCs w:val="0"/>
              </w:rPr>
              <w:t xml:space="preserve"> PSD, July 2022 PBAC meeting).</w:t>
            </w:r>
          </w:p>
        </w:tc>
        <w:tc>
          <w:tcPr>
            <w:tcW w:w="3781" w:type="dxa"/>
            <w:tcBorders>
              <w:top w:val="single" w:sz="4" w:space="0" w:color="000000"/>
              <w:left w:val="single" w:sz="4" w:space="0" w:color="000000"/>
              <w:bottom w:val="single" w:sz="4" w:space="0" w:color="000000"/>
              <w:right w:val="single" w:sz="4" w:space="0" w:color="000000"/>
            </w:tcBorders>
          </w:tcPr>
          <w:p w14:paraId="1B4B251B" w14:textId="77777777" w:rsidR="004D59D4" w:rsidRDefault="00023FAF" w:rsidP="00025AAC">
            <w:pPr>
              <w:pStyle w:val="TableText1"/>
              <w:keepNext w:val="0"/>
              <w:keepLines w:val="0"/>
              <w:rPr>
                <w:iCs w:val="0"/>
              </w:rPr>
            </w:pPr>
            <w:r>
              <w:rPr>
                <w:iCs w:val="0"/>
              </w:rPr>
              <w:t>Not addressed. The proposed restriction in the resubmission allowed up to 24 months treatment under the initial treatment phase.</w:t>
            </w:r>
          </w:p>
          <w:p w14:paraId="2CDB3322" w14:textId="77777777" w:rsidR="004D59D4" w:rsidRDefault="004D59D4" w:rsidP="00025AAC">
            <w:pPr>
              <w:pStyle w:val="TableText1"/>
              <w:keepNext w:val="0"/>
              <w:keepLines w:val="0"/>
              <w:rPr>
                <w:iCs w:val="0"/>
              </w:rPr>
            </w:pPr>
          </w:p>
          <w:p w14:paraId="70456D46" w14:textId="08A85250" w:rsidR="004D59D4" w:rsidRDefault="00023FAF" w:rsidP="00025AAC">
            <w:pPr>
              <w:pStyle w:val="TableText1"/>
              <w:keepNext w:val="0"/>
              <w:keepLines w:val="0"/>
              <w:rPr>
                <w:iCs w:val="0"/>
              </w:rPr>
            </w:pPr>
            <w:r>
              <w:rPr>
                <w:iCs w:val="0"/>
              </w:rPr>
              <w:t xml:space="preserve">The resubmission provided new dispensing data and claimed these data demonstrate that it may take up to 24 months to reach a therapeutic dose of </w:t>
            </w:r>
            <w:proofErr w:type="spellStart"/>
            <w:r>
              <w:rPr>
                <w:iCs w:val="0"/>
              </w:rPr>
              <w:t>pegvaliase</w:t>
            </w:r>
            <w:proofErr w:type="spellEnd"/>
            <w:r>
              <w:rPr>
                <w:iCs w:val="0"/>
              </w:rPr>
              <w:t xml:space="preserve">. The resubmission also claimed there are other examples of a long initial treatment period on the PBS such as tyrosine kinase inhibitors for the treatment of chronic myeloid leukaemia. Refer to paragraphs </w:t>
            </w:r>
            <w:r>
              <w:rPr>
                <w:iCs w:val="0"/>
              </w:rPr>
              <w:fldChar w:fldCharType="begin"/>
            </w:r>
            <w:r>
              <w:rPr>
                <w:iCs w:val="0"/>
              </w:rPr>
              <w:instrText xml:space="preserve"> REF _Ref217375126 \r \r \h </w:instrText>
            </w:r>
            <w:r>
              <w:rPr>
                <w:iCs w:val="0"/>
              </w:rPr>
            </w:r>
            <w:r>
              <w:rPr>
                <w:iCs w:val="0"/>
              </w:rPr>
              <w:fldChar w:fldCharType="separate"/>
            </w:r>
            <w:r w:rsidR="00675925">
              <w:rPr>
                <w:iCs w:val="0"/>
              </w:rPr>
              <w:t>3.11</w:t>
            </w:r>
            <w:r>
              <w:rPr>
                <w:iCs w:val="0"/>
              </w:rPr>
              <w:fldChar w:fldCharType="end"/>
            </w:r>
            <w:r>
              <w:rPr>
                <w:iCs w:val="0"/>
              </w:rPr>
              <w:t xml:space="preserve"> to </w:t>
            </w:r>
            <w:r>
              <w:rPr>
                <w:iCs w:val="0"/>
              </w:rPr>
              <w:fldChar w:fldCharType="begin"/>
            </w:r>
            <w:r>
              <w:rPr>
                <w:iCs w:val="0"/>
              </w:rPr>
              <w:instrText xml:space="preserve"> REF _Ref217375131 \r \r \h </w:instrText>
            </w:r>
            <w:r>
              <w:rPr>
                <w:iCs w:val="0"/>
              </w:rPr>
            </w:r>
            <w:r>
              <w:rPr>
                <w:iCs w:val="0"/>
              </w:rPr>
              <w:fldChar w:fldCharType="separate"/>
            </w:r>
            <w:r w:rsidR="00675925">
              <w:rPr>
                <w:iCs w:val="0"/>
              </w:rPr>
              <w:t>3.12</w:t>
            </w:r>
            <w:r>
              <w:rPr>
                <w:iCs w:val="0"/>
              </w:rPr>
              <w:fldChar w:fldCharType="end"/>
            </w:r>
            <w:r>
              <w:rPr>
                <w:iCs w:val="0"/>
              </w:rPr>
              <w:t xml:space="preserve"> for details.</w:t>
            </w:r>
          </w:p>
        </w:tc>
      </w:tr>
      <w:tr w:rsidR="004D59D4" w14:paraId="09798374" w14:textId="77777777">
        <w:trPr>
          <w:cantSplit/>
        </w:trPr>
        <w:tc>
          <w:tcPr>
            <w:tcW w:w="1415" w:type="dxa"/>
            <w:tcBorders>
              <w:top w:val="single" w:sz="4" w:space="0" w:color="000000"/>
              <w:left w:val="single" w:sz="4" w:space="0" w:color="000000"/>
              <w:bottom w:val="single" w:sz="4" w:space="0" w:color="000000"/>
              <w:right w:val="single" w:sz="4" w:space="0" w:color="000000"/>
            </w:tcBorders>
          </w:tcPr>
          <w:p w14:paraId="29AD1CCF" w14:textId="77777777" w:rsidR="004D59D4" w:rsidRDefault="00023FAF" w:rsidP="00025AAC">
            <w:pPr>
              <w:pStyle w:val="TableText1"/>
              <w:keepNext w:val="0"/>
              <w:keepLines w:val="0"/>
              <w:rPr>
                <w:iCs w:val="0"/>
              </w:rPr>
            </w:pPr>
            <w:r>
              <w:rPr>
                <w:iCs w:val="0"/>
              </w:rPr>
              <w:lastRenderedPageBreak/>
              <w:t>Comparator</w:t>
            </w:r>
          </w:p>
        </w:tc>
        <w:tc>
          <w:tcPr>
            <w:tcW w:w="3830" w:type="dxa"/>
            <w:tcBorders>
              <w:top w:val="single" w:sz="4" w:space="0" w:color="000000"/>
              <w:left w:val="single" w:sz="4" w:space="0" w:color="000000"/>
              <w:bottom w:val="single" w:sz="4" w:space="0" w:color="000000"/>
              <w:right w:val="single" w:sz="4" w:space="0" w:color="000000"/>
            </w:tcBorders>
          </w:tcPr>
          <w:p w14:paraId="7136F12F" w14:textId="32A86853" w:rsidR="004D59D4" w:rsidRDefault="00023FAF" w:rsidP="00025AAC">
            <w:pPr>
              <w:pStyle w:val="TableText1"/>
              <w:keepNext w:val="0"/>
              <w:keepLines w:val="0"/>
              <w:rPr>
                <w:iCs w:val="0"/>
              </w:rPr>
            </w:pPr>
            <w:r>
              <w:rPr>
                <w:iCs w:val="0"/>
              </w:rPr>
              <w:t xml:space="preserve">While the PBAC considered that the nominated comparator, a </w:t>
            </w:r>
            <w:proofErr w:type="spellStart"/>
            <w:r>
              <w:rPr>
                <w:iCs w:val="0"/>
              </w:rPr>
              <w:t>Phe</w:t>
            </w:r>
            <w:proofErr w:type="spellEnd"/>
            <w:r>
              <w:rPr>
                <w:iCs w:val="0"/>
              </w:rPr>
              <w:t>-restricted diet alone, was an appropriate comparator in the context of the restriction proposed by the submission, the</w:t>
            </w:r>
            <w:r w:rsidR="00ED646D">
              <w:rPr>
                <w:iCs w:val="0"/>
              </w:rPr>
              <w:t xml:space="preserve"> Committee</w:t>
            </w:r>
            <w:r>
              <w:rPr>
                <w:iCs w:val="0"/>
              </w:rPr>
              <w:t xml:space="preserve"> considered that </w:t>
            </w:r>
            <w:proofErr w:type="spellStart"/>
            <w:r>
              <w:rPr>
                <w:iCs w:val="0"/>
              </w:rPr>
              <w:t>sapropterin</w:t>
            </w:r>
            <w:proofErr w:type="spellEnd"/>
            <w:r>
              <w:rPr>
                <w:iCs w:val="0"/>
              </w:rPr>
              <w:t xml:space="preserve"> was also a relevant comparator, given it had considered that the proposed restriction of </w:t>
            </w:r>
            <w:proofErr w:type="spellStart"/>
            <w:r>
              <w:rPr>
                <w:iCs w:val="0"/>
              </w:rPr>
              <w:t>pegvaliase</w:t>
            </w:r>
            <w:proofErr w:type="spellEnd"/>
            <w:r>
              <w:rPr>
                <w:iCs w:val="0"/>
              </w:rPr>
              <w:t xml:space="preserve"> to </w:t>
            </w:r>
            <w:proofErr w:type="spellStart"/>
            <w:r>
              <w:rPr>
                <w:iCs w:val="0"/>
              </w:rPr>
              <w:t>sapropterin</w:t>
            </w:r>
            <w:proofErr w:type="spellEnd"/>
            <w:r>
              <w:rPr>
                <w:iCs w:val="0"/>
              </w:rPr>
              <w:t xml:space="preserve"> non-responders was not appropriate (paragraph 7.6, </w:t>
            </w:r>
            <w:proofErr w:type="spellStart"/>
            <w:r>
              <w:rPr>
                <w:iCs w:val="0"/>
              </w:rPr>
              <w:t>pegvaliase</w:t>
            </w:r>
            <w:proofErr w:type="spellEnd"/>
            <w:r>
              <w:rPr>
                <w:iCs w:val="0"/>
              </w:rPr>
              <w:t xml:space="preserve"> PSD, July 2022 PBAC meeting).</w:t>
            </w:r>
          </w:p>
          <w:p w14:paraId="63CF9CEC" w14:textId="77777777" w:rsidR="004D59D4" w:rsidRDefault="004D59D4" w:rsidP="00025AAC">
            <w:pPr>
              <w:pStyle w:val="TableText1"/>
              <w:keepNext w:val="0"/>
              <w:keepLines w:val="0"/>
              <w:rPr>
                <w:iCs w:val="0"/>
              </w:rPr>
            </w:pPr>
          </w:p>
          <w:p w14:paraId="2EC3E586" w14:textId="77777777" w:rsidR="004D59D4" w:rsidRDefault="00023FAF" w:rsidP="00025AAC">
            <w:pPr>
              <w:pStyle w:val="TableText1"/>
              <w:keepNext w:val="0"/>
              <w:keepLines w:val="0"/>
              <w:rPr>
                <w:iCs w:val="0"/>
              </w:rPr>
            </w:pPr>
            <w:r>
              <w:rPr>
                <w:iCs w:val="0"/>
              </w:rPr>
              <w:t xml:space="preserve">The PBAC considered that any resubmission for </w:t>
            </w:r>
            <w:proofErr w:type="spellStart"/>
            <w:r>
              <w:rPr>
                <w:iCs w:val="0"/>
              </w:rPr>
              <w:t>pegvaliase</w:t>
            </w:r>
            <w:proofErr w:type="spellEnd"/>
            <w:r>
              <w:rPr>
                <w:iCs w:val="0"/>
              </w:rPr>
              <w:t xml:space="preserve"> should not restrict access based on prior response to </w:t>
            </w:r>
            <w:proofErr w:type="spellStart"/>
            <w:r>
              <w:rPr>
                <w:iCs w:val="0"/>
              </w:rPr>
              <w:t>sapropterin</w:t>
            </w:r>
            <w:proofErr w:type="spellEnd"/>
            <w:r>
              <w:rPr>
                <w:iCs w:val="0"/>
              </w:rPr>
              <w:t xml:space="preserve"> and hence </w:t>
            </w:r>
            <w:proofErr w:type="spellStart"/>
            <w:r>
              <w:rPr>
                <w:iCs w:val="0"/>
              </w:rPr>
              <w:t>sapropterin</w:t>
            </w:r>
            <w:proofErr w:type="spellEnd"/>
            <w:r>
              <w:rPr>
                <w:iCs w:val="0"/>
              </w:rPr>
              <w:t xml:space="preserve"> should be included as a comparator (paragraph 7.14, </w:t>
            </w:r>
            <w:proofErr w:type="spellStart"/>
            <w:r>
              <w:rPr>
                <w:iCs w:val="0"/>
              </w:rPr>
              <w:t>pegvaliase</w:t>
            </w:r>
            <w:proofErr w:type="spellEnd"/>
            <w:r>
              <w:rPr>
                <w:iCs w:val="0"/>
              </w:rPr>
              <w:t xml:space="preserve"> PSD, July 2022 PBAC meeting).</w:t>
            </w:r>
          </w:p>
        </w:tc>
        <w:tc>
          <w:tcPr>
            <w:tcW w:w="3781" w:type="dxa"/>
            <w:tcBorders>
              <w:top w:val="single" w:sz="4" w:space="0" w:color="000000"/>
              <w:left w:val="single" w:sz="4" w:space="0" w:color="000000"/>
              <w:bottom w:val="single" w:sz="4" w:space="0" w:color="000000"/>
              <w:right w:val="single" w:sz="4" w:space="0" w:color="000000"/>
            </w:tcBorders>
          </w:tcPr>
          <w:p w14:paraId="2C490CB7" w14:textId="2522CFE4" w:rsidR="004D59D4" w:rsidRDefault="00023FAF" w:rsidP="00025AAC">
            <w:pPr>
              <w:pStyle w:val="TableText1"/>
              <w:keepNext w:val="0"/>
              <w:keepLines w:val="0"/>
              <w:rPr>
                <w:iCs w:val="0"/>
              </w:rPr>
            </w:pPr>
            <w:r>
              <w:rPr>
                <w:iCs w:val="0"/>
              </w:rPr>
              <w:t xml:space="preserve">Not addressed. The same comparator of </w:t>
            </w:r>
            <w:proofErr w:type="spellStart"/>
            <w:r>
              <w:rPr>
                <w:iCs w:val="0"/>
              </w:rPr>
              <w:t>Phe</w:t>
            </w:r>
            <w:proofErr w:type="spellEnd"/>
            <w:r>
              <w:rPr>
                <w:iCs w:val="0"/>
              </w:rPr>
              <w:t xml:space="preserve">-restricted diet alone was proposed in the resubmission. Although it </w:t>
            </w:r>
            <w:r w:rsidR="001C4218">
              <w:rPr>
                <w:iCs w:val="0"/>
              </w:rPr>
              <w:t xml:space="preserve">may </w:t>
            </w:r>
            <w:r>
              <w:rPr>
                <w:iCs w:val="0"/>
              </w:rPr>
              <w:t xml:space="preserve">provide a relevant comparator for the additional patient population who had previously responded to </w:t>
            </w:r>
            <w:proofErr w:type="spellStart"/>
            <w:r>
              <w:rPr>
                <w:iCs w:val="0"/>
              </w:rPr>
              <w:t>sapropterin</w:t>
            </w:r>
            <w:proofErr w:type="spellEnd"/>
            <w:r>
              <w:rPr>
                <w:iCs w:val="0"/>
              </w:rPr>
              <w:t xml:space="preserve">, </w:t>
            </w:r>
            <w:proofErr w:type="spellStart"/>
            <w:r>
              <w:rPr>
                <w:iCs w:val="0"/>
              </w:rPr>
              <w:t>sapropterin</w:t>
            </w:r>
            <w:proofErr w:type="spellEnd"/>
            <w:r>
              <w:rPr>
                <w:iCs w:val="0"/>
              </w:rPr>
              <w:t xml:space="preserve"> was not nominated as a comparator. Refer to paragraphs </w:t>
            </w:r>
            <w:r>
              <w:rPr>
                <w:iCs w:val="0"/>
              </w:rPr>
              <w:fldChar w:fldCharType="begin"/>
            </w:r>
            <w:r>
              <w:rPr>
                <w:iCs w:val="0"/>
              </w:rPr>
              <w:instrText xml:space="preserve"> REF _Ref216722547 \r \r \h </w:instrText>
            </w:r>
            <w:r>
              <w:rPr>
                <w:iCs w:val="0"/>
              </w:rPr>
            </w:r>
            <w:r>
              <w:rPr>
                <w:iCs w:val="0"/>
              </w:rPr>
              <w:fldChar w:fldCharType="separate"/>
            </w:r>
            <w:r w:rsidR="00675925">
              <w:rPr>
                <w:iCs w:val="0"/>
              </w:rPr>
              <w:t>5.1</w:t>
            </w:r>
            <w:r>
              <w:rPr>
                <w:iCs w:val="0"/>
              </w:rPr>
              <w:fldChar w:fldCharType="end"/>
            </w:r>
            <w:r>
              <w:rPr>
                <w:iCs w:val="0"/>
              </w:rPr>
              <w:t xml:space="preserve"> to </w:t>
            </w:r>
            <w:r>
              <w:rPr>
                <w:iCs w:val="0"/>
              </w:rPr>
              <w:fldChar w:fldCharType="begin"/>
            </w:r>
            <w:r>
              <w:rPr>
                <w:iCs w:val="0"/>
              </w:rPr>
              <w:instrText xml:space="preserve"> REF _Ref216722560 \r \r \h </w:instrText>
            </w:r>
            <w:r>
              <w:rPr>
                <w:iCs w:val="0"/>
              </w:rPr>
            </w:r>
            <w:r>
              <w:rPr>
                <w:iCs w:val="0"/>
              </w:rPr>
              <w:fldChar w:fldCharType="separate"/>
            </w:r>
            <w:r w:rsidR="00675925">
              <w:rPr>
                <w:iCs w:val="0"/>
              </w:rPr>
              <w:t>5.5</w:t>
            </w:r>
            <w:r>
              <w:rPr>
                <w:iCs w:val="0"/>
              </w:rPr>
              <w:fldChar w:fldCharType="end"/>
            </w:r>
            <w:r>
              <w:rPr>
                <w:iCs w:val="0"/>
              </w:rPr>
              <w:t xml:space="preserve"> for details.</w:t>
            </w:r>
          </w:p>
        </w:tc>
      </w:tr>
      <w:tr w:rsidR="004D59D4" w14:paraId="4556359E" w14:textId="77777777">
        <w:trPr>
          <w:cantSplit/>
        </w:trPr>
        <w:tc>
          <w:tcPr>
            <w:tcW w:w="1415" w:type="dxa"/>
            <w:tcBorders>
              <w:top w:val="single" w:sz="4" w:space="0" w:color="000000"/>
              <w:left w:val="single" w:sz="4" w:space="0" w:color="000000"/>
              <w:bottom w:val="single" w:sz="4" w:space="0" w:color="000000"/>
              <w:right w:val="single" w:sz="4" w:space="0" w:color="000000"/>
            </w:tcBorders>
          </w:tcPr>
          <w:p w14:paraId="15B4AABF" w14:textId="77777777" w:rsidR="004D59D4" w:rsidRDefault="00023FAF" w:rsidP="00025AAC">
            <w:pPr>
              <w:pStyle w:val="TableText1"/>
              <w:keepNext w:val="0"/>
              <w:keepLines w:val="0"/>
              <w:rPr>
                <w:iCs w:val="0"/>
              </w:rPr>
            </w:pPr>
            <w:r>
              <w:rPr>
                <w:iCs w:val="0"/>
              </w:rPr>
              <w:t>Clinical effectiveness</w:t>
            </w:r>
          </w:p>
        </w:tc>
        <w:tc>
          <w:tcPr>
            <w:tcW w:w="3830" w:type="dxa"/>
            <w:tcBorders>
              <w:top w:val="single" w:sz="4" w:space="0" w:color="000000"/>
              <w:left w:val="single" w:sz="4" w:space="0" w:color="000000"/>
              <w:bottom w:val="single" w:sz="4" w:space="0" w:color="000000"/>
              <w:right w:val="single" w:sz="4" w:space="0" w:color="000000"/>
            </w:tcBorders>
          </w:tcPr>
          <w:p w14:paraId="4F071E4E" w14:textId="3A25554B" w:rsidR="004D59D4" w:rsidRDefault="00023FAF" w:rsidP="00025AAC">
            <w:pPr>
              <w:pStyle w:val="TableText1"/>
              <w:keepNext w:val="0"/>
              <w:keepLines w:val="0"/>
              <w:rPr>
                <w:iCs w:val="0"/>
              </w:rPr>
            </w:pPr>
            <w:r>
              <w:rPr>
                <w:iCs w:val="0"/>
              </w:rPr>
              <w:t xml:space="preserve">The PBAC considered that while </w:t>
            </w:r>
            <w:proofErr w:type="spellStart"/>
            <w:r>
              <w:rPr>
                <w:iCs w:val="0"/>
              </w:rPr>
              <w:t>pegvaliase</w:t>
            </w:r>
            <w:proofErr w:type="spellEnd"/>
            <w:r>
              <w:rPr>
                <w:iCs w:val="0"/>
              </w:rPr>
              <w:t xml:space="preserve"> appears to be effective at reducing blood </w:t>
            </w:r>
            <w:proofErr w:type="spellStart"/>
            <w:r>
              <w:rPr>
                <w:iCs w:val="0"/>
              </w:rPr>
              <w:t>Phe</w:t>
            </w:r>
            <w:proofErr w:type="spellEnd"/>
            <w:r>
              <w:rPr>
                <w:iCs w:val="0"/>
              </w:rPr>
              <w:t xml:space="preserve"> levels, the magnitude of the incremental benefit could not be reliably estimated and was likely overestimated by the submission due to the poor quality and methodological limitations of the clinical evidence (paragraph 7.8, </w:t>
            </w:r>
            <w:proofErr w:type="spellStart"/>
            <w:r>
              <w:rPr>
                <w:iCs w:val="0"/>
              </w:rPr>
              <w:t>pegvaliase</w:t>
            </w:r>
            <w:proofErr w:type="spellEnd"/>
            <w:r>
              <w:rPr>
                <w:iCs w:val="0"/>
              </w:rPr>
              <w:t xml:space="preserve"> PSD, July 2022 PBAC meeting)</w:t>
            </w:r>
            <w:r w:rsidR="00DD309A">
              <w:rPr>
                <w:iCs w:val="0"/>
              </w:rPr>
              <w:t>.</w:t>
            </w:r>
          </w:p>
        </w:tc>
        <w:tc>
          <w:tcPr>
            <w:tcW w:w="3781" w:type="dxa"/>
            <w:tcBorders>
              <w:top w:val="single" w:sz="4" w:space="0" w:color="000000"/>
              <w:left w:val="single" w:sz="4" w:space="0" w:color="000000"/>
              <w:bottom w:val="single" w:sz="4" w:space="0" w:color="000000"/>
              <w:right w:val="single" w:sz="4" w:space="0" w:color="000000"/>
            </w:tcBorders>
          </w:tcPr>
          <w:p w14:paraId="5F2263A9" w14:textId="735D76E1" w:rsidR="004D59D4" w:rsidRDefault="00023FAF" w:rsidP="00025AAC">
            <w:pPr>
              <w:pStyle w:val="TableText1"/>
              <w:keepNext w:val="0"/>
              <w:keepLines w:val="0"/>
              <w:rPr>
                <w:iCs w:val="0"/>
              </w:rPr>
            </w:pPr>
            <w:r>
              <w:rPr>
                <w:iCs w:val="0"/>
              </w:rPr>
              <w:t xml:space="preserve">Not adequately addressed. The resubmission did not provide any additional data that allowed the demonstration of the magnitude of the incremental benefit for </w:t>
            </w:r>
            <w:proofErr w:type="spellStart"/>
            <w:r>
              <w:rPr>
                <w:iCs w:val="0"/>
              </w:rPr>
              <w:t>pegvaliase</w:t>
            </w:r>
            <w:proofErr w:type="spellEnd"/>
            <w:r>
              <w:rPr>
                <w:iCs w:val="0"/>
              </w:rPr>
              <w:t xml:space="preserve">. The only new clinical evidence provided in the resubmission was an additional analysis (Burton 2024). Burton 2024 compared </w:t>
            </w:r>
            <w:proofErr w:type="spellStart"/>
            <w:r>
              <w:rPr>
                <w:iCs w:val="0"/>
              </w:rPr>
              <w:t>pegvaliase</w:t>
            </w:r>
            <w:proofErr w:type="spellEnd"/>
            <w:r>
              <w:rPr>
                <w:iCs w:val="0"/>
              </w:rPr>
              <w:t xml:space="preserve">-treated and </w:t>
            </w:r>
            <w:proofErr w:type="spellStart"/>
            <w:r>
              <w:rPr>
                <w:iCs w:val="0"/>
              </w:rPr>
              <w:t>Phe</w:t>
            </w:r>
            <w:proofErr w:type="spellEnd"/>
            <w:r>
              <w:rPr>
                <w:iCs w:val="0"/>
              </w:rPr>
              <w:t xml:space="preserve">-restricted ‘diet alone’-treated patients using the same data as presented in the previous submission (PRISM vs PKUDOS). Refer to paragraphs </w:t>
            </w:r>
            <w:r>
              <w:rPr>
                <w:iCs w:val="0"/>
              </w:rPr>
              <w:fldChar w:fldCharType="begin"/>
            </w:r>
            <w:r>
              <w:rPr>
                <w:iCs w:val="0"/>
              </w:rPr>
              <w:instrText xml:space="preserve"> REF _Ref216722586 \r \r \h </w:instrText>
            </w:r>
            <w:r>
              <w:rPr>
                <w:iCs w:val="0"/>
              </w:rPr>
            </w:r>
            <w:r>
              <w:rPr>
                <w:iCs w:val="0"/>
              </w:rPr>
              <w:fldChar w:fldCharType="separate"/>
            </w:r>
            <w:r w:rsidR="00675925">
              <w:rPr>
                <w:iCs w:val="0"/>
              </w:rPr>
              <w:t>6.13</w:t>
            </w:r>
            <w:r>
              <w:rPr>
                <w:iCs w:val="0"/>
              </w:rPr>
              <w:fldChar w:fldCharType="end"/>
            </w:r>
            <w:r>
              <w:rPr>
                <w:iCs w:val="0"/>
              </w:rPr>
              <w:t xml:space="preserve"> to </w:t>
            </w:r>
            <w:r>
              <w:rPr>
                <w:iCs w:val="0"/>
              </w:rPr>
              <w:fldChar w:fldCharType="begin"/>
            </w:r>
            <w:r>
              <w:rPr>
                <w:iCs w:val="0"/>
              </w:rPr>
              <w:instrText xml:space="preserve"> REF _Ref216722602 \r \r \h </w:instrText>
            </w:r>
            <w:r>
              <w:rPr>
                <w:iCs w:val="0"/>
              </w:rPr>
            </w:r>
            <w:r>
              <w:rPr>
                <w:iCs w:val="0"/>
              </w:rPr>
              <w:fldChar w:fldCharType="separate"/>
            </w:r>
            <w:r w:rsidR="00675925">
              <w:rPr>
                <w:iCs w:val="0"/>
              </w:rPr>
              <w:t>6.30</w:t>
            </w:r>
            <w:r>
              <w:rPr>
                <w:iCs w:val="0"/>
              </w:rPr>
              <w:fldChar w:fldCharType="end"/>
            </w:r>
            <w:r>
              <w:rPr>
                <w:iCs w:val="0"/>
              </w:rPr>
              <w:t xml:space="preserve"> for details.</w:t>
            </w:r>
          </w:p>
        </w:tc>
      </w:tr>
      <w:tr w:rsidR="004D59D4" w14:paraId="2B7F354A" w14:textId="77777777">
        <w:trPr>
          <w:cantSplit/>
        </w:trPr>
        <w:tc>
          <w:tcPr>
            <w:tcW w:w="1415" w:type="dxa"/>
            <w:tcBorders>
              <w:top w:val="single" w:sz="4" w:space="0" w:color="000000"/>
              <w:left w:val="single" w:sz="4" w:space="0" w:color="000000"/>
              <w:bottom w:val="single" w:sz="4" w:space="0" w:color="000000"/>
              <w:right w:val="single" w:sz="4" w:space="0" w:color="000000"/>
            </w:tcBorders>
          </w:tcPr>
          <w:p w14:paraId="1753C578" w14:textId="77777777" w:rsidR="004D59D4" w:rsidRDefault="00023FAF" w:rsidP="00025AAC">
            <w:pPr>
              <w:pStyle w:val="TableText1"/>
              <w:keepNext w:val="0"/>
              <w:keepLines w:val="0"/>
              <w:rPr>
                <w:iCs w:val="0"/>
              </w:rPr>
            </w:pPr>
            <w:r>
              <w:rPr>
                <w:iCs w:val="0"/>
              </w:rPr>
              <w:t>Economic evaluation</w:t>
            </w:r>
          </w:p>
        </w:tc>
        <w:tc>
          <w:tcPr>
            <w:tcW w:w="3830" w:type="dxa"/>
            <w:tcBorders>
              <w:top w:val="single" w:sz="4" w:space="0" w:color="000000"/>
              <w:left w:val="single" w:sz="4" w:space="0" w:color="000000"/>
              <w:bottom w:val="single" w:sz="4" w:space="0" w:color="000000"/>
              <w:right w:val="single" w:sz="4" w:space="0" w:color="000000"/>
            </w:tcBorders>
          </w:tcPr>
          <w:p w14:paraId="03CB429F" w14:textId="77777777" w:rsidR="004D59D4" w:rsidRDefault="00023FAF" w:rsidP="00025AAC">
            <w:pPr>
              <w:pStyle w:val="TableText1"/>
              <w:keepNext w:val="0"/>
              <w:keepLines w:val="0"/>
              <w:rPr>
                <w:iCs w:val="0"/>
              </w:rPr>
            </w:pPr>
            <w:r>
              <w:rPr>
                <w:iCs w:val="0"/>
              </w:rPr>
              <w:t xml:space="preserve">The PBAC noted that the ESC considered the economic model was highly uncertain and not informative for decision-making purposes. The ESC considered that the complex approach, extrapolated over a 100-year time horizon, meant the limitations of the clinical data (e.g., the low sample sizes and wide variances) were magnified. The PBAC also noted the ESC’s advice that there were </w:t>
            </w:r>
            <w:proofErr w:type="gramStart"/>
            <w:r>
              <w:rPr>
                <w:iCs w:val="0"/>
              </w:rPr>
              <w:t>a number of</w:t>
            </w:r>
            <w:proofErr w:type="gramEnd"/>
            <w:r>
              <w:rPr>
                <w:iCs w:val="0"/>
              </w:rPr>
              <w:t xml:space="preserve"> other areas of the model that increased uncertainty and appeared to overestimate the ICER (paragraph 7.11, </w:t>
            </w:r>
            <w:proofErr w:type="spellStart"/>
            <w:r>
              <w:rPr>
                <w:iCs w:val="0"/>
              </w:rPr>
              <w:t>pegvaliase</w:t>
            </w:r>
            <w:proofErr w:type="spellEnd"/>
            <w:r>
              <w:rPr>
                <w:iCs w:val="0"/>
              </w:rPr>
              <w:t xml:space="preserve"> PSD, July 2022 PBAC meeting). Additionally, the PBAC noted that some inputs in the 2022 model favoured </w:t>
            </w:r>
            <w:proofErr w:type="spellStart"/>
            <w:r>
              <w:rPr>
                <w:iCs w:val="0"/>
              </w:rPr>
              <w:t>pegvaliase</w:t>
            </w:r>
            <w:proofErr w:type="spellEnd"/>
            <w:r>
              <w:rPr>
                <w:iCs w:val="0"/>
              </w:rPr>
              <w:t xml:space="preserve"> (utilities, </w:t>
            </w:r>
            <w:proofErr w:type="spellStart"/>
            <w:r>
              <w:rPr>
                <w:iCs w:val="0"/>
              </w:rPr>
              <w:t>pegvaliase</w:t>
            </w:r>
            <w:proofErr w:type="spellEnd"/>
            <w:r>
              <w:rPr>
                <w:iCs w:val="0"/>
              </w:rPr>
              <w:t xml:space="preserve"> dose and comparative harms), which would potentially lead to the ICER being underestimated (paragraphs 6.70, 6.72 and 7.10, </w:t>
            </w:r>
            <w:proofErr w:type="spellStart"/>
            <w:r>
              <w:rPr>
                <w:iCs w:val="0"/>
              </w:rPr>
              <w:t>pegvaliase</w:t>
            </w:r>
            <w:proofErr w:type="spellEnd"/>
            <w:r>
              <w:rPr>
                <w:iCs w:val="0"/>
              </w:rPr>
              <w:t xml:space="preserve"> PSD, July 2022 PBAC meeting).</w:t>
            </w:r>
          </w:p>
        </w:tc>
        <w:tc>
          <w:tcPr>
            <w:tcW w:w="3781" w:type="dxa"/>
            <w:tcBorders>
              <w:top w:val="single" w:sz="4" w:space="0" w:color="000000"/>
              <w:left w:val="single" w:sz="4" w:space="0" w:color="000000"/>
              <w:bottom w:val="single" w:sz="4" w:space="0" w:color="000000"/>
              <w:right w:val="single" w:sz="4" w:space="0" w:color="000000"/>
            </w:tcBorders>
          </w:tcPr>
          <w:p w14:paraId="27C77FD1" w14:textId="5ECD6E8D" w:rsidR="004D59D4" w:rsidRDefault="00023FAF" w:rsidP="00025AAC">
            <w:pPr>
              <w:pStyle w:val="TableText1"/>
              <w:keepNext w:val="0"/>
              <w:keepLines w:val="0"/>
              <w:rPr>
                <w:iCs w:val="0"/>
              </w:rPr>
            </w:pPr>
            <w:r>
              <w:rPr>
                <w:iCs w:val="0"/>
              </w:rPr>
              <w:t xml:space="preserve">Not adequately addressed. The same economic model and microsimulation approach were used in the resubmission. Refer to paragraphs </w:t>
            </w:r>
            <w:r>
              <w:rPr>
                <w:iCs w:val="0"/>
              </w:rPr>
              <w:fldChar w:fldCharType="begin"/>
            </w:r>
            <w:r>
              <w:rPr>
                <w:iCs w:val="0"/>
              </w:rPr>
              <w:instrText xml:space="preserve"> REF _Ref216722622 \r \r \h </w:instrText>
            </w:r>
            <w:r>
              <w:rPr>
                <w:iCs w:val="0"/>
              </w:rPr>
            </w:r>
            <w:r>
              <w:rPr>
                <w:iCs w:val="0"/>
              </w:rPr>
              <w:fldChar w:fldCharType="separate"/>
            </w:r>
            <w:r w:rsidR="00675925">
              <w:rPr>
                <w:iCs w:val="0"/>
              </w:rPr>
              <w:t>6.44</w:t>
            </w:r>
            <w:r>
              <w:rPr>
                <w:iCs w:val="0"/>
              </w:rPr>
              <w:fldChar w:fldCharType="end"/>
            </w:r>
            <w:r>
              <w:rPr>
                <w:iCs w:val="0"/>
              </w:rPr>
              <w:t xml:space="preserve"> to </w:t>
            </w:r>
            <w:r>
              <w:rPr>
                <w:iCs w:val="0"/>
              </w:rPr>
              <w:fldChar w:fldCharType="begin"/>
            </w:r>
            <w:r>
              <w:rPr>
                <w:iCs w:val="0"/>
              </w:rPr>
              <w:instrText xml:space="preserve"> REF _Ref216722644 \r \r \h </w:instrText>
            </w:r>
            <w:r>
              <w:rPr>
                <w:iCs w:val="0"/>
              </w:rPr>
            </w:r>
            <w:r>
              <w:rPr>
                <w:iCs w:val="0"/>
              </w:rPr>
              <w:fldChar w:fldCharType="separate"/>
            </w:r>
            <w:r w:rsidR="00675925">
              <w:rPr>
                <w:iCs w:val="0"/>
              </w:rPr>
              <w:t>6.64</w:t>
            </w:r>
            <w:r>
              <w:rPr>
                <w:iCs w:val="0"/>
              </w:rPr>
              <w:fldChar w:fldCharType="end"/>
            </w:r>
            <w:r>
              <w:rPr>
                <w:iCs w:val="0"/>
              </w:rPr>
              <w:t xml:space="preserve"> for details.</w:t>
            </w:r>
          </w:p>
        </w:tc>
      </w:tr>
      <w:tr w:rsidR="004D59D4" w14:paraId="4576F445" w14:textId="77777777">
        <w:trPr>
          <w:cantSplit/>
        </w:trPr>
        <w:tc>
          <w:tcPr>
            <w:tcW w:w="1415" w:type="dxa"/>
            <w:tcBorders>
              <w:top w:val="single" w:sz="4" w:space="0" w:color="000000"/>
              <w:left w:val="single" w:sz="4" w:space="0" w:color="000000"/>
              <w:bottom w:val="single" w:sz="4" w:space="0" w:color="000000"/>
              <w:right w:val="single" w:sz="4" w:space="0" w:color="000000"/>
            </w:tcBorders>
          </w:tcPr>
          <w:p w14:paraId="4A2C32D8" w14:textId="77777777" w:rsidR="004D59D4" w:rsidRDefault="00023FAF" w:rsidP="00025AAC">
            <w:pPr>
              <w:pStyle w:val="TableText1"/>
              <w:keepNext w:val="0"/>
              <w:keepLines w:val="0"/>
              <w:rPr>
                <w:iCs w:val="0"/>
              </w:rPr>
            </w:pPr>
            <w:r>
              <w:rPr>
                <w:iCs w:val="0"/>
              </w:rPr>
              <w:lastRenderedPageBreak/>
              <w:t>ICER</w:t>
            </w:r>
          </w:p>
        </w:tc>
        <w:tc>
          <w:tcPr>
            <w:tcW w:w="3830" w:type="dxa"/>
            <w:tcBorders>
              <w:top w:val="single" w:sz="4" w:space="0" w:color="000000"/>
              <w:left w:val="single" w:sz="4" w:space="0" w:color="000000"/>
              <w:bottom w:val="single" w:sz="4" w:space="0" w:color="000000"/>
              <w:right w:val="single" w:sz="4" w:space="0" w:color="000000"/>
            </w:tcBorders>
          </w:tcPr>
          <w:p w14:paraId="1CA775F1" w14:textId="77777777" w:rsidR="004D59D4" w:rsidRDefault="00023FAF" w:rsidP="00025AAC">
            <w:pPr>
              <w:pStyle w:val="TableText1"/>
              <w:keepNext w:val="0"/>
              <w:keepLines w:val="0"/>
              <w:rPr>
                <w:iCs w:val="0"/>
              </w:rPr>
            </w:pPr>
            <w:r>
              <w:rPr>
                <w:iCs w:val="0"/>
              </w:rPr>
              <w:t xml:space="preserve">The PBAC considered the cost effectiveness was uncertain and the ICER was exceptionally high at the price proposed. The PBAC considered that the ICER for </w:t>
            </w:r>
            <w:proofErr w:type="spellStart"/>
            <w:r>
              <w:rPr>
                <w:iCs w:val="0"/>
              </w:rPr>
              <w:t>pegvaliase</w:t>
            </w:r>
            <w:proofErr w:type="spellEnd"/>
            <w:r>
              <w:rPr>
                <w:iCs w:val="0"/>
              </w:rPr>
              <w:t xml:space="preserve"> should be no higher than that accepted for </w:t>
            </w:r>
            <w:proofErr w:type="spellStart"/>
            <w:r>
              <w:rPr>
                <w:iCs w:val="0"/>
              </w:rPr>
              <w:t>sapropterin</w:t>
            </w:r>
            <w:proofErr w:type="spellEnd"/>
            <w:r>
              <w:rPr>
                <w:iCs w:val="0"/>
              </w:rPr>
              <w:t xml:space="preserve"> for initiation in adult patients (paragraph 7.12, </w:t>
            </w:r>
            <w:proofErr w:type="spellStart"/>
            <w:r>
              <w:rPr>
                <w:iCs w:val="0"/>
              </w:rPr>
              <w:t>pegvaliase</w:t>
            </w:r>
            <w:proofErr w:type="spellEnd"/>
            <w:r>
              <w:rPr>
                <w:iCs w:val="0"/>
              </w:rPr>
              <w:t xml:space="preserve"> PSD, July 2022 PBAC meeting).</w:t>
            </w:r>
          </w:p>
          <w:p w14:paraId="5F64607C" w14:textId="77777777" w:rsidR="004D59D4" w:rsidRDefault="00023FAF" w:rsidP="00025AAC">
            <w:pPr>
              <w:pStyle w:val="TableText1"/>
              <w:keepNext w:val="0"/>
              <w:keepLines w:val="0"/>
              <w:rPr>
                <w:iCs w:val="0"/>
              </w:rPr>
            </w:pPr>
            <w:r>
              <w:rPr>
                <w:iCs w:val="0"/>
              </w:rPr>
              <w:t xml:space="preserve"> </w:t>
            </w:r>
          </w:p>
        </w:tc>
        <w:tc>
          <w:tcPr>
            <w:tcW w:w="3781" w:type="dxa"/>
            <w:tcBorders>
              <w:top w:val="single" w:sz="4" w:space="0" w:color="000000"/>
              <w:left w:val="single" w:sz="4" w:space="0" w:color="000000"/>
              <w:bottom w:val="single" w:sz="4" w:space="0" w:color="000000"/>
              <w:right w:val="single" w:sz="4" w:space="0" w:color="000000"/>
            </w:tcBorders>
          </w:tcPr>
          <w:p w14:paraId="28D66F42" w14:textId="10AA6322" w:rsidR="004D59D4" w:rsidRDefault="00023FAF" w:rsidP="00025AAC">
            <w:pPr>
              <w:pStyle w:val="TableText1"/>
              <w:keepNext w:val="0"/>
              <w:keepLines w:val="0"/>
              <w:rPr>
                <w:iCs w:val="0"/>
              </w:rPr>
            </w:pPr>
            <w:r>
              <w:rPr>
                <w:iCs w:val="0"/>
              </w:rPr>
              <w:t xml:space="preserve">Partially addressed. The resubmission reduced the proposed </w:t>
            </w:r>
            <w:proofErr w:type="spellStart"/>
            <w:r>
              <w:rPr>
                <w:iCs w:val="0"/>
              </w:rPr>
              <w:t>pegvaliase</w:t>
            </w:r>
            <w:proofErr w:type="spellEnd"/>
            <w:r>
              <w:rPr>
                <w:iCs w:val="0"/>
              </w:rPr>
              <w:t xml:space="preserve"> cost from $</w:t>
            </w:r>
            <w:r w:rsidR="002615A2" w:rsidRPr="002615A2">
              <w:rPr>
                <w:iCs w:val="0"/>
                <w:sz w:val="2"/>
                <w:highlight w:val="black"/>
              </w:rPr>
              <w:t>redacted content</w:t>
            </w:r>
            <w:r>
              <w:rPr>
                <w:iCs w:val="0"/>
              </w:rPr>
              <w:t xml:space="preserve"> to $</w:t>
            </w:r>
            <w:r w:rsidR="002615A2" w:rsidRPr="002615A2">
              <w:rPr>
                <w:iCs w:val="0"/>
                <w:sz w:val="2"/>
                <w:highlight w:val="black"/>
              </w:rPr>
              <w:t>redacted content</w:t>
            </w:r>
            <w:r>
              <w:rPr>
                <w:iCs w:val="0"/>
              </w:rPr>
              <w:t xml:space="preserve"> per syringe, however there </w:t>
            </w:r>
            <w:r w:rsidR="00614B2B">
              <w:rPr>
                <w:iCs w:val="0"/>
              </w:rPr>
              <w:t>was</w:t>
            </w:r>
            <w:r>
              <w:rPr>
                <w:iCs w:val="0"/>
              </w:rPr>
              <w:t xml:space="preserve"> considerable uncertainty regarding the resubmission’s estimated cost </w:t>
            </w:r>
            <w:r w:rsidRPr="000D7852">
              <w:rPr>
                <w:iCs w:val="0"/>
              </w:rPr>
              <w:t xml:space="preserve">which </w:t>
            </w:r>
            <w:r w:rsidR="007066AD" w:rsidRPr="000D7852">
              <w:rPr>
                <w:iCs w:val="0"/>
              </w:rPr>
              <w:t>wa</w:t>
            </w:r>
            <w:r w:rsidRPr="000D7852">
              <w:rPr>
                <w:iCs w:val="0"/>
              </w:rPr>
              <w:t xml:space="preserve">s based on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Pr>
                <w:iCs w:val="0"/>
              </w:rPr>
              <w:t xml:space="preserve"> Consequently, there is a high degree of uncertainty for the </w:t>
            </w:r>
            <w:proofErr w:type="spellStart"/>
            <w:r>
              <w:rPr>
                <w:iCs w:val="0"/>
              </w:rPr>
              <w:t>pegvaliase</w:t>
            </w:r>
            <w:proofErr w:type="spellEnd"/>
            <w:r>
              <w:rPr>
                <w:iCs w:val="0"/>
              </w:rPr>
              <w:t xml:space="preserve"> cost which is dependent on the implementation of the proposed RSA. </w:t>
            </w:r>
          </w:p>
        </w:tc>
      </w:tr>
      <w:tr w:rsidR="004D59D4" w14:paraId="7B8C98BC" w14:textId="77777777">
        <w:trPr>
          <w:cantSplit/>
        </w:trPr>
        <w:tc>
          <w:tcPr>
            <w:tcW w:w="1415" w:type="dxa"/>
            <w:tcBorders>
              <w:top w:val="single" w:sz="4" w:space="0" w:color="000000"/>
              <w:left w:val="single" w:sz="4" w:space="0" w:color="000000"/>
              <w:bottom w:val="single" w:sz="4" w:space="0" w:color="000000"/>
              <w:right w:val="single" w:sz="4" w:space="0" w:color="000000"/>
            </w:tcBorders>
          </w:tcPr>
          <w:p w14:paraId="7F85C4DE" w14:textId="77777777" w:rsidR="004D59D4" w:rsidRDefault="00023FAF" w:rsidP="00025AAC">
            <w:pPr>
              <w:pStyle w:val="TableText1"/>
              <w:keepNext w:val="0"/>
              <w:keepLines w:val="0"/>
              <w:rPr>
                <w:iCs w:val="0"/>
              </w:rPr>
            </w:pPr>
            <w:r>
              <w:rPr>
                <w:iCs w:val="0"/>
              </w:rPr>
              <w:t>Financial estimates, patient population</w:t>
            </w:r>
          </w:p>
        </w:tc>
        <w:tc>
          <w:tcPr>
            <w:tcW w:w="3830" w:type="dxa"/>
            <w:tcBorders>
              <w:top w:val="single" w:sz="4" w:space="0" w:color="000000"/>
              <w:left w:val="single" w:sz="4" w:space="0" w:color="000000"/>
              <w:bottom w:val="single" w:sz="4" w:space="0" w:color="000000"/>
              <w:right w:val="single" w:sz="4" w:space="0" w:color="000000"/>
            </w:tcBorders>
          </w:tcPr>
          <w:p w14:paraId="49DE75A1" w14:textId="77777777" w:rsidR="004D59D4" w:rsidRDefault="00023FAF" w:rsidP="00025AAC">
            <w:pPr>
              <w:pStyle w:val="TableText1"/>
              <w:keepNext w:val="0"/>
              <w:keepLines w:val="0"/>
              <w:rPr>
                <w:iCs w:val="0"/>
              </w:rPr>
            </w:pPr>
            <w:r>
              <w:rPr>
                <w:iCs w:val="0"/>
              </w:rPr>
              <w:t xml:space="preserve">For the 2022 submission, the PBAC noted that the financial estimates were based on </w:t>
            </w:r>
            <w:proofErr w:type="spellStart"/>
            <w:r>
              <w:rPr>
                <w:iCs w:val="0"/>
              </w:rPr>
              <w:t>pegvaliase</w:t>
            </w:r>
            <w:proofErr w:type="spellEnd"/>
            <w:r>
              <w:rPr>
                <w:iCs w:val="0"/>
              </w:rPr>
              <w:t xml:space="preserve"> use being restricted to </w:t>
            </w:r>
            <w:proofErr w:type="spellStart"/>
            <w:r>
              <w:rPr>
                <w:iCs w:val="0"/>
              </w:rPr>
              <w:t>sapropterin</w:t>
            </w:r>
            <w:proofErr w:type="spellEnd"/>
            <w:r>
              <w:rPr>
                <w:iCs w:val="0"/>
              </w:rPr>
              <w:t xml:space="preserve"> non-responders only, which the PBAC considered was inappropriate (paragraph 7.4). The PBAC noted that a broader restriction (allowing use in patients regardless of </w:t>
            </w:r>
            <w:proofErr w:type="spellStart"/>
            <w:r>
              <w:rPr>
                <w:iCs w:val="0"/>
              </w:rPr>
              <w:t>sapropterin</w:t>
            </w:r>
            <w:proofErr w:type="spellEnd"/>
            <w:r>
              <w:rPr>
                <w:iCs w:val="0"/>
              </w:rPr>
              <w:t xml:space="preserve"> responsiveness) would increase the utilisation estimates (paragraph 7.13, </w:t>
            </w:r>
            <w:proofErr w:type="spellStart"/>
            <w:r>
              <w:rPr>
                <w:iCs w:val="0"/>
              </w:rPr>
              <w:t>pegvaliase</w:t>
            </w:r>
            <w:proofErr w:type="spellEnd"/>
            <w:r>
              <w:rPr>
                <w:iCs w:val="0"/>
              </w:rPr>
              <w:t xml:space="preserve"> PSD, July 2022 PBAC meeting).</w:t>
            </w:r>
          </w:p>
        </w:tc>
        <w:tc>
          <w:tcPr>
            <w:tcW w:w="3781" w:type="dxa"/>
            <w:tcBorders>
              <w:top w:val="single" w:sz="4" w:space="0" w:color="000000"/>
              <w:left w:val="single" w:sz="4" w:space="0" w:color="000000"/>
              <w:bottom w:val="single" w:sz="4" w:space="0" w:color="000000"/>
              <w:right w:val="single" w:sz="4" w:space="0" w:color="000000"/>
            </w:tcBorders>
          </w:tcPr>
          <w:p w14:paraId="76537A6D" w14:textId="77777777" w:rsidR="004D59D4" w:rsidRDefault="00023FAF" w:rsidP="00025AAC">
            <w:pPr>
              <w:pStyle w:val="TableText1"/>
              <w:keepNext w:val="0"/>
              <w:keepLines w:val="0"/>
              <w:rPr>
                <w:iCs w:val="0"/>
              </w:rPr>
            </w:pPr>
            <w:r>
              <w:rPr>
                <w:iCs w:val="0"/>
              </w:rPr>
              <w:t xml:space="preserve">Not addressed. While the resubmission included the additional patient population of </w:t>
            </w:r>
            <w:proofErr w:type="spellStart"/>
            <w:r>
              <w:rPr>
                <w:iCs w:val="0"/>
              </w:rPr>
              <w:t>sapropterin</w:t>
            </w:r>
            <w:proofErr w:type="spellEnd"/>
            <w:r>
              <w:rPr>
                <w:iCs w:val="0"/>
              </w:rPr>
              <w:t xml:space="preserve"> responders who have a daily protein tolerance of less than 15 grams per day, the resubmission’s financial estimates did not include this patient population and the resubmission assumed there would not be an increase in utilisation estimates.</w:t>
            </w:r>
          </w:p>
        </w:tc>
      </w:tr>
      <w:tr w:rsidR="004D59D4" w14:paraId="67CA18C8" w14:textId="77777777">
        <w:trPr>
          <w:cantSplit/>
          <w:trHeight w:val="1002"/>
        </w:trPr>
        <w:tc>
          <w:tcPr>
            <w:tcW w:w="1415" w:type="dxa"/>
            <w:tcBorders>
              <w:top w:val="single" w:sz="4" w:space="0" w:color="000000"/>
              <w:left w:val="single" w:sz="4" w:space="0" w:color="000000"/>
              <w:bottom w:val="single" w:sz="4" w:space="0" w:color="000000"/>
              <w:right w:val="single" w:sz="4" w:space="0" w:color="000000"/>
            </w:tcBorders>
          </w:tcPr>
          <w:p w14:paraId="5BCC6F23" w14:textId="77777777" w:rsidR="004D59D4" w:rsidRDefault="00023FAF" w:rsidP="00025AAC">
            <w:pPr>
              <w:pStyle w:val="TableText1"/>
              <w:keepNext w:val="0"/>
              <w:keepLines w:val="0"/>
              <w:rPr>
                <w:iCs w:val="0"/>
              </w:rPr>
            </w:pPr>
            <w:r>
              <w:rPr>
                <w:iCs w:val="0"/>
              </w:rPr>
              <w:t>Financial estimates, inputs</w:t>
            </w:r>
          </w:p>
        </w:tc>
        <w:tc>
          <w:tcPr>
            <w:tcW w:w="3830" w:type="dxa"/>
            <w:tcBorders>
              <w:top w:val="single" w:sz="4" w:space="0" w:color="000000"/>
              <w:left w:val="single" w:sz="4" w:space="0" w:color="000000"/>
              <w:bottom w:val="single" w:sz="4" w:space="0" w:color="000000"/>
              <w:right w:val="single" w:sz="4" w:space="0" w:color="000000"/>
            </w:tcBorders>
          </w:tcPr>
          <w:p w14:paraId="4CD081E2" w14:textId="77777777" w:rsidR="004D59D4" w:rsidRDefault="00023FAF" w:rsidP="00025AAC">
            <w:pPr>
              <w:pStyle w:val="TableText1"/>
              <w:keepNext w:val="0"/>
              <w:keepLines w:val="0"/>
              <w:rPr>
                <w:iCs w:val="0"/>
              </w:rPr>
            </w:pPr>
            <w:r>
              <w:rPr>
                <w:iCs w:val="0"/>
              </w:rPr>
              <w:t xml:space="preserve">The PBAC considered that the proportion of adult PKU population who are under routine follow-up at metabolic clinics and </w:t>
            </w:r>
            <w:proofErr w:type="spellStart"/>
            <w:r>
              <w:rPr>
                <w:iCs w:val="0"/>
              </w:rPr>
              <w:t>pegvaliase</w:t>
            </w:r>
            <w:proofErr w:type="spellEnd"/>
            <w:r>
              <w:rPr>
                <w:iCs w:val="0"/>
              </w:rPr>
              <w:t xml:space="preserve"> uptake rates were likely overestimated (paragraph 7.13, </w:t>
            </w:r>
            <w:proofErr w:type="spellStart"/>
            <w:r>
              <w:rPr>
                <w:iCs w:val="0"/>
              </w:rPr>
              <w:t>pegvaliase</w:t>
            </w:r>
            <w:proofErr w:type="spellEnd"/>
            <w:r>
              <w:rPr>
                <w:iCs w:val="0"/>
              </w:rPr>
              <w:t xml:space="preserve"> PSD, July 2022 PBAC meeting).</w:t>
            </w:r>
          </w:p>
        </w:tc>
        <w:tc>
          <w:tcPr>
            <w:tcW w:w="3781" w:type="dxa"/>
            <w:tcBorders>
              <w:top w:val="single" w:sz="4" w:space="0" w:color="000000"/>
              <w:left w:val="single" w:sz="4" w:space="0" w:color="000000"/>
              <w:bottom w:val="single" w:sz="4" w:space="0" w:color="000000"/>
              <w:right w:val="single" w:sz="4" w:space="0" w:color="000000"/>
            </w:tcBorders>
          </w:tcPr>
          <w:p w14:paraId="761391B7" w14:textId="77777777" w:rsidR="004D59D4" w:rsidRDefault="00023FAF" w:rsidP="00025AAC">
            <w:pPr>
              <w:pStyle w:val="TableText1"/>
              <w:keepNext w:val="0"/>
              <w:keepLines w:val="0"/>
              <w:rPr>
                <w:iCs w:val="0"/>
              </w:rPr>
            </w:pPr>
            <w:r>
              <w:rPr>
                <w:iCs w:val="0"/>
              </w:rPr>
              <w:t xml:space="preserve">Not addressed. The resubmission used the same inputs as in the previous submission. These inputs were used to establish the RSA proposed in the resubmission. </w:t>
            </w:r>
          </w:p>
        </w:tc>
      </w:tr>
    </w:tbl>
    <w:p w14:paraId="4F25A1DF" w14:textId="77777777" w:rsidR="004D59D4" w:rsidRDefault="00023FAF" w:rsidP="00025AAC">
      <w:pPr>
        <w:pStyle w:val="FooterTableFigure"/>
      </w:pPr>
      <w:r>
        <w:t xml:space="preserve">Source: </w:t>
      </w:r>
      <w:proofErr w:type="spellStart"/>
      <w:r>
        <w:t>Pegvaliase</w:t>
      </w:r>
      <w:proofErr w:type="spellEnd"/>
      <w:r>
        <w:t xml:space="preserve"> July 2022 PSD</w:t>
      </w:r>
    </w:p>
    <w:p w14:paraId="71BFD375" w14:textId="77777777" w:rsidR="004D59D4" w:rsidRDefault="00023FAF" w:rsidP="00025AAC">
      <w:pPr>
        <w:pStyle w:val="FooterTableFigure"/>
        <w:spacing w:before="160" w:after="160"/>
      </w:pPr>
      <w:r>
        <w:t xml:space="preserve">ADHD-RS = Attention Deficit Hyperactivity Disorder Rating Scale; AEMP = approved ex-manufacturer price; ICER = incremental cost-effectiveness ratio; </w:t>
      </w:r>
      <w:proofErr w:type="spellStart"/>
      <w:r>
        <w:t>Phe</w:t>
      </w:r>
      <w:proofErr w:type="spellEnd"/>
      <w:r>
        <w:t xml:space="preserve"> = phenylalanine; PKU = phenylketonuria; PSD = public summary document; RSA = Risk Sharing Arrangement</w:t>
      </w:r>
    </w:p>
    <w:p w14:paraId="67201B79" w14:textId="77777777" w:rsidR="004D59D4" w:rsidRDefault="00023FAF" w:rsidP="00025AAC">
      <w:pPr>
        <w:pStyle w:val="2-SectionHeading"/>
        <w:numPr>
          <w:ilvl w:val="0"/>
          <w:numId w:val="1"/>
        </w:numPr>
        <w:spacing w:before="160" w:after="160"/>
      </w:pPr>
      <w:bookmarkStart w:id="15" w:name="_Toc219799680"/>
      <w:r>
        <w:t>Requested listing</w:t>
      </w:r>
      <w:bookmarkEnd w:id="15"/>
    </w:p>
    <w:p w14:paraId="052C4A46" w14:textId="3E9AA87D" w:rsidR="00E24060" w:rsidRPr="00E24060" w:rsidRDefault="00E24060" w:rsidP="00025AAC">
      <w:pPr>
        <w:pStyle w:val="3-BodyText"/>
        <w:numPr>
          <w:ilvl w:val="1"/>
          <w:numId w:val="12"/>
        </w:numPr>
        <w:spacing w:before="160" w:after="160"/>
      </w:pPr>
      <w:r>
        <w:t>The listing requested by the sponsor is outlined below.</w:t>
      </w:r>
    </w:p>
    <w:tbl>
      <w:tblPr>
        <w:tblStyle w:val="AZTable1"/>
        <w:tblW w:w="5000" w:type="pct"/>
        <w:tblInd w:w="-5" w:type="dxa"/>
        <w:tblLayout w:type="fixed"/>
        <w:tblLook w:val="04A0" w:firstRow="1" w:lastRow="0" w:firstColumn="1" w:lastColumn="0" w:noHBand="0" w:noVBand="1"/>
        <w:tblCaption w:val="Requested listing"/>
      </w:tblPr>
      <w:tblGrid>
        <w:gridCol w:w="2408"/>
        <w:gridCol w:w="1277"/>
        <w:gridCol w:w="1133"/>
        <w:gridCol w:w="849"/>
        <w:gridCol w:w="2145"/>
        <w:gridCol w:w="1204"/>
      </w:tblGrid>
      <w:tr w:rsidR="004D59D4" w14:paraId="6659512B" w14:textId="77777777">
        <w:trPr>
          <w:cnfStyle w:val="100000000000" w:firstRow="1" w:lastRow="0" w:firstColumn="0" w:lastColumn="0" w:oddVBand="0" w:evenVBand="0" w:oddHBand="0" w:evenHBand="0" w:firstRowFirstColumn="0" w:firstRowLastColumn="0" w:lastRowFirstColumn="0" w:lastRowLastColumn="0"/>
          <w:trHeight w:val="244"/>
          <w:tblHeader/>
        </w:trPr>
        <w:tc>
          <w:tcPr>
            <w:tcW w:w="2411" w:type="dxa"/>
            <w:tcBorders>
              <w:top w:val="single" w:sz="4" w:space="0" w:color="000000"/>
              <w:left w:val="single" w:sz="4" w:space="0" w:color="000000"/>
              <w:bottom w:val="single" w:sz="4" w:space="0" w:color="000000"/>
              <w:right w:val="single" w:sz="4" w:space="0" w:color="000000"/>
            </w:tcBorders>
            <w:vAlign w:val="center"/>
          </w:tcPr>
          <w:p w14:paraId="55CAE76B" w14:textId="77777777" w:rsidR="004D59D4" w:rsidRDefault="00023FAF" w:rsidP="00025AAC">
            <w:pPr>
              <w:keepNext/>
              <w:tabs>
                <w:tab w:val="left" w:pos="416"/>
                <w:tab w:val="left" w:pos="442"/>
                <w:tab w:val="left" w:pos="582"/>
              </w:tabs>
              <w:jc w:val="center"/>
              <w:rPr>
                <w:rFonts w:ascii="Arial Narrow" w:eastAsia="Calibri" w:hAnsi="Arial Narrow"/>
                <w:b/>
                <w:sz w:val="20"/>
                <w:szCs w:val="20"/>
              </w:rPr>
            </w:pPr>
            <w:r>
              <w:rPr>
                <w:rFonts w:ascii="Arial Narrow" w:eastAsia="Calibri" w:hAnsi="Arial Narrow"/>
                <w:b/>
                <w:sz w:val="20"/>
                <w:szCs w:val="20"/>
              </w:rPr>
              <w:t>Name, Manner of administration and form</w:t>
            </w:r>
          </w:p>
        </w:tc>
        <w:tc>
          <w:tcPr>
            <w:tcW w:w="1278" w:type="dxa"/>
            <w:tcBorders>
              <w:top w:val="single" w:sz="4" w:space="0" w:color="000000"/>
              <w:left w:val="single" w:sz="4" w:space="0" w:color="000000"/>
              <w:bottom w:val="single" w:sz="4" w:space="0" w:color="000000"/>
              <w:right w:val="single" w:sz="4" w:space="0" w:color="000000"/>
            </w:tcBorders>
            <w:vAlign w:val="center"/>
          </w:tcPr>
          <w:p w14:paraId="641CD460" w14:textId="77777777" w:rsidR="004D59D4" w:rsidRDefault="00023FAF" w:rsidP="00025AAC">
            <w:pPr>
              <w:keepNext/>
              <w:tabs>
                <w:tab w:val="left" w:pos="416"/>
                <w:tab w:val="left" w:pos="442"/>
                <w:tab w:val="left" w:pos="582"/>
              </w:tabs>
              <w:jc w:val="center"/>
              <w:rPr>
                <w:rFonts w:ascii="Arial Narrow" w:eastAsia="Calibri" w:hAnsi="Arial Narrow"/>
                <w:b/>
                <w:sz w:val="20"/>
                <w:szCs w:val="20"/>
              </w:rPr>
            </w:pPr>
            <w:r>
              <w:rPr>
                <w:rFonts w:ascii="Arial Narrow" w:eastAsia="Calibri" w:hAnsi="Arial Narrow"/>
                <w:b/>
                <w:sz w:val="20"/>
                <w:szCs w:val="20"/>
              </w:rPr>
              <w:t>Maximum quantity (packs)</w:t>
            </w:r>
          </w:p>
        </w:tc>
        <w:tc>
          <w:tcPr>
            <w:tcW w:w="1134" w:type="dxa"/>
            <w:tcBorders>
              <w:top w:val="single" w:sz="4" w:space="0" w:color="000000"/>
              <w:left w:val="single" w:sz="4" w:space="0" w:color="000000"/>
              <w:bottom w:val="single" w:sz="4" w:space="0" w:color="000000"/>
              <w:right w:val="single" w:sz="4" w:space="0" w:color="000000"/>
            </w:tcBorders>
            <w:vAlign w:val="center"/>
          </w:tcPr>
          <w:p w14:paraId="410C6547" w14:textId="77777777" w:rsidR="004D59D4" w:rsidRDefault="00023FAF" w:rsidP="00025AAC">
            <w:pPr>
              <w:keepNext/>
              <w:tabs>
                <w:tab w:val="left" w:pos="416"/>
                <w:tab w:val="left" w:pos="442"/>
                <w:tab w:val="left" w:pos="582"/>
              </w:tabs>
              <w:jc w:val="center"/>
              <w:rPr>
                <w:rFonts w:ascii="Arial Narrow" w:eastAsia="Calibri" w:hAnsi="Arial Narrow"/>
                <w:b/>
                <w:sz w:val="20"/>
                <w:szCs w:val="20"/>
              </w:rPr>
            </w:pPr>
            <w:r>
              <w:rPr>
                <w:rFonts w:ascii="Arial Narrow" w:eastAsia="Calibri" w:hAnsi="Arial Narrow"/>
                <w:b/>
                <w:sz w:val="20"/>
                <w:szCs w:val="20"/>
              </w:rPr>
              <w:t>Maximum quantity (units)</w:t>
            </w:r>
          </w:p>
        </w:tc>
        <w:tc>
          <w:tcPr>
            <w:tcW w:w="850" w:type="dxa"/>
            <w:tcBorders>
              <w:top w:val="single" w:sz="4" w:space="0" w:color="000000"/>
              <w:left w:val="single" w:sz="4" w:space="0" w:color="000000"/>
              <w:bottom w:val="single" w:sz="4" w:space="0" w:color="000000"/>
              <w:right w:val="single" w:sz="4" w:space="0" w:color="000000"/>
            </w:tcBorders>
            <w:vAlign w:val="center"/>
          </w:tcPr>
          <w:p w14:paraId="13963F0B" w14:textId="77777777" w:rsidR="004D59D4" w:rsidRDefault="00023FAF" w:rsidP="00025AAC">
            <w:pPr>
              <w:keepNext/>
              <w:tabs>
                <w:tab w:val="left" w:pos="416"/>
                <w:tab w:val="left" w:pos="442"/>
                <w:tab w:val="left" w:pos="582"/>
              </w:tabs>
              <w:jc w:val="center"/>
              <w:rPr>
                <w:rFonts w:ascii="Arial Narrow" w:eastAsia="Calibri" w:hAnsi="Arial Narrow"/>
                <w:b/>
                <w:sz w:val="20"/>
                <w:szCs w:val="20"/>
              </w:rPr>
            </w:pPr>
            <w:r>
              <w:rPr>
                <w:rFonts w:ascii="Arial Narrow" w:eastAsia="Calibri" w:hAnsi="Arial Narrow"/>
                <w:b/>
                <w:sz w:val="20"/>
                <w:szCs w:val="20"/>
              </w:rPr>
              <w:t>No. of repeats</w:t>
            </w:r>
          </w:p>
        </w:tc>
        <w:tc>
          <w:tcPr>
            <w:tcW w:w="2148" w:type="dxa"/>
            <w:tcBorders>
              <w:top w:val="single" w:sz="4" w:space="0" w:color="000000"/>
              <w:left w:val="single" w:sz="4" w:space="0" w:color="000000"/>
              <w:bottom w:val="single" w:sz="4" w:space="0" w:color="000000"/>
              <w:right w:val="single" w:sz="4" w:space="0" w:color="000000"/>
            </w:tcBorders>
            <w:vAlign w:val="center"/>
          </w:tcPr>
          <w:p w14:paraId="05FD5234" w14:textId="77777777" w:rsidR="004D59D4" w:rsidRDefault="00023FAF" w:rsidP="00025AAC">
            <w:pPr>
              <w:keepNext/>
              <w:tabs>
                <w:tab w:val="left" w:pos="416"/>
                <w:tab w:val="left" w:pos="442"/>
                <w:tab w:val="left" w:pos="582"/>
              </w:tabs>
              <w:jc w:val="center"/>
              <w:rPr>
                <w:rFonts w:ascii="Arial Narrow" w:eastAsia="Calibri" w:hAnsi="Arial Narrow"/>
                <w:b/>
                <w:sz w:val="20"/>
                <w:szCs w:val="20"/>
              </w:rPr>
            </w:pPr>
            <w:r>
              <w:rPr>
                <w:rFonts w:ascii="Arial Narrow" w:eastAsia="Calibri" w:hAnsi="Arial Narrow"/>
                <w:b/>
                <w:sz w:val="20"/>
                <w:szCs w:val="20"/>
              </w:rPr>
              <w:t xml:space="preserve">Dispensed Price for Max. Qty </w:t>
            </w:r>
            <w:r>
              <w:rPr>
                <w:rFonts w:ascii="Arial Narrow" w:eastAsia="Calibri" w:hAnsi="Arial Narrow"/>
                <w:b/>
                <w:sz w:val="20"/>
                <w:szCs w:val="20"/>
                <w:vertAlign w:val="superscript"/>
              </w:rPr>
              <w:t>d</w:t>
            </w:r>
          </w:p>
        </w:tc>
        <w:tc>
          <w:tcPr>
            <w:tcW w:w="1205" w:type="dxa"/>
            <w:tcBorders>
              <w:top w:val="single" w:sz="4" w:space="0" w:color="000000"/>
              <w:left w:val="single" w:sz="4" w:space="0" w:color="000000"/>
              <w:bottom w:val="single" w:sz="4" w:space="0" w:color="000000"/>
              <w:right w:val="single" w:sz="4" w:space="0" w:color="000000"/>
            </w:tcBorders>
            <w:vAlign w:val="center"/>
          </w:tcPr>
          <w:p w14:paraId="62475A1F" w14:textId="77777777" w:rsidR="004D59D4" w:rsidRDefault="00023FAF" w:rsidP="00025AAC">
            <w:pPr>
              <w:keepNext/>
              <w:tabs>
                <w:tab w:val="left" w:pos="416"/>
                <w:tab w:val="left" w:pos="442"/>
                <w:tab w:val="left" w:pos="582"/>
              </w:tabs>
              <w:jc w:val="center"/>
              <w:rPr>
                <w:rFonts w:ascii="Arial Narrow" w:eastAsia="Calibri" w:hAnsi="Arial Narrow"/>
                <w:b/>
                <w:sz w:val="20"/>
                <w:szCs w:val="20"/>
              </w:rPr>
            </w:pPr>
            <w:r>
              <w:rPr>
                <w:rFonts w:ascii="Arial Narrow" w:eastAsia="Calibri" w:hAnsi="Arial Narrow"/>
                <w:b/>
                <w:sz w:val="20"/>
                <w:szCs w:val="20"/>
              </w:rPr>
              <w:t>Available brands</w:t>
            </w:r>
          </w:p>
        </w:tc>
      </w:tr>
      <w:tr w:rsidR="004D59D4" w14:paraId="0D3B557F" w14:textId="77777777">
        <w:trPr>
          <w:trHeight w:val="244"/>
        </w:trPr>
        <w:tc>
          <w:tcPr>
            <w:tcW w:w="9026" w:type="dxa"/>
            <w:gridSpan w:val="6"/>
            <w:tcBorders>
              <w:top w:val="single" w:sz="4" w:space="0" w:color="000000"/>
              <w:left w:val="single" w:sz="4" w:space="0" w:color="000000"/>
              <w:bottom w:val="single" w:sz="4" w:space="0" w:color="000000"/>
              <w:right w:val="single" w:sz="4" w:space="0" w:color="000000"/>
            </w:tcBorders>
            <w:vAlign w:val="center"/>
          </w:tcPr>
          <w:p w14:paraId="0B8BCCC5" w14:textId="77777777" w:rsidR="004D59D4" w:rsidRDefault="00023FAF" w:rsidP="00025AAC">
            <w:pPr>
              <w:keepNext/>
              <w:tabs>
                <w:tab w:val="left" w:pos="416"/>
                <w:tab w:val="left" w:pos="582"/>
              </w:tabs>
              <w:contextualSpacing/>
              <w:rPr>
                <w:rFonts w:ascii="Arial Narrow" w:eastAsia="Calibri" w:hAnsi="Arial Narrow"/>
                <w:sz w:val="20"/>
                <w:szCs w:val="20"/>
              </w:rPr>
            </w:pPr>
            <w:r>
              <w:rPr>
                <w:rFonts w:ascii="Arial Narrow" w:eastAsia="Calibri" w:hAnsi="Arial Narrow"/>
                <w:sz w:val="20"/>
                <w:szCs w:val="20"/>
              </w:rPr>
              <w:t>Initiation treatment</w:t>
            </w:r>
          </w:p>
        </w:tc>
      </w:tr>
      <w:tr w:rsidR="004D59D4" w14:paraId="49EA99EC" w14:textId="77777777">
        <w:trPr>
          <w:trHeight w:val="244"/>
        </w:trPr>
        <w:tc>
          <w:tcPr>
            <w:tcW w:w="2411" w:type="dxa"/>
            <w:tcBorders>
              <w:top w:val="single" w:sz="4" w:space="0" w:color="000000"/>
              <w:left w:val="single" w:sz="4" w:space="0" w:color="000000"/>
              <w:bottom w:val="single" w:sz="4" w:space="0" w:color="000000"/>
              <w:right w:val="single" w:sz="4" w:space="0" w:color="000000"/>
            </w:tcBorders>
            <w:vAlign w:val="center"/>
          </w:tcPr>
          <w:p w14:paraId="384B97E5"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PEGVALIASE, 1 x 2.5 mg pre-filled syringe, sc. Injection</w:t>
            </w:r>
          </w:p>
        </w:tc>
        <w:tc>
          <w:tcPr>
            <w:tcW w:w="1278" w:type="dxa"/>
            <w:tcBorders>
              <w:top w:val="single" w:sz="4" w:space="0" w:color="000000"/>
              <w:left w:val="single" w:sz="4" w:space="0" w:color="000000"/>
              <w:bottom w:val="single" w:sz="4" w:space="0" w:color="000000"/>
              <w:right w:val="single" w:sz="4" w:space="0" w:color="000000"/>
            </w:tcBorders>
            <w:vAlign w:val="center"/>
          </w:tcPr>
          <w:p w14:paraId="470EECDB"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 </w:t>
            </w:r>
            <w:r>
              <w:rPr>
                <w:rFonts w:ascii="Arial Narrow" w:eastAsia="Calibri" w:hAnsi="Arial Narrow"/>
                <w:sz w:val="20"/>
                <w:szCs w:val="20"/>
                <w:vertAlign w:val="superscript"/>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22A15E09"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 </w:t>
            </w:r>
            <w:r>
              <w:rPr>
                <w:rFonts w:ascii="Arial Narrow" w:eastAsia="Calibri" w:hAnsi="Arial Narrow"/>
                <w:sz w:val="20"/>
                <w:szCs w:val="20"/>
                <w:vertAlign w:val="superscript"/>
              </w:rPr>
              <w:t>b</w:t>
            </w:r>
          </w:p>
        </w:tc>
        <w:tc>
          <w:tcPr>
            <w:tcW w:w="850" w:type="dxa"/>
            <w:tcBorders>
              <w:top w:val="single" w:sz="4" w:space="0" w:color="000000"/>
              <w:left w:val="single" w:sz="4" w:space="0" w:color="000000"/>
              <w:bottom w:val="single" w:sz="4" w:space="0" w:color="000000"/>
              <w:right w:val="single" w:sz="4" w:space="0" w:color="000000"/>
            </w:tcBorders>
            <w:vAlign w:val="center"/>
          </w:tcPr>
          <w:p w14:paraId="23A135E5"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w:t>
            </w:r>
            <w:r>
              <w:rPr>
                <w:rFonts w:ascii="Arial Narrow" w:eastAsia="Calibri" w:hAnsi="Arial Narrow"/>
                <w:sz w:val="20"/>
                <w:szCs w:val="20"/>
                <w:vertAlign w:val="superscript"/>
              </w:rPr>
              <w:t>a</w:t>
            </w:r>
          </w:p>
        </w:tc>
        <w:tc>
          <w:tcPr>
            <w:tcW w:w="2148" w:type="dxa"/>
            <w:tcBorders>
              <w:top w:val="single" w:sz="4" w:space="0" w:color="000000"/>
              <w:left w:val="single" w:sz="4" w:space="0" w:color="000000"/>
              <w:bottom w:val="single" w:sz="4" w:space="0" w:color="000000"/>
              <w:right w:val="single" w:sz="4" w:space="0" w:color="000000"/>
            </w:tcBorders>
            <w:vAlign w:val="center"/>
          </w:tcPr>
          <w:p w14:paraId="7A9D55A0"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$584.56 published price</w:t>
            </w:r>
          </w:p>
        </w:tc>
        <w:tc>
          <w:tcPr>
            <w:tcW w:w="1205" w:type="dxa"/>
            <w:tcBorders>
              <w:top w:val="single" w:sz="4" w:space="0" w:color="000000"/>
              <w:left w:val="single" w:sz="4" w:space="0" w:color="000000"/>
              <w:bottom w:val="single" w:sz="4" w:space="0" w:color="000000"/>
              <w:right w:val="single" w:sz="4" w:space="0" w:color="000000"/>
            </w:tcBorders>
            <w:vAlign w:val="center"/>
          </w:tcPr>
          <w:p w14:paraId="00EAC740"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Palynziq</w:t>
            </w:r>
          </w:p>
        </w:tc>
      </w:tr>
      <w:tr w:rsidR="004D59D4" w14:paraId="25EEAC0B" w14:textId="77777777">
        <w:trPr>
          <w:trHeight w:val="244"/>
        </w:trPr>
        <w:tc>
          <w:tcPr>
            <w:tcW w:w="2411" w:type="dxa"/>
            <w:tcBorders>
              <w:top w:val="single" w:sz="4" w:space="0" w:color="000000"/>
              <w:left w:val="single" w:sz="4" w:space="0" w:color="000000"/>
              <w:bottom w:val="single" w:sz="4" w:space="0" w:color="000000"/>
              <w:right w:val="single" w:sz="4" w:space="0" w:color="000000"/>
            </w:tcBorders>
            <w:vAlign w:val="center"/>
          </w:tcPr>
          <w:p w14:paraId="481FCB00"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PEGVALIASE, 1 x 10 mg pre-filled syringe, sc. injection</w:t>
            </w:r>
          </w:p>
        </w:tc>
        <w:tc>
          <w:tcPr>
            <w:tcW w:w="1278" w:type="dxa"/>
            <w:tcBorders>
              <w:top w:val="single" w:sz="4" w:space="0" w:color="000000"/>
              <w:left w:val="single" w:sz="4" w:space="0" w:color="000000"/>
              <w:bottom w:val="single" w:sz="4" w:space="0" w:color="000000"/>
              <w:right w:val="single" w:sz="4" w:space="0" w:color="000000"/>
            </w:tcBorders>
            <w:vAlign w:val="center"/>
          </w:tcPr>
          <w:p w14:paraId="06BBA342"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1</w:t>
            </w:r>
            <w:r>
              <w:rPr>
                <w:rFonts w:ascii="Arial Narrow" w:eastAsia="Calibri" w:hAnsi="Arial Narrow"/>
                <w:sz w:val="20"/>
                <w:szCs w:val="20"/>
                <w:vertAlign w:val="superscript"/>
              </w:rPr>
              <w:t xml:space="preserve"> a</w:t>
            </w:r>
          </w:p>
        </w:tc>
        <w:tc>
          <w:tcPr>
            <w:tcW w:w="1134" w:type="dxa"/>
            <w:tcBorders>
              <w:top w:val="single" w:sz="4" w:space="0" w:color="000000"/>
              <w:left w:val="single" w:sz="4" w:space="0" w:color="000000"/>
              <w:bottom w:val="single" w:sz="4" w:space="0" w:color="000000"/>
              <w:right w:val="single" w:sz="4" w:space="0" w:color="000000"/>
            </w:tcBorders>
            <w:vAlign w:val="center"/>
          </w:tcPr>
          <w:p w14:paraId="6772CFCD"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 </w:t>
            </w:r>
            <w:r>
              <w:rPr>
                <w:rFonts w:ascii="Arial Narrow" w:eastAsia="Calibri" w:hAnsi="Arial Narrow"/>
                <w:sz w:val="20"/>
                <w:szCs w:val="20"/>
                <w:vertAlign w:val="superscript"/>
              </w:rPr>
              <w:t>b</w:t>
            </w:r>
          </w:p>
        </w:tc>
        <w:tc>
          <w:tcPr>
            <w:tcW w:w="850" w:type="dxa"/>
            <w:tcBorders>
              <w:top w:val="single" w:sz="4" w:space="0" w:color="000000"/>
              <w:left w:val="single" w:sz="4" w:space="0" w:color="000000"/>
              <w:bottom w:val="single" w:sz="4" w:space="0" w:color="000000"/>
              <w:right w:val="single" w:sz="4" w:space="0" w:color="000000"/>
            </w:tcBorders>
            <w:vAlign w:val="center"/>
          </w:tcPr>
          <w:p w14:paraId="3A9AC77C"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w:t>
            </w:r>
            <w:r>
              <w:rPr>
                <w:rFonts w:ascii="Arial Narrow" w:eastAsia="Calibri" w:hAnsi="Arial Narrow"/>
                <w:sz w:val="20"/>
                <w:szCs w:val="20"/>
                <w:vertAlign w:val="superscript"/>
              </w:rPr>
              <w:t>a</w:t>
            </w:r>
          </w:p>
        </w:tc>
        <w:tc>
          <w:tcPr>
            <w:tcW w:w="2148" w:type="dxa"/>
            <w:tcBorders>
              <w:top w:val="single" w:sz="4" w:space="0" w:color="000000"/>
              <w:left w:val="single" w:sz="4" w:space="0" w:color="000000"/>
              <w:bottom w:val="single" w:sz="4" w:space="0" w:color="000000"/>
              <w:right w:val="single" w:sz="4" w:space="0" w:color="000000"/>
            </w:tcBorders>
            <w:vAlign w:val="center"/>
          </w:tcPr>
          <w:p w14:paraId="5EE3BBFB"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$584.56 published price</w:t>
            </w:r>
          </w:p>
        </w:tc>
        <w:tc>
          <w:tcPr>
            <w:tcW w:w="1205" w:type="dxa"/>
            <w:tcBorders>
              <w:top w:val="single" w:sz="4" w:space="0" w:color="000000"/>
              <w:left w:val="single" w:sz="4" w:space="0" w:color="000000"/>
              <w:bottom w:val="single" w:sz="4" w:space="0" w:color="000000"/>
              <w:right w:val="single" w:sz="4" w:space="0" w:color="000000"/>
            </w:tcBorders>
            <w:vAlign w:val="center"/>
          </w:tcPr>
          <w:p w14:paraId="61AF8784"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Palynziq</w:t>
            </w:r>
          </w:p>
        </w:tc>
      </w:tr>
      <w:tr w:rsidR="004D59D4" w14:paraId="17BA3DE8" w14:textId="77777777">
        <w:trPr>
          <w:trHeight w:val="244"/>
        </w:trPr>
        <w:tc>
          <w:tcPr>
            <w:tcW w:w="2411" w:type="dxa"/>
            <w:tcBorders>
              <w:top w:val="single" w:sz="4" w:space="0" w:color="000000"/>
              <w:left w:val="single" w:sz="4" w:space="0" w:color="000000"/>
              <w:bottom w:val="single" w:sz="4" w:space="0" w:color="000000"/>
              <w:right w:val="single" w:sz="4" w:space="0" w:color="000000"/>
            </w:tcBorders>
            <w:vAlign w:val="center"/>
          </w:tcPr>
          <w:p w14:paraId="504AFAB6"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PEGVALIASE, 10 x 20 mg pre-filled syringe, sc. injection</w:t>
            </w:r>
          </w:p>
        </w:tc>
        <w:tc>
          <w:tcPr>
            <w:tcW w:w="1278" w:type="dxa"/>
            <w:tcBorders>
              <w:top w:val="single" w:sz="4" w:space="0" w:color="000000"/>
              <w:left w:val="single" w:sz="4" w:space="0" w:color="000000"/>
              <w:bottom w:val="single" w:sz="4" w:space="0" w:color="000000"/>
              <w:right w:val="single" w:sz="4" w:space="0" w:color="000000"/>
            </w:tcBorders>
            <w:vAlign w:val="center"/>
          </w:tcPr>
          <w:p w14:paraId="6780F45A"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1</w:t>
            </w:r>
            <w:r>
              <w:rPr>
                <w:rFonts w:ascii="Arial Narrow" w:eastAsia="Calibri" w:hAnsi="Arial Narrow"/>
                <w:sz w:val="20"/>
                <w:szCs w:val="20"/>
                <w:vertAlign w:val="superscript"/>
              </w:rPr>
              <w:t xml:space="preserve"> a</w:t>
            </w:r>
          </w:p>
        </w:tc>
        <w:tc>
          <w:tcPr>
            <w:tcW w:w="1134" w:type="dxa"/>
            <w:tcBorders>
              <w:top w:val="single" w:sz="4" w:space="0" w:color="000000"/>
              <w:left w:val="single" w:sz="4" w:space="0" w:color="000000"/>
              <w:bottom w:val="single" w:sz="4" w:space="0" w:color="000000"/>
              <w:right w:val="single" w:sz="4" w:space="0" w:color="000000"/>
            </w:tcBorders>
            <w:vAlign w:val="center"/>
          </w:tcPr>
          <w:p w14:paraId="592B1189"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10 </w:t>
            </w:r>
            <w:r>
              <w:rPr>
                <w:rFonts w:ascii="Arial Narrow" w:eastAsia="Calibri" w:hAnsi="Arial Narrow"/>
                <w:sz w:val="20"/>
                <w:szCs w:val="20"/>
                <w:vertAlign w:val="superscript"/>
              </w:rPr>
              <w:t>b</w:t>
            </w:r>
          </w:p>
        </w:tc>
        <w:tc>
          <w:tcPr>
            <w:tcW w:w="850" w:type="dxa"/>
            <w:tcBorders>
              <w:top w:val="single" w:sz="4" w:space="0" w:color="000000"/>
              <w:left w:val="single" w:sz="4" w:space="0" w:color="000000"/>
              <w:bottom w:val="single" w:sz="4" w:space="0" w:color="000000"/>
              <w:right w:val="single" w:sz="4" w:space="0" w:color="000000"/>
            </w:tcBorders>
            <w:vAlign w:val="center"/>
          </w:tcPr>
          <w:p w14:paraId="644CA3BD"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w:t>
            </w:r>
            <w:r>
              <w:rPr>
                <w:rFonts w:ascii="Arial Narrow" w:eastAsia="Calibri" w:hAnsi="Arial Narrow"/>
                <w:sz w:val="20"/>
                <w:szCs w:val="20"/>
                <w:vertAlign w:val="superscript"/>
              </w:rPr>
              <w:t>a</w:t>
            </w:r>
          </w:p>
        </w:tc>
        <w:tc>
          <w:tcPr>
            <w:tcW w:w="2148" w:type="dxa"/>
            <w:tcBorders>
              <w:top w:val="single" w:sz="4" w:space="0" w:color="000000"/>
              <w:left w:val="single" w:sz="4" w:space="0" w:color="000000"/>
              <w:bottom w:val="single" w:sz="4" w:space="0" w:color="000000"/>
              <w:right w:val="single" w:sz="4" w:space="0" w:color="000000"/>
            </w:tcBorders>
            <w:vAlign w:val="center"/>
          </w:tcPr>
          <w:p w14:paraId="6B3263DF"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$5,262.93 published price</w:t>
            </w:r>
          </w:p>
        </w:tc>
        <w:tc>
          <w:tcPr>
            <w:tcW w:w="1205" w:type="dxa"/>
            <w:tcBorders>
              <w:top w:val="single" w:sz="4" w:space="0" w:color="000000"/>
              <w:left w:val="single" w:sz="4" w:space="0" w:color="000000"/>
              <w:bottom w:val="single" w:sz="4" w:space="0" w:color="000000"/>
              <w:right w:val="single" w:sz="4" w:space="0" w:color="000000"/>
            </w:tcBorders>
            <w:vAlign w:val="center"/>
          </w:tcPr>
          <w:p w14:paraId="072E5687"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Palynziq</w:t>
            </w:r>
          </w:p>
        </w:tc>
      </w:tr>
      <w:tr w:rsidR="004D59D4" w14:paraId="29EAA8EF" w14:textId="77777777">
        <w:trPr>
          <w:trHeight w:val="244"/>
        </w:trPr>
        <w:tc>
          <w:tcPr>
            <w:tcW w:w="9026" w:type="dxa"/>
            <w:gridSpan w:val="6"/>
            <w:tcBorders>
              <w:top w:val="single" w:sz="4" w:space="0" w:color="000000"/>
              <w:left w:val="single" w:sz="4" w:space="0" w:color="000000"/>
              <w:bottom w:val="single" w:sz="4" w:space="0" w:color="000000"/>
              <w:right w:val="single" w:sz="4" w:space="0" w:color="000000"/>
            </w:tcBorders>
            <w:vAlign w:val="center"/>
          </w:tcPr>
          <w:p w14:paraId="5EE59DFC" w14:textId="77777777" w:rsidR="004D59D4" w:rsidRDefault="00023FAF" w:rsidP="00025AAC">
            <w:pPr>
              <w:keepNext/>
              <w:tabs>
                <w:tab w:val="left" w:pos="416"/>
                <w:tab w:val="left" w:pos="582"/>
              </w:tabs>
              <w:contextualSpacing/>
              <w:rPr>
                <w:rFonts w:ascii="Arial Narrow" w:eastAsia="Calibri" w:hAnsi="Arial Narrow"/>
                <w:sz w:val="20"/>
                <w:szCs w:val="20"/>
              </w:rPr>
            </w:pPr>
            <w:r>
              <w:rPr>
                <w:rFonts w:ascii="Arial Narrow" w:eastAsia="Calibri" w:hAnsi="Arial Narrow"/>
                <w:sz w:val="20"/>
                <w:szCs w:val="20"/>
              </w:rPr>
              <w:t>Continuing treatment</w:t>
            </w:r>
          </w:p>
        </w:tc>
      </w:tr>
      <w:tr w:rsidR="004D59D4" w14:paraId="381D57EA" w14:textId="77777777">
        <w:trPr>
          <w:trHeight w:val="244"/>
        </w:trPr>
        <w:tc>
          <w:tcPr>
            <w:tcW w:w="2411" w:type="dxa"/>
            <w:tcBorders>
              <w:top w:val="single" w:sz="4" w:space="0" w:color="000000"/>
              <w:left w:val="single" w:sz="4" w:space="0" w:color="000000"/>
              <w:bottom w:val="single" w:sz="4" w:space="0" w:color="000000"/>
              <w:right w:val="single" w:sz="4" w:space="0" w:color="000000"/>
            </w:tcBorders>
            <w:vAlign w:val="center"/>
          </w:tcPr>
          <w:p w14:paraId="2A5FB13E"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PEGVALIASE, 1 x 2.5 mg pre-filled syringe, sc. injection</w:t>
            </w:r>
          </w:p>
        </w:tc>
        <w:tc>
          <w:tcPr>
            <w:tcW w:w="1278" w:type="dxa"/>
            <w:tcBorders>
              <w:top w:val="single" w:sz="4" w:space="0" w:color="000000"/>
              <w:left w:val="single" w:sz="4" w:space="0" w:color="000000"/>
              <w:bottom w:val="single" w:sz="4" w:space="0" w:color="000000"/>
              <w:right w:val="single" w:sz="4" w:space="0" w:color="000000"/>
            </w:tcBorders>
            <w:vAlign w:val="center"/>
          </w:tcPr>
          <w:p w14:paraId="341F57E3"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 </w:t>
            </w:r>
            <w:r>
              <w:rPr>
                <w:rFonts w:ascii="Arial Narrow" w:eastAsia="Calibri" w:hAnsi="Arial Narrow"/>
                <w:sz w:val="20"/>
                <w:szCs w:val="20"/>
                <w:vertAlign w:val="superscript"/>
              </w:rPr>
              <w:t>c</w:t>
            </w:r>
          </w:p>
        </w:tc>
        <w:tc>
          <w:tcPr>
            <w:tcW w:w="1134" w:type="dxa"/>
            <w:tcBorders>
              <w:top w:val="single" w:sz="4" w:space="0" w:color="000000"/>
              <w:left w:val="single" w:sz="4" w:space="0" w:color="000000"/>
              <w:bottom w:val="single" w:sz="4" w:space="0" w:color="000000"/>
              <w:right w:val="single" w:sz="4" w:space="0" w:color="000000"/>
            </w:tcBorders>
            <w:vAlign w:val="center"/>
          </w:tcPr>
          <w:p w14:paraId="317B7A6E"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 </w:t>
            </w:r>
            <w:r>
              <w:rPr>
                <w:rFonts w:ascii="Arial Narrow" w:eastAsia="Calibri" w:hAnsi="Arial Narrow"/>
                <w:sz w:val="20"/>
                <w:szCs w:val="20"/>
                <w:vertAlign w:val="superscript"/>
              </w:rPr>
              <w:t>b</w:t>
            </w:r>
          </w:p>
        </w:tc>
        <w:tc>
          <w:tcPr>
            <w:tcW w:w="850" w:type="dxa"/>
            <w:tcBorders>
              <w:top w:val="single" w:sz="4" w:space="0" w:color="000000"/>
              <w:left w:val="single" w:sz="4" w:space="0" w:color="000000"/>
              <w:bottom w:val="single" w:sz="4" w:space="0" w:color="000000"/>
              <w:right w:val="single" w:sz="4" w:space="0" w:color="000000"/>
            </w:tcBorders>
            <w:vAlign w:val="center"/>
          </w:tcPr>
          <w:p w14:paraId="69149511"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5</w:t>
            </w:r>
          </w:p>
        </w:tc>
        <w:tc>
          <w:tcPr>
            <w:tcW w:w="2148" w:type="dxa"/>
            <w:tcBorders>
              <w:top w:val="single" w:sz="4" w:space="0" w:color="000000"/>
              <w:left w:val="single" w:sz="4" w:space="0" w:color="000000"/>
              <w:bottom w:val="single" w:sz="4" w:space="0" w:color="000000"/>
              <w:right w:val="single" w:sz="4" w:space="0" w:color="000000"/>
            </w:tcBorders>
            <w:vAlign w:val="center"/>
          </w:tcPr>
          <w:p w14:paraId="55A7957A"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$584.56 published price</w:t>
            </w:r>
          </w:p>
        </w:tc>
        <w:tc>
          <w:tcPr>
            <w:tcW w:w="1205" w:type="dxa"/>
            <w:tcBorders>
              <w:top w:val="single" w:sz="4" w:space="0" w:color="000000"/>
              <w:left w:val="single" w:sz="4" w:space="0" w:color="000000"/>
              <w:bottom w:val="single" w:sz="4" w:space="0" w:color="000000"/>
              <w:right w:val="single" w:sz="4" w:space="0" w:color="000000"/>
            </w:tcBorders>
            <w:vAlign w:val="center"/>
          </w:tcPr>
          <w:p w14:paraId="191E3D2B"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Palynziq</w:t>
            </w:r>
          </w:p>
        </w:tc>
      </w:tr>
      <w:tr w:rsidR="004D59D4" w14:paraId="75F6C961" w14:textId="77777777">
        <w:trPr>
          <w:trHeight w:val="244"/>
        </w:trPr>
        <w:tc>
          <w:tcPr>
            <w:tcW w:w="2411" w:type="dxa"/>
            <w:tcBorders>
              <w:top w:val="single" w:sz="4" w:space="0" w:color="000000"/>
              <w:left w:val="single" w:sz="4" w:space="0" w:color="000000"/>
              <w:bottom w:val="single" w:sz="4" w:space="0" w:color="000000"/>
              <w:right w:val="single" w:sz="4" w:space="0" w:color="000000"/>
            </w:tcBorders>
            <w:vAlign w:val="center"/>
          </w:tcPr>
          <w:p w14:paraId="58C275D0"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PEGVALIASE, 1 x 10 mg pre-filled syringe, sc. injection</w:t>
            </w:r>
          </w:p>
        </w:tc>
        <w:tc>
          <w:tcPr>
            <w:tcW w:w="1278" w:type="dxa"/>
            <w:tcBorders>
              <w:top w:val="single" w:sz="4" w:space="0" w:color="000000"/>
              <w:left w:val="single" w:sz="4" w:space="0" w:color="000000"/>
              <w:bottom w:val="single" w:sz="4" w:space="0" w:color="000000"/>
              <w:right w:val="single" w:sz="4" w:space="0" w:color="000000"/>
            </w:tcBorders>
            <w:vAlign w:val="center"/>
          </w:tcPr>
          <w:p w14:paraId="372E832E"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 </w:t>
            </w:r>
            <w:r>
              <w:rPr>
                <w:rFonts w:ascii="Arial Narrow" w:eastAsia="Calibri" w:hAnsi="Arial Narrow"/>
                <w:sz w:val="20"/>
                <w:szCs w:val="20"/>
                <w:vertAlign w:val="superscript"/>
              </w:rPr>
              <w:t>c</w:t>
            </w:r>
          </w:p>
        </w:tc>
        <w:tc>
          <w:tcPr>
            <w:tcW w:w="1134" w:type="dxa"/>
            <w:tcBorders>
              <w:top w:val="single" w:sz="4" w:space="0" w:color="000000"/>
              <w:left w:val="single" w:sz="4" w:space="0" w:color="000000"/>
              <w:bottom w:val="single" w:sz="4" w:space="0" w:color="000000"/>
              <w:right w:val="single" w:sz="4" w:space="0" w:color="000000"/>
            </w:tcBorders>
            <w:vAlign w:val="center"/>
          </w:tcPr>
          <w:p w14:paraId="0E6B54A7"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 </w:t>
            </w:r>
            <w:r>
              <w:rPr>
                <w:rFonts w:ascii="Arial Narrow" w:eastAsia="Calibri" w:hAnsi="Arial Narrow"/>
                <w:sz w:val="20"/>
                <w:szCs w:val="20"/>
                <w:vertAlign w:val="superscript"/>
              </w:rPr>
              <w:t>b</w:t>
            </w:r>
          </w:p>
        </w:tc>
        <w:tc>
          <w:tcPr>
            <w:tcW w:w="850" w:type="dxa"/>
            <w:tcBorders>
              <w:top w:val="single" w:sz="4" w:space="0" w:color="000000"/>
              <w:left w:val="single" w:sz="4" w:space="0" w:color="000000"/>
              <w:bottom w:val="single" w:sz="4" w:space="0" w:color="000000"/>
              <w:right w:val="single" w:sz="4" w:space="0" w:color="000000"/>
            </w:tcBorders>
            <w:vAlign w:val="center"/>
          </w:tcPr>
          <w:p w14:paraId="469B5572"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5</w:t>
            </w:r>
          </w:p>
        </w:tc>
        <w:tc>
          <w:tcPr>
            <w:tcW w:w="2148" w:type="dxa"/>
            <w:tcBorders>
              <w:top w:val="single" w:sz="4" w:space="0" w:color="000000"/>
              <w:left w:val="single" w:sz="4" w:space="0" w:color="000000"/>
              <w:bottom w:val="single" w:sz="4" w:space="0" w:color="000000"/>
              <w:right w:val="single" w:sz="4" w:space="0" w:color="000000"/>
            </w:tcBorders>
            <w:vAlign w:val="center"/>
          </w:tcPr>
          <w:p w14:paraId="5029DAE4"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$584.56 published price</w:t>
            </w:r>
          </w:p>
        </w:tc>
        <w:tc>
          <w:tcPr>
            <w:tcW w:w="1205" w:type="dxa"/>
            <w:tcBorders>
              <w:top w:val="single" w:sz="4" w:space="0" w:color="000000"/>
              <w:left w:val="single" w:sz="4" w:space="0" w:color="000000"/>
              <w:bottom w:val="single" w:sz="4" w:space="0" w:color="000000"/>
              <w:right w:val="single" w:sz="4" w:space="0" w:color="000000"/>
            </w:tcBorders>
            <w:vAlign w:val="center"/>
          </w:tcPr>
          <w:p w14:paraId="70BF4CEB"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Palynziq</w:t>
            </w:r>
          </w:p>
        </w:tc>
      </w:tr>
      <w:tr w:rsidR="004D59D4" w14:paraId="586774DF" w14:textId="77777777">
        <w:trPr>
          <w:trHeight w:val="244"/>
        </w:trPr>
        <w:tc>
          <w:tcPr>
            <w:tcW w:w="2411" w:type="dxa"/>
            <w:tcBorders>
              <w:top w:val="single" w:sz="4" w:space="0" w:color="000000"/>
              <w:left w:val="single" w:sz="4" w:space="0" w:color="000000"/>
              <w:bottom w:val="single" w:sz="4" w:space="0" w:color="000000"/>
              <w:right w:val="single" w:sz="4" w:space="0" w:color="000000"/>
            </w:tcBorders>
            <w:vAlign w:val="center"/>
          </w:tcPr>
          <w:p w14:paraId="179891BD"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PEGVALIASE, 10 x 20 mg pre-filled syringe, sc. injection</w:t>
            </w:r>
          </w:p>
        </w:tc>
        <w:tc>
          <w:tcPr>
            <w:tcW w:w="1278" w:type="dxa"/>
            <w:tcBorders>
              <w:top w:val="single" w:sz="4" w:space="0" w:color="000000"/>
              <w:left w:val="single" w:sz="4" w:space="0" w:color="000000"/>
              <w:bottom w:val="single" w:sz="4" w:space="0" w:color="000000"/>
              <w:right w:val="single" w:sz="4" w:space="0" w:color="000000"/>
            </w:tcBorders>
            <w:vAlign w:val="center"/>
          </w:tcPr>
          <w:p w14:paraId="531BD11B"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 </w:t>
            </w:r>
            <w:r>
              <w:rPr>
                <w:rFonts w:ascii="Arial Narrow" w:eastAsia="Calibri" w:hAnsi="Arial Narrow"/>
                <w:sz w:val="20"/>
                <w:szCs w:val="20"/>
                <w:vertAlign w:val="superscript"/>
              </w:rPr>
              <w:t>c</w:t>
            </w:r>
          </w:p>
        </w:tc>
        <w:tc>
          <w:tcPr>
            <w:tcW w:w="1134" w:type="dxa"/>
            <w:tcBorders>
              <w:top w:val="single" w:sz="4" w:space="0" w:color="000000"/>
              <w:left w:val="single" w:sz="4" w:space="0" w:color="000000"/>
              <w:bottom w:val="single" w:sz="4" w:space="0" w:color="000000"/>
              <w:right w:val="single" w:sz="4" w:space="0" w:color="000000"/>
            </w:tcBorders>
            <w:vAlign w:val="center"/>
          </w:tcPr>
          <w:p w14:paraId="6D31E3A7"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 xml:space="preserve">10 </w:t>
            </w:r>
            <w:r>
              <w:rPr>
                <w:rFonts w:ascii="Arial Narrow" w:eastAsia="Calibri" w:hAnsi="Arial Narrow"/>
                <w:sz w:val="20"/>
                <w:szCs w:val="20"/>
                <w:vertAlign w:val="superscript"/>
              </w:rPr>
              <w:t>c</w:t>
            </w:r>
          </w:p>
        </w:tc>
        <w:tc>
          <w:tcPr>
            <w:tcW w:w="850" w:type="dxa"/>
            <w:tcBorders>
              <w:top w:val="single" w:sz="4" w:space="0" w:color="000000"/>
              <w:left w:val="single" w:sz="4" w:space="0" w:color="000000"/>
              <w:bottom w:val="single" w:sz="4" w:space="0" w:color="000000"/>
              <w:right w:val="single" w:sz="4" w:space="0" w:color="000000"/>
            </w:tcBorders>
            <w:vAlign w:val="center"/>
          </w:tcPr>
          <w:p w14:paraId="2DF77E9F"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5</w:t>
            </w:r>
          </w:p>
        </w:tc>
        <w:tc>
          <w:tcPr>
            <w:tcW w:w="2148" w:type="dxa"/>
            <w:tcBorders>
              <w:top w:val="single" w:sz="4" w:space="0" w:color="000000"/>
              <w:left w:val="single" w:sz="4" w:space="0" w:color="000000"/>
              <w:bottom w:val="single" w:sz="4" w:space="0" w:color="000000"/>
              <w:right w:val="single" w:sz="4" w:space="0" w:color="000000"/>
            </w:tcBorders>
            <w:vAlign w:val="center"/>
          </w:tcPr>
          <w:p w14:paraId="0AC16478"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$5,262.93 published price</w:t>
            </w:r>
          </w:p>
        </w:tc>
        <w:tc>
          <w:tcPr>
            <w:tcW w:w="1205" w:type="dxa"/>
            <w:tcBorders>
              <w:top w:val="single" w:sz="4" w:space="0" w:color="000000"/>
              <w:left w:val="single" w:sz="4" w:space="0" w:color="000000"/>
              <w:bottom w:val="single" w:sz="4" w:space="0" w:color="000000"/>
              <w:right w:val="single" w:sz="4" w:space="0" w:color="000000"/>
            </w:tcBorders>
            <w:vAlign w:val="center"/>
          </w:tcPr>
          <w:p w14:paraId="383806BE" w14:textId="77777777" w:rsidR="004D59D4" w:rsidRDefault="00023FAF" w:rsidP="00025AAC">
            <w:pPr>
              <w:keepNext/>
              <w:jc w:val="center"/>
              <w:rPr>
                <w:rFonts w:ascii="Arial Narrow" w:eastAsia="Calibri" w:hAnsi="Arial Narrow"/>
                <w:sz w:val="20"/>
                <w:szCs w:val="20"/>
              </w:rPr>
            </w:pPr>
            <w:r>
              <w:rPr>
                <w:rFonts w:ascii="Arial Narrow" w:eastAsia="Calibri" w:hAnsi="Arial Narrow"/>
                <w:sz w:val="20"/>
                <w:szCs w:val="20"/>
              </w:rPr>
              <w:t>Palynziq</w:t>
            </w:r>
          </w:p>
        </w:tc>
      </w:tr>
    </w:tbl>
    <w:tbl>
      <w:tblPr>
        <w:tblW w:w="5000" w:type="pct"/>
        <w:tblInd w:w="-5" w:type="dxa"/>
        <w:tblLayout w:type="fixed"/>
        <w:tblCellMar>
          <w:left w:w="28" w:type="dxa"/>
          <w:right w:w="28" w:type="dxa"/>
        </w:tblCellMar>
        <w:tblLook w:val="04A0" w:firstRow="1" w:lastRow="0" w:firstColumn="1" w:lastColumn="0" w:noHBand="0" w:noVBand="1"/>
      </w:tblPr>
      <w:tblGrid>
        <w:gridCol w:w="1700"/>
        <w:gridCol w:w="7316"/>
      </w:tblGrid>
      <w:tr w:rsidR="004D59D4" w14:paraId="6F544779"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13FB84A7" w14:textId="77777777" w:rsidR="004D59D4" w:rsidRDefault="00023FAF" w:rsidP="00025AAC">
            <w:pPr>
              <w:pStyle w:val="Tabletext"/>
            </w:pPr>
            <w:r>
              <w:t>Category/Program:</w:t>
            </w:r>
          </w:p>
        </w:tc>
        <w:tc>
          <w:tcPr>
            <w:tcW w:w="7324" w:type="dxa"/>
            <w:tcBorders>
              <w:top w:val="single" w:sz="4" w:space="0" w:color="000000"/>
              <w:left w:val="single" w:sz="4" w:space="0" w:color="000000"/>
              <w:bottom w:val="single" w:sz="4" w:space="0" w:color="000000"/>
              <w:right w:val="single" w:sz="4" w:space="0" w:color="000000"/>
            </w:tcBorders>
          </w:tcPr>
          <w:p w14:paraId="331CB4E3" w14:textId="77777777" w:rsidR="004D59D4" w:rsidRDefault="00023FAF" w:rsidP="00025AAC">
            <w:pPr>
              <w:pStyle w:val="Tabletext"/>
            </w:pPr>
            <w:r>
              <w:t>General Schedule</w:t>
            </w:r>
          </w:p>
        </w:tc>
      </w:tr>
      <w:tr w:rsidR="004D59D4" w14:paraId="087DF4FD"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0F46D316" w14:textId="77777777" w:rsidR="004D59D4" w:rsidRDefault="00023FAF" w:rsidP="00025AAC">
            <w:pPr>
              <w:pStyle w:val="Tabletext"/>
            </w:pPr>
            <w:r>
              <w:t>Restriction type:</w:t>
            </w:r>
          </w:p>
        </w:tc>
        <w:tc>
          <w:tcPr>
            <w:tcW w:w="7324" w:type="dxa"/>
            <w:tcBorders>
              <w:top w:val="single" w:sz="4" w:space="0" w:color="000000"/>
              <w:left w:val="single" w:sz="4" w:space="0" w:color="000000"/>
              <w:bottom w:val="single" w:sz="4" w:space="0" w:color="000000"/>
              <w:right w:val="single" w:sz="4" w:space="0" w:color="000000"/>
            </w:tcBorders>
          </w:tcPr>
          <w:p w14:paraId="2B1CBCA6" w14:textId="77777777" w:rsidR="004D59D4" w:rsidRDefault="00023FAF" w:rsidP="00025AAC">
            <w:pPr>
              <w:pStyle w:val="Tabletext"/>
            </w:pPr>
            <w:r>
              <w:t>Authority Required –</w:t>
            </w:r>
            <w:r>
              <w:rPr>
                <w:rFonts w:eastAsia="Calibri" w:cs="Arial"/>
                <w:szCs w:val="20"/>
              </w:rPr>
              <w:t xml:space="preserve"> immediate/real time assessment by Services Australia (telephone/online application avenues)</w:t>
            </w:r>
          </w:p>
        </w:tc>
      </w:tr>
      <w:tr w:rsidR="004D59D4" w14:paraId="4EAB83E4"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632C48BA" w14:textId="77777777" w:rsidR="004D59D4" w:rsidRDefault="00023FAF" w:rsidP="00025AAC">
            <w:pPr>
              <w:pStyle w:val="Tabletext"/>
            </w:pPr>
            <w:r>
              <w:lastRenderedPageBreak/>
              <w:t>Condition:</w:t>
            </w:r>
          </w:p>
        </w:tc>
        <w:tc>
          <w:tcPr>
            <w:tcW w:w="7324" w:type="dxa"/>
            <w:tcBorders>
              <w:top w:val="single" w:sz="4" w:space="0" w:color="000000"/>
              <w:left w:val="single" w:sz="4" w:space="0" w:color="000000"/>
              <w:bottom w:val="single" w:sz="4" w:space="0" w:color="000000"/>
              <w:right w:val="single" w:sz="4" w:space="0" w:color="000000"/>
            </w:tcBorders>
          </w:tcPr>
          <w:p w14:paraId="34EEF7F7" w14:textId="77777777" w:rsidR="004D59D4" w:rsidRDefault="00023FAF" w:rsidP="00025AAC">
            <w:pPr>
              <w:pStyle w:val="Tabletext"/>
            </w:pPr>
            <w:r>
              <w:t>Hyperphenylalaninemia (HPA)</w:t>
            </w:r>
          </w:p>
        </w:tc>
      </w:tr>
      <w:tr w:rsidR="004D59D4" w14:paraId="78C8CE7C"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24EF8E68" w14:textId="77777777" w:rsidR="004D59D4" w:rsidRDefault="00023FAF" w:rsidP="00025AAC">
            <w:pPr>
              <w:pStyle w:val="Tabletext"/>
            </w:pPr>
            <w:r>
              <w:t xml:space="preserve">Indication: </w:t>
            </w:r>
          </w:p>
        </w:tc>
        <w:tc>
          <w:tcPr>
            <w:tcW w:w="7324" w:type="dxa"/>
            <w:tcBorders>
              <w:top w:val="single" w:sz="4" w:space="0" w:color="000000"/>
              <w:left w:val="single" w:sz="4" w:space="0" w:color="000000"/>
              <w:bottom w:val="single" w:sz="4" w:space="0" w:color="000000"/>
              <w:right w:val="single" w:sz="4" w:space="0" w:color="000000"/>
            </w:tcBorders>
          </w:tcPr>
          <w:p w14:paraId="1536F7B0" w14:textId="77777777" w:rsidR="004D59D4" w:rsidRDefault="00023FAF" w:rsidP="00025AAC">
            <w:pPr>
              <w:pStyle w:val="Tabletext"/>
            </w:pPr>
            <w:r>
              <w:t>Hyperphenylalaninemia (HPA) due to phenylketonuria (PKU)</w:t>
            </w:r>
          </w:p>
        </w:tc>
      </w:tr>
      <w:tr w:rsidR="004D59D4" w14:paraId="300943BF"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4AA66A0D" w14:textId="77777777" w:rsidR="004D59D4" w:rsidRDefault="00023FAF" w:rsidP="00025AAC">
            <w:pPr>
              <w:pStyle w:val="Tabletext"/>
              <w:rPr>
                <w:b/>
                <w:bCs/>
              </w:rPr>
            </w:pPr>
            <w:r>
              <w:rPr>
                <w:b/>
                <w:bCs/>
              </w:rPr>
              <w:t>Treatment phase:</w:t>
            </w:r>
          </w:p>
        </w:tc>
        <w:tc>
          <w:tcPr>
            <w:tcW w:w="7324" w:type="dxa"/>
            <w:tcBorders>
              <w:top w:val="single" w:sz="4" w:space="0" w:color="000000"/>
              <w:left w:val="single" w:sz="4" w:space="0" w:color="000000"/>
              <w:bottom w:val="single" w:sz="4" w:space="0" w:color="000000"/>
              <w:right w:val="single" w:sz="4" w:space="0" w:color="000000"/>
            </w:tcBorders>
          </w:tcPr>
          <w:p w14:paraId="6D3F4A10" w14:textId="77777777" w:rsidR="004D59D4" w:rsidRDefault="00023FAF" w:rsidP="00025AAC">
            <w:pPr>
              <w:pStyle w:val="Tabletext"/>
              <w:rPr>
                <w:b/>
                <w:bCs/>
              </w:rPr>
            </w:pPr>
            <w:r>
              <w:rPr>
                <w:b/>
                <w:bCs/>
              </w:rPr>
              <w:t>Initial treatment (induction, titration, and maintenance) within first 24 months</w:t>
            </w:r>
          </w:p>
        </w:tc>
      </w:tr>
      <w:tr w:rsidR="004D59D4" w14:paraId="4DABF6C6"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6E78BA7E" w14:textId="77777777" w:rsidR="004D59D4" w:rsidRDefault="00023FAF" w:rsidP="00025AAC">
            <w:pPr>
              <w:pStyle w:val="Tabletext"/>
            </w:pPr>
            <w:r>
              <w:t>Clinical criteria:</w:t>
            </w:r>
          </w:p>
        </w:tc>
        <w:tc>
          <w:tcPr>
            <w:tcW w:w="7324" w:type="dxa"/>
            <w:tcBorders>
              <w:top w:val="single" w:sz="4" w:space="0" w:color="000000"/>
              <w:left w:val="single" w:sz="4" w:space="0" w:color="000000"/>
              <w:bottom w:val="single" w:sz="4" w:space="0" w:color="000000"/>
              <w:right w:val="single" w:sz="4" w:space="0" w:color="000000"/>
            </w:tcBorders>
          </w:tcPr>
          <w:p w14:paraId="28977840" w14:textId="77777777" w:rsidR="004D59D4" w:rsidRDefault="00023FAF" w:rsidP="00025AAC">
            <w:pPr>
              <w:pStyle w:val="TableText1"/>
              <w:rPr>
                <w:rFonts w:eastAsia="Times New Roman" w:cs="Times New Roman"/>
                <w:bCs w:val="0"/>
              </w:rPr>
            </w:pPr>
            <w:r>
              <w:rPr>
                <w:rFonts w:eastAsia="Times New Roman" w:cs="Times New Roman"/>
                <w:bCs w:val="0"/>
              </w:rPr>
              <w:t>Patient must not have previously received PBS-subsidised treatment with this drug for this condition</w:t>
            </w:r>
          </w:p>
          <w:p w14:paraId="55ECE81F" w14:textId="77777777" w:rsidR="004D59D4" w:rsidRDefault="00023FAF" w:rsidP="00025AAC">
            <w:pPr>
              <w:pStyle w:val="TableText1"/>
              <w:rPr>
                <w:rFonts w:eastAsia="Times New Roman" w:cs="Times New Roman"/>
                <w:bCs w:val="0"/>
              </w:rPr>
            </w:pPr>
            <w:r>
              <w:rPr>
                <w:rFonts w:eastAsia="Times New Roman" w:cs="Times New Roman"/>
                <w:bCs w:val="0"/>
              </w:rPr>
              <w:t>AND</w:t>
            </w:r>
          </w:p>
          <w:p w14:paraId="7C91C1ED" w14:textId="77777777" w:rsidR="004D59D4" w:rsidRDefault="00023FAF" w:rsidP="00025AAC">
            <w:pPr>
              <w:pStyle w:val="TableText1"/>
              <w:rPr>
                <w:rFonts w:eastAsia="Times New Roman" w:cs="Times New Roman"/>
                <w:bCs w:val="0"/>
              </w:rPr>
            </w:pPr>
            <w:r>
              <w:rPr>
                <w:rFonts w:eastAsia="Times New Roman" w:cs="Times New Roman"/>
                <w:bCs w:val="0"/>
              </w:rPr>
              <w:t>Patient must have a baseline blood phenylalanine level above 600 micromole per L</w:t>
            </w:r>
          </w:p>
          <w:p w14:paraId="7EC9AB0A" w14:textId="77777777" w:rsidR="004D59D4" w:rsidRDefault="00023FAF" w:rsidP="00025AAC">
            <w:pPr>
              <w:pStyle w:val="TableText1"/>
              <w:rPr>
                <w:rFonts w:eastAsia="Times New Roman" w:cs="Times New Roman"/>
                <w:bCs w:val="0"/>
              </w:rPr>
            </w:pPr>
            <w:r>
              <w:rPr>
                <w:rFonts w:eastAsia="Times New Roman" w:cs="Times New Roman"/>
                <w:bCs w:val="0"/>
              </w:rPr>
              <w:t>AND</w:t>
            </w:r>
          </w:p>
          <w:p w14:paraId="19B387E9" w14:textId="77777777" w:rsidR="004D59D4" w:rsidRDefault="00023FAF" w:rsidP="00025AAC">
            <w:pPr>
              <w:pStyle w:val="TableText1"/>
              <w:rPr>
                <w:rFonts w:eastAsia="Times New Roman" w:cs="Times New Roman"/>
                <w:bCs w:val="0"/>
              </w:rPr>
            </w:pPr>
            <w:r>
              <w:rPr>
                <w:rFonts w:eastAsia="Times New Roman" w:cs="Times New Roman"/>
                <w:bCs w:val="0"/>
              </w:rPr>
              <w:t xml:space="preserve">Patient must have failed to achieve an adequate response to a trial of </w:t>
            </w:r>
            <w:proofErr w:type="spellStart"/>
            <w:r>
              <w:rPr>
                <w:rFonts w:eastAsia="Times New Roman" w:cs="Times New Roman"/>
                <w:bCs w:val="0"/>
              </w:rPr>
              <w:t>sapropterin</w:t>
            </w:r>
            <w:proofErr w:type="spellEnd"/>
            <w:r>
              <w:rPr>
                <w:rFonts w:eastAsia="Times New Roman" w:cs="Times New Roman"/>
                <w:bCs w:val="0"/>
              </w:rPr>
              <w:t xml:space="preserve"> in accordance with the PBS restriction for </w:t>
            </w:r>
            <w:proofErr w:type="spellStart"/>
            <w:r>
              <w:rPr>
                <w:rFonts w:eastAsia="Times New Roman" w:cs="Times New Roman"/>
                <w:bCs w:val="0"/>
              </w:rPr>
              <w:t>sapropterin</w:t>
            </w:r>
            <w:proofErr w:type="spellEnd"/>
            <w:r>
              <w:rPr>
                <w:rFonts w:eastAsia="Times New Roman" w:cs="Times New Roman"/>
                <w:bCs w:val="0"/>
              </w:rPr>
              <w:t xml:space="preserve"> (‘Initial treatment - responsiveness testing’ and ‘First continuing treatment’) OR</w:t>
            </w:r>
          </w:p>
          <w:p w14:paraId="1771B111" w14:textId="77777777" w:rsidR="004D59D4" w:rsidRDefault="00023FAF" w:rsidP="00025AAC">
            <w:pPr>
              <w:pStyle w:val="TableText1"/>
              <w:rPr>
                <w:rFonts w:eastAsia="Times New Roman" w:cs="Times New Roman"/>
                <w:bCs w:val="0"/>
                <w:u w:val="single"/>
              </w:rPr>
            </w:pPr>
            <w:r>
              <w:rPr>
                <w:rFonts w:eastAsia="Times New Roman" w:cs="Times New Roman"/>
                <w:bCs w:val="0"/>
                <w:u w:val="single"/>
              </w:rPr>
              <w:t>Patient must have a daily protein tolerance of less than 15 grams per day</w:t>
            </w:r>
          </w:p>
          <w:p w14:paraId="7FA28E39" w14:textId="77777777" w:rsidR="004D59D4" w:rsidRDefault="00023FAF" w:rsidP="00025AAC">
            <w:pPr>
              <w:pStyle w:val="TableText1"/>
              <w:rPr>
                <w:rFonts w:eastAsia="Times New Roman" w:cs="Times New Roman"/>
                <w:bCs w:val="0"/>
              </w:rPr>
            </w:pPr>
            <w:r>
              <w:rPr>
                <w:rFonts w:eastAsia="Times New Roman" w:cs="Times New Roman"/>
                <w:bCs w:val="0"/>
              </w:rPr>
              <w:t>AND</w:t>
            </w:r>
          </w:p>
          <w:p w14:paraId="1A3711A0" w14:textId="77777777" w:rsidR="004D59D4" w:rsidRDefault="00023FAF" w:rsidP="00025AAC">
            <w:pPr>
              <w:pStyle w:val="Tabletext"/>
            </w:pPr>
            <w:r>
              <w:t xml:space="preserve">Treatment must not be in combination with </w:t>
            </w:r>
            <w:proofErr w:type="spellStart"/>
            <w:r>
              <w:t>sapropterin</w:t>
            </w:r>
            <w:proofErr w:type="spellEnd"/>
          </w:p>
        </w:tc>
      </w:tr>
      <w:tr w:rsidR="004D59D4" w14:paraId="73B4BB5C"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5926E6FD" w14:textId="77777777" w:rsidR="004D59D4" w:rsidRDefault="00023FAF" w:rsidP="00025AAC">
            <w:pPr>
              <w:pStyle w:val="Tabletext"/>
            </w:pPr>
            <w:r>
              <w:t>Treatment criteria</w:t>
            </w:r>
          </w:p>
        </w:tc>
        <w:tc>
          <w:tcPr>
            <w:tcW w:w="7324" w:type="dxa"/>
            <w:tcBorders>
              <w:top w:val="single" w:sz="4" w:space="0" w:color="000000"/>
              <w:left w:val="single" w:sz="4" w:space="0" w:color="000000"/>
              <w:bottom w:val="single" w:sz="4" w:space="0" w:color="000000"/>
              <w:right w:val="single" w:sz="4" w:space="0" w:color="000000"/>
            </w:tcBorders>
          </w:tcPr>
          <w:p w14:paraId="447868AD" w14:textId="77777777" w:rsidR="004D59D4" w:rsidRDefault="00023FAF" w:rsidP="00025AAC">
            <w:pPr>
              <w:pStyle w:val="Tabletext"/>
            </w:pPr>
            <w:r>
              <w:t>Must be treated by a metabolic physician, OR</w:t>
            </w:r>
          </w:p>
          <w:p w14:paraId="5A549CD9" w14:textId="77777777" w:rsidR="004D59D4" w:rsidRDefault="00023FAF" w:rsidP="00025AAC">
            <w:pPr>
              <w:pStyle w:val="Tabletext"/>
              <w:rPr>
                <w:u w:val="single"/>
              </w:rPr>
            </w:pPr>
            <w:r>
              <w:rPr>
                <w:u w:val="single"/>
              </w:rPr>
              <w:t>Must be treated by a nurse practitioner experienced in the treatment of phenylketonuria in consultation with a metabolic physician</w:t>
            </w:r>
          </w:p>
          <w:p w14:paraId="7B120F2A" w14:textId="77777777" w:rsidR="004D59D4" w:rsidRDefault="00023FAF" w:rsidP="00025AAC">
            <w:pPr>
              <w:pStyle w:val="Tabletext"/>
            </w:pPr>
            <w:r>
              <w:t>AND</w:t>
            </w:r>
          </w:p>
          <w:p w14:paraId="7EDCB265" w14:textId="77777777" w:rsidR="004D59D4" w:rsidRDefault="00023FAF" w:rsidP="00025AAC">
            <w:pPr>
              <w:pStyle w:val="Tabletext"/>
            </w:pPr>
            <w:r>
              <w:rPr>
                <w:rFonts w:cs="Arial"/>
                <w:iCs/>
                <w:szCs w:val="20"/>
              </w:rPr>
              <w:t>Patient must be undergoing treatment with this drug within the first 24 months of treatment (i.e. the time from the date of the first authority application to the date of this authority application must not exceed 18 months)</w:t>
            </w:r>
          </w:p>
        </w:tc>
      </w:tr>
      <w:tr w:rsidR="004D59D4" w14:paraId="600F1E76"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77849D33" w14:textId="77777777" w:rsidR="004D59D4" w:rsidRDefault="00023FAF" w:rsidP="00025AAC">
            <w:pPr>
              <w:pStyle w:val="Tabletext"/>
            </w:pPr>
            <w:r>
              <w:t>Population criteria:</w:t>
            </w:r>
          </w:p>
        </w:tc>
        <w:tc>
          <w:tcPr>
            <w:tcW w:w="7324" w:type="dxa"/>
            <w:tcBorders>
              <w:top w:val="single" w:sz="4" w:space="0" w:color="000000"/>
              <w:left w:val="single" w:sz="4" w:space="0" w:color="000000"/>
              <w:bottom w:val="single" w:sz="4" w:space="0" w:color="000000"/>
              <w:right w:val="single" w:sz="4" w:space="0" w:color="000000"/>
            </w:tcBorders>
          </w:tcPr>
          <w:p w14:paraId="358F9335" w14:textId="77777777" w:rsidR="004D59D4" w:rsidRDefault="00023FAF" w:rsidP="00025AAC">
            <w:pPr>
              <w:pStyle w:val="Tabletext"/>
            </w:pPr>
            <w:r>
              <w:t>Patient must be at least 16 years of age</w:t>
            </w:r>
          </w:p>
        </w:tc>
      </w:tr>
      <w:tr w:rsidR="004D59D4" w14:paraId="6FD17710"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3F107646" w14:textId="77777777" w:rsidR="004D59D4" w:rsidRDefault="00023FAF" w:rsidP="00025AAC">
            <w:pPr>
              <w:pStyle w:val="Tabletext"/>
            </w:pPr>
            <w:r>
              <w:t>Prescribing instructions:</w:t>
            </w:r>
          </w:p>
        </w:tc>
        <w:tc>
          <w:tcPr>
            <w:tcW w:w="7324" w:type="dxa"/>
            <w:tcBorders>
              <w:top w:val="single" w:sz="4" w:space="0" w:color="000000"/>
              <w:left w:val="single" w:sz="4" w:space="0" w:color="000000"/>
              <w:bottom w:val="single" w:sz="4" w:space="0" w:color="000000"/>
              <w:right w:val="single" w:sz="4" w:space="0" w:color="000000"/>
            </w:tcBorders>
          </w:tcPr>
          <w:p w14:paraId="75963A5C" w14:textId="77777777" w:rsidR="004D59D4" w:rsidRDefault="00023FAF" w:rsidP="00025AAC">
            <w:pPr>
              <w:pStyle w:val="TableText1"/>
            </w:pPr>
            <w:r>
              <w:t>Dietary phenylalanine intake must be maintained at a constant level during the treatment period.</w:t>
            </w:r>
          </w:p>
          <w:p w14:paraId="1F49E0F2" w14:textId="77777777" w:rsidR="004D59D4" w:rsidRDefault="004D59D4" w:rsidP="00025AAC">
            <w:pPr>
              <w:pStyle w:val="TableText1"/>
            </w:pPr>
          </w:p>
          <w:p w14:paraId="7047719D" w14:textId="77777777" w:rsidR="004D59D4" w:rsidRDefault="00023FAF" w:rsidP="00025AAC">
            <w:pPr>
              <w:pStyle w:val="TableText1"/>
            </w:pPr>
            <w:r>
              <w:t>Patient must not receive more than 24 months of treatment under this restriction.</w:t>
            </w:r>
          </w:p>
          <w:p w14:paraId="7FDE7BBB" w14:textId="77777777" w:rsidR="004D59D4" w:rsidRDefault="004D59D4" w:rsidP="00025AAC">
            <w:pPr>
              <w:pStyle w:val="Tabletext"/>
            </w:pPr>
          </w:p>
          <w:p w14:paraId="153DC420" w14:textId="77777777" w:rsidR="004D59D4" w:rsidRDefault="00023FAF" w:rsidP="00025AAC">
            <w:pPr>
              <w:pStyle w:val="Tabletext"/>
            </w:pPr>
            <w:r>
              <w:t xml:space="preserve">At the time of the authority application, medical practitioners should request the appropriate quantity of prefilled syringes and the appropriate number of repeats, based on the dose required and in accordance with the recommended dosing described in the </w:t>
            </w:r>
            <w:proofErr w:type="spellStart"/>
            <w:r>
              <w:t>pegvaliase</w:t>
            </w:r>
            <w:proofErr w:type="spellEnd"/>
            <w:r>
              <w:t xml:space="preserve"> Product Information.</w:t>
            </w:r>
          </w:p>
          <w:p w14:paraId="7D99B798" w14:textId="77777777" w:rsidR="004D59D4" w:rsidRDefault="004D59D4" w:rsidP="00025AAC">
            <w:pPr>
              <w:pStyle w:val="Tabletext"/>
            </w:pPr>
          </w:p>
          <w:p w14:paraId="0D25365C" w14:textId="77777777" w:rsidR="004D59D4" w:rsidRDefault="00023FAF" w:rsidP="00025AAC">
            <w:pPr>
              <w:pStyle w:val="Tabletext"/>
            </w:pPr>
            <w:r>
              <w:t>A response to initial treatment must be assessed following a minimum of 5 months and up to 24 months of treatment so there is adequate time for patients to titrate up to the maximum dosage of 60 mg per day or maximum tolerated dose.</w:t>
            </w:r>
          </w:p>
          <w:p w14:paraId="67A32FBA" w14:textId="77777777" w:rsidR="004D59D4" w:rsidRDefault="00023FAF" w:rsidP="00025AAC">
            <w:pPr>
              <w:pStyle w:val="Tabletext"/>
            </w:pPr>
            <w:r>
              <w:t>A response to treatment with this drug is defined as at least one of:</w:t>
            </w:r>
          </w:p>
          <w:p w14:paraId="7A6AD745" w14:textId="77777777" w:rsidR="004D59D4" w:rsidRDefault="00023FAF" w:rsidP="00025AAC">
            <w:pPr>
              <w:pStyle w:val="Tabletext"/>
            </w:pPr>
            <w:r>
              <w:t>blood phenylalanine level below 360 micromole per L / clinically meaningful reduction in the inattention subscale of the ADHD-RS score, defined as a 5-point reduction in the inattention subscale (Spencer et al., 2010).</w:t>
            </w:r>
          </w:p>
        </w:tc>
      </w:tr>
      <w:tr w:rsidR="004D59D4" w14:paraId="2C34EDBE"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51D18A89" w14:textId="77777777" w:rsidR="004D59D4" w:rsidRDefault="00023FAF" w:rsidP="00025AAC">
            <w:pPr>
              <w:pStyle w:val="Tabletext"/>
            </w:pPr>
            <w:r>
              <w:t>Administrative advice:</w:t>
            </w:r>
          </w:p>
        </w:tc>
        <w:tc>
          <w:tcPr>
            <w:tcW w:w="7324" w:type="dxa"/>
            <w:tcBorders>
              <w:top w:val="single" w:sz="4" w:space="0" w:color="000000"/>
              <w:left w:val="single" w:sz="4" w:space="0" w:color="000000"/>
              <w:bottom w:val="single" w:sz="4" w:space="0" w:color="000000"/>
              <w:right w:val="single" w:sz="4" w:space="0" w:color="000000"/>
            </w:tcBorders>
          </w:tcPr>
          <w:p w14:paraId="6EBC8EFF" w14:textId="77777777" w:rsidR="004D59D4" w:rsidRDefault="00023FAF" w:rsidP="00025AAC">
            <w:pPr>
              <w:pStyle w:val="Tabletext"/>
              <w:spacing w:before="160"/>
            </w:pPr>
            <w:r>
              <w:t>Applications for authorisation under this restriction may be made in real time using the Online PBS Authorities system (see www.servicesaustralia.gov.au/HPOS) or by telephone by contacting Services Australia on 1800 888 333.</w:t>
            </w:r>
          </w:p>
          <w:p w14:paraId="52C6B5AF" w14:textId="77777777" w:rsidR="004D59D4" w:rsidRDefault="00023FAF" w:rsidP="00025AAC">
            <w:pPr>
              <w:pStyle w:val="Tabletext"/>
              <w:spacing w:before="160"/>
            </w:pPr>
            <w:r>
              <w:rPr>
                <w:b/>
                <w:bCs/>
              </w:rPr>
              <w:t>Caution</w:t>
            </w:r>
            <w:r>
              <w:t xml:space="preserve">: Treatment with </w:t>
            </w:r>
            <w:proofErr w:type="spellStart"/>
            <w:r>
              <w:t>pegvaliase</w:t>
            </w:r>
            <w:proofErr w:type="spellEnd"/>
            <w:r>
              <w:t xml:space="preserve"> is associated with acute systemic hypersensitivity reactions. Patients should be instructed to recognise the signs and symptoms of acute systemic hypersensitivity reactions, in the proper emergency use of the adrenaline injection device, and the requirement to seek immediate medical care.</w:t>
            </w:r>
          </w:p>
        </w:tc>
      </w:tr>
      <w:tr w:rsidR="004D59D4" w14:paraId="5F481634"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05914C79" w14:textId="77777777" w:rsidR="004D59D4" w:rsidRDefault="00023FAF" w:rsidP="00025AAC">
            <w:pPr>
              <w:pStyle w:val="Tabletext"/>
              <w:rPr>
                <w:b/>
                <w:bCs/>
              </w:rPr>
            </w:pPr>
            <w:r>
              <w:rPr>
                <w:b/>
                <w:bCs/>
              </w:rPr>
              <w:t>Treatment phase:</w:t>
            </w:r>
          </w:p>
        </w:tc>
        <w:tc>
          <w:tcPr>
            <w:tcW w:w="7324" w:type="dxa"/>
            <w:tcBorders>
              <w:top w:val="single" w:sz="4" w:space="0" w:color="000000"/>
              <w:left w:val="single" w:sz="4" w:space="0" w:color="000000"/>
              <w:bottom w:val="single" w:sz="4" w:space="0" w:color="000000"/>
              <w:right w:val="single" w:sz="4" w:space="0" w:color="000000"/>
            </w:tcBorders>
          </w:tcPr>
          <w:p w14:paraId="322F6525" w14:textId="77777777" w:rsidR="004D59D4" w:rsidRDefault="00023FAF" w:rsidP="00025AAC">
            <w:pPr>
              <w:pStyle w:val="Tabletext"/>
              <w:rPr>
                <w:b/>
                <w:bCs/>
              </w:rPr>
            </w:pPr>
            <w:r>
              <w:rPr>
                <w:b/>
                <w:bCs/>
              </w:rPr>
              <w:t>Maintenance treatment</w:t>
            </w:r>
          </w:p>
        </w:tc>
      </w:tr>
      <w:tr w:rsidR="004D59D4" w14:paraId="396AFF5D"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6B88B9F5" w14:textId="77777777" w:rsidR="004D59D4" w:rsidRDefault="00023FAF" w:rsidP="00025AAC">
            <w:pPr>
              <w:pStyle w:val="Tabletext"/>
            </w:pPr>
            <w:r>
              <w:t>Clinical criteria:</w:t>
            </w:r>
          </w:p>
        </w:tc>
        <w:tc>
          <w:tcPr>
            <w:tcW w:w="7324" w:type="dxa"/>
            <w:tcBorders>
              <w:top w:val="single" w:sz="4" w:space="0" w:color="000000"/>
              <w:left w:val="single" w:sz="4" w:space="0" w:color="000000"/>
              <w:bottom w:val="single" w:sz="4" w:space="0" w:color="000000"/>
              <w:right w:val="single" w:sz="4" w:space="0" w:color="000000"/>
            </w:tcBorders>
          </w:tcPr>
          <w:p w14:paraId="7752C983" w14:textId="77777777" w:rsidR="004D59D4" w:rsidRDefault="00023FAF" w:rsidP="00025AAC">
            <w:pPr>
              <w:pStyle w:val="TableText1"/>
            </w:pPr>
            <w:r>
              <w:t>Patient must have previously received PBS-subsidised treatment under the Initial treatment (induction, titration, and maintenance) restriction with this drug for this condition</w:t>
            </w:r>
          </w:p>
          <w:p w14:paraId="3E099ACE" w14:textId="77777777" w:rsidR="004D59D4" w:rsidRDefault="00023FAF" w:rsidP="00025AAC">
            <w:pPr>
              <w:pStyle w:val="TableText1"/>
            </w:pPr>
            <w:r>
              <w:t>AND</w:t>
            </w:r>
          </w:p>
          <w:p w14:paraId="1184A030" w14:textId="77777777" w:rsidR="004D59D4" w:rsidRDefault="00023FAF" w:rsidP="00025AAC">
            <w:pPr>
              <w:jc w:val="left"/>
              <w:rPr>
                <w:rFonts w:ascii="Arial Narrow" w:eastAsiaTheme="majorEastAsia" w:hAnsi="Arial Narrow" w:cstheme="majorBidi"/>
                <w:bCs/>
                <w:sz w:val="20"/>
              </w:rPr>
            </w:pPr>
            <w:r>
              <w:rPr>
                <w:rFonts w:ascii="Arial Narrow" w:eastAsiaTheme="majorEastAsia" w:hAnsi="Arial Narrow" w:cstheme="majorBidi"/>
                <w:bCs/>
                <w:sz w:val="20"/>
              </w:rPr>
              <w:t>Patient must have demonstrated a response to initial treatment with this drug, assessed at a minimum of a minimum of 21 weeks and up to 24 months from commencing treatment with this drug, defined as at least one of either:</w:t>
            </w:r>
          </w:p>
          <w:p w14:paraId="280212A0" w14:textId="77777777" w:rsidR="004D59D4" w:rsidRDefault="00023FAF" w:rsidP="00025AAC">
            <w:pPr>
              <w:jc w:val="left"/>
              <w:rPr>
                <w:rFonts w:ascii="Arial Narrow" w:eastAsiaTheme="majorEastAsia" w:hAnsi="Arial Narrow" w:cstheme="majorBidi"/>
                <w:bCs/>
                <w:sz w:val="20"/>
              </w:rPr>
            </w:pPr>
            <w:r>
              <w:rPr>
                <w:rFonts w:ascii="Arial Narrow" w:eastAsiaTheme="majorEastAsia" w:hAnsi="Arial Narrow" w:cstheme="majorBidi"/>
                <w:bCs/>
                <w:sz w:val="20"/>
              </w:rPr>
              <w:t xml:space="preserve">blood phenylalanine level below 360 micromole per L or </w:t>
            </w:r>
          </w:p>
          <w:p w14:paraId="72915F03" w14:textId="77777777" w:rsidR="004D59D4" w:rsidRDefault="00023FAF" w:rsidP="00025AAC">
            <w:pPr>
              <w:jc w:val="left"/>
              <w:rPr>
                <w:rFonts w:ascii="Arial Narrow" w:eastAsiaTheme="majorEastAsia" w:hAnsi="Arial Narrow" w:cstheme="majorBidi"/>
                <w:bCs/>
                <w:sz w:val="20"/>
              </w:rPr>
            </w:pPr>
            <w:r>
              <w:rPr>
                <w:rFonts w:ascii="Arial Narrow" w:eastAsiaTheme="majorEastAsia" w:hAnsi="Arial Narrow" w:cstheme="majorBidi"/>
                <w:bCs/>
                <w:sz w:val="20"/>
              </w:rPr>
              <w:t>clinically meaningful reduction in the inattention subscale of the ADHD-RS score</w:t>
            </w:r>
          </w:p>
          <w:p w14:paraId="4DF6DC97" w14:textId="77777777" w:rsidR="004D59D4" w:rsidRDefault="00023FAF" w:rsidP="00025AAC">
            <w:pPr>
              <w:jc w:val="left"/>
              <w:rPr>
                <w:rFonts w:ascii="Arial Narrow" w:eastAsiaTheme="majorEastAsia" w:hAnsi="Arial Narrow" w:cstheme="majorBidi"/>
                <w:bCs/>
                <w:sz w:val="20"/>
              </w:rPr>
            </w:pPr>
            <w:r>
              <w:rPr>
                <w:rFonts w:ascii="Arial Narrow" w:eastAsiaTheme="majorEastAsia" w:hAnsi="Arial Narrow" w:cstheme="majorBidi"/>
                <w:bCs/>
                <w:sz w:val="20"/>
              </w:rPr>
              <w:t>AND</w:t>
            </w:r>
          </w:p>
          <w:p w14:paraId="12797948" w14:textId="77777777" w:rsidR="004D59D4" w:rsidRDefault="00023FAF" w:rsidP="00025AAC">
            <w:pPr>
              <w:pStyle w:val="Tabletext"/>
              <w:rPr>
                <w:rFonts w:eastAsiaTheme="majorEastAsia" w:cstheme="majorBidi"/>
                <w:bCs/>
              </w:rPr>
            </w:pPr>
            <w:r>
              <w:rPr>
                <w:rFonts w:eastAsiaTheme="majorEastAsia" w:cstheme="majorBidi"/>
                <w:bCs/>
              </w:rPr>
              <w:lastRenderedPageBreak/>
              <w:t xml:space="preserve">Treatment must not be in combination with </w:t>
            </w:r>
            <w:proofErr w:type="spellStart"/>
            <w:r>
              <w:rPr>
                <w:rFonts w:eastAsiaTheme="majorEastAsia" w:cstheme="majorBidi"/>
                <w:bCs/>
              </w:rPr>
              <w:t>sapropterin</w:t>
            </w:r>
            <w:proofErr w:type="spellEnd"/>
          </w:p>
          <w:p w14:paraId="592E6C43" w14:textId="77777777" w:rsidR="004D59D4" w:rsidRDefault="00023FAF" w:rsidP="00025AAC">
            <w:pPr>
              <w:pStyle w:val="Tabletext"/>
              <w:rPr>
                <w:rFonts w:eastAsiaTheme="majorEastAsia" w:cstheme="majorBidi"/>
                <w:bCs/>
              </w:rPr>
            </w:pPr>
            <w:r>
              <w:rPr>
                <w:rFonts w:eastAsiaTheme="majorEastAsia" w:cstheme="majorBidi"/>
                <w:bCs/>
              </w:rPr>
              <w:t>AND</w:t>
            </w:r>
          </w:p>
          <w:p w14:paraId="64FC2D84" w14:textId="77777777" w:rsidR="004D59D4" w:rsidRDefault="00023FAF" w:rsidP="00025AAC">
            <w:pPr>
              <w:pStyle w:val="Tabletext"/>
            </w:pPr>
            <w:r>
              <w:t>Patient must be undergoing regular phenylalanine testing and assessment of adherence to dietary modifications.</w:t>
            </w:r>
          </w:p>
        </w:tc>
      </w:tr>
      <w:tr w:rsidR="004D59D4" w14:paraId="66C60CEF" w14:textId="77777777">
        <w:trPr>
          <w:cantSplit/>
          <w:trHeight w:val="20"/>
        </w:trPr>
        <w:tc>
          <w:tcPr>
            <w:tcW w:w="1702" w:type="dxa"/>
            <w:tcBorders>
              <w:top w:val="single" w:sz="4" w:space="0" w:color="000000"/>
              <w:left w:val="single" w:sz="4" w:space="0" w:color="000000"/>
              <w:bottom w:val="single" w:sz="4" w:space="0" w:color="000000"/>
              <w:right w:val="single" w:sz="4" w:space="0" w:color="000000"/>
            </w:tcBorders>
          </w:tcPr>
          <w:p w14:paraId="58D36787" w14:textId="77777777" w:rsidR="004D59D4" w:rsidRDefault="00023FAF" w:rsidP="00025AAC">
            <w:pPr>
              <w:pStyle w:val="Tabletext"/>
            </w:pPr>
            <w:r>
              <w:lastRenderedPageBreak/>
              <w:t>Treatment criteria:</w:t>
            </w:r>
          </w:p>
        </w:tc>
        <w:tc>
          <w:tcPr>
            <w:tcW w:w="7324" w:type="dxa"/>
            <w:tcBorders>
              <w:top w:val="single" w:sz="4" w:space="0" w:color="000000"/>
              <w:left w:val="single" w:sz="4" w:space="0" w:color="000000"/>
              <w:bottom w:val="single" w:sz="4" w:space="0" w:color="000000"/>
              <w:right w:val="single" w:sz="4" w:space="0" w:color="000000"/>
            </w:tcBorders>
          </w:tcPr>
          <w:p w14:paraId="41379097" w14:textId="77777777" w:rsidR="004D59D4" w:rsidRDefault="00023FAF" w:rsidP="00025AAC">
            <w:pPr>
              <w:jc w:val="left"/>
              <w:rPr>
                <w:rFonts w:ascii="Arial Narrow" w:eastAsiaTheme="majorEastAsia" w:hAnsi="Arial Narrow" w:cstheme="majorBidi"/>
                <w:bCs/>
                <w:sz w:val="20"/>
              </w:rPr>
            </w:pPr>
            <w:r>
              <w:rPr>
                <w:rFonts w:ascii="Arial Narrow" w:eastAsiaTheme="majorEastAsia" w:hAnsi="Arial Narrow" w:cstheme="majorBidi"/>
                <w:bCs/>
                <w:sz w:val="20"/>
              </w:rPr>
              <w:t>Must be treated by a metabolic physician OR</w:t>
            </w:r>
          </w:p>
          <w:p w14:paraId="0BB2D5F0" w14:textId="77777777" w:rsidR="004D59D4" w:rsidRDefault="00023FAF" w:rsidP="00025AAC">
            <w:pPr>
              <w:pStyle w:val="Tabletext"/>
            </w:pPr>
            <w:r>
              <w:t>Must be treated by a nurse practitioner experienced in the treatment of phenylketonuria in consultation with a metabolic physician</w:t>
            </w:r>
          </w:p>
        </w:tc>
      </w:tr>
      <w:tr w:rsidR="004D59D4" w14:paraId="599C0ACC"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56EB283B" w14:textId="77777777" w:rsidR="004D59D4" w:rsidRDefault="00023FAF" w:rsidP="00025AAC">
            <w:pPr>
              <w:pStyle w:val="Tabletext"/>
            </w:pPr>
            <w:r>
              <w:t>Prescribing instructions:</w:t>
            </w:r>
          </w:p>
        </w:tc>
        <w:tc>
          <w:tcPr>
            <w:tcW w:w="7324" w:type="dxa"/>
            <w:tcBorders>
              <w:top w:val="single" w:sz="4" w:space="0" w:color="000000"/>
              <w:left w:val="single" w:sz="4" w:space="0" w:color="000000"/>
              <w:bottom w:val="single" w:sz="4" w:space="0" w:color="000000"/>
              <w:right w:val="single" w:sz="4" w:space="0" w:color="000000"/>
            </w:tcBorders>
          </w:tcPr>
          <w:p w14:paraId="16733F7F" w14:textId="77777777" w:rsidR="004D59D4" w:rsidRDefault="00023FAF" w:rsidP="00025AAC">
            <w:pPr>
              <w:pStyle w:val="TableText1"/>
              <w:rPr>
                <w:rFonts w:eastAsia="Times New Roman" w:cs="Times New Roman"/>
                <w:bCs w:val="0"/>
                <w:iCs w:val="0"/>
              </w:rPr>
            </w:pPr>
            <w:r>
              <w:rPr>
                <w:rFonts w:eastAsia="Times New Roman" w:cs="Times New Roman"/>
                <w:bCs w:val="0"/>
                <w:iCs w:val="0"/>
              </w:rPr>
              <w:t>At the time of the authority application, prescribers should request the appropriate quantity of prefilled syringes, required to provide 6 months of treatment at a dose of 60 mg per day or the patient’s maximum tolerated dose.</w:t>
            </w:r>
          </w:p>
          <w:p w14:paraId="5E57995E" w14:textId="77777777" w:rsidR="004D59D4" w:rsidRDefault="004D59D4" w:rsidP="00025AAC">
            <w:pPr>
              <w:pStyle w:val="TableText1"/>
            </w:pPr>
          </w:p>
          <w:p w14:paraId="61A387C2" w14:textId="77777777" w:rsidR="004D59D4" w:rsidRDefault="00023FAF" w:rsidP="00025AAC">
            <w:pPr>
              <w:pStyle w:val="TableText1"/>
            </w:pPr>
            <w:r>
              <w:t>Blood phenylalanine levels must be based on measurements taken during stable periods of the condition. Dietary phenylalanine intake must be maintained at a constant level.</w:t>
            </w:r>
          </w:p>
        </w:tc>
      </w:tr>
      <w:tr w:rsidR="004D59D4" w14:paraId="07A31DEF" w14:textId="77777777">
        <w:trPr>
          <w:trHeight w:val="20"/>
        </w:trPr>
        <w:tc>
          <w:tcPr>
            <w:tcW w:w="1702" w:type="dxa"/>
            <w:tcBorders>
              <w:top w:val="single" w:sz="4" w:space="0" w:color="000000"/>
              <w:left w:val="single" w:sz="4" w:space="0" w:color="000000"/>
              <w:bottom w:val="single" w:sz="4" w:space="0" w:color="000000"/>
              <w:right w:val="single" w:sz="4" w:space="0" w:color="000000"/>
            </w:tcBorders>
          </w:tcPr>
          <w:p w14:paraId="52570E79" w14:textId="77777777" w:rsidR="004D59D4" w:rsidRDefault="00023FAF" w:rsidP="00025AAC">
            <w:pPr>
              <w:pStyle w:val="Tabletext"/>
            </w:pPr>
            <w:r>
              <w:t>Administrative advice:</w:t>
            </w:r>
          </w:p>
        </w:tc>
        <w:tc>
          <w:tcPr>
            <w:tcW w:w="7324" w:type="dxa"/>
            <w:tcBorders>
              <w:top w:val="single" w:sz="4" w:space="0" w:color="000000"/>
              <w:left w:val="single" w:sz="4" w:space="0" w:color="000000"/>
              <w:bottom w:val="single" w:sz="4" w:space="0" w:color="000000"/>
              <w:right w:val="single" w:sz="4" w:space="0" w:color="000000"/>
            </w:tcBorders>
          </w:tcPr>
          <w:p w14:paraId="70D3140B" w14:textId="77777777" w:rsidR="004D59D4" w:rsidRDefault="00023FAF" w:rsidP="00025AAC">
            <w:pPr>
              <w:pStyle w:val="Tabletext"/>
            </w:pPr>
            <w:r>
              <w:t>Applications for authorisation under this restriction may be made in real time using the Online PBS Authorities system (see www.servicesaustralia.gov.au/HPOS) or by telephone by contacting Services Australia on 1800 888 333.</w:t>
            </w:r>
          </w:p>
          <w:p w14:paraId="6CB4CCE6" w14:textId="77777777" w:rsidR="004D59D4" w:rsidRDefault="004D59D4" w:rsidP="00025AAC">
            <w:pPr>
              <w:pStyle w:val="Tabletext"/>
            </w:pPr>
          </w:p>
          <w:p w14:paraId="6F258AC3" w14:textId="77777777" w:rsidR="004D59D4" w:rsidRDefault="00023FAF" w:rsidP="00025AAC">
            <w:pPr>
              <w:pStyle w:val="Tabletext"/>
            </w:pPr>
            <w:r>
              <w:t>No increase in the maximum quantity or number of units may be authorised.</w:t>
            </w:r>
          </w:p>
          <w:p w14:paraId="0E495ABF" w14:textId="77777777" w:rsidR="004D59D4" w:rsidRDefault="004D59D4" w:rsidP="00025AAC">
            <w:pPr>
              <w:pStyle w:val="Tabletext"/>
            </w:pPr>
          </w:p>
          <w:p w14:paraId="2F2B0743" w14:textId="77777777" w:rsidR="004D59D4" w:rsidRDefault="00023FAF" w:rsidP="00025AAC">
            <w:pPr>
              <w:pStyle w:val="Tabletext"/>
            </w:pPr>
            <w:r>
              <w:rPr>
                <w:b/>
                <w:bCs/>
              </w:rPr>
              <w:t>Caution</w:t>
            </w:r>
            <w:r>
              <w:t xml:space="preserve">: Treatment with </w:t>
            </w:r>
            <w:proofErr w:type="spellStart"/>
            <w:r>
              <w:t>pegvaliase</w:t>
            </w:r>
            <w:proofErr w:type="spellEnd"/>
            <w:r>
              <w:t xml:space="preserve"> is associated with acute systemic hypersensitivity reactions. Patients should be instructed to recognise the signs and symptoms of acute systemic hypersensitivity reactions, in the proper emergency use of the adrenaline injection device, and the requirement to seek immediate medical care.</w:t>
            </w:r>
          </w:p>
          <w:p w14:paraId="20C25FD2" w14:textId="77777777" w:rsidR="004D59D4" w:rsidRDefault="004D59D4" w:rsidP="00025AAC">
            <w:pPr>
              <w:pStyle w:val="Tabletext"/>
            </w:pPr>
          </w:p>
          <w:p w14:paraId="5BE2C3E5" w14:textId="77777777" w:rsidR="004D59D4" w:rsidRDefault="00023FAF" w:rsidP="00025AAC">
            <w:pPr>
              <w:pStyle w:val="Tabletext"/>
            </w:pPr>
            <w:r>
              <w:t xml:space="preserve">Note: The ADHD-RS inattention subscale, with adult prompts, can be calculated here https://www.qandadhd.com/Content/pdf/ADHD-RS-IV_Tear-Pad-with-Adult-Prompts.pdf </w:t>
            </w:r>
          </w:p>
          <w:p w14:paraId="25820268" w14:textId="77777777" w:rsidR="004D59D4" w:rsidRDefault="00023FAF" w:rsidP="00025AAC">
            <w:pPr>
              <w:pStyle w:val="Tabletext"/>
            </w:pPr>
            <w:r>
              <w:t>It comprises the following nine items: carelessness; difficulty sustaining attention in activities; listening; follow through; organisation; avoids/dislikes tasks requiring sustained mental effort; loses important items; easily distractable; and forgetful in daily activities. The severity of symptoms is rated on a four-point scale: 0 = none, 1 = mild, 2 = moderate, 3 = severe.</w:t>
            </w:r>
          </w:p>
        </w:tc>
      </w:tr>
    </w:tbl>
    <w:p w14:paraId="17C01E9C" w14:textId="77777777" w:rsidR="004D59D4" w:rsidRDefault="00023FAF" w:rsidP="00025AAC">
      <w:pPr>
        <w:pStyle w:val="TableFigureFooter"/>
      </w:pPr>
      <w:r>
        <w:t>Source: Tables 1.4-5 and 1.4-5, p46-48 of the resubmission.</w:t>
      </w:r>
    </w:p>
    <w:p w14:paraId="406316C5" w14:textId="77777777" w:rsidR="004D59D4" w:rsidRDefault="00023FAF" w:rsidP="00025AAC">
      <w:pPr>
        <w:pStyle w:val="TableFigureFooter"/>
      </w:pPr>
      <w:r>
        <w:rPr>
          <w:szCs w:val="20"/>
        </w:rPr>
        <w:t>Underlined text indicates change compared to the previous submission.</w:t>
      </w:r>
    </w:p>
    <w:p w14:paraId="346D6413" w14:textId="77777777" w:rsidR="004D59D4" w:rsidRDefault="00023FAF" w:rsidP="00025AAC">
      <w:pPr>
        <w:pStyle w:val="TableFigureFooter"/>
        <w:jc w:val="both"/>
      </w:pPr>
      <w:r>
        <w:t>AEMP = approved ex-manufacturer price; RSA = Risk Sharing Arrangement; sc. = subcutaneous</w:t>
      </w:r>
    </w:p>
    <w:p w14:paraId="63A504F1" w14:textId="77777777" w:rsidR="004D59D4" w:rsidRDefault="00023FAF" w:rsidP="00025AAC">
      <w:pPr>
        <w:pStyle w:val="TableFigureFooter"/>
        <w:jc w:val="both"/>
      </w:pPr>
      <w:proofErr w:type="spellStart"/>
      <w:r>
        <w:rPr>
          <w:vertAlign w:val="superscript"/>
        </w:rPr>
        <w:t>a</w:t>
      </w:r>
      <w:proofErr w:type="spellEnd"/>
      <w:r>
        <w:t xml:space="preserve"> </w:t>
      </w:r>
      <w:proofErr w:type="gramStart"/>
      <w:r>
        <w:t>The</w:t>
      </w:r>
      <w:proofErr w:type="gramEnd"/>
      <w:r>
        <w:t xml:space="preserve"> medical practitioner should request the appropriate number of syringes and repeats for the strength of </w:t>
      </w:r>
      <w:proofErr w:type="spellStart"/>
      <w:r>
        <w:t>pegvaliase</w:t>
      </w:r>
      <w:proofErr w:type="spellEnd"/>
      <w:r>
        <w:t xml:space="preserve"> required by the patient depending on the phase of dosing regimen.</w:t>
      </w:r>
    </w:p>
    <w:p w14:paraId="4CBB7BCC" w14:textId="77777777" w:rsidR="004D59D4" w:rsidRDefault="00023FAF" w:rsidP="00025AAC">
      <w:pPr>
        <w:pStyle w:val="TableFigureFooter"/>
        <w:jc w:val="both"/>
      </w:pPr>
      <w:r>
        <w:rPr>
          <w:vertAlign w:val="superscript"/>
        </w:rPr>
        <w:t>b</w:t>
      </w:r>
      <w:r>
        <w:t xml:space="preserve"> Depends on the maximum quantity of packs requested.</w:t>
      </w:r>
    </w:p>
    <w:p w14:paraId="4F8930AD" w14:textId="77777777" w:rsidR="004D59D4" w:rsidRDefault="00023FAF" w:rsidP="00025AAC">
      <w:pPr>
        <w:pStyle w:val="TableFigureFooter"/>
        <w:spacing w:after="0"/>
        <w:contextualSpacing w:val="0"/>
        <w:jc w:val="both"/>
      </w:pPr>
      <w:r>
        <w:rPr>
          <w:vertAlign w:val="superscript"/>
        </w:rPr>
        <w:t>c</w:t>
      </w:r>
      <w:r>
        <w:t xml:space="preserve"> Maximum dose of </w:t>
      </w:r>
      <w:proofErr w:type="spellStart"/>
      <w:r>
        <w:t>pegvaliase</w:t>
      </w:r>
      <w:proofErr w:type="spellEnd"/>
      <w:r>
        <w:t xml:space="preserve"> 60 mg/day.</w:t>
      </w:r>
    </w:p>
    <w:p w14:paraId="31CE72E5" w14:textId="000C2A28" w:rsidR="007F17D7" w:rsidRPr="007F17D7" w:rsidRDefault="007F17D7" w:rsidP="00025AAC">
      <w:pPr>
        <w:pStyle w:val="3-BodyText"/>
        <w:spacing w:before="0"/>
      </w:pPr>
      <w:r w:rsidRPr="007F17D7">
        <w:rPr>
          <w:rFonts w:ascii="Arial Narrow" w:hAnsi="Arial Narrow"/>
          <w:sz w:val="18"/>
          <w:szCs w:val="18"/>
          <w:vertAlign w:val="superscript"/>
        </w:rPr>
        <w:t>d</w:t>
      </w:r>
      <w:r w:rsidRPr="007F17D7">
        <w:rPr>
          <w:rFonts w:ascii="Arial Narrow" w:eastAsia="Times New Roman" w:hAnsi="Arial Narrow" w:cs="Arial"/>
          <w:bCs/>
          <w:iCs/>
          <w:sz w:val="18"/>
        </w:rPr>
        <w:t xml:space="preserve"> The DPMQ shown is for a maximum quantity of one pack.</w:t>
      </w:r>
    </w:p>
    <w:p w14:paraId="57A47526" w14:textId="789C07F8" w:rsidR="004D59D4" w:rsidRPr="009D2C8E" w:rsidRDefault="00023FAF" w:rsidP="00025AAC">
      <w:pPr>
        <w:pStyle w:val="3-BodyText"/>
        <w:numPr>
          <w:ilvl w:val="1"/>
          <w:numId w:val="12"/>
        </w:numPr>
        <w:spacing w:before="160" w:after="160"/>
      </w:pPr>
      <w:bookmarkStart w:id="16" w:name="_Ref217396906"/>
      <w:r w:rsidRPr="009D2C8E">
        <w:t>The resubmission proposed a published ex-manufacturer price (EMP) of $510 per syringe, regardless of the dose. Rather than a Special Pricing Arrangement with an effective price, the resubmission proposed a</w:t>
      </w:r>
      <w:r w:rsidR="000239E3">
        <w:t xml:space="preserve"> Risk Sharing Arrangement</w:t>
      </w:r>
      <w:r w:rsidRPr="009D2C8E">
        <w:t xml:space="preserve"> </w:t>
      </w:r>
      <w:r w:rsidR="000239E3">
        <w:t>(</w:t>
      </w:r>
      <w:r w:rsidRPr="009D2C8E">
        <w:t>RSA</w:t>
      </w:r>
      <w:r w:rsidR="000239E3">
        <w:t>)</w:t>
      </w:r>
      <w:r w:rsidRPr="009D2C8E">
        <w:t xml:space="preserve"> with a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9D2C8E">
        <w:t xml:space="preserve"> Commonwealth expenditure caps, which the resubmission estimated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9D2C8E">
        <w:t xml:space="preserve"> However</w:t>
      </w:r>
      <w:bookmarkEnd w:id="16"/>
      <w:r w:rsidRPr="009D2C8E">
        <w:t xml:space="preserve"> as discussed in paragraphs </w:t>
      </w:r>
      <w:r w:rsidRPr="009D2C8E">
        <w:fldChar w:fldCharType="begin"/>
      </w:r>
      <w:r w:rsidRPr="009D2C8E">
        <w:instrText xml:space="preserve"> REF _Ref217396458 \r \r \h </w:instrText>
      </w:r>
      <w:r w:rsidR="00430839" w:rsidRPr="00EC54F1">
        <w:instrText xml:space="preserve"> \* MERGEFORMAT </w:instrText>
      </w:r>
      <w:r w:rsidRPr="009D2C8E">
        <w:fldChar w:fldCharType="separate"/>
      </w:r>
      <w:r w:rsidR="001A75FF">
        <w:t>6.83</w:t>
      </w:r>
      <w:r w:rsidRPr="009D2C8E">
        <w:fldChar w:fldCharType="end"/>
      </w:r>
      <w:r w:rsidRPr="009D2C8E">
        <w:t xml:space="preserve"> to </w:t>
      </w:r>
      <w:r w:rsidRPr="009D2C8E">
        <w:fldChar w:fldCharType="begin"/>
      </w:r>
      <w:r w:rsidRPr="009D2C8E">
        <w:instrText xml:space="preserve"> REF _Ref217396472 \r \r \h </w:instrText>
      </w:r>
      <w:r w:rsidR="00430839" w:rsidRPr="00EC54F1">
        <w:instrText xml:space="preserve"> \* MERGEFORMAT </w:instrText>
      </w:r>
      <w:r w:rsidRPr="009D2C8E">
        <w:fldChar w:fldCharType="separate"/>
      </w:r>
      <w:r w:rsidR="000E026E">
        <w:t>6.87</w:t>
      </w:r>
      <w:r w:rsidRPr="009D2C8E">
        <w:fldChar w:fldCharType="end"/>
      </w:r>
      <w:r w:rsidRPr="009D2C8E">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p>
    <w:p w14:paraId="5B2F0D18" w14:textId="3BAF7561" w:rsidR="004D59D4" w:rsidRDefault="00023FAF" w:rsidP="00025AAC">
      <w:pPr>
        <w:pStyle w:val="3-BodyText"/>
        <w:numPr>
          <w:ilvl w:val="1"/>
          <w:numId w:val="13"/>
        </w:numPr>
        <w:spacing w:before="160" w:after="160"/>
      </w:pPr>
      <w:bookmarkStart w:id="17" w:name="_Ref217396912"/>
      <w:r>
        <w:t>The previous submission proposed an effective EMP of $</w:t>
      </w:r>
      <w:r w:rsidR="002615A2" w:rsidRPr="002615A2">
        <w:rPr>
          <w:sz w:val="2"/>
          <w:highlight w:val="black"/>
        </w:rPr>
        <w:t>redacted content</w:t>
      </w:r>
      <w:r>
        <w:t xml:space="preserve"> per syringe (through a Special Pricing Arrangement, </w:t>
      </w:r>
      <w:r w:rsidRPr="00C56F68">
        <w:t xml:space="preserve">rather than an RSA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t xml:space="preserve">). </w:t>
      </w:r>
      <w:bookmarkEnd w:id="17"/>
    </w:p>
    <w:p w14:paraId="371626D7" w14:textId="77777777" w:rsidR="004D59D4" w:rsidRDefault="00023FAF" w:rsidP="00025AAC">
      <w:pPr>
        <w:pStyle w:val="3-BodyText"/>
        <w:spacing w:before="160" w:after="160"/>
        <w:rPr>
          <w:i/>
          <w:iCs/>
          <w:u w:val="single"/>
        </w:rPr>
      </w:pPr>
      <w:r>
        <w:rPr>
          <w:i/>
          <w:iCs/>
          <w:u w:val="single"/>
        </w:rPr>
        <w:t>Patient population</w:t>
      </w:r>
    </w:p>
    <w:p w14:paraId="67DCC6C4" w14:textId="29AAF16D" w:rsidR="004D59D4" w:rsidRDefault="00023FAF" w:rsidP="00025AAC">
      <w:pPr>
        <w:pStyle w:val="3-BodyText"/>
        <w:numPr>
          <w:ilvl w:val="1"/>
          <w:numId w:val="14"/>
        </w:numPr>
        <w:spacing w:before="160" w:after="160"/>
      </w:pPr>
      <w:bookmarkStart w:id="18" w:name="_Ref216722228"/>
      <w:r>
        <w:t xml:space="preserve">As in the previous submission, the resubmission requested PBS listing of </w:t>
      </w:r>
      <w:proofErr w:type="spellStart"/>
      <w:r>
        <w:t>pegvaliase</w:t>
      </w:r>
      <w:proofErr w:type="spellEnd"/>
      <w:r>
        <w:t xml:space="preserve"> for patients who have failed to achieve an ‘adequate response’ to a trial of </w:t>
      </w:r>
      <w:proofErr w:type="spellStart"/>
      <w:r>
        <w:t>sapropterin</w:t>
      </w:r>
      <w:proofErr w:type="spellEnd"/>
      <w:r>
        <w:t>. In the</w:t>
      </w:r>
      <w:r w:rsidR="00E652FC">
        <w:t xml:space="preserve"> </w:t>
      </w:r>
      <w:proofErr w:type="spellStart"/>
      <w:r w:rsidR="002A7E12">
        <w:t>sapropter</w:t>
      </w:r>
      <w:r w:rsidR="00387D0B">
        <w:t>in</w:t>
      </w:r>
      <w:proofErr w:type="spellEnd"/>
      <w:r w:rsidR="00387D0B">
        <w:t xml:space="preserve"> </w:t>
      </w:r>
      <w:r>
        <w:t>PBS criteria, an adequate response is defined as a ≥</w:t>
      </w:r>
      <w:r w:rsidR="00E652FC">
        <w:t> </w:t>
      </w:r>
      <w:r>
        <w:t xml:space="preserve">30% reduction in blood </w:t>
      </w:r>
      <w:proofErr w:type="spellStart"/>
      <w:r>
        <w:t>Phe</w:t>
      </w:r>
      <w:proofErr w:type="spellEnd"/>
      <w:r>
        <w:t xml:space="preserve"> from baseline (following initial treatment with </w:t>
      </w:r>
      <w:proofErr w:type="spellStart"/>
      <w:r>
        <w:lastRenderedPageBreak/>
        <w:t>sapropterin</w:t>
      </w:r>
      <w:proofErr w:type="spellEnd"/>
      <w:r>
        <w:t xml:space="preserve">). The resubmission also requested PBS listing for an additional patient population who have experienced an adequate response to a trial of </w:t>
      </w:r>
      <w:proofErr w:type="spellStart"/>
      <w:r>
        <w:t>sapropterin</w:t>
      </w:r>
      <w:proofErr w:type="spellEnd"/>
      <w:r>
        <w:t xml:space="preserve"> (per the PBS criteria</w:t>
      </w:r>
      <w:proofErr w:type="gramStart"/>
      <w:r>
        <w:t>)</w:t>
      </w:r>
      <w:proofErr w:type="gramEnd"/>
      <w:r>
        <w:t xml:space="preserve"> but </w:t>
      </w:r>
      <w:r w:rsidR="000C0111">
        <w:t xml:space="preserve">who </w:t>
      </w:r>
      <w:r>
        <w:t xml:space="preserve">have a daily protein tolerance of less than 15 grams per day. Refer to </w:t>
      </w:r>
      <w:r>
        <w:fldChar w:fldCharType="begin"/>
      </w:r>
      <w:r>
        <w:instrText xml:space="preserve"> REF _Ref215692461 \h </w:instrText>
      </w:r>
      <w:r>
        <w:fldChar w:fldCharType="separate"/>
      </w:r>
      <w:r w:rsidR="00E24060">
        <w:t xml:space="preserve">Figure </w:t>
      </w:r>
      <w:r w:rsidR="00E24060">
        <w:rPr>
          <w:noProof/>
        </w:rPr>
        <w:t>1</w:t>
      </w:r>
      <w:r>
        <w:fldChar w:fldCharType="end"/>
      </w:r>
      <w:r>
        <w:t xml:space="preserve"> for details of where these patient populations sit within the proposed PKU treatment algorithm.</w:t>
      </w:r>
      <w:bookmarkEnd w:id="18"/>
    </w:p>
    <w:p w14:paraId="1BC2440B" w14:textId="03DFF8E5" w:rsidR="004D59D4" w:rsidRDefault="00023FAF" w:rsidP="00025AAC">
      <w:pPr>
        <w:pStyle w:val="Caption"/>
        <w:rPr>
          <w:rStyle w:val="CommentReference"/>
          <w:b/>
          <w:szCs w:val="24"/>
        </w:rPr>
      </w:pPr>
      <w:bookmarkStart w:id="19" w:name="_Ref215692461"/>
      <w:bookmarkStart w:id="20" w:name="_Ref215692447"/>
      <w:r>
        <w:t xml:space="preserve">Figure </w:t>
      </w:r>
      <w:fldSimple w:instr=" SEQ Figure \* ARABIC ">
        <w:r w:rsidR="00E24060">
          <w:rPr>
            <w:noProof/>
          </w:rPr>
          <w:t>1</w:t>
        </w:r>
      </w:fldSimple>
      <w:bookmarkEnd w:id="19"/>
      <w:r>
        <w:rPr>
          <w:rStyle w:val="CommentReference"/>
          <w:b/>
          <w:szCs w:val="24"/>
        </w:rPr>
        <w:t>: Proposed treatment algorithm</w:t>
      </w:r>
      <w:bookmarkEnd w:id="20"/>
    </w:p>
    <w:p w14:paraId="06B9109F" w14:textId="77777777" w:rsidR="004D59D4" w:rsidRDefault="00023FAF" w:rsidP="00025AAC">
      <w:pPr>
        <w:spacing w:after="160"/>
        <w:jc w:val="center"/>
        <w:rPr>
          <w:rFonts w:cs="Calibri"/>
          <w:sz w:val="22"/>
          <w:szCs w:val="22"/>
        </w:rPr>
      </w:pPr>
      <w:r>
        <w:rPr>
          <w:noProof/>
        </w:rPr>
        <w:drawing>
          <wp:inline distT="0" distB="0" distL="0" distR="0" wp14:anchorId="3E4606F8" wp14:editId="0124B56B">
            <wp:extent cx="5267960" cy="4084955"/>
            <wp:effectExtent l="0" t="0" r="0" b="0"/>
            <wp:docPr id="1" name="Picture 1" descr="Figure 1: Proposed treatment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1: Proposed treatment algorithm"/>
                    <pic:cNvPicPr>
                      <a:picLocks noChangeAspect="1" noChangeArrowheads="1"/>
                    </pic:cNvPicPr>
                  </pic:nvPicPr>
                  <pic:blipFill>
                    <a:blip r:embed="rId11"/>
                    <a:stretch>
                      <a:fillRect/>
                    </a:stretch>
                  </pic:blipFill>
                  <pic:spPr bwMode="auto">
                    <a:xfrm>
                      <a:off x="0" y="0"/>
                      <a:ext cx="5267960" cy="4084955"/>
                    </a:xfrm>
                    <a:prstGeom prst="rect">
                      <a:avLst/>
                    </a:prstGeom>
                    <a:noFill/>
                  </pic:spPr>
                </pic:pic>
              </a:graphicData>
            </a:graphic>
          </wp:inline>
        </w:drawing>
      </w:r>
    </w:p>
    <w:p w14:paraId="04BF6733" w14:textId="77777777" w:rsidR="004D59D4" w:rsidRDefault="00023FAF" w:rsidP="00025AAC">
      <w:pPr>
        <w:rPr>
          <w:rFonts w:ascii="Arial Narrow" w:hAnsi="Arial Narrow"/>
          <w:sz w:val="18"/>
          <w:szCs w:val="18"/>
        </w:rPr>
      </w:pPr>
      <w:r>
        <w:rPr>
          <w:rFonts w:ascii="Arial Narrow" w:hAnsi="Arial Narrow"/>
          <w:sz w:val="18"/>
          <w:szCs w:val="18"/>
        </w:rPr>
        <w:t>Source: Figure 1.2-2, p39 of the resubmission</w:t>
      </w:r>
    </w:p>
    <w:p w14:paraId="3DE6D549" w14:textId="77777777" w:rsidR="004D59D4" w:rsidRDefault="00023FAF" w:rsidP="00025AAC">
      <w:pPr>
        <w:rPr>
          <w:rFonts w:ascii="Arial Narrow" w:hAnsi="Arial Narrow"/>
          <w:sz w:val="18"/>
          <w:szCs w:val="18"/>
        </w:rPr>
      </w:pPr>
      <w:r>
        <w:rPr>
          <w:rFonts w:ascii="Arial Narrow" w:hAnsi="Arial Narrow"/>
          <w:sz w:val="18"/>
          <w:szCs w:val="18"/>
        </w:rPr>
        <w:t xml:space="preserve">Note: </w:t>
      </w:r>
      <w:proofErr w:type="spellStart"/>
      <w:r>
        <w:rPr>
          <w:rFonts w:ascii="Arial Narrow" w:hAnsi="Arial Narrow"/>
          <w:sz w:val="18"/>
          <w:szCs w:val="18"/>
        </w:rPr>
        <w:t>Pegvaliase</w:t>
      </w:r>
      <w:proofErr w:type="spellEnd"/>
      <w:r>
        <w:rPr>
          <w:rFonts w:ascii="Arial Narrow" w:hAnsi="Arial Narrow"/>
          <w:sz w:val="18"/>
          <w:szCs w:val="18"/>
        </w:rPr>
        <w:t xml:space="preserve"> must be used with a </w:t>
      </w:r>
      <w:proofErr w:type="spellStart"/>
      <w:r>
        <w:rPr>
          <w:rFonts w:ascii="Arial Narrow" w:hAnsi="Arial Narrow"/>
          <w:sz w:val="18"/>
          <w:szCs w:val="18"/>
        </w:rPr>
        <w:t>Phe</w:t>
      </w:r>
      <w:proofErr w:type="spellEnd"/>
      <w:r>
        <w:rPr>
          <w:rFonts w:ascii="Arial Narrow" w:hAnsi="Arial Narrow"/>
          <w:sz w:val="18"/>
          <w:szCs w:val="18"/>
        </w:rPr>
        <w:t xml:space="preserve"> restricted diet.</w:t>
      </w:r>
    </w:p>
    <w:p w14:paraId="5B912F7A" w14:textId="77777777" w:rsidR="004D59D4" w:rsidRDefault="00023FAF" w:rsidP="00025AAC">
      <w:pPr>
        <w:rPr>
          <w:rFonts w:ascii="Arial Narrow" w:hAnsi="Arial Narrow"/>
          <w:sz w:val="18"/>
          <w:szCs w:val="18"/>
        </w:rPr>
      </w:pPr>
      <w:r>
        <w:rPr>
          <w:rFonts w:ascii="Arial Narrow" w:hAnsi="Arial Narrow"/>
          <w:sz w:val="18"/>
          <w:szCs w:val="18"/>
        </w:rPr>
        <w:t xml:space="preserve">ADHD-RS = Attention Deficit Hyperactivity Disorder Rating Scale; ITM = induction, titration and maintenance; MDDA = Metabolic Dietary Disorders Association; </w:t>
      </w:r>
      <w:proofErr w:type="spellStart"/>
      <w:r>
        <w:rPr>
          <w:rFonts w:ascii="Arial Narrow" w:hAnsi="Arial Narrow"/>
          <w:sz w:val="18"/>
          <w:szCs w:val="18"/>
        </w:rPr>
        <w:t>Phe</w:t>
      </w:r>
      <w:proofErr w:type="spellEnd"/>
      <w:r>
        <w:rPr>
          <w:rFonts w:ascii="Arial Narrow" w:hAnsi="Arial Narrow"/>
          <w:sz w:val="18"/>
          <w:szCs w:val="18"/>
        </w:rPr>
        <w:t xml:space="preserve"> = phenylalanine; PKU = phenylketonuria </w:t>
      </w:r>
    </w:p>
    <w:p w14:paraId="6BD752FA" w14:textId="77777777" w:rsidR="004D59D4" w:rsidRDefault="00023FAF" w:rsidP="00025AAC">
      <w:pPr>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Patients with blood </w:t>
      </w:r>
      <w:proofErr w:type="spellStart"/>
      <w:r>
        <w:rPr>
          <w:rFonts w:ascii="Arial Narrow" w:hAnsi="Arial Narrow"/>
          <w:sz w:val="18"/>
          <w:szCs w:val="18"/>
        </w:rPr>
        <w:t>Phe</w:t>
      </w:r>
      <w:proofErr w:type="spellEnd"/>
      <w:r>
        <w:rPr>
          <w:rFonts w:ascii="Arial Narrow" w:hAnsi="Arial Narrow"/>
          <w:sz w:val="18"/>
          <w:szCs w:val="18"/>
        </w:rPr>
        <w:t xml:space="preserve"> &gt; 120 and &lt; 360 </w:t>
      </w:r>
      <w:r>
        <w:rPr>
          <w:rFonts w:ascii="Arial Narrow" w:hAnsi="Arial Narrow" w:cs="Calibri"/>
          <w:sz w:val="18"/>
          <w:szCs w:val="18"/>
        </w:rPr>
        <w:t>µ</w:t>
      </w:r>
      <w:r>
        <w:rPr>
          <w:rFonts w:ascii="Arial Narrow" w:hAnsi="Arial Narrow"/>
          <w:sz w:val="18"/>
          <w:szCs w:val="18"/>
        </w:rPr>
        <w:t xml:space="preserve">mol/L monitored until school age, if blood </w:t>
      </w:r>
      <w:proofErr w:type="spellStart"/>
      <w:r>
        <w:rPr>
          <w:rFonts w:ascii="Arial Narrow" w:hAnsi="Arial Narrow"/>
          <w:sz w:val="18"/>
          <w:szCs w:val="18"/>
        </w:rPr>
        <w:t>Phe</w:t>
      </w:r>
      <w:proofErr w:type="spellEnd"/>
      <w:r>
        <w:rPr>
          <w:rFonts w:ascii="Arial Narrow" w:hAnsi="Arial Narrow"/>
          <w:sz w:val="18"/>
          <w:szCs w:val="18"/>
        </w:rPr>
        <w:t xml:space="preserve"> </w:t>
      </w:r>
      <w:r>
        <w:rPr>
          <w:rFonts w:ascii="Arial Narrow" w:hAnsi="Arial Narrow" w:cs="Calibri"/>
          <w:sz w:val="18"/>
          <w:szCs w:val="18"/>
        </w:rPr>
        <w:t>≥</w:t>
      </w:r>
      <w:r>
        <w:rPr>
          <w:rFonts w:ascii="Arial Narrow" w:hAnsi="Arial Narrow"/>
          <w:sz w:val="18"/>
          <w:szCs w:val="18"/>
        </w:rPr>
        <w:t xml:space="preserve"> 360 </w:t>
      </w:r>
      <w:r>
        <w:rPr>
          <w:rFonts w:ascii="Arial Narrow" w:hAnsi="Arial Narrow" w:cs="Calibri"/>
          <w:sz w:val="18"/>
          <w:szCs w:val="18"/>
        </w:rPr>
        <w:t>µ</w:t>
      </w:r>
      <w:r>
        <w:rPr>
          <w:rFonts w:ascii="Arial Narrow" w:hAnsi="Arial Narrow"/>
          <w:sz w:val="18"/>
          <w:szCs w:val="18"/>
        </w:rPr>
        <w:t>mol/L commence treatment for PKU</w:t>
      </w:r>
    </w:p>
    <w:p w14:paraId="3E974418" w14:textId="77777777" w:rsidR="004D59D4" w:rsidRDefault="00023FAF" w:rsidP="00025AAC">
      <w:pPr>
        <w:rPr>
          <w:rFonts w:ascii="Arial Narrow" w:hAnsi="Arial Narrow"/>
          <w:sz w:val="18"/>
          <w:szCs w:val="18"/>
        </w:rPr>
      </w:pPr>
      <w:r>
        <w:rPr>
          <w:rFonts w:ascii="Arial Narrow" w:hAnsi="Arial Narrow"/>
          <w:sz w:val="18"/>
          <w:szCs w:val="18"/>
          <w:vertAlign w:val="superscript"/>
        </w:rPr>
        <w:t>2</w:t>
      </w:r>
      <w:r>
        <w:rPr>
          <w:rFonts w:ascii="Arial Narrow" w:hAnsi="Arial Narrow"/>
          <w:sz w:val="18"/>
          <w:szCs w:val="18"/>
        </w:rPr>
        <w:t xml:space="preserve"> </w:t>
      </w:r>
      <w:proofErr w:type="spellStart"/>
      <w:r>
        <w:rPr>
          <w:rFonts w:ascii="Arial Narrow" w:hAnsi="Arial Narrow"/>
          <w:sz w:val="18"/>
          <w:szCs w:val="18"/>
        </w:rPr>
        <w:t>Sapropterin</w:t>
      </w:r>
      <w:proofErr w:type="spellEnd"/>
      <w:r>
        <w:rPr>
          <w:rFonts w:ascii="Arial Narrow" w:hAnsi="Arial Narrow"/>
          <w:sz w:val="18"/>
          <w:szCs w:val="18"/>
        </w:rPr>
        <w:t xml:space="preserve"> responsiveness test is conducted over 24 h for a patient less than one month of age </w:t>
      </w:r>
    </w:p>
    <w:p w14:paraId="4C1C2F8C" w14:textId="77777777" w:rsidR="004D59D4" w:rsidRDefault="00023FAF" w:rsidP="00025AAC">
      <w:pPr>
        <w:rPr>
          <w:rFonts w:ascii="Arial Narrow" w:hAnsi="Arial Narrow"/>
          <w:sz w:val="18"/>
          <w:szCs w:val="18"/>
        </w:rPr>
      </w:pPr>
      <w:r>
        <w:rPr>
          <w:rFonts w:ascii="Arial Narrow" w:hAnsi="Arial Narrow"/>
          <w:sz w:val="18"/>
          <w:szCs w:val="18"/>
          <w:vertAlign w:val="superscript"/>
        </w:rPr>
        <w:t>3</w:t>
      </w:r>
      <w:r>
        <w:rPr>
          <w:rFonts w:ascii="Arial Narrow" w:hAnsi="Arial Narrow"/>
          <w:sz w:val="18"/>
          <w:szCs w:val="18"/>
        </w:rPr>
        <w:t xml:space="preserve"> </w:t>
      </w:r>
      <w:proofErr w:type="spellStart"/>
      <w:r>
        <w:rPr>
          <w:rFonts w:ascii="Arial Narrow" w:hAnsi="Arial Narrow"/>
          <w:sz w:val="18"/>
          <w:szCs w:val="18"/>
        </w:rPr>
        <w:t>Sapropterin</w:t>
      </w:r>
      <w:proofErr w:type="spellEnd"/>
      <w:r>
        <w:rPr>
          <w:rFonts w:ascii="Arial Narrow" w:hAnsi="Arial Narrow"/>
          <w:sz w:val="18"/>
          <w:szCs w:val="18"/>
        </w:rPr>
        <w:t xml:space="preserve"> responsiveness test is conducted over 7 days for a patient age more than one month </w:t>
      </w:r>
    </w:p>
    <w:p w14:paraId="7058FE19" w14:textId="77777777" w:rsidR="004D59D4" w:rsidRDefault="00023FAF" w:rsidP="00025AAC">
      <w:pPr>
        <w:rPr>
          <w:rFonts w:ascii="Arial Narrow" w:hAnsi="Arial Narrow"/>
          <w:sz w:val="18"/>
          <w:szCs w:val="18"/>
        </w:rPr>
      </w:pPr>
      <w:r>
        <w:rPr>
          <w:rFonts w:ascii="Arial Narrow" w:hAnsi="Arial Narrow"/>
          <w:sz w:val="18"/>
          <w:szCs w:val="18"/>
          <w:vertAlign w:val="superscript"/>
        </w:rPr>
        <w:t>4</w:t>
      </w:r>
      <w:r>
        <w:rPr>
          <w:rFonts w:ascii="Arial Narrow" w:hAnsi="Arial Narrow"/>
          <w:sz w:val="18"/>
          <w:szCs w:val="18"/>
        </w:rPr>
        <w:t xml:space="preserve"> The MDDA has requested the inclusion of patients with a protein tolerance &lt; 15 g/day, which may include a small number of </w:t>
      </w:r>
      <w:proofErr w:type="spellStart"/>
      <w:r>
        <w:rPr>
          <w:rFonts w:ascii="Arial Narrow" w:hAnsi="Arial Narrow"/>
          <w:sz w:val="18"/>
          <w:szCs w:val="18"/>
        </w:rPr>
        <w:t>sapropterin</w:t>
      </w:r>
      <w:proofErr w:type="spellEnd"/>
      <w:r>
        <w:rPr>
          <w:rFonts w:ascii="Arial Narrow" w:hAnsi="Arial Narrow"/>
          <w:sz w:val="18"/>
          <w:szCs w:val="18"/>
        </w:rPr>
        <w:t xml:space="preserve">-responsive patients. However, clinicians have advised that most of these patients are likely to suffer from classical PKU, which is characterised by very low or no residual protein activity, and unlikely to be </w:t>
      </w:r>
      <w:proofErr w:type="spellStart"/>
      <w:r>
        <w:rPr>
          <w:rFonts w:ascii="Arial Narrow" w:hAnsi="Arial Narrow"/>
          <w:sz w:val="18"/>
          <w:szCs w:val="18"/>
        </w:rPr>
        <w:t>sapropterin</w:t>
      </w:r>
      <w:proofErr w:type="spellEnd"/>
      <w:r>
        <w:rPr>
          <w:rFonts w:ascii="Arial Narrow" w:hAnsi="Arial Narrow"/>
          <w:sz w:val="18"/>
          <w:szCs w:val="18"/>
        </w:rPr>
        <w:t xml:space="preserve"> responsive.</w:t>
      </w:r>
    </w:p>
    <w:p w14:paraId="21190908" w14:textId="77777777" w:rsidR="004D59D4" w:rsidRDefault="00023FAF" w:rsidP="00025AAC">
      <w:pPr>
        <w:rPr>
          <w:rFonts w:ascii="Arial Narrow" w:hAnsi="Arial Narrow"/>
          <w:sz w:val="18"/>
          <w:szCs w:val="18"/>
        </w:rPr>
      </w:pPr>
      <w:r>
        <w:rPr>
          <w:rFonts w:ascii="Arial Narrow" w:hAnsi="Arial Narrow"/>
          <w:sz w:val="18"/>
          <w:szCs w:val="18"/>
          <w:vertAlign w:val="superscript"/>
        </w:rPr>
        <w:t>5</w:t>
      </w:r>
      <w:r>
        <w:rPr>
          <w:rFonts w:ascii="Arial Narrow" w:hAnsi="Arial Narrow"/>
          <w:sz w:val="18"/>
          <w:szCs w:val="18"/>
        </w:rPr>
        <w:t xml:space="preserve"> </w:t>
      </w:r>
      <w:proofErr w:type="spellStart"/>
      <w:r>
        <w:rPr>
          <w:rFonts w:ascii="Arial Narrow" w:hAnsi="Arial Narrow"/>
          <w:sz w:val="18"/>
          <w:szCs w:val="18"/>
        </w:rPr>
        <w:t>Pegvaliase</w:t>
      </w:r>
      <w:proofErr w:type="spellEnd"/>
      <w:r>
        <w:rPr>
          <w:rFonts w:ascii="Arial Narrow" w:hAnsi="Arial Narrow"/>
          <w:sz w:val="18"/>
          <w:szCs w:val="18"/>
        </w:rPr>
        <w:t xml:space="preserve"> requires gradual dose escalation using the recommended induction, titration and maintenance (ITM) dosing regimen designed to reduce the risk of hypersensitivity reactions, which occur mainly in the early phases of treatment. Patients may be treated with </w:t>
      </w:r>
      <w:proofErr w:type="spellStart"/>
      <w:r>
        <w:rPr>
          <w:rFonts w:ascii="Arial Narrow" w:hAnsi="Arial Narrow"/>
          <w:sz w:val="18"/>
          <w:szCs w:val="18"/>
        </w:rPr>
        <w:t>pegvaliase</w:t>
      </w:r>
      <w:proofErr w:type="spellEnd"/>
      <w:r>
        <w:rPr>
          <w:rFonts w:ascii="Arial Narrow" w:hAnsi="Arial Narrow"/>
          <w:sz w:val="18"/>
          <w:szCs w:val="18"/>
        </w:rPr>
        <w:t xml:space="preserve"> for up to 24 months under the proposed initial PBS restriction to allow patients to reach a therapeutic dose of </w:t>
      </w:r>
      <w:proofErr w:type="spellStart"/>
      <w:r>
        <w:rPr>
          <w:rFonts w:ascii="Arial Narrow" w:hAnsi="Arial Narrow"/>
          <w:sz w:val="18"/>
          <w:szCs w:val="18"/>
        </w:rPr>
        <w:t>pegvaliase</w:t>
      </w:r>
      <w:proofErr w:type="spellEnd"/>
      <w:r>
        <w:rPr>
          <w:rFonts w:ascii="Arial Narrow" w:hAnsi="Arial Narrow"/>
          <w:sz w:val="18"/>
          <w:szCs w:val="18"/>
        </w:rPr>
        <w:t xml:space="preserve">. </w:t>
      </w:r>
    </w:p>
    <w:p w14:paraId="587C4CCD" w14:textId="64D21B28" w:rsidR="004D59D4" w:rsidRDefault="00023FAF" w:rsidP="00025AAC">
      <w:pPr>
        <w:pStyle w:val="3-BodyText"/>
        <w:numPr>
          <w:ilvl w:val="1"/>
          <w:numId w:val="15"/>
        </w:numPr>
        <w:spacing w:before="160" w:after="160"/>
      </w:pPr>
      <w:r>
        <w:t xml:space="preserve">In July 2022, the PBAC considered that the sponsor’s proposed clinical place was inconsistent with the clinical evidence and was not clinically appropriate, noting that limited exploratory subgroup analyses suggested that </w:t>
      </w:r>
      <w:proofErr w:type="spellStart"/>
      <w:r>
        <w:t>sapropterin</w:t>
      </w:r>
      <w:proofErr w:type="spellEnd"/>
      <w:r>
        <w:t xml:space="preserve"> responder-status was not a treatment effect modifier (paragraph 7.4, </w:t>
      </w:r>
      <w:proofErr w:type="spellStart"/>
      <w:r>
        <w:t>pegvaliase</w:t>
      </w:r>
      <w:proofErr w:type="spellEnd"/>
      <w:r w:rsidR="00F91A8F">
        <w:t xml:space="preserve"> Public Summary Document</w:t>
      </w:r>
      <w:r>
        <w:t xml:space="preserve"> </w:t>
      </w:r>
      <w:r w:rsidR="00F91A8F">
        <w:t>[</w:t>
      </w:r>
      <w:r>
        <w:t>PSD</w:t>
      </w:r>
      <w:r w:rsidR="00F91A8F">
        <w:t>]</w:t>
      </w:r>
      <w:r>
        <w:t xml:space="preserve">, July 2022 PBAC meeting). The resubmission claimed that while it </w:t>
      </w:r>
      <w:r>
        <w:lastRenderedPageBreak/>
        <w:t xml:space="preserve">would be preferable to position </w:t>
      </w:r>
      <w:proofErr w:type="spellStart"/>
      <w:r>
        <w:t>pegvaliase</w:t>
      </w:r>
      <w:proofErr w:type="spellEnd"/>
      <w:r>
        <w:t xml:space="preserve"> alongside </w:t>
      </w:r>
      <w:proofErr w:type="spellStart"/>
      <w:r>
        <w:t>sapropterin</w:t>
      </w:r>
      <w:proofErr w:type="spellEnd"/>
      <w:r>
        <w:t xml:space="preserve"> in the clinical treatment algorithm, this place in therapy could not be supported on the grounds of commercial viability. </w:t>
      </w:r>
    </w:p>
    <w:p w14:paraId="339B2698" w14:textId="7C124BC2" w:rsidR="004D59D4" w:rsidRDefault="00023FAF" w:rsidP="00025AAC">
      <w:pPr>
        <w:pStyle w:val="3-BodyText"/>
        <w:numPr>
          <w:ilvl w:val="1"/>
          <w:numId w:val="16"/>
        </w:numPr>
        <w:spacing w:before="160" w:after="160"/>
      </w:pPr>
      <w:bookmarkStart w:id="21" w:name="_Ref216722238"/>
      <w:r>
        <w:t xml:space="preserve">The resubmission stated that external stakeholders, including metabolic physicians, nurses, dieticians and the Metabolic Dietary Disorders Association (MDDA) have expressed their support for the requested listing if it results in access to </w:t>
      </w:r>
      <w:proofErr w:type="spellStart"/>
      <w:r>
        <w:t>pegvaliase</w:t>
      </w:r>
      <w:proofErr w:type="spellEnd"/>
      <w:r>
        <w:t xml:space="preserve"> rather than the current situation where no patient has PBS-subsidised access. The resubmission highlighted while the MDDA have indicated their overall support, it expressed a desire to include the additional patient population who have protein tolerance of less than 15 g per day, even if responsive to </w:t>
      </w:r>
      <w:proofErr w:type="spellStart"/>
      <w:r>
        <w:t>sapropterin</w:t>
      </w:r>
      <w:proofErr w:type="spellEnd"/>
      <w:r>
        <w:t xml:space="preserve"> (i.e. meet the PBS criteria of ≥ 30% reduction in blood </w:t>
      </w:r>
      <w:proofErr w:type="spellStart"/>
      <w:r>
        <w:t>Phe</w:t>
      </w:r>
      <w:proofErr w:type="spellEnd"/>
      <w:r>
        <w:t xml:space="preserve"> from baseline). The resubmission claimed that clinicians have advised that most of these patients are likely to have classical PKU (characterised by very low/no residual protein activity) and are unlikely to achieve a response to </w:t>
      </w:r>
      <w:proofErr w:type="spellStart"/>
      <w:r>
        <w:t>sapropterin</w:t>
      </w:r>
      <w:proofErr w:type="spellEnd"/>
      <w:r>
        <w:t xml:space="preserve">; however, the resubmission acknowledged that there may be a small number of </w:t>
      </w:r>
      <w:proofErr w:type="spellStart"/>
      <w:r>
        <w:t>sapropterin</w:t>
      </w:r>
      <w:proofErr w:type="spellEnd"/>
      <w:r>
        <w:t>-responsive patients who have a protein tolerance of less than 15 g per day, and these patients would be eligible under the proposed restriction.</w:t>
      </w:r>
      <w:bookmarkEnd w:id="21"/>
    </w:p>
    <w:p w14:paraId="6224720E" w14:textId="0EF6B251" w:rsidR="004D59D4" w:rsidRDefault="00023FAF" w:rsidP="00025AAC">
      <w:pPr>
        <w:pStyle w:val="3-BodyText"/>
        <w:numPr>
          <w:ilvl w:val="1"/>
          <w:numId w:val="17"/>
        </w:numPr>
        <w:spacing w:before="160" w:after="160"/>
      </w:pPr>
      <w:bookmarkStart w:id="22" w:name="_Ref217374283"/>
      <w:bookmarkStart w:id="23" w:name="_Hlk216709834"/>
      <w:r>
        <w:t xml:space="preserve">The TGA-approved indication for </w:t>
      </w:r>
      <w:proofErr w:type="spellStart"/>
      <w:r>
        <w:t>pegvaliase</w:t>
      </w:r>
      <w:proofErr w:type="spellEnd"/>
      <w:r>
        <w:t xml:space="preserve"> is “for the treatment of patients with PKU aged 16 years and older who have inadequate blood </w:t>
      </w:r>
      <w:proofErr w:type="spellStart"/>
      <w:r>
        <w:t>Phe</w:t>
      </w:r>
      <w:proofErr w:type="spellEnd"/>
      <w:r>
        <w:t xml:space="preserve"> control despite management with available treatment options”, however the evaluation considered that this does not necessarily align with the proposed </w:t>
      </w:r>
      <w:proofErr w:type="spellStart"/>
      <w:r>
        <w:t>pegvaliase</w:t>
      </w:r>
      <w:proofErr w:type="spellEnd"/>
      <w:r>
        <w:t xml:space="preserve"> PBS restriction and the current </w:t>
      </w:r>
      <w:proofErr w:type="spellStart"/>
      <w:r>
        <w:t>sapropterin</w:t>
      </w:r>
      <w:proofErr w:type="spellEnd"/>
      <w:r>
        <w:t xml:space="preserve"> PBS restriction. This is because there may be some patients who meet the </w:t>
      </w:r>
      <w:proofErr w:type="spellStart"/>
      <w:r>
        <w:t>pegvaliase</w:t>
      </w:r>
      <w:proofErr w:type="spellEnd"/>
      <w:r>
        <w:t xml:space="preserve"> initiation criteria (i.e. due to having a protein tolerance of &lt; 15g per day) who do not have ‘inadequate blood </w:t>
      </w:r>
      <w:proofErr w:type="spellStart"/>
      <w:r>
        <w:t>Phe</w:t>
      </w:r>
      <w:proofErr w:type="spellEnd"/>
      <w:r>
        <w:t xml:space="preserve"> control’ (often defined in trials as levels &gt; 600 µmol/L) while on </w:t>
      </w:r>
      <w:proofErr w:type="spellStart"/>
      <w:r>
        <w:t>sapropterin</w:t>
      </w:r>
      <w:proofErr w:type="spellEnd"/>
      <w:r>
        <w:t>.</w:t>
      </w:r>
      <w:bookmarkEnd w:id="22"/>
      <w:r>
        <w:t xml:space="preserve"> </w:t>
      </w:r>
      <w:bookmarkEnd w:id="23"/>
      <w:r w:rsidR="005B4442">
        <w:t xml:space="preserve">The PBAC noted that clinicians indicated that </w:t>
      </w:r>
      <w:r w:rsidR="004C6A1F">
        <w:t xml:space="preserve">these patients </w:t>
      </w:r>
      <w:r w:rsidR="004C6A1F" w:rsidRPr="004C6A1F">
        <w:t xml:space="preserve">would not be considered </w:t>
      </w:r>
      <w:r w:rsidR="004C6A1F">
        <w:t xml:space="preserve">to have </w:t>
      </w:r>
      <w:r w:rsidR="004C6A1F" w:rsidRPr="004C6A1F">
        <w:t xml:space="preserve">an adequate response </w:t>
      </w:r>
      <w:r w:rsidR="004C6A1F">
        <w:t xml:space="preserve">to </w:t>
      </w:r>
      <w:proofErr w:type="spellStart"/>
      <w:r w:rsidR="004C6A1F">
        <w:t>sapropterin</w:t>
      </w:r>
      <w:proofErr w:type="spellEnd"/>
      <w:r w:rsidR="004C6A1F">
        <w:t xml:space="preserve"> </w:t>
      </w:r>
      <w:r w:rsidR="004C6A1F" w:rsidRPr="004C6A1F">
        <w:t>in clinical practice</w:t>
      </w:r>
      <w:r w:rsidR="004C6A1F">
        <w:t>.</w:t>
      </w:r>
    </w:p>
    <w:p w14:paraId="2B385EF3" w14:textId="77777777" w:rsidR="004D59D4" w:rsidRDefault="00023FAF" w:rsidP="00025AAC">
      <w:pPr>
        <w:pStyle w:val="3-BodyText"/>
        <w:spacing w:before="160" w:after="160"/>
        <w:rPr>
          <w:i/>
          <w:iCs/>
          <w:u w:val="single"/>
        </w:rPr>
      </w:pPr>
      <w:r>
        <w:rPr>
          <w:i/>
          <w:iCs/>
          <w:u w:val="single"/>
        </w:rPr>
        <w:t>Response assessment</w:t>
      </w:r>
    </w:p>
    <w:p w14:paraId="2C9F5E47" w14:textId="77777777" w:rsidR="004D59D4" w:rsidRDefault="00023FAF" w:rsidP="00025AAC">
      <w:pPr>
        <w:pStyle w:val="3-BodyText"/>
        <w:numPr>
          <w:ilvl w:val="1"/>
          <w:numId w:val="18"/>
        </w:numPr>
        <w:spacing w:before="160" w:after="160"/>
      </w:pPr>
      <w:bookmarkStart w:id="24" w:name="_Ref216722270"/>
      <w:r>
        <w:t xml:space="preserve">As in the July 2022 submission, the restriction proposed in the resubmission allows up to 24 months treatment under the initial treatment phase (induction, titration and maintenance) before a treatment response must be demonstrated. For the previous submission, the PBAC noted “based on the recommended titration regimen, it would only take 37 to 49 weeks to reach the maximum maintenance dose of 60 mg/day. The product information (PI) states that </w:t>
      </w:r>
      <w:proofErr w:type="spellStart"/>
      <w:r>
        <w:t>pegvaliase</w:t>
      </w:r>
      <w:proofErr w:type="spellEnd"/>
      <w:r>
        <w:t xml:space="preserve"> treatment should be reconsidered if a patient ‘does not reach a clinically relevant blood phenylalanine reduction after 18 months of treatment’ (</w:t>
      </w:r>
      <w:proofErr w:type="spellStart"/>
      <w:r>
        <w:t>pegvaliase</w:t>
      </w:r>
      <w:proofErr w:type="spellEnd"/>
      <w:r>
        <w:t xml:space="preserve"> PI, p6). A patient who does not achieve a clinical response to </w:t>
      </w:r>
      <w:proofErr w:type="spellStart"/>
      <w:r>
        <w:t>pegvaliase</w:t>
      </w:r>
      <w:proofErr w:type="spellEnd"/>
      <w:r>
        <w:t xml:space="preserve"> may potentially receive two years of treatment which may not be consistent with quality use of medicines and comes with a significant cost. The ESC previously considered that two years was an inappropriately long period of time for patients to be on treatment without assessing whether the benefits were outweighing </w:t>
      </w:r>
      <w:r>
        <w:lastRenderedPageBreak/>
        <w:t xml:space="preserve">the risks. The ESC previously considered that a shorter period for assessing response would be more appropriate” (paragraph 3.3, </w:t>
      </w:r>
      <w:proofErr w:type="spellStart"/>
      <w:r>
        <w:t>pegvaliase</w:t>
      </w:r>
      <w:proofErr w:type="spellEnd"/>
      <w:r>
        <w:t xml:space="preserve"> PSD, July 2022 PBAC meeting).</w:t>
      </w:r>
      <w:bookmarkEnd w:id="24"/>
      <w:r>
        <w:t xml:space="preserve"> </w:t>
      </w:r>
    </w:p>
    <w:p w14:paraId="78F0A700" w14:textId="77777777" w:rsidR="004D59D4" w:rsidRDefault="00023FAF" w:rsidP="00025AAC">
      <w:pPr>
        <w:pStyle w:val="3-BodyText"/>
        <w:numPr>
          <w:ilvl w:val="1"/>
          <w:numId w:val="19"/>
        </w:numPr>
        <w:spacing w:before="160" w:after="160"/>
      </w:pPr>
      <w:r>
        <w:t xml:space="preserve">The requested </w:t>
      </w:r>
      <w:proofErr w:type="spellStart"/>
      <w:r>
        <w:t>pegvaliase</w:t>
      </w:r>
      <w:proofErr w:type="spellEnd"/>
      <w:r>
        <w:t xml:space="preserve"> continuing restriction was consistent with the previous submission and required that patients must have demonstrated a response to initial treatment assessed at a minimum of 21 weeks and up to 24 months from commencing treatment, defined as at least one of either </w:t>
      </w:r>
      <w:proofErr w:type="spellStart"/>
      <w:r>
        <w:t>Phe</w:t>
      </w:r>
      <w:proofErr w:type="spellEnd"/>
      <w:r>
        <w:t xml:space="preserve"> blood level &lt; 360 </w:t>
      </w:r>
      <w:proofErr w:type="spellStart"/>
      <w:r>
        <w:t>μmol</w:t>
      </w:r>
      <w:proofErr w:type="spellEnd"/>
      <w:r>
        <w:t xml:space="preserve">/L or a ≥ 5-point improvement in the inattention subscale of the Attention Deficit Hyperactivity Disorder Rating Scale (ADHD-RS) score. There was no proposed requirement for demonstration of continued response over time. Previously, the ESC considered this may be inappropriate as the ADHD-RS inattention subscale score and the nominated minimally clinically important difference (MCID) have not been validated for use in PKU patients (paragraph 3.6, </w:t>
      </w:r>
      <w:proofErr w:type="spellStart"/>
      <w:r>
        <w:t>pegvaliase</w:t>
      </w:r>
      <w:proofErr w:type="spellEnd"/>
      <w:r>
        <w:t xml:space="preserve"> PSD, July 2022 PBAC meeting). The resubmission did not provide data to demonstrate validation of the nominated MCID in patients with PKU. </w:t>
      </w:r>
    </w:p>
    <w:p w14:paraId="4343A9B4" w14:textId="77777777" w:rsidR="004D59D4" w:rsidRDefault="00023FAF" w:rsidP="00025AAC">
      <w:pPr>
        <w:pStyle w:val="3-BodyText"/>
        <w:numPr>
          <w:ilvl w:val="1"/>
          <w:numId w:val="20"/>
        </w:numPr>
        <w:spacing w:before="160"/>
      </w:pPr>
      <w:bookmarkStart w:id="25" w:name="_Ref216722484"/>
      <w:r>
        <w:t>For the previous submission, “(t)he PBAC considered that it may not be appropriate to assess initial response based on a single blood-</w:t>
      </w:r>
      <w:proofErr w:type="spellStart"/>
      <w:r>
        <w:t>Phe</w:t>
      </w:r>
      <w:proofErr w:type="spellEnd"/>
      <w:r>
        <w:t xml:space="preserve"> &lt; 360 µmol/L measurement as </w:t>
      </w:r>
      <w:proofErr w:type="spellStart"/>
      <w:r>
        <w:t>Phe</w:t>
      </w:r>
      <w:proofErr w:type="spellEnd"/>
      <w:r>
        <w:t xml:space="preserve"> levels can fluctuate from day-to-day and in response to variation in dietary </w:t>
      </w:r>
      <w:proofErr w:type="spellStart"/>
      <w:r>
        <w:t>Phe</w:t>
      </w:r>
      <w:proofErr w:type="spellEnd"/>
      <w:r>
        <w:t xml:space="preserve"> intake. Additionally, the PBAC noted that the submission did not provide any comparative clinical data to support a claim of superiority in ADHD-RS inattention subscale score. The PBAC noted that consumers and clinicians had outlined that other factors may also be important markers of a meaningful improvement for patients, such as protein tolerance/dietary </w:t>
      </w:r>
      <w:proofErr w:type="spellStart"/>
      <w:r>
        <w:t>Phe</w:t>
      </w:r>
      <w:proofErr w:type="spellEnd"/>
      <w:r>
        <w:t xml:space="preserve"> intake, quality of life and an assessment as to how well a patient is managing with their current regimen. Overall, the PBAC considered that the most appropriate response criteria for </w:t>
      </w:r>
      <w:proofErr w:type="spellStart"/>
      <w:r>
        <w:t>pegvaliase</w:t>
      </w:r>
      <w:proofErr w:type="spellEnd"/>
      <w:r>
        <w:t xml:space="preserve"> remained unclear” (paragraph 7.5, </w:t>
      </w:r>
      <w:proofErr w:type="spellStart"/>
      <w:r>
        <w:t>pegvaliase</w:t>
      </w:r>
      <w:proofErr w:type="spellEnd"/>
      <w:r>
        <w:t xml:space="preserve"> PSD, July 2022 PBAC meeting). As in the previous submission, the resubmission did not provide any comparative clinical data to support a claim of superiority in ADHD-RS inattention subscale score.</w:t>
      </w:r>
      <w:bookmarkEnd w:id="25"/>
    </w:p>
    <w:p w14:paraId="15D23E3A" w14:textId="77777777" w:rsidR="004D59D4" w:rsidRDefault="00023FAF" w:rsidP="00025AAC">
      <w:pPr>
        <w:pStyle w:val="3-BodyText"/>
        <w:numPr>
          <w:ilvl w:val="1"/>
          <w:numId w:val="21"/>
        </w:numPr>
        <w:spacing w:before="160"/>
      </w:pPr>
      <w:bookmarkStart w:id="26" w:name="_Ref216722512"/>
      <w:r>
        <w:t xml:space="preserve">The resubmission claimed that new dispensing data shows that up to 24 months may be required to reach a therapeutic dose of </w:t>
      </w:r>
      <w:proofErr w:type="spellStart"/>
      <w:r>
        <w:t>pegvaliase</w:t>
      </w:r>
      <w:proofErr w:type="spellEnd"/>
      <w:r>
        <w:t xml:space="preserve">. The resubmission provided additional dispensing data from the sponsor’s database associated with the </w:t>
      </w:r>
      <w:proofErr w:type="spellStart"/>
      <w:r>
        <w:t>pegvaliase</w:t>
      </w:r>
      <w:proofErr w:type="spellEnd"/>
      <w:r>
        <w:t xml:space="preserve"> Risk Evaluation and Mitigation Strategy (REMS) in the United States (Lah 2022) and unpublished data</w:t>
      </w:r>
      <w:bookmarkStart w:id="27" w:name="_Ref217375126"/>
      <w:bookmarkEnd w:id="26"/>
      <w:r>
        <w:t xml:space="preserve">. While Lah 2022 reported that the upper interquartile limit for the time to reach a dose of 60 mg of </w:t>
      </w:r>
      <w:proofErr w:type="spellStart"/>
      <w:r>
        <w:t>pegvaliase</w:t>
      </w:r>
      <w:proofErr w:type="spellEnd"/>
      <w:r>
        <w:t xml:space="preserve"> was 95.3 weeks, the time to maximum dose was considerably lower (mean = 31.8 weeks; interquartile range = 9.7 to 45.0 weeks; median = 18.6 weeks). The evaluation </w:t>
      </w:r>
      <w:r w:rsidRPr="00932157">
        <w:t>and the ESC</w:t>
      </w:r>
      <w:r>
        <w:t xml:space="preserve"> therefore considered that it remained unclear if it was reasonable to allow all patients to receive up to 24 months of </w:t>
      </w:r>
      <w:proofErr w:type="spellStart"/>
      <w:r>
        <w:t>pegvaliase</w:t>
      </w:r>
      <w:proofErr w:type="spellEnd"/>
      <w:r>
        <w:t xml:space="preserve"> treatment before being required to demonstrate a response to initial treatment.</w:t>
      </w:r>
      <w:bookmarkEnd w:id="27"/>
    </w:p>
    <w:p w14:paraId="3DA9F6C3" w14:textId="77777777" w:rsidR="004D59D4" w:rsidRDefault="00023FAF" w:rsidP="00025AAC">
      <w:pPr>
        <w:pStyle w:val="3-BodyText"/>
        <w:numPr>
          <w:ilvl w:val="1"/>
          <w:numId w:val="22"/>
        </w:numPr>
        <w:spacing w:before="160" w:after="160"/>
      </w:pPr>
      <w:bookmarkStart w:id="28" w:name="_Ref217375131"/>
      <w:r>
        <w:t xml:space="preserve">The resubmission acknowledged that 24 months is a long period for titration of a medicine but noted that there are other examples of a long initial treatment period before response is assessed, such as the tyrosine kinase inhibitors (e.g., imatinib, </w:t>
      </w:r>
      <w:r>
        <w:lastRenderedPageBreak/>
        <w:t xml:space="preserve">nilotinib, ponatinib and </w:t>
      </w:r>
      <w:proofErr w:type="spellStart"/>
      <w:r>
        <w:t>asciminib</w:t>
      </w:r>
      <w:proofErr w:type="spellEnd"/>
      <w:r>
        <w:t>) for the treatment of chronic myeloid leukaemia. While there are examples of PBS restrictions for tyrosine kinase inhibitors allowing an 18-month initial treatment period before a response is required, their continued treatment often requires subsequent demonstration of treatment response. For example, the PBS restrictions for imatinib and nilotinib for the treatment of chronic myeloid leukaemia (chronic phase) state that continuing therapy is dependent on patients demonstrating a response to imatinib therapy following the initial 18 months of treatment and at 12 monthly intervals thereafter. No current PBS restrictions allowing a 24-month initial treatment period before a response is required were identified.</w:t>
      </w:r>
      <w:bookmarkEnd w:id="28"/>
    </w:p>
    <w:p w14:paraId="3C6C5974" w14:textId="77777777" w:rsidR="004D59D4" w:rsidRDefault="00023FAF" w:rsidP="00025AAC">
      <w:pPr>
        <w:pStyle w:val="3-BodyText"/>
        <w:spacing w:before="160" w:after="160"/>
        <w:rPr>
          <w:i/>
          <w:iCs/>
          <w:u w:val="single"/>
        </w:rPr>
      </w:pPr>
      <w:r>
        <w:rPr>
          <w:i/>
          <w:iCs/>
          <w:u w:val="single"/>
        </w:rPr>
        <w:t>Other</w:t>
      </w:r>
    </w:p>
    <w:p w14:paraId="1EA035C9" w14:textId="2F21CDDB" w:rsidR="00C06335" w:rsidRPr="00C06335" w:rsidRDefault="00023FAF" w:rsidP="00025AAC">
      <w:pPr>
        <w:pStyle w:val="ListParagraph"/>
        <w:numPr>
          <w:ilvl w:val="1"/>
          <w:numId w:val="23"/>
        </w:numPr>
        <w:jc w:val="both"/>
        <w:rPr>
          <w:rFonts w:eastAsiaTheme="minorHAnsi" w:cstheme="minorBidi"/>
          <w:snapToGrid w:val="0"/>
          <w:szCs w:val="22"/>
          <w:lang w:val="en-GB"/>
        </w:rPr>
      </w:pPr>
      <w:r>
        <w:t xml:space="preserve">Under the proposed restriction, patients defined as having a response to </w:t>
      </w:r>
      <w:proofErr w:type="spellStart"/>
      <w:r>
        <w:t>sapropterin</w:t>
      </w:r>
      <w:proofErr w:type="spellEnd"/>
      <w:r>
        <w:t xml:space="preserve"> but having protein tolerance of less than 15 g/day would be eligible to receive </w:t>
      </w:r>
      <w:proofErr w:type="spellStart"/>
      <w:r>
        <w:t>pegvaliase</w:t>
      </w:r>
      <w:proofErr w:type="spellEnd"/>
      <w:r>
        <w:t xml:space="preserve">. However, these patients would be required to cease </w:t>
      </w:r>
      <w:proofErr w:type="spellStart"/>
      <w:r>
        <w:t>sapropterin</w:t>
      </w:r>
      <w:proofErr w:type="spellEnd"/>
      <w:r>
        <w:t xml:space="preserve"> to initiate </w:t>
      </w:r>
      <w:proofErr w:type="spellStart"/>
      <w:r>
        <w:t>pegvaliase</w:t>
      </w:r>
      <w:proofErr w:type="spellEnd"/>
      <w:r>
        <w:t xml:space="preserve">, even though they had demonstrated a response to </w:t>
      </w:r>
      <w:proofErr w:type="spellStart"/>
      <w:r>
        <w:t>sapropterin</w:t>
      </w:r>
      <w:proofErr w:type="spellEnd"/>
      <w:r>
        <w:t xml:space="preserve">. </w:t>
      </w:r>
      <w:r w:rsidR="00CF53B6">
        <w:t>The evaluation considered it was</w:t>
      </w:r>
      <w:r>
        <w:t xml:space="preserve"> unclear if this would be reasonable.</w:t>
      </w:r>
      <w:r w:rsidR="00CF53B6">
        <w:t xml:space="preserve"> </w:t>
      </w:r>
      <w:r w:rsidR="004D5A16">
        <w:t>However, t</w:t>
      </w:r>
      <w:r w:rsidR="00CF53B6" w:rsidRPr="00CF53B6">
        <w:t xml:space="preserve">he PBAC noted that clinicians indicated that these patients would not be considered to have an adequate response to </w:t>
      </w:r>
      <w:proofErr w:type="spellStart"/>
      <w:r w:rsidR="00CF53B6" w:rsidRPr="00CF53B6">
        <w:t>sapropterin</w:t>
      </w:r>
      <w:proofErr w:type="spellEnd"/>
      <w:r w:rsidR="00CF53B6" w:rsidRPr="00CF53B6">
        <w:t xml:space="preserve"> in clinical practice</w:t>
      </w:r>
      <w:r w:rsidR="0009561B">
        <w:t xml:space="preserve"> </w:t>
      </w:r>
      <w:r w:rsidR="0009561B" w:rsidRPr="00C06335">
        <w:rPr>
          <w:snapToGrid w:val="0"/>
          <w:lang w:val="en-GB"/>
        </w:rPr>
        <w:t xml:space="preserve">(refer to paragraph </w:t>
      </w:r>
      <w:r w:rsidR="0009561B" w:rsidRPr="00C06335">
        <w:rPr>
          <w:snapToGrid w:val="0"/>
          <w:lang w:val="en-GB"/>
        </w:rPr>
        <w:fldChar w:fldCharType="begin"/>
      </w:r>
      <w:r w:rsidR="0009561B" w:rsidRPr="00C06335">
        <w:rPr>
          <w:snapToGrid w:val="0"/>
          <w:lang w:val="en-GB"/>
        </w:rPr>
        <w:instrText xml:space="preserve"> REF _Ref225420172 \r \h </w:instrText>
      </w:r>
      <w:r w:rsidR="00C06335">
        <w:rPr>
          <w:snapToGrid w:val="0"/>
          <w:lang w:val="en-GB"/>
        </w:rPr>
        <w:instrText xml:space="preserve"> \* MERGEFORMAT </w:instrText>
      </w:r>
      <w:r w:rsidR="0009561B" w:rsidRPr="00C06335">
        <w:rPr>
          <w:snapToGrid w:val="0"/>
          <w:lang w:val="en-GB"/>
        </w:rPr>
      </w:r>
      <w:r w:rsidR="0009561B" w:rsidRPr="00C06335">
        <w:rPr>
          <w:snapToGrid w:val="0"/>
          <w:lang w:val="en-GB"/>
        </w:rPr>
        <w:fldChar w:fldCharType="separate"/>
      </w:r>
      <w:r w:rsidR="00675925">
        <w:rPr>
          <w:snapToGrid w:val="0"/>
          <w:lang w:val="en-GB"/>
        </w:rPr>
        <w:t>6.4</w:t>
      </w:r>
      <w:r w:rsidR="0009561B" w:rsidRPr="00C06335">
        <w:rPr>
          <w:snapToGrid w:val="0"/>
          <w:lang w:val="en-GB"/>
        </w:rPr>
        <w:fldChar w:fldCharType="end"/>
      </w:r>
      <w:proofErr w:type="gramStart"/>
      <w:r w:rsidR="0009561B" w:rsidRPr="00C06335">
        <w:rPr>
          <w:snapToGrid w:val="0"/>
          <w:lang w:val="en-GB"/>
        </w:rPr>
        <w:t>)</w:t>
      </w:r>
      <w:r w:rsidR="00C06335" w:rsidRPr="00C06335">
        <w:rPr>
          <w:snapToGrid w:val="0"/>
          <w:lang w:val="en-GB"/>
        </w:rPr>
        <w:t>, and</w:t>
      </w:r>
      <w:proofErr w:type="gramEnd"/>
      <w:r w:rsidR="00C06335" w:rsidRPr="00C06335">
        <w:rPr>
          <w:snapToGrid w:val="0"/>
          <w:lang w:val="en-GB"/>
        </w:rPr>
        <w:t xml:space="preserve"> also considered that </w:t>
      </w:r>
      <w:r w:rsidR="00C06335">
        <w:rPr>
          <w:rFonts w:eastAsiaTheme="minorHAnsi" w:cstheme="minorBidi"/>
          <w:snapToGrid w:val="0"/>
          <w:szCs w:val="22"/>
          <w:lang w:val="en-GB"/>
        </w:rPr>
        <w:t xml:space="preserve">the restriction should allow patients to </w:t>
      </w:r>
      <w:r w:rsidR="00C06335" w:rsidRPr="00C06335">
        <w:rPr>
          <w:rFonts w:eastAsiaTheme="minorHAnsi" w:cstheme="minorBidi"/>
          <w:snapToGrid w:val="0"/>
          <w:szCs w:val="22"/>
          <w:lang w:val="en-GB"/>
        </w:rPr>
        <w:t xml:space="preserve">switch back to </w:t>
      </w:r>
      <w:proofErr w:type="spellStart"/>
      <w:r w:rsidR="00C06335" w:rsidRPr="00C06335">
        <w:rPr>
          <w:rFonts w:eastAsiaTheme="minorHAnsi" w:cstheme="minorBidi"/>
          <w:snapToGrid w:val="0"/>
          <w:szCs w:val="22"/>
          <w:lang w:val="en-GB"/>
        </w:rPr>
        <w:t>sapropterin</w:t>
      </w:r>
      <w:proofErr w:type="spellEnd"/>
      <w:r w:rsidR="00C06335" w:rsidRPr="00C06335">
        <w:rPr>
          <w:rFonts w:eastAsiaTheme="minorHAnsi" w:cstheme="minorBidi"/>
          <w:snapToGrid w:val="0"/>
          <w:szCs w:val="22"/>
          <w:lang w:val="en-GB"/>
        </w:rPr>
        <w:t xml:space="preserve"> if </w:t>
      </w:r>
      <w:r w:rsidR="00C06335">
        <w:rPr>
          <w:rFonts w:eastAsiaTheme="minorHAnsi" w:cstheme="minorBidi"/>
          <w:snapToGrid w:val="0"/>
          <w:szCs w:val="22"/>
          <w:lang w:val="en-GB"/>
        </w:rPr>
        <w:t xml:space="preserve">they experience an </w:t>
      </w:r>
      <w:r w:rsidR="00C06335" w:rsidRPr="00C06335">
        <w:rPr>
          <w:rFonts w:eastAsiaTheme="minorHAnsi" w:cstheme="minorBidi"/>
          <w:snapToGrid w:val="0"/>
          <w:szCs w:val="22"/>
          <w:lang w:val="en-GB"/>
        </w:rPr>
        <w:t xml:space="preserve">inadequate response or intolerance to </w:t>
      </w:r>
      <w:proofErr w:type="spellStart"/>
      <w:r w:rsidR="00C06335" w:rsidRPr="00C06335">
        <w:rPr>
          <w:rFonts w:eastAsiaTheme="minorHAnsi" w:cstheme="minorBidi"/>
          <w:snapToGrid w:val="0"/>
          <w:szCs w:val="22"/>
          <w:lang w:val="en-GB"/>
        </w:rPr>
        <w:t>pegvaliase</w:t>
      </w:r>
      <w:proofErr w:type="spellEnd"/>
      <w:r w:rsidR="00C06335" w:rsidRPr="00C06335">
        <w:rPr>
          <w:rFonts w:eastAsiaTheme="minorHAnsi" w:cstheme="minorBidi"/>
          <w:snapToGrid w:val="0"/>
          <w:szCs w:val="22"/>
          <w:lang w:val="en-GB"/>
        </w:rPr>
        <w:t xml:space="preserve">. </w:t>
      </w:r>
    </w:p>
    <w:p w14:paraId="45544024" w14:textId="166BF301" w:rsidR="004D59D4" w:rsidRDefault="00023FAF" w:rsidP="00025AAC">
      <w:pPr>
        <w:pStyle w:val="3-BodyText"/>
        <w:numPr>
          <w:ilvl w:val="1"/>
          <w:numId w:val="24"/>
        </w:numPr>
        <w:spacing w:before="160" w:after="160"/>
      </w:pPr>
      <w:r>
        <w:t xml:space="preserve">While the proposed treatment algorithm (see </w:t>
      </w:r>
      <w:r>
        <w:fldChar w:fldCharType="begin"/>
      </w:r>
      <w:r>
        <w:instrText xml:space="preserve"> REF _Ref215692461 \h </w:instrText>
      </w:r>
      <w:r>
        <w:fldChar w:fldCharType="separate"/>
      </w:r>
      <w:r w:rsidR="00E24060">
        <w:t xml:space="preserve">Figure </w:t>
      </w:r>
      <w:r w:rsidR="00E24060">
        <w:rPr>
          <w:noProof/>
        </w:rPr>
        <w:t>1</w:t>
      </w:r>
      <w:r>
        <w:fldChar w:fldCharType="end"/>
      </w:r>
      <w:r>
        <w:t xml:space="preserve">) shows a division of patients who respond to </w:t>
      </w:r>
      <w:proofErr w:type="spellStart"/>
      <w:r>
        <w:t>sapropterin</w:t>
      </w:r>
      <w:proofErr w:type="spellEnd"/>
      <w:r>
        <w:t xml:space="preserve"> based on whether they have a protein tolerance of less than or equal to/greater than 15 g/day, the existing </w:t>
      </w:r>
      <w:proofErr w:type="spellStart"/>
      <w:r>
        <w:t>sapropterin</w:t>
      </w:r>
      <w:proofErr w:type="spellEnd"/>
      <w:r>
        <w:t xml:space="preserve"> PBS restriction does not include any requirement of response based on protein tolerance. The potential switching of some </w:t>
      </w:r>
      <w:proofErr w:type="spellStart"/>
      <w:r>
        <w:t>sapropterin</w:t>
      </w:r>
      <w:proofErr w:type="spellEnd"/>
      <w:r>
        <w:t xml:space="preserve"> responders to receive </w:t>
      </w:r>
      <w:proofErr w:type="spellStart"/>
      <w:r>
        <w:t>pegvaliase</w:t>
      </w:r>
      <w:proofErr w:type="spellEnd"/>
      <w:r>
        <w:t xml:space="preserve"> was not considered as part of the previous economic decision making when </w:t>
      </w:r>
      <w:proofErr w:type="spellStart"/>
      <w:r>
        <w:t>sapropterin</w:t>
      </w:r>
      <w:proofErr w:type="spellEnd"/>
      <w:r>
        <w:t xml:space="preserve"> was recommended by the PBAC. Consequently, </w:t>
      </w:r>
      <w:r w:rsidR="00DC410F">
        <w:t xml:space="preserve">the evaluation considered that </w:t>
      </w:r>
      <w:r>
        <w:t xml:space="preserve">changing the treatment algorithm for these patients may have implications for the cost-effectiveness of patients receiving </w:t>
      </w:r>
      <w:proofErr w:type="spellStart"/>
      <w:r>
        <w:t>sapropterin</w:t>
      </w:r>
      <w:proofErr w:type="spellEnd"/>
      <w:r>
        <w:t xml:space="preserve"> that have not been evaluated.</w:t>
      </w:r>
    </w:p>
    <w:p w14:paraId="4C2D825D" w14:textId="264F4466" w:rsidR="004D59D4" w:rsidRDefault="00023FAF" w:rsidP="00025AAC">
      <w:pPr>
        <w:pStyle w:val="3-BodyText"/>
        <w:numPr>
          <w:ilvl w:val="1"/>
          <w:numId w:val="25"/>
        </w:numPr>
        <w:spacing w:before="160" w:after="160"/>
      </w:pPr>
      <w:r>
        <w:t xml:space="preserve">The resubmission requested that </w:t>
      </w:r>
      <w:proofErr w:type="spellStart"/>
      <w:r>
        <w:t>pegvaliase</w:t>
      </w:r>
      <w:proofErr w:type="spellEnd"/>
      <w:r>
        <w:t xml:space="preserve"> can be prescribed by either a metabolic physician or a nurse practitioner (initial and maintenance treatment). This request was different to the previous submission, where it was requested that </w:t>
      </w:r>
      <w:proofErr w:type="spellStart"/>
      <w:r>
        <w:t>pegvaliase</w:t>
      </w:r>
      <w:proofErr w:type="spellEnd"/>
      <w:r>
        <w:t xml:space="preserve"> be prescribed by a metabolic physician (initial and maintenance treatment) or by a nurse practitioner (maintenance treatment only). The evaluation considered that it was unclear whether it would be appropriate for nurse practitioners to prescribe initial treatment of </w:t>
      </w:r>
      <w:proofErr w:type="spellStart"/>
      <w:r>
        <w:t>pegvaliase</w:t>
      </w:r>
      <w:proofErr w:type="spellEnd"/>
      <w:r>
        <w:t xml:space="preserve">. Under the current PBS initial treatment – responsiveness testing listing for </w:t>
      </w:r>
      <w:proofErr w:type="spellStart"/>
      <w:r>
        <w:t>sapropterin</w:t>
      </w:r>
      <w:proofErr w:type="spellEnd"/>
      <w:r>
        <w:t xml:space="preserve">, patients must be treated by a metabolic physician. For continuing treatment (first and subsequent), patients receiving </w:t>
      </w:r>
      <w:proofErr w:type="spellStart"/>
      <w:r>
        <w:t>sapropterin</w:t>
      </w:r>
      <w:proofErr w:type="spellEnd"/>
      <w:r>
        <w:t xml:space="preserve"> can then be treated by a metabolic physician or a nurse practitioner experienced in the treatment of phenylketonuria in consultation with a metabolic physician.</w:t>
      </w:r>
      <w:r w:rsidR="00D02762">
        <w:t xml:space="preserve"> </w:t>
      </w:r>
      <w:r w:rsidR="00B64082" w:rsidRPr="00B64082">
        <w:t xml:space="preserve">At its March 2025 meeting, in its </w:t>
      </w:r>
      <w:r w:rsidR="002B73CC">
        <w:t>r</w:t>
      </w:r>
      <w:r w:rsidR="00B64082" w:rsidRPr="00B64082">
        <w:t xml:space="preserve">eview of nurse practitioner/endorsed midwife prescribing, the </w:t>
      </w:r>
      <w:r w:rsidR="00B64082" w:rsidRPr="00B64082">
        <w:lastRenderedPageBreak/>
        <w:t xml:space="preserve">PBAC considered a request to permit nurse practitioner prescribing of initial </w:t>
      </w:r>
      <w:proofErr w:type="spellStart"/>
      <w:r w:rsidR="00B64082" w:rsidRPr="00B64082">
        <w:t>sapropterin</w:t>
      </w:r>
      <w:proofErr w:type="spellEnd"/>
      <w:r w:rsidR="00B64082" w:rsidRPr="00B64082">
        <w:t xml:space="preserve"> treatment, noting that nurse practitioners were already eligible to prescribe continuing treatment. </w:t>
      </w:r>
      <w:r w:rsidR="00AB7E02">
        <w:t>In March 2025, t</w:t>
      </w:r>
      <w:r w:rsidR="00B64082" w:rsidRPr="00B64082">
        <w:t xml:space="preserve">he PBAC did not recommend nurse practitioners be eligible to authorise initial PBS-subsidy for </w:t>
      </w:r>
      <w:proofErr w:type="spellStart"/>
      <w:r w:rsidR="00B64082" w:rsidRPr="00B64082">
        <w:t>sapropterin</w:t>
      </w:r>
      <w:proofErr w:type="spellEnd"/>
      <w:r w:rsidR="00B64082" w:rsidRPr="00B64082">
        <w:t xml:space="preserve"> based on the view that HPA due to PKU is a complex condition where specialists (metabolic physicians) are likely to have the expertise required in making the diagnosis and overseeing initial treatment. </w:t>
      </w:r>
      <w:r w:rsidR="006C7240" w:rsidRPr="006C7240">
        <w:t xml:space="preserve">Refer to paragraph </w:t>
      </w:r>
      <w:r w:rsidR="00BF7006">
        <w:fldChar w:fldCharType="begin"/>
      </w:r>
      <w:r w:rsidR="00BF7006">
        <w:instrText xml:space="preserve"> REF _Ref225835940 \r \h </w:instrText>
      </w:r>
      <w:r w:rsidR="00BF7006">
        <w:fldChar w:fldCharType="separate"/>
      </w:r>
      <w:r w:rsidR="00675925">
        <w:t>7.9</w:t>
      </w:r>
      <w:r w:rsidR="00BF7006">
        <w:fldChar w:fldCharType="end"/>
      </w:r>
      <w:r w:rsidR="006C7240" w:rsidRPr="006C7240">
        <w:t>.</w:t>
      </w:r>
    </w:p>
    <w:p w14:paraId="79FE064B" w14:textId="74689D71" w:rsidR="00986E58" w:rsidRDefault="00023FAF" w:rsidP="00025AAC">
      <w:pPr>
        <w:pStyle w:val="3-BodyText"/>
        <w:numPr>
          <w:ilvl w:val="1"/>
          <w:numId w:val="26"/>
        </w:numPr>
        <w:spacing w:before="160" w:after="160"/>
      </w:pPr>
      <w:bookmarkStart w:id="29" w:name="_Ref224800123"/>
      <w:r>
        <w:t xml:space="preserve">The </w:t>
      </w:r>
      <w:proofErr w:type="spellStart"/>
      <w:r>
        <w:t>pegvaliase</w:t>
      </w:r>
      <w:proofErr w:type="spellEnd"/>
      <w:r>
        <w:t xml:space="preserve"> Product Information (PI) states ‘patients should be instructed to carry an adrenaline injection device with them at all times during </w:t>
      </w:r>
      <w:proofErr w:type="spellStart"/>
      <w:r>
        <w:t>pegvaliase</w:t>
      </w:r>
      <w:proofErr w:type="spellEnd"/>
      <w:r>
        <w:t xml:space="preserve"> treatment</w:t>
      </w:r>
      <w:r w:rsidR="00A13981">
        <w:t>.</w:t>
      </w:r>
      <w:r>
        <w:t xml:space="preserve">’ PBS supply of adrenaline pens must be initiated by, or in consultation with a clinical immunologist / allergist / paediatrician / respiratory physician (or patients discharged from hospital or an emergency department after treatment with adrenaline). </w:t>
      </w:r>
      <w:r w:rsidR="048A1C8E">
        <w:t>The proposed restrictions include</w:t>
      </w:r>
      <w:r w:rsidR="009D455C">
        <w:t>d</w:t>
      </w:r>
      <w:r w:rsidR="048A1C8E">
        <w:t xml:space="preserve"> a </w:t>
      </w:r>
      <w:r w:rsidR="009B650F">
        <w:t>‘Caution’ note</w:t>
      </w:r>
      <w:r w:rsidR="048A1C8E">
        <w:t xml:space="preserve"> </w:t>
      </w:r>
      <w:r w:rsidR="06C23EDB">
        <w:t xml:space="preserve">about the risk of acute systemic hypersensitivity reactions </w:t>
      </w:r>
      <w:r w:rsidR="66A2F644">
        <w:t xml:space="preserve">when using </w:t>
      </w:r>
      <w:proofErr w:type="spellStart"/>
      <w:r w:rsidR="66A2F644">
        <w:t>pegvaliase</w:t>
      </w:r>
      <w:proofErr w:type="spellEnd"/>
      <w:r w:rsidR="66A2F644">
        <w:t xml:space="preserve">, </w:t>
      </w:r>
      <w:r w:rsidR="00E23784">
        <w:t xml:space="preserve">and </w:t>
      </w:r>
      <w:r w:rsidR="126A182B">
        <w:t xml:space="preserve">the Secretariat has made amendments to </w:t>
      </w:r>
      <w:r w:rsidR="009B650F">
        <w:t>specify</w:t>
      </w:r>
      <w:r w:rsidR="00483E5A">
        <w:t xml:space="preserve"> </w:t>
      </w:r>
      <w:r w:rsidR="66A2F644">
        <w:t>that patients should be prescribed an adrenaline auto-injector</w:t>
      </w:r>
      <w:r w:rsidR="5AB0F291">
        <w:t xml:space="preserve"> as per the TGA PI</w:t>
      </w:r>
      <w:r w:rsidR="1A3DA72A">
        <w:t>. However,</w:t>
      </w:r>
      <w:r w:rsidR="06C23EDB">
        <w:t xml:space="preserve"> </w:t>
      </w:r>
      <w:r w:rsidR="5FC314A7">
        <w:t>t</w:t>
      </w:r>
      <w:r>
        <w:t xml:space="preserve">he evaluation considered that it was unclear how patients would access an adrenaline auto-injector. The </w:t>
      </w:r>
      <w:r w:rsidR="00642D19">
        <w:t>Pre-</w:t>
      </w:r>
      <w:r w:rsidR="00E60706">
        <w:t>Sub-Committee-Response (</w:t>
      </w:r>
      <w:r>
        <w:t>PSCR</w:t>
      </w:r>
      <w:r w:rsidR="00E60706">
        <w:t>)</w:t>
      </w:r>
      <w:r>
        <w:t xml:space="preserve"> stated “all metabolic physicians consult with relevant specialists (i.e., paediatrician, clinical immunologist, allergist, or respiratory physician) and provide their name at the time of the initial Authority Required Application for PBS supply of an adrenaline injection device</w:t>
      </w:r>
      <w:r w:rsidR="00A13981">
        <w:t>.</w:t>
      </w:r>
      <w:r>
        <w:t xml:space="preserve">”. </w:t>
      </w:r>
      <w:r w:rsidR="00D02762">
        <w:t xml:space="preserve">Refer to paragraph </w:t>
      </w:r>
      <w:r>
        <w:fldChar w:fldCharType="begin"/>
      </w:r>
      <w:r>
        <w:instrText xml:space="preserve"> REF _Ref225835970 \r \h </w:instrText>
      </w:r>
      <w:r>
        <w:fldChar w:fldCharType="separate"/>
      </w:r>
      <w:r w:rsidR="00675925">
        <w:t>7.8</w:t>
      </w:r>
      <w:r>
        <w:fldChar w:fldCharType="end"/>
      </w:r>
      <w:r w:rsidR="00D02762">
        <w:t>.</w:t>
      </w:r>
    </w:p>
    <w:p w14:paraId="5833A35F" w14:textId="227A9B24" w:rsidR="00500AD1" w:rsidRDefault="00500AD1" w:rsidP="00025AAC">
      <w:pPr>
        <w:pStyle w:val="3-BodyText"/>
        <w:numPr>
          <w:ilvl w:val="1"/>
          <w:numId w:val="26"/>
        </w:numPr>
        <w:spacing w:before="160" w:after="160"/>
        <w:rPr>
          <w:rFonts w:ascii="Calibri" w:eastAsia="Calibri" w:hAnsi="Calibri" w:cs="Calibri"/>
          <w:color w:val="000000" w:themeColor="text1"/>
          <w:szCs w:val="24"/>
        </w:rPr>
      </w:pPr>
      <w:r w:rsidRPr="3DC4AF4D">
        <w:rPr>
          <w:rFonts w:ascii="Calibri" w:eastAsia="Calibri" w:hAnsi="Calibri" w:cs="Calibri"/>
          <w:color w:val="000000" w:themeColor="text1"/>
          <w:szCs w:val="24"/>
        </w:rPr>
        <w:t>The listing</w:t>
      </w:r>
      <w:r w:rsidR="003927E7">
        <w:rPr>
          <w:rFonts w:ascii="Calibri" w:eastAsia="Calibri" w:hAnsi="Calibri" w:cs="Calibri"/>
          <w:color w:val="000000" w:themeColor="text1"/>
          <w:szCs w:val="24"/>
        </w:rPr>
        <w:t xml:space="preserve"> requested by the sponsor</w:t>
      </w:r>
      <w:r w:rsidRPr="3DC4AF4D">
        <w:rPr>
          <w:rFonts w:ascii="Calibri" w:eastAsia="Calibri" w:hAnsi="Calibri" w:cs="Calibri"/>
          <w:color w:val="000000" w:themeColor="text1"/>
          <w:szCs w:val="24"/>
        </w:rPr>
        <w:t>, with changes suggested by the Secretariat</w:t>
      </w:r>
      <w:r w:rsidRPr="4B7C6020">
        <w:rPr>
          <w:rFonts w:ascii="Calibri" w:eastAsia="Calibri" w:hAnsi="Calibri" w:cs="Calibri"/>
          <w:szCs w:val="24"/>
        </w:rPr>
        <w:t xml:space="preserve"> (additions are in italics and deletions are in strikethrough)</w:t>
      </w:r>
      <w:r w:rsidRPr="4B7C6020">
        <w:rPr>
          <w:rFonts w:ascii="Calibri" w:eastAsia="Calibri" w:hAnsi="Calibri" w:cs="Calibri"/>
          <w:color w:val="000000" w:themeColor="text1"/>
          <w:szCs w:val="24"/>
        </w:rPr>
        <w:t>,</w:t>
      </w:r>
      <w:r>
        <w:rPr>
          <w:rFonts w:ascii="Calibri" w:eastAsia="Calibri" w:hAnsi="Calibri" w:cs="Calibri"/>
          <w:color w:val="000000" w:themeColor="text1"/>
          <w:szCs w:val="24"/>
        </w:rPr>
        <w:t xml:space="preserve"> based on </w:t>
      </w:r>
      <w:r w:rsidR="003927E7">
        <w:rPr>
          <w:rFonts w:ascii="Calibri" w:eastAsia="Calibri" w:hAnsi="Calibri" w:cs="Calibri"/>
          <w:color w:val="000000" w:themeColor="text1"/>
          <w:szCs w:val="24"/>
        </w:rPr>
        <w:t xml:space="preserve">the </w:t>
      </w:r>
      <w:r>
        <w:rPr>
          <w:rFonts w:ascii="Calibri" w:eastAsia="Calibri" w:hAnsi="Calibri" w:cs="Calibri"/>
          <w:color w:val="000000" w:themeColor="text1"/>
          <w:szCs w:val="24"/>
        </w:rPr>
        <w:t xml:space="preserve">PBAC </w:t>
      </w:r>
      <w:r w:rsidR="003927E7">
        <w:rPr>
          <w:rFonts w:ascii="Calibri" w:eastAsia="Calibri" w:hAnsi="Calibri" w:cs="Calibri"/>
          <w:color w:val="000000" w:themeColor="text1"/>
          <w:szCs w:val="24"/>
        </w:rPr>
        <w:t xml:space="preserve">outcome section </w:t>
      </w:r>
      <w:r w:rsidR="00663B5A">
        <w:rPr>
          <w:rFonts w:ascii="Calibri" w:eastAsia="Calibri" w:hAnsi="Calibri" w:cs="Calibri"/>
          <w:color w:val="000000" w:themeColor="text1"/>
          <w:szCs w:val="24"/>
        </w:rPr>
        <w:t xml:space="preserve">(paragraphs </w:t>
      </w:r>
      <w:r w:rsidR="00663B5A">
        <w:rPr>
          <w:rFonts w:ascii="Calibri" w:eastAsia="Calibri" w:hAnsi="Calibri" w:cs="Calibri"/>
          <w:color w:val="000000" w:themeColor="text1"/>
          <w:szCs w:val="24"/>
        </w:rPr>
        <w:fldChar w:fldCharType="begin"/>
      </w:r>
      <w:r w:rsidR="00663B5A">
        <w:rPr>
          <w:rFonts w:ascii="Calibri" w:eastAsia="Calibri" w:hAnsi="Calibri" w:cs="Calibri"/>
          <w:color w:val="000000" w:themeColor="text1"/>
          <w:szCs w:val="24"/>
        </w:rPr>
        <w:instrText xml:space="preserve"> REF _Ref225791105 \r \h </w:instrText>
      </w:r>
      <w:r w:rsidR="00663B5A">
        <w:rPr>
          <w:rFonts w:ascii="Calibri" w:eastAsia="Calibri" w:hAnsi="Calibri" w:cs="Calibri"/>
          <w:color w:val="000000" w:themeColor="text1"/>
          <w:szCs w:val="24"/>
        </w:rPr>
      </w:r>
      <w:r w:rsidR="00663B5A">
        <w:rPr>
          <w:rFonts w:ascii="Calibri" w:eastAsia="Calibri" w:hAnsi="Calibri" w:cs="Calibri"/>
          <w:color w:val="000000" w:themeColor="text1"/>
          <w:szCs w:val="24"/>
        </w:rPr>
        <w:fldChar w:fldCharType="separate"/>
      </w:r>
      <w:r w:rsidR="00663B5A">
        <w:rPr>
          <w:rFonts w:ascii="Calibri" w:eastAsia="Calibri" w:hAnsi="Calibri" w:cs="Calibri"/>
          <w:color w:val="000000" w:themeColor="text1"/>
          <w:szCs w:val="24"/>
        </w:rPr>
        <w:t>7.6</w:t>
      </w:r>
      <w:r w:rsidR="00663B5A">
        <w:rPr>
          <w:rFonts w:ascii="Calibri" w:eastAsia="Calibri" w:hAnsi="Calibri" w:cs="Calibri"/>
          <w:color w:val="000000" w:themeColor="text1"/>
          <w:szCs w:val="24"/>
        </w:rPr>
        <w:fldChar w:fldCharType="end"/>
      </w:r>
      <w:r w:rsidR="00663B5A">
        <w:rPr>
          <w:rFonts w:ascii="Calibri" w:eastAsia="Calibri" w:hAnsi="Calibri" w:cs="Calibri"/>
          <w:color w:val="000000" w:themeColor="text1"/>
          <w:szCs w:val="24"/>
        </w:rPr>
        <w:t xml:space="preserve"> to </w:t>
      </w:r>
      <w:r w:rsidR="00663B5A">
        <w:rPr>
          <w:rFonts w:ascii="Calibri" w:eastAsia="Calibri" w:hAnsi="Calibri" w:cs="Calibri"/>
          <w:color w:val="000000" w:themeColor="text1"/>
          <w:szCs w:val="24"/>
        </w:rPr>
        <w:fldChar w:fldCharType="begin"/>
      </w:r>
      <w:r w:rsidR="00663B5A">
        <w:rPr>
          <w:rFonts w:ascii="Calibri" w:eastAsia="Calibri" w:hAnsi="Calibri" w:cs="Calibri"/>
          <w:color w:val="000000" w:themeColor="text1"/>
          <w:szCs w:val="24"/>
        </w:rPr>
        <w:instrText xml:space="preserve"> REF _Ref225835940 \r \h </w:instrText>
      </w:r>
      <w:r w:rsidR="00663B5A">
        <w:rPr>
          <w:rFonts w:ascii="Calibri" w:eastAsia="Calibri" w:hAnsi="Calibri" w:cs="Calibri"/>
          <w:color w:val="000000" w:themeColor="text1"/>
          <w:szCs w:val="24"/>
        </w:rPr>
      </w:r>
      <w:r w:rsidR="00663B5A">
        <w:rPr>
          <w:rFonts w:ascii="Calibri" w:eastAsia="Calibri" w:hAnsi="Calibri" w:cs="Calibri"/>
          <w:color w:val="000000" w:themeColor="text1"/>
          <w:szCs w:val="24"/>
        </w:rPr>
        <w:fldChar w:fldCharType="separate"/>
      </w:r>
      <w:r w:rsidR="00663B5A">
        <w:rPr>
          <w:rFonts w:ascii="Calibri" w:eastAsia="Calibri" w:hAnsi="Calibri" w:cs="Calibri"/>
          <w:color w:val="000000" w:themeColor="text1"/>
          <w:szCs w:val="24"/>
        </w:rPr>
        <w:t>7.9</w:t>
      </w:r>
      <w:r w:rsidR="00663B5A">
        <w:rPr>
          <w:rFonts w:ascii="Calibri" w:eastAsia="Calibri" w:hAnsi="Calibri" w:cs="Calibri"/>
          <w:color w:val="000000" w:themeColor="text1"/>
          <w:szCs w:val="24"/>
        </w:rPr>
        <w:fldChar w:fldCharType="end"/>
      </w:r>
      <w:r w:rsidR="00663B5A">
        <w:rPr>
          <w:rFonts w:ascii="Calibri" w:eastAsia="Calibri" w:hAnsi="Calibri" w:cs="Calibri"/>
          <w:color w:val="000000" w:themeColor="text1"/>
          <w:szCs w:val="24"/>
        </w:rPr>
        <w:t xml:space="preserve">) </w:t>
      </w:r>
      <w:r w:rsidRPr="3DC4AF4D">
        <w:rPr>
          <w:rFonts w:ascii="Calibri" w:eastAsia="Calibri" w:hAnsi="Calibri" w:cs="Calibri"/>
          <w:color w:val="000000" w:themeColor="text1"/>
          <w:szCs w:val="24"/>
        </w:rPr>
        <w:t>is shown below</w:t>
      </w:r>
      <w:r w:rsidR="00DD1A4E">
        <w:rPr>
          <w:rFonts w:ascii="Calibri" w:eastAsia="Calibri" w:hAnsi="Calibri" w:cs="Calibri"/>
          <w:color w:val="000000" w:themeColor="text1"/>
          <w:szCs w:val="24"/>
        </w:rPr>
        <w:t xml:space="preserve"> (noting further amendments may be required as part of the </w:t>
      </w:r>
      <w:r w:rsidR="00E65252">
        <w:rPr>
          <w:rFonts w:ascii="Calibri" w:eastAsia="Calibri" w:hAnsi="Calibri" w:cs="Calibri"/>
          <w:color w:val="000000" w:themeColor="text1"/>
          <w:szCs w:val="24"/>
        </w:rPr>
        <w:t>deferral process)</w:t>
      </w:r>
      <w:r w:rsidRPr="3DC4AF4D">
        <w:rPr>
          <w:rFonts w:ascii="Calibri" w:eastAsia="Calibri" w:hAnsi="Calibri" w:cs="Calibri"/>
          <w:color w:val="000000" w:themeColor="text1"/>
          <w:szCs w:val="24"/>
        </w:rPr>
        <w:t>.</w:t>
      </w:r>
    </w:p>
    <w:p w14:paraId="500F6062" w14:textId="77777777" w:rsidR="00500AD1" w:rsidRPr="00387925" w:rsidRDefault="00500AD1" w:rsidP="00025AAC">
      <w:pPr>
        <w:pStyle w:val="3-BodyText"/>
        <w:spacing w:after="120"/>
        <w:rPr>
          <w:rFonts w:ascii="Arial Narrow" w:eastAsia="Calibri" w:hAnsi="Arial Narrow" w:cs="Calibri"/>
          <w:b/>
          <w:bCs/>
          <w:color w:val="000000" w:themeColor="text1"/>
          <w:sz w:val="20"/>
          <w:szCs w:val="20"/>
        </w:rPr>
      </w:pPr>
      <w:r w:rsidRPr="00387925">
        <w:rPr>
          <w:rFonts w:ascii="Arial Narrow" w:eastAsia="Calibri" w:hAnsi="Arial Narrow" w:cs="Calibri"/>
          <w:b/>
          <w:bCs/>
          <w:color w:val="000000" w:themeColor="text1"/>
          <w:sz w:val="20"/>
          <w:szCs w:val="20"/>
        </w:rPr>
        <w:t>Initial treatment: (Induction, titration, and maintenance treatment) within the first 24 months of therapy</w:t>
      </w:r>
    </w:p>
    <w:tbl>
      <w:tblPr>
        <w:tblW w:w="5028" w:type="pct"/>
        <w:tblLayout w:type="fixed"/>
        <w:tblLook w:val="04A0" w:firstRow="1" w:lastRow="0" w:firstColumn="1" w:lastColumn="0" w:noHBand="0" w:noVBand="1"/>
        <w:tblCaption w:val="Initial treatment: (Induction, titration, and maintenance treatment) within the first 24 months of therapy"/>
      </w:tblPr>
      <w:tblGrid>
        <w:gridCol w:w="3537"/>
        <w:gridCol w:w="1276"/>
        <w:gridCol w:w="992"/>
        <w:gridCol w:w="851"/>
        <w:gridCol w:w="708"/>
        <w:gridCol w:w="1702"/>
      </w:tblGrid>
      <w:tr w:rsidR="00500AD1" w14:paraId="332173CD" w14:textId="77777777" w:rsidTr="00F727E6">
        <w:trPr>
          <w:cantSplit/>
          <w:trHeight w:val="20"/>
        </w:trPr>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16684" w14:textId="77777777" w:rsidR="00500AD1" w:rsidRDefault="00500AD1" w:rsidP="00025AAC">
            <w:pPr>
              <w:keepLines/>
              <w:rPr>
                <w:rFonts w:ascii="Arial Narrow" w:hAnsi="Arial Narrow"/>
                <w:b/>
                <w:bCs/>
                <w:kern w:val="2"/>
                <w:sz w:val="20"/>
                <w:szCs w:val="20"/>
              </w:rPr>
            </w:pPr>
            <w:r>
              <w:rPr>
                <w:rFonts w:ascii="Arial Narrow" w:hAnsi="Arial Narrow"/>
                <w:b/>
                <w:bCs/>
                <w:kern w:val="2"/>
                <w:sz w:val="20"/>
                <w:szCs w:val="20"/>
              </w:rPr>
              <w:t>MEDICINAL PRODUCT</w:t>
            </w:r>
          </w:p>
          <w:p w14:paraId="5FF6CAC4" w14:textId="77777777" w:rsidR="00500AD1" w:rsidRDefault="00500AD1" w:rsidP="00025AAC">
            <w:pPr>
              <w:keepLines/>
              <w:rPr>
                <w:rFonts w:ascii="Arial Narrow" w:hAnsi="Arial Narrow"/>
                <w:b/>
                <w:kern w:val="2"/>
                <w:sz w:val="20"/>
                <w:szCs w:val="20"/>
              </w:rPr>
            </w:pPr>
            <w:r>
              <w:rPr>
                <w:rFonts w:ascii="Arial Narrow" w:hAnsi="Arial Narrow"/>
                <w:b/>
                <w:bCs/>
                <w:kern w:val="2"/>
                <w:sz w:val="20"/>
                <w:szCs w:val="20"/>
              </w:rPr>
              <w:t>medicinal product pack</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DA1F0" w14:textId="77777777" w:rsidR="00500AD1" w:rsidRDefault="00500AD1" w:rsidP="00025AAC">
            <w:pPr>
              <w:keepLines/>
              <w:jc w:val="center"/>
              <w:rPr>
                <w:rFonts w:ascii="Arial Narrow" w:hAnsi="Arial Narrow"/>
                <w:b/>
                <w:kern w:val="2"/>
                <w:sz w:val="20"/>
                <w:szCs w:val="20"/>
              </w:rPr>
            </w:pPr>
            <w:r>
              <w:rPr>
                <w:rFonts w:ascii="Arial Narrow" w:hAnsi="Arial Narrow"/>
                <w:b/>
                <w:kern w:val="2"/>
                <w:sz w:val="20"/>
                <w:szCs w:val="20"/>
              </w:rPr>
              <w:t>PBS item code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A3AC6" w14:textId="77777777" w:rsidR="00500AD1" w:rsidRDefault="00500AD1" w:rsidP="00025AAC">
            <w:pPr>
              <w:keepLines/>
              <w:jc w:val="center"/>
              <w:rPr>
                <w:rFonts w:ascii="Arial Narrow" w:hAnsi="Arial Narrow"/>
                <w:b/>
                <w:kern w:val="2"/>
                <w:sz w:val="20"/>
                <w:szCs w:val="20"/>
              </w:rPr>
            </w:pPr>
            <w:r>
              <w:rPr>
                <w:rFonts w:ascii="Arial Narrow" w:hAnsi="Arial Narrow"/>
                <w:b/>
                <w:kern w:val="2"/>
                <w:sz w:val="20"/>
                <w:szCs w:val="20"/>
              </w:rPr>
              <w:t>Max. qty packs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D7573" w14:textId="77777777" w:rsidR="00500AD1" w:rsidRDefault="00500AD1" w:rsidP="00025AAC">
            <w:pPr>
              <w:keepLines/>
              <w:jc w:val="center"/>
              <w:rPr>
                <w:rFonts w:ascii="Arial Narrow" w:hAnsi="Arial Narrow"/>
                <w:b/>
                <w:kern w:val="2"/>
                <w:sz w:val="20"/>
                <w:szCs w:val="20"/>
              </w:rPr>
            </w:pPr>
            <w:r>
              <w:rPr>
                <w:rFonts w:ascii="Arial Narrow" w:hAnsi="Arial Narrow"/>
                <w:b/>
                <w:kern w:val="2"/>
                <w:sz w:val="20"/>
                <w:szCs w:val="20"/>
              </w:rPr>
              <w:t>Max. qty units</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5CFAD78" w14:textId="77777777" w:rsidR="00500AD1" w:rsidRDefault="00500AD1" w:rsidP="00025AAC">
            <w:pPr>
              <w:keepLines/>
              <w:jc w:val="center"/>
              <w:rPr>
                <w:rFonts w:ascii="Arial Narrow" w:hAnsi="Arial Narrow"/>
                <w:b/>
                <w:kern w:val="2"/>
                <w:sz w:val="20"/>
                <w:szCs w:val="20"/>
              </w:rPr>
            </w:pPr>
            <w:proofErr w:type="gramStart"/>
            <w:r>
              <w:rPr>
                <w:rFonts w:ascii="Arial Narrow" w:hAnsi="Arial Narrow"/>
                <w:b/>
                <w:kern w:val="2"/>
                <w:sz w:val="20"/>
                <w:szCs w:val="20"/>
              </w:rPr>
              <w:t>№.of</w:t>
            </w:r>
            <w:proofErr w:type="gramEnd"/>
          </w:p>
          <w:p w14:paraId="3B3EC117" w14:textId="77777777" w:rsidR="00500AD1" w:rsidRDefault="00500AD1" w:rsidP="00025AAC">
            <w:pPr>
              <w:keepLines/>
              <w:jc w:val="center"/>
              <w:rPr>
                <w:rFonts w:ascii="Arial Narrow" w:hAnsi="Arial Narrow"/>
                <w:b/>
                <w:kern w:val="2"/>
                <w:sz w:val="20"/>
                <w:szCs w:val="20"/>
              </w:rPr>
            </w:pPr>
            <w:proofErr w:type="spellStart"/>
            <w:r>
              <w:rPr>
                <w:rFonts w:ascii="Arial Narrow" w:hAnsi="Arial Narrow"/>
                <w:b/>
                <w:kern w:val="2"/>
                <w:sz w:val="20"/>
                <w:szCs w:val="20"/>
              </w:rPr>
              <w:t>Rpts</w:t>
            </w:r>
            <w:proofErr w:type="spellEnd"/>
          </w:p>
        </w:tc>
        <w:tc>
          <w:tcPr>
            <w:tcW w:w="1702" w:type="dxa"/>
            <w:tcBorders>
              <w:top w:val="single" w:sz="4" w:space="0" w:color="auto"/>
              <w:left w:val="single" w:sz="4" w:space="0" w:color="auto"/>
              <w:bottom w:val="single" w:sz="4" w:space="0" w:color="auto"/>
              <w:right w:val="single" w:sz="4" w:space="0" w:color="auto"/>
            </w:tcBorders>
            <w:vAlign w:val="center"/>
          </w:tcPr>
          <w:p w14:paraId="718269CB" w14:textId="77777777" w:rsidR="00500AD1" w:rsidRDefault="00500AD1" w:rsidP="00025AAC">
            <w:pPr>
              <w:keepLines/>
              <w:rPr>
                <w:rFonts w:ascii="Arial Narrow" w:hAnsi="Arial Narrow"/>
                <w:b/>
                <w:kern w:val="2"/>
                <w:sz w:val="20"/>
                <w:szCs w:val="20"/>
                <w:lang w:val="fr-FR"/>
              </w:rPr>
            </w:pPr>
            <w:r>
              <w:rPr>
                <w:rFonts w:ascii="Arial Narrow" w:hAnsi="Arial Narrow"/>
                <w:b/>
                <w:kern w:val="2"/>
                <w:sz w:val="20"/>
                <w:szCs w:val="20"/>
              </w:rPr>
              <w:t>Available brands</w:t>
            </w:r>
          </w:p>
        </w:tc>
      </w:tr>
      <w:tr w:rsidR="00500AD1" w14:paraId="16869AF1" w14:textId="77777777" w:rsidTr="00F727E6">
        <w:trPr>
          <w:cantSplit/>
          <w:trHeight w:val="20"/>
        </w:trPr>
        <w:tc>
          <w:tcPr>
            <w:tcW w:w="9066" w:type="dxa"/>
            <w:gridSpan w:val="6"/>
            <w:tcBorders>
              <w:top w:val="single" w:sz="4" w:space="0" w:color="auto"/>
              <w:left w:val="single" w:sz="4" w:space="0" w:color="auto"/>
              <w:bottom w:val="single" w:sz="4" w:space="0" w:color="auto"/>
              <w:right w:val="single" w:sz="4" w:space="0" w:color="auto"/>
            </w:tcBorders>
            <w:vAlign w:val="center"/>
          </w:tcPr>
          <w:p w14:paraId="25645E69" w14:textId="77777777" w:rsidR="00500AD1" w:rsidRDefault="00500AD1" w:rsidP="00025AAC">
            <w:pPr>
              <w:keepLines/>
              <w:rPr>
                <w:rFonts w:ascii="Arial Narrow" w:hAnsi="Arial Narrow"/>
                <w:kern w:val="2"/>
                <w:sz w:val="20"/>
                <w:szCs w:val="20"/>
              </w:rPr>
            </w:pPr>
            <w:r>
              <w:rPr>
                <w:rFonts w:ascii="Arial Narrow" w:hAnsi="Arial Narrow"/>
                <w:kern w:val="2"/>
                <w:sz w:val="20"/>
                <w:szCs w:val="20"/>
              </w:rPr>
              <w:t>PEGVALIASE</w:t>
            </w:r>
          </w:p>
        </w:tc>
      </w:tr>
      <w:tr w:rsidR="00500AD1" w14:paraId="530259DC" w14:textId="77777777" w:rsidTr="00F727E6">
        <w:trPr>
          <w:cantSplit/>
          <w:trHeight w:val="20"/>
        </w:trPr>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F2DD40" w14:textId="77777777" w:rsidR="00500AD1" w:rsidRPr="00D2035C" w:rsidRDefault="00500AD1" w:rsidP="00025AAC">
            <w:pPr>
              <w:keepLines/>
              <w:rPr>
                <w:rFonts w:ascii="Arial Narrow" w:hAnsi="Arial Narrow"/>
                <w:kern w:val="2"/>
                <w:sz w:val="20"/>
                <w:szCs w:val="20"/>
              </w:rPr>
            </w:pPr>
            <w:proofErr w:type="spellStart"/>
            <w:r w:rsidRPr="0096733C">
              <w:rPr>
                <w:rFonts w:ascii="Arial Narrow" w:hAnsi="Arial Narrow"/>
                <w:kern w:val="2"/>
                <w:sz w:val="20"/>
                <w:szCs w:val="20"/>
              </w:rPr>
              <w:t>pegvaliase</w:t>
            </w:r>
            <w:proofErr w:type="spellEnd"/>
            <w:r w:rsidRPr="0096733C">
              <w:rPr>
                <w:rFonts w:ascii="Arial Narrow" w:hAnsi="Arial Narrow"/>
                <w:kern w:val="2"/>
                <w:sz w:val="20"/>
                <w:szCs w:val="20"/>
              </w:rPr>
              <w:t xml:space="preserve"> 2.5 mg/0.5 mL injection, 0.5 mL syringe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EC7F4"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 xml:space="preserve">NEW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E99E1B" w14:textId="77777777" w:rsidR="00500AD1" w:rsidRDefault="00500AD1" w:rsidP="00025AAC">
            <w:pPr>
              <w:keepLines/>
              <w:jc w:val="center"/>
              <w:rPr>
                <w:rFonts w:ascii="Arial Narrow" w:hAnsi="Arial Narrow"/>
                <w:i/>
                <w:iCs/>
                <w:kern w:val="2"/>
                <w:sz w:val="20"/>
                <w:szCs w:val="20"/>
              </w:rPr>
            </w:pPr>
            <w:r w:rsidRPr="00C5239F">
              <w:rPr>
                <w:rFonts w:ascii="Arial Narrow" w:hAnsi="Arial Narrow"/>
                <w:strike/>
                <w:kern w:val="2"/>
                <w:sz w:val="20"/>
                <w:szCs w:val="20"/>
              </w:rPr>
              <w:t>1</w:t>
            </w:r>
            <w:r w:rsidRPr="00C5239F">
              <w:rPr>
                <w:rFonts w:ascii="Arial Narrow" w:hAnsi="Arial Narrow"/>
                <w:kern w:val="2"/>
                <w:sz w:val="20"/>
                <w:szCs w:val="20"/>
              </w:rPr>
              <w:t xml:space="preserve"> </w:t>
            </w:r>
            <w:r w:rsidRPr="00C5239F">
              <w:rPr>
                <w:rFonts w:ascii="Arial Narrow" w:hAnsi="Arial Narrow"/>
                <w:i/>
                <w:iCs/>
                <w:kern w:val="2"/>
                <w:sz w:val="20"/>
                <w:szCs w:val="20"/>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329B4" w14:textId="77777777" w:rsidR="00500AD1" w:rsidRDefault="00500AD1" w:rsidP="00025AAC">
            <w:pPr>
              <w:keepLines/>
              <w:jc w:val="center"/>
              <w:rPr>
                <w:rFonts w:ascii="Arial Narrow" w:hAnsi="Arial Narrow"/>
                <w:i/>
                <w:iCs/>
                <w:kern w:val="2"/>
                <w:sz w:val="20"/>
                <w:szCs w:val="20"/>
              </w:rPr>
            </w:pPr>
            <w:r w:rsidRPr="00C5239F">
              <w:rPr>
                <w:rFonts w:ascii="Arial Narrow" w:hAnsi="Arial Narrow"/>
                <w:strike/>
                <w:kern w:val="2"/>
                <w:sz w:val="20"/>
                <w:szCs w:val="20"/>
              </w:rPr>
              <w:t>1</w:t>
            </w:r>
            <w:r>
              <w:rPr>
                <w:rFonts w:ascii="Arial Narrow" w:hAnsi="Arial Narrow"/>
                <w:kern w:val="2"/>
                <w:sz w:val="20"/>
                <w:szCs w:val="20"/>
              </w:rPr>
              <w:t xml:space="preserve"> </w:t>
            </w:r>
            <w:r w:rsidRPr="00C5239F">
              <w:rPr>
                <w:rFonts w:ascii="Arial Narrow" w:hAnsi="Arial Narrow"/>
                <w:i/>
                <w:iCs/>
                <w:kern w:val="2"/>
                <w:sz w:val="20"/>
                <w:szCs w:val="20"/>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343CB90" w14:textId="77777777" w:rsidR="00500AD1" w:rsidRPr="00C5239F" w:rsidRDefault="00500AD1" w:rsidP="00025AAC">
            <w:pPr>
              <w:keepLines/>
              <w:jc w:val="center"/>
              <w:rPr>
                <w:rFonts w:ascii="Arial Narrow" w:hAnsi="Arial Narrow"/>
                <w:i/>
                <w:iCs/>
                <w:kern w:val="2"/>
                <w:sz w:val="20"/>
                <w:szCs w:val="20"/>
              </w:rPr>
            </w:pPr>
            <w:r w:rsidRPr="00C5239F">
              <w:rPr>
                <w:rFonts w:ascii="Arial Narrow" w:hAnsi="Arial Narrow"/>
                <w:i/>
                <w:iCs/>
                <w:kern w:val="2"/>
                <w:sz w:val="20"/>
                <w:szCs w:val="20"/>
              </w:rPr>
              <w:t>0</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4AE51FD0"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Palynziq</w:t>
            </w:r>
          </w:p>
        </w:tc>
      </w:tr>
      <w:tr w:rsidR="00500AD1" w14:paraId="613C49F0" w14:textId="77777777" w:rsidTr="00F727E6">
        <w:trPr>
          <w:cantSplit/>
          <w:trHeight w:val="20"/>
        </w:trPr>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3E2AF6" w14:textId="77777777" w:rsidR="00500AD1" w:rsidRPr="00D2035C" w:rsidRDefault="00500AD1" w:rsidP="00025AAC">
            <w:pPr>
              <w:keepLines/>
              <w:rPr>
                <w:rFonts w:ascii="Arial Narrow" w:hAnsi="Arial Narrow"/>
                <w:kern w:val="2"/>
                <w:sz w:val="20"/>
                <w:szCs w:val="20"/>
              </w:rPr>
            </w:pPr>
            <w:proofErr w:type="spellStart"/>
            <w:r w:rsidRPr="0096733C">
              <w:rPr>
                <w:rFonts w:ascii="Arial Narrow" w:hAnsi="Arial Narrow"/>
                <w:kern w:val="2"/>
                <w:sz w:val="20"/>
                <w:szCs w:val="20"/>
              </w:rPr>
              <w:t>pegvaliase</w:t>
            </w:r>
            <w:proofErr w:type="spellEnd"/>
            <w:r w:rsidRPr="0096733C">
              <w:rPr>
                <w:rFonts w:ascii="Arial Narrow" w:hAnsi="Arial Narrow"/>
                <w:kern w:val="2"/>
                <w:sz w:val="20"/>
                <w:szCs w:val="20"/>
              </w:rPr>
              <w:t xml:space="preserve"> 10 mg/0.5 mL injection, 0.5 mL syringe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2D146"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NEW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31CDB" w14:textId="77777777" w:rsidR="00500AD1" w:rsidRDefault="00500AD1" w:rsidP="00025AAC">
            <w:pPr>
              <w:keepLines/>
              <w:jc w:val="center"/>
              <w:rPr>
                <w:rFonts w:ascii="Arial Narrow" w:hAnsi="Arial Narrow"/>
                <w:i/>
                <w:iCs/>
                <w:kern w:val="2"/>
                <w:sz w:val="20"/>
                <w:szCs w:val="20"/>
              </w:rPr>
            </w:pPr>
            <w:r w:rsidRPr="00C5239F">
              <w:rPr>
                <w:rFonts w:ascii="Arial Narrow" w:hAnsi="Arial Narrow"/>
                <w:strike/>
                <w:kern w:val="2"/>
                <w:sz w:val="20"/>
                <w:szCs w:val="20"/>
              </w:rPr>
              <w:t>1</w:t>
            </w:r>
            <w:r>
              <w:rPr>
                <w:rFonts w:ascii="Arial Narrow" w:hAnsi="Arial Narrow"/>
                <w:kern w:val="2"/>
                <w:sz w:val="20"/>
                <w:szCs w:val="20"/>
              </w:rPr>
              <w:t xml:space="preserve"> </w:t>
            </w:r>
            <w:r w:rsidRPr="00C5239F">
              <w:rPr>
                <w:rFonts w:ascii="Arial Narrow" w:hAnsi="Arial Narrow"/>
                <w:i/>
                <w:iCs/>
                <w:kern w:val="2"/>
                <w:sz w:val="20"/>
                <w:szCs w:val="20"/>
              </w:rPr>
              <w:t>14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6E0C4" w14:textId="77777777" w:rsidR="00500AD1" w:rsidRDefault="00500AD1" w:rsidP="00025AAC">
            <w:pPr>
              <w:keepLines/>
              <w:jc w:val="center"/>
              <w:rPr>
                <w:rFonts w:ascii="Arial Narrow" w:hAnsi="Arial Narrow"/>
                <w:i/>
                <w:iCs/>
                <w:kern w:val="2"/>
                <w:sz w:val="20"/>
                <w:szCs w:val="20"/>
              </w:rPr>
            </w:pPr>
            <w:r w:rsidRPr="00C5239F">
              <w:rPr>
                <w:rFonts w:ascii="Arial Narrow" w:hAnsi="Arial Narrow"/>
                <w:strike/>
                <w:kern w:val="2"/>
                <w:sz w:val="20"/>
                <w:szCs w:val="20"/>
              </w:rPr>
              <w:t>1</w:t>
            </w:r>
            <w:r>
              <w:rPr>
                <w:rFonts w:ascii="Arial Narrow" w:hAnsi="Arial Narrow"/>
                <w:kern w:val="2"/>
                <w:sz w:val="20"/>
                <w:szCs w:val="20"/>
              </w:rPr>
              <w:t xml:space="preserve"> </w:t>
            </w:r>
            <w:r w:rsidRPr="00C5239F">
              <w:rPr>
                <w:rFonts w:ascii="Arial Narrow" w:hAnsi="Arial Narrow"/>
                <w:i/>
                <w:iCs/>
                <w:kern w:val="2"/>
                <w:sz w:val="20"/>
                <w:szCs w:val="20"/>
              </w:rPr>
              <w:t>14</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5B98590" w14:textId="77777777" w:rsidR="00500AD1" w:rsidRPr="00C5239F" w:rsidRDefault="00500AD1" w:rsidP="00025AAC">
            <w:pPr>
              <w:keepLines/>
              <w:jc w:val="center"/>
              <w:rPr>
                <w:rFonts w:ascii="Arial Narrow" w:hAnsi="Arial Narrow"/>
                <w:i/>
                <w:iCs/>
                <w:kern w:val="2"/>
                <w:sz w:val="20"/>
                <w:szCs w:val="20"/>
              </w:rPr>
            </w:pPr>
            <w:r w:rsidRPr="00C5239F">
              <w:rPr>
                <w:rFonts w:ascii="Arial Narrow" w:hAnsi="Arial Narrow"/>
                <w:i/>
                <w:iCs/>
                <w:kern w:val="2"/>
                <w:sz w:val="20"/>
                <w:szCs w:val="20"/>
              </w:rPr>
              <w:t>0</w:t>
            </w:r>
          </w:p>
        </w:tc>
        <w:tc>
          <w:tcPr>
            <w:tcW w:w="1702" w:type="dxa"/>
            <w:vMerge/>
            <w:tcBorders>
              <w:top w:val="single" w:sz="4" w:space="0" w:color="auto"/>
              <w:left w:val="single" w:sz="4" w:space="0" w:color="auto"/>
              <w:bottom w:val="single" w:sz="4" w:space="0" w:color="auto"/>
              <w:right w:val="single" w:sz="4" w:space="0" w:color="auto"/>
            </w:tcBorders>
            <w:vAlign w:val="center"/>
          </w:tcPr>
          <w:p w14:paraId="5945AE4B" w14:textId="77777777" w:rsidR="00500AD1" w:rsidRDefault="00500AD1" w:rsidP="00025AAC">
            <w:pPr>
              <w:keepLines/>
              <w:jc w:val="center"/>
              <w:rPr>
                <w:rFonts w:ascii="Arial Narrow" w:hAnsi="Arial Narrow"/>
                <w:kern w:val="2"/>
                <w:sz w:val="20"/>
                <w:szCs w:val="20"/>
              </w:rPr>
            </w:pPr>
          </w:p>
        </w:tc>
      </w:tr>
      <w:tr w:rsidR="00500AD1" w14:paraId="3019EB71" w14:textId="77777777" w:rsidTr="00F727E6">
        <w:trPr>
          <w:cantSplit/>
          <w:trHeight w:val="20"/>
        </w:trPr>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D5C18" w14:textId="77777777" w:rsidR="00500AD1" w:rsidRPr="00D2035C" w:rsidRDefault="00500AD1" w:rsidP="00025AAC">
            <w:pPr>
              <w:keepLines/>
              <w:rPr>
                <w:rFonts w:ascii="Arial Narrow" w:hAnsi="Arial Narrow"/>
                <w:kern w:val="2"/>
                <w:sz w:val="20"/>
                <w:szCs w:val="20"/>
              </w:rPr>
            </w:pPr>
            <w:proofErr w:type="spellStart"/>
            <w:r w:rsidRPr="0096733C">
              <w:rPr>
                <w:rFonts w:ascii="Arial Narrow" w:hAnsi="Arial Narrow"/>
                <w:kern w:val="2"/>
                <w:sz w:val="20"/>
                <w:szCs w:val="20"/>
              </w:rPr>
              <w:t>pegvaliase</w:t>
            </w:r>
            <w:proofErr w:type="spellEnd"/>
            <w:r w:rsidRPr="0096733C">
              <w:rPr>
                <w:rFonts w:ascii="Arial Narrow" w:hAnsi="Arial Narrow"/>
                <w:kern w:val="2"/>
                <w:sz w:val="20"/>
                <w:szCs w:val="20"/>
              </w:rPr>
              <w:t xml:space="preserve"> 20 mg/mL injection, 10 x 1 mL syringe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F2F1BE"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 xml:space="preserve">NEW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0C483" w14:textId="77777777" w:rsidR="00500AD1" w:rsidRDefault="00500AD1" w:rsidP="00025AAC">
            <w:pPr>
              <w:keepLines/>
              <w:jc w:val="center"/>
              <w:rPr>
                <w:rFonts w:ascii="Arial Narrow" w:hAnsi="Arial Narrow"/>
                <w:kern w:val="2"/>
                <w:sz w:val="20"/>
                <w:szCs w:val="20"/>
              </w:rPr>
            </w:pPr>
            <w:r w:rsidRPr="00C5239F">
              <w:rPr>
                <w:rFonts w:ascii="Arial Narrow" w:hAnsi="Arial Narrow"/>
                <w:strike/>
                <w:kern w:val="2"/>
                <w:sz w:val="20"/>
                <w:szCs w:val="20"/>
              </w:rPr>
              <w:t>1</w:t>
            </w:r>
            <w:r>
              <w:rPr>
                <w:rFonts w:ascii="Arial Narrow" w:hAnsi="Arial Narrow"/>
                <w:kern w:val="2"/>
                <w:sz w:val="20"/>
                <w:szCs w:val="20"/>
              </w:rPr>
              <w:t xml:space="preserve"> </w:t>
            </w:r>
            <w:r w:rsidRPr="00C5239F">
              <w:rPr>
                <w:rFonts w:ascii="Arial Narrow" w:hAnsi="Arial Narrow"/>
                <w:i/>
                <w:iCs/>
                <w:kern w:val="2"/>
                <w:sz w:val="20"/>
                <w:szCs w:val="20"/>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FC229" w14:textId="77777777" w:rsidR="00500AD1" w:rsidRDefault="00500AD1" w:rsidP="00025AAC">
            <w:pPr>
              <w:keepLines/>
              <w:jc w:val="center"/>
              <w:rPr>
                <w:rFonts w:ascii="Arial Narrow" w:hAnsi="Arial Narrow"/>
                <w:i/>
                <w:iCs/>
                <w:kern w:val="2"/>
                <w:sz w:val="20"/>
                <w:szCs w:val="20"/>
              </w:rPr>
            </w:pPr>
            <w:r w:rsidRPr="00C5239F">
              <w:rPr>
                <w:rFonts w:ascii="Arial Narrow" w:hAnsi="Arial Narrow"/>
                <w:strike/>
                <w:kern w:val="2"/>
                <w:sz w:val="20"/>
                <w:szCs w:val="20"/>
              </w:rPr>
              <w:t>1</w:t>
            </w:r>
            <w:r>
              <w:rPr>
                <w:rFonts w:ascii="Arial Narrow" w:hAnsi="Arial Narrow"/>
                <w:kern w:val="2"/>
                <w:sz w:val="20"/>
                <w:szCs w:val="20"/>
              </w:rPr>
              <w:t xml:space="preserve"> </w:t>
            </w:r>
            <w:r w:rsidRPr="00C5239F">
              <w:rPr>
                <w:rFonts w:ascii="Arial Narrow" w:hAnsi="Arial Narrow"/>
                <w:i/>
                <w:iCs/>
                <w:kern w:val="2"/>
                <w:sz w:val="20"/>
                <w:szCs w:val="20"/>
              </w:rPr>
              <w:t>90</w:t>
            </w:r>
          </w:p>
        </w:tc>
        <w:tc>
          <w:tcPr>
            <w:tcW w:w="708"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4F8804D" w14:textId="77777777" w:rsidR="00500AD1" w:rsidRPr="00C5239F" w:rsidRDefault="00500AD1" w:rsidP="00025AAC">
            <w:pPr>
              <w:keepLines/>
              <w:jc w:val="center"/>
              <w:rPr>
                <w:rFonts w:ascii="Arial Narrow" w:hAnsi="Arial Narrow"/>
                <w:i/>
                <w:iCs/>
                <w:kern w:val="2"/>
                <w:sz w:val="20"/>
                <w:szCs w:val="20"/>
              </w:rPr>
            </w:pPr>
            <w:r w:rsidRPr="00C5239F">
              <w:rPr>
                <w:rFonts w:ascii="Arial Narrow" w:hAnsi="Arial Narrow"/>
                <w:i/>
                <w:iCs/>
                <w:kern w:val="2"/>
                <w:sz w:val="20"/>
                <w:szCs w:val="20"/>
              </w:rPr>
              <w:t>5</w:t>
            </w:r>
          </w:p>
        </w:tc>
        <w:tc>
          <w:tcPr>
            <w:tcW w:w="1702" w:type="dxa"/>
            <w:vMerge/>
            <w:tcBorders>
              <w:top w:val="single" w:sz="4" w:space="0" w:color="auto"/>
              <w:left w:val="single" w:sz="4" w:space="0" w:color="auto"/>
              <w:bottom w:val="single" w:sz="4" w:space="0" w:color="auto"/>
              <w:right w:val="single" w:sz="4" w:space="0" w:color="auto"/>
            </w:tcBorders>
            <w:vAlign w:val="center"/>
          </w:tcPr>
          <w:p w14:paraId="0C5EE8E9" w14:textId="77777777" w:rsidR="00500AD1" w:rsidRDefault="00500AD1" w:rsidP="00025AAC">
            <w:pPr>
              <w:keepLines/>
              <w:jc w:val="center"/>
              <w:rPr>
                <w:rFonts w:ascii="Arial Narrow" w:hAnsi="Arial Narrow"/>
                <w:kern w:val="2"/>
                <w:sz w:val="20"/>
                <w:szCs w:val="20"/>
              </w:rPr>
            </w:pPr>
          </w:p>
        </w:tc>
      </w:tr>
      <w:tr w:rsidR="00500AD1" w14:paraId="1AB77C74" w14:textId="77777777" w:rsidTr="00F727E6">
        <w:trPr>
          <w:trHeight w:val="20"/>
        </w:trPr>
        <w:tc>
          <w:tcPr>
            <w:tcW w:w="9066" w:type="dxa"/>
            <w:gridSpan w:val="6"/>
            <w:tcBorders>
              <w:top w:val="single" w:sz="4" w:space="0" w:color="auto"/>
              <w:left w:val="single" w:sz="4" w:space="0" w:color="auto"/>
              <w:bottom w:val="single" w:sz="4" w:space="0" w:color="auto"/>
              <w:right w:val="single" w:sz="4" w:space="0" w:color="auto"/>
            </w:tcBorders>
            <w:tcMar>
              <w:top w:w="15" w:type="dxa"/>
              <w:bottom w:w="15" w:type="dxa"/>
            </w:tcMar>
            <w:vAlign w:val="center"/>
          </w:tcPr>
          <w:p w14:paraId="6D6A1BC0" w14:textId="77777777" w:rsidR="00500AD1" w:rsidRDefault="00500AD1" w:rsidP="00025AAC">
            <w:pPr>
              <w:rPr>
                <w:rFonts w:ascii="Arial Narrow" w:hAnsi="Arial Narrow"/>
                <w:kern w:val="2"/>
                <w:sz w:val="20"/>
                <w:szCs w:val="20"/>
              </w:rPr>
            </w:pPr>
          </w:p>
        </w:tc>
      </w:tr>
      <w:tr w:rsidR="00500AD1" w14:paraId="630B6234" w14:textId="77777777" w:rsidTr="00F727E6">
        <w:trPr>
          <w:trHeight w:val="20"/>
        </w:trPr>
        <w:tc>
          <w:tcPr>
            <w:tcW w:w="9066" w:type="dxa"/>
            <w:gridSpan w:val="6"/>
            <w:tcBorders>
              <w:top w:val="single" w:sz="4" w:space="0" w:color="auto"/>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C2E309B" w14:textId="77777777" w:rsidR="00500AD1" w:rsidRDefault="00500AD1" w:rsidP="00025AAC">
            <w:pPr>
              <w:keepLines/>
              <w:jc w:val="left"/>
              <w:rPr>
                <w:rFonts w:ascii="Arial Narrow" w:hAnsi="Arial Narrow"/>
                <w:kern w:val="2"/>
                <w:sz w:val="20"/>
                <w:szCs w:val="20"/>
              </w:rPr>
            </w:pPr>
            <w:r>
              <w:rPr>
                <w:rFonts w:ascii="Arial Narrow" w:hAnsi="Arial Narrow"/>
                <w:b/>
                <w:kern w:val="2"/>
                <w:sz w:val="20"/>
                <w:szCs w:val="20"/>
              </w:rPr>
              <w:t>Category / Program:</w:t>
            </w:r>
            <w:r>
              <w:rPr>
                <w:rFonts w:ascii="Arial Narrow" w:hAnsi="Arial Narrow"/>
                <w:kern w:val="2"/>
                <w:sz w:val="20"/>
                <w:szCs w:val="20"/>
              </w:rPr>
              <w:t xml:space="preserve"> </w:t>
            </w:r>
            <w:r>
              <w:fldChar w:fldCharType="begin">
                <w:ffData>
                  <w:name w:val="Bookmark"/>
                  <w:enabled/>
                  <w:calcOnExit w:val="0"/>
                  <w:checkBox>
                    <w:sizeAuto/>
                    <w:default w:val="0"/>
                    <w:checked/>
                  </w:checkBox>
                </w:ffData>
              </w:fldChar>
            </w:r>
            <w:r>
              <w:rPr>
                <w:rFonts w:ascii="Arial Narrow" w:hAnsi="Arial Narrow"/>
                <w:kern w:val="2"/>
                <w:sz w:val="20"/>
                <w:szCs w:val="20"/>
              </w:rPr>
              <w:instrText xml:space="preserve"> FORMCHECKBOX </w:instrText>
            </w:r>
            <w:r>
              <w:rPr>
                <w:rFonts w:ascii="Arial Narrow" w:hAnsi="Arial Narrow"/>
                <w:kern w:val="2"/>
                <w:sz w:val="20"/>
                <w:szCs w:val="20"/>
              </w:rPr>
            </w:r>
            <w:r>
              <w:rPr>
                <w:rFonts w:ascii="Arial Narrow" w:hAnsi="Arial Narrow"/>
                <w:kern w:val="2"/>
                <w:sz w:val="20"/>
                <w:szCs w:val="20"/>
              </w:rPr>
              <w:fldChar w:fldCharType="separate"/>
            </w:r>
            <w:r>
              <w:rPr>
                <w:rFonts w:ascii="Arial Narrow" w:hAnsi="Arial Narrow"/>
                <w:kern w:val="2"/>
                <w:sz w:val="20"/>
                <w:szCs w:val="20"/>
              </w:rPr>
              <w:fldChar w:fldCharType="end"/>
            </w:r>
            <w:r>
              <w:rPr>
                <w:rFonts w:ascii="Arial Narrow" w:hAnsi="Arial Narrow"/>
                <w:kern w:val="2"/>
                <w:sz w:val="20"/>
                <w:szCs w:val="20"/>
              </w:rPr>
              <w:t xml:space="preserve"> </w:t>
            </w:r>
            <w:r>
              <w:rPr>
                <w:rFonts w:ascii="Arial Narrow" w:eastAsia="Calibri" w:hAnsi="Arial Narrow"/>
                <w:sz w:val="20"/>
                <w:szCs w:val="20"/>
              </w:rPr>
              <w:t>GENERAL - General Schedule (Code GE)</w:t>
            </w:r>
          </w:p>
        </w:tc>
      </w:tr>
      <w:tr w:rsidR="00500AD1" w14:paraId="4E2FFC3D"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46C35210" w14:textId="77777777" w:rsidR="00500AD1" w:rsidRDefault="00500AD1" w:rsidP="00025AAC">
            <w:pPr>
              <w:keepLines/>
              <w:rPr>
                <w:rFonts w:ascii="Arial Narrow" w:hAnsi="Arial Narrow"/>
                <w:b/>
                <w:kern w:val="2"/>
                <w:sz w:val="20"/>
                <w:szCs w:val="20"/>
              </w:rPr>
            </w:pPr>
            <w:r>
              <w:rPr>
                <w:rFonts w:ascii="Arial Narrow" w:hAnsi="Arial Narrow"/>
                <w:b/>
                <w:kern w:val="2"/>
                <w:sz w:val="20"/>
                <w:szCs w:val="20"/>
              </w:rPr>
              <w:t xml:space="preserve">Prescriber type: </w:t>
            </w:r>
            <w:r>
              <w:fldChar w:fldCharType="begin">
                <w:ffData>
                  <w:name w:val="Bookmark Copy 1"/>
                  <w:enabled/>
                  <w:calcOnExit w:val="0"/>
                  <w:checkBox>
                    <w:sizeAuto/>
                    <w:default w:val="0"/>
                    <w:checked/>
                  </w:checkBox>
                </w:ffData>
              </w:fldChar>
            </w:r>
            <w:r>
              <w:rPr>
                <w:rFonts w:ascii="Arial Narrow" w:hAnsi="Arial Narrow"/>
                <w:b/>
                <w:kern w:val="2"/>
                <w:sz w:val="20"/>
                <w:szCs w:val="20"/>
              </w:rPr>
              <w:instrText xml:space="preserve"> FORMCHECKBOX </w:instrText>
            </w:r>
            <w:r>
              <w:rPr>
                <w:rFonts w:ascii="Arial Narrow" w:hAnsi="Arial Narrow"/>
                <w:b/>
                <w:kern w:val="2"/>
                <w:sz w:val="20"/>
                <w:szCs w:val="20"/>
              </w:rPr>
            </w:r>
            <w:r>
              <w:rPr>
                <w:rFonts w:ascii="Arial Narrow" w:hAnsi="Arial Narrow"/>
                <w:b/>
                <w:kern w:val="2"/>
                <w:sz w:val="20"/>
                <w:szCs w:val="20"/>
              </w:rPr>
              <w:fldChar w:fldCharType="separate"/>
            </w:r>
            <w:r>
              <w:rPr>
                <w:rFonts w:ascii="Arial Narrow" w:hAnsi="Arial Narrow"/>
                <w:b/>
                <w:kern w:val="2"/>
                <w:sz w:val="20"/>
                <w:szCs w:val="20"/>
              </w:rPr>
              <w:fldChar w:fldCharType="end"/>
            </w:r>
            <w:r>
              <w:rPr>
                <w:rFonts w:ascii="Arial Narrow" w:hAnsi="Arial Narrow"/>
                <w:kern w:val="2"/>
                <w:sz w:val="20"/>
                <w:szCs w:val="20"/>
              </w:rPr>
              <w:t xml:space="preserve"> Medical Practitioners </w:t>
            </w:r>
            <w:r w:rsidRPr="006B6CBB">
              <w:rPr>
                <w:i/>
                <w:iCs/>
              </w:rPr>
              <w:fldChar w:fldCharType="begin">
                <w:ffData>
                  <w:name w:val="Bookmark Copy 6"/>
                  <w:enabled/>
                  <w:calcOnExit w:val="0"/>
                  <w:checkBox>
                    <w:sizeAuto/>
                    <w:default w:val="0"/>
                    <w:checked/>
                  </w:checkBox>
                </w:ffData>
              </w:fldChar>
            </w:r>
            <w:r w:rsidRPr="008F151A">
              <w:rPr>
                <w:rFonts w:ascii="Arial Narrow" w:hAnsi="Arial Narrow"/>
                <w:i/>
                <w:iCs/>
                <w:kern w:val="2"/>
                <w:sz w:val="20"/>
                <w:szCs w:val="20"/>
              </w:rPr>
              <w:instrText xml:space="preserve"> FORMCHECKBOX </w:instrText>
            </w:r>
            <w:r w:rsidRPr="006B6CBB">
              <w:rPr>
                <w:rFonts w:ascii="Arial Narrow" w:hAnsi="Arial Narrow"/>
                <w:i/>
                <w:iCs/>
                <w:kern w:val="2"/>
                <w:sz w:val="20"/>
                <w:szCs w:val="20"/>
              </w:rPr>
            </w:r>
            <w:r w:rsidRPr="006B6CBB">
              <w:rPr>
                <w:rFonts w:ascii="Arial Narrow" w:hAnsi="Arial Narrow"/>
                <w:i/>
                <w:iCs/>
                <w:kern w:val="2"/>
                <w:sz w:val="20"/>
                <w:szCs w:val="20"/>
              </w:rPr>
              <w:fldChar w:fldCharType="separate"/>
            </w:r>
            <w:r w:rsidRPr="006B6CBB">
              <w:rPr>
                <w:rFonts w:ascii="Arial Narrow" w:hAnsi="Arial Narrow"/>
                <w:i/>
                <w:iCs/>
                <w:kern w:val="2"/>
                <w:sz w:val="20"/>
                <w:szCs w:val="20"/>
              </w:rPr>
              <w:fldChar w:fldCharType="end"/>
            </w:r>
            <w:r w:rsidRPr="006B6CBB">
              <w:rPr>
                <w:rFonts w:ascii="Arial Narrow" w:hAnsi="Arial Narrow"/>
                <w:i/>
                <w:iCs/>
                <w:kern w:val="2"/>
                <w:sz w:val="20"/>
                <w:szCs w:val="20"/>
              </w:rPr>
              <w:t xml:space="preserve"> Nurse Practitioners</w:t>
            </w:r>
          </w:p>
        </w:tc>
      </w:tr>
      <w:tr w:rsidR="00500AD1" w14:paraId="0C096192"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21EC947E" w14:textId="77777777" w:rsidR="00500AD1" w:rsidRDefault="00500AD1" w:rsidP="00025AAC">
            <w:pPr>
              <w:keepLines/>
              <w:jc w:val="left"/>
              <w:rPr>
                <w:rFonts w:ascii="Arial Narrow" w:hAnsi="Arial Narrow"/>
                <w:kern w:val="2"/>
                <w:sz w:val="20"/>
                <w:szCs w:val="20"/>
              </w:rPr>
            </w:pPr>
            <w:r>
              <w:rPr>
                <w:rFonts w:ascii="Arial Narrow" w:hAnsi="Arial Narrow"/>
                <w:b/>
                <w:kern w:val="2"/>
                <w:sz w:val="20"/>
                <w:szCs w:val="20"/>
              </w:rPr>
              <w:t xml:space="preserve">Benefit type: </w:t>
            </w:r>
            <w:r>
              <w:fldChar w:fldCharType="begin">
                <w:ffData>
                  <w:name w:val="Bookmark Copy 3"/>
                  <w:enabled/>
                  <w:calcOnExit w:val="0"/>
                  <w:checkBox>
                    <w:sizeAuto/>
                    <w:default w:val="0"/>
                    <w:checked/>
                  </w:checkBox>
                </w:ffData>
              </w:fldChar>
            </w:r>
            <w:r>
              <w:rPr>
                <w:rFonts w:ascii="Arial Narrow" w:hAnsi="Arial Narrow"/>
                <w:b/>
                <w:kern w:val="2"/>
                <w:sz w:val="20"/>
                <w:szCs w:val="20"/>
              </w:rPr>
              <w:instrText xml:space="preserve"> FORMCHECKBOX </w:instrText>
            </w:r>
            <w:r>
              <w:rPr>
                <w:rFonts w:ascii="Arial Narrow" w:hAnsi="Arial Narrow"/>
                <w:b/>
                <w:kern w:val="2"/>
                <w:sz w:val="20"/>
                <w:szCs w:val="20"/>
              </w:rPr>
            </w:r>
            <w:r>
              <w:rPr>
                <w:rFonts w:ascii="Arial Narrow" w:hAnsi="Arial Narrow"/>
                <w:b/>
                <w:kern w:val="2"/>
                <w:sz w:val="20"/>
                <w:szCs w:val="20"/>
              </w:rPr>
              <w:fldChar w:fldCharType="separate"/>
            </w:r>
            <w:r>
              <w:rPr>
                <w:rFonts w:ascii="Arial Narrow" w:hAnsi="Arial Narrow"/>
                <w:b/>
                <w:kern w:val="2"/>
                <w:sz w:val="20"/>
                <w:szCs w:val="20"/>
              </w:rPr>
              <w:fldChar w:fldCharType="end"/>
            </w:r>
            <w:r>
              <w:rPr>
                <w:rFonts w:ascii="Arial Narrow" w:hAnsi="Arial Narrow"/>
                <w:kern w:val="2"/>
                <w:sz w:val="20"/>
                <w:szCs w:val="20"/>
              </w:rPr>
              <w:t xml:space="preserve"> </w:t>
            </w:r>
            <w:r>
              <w:rPr>
                <w:rFonts w:ascii="Arial Narrow" w:eastAsia="Calibri" w:hAnsi="Arial Narrow"/>
                <w:kern w:val="2"/>
                <w:sz w:val="20"/>
                <w:szCs w:val="20"/>
              </w:rPr>
              <w:t xml:space="preserve">Authority Required (Telephone/ Online PBS Authorities System) </w:t>
            </w:r>
          </w:p>
        </w:tc>
      </w:tr>
      <w:tr w:rsidR="00500AD1" w14:paraId="5757C9FD" w14:textId="77777777" w:rsidTr="63B97896">
        <w:trPr>
          <w:trHeight w:val="10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5EF0CF91" w14:textId="16BAA216" w:rsidR="00500AD1" w:rsidRDefault="00500AD1" w:rsidP="00025AAC">
            <w:pPr>
              <w:pStyle w:val="pf0"/>
              <w:spacing w:beforeAutospacing="0" w:afterAutospacing="0" w:line="257" w:lineRule="auto"/>
              <w:rPr>
                <w:rFonts w:ascii="Arial Narrow" w:hAnsi="Arial Narrow" w:cs="Arial"/>
                <w:b/>
                <w:kern w:val="2"/>
                <w:sz w:val="20"/>
                <w:szCs w:val="20"/>
                <w:lang w:eastAsia="en-US"/>
                <w14:ligatures w14:val="standardContextual"/>
              </w:rPr>
            </w:pPr>
            <w:r>
              <w:rPr>
                <w:rFonts w:ascii="Arial Narrow" w:hAnsi="Arial Narrow" w:cs="Arial"/>
                <w:b/>
                <w:kern w:val="2"/>
                <w:sz w:val="20"/>
                <w:szCs w:val="20"/>
                <w:lang w:eastAsia="en-US"/>
                <w14:ligatures w14:val="standardContextual"/>
              </w:rPr>
              <w:t>Prescribing rule level:</w:t>
            </w:r>
            <w:r w:rsidR="00025AAC">
              <w:rPr>
                <w:rFonts w:ascii="Arial Narrow" w:hAnsi="Arial Narrow" w:cs="Arial"/>
                <w:b/>
                <w:kern w:val="2"/>
                <w:sz w:val="20"/>
                <w:szCs w:val="20"/>
                <w:lang w:eastAsia="en-US"/>
                <w14:ligatures w14:val="standardContextual"/>
              </w:rPr>
              <w:t xml:space="preserve"> </w:t>
            </w:r>
          </w:p>
        </w:tc>
      </w:tr>
      <w:tr w:rsidR="00500AD1" w:rsidRPr="00677F18" w14:paraId="2D6597DF" w14:textId="77777777" w:rsidTr="63B97896">
        <w:trPr>
          <w:trHeight w:val="10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5DECC05B" w14:textId="77777777" w:rsidR="00500AD1" w:rsidRPr="00662A78" w:rsidRDefault="00500AD1" w:rsidP="00025AAC">
            <w:pPr>
              <w:rPr>
                <w:rFonts w:ascii="Arial Narrow" w:hAnsi="Arial Narrow"/>
                <w:b/>
                <w:bCs/>
                <w:color w:val="333333"/>
                <w:kern w:val="2"/>
                <w:sz w:val="20"/>
                <w:szCs w:val="20"/>
              </w:rPr>
            </w:pPr>
            <w:r w:rsidRPr="00662A78">
              <w:rPr>
                <w:rFonts w:ascii="Arial Narrow" w:hAnsi="Arial Narrow"/>
                <w:b/>
                <w:bCs/>
                <w:color w:val="333333"/>
                <w:kern w:val="2"/>
                <w:sz w:val="20"/>
                <w:szCs w:val="20"/>
              </w:rPr>
              <w:t xml:space="preserve">Administrative Advice: </w:t>
            </w:r>
          </w:p>
          <w:p w14:paraId="5E9C4DE8" w14:textId="77777777" w:rsidR="00500AD1" w:rsidRPr="00662A78" w:rsidRDefault="00500AD1" w:rsidP="00025AAC">
            <w:pPr>
              <w:pStyle w:val="pf0"/>
              <w:spacing w:beforeAutospacing="0" w:afterAutospacing="0" w:line="257" w:lineRule="auto"/>
              <w:rPr>
                <w:rFonts w:ascii="Arial Narrow" w:hAnsi="Arial Narrow" w:cs="Arial"/>
                <w:kern w:val="2"/>
                <w:sz w:val="20"/>
                <w:szCs w:val="20"/>
                <w:lang w:eastAsia="en-US"/>
                <w14:ligatures w14:val="standardContextual"/>
              </w:rPr>
            </w:pPr>
            <w:r w:rsidRPr="00662A78">
              <w:rPr>
                <w:rFonts w:ascii="Arial Narrow" w:hAnsi="Arial Narrow" w:cs="Arial"/>
                <w:bCs/>
                <w:kern w:val="2"/>
                <w:sz w:val="20"/>
                <w:szCs w:val="20"/>
                <w:lang w:eastAsia="en-US"/>
                <w14:ligatures w14:val="standardContextual"/>
              </w:rPr>
              <w:t>No increase in the maximum quantity or number of units may be authorised.</w:t>
            </w:r>
          </w:p>
        </w:tc>
      </w:tr>
      <w:tr w:rsidR="00500AD1" w:rsidRPr="00677F18" w14:paraId="3AC1893C" w14:textId="77777777" w:rsidTr="63B97896">
        <w:trPr>
          <w:trHeight w:val="10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2D8010A4" w14:textId="77777777" w:rsidR="00500AD1" w:rsidRPr="00662A78" w:rsidRDefault="00500AD1" w:rsidP="00025AAC">
            <w:pPr>
              <w:rPr>
                <w:rFonts w:ascii="Arial Narrow" w:hAnsi="Arial Narrow"/>
                <w:b/>
                <w:bCs/>
                <w:i/>
                <w:iCs/>
                <w:color w:val="333333"/>
                <w:kern w:val="2"/>
                <w:sz w:val="20"/>
                <w:szCs w:val="20"/>
              </w:rPr>
            </w:pPr>
            <w:r w:rsidRPr="00662A78">
              <w:rPr>
                <w:rFonts w:ascii="Arial Narrow" w:hAnsi="Arial Narrow"/>
                <w:b/>
                <w:bCs/>
                <w:i/>
                <w:iCs/>
                <w:color w:val="333333"/>
                <w:kern w:val="2"/>
                <w:sz w:val="20"/>
                <w:szCs w:val="20"/>
              </w:rPr>
              <w:t xml:space="preserve">Administrative Advice: </w:t>
            </w:r>
          </w:p>
          <w:p w14:paraId="250B3A1F" w14:textId="77777777" w:rsidR="00500AD1" w:rsidRPr="00662A78" w:rsidRDefault="00500AD1" w:rsidP="00025AAC">
            <w:pPr>
              <w:pStyle w:val="pf0"/>
              <w:spacing w:beforeAutospacing="0" w:afterAutospacing="0" w:line="257" w:lineRule="auto"/>
              <w:rPr>
                <w:rFonts w:ascii="Arial Narrow" w:hAnsi="Arial Narrow" w:cs="Arial"/>
                <w:i/>
                <w:iCs/>
                <w:kern w:val="2"/>
                <w:sz w:val="20"/>
                <w:szCs w:val="20"/>
                <w:lang w:eastAsia="en-US"/>
                <w14:ligatures w14:val="standardContextual"/>
              </w:rPr>
            </w:pPr>
            <w:r w:rsidRPr="00662A78">
              <w:rPr>
                <w:rFonts w:ascii="Arial Narrow" w:hAnsi="Arial Narrow" w:cs="Arial"/>
                <w:bCs/>
                <w:i/>
                <w:iCs/>
                <w:kern w:val="2"/>
                <w:sz w:val="20"/>
                <w:szCs w:val="20"/>
                <w:lang w:eastAsia="en-US"/>
                <w14:ligatures w14:val="standardContextual"/>
              </w:rPr>
              <w:lastRenderedPageBreak/>
              <w:t>No increase in the maximum number of repeats may be authorised.</w:t>
            </w:r>
          </w:p>
        </w:tc>
      </w:tr>
      <w:tr w:rsidR="00500AD1" w14:paraId="2B727BD2"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2DBA91B3" w14:textId="77777777" w:rsidR="00500AD1" w:rsidRPr="00662A78" w:rsidRDefault="00500AD1" w:rsidP="00025AAC">
            <w:pPr>
              <w:rPr>
                <w:rFonts w:ascii="Arial Narrow" w:hAnsi="Arial Narrow"/>
                <w:b/>
                <w:bCs/>
                <w:color w:val="333333"/>
                <w:kern w:val="2"/>
                <w:sz w:val="20"/>
                <w:szCs w:val="20"/>
              </w:rPr>
            </w:pPr>
            <w:r w:rsidRPr="00662A78">
              <w:rPr>
                <w:rFonts w:ascii="Arial Narrow" w:hAnsi="Arial Narrow"/>
                <w:b/>
                <w:bCs/>
                <w:color w:val="333333"/>
                <w:kern w:val="2"/>
                <w:sz w:val="20"/>
                <w:szCs w:val="20"/>
              </w:rPr>
              <w:lastRenderedPageBreak/>
              <w:t xml:space="preserve">Administrative Advice: </w:t>
            </w:r>
          </w:p>
          <w:p w14:paraId="69743DC4" w14:textId="77777777" w:rsidR="00500AD1" w:rsidRPr="00662A78" w:rsidRDefault="00500AD1" w:rsidP="00025AAC">
            <w:pPr>
              <w:rPr>
                <w:rFonts w:ascii="Arial Narrow" w:hAnsi="Arial Narrow"/>
                <w:kern w:val="2"/>
                <w:sz w:val="20"/>
                <w:szCs w:val="20"/>
              </w:rPr>
            </w:pPr>
            <w:r w:rsidRPr="00662A78">
              <w:rPr>
                <w:rFonts w:ascii="Arial Narrow" w:hAnsi="Arial Narrow"/>
                <w:kern w:val="2"/>
                <w:sz w:val="20"/>
                <w:szCs w:val="20"/>
              </w:rPr>
              <w:t>Applications for authorisation under this restriction may be made in real time using the Online PBS Authorities system (see www.servicesaustralia.gov.au/HPOS) or by telephone by contacting Services Australia on 1800 888 333.</w:t>
            </w:r>
          </w:p>
        </w:tc>
      </w:tr>
      <w:tr w:rsidR="00500AD1" w:rsidRPr="00844B40" w14:paraId="4E24B501"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204E52E" w14:textId="77777777" w:rsidR="00500AD1" w:rsidRPr="00C5239F" w:rsidRDefault="00500AD1" w:rsidP="00025AAC">
            <w:pPr>
              <w:rPr>
                <w:rFonts w:ascii="Arial Narrow" w:hAnsi="Arial Narrow"/>
                <w:b/>
                <w:bCs/>
                <w:i/>
                <w:iCs/>
                <w:color w:val="000000" w:themeColor="text1"/>
                <w:kern w:val="2"/>
                <w:sz w:val="20"/>
                <w:szCs w:val="20"/>
              </w:rPr>
            </w:pPr>
            <w:r w:rsidRPr="00C5239F">
              <w:rPr>
                <w:rFonts w:ascii="Arial Narrow" w:hAnsi="Arial Narrow"/>
                <w:b/>
                <w:bCs/>
                <w:i/>
                <w:iCs/>
                <w:color w:val="000000" w:themeColor="text1"/>
                <w:kern w:val="2"/>
                <w:sz w:val="20"/>
                <w:szCs w:val="20"/>
              </w:rPr>
              <w:t>Caution:</w:t>
            </w:r>
          </w:p>
          <w:p w14:paraId="70D8F0E5" w14:textId="77777777" w:rsidR="00500AD1" w:rsidRDefault="00500AD1" w:rsidP="00025AAC">
            <w:pPr>
              <w:rPr>
                <w:rFonts w:ascii="Arial Narrow" w:hAnsi="Arial Narrow"/>
                <w:i/>
                <w:iCs/>
                <w:strike/>
                <w:color w:val="000000" w:themeColor="text1"/>
                <w:kern w:val="2"/>
                <w:sz w:val="20"/>
                <w:szCs w:val="20"/>
              </w:rPr>
            </w:pPr>
            <w:r w:rsidRPr="00662A78">
              <w:rPr>
                <w:rFonts w:ascii="Arial Narrow" w:hAnsi="Arial Narrow"/>
                <w:i/>
                <w:iCs/>
                <w:strike/>
                <w:color w:val="000000" w:themeColor="text1"/>
                <w:kern w:val="2"/>
                <w:sz w:val="20"/>
                <w:szCs w:val="20"/>
              </w:rPr>
              <w:t xml:space="preserve">Treatment with </w:t>
            </w:r>
            <w:proofErr w:type="spellStart"/>
            <w:r w:rsidRPr="00662A78">
              <w:rPr>
                <w:rFonts w:ascii="Arial Narrow" w:hAnsi="Arial Narrow"/>
                <w:i/>
                <w:iCs/>
                <w:strike/>
                <w:color w:val="000000" w:themeColor="text1"/>
                <w:kern w:val="2"/>
                <w:sz w:val="20"/>
                <w:szCs w:val="20"/>
              </w:rPr>
              <w:t>pegvaliase</w:t>
            </w:r>
            <w:proofErr w:type="spellEnd"/>
            <w:r w:rsidRPr="00662A78">
              <w:rPr>
                <w:rFonts w:ascii="Arial Narrow" w:hAnsi="Arial Narrow"/>
                <w:i/>
                <w:iCs/>
                <w:strike/>
                <w:color w:val="000000" w:themeColor="text1"/>
                <w:kern w:val="2"/>
                <w:sz w:val="20"/>
                <w:szCs w:val="20"/>
              </w:rPr>
              <w:t xml:space="preserve"> is associated with acute systemic hypersensitivity reactions. Patients should be instructed to recognise the signs and symptoms of acute systemic hypersensitivity reactions, in the proper emergency use of the adrenaline injection device, and the requirement to seek immediate medical care.</w:t>
            </w:r>
          </w:p>
          <w:p w14:paraId="4D9E8391" w14:textId="77777777" w:rsidR="00500AD1" w:rsidRPr="00662A78" w:rsidRDefault="00500AD1" w:rsidP="00025AAC">
            <w:pPr>
              <w:rPr>
                <w:rFonts w:ascii="Arial Narrow" w:hAnsi="Arial Narrow"/>
                <w:i/>
                <w:iCs/>
                <w:strike/>
                <w:color w:val="000000" w:themeColor="text1"/>
                <w:kern w:val="2"/>
                <w:sz w:val="20"/>
                <w:szCs w:val="20"/>
              </w:rPr>
            </w:pPr>
          </w:p>
          <w:p w14:paraId="552A2D9D" w14:textId="77777777" w:rsidR="00500AD1" w:rsidRPr="00C5239F" w:rsidRDefault="00500AD1" w:rsidP="00025AAC">
            <w:pPr>
              <w:rPr>
                <w:rFonts w:ascii="Arial Narrow" w:hAnsi="Arial Narrow"/>
                <w:i/>
                <w:iCs/>
                <w:color w:val="000000" w:themeColor="text1"/>
                <w:kern w:val="2"/>
                <w:sz w:val="20"/>
                <w:szCs w:val="20"/>
              </w:rPr>
            </w:pPr>
            <w:r w:rsidRPr="00C5239F">
              <w:rPr>
                <w:rFonts w:ascii="Arial Narrow" w:hAnsi="Arial Narrow"/>
                <w:i/>
                <w:iCs/>
                <w:color w:val="000000" w:themeColor="text1"/>
                <w:kern w:val="2"/>
                <w:sz w:val="20"/>
                <w:szCs w:val="20"/>
              </w:rPr>
              <w:t xml:space="preserve">Treatment with </w:t>
            </w:r>
            <w:proofErr w:type="spellStart"/>
            <w:r w:rsidRPr="00C5239F">
              <w:rPr>
                <w:rFonts w:ascii="Arial Narrow" w:hAnsi="Arial Narrow"/>
                <w:i/>
                <w:iCs/>
                <w:color w:val="000000" w:themeColor="text1"/>
                <w:kern w:val="2"/>
                <w:sz w:val="20"/>
                <w:szCs w:val="20"/>
              </w:rPr>
              <w:t>pegvaliase</w:t>
            </w:r>
            <w:proofErr w:type="spellEnd"/>
            <w:r w:rsidRPr="00C5239F">
              <w:rPr>
                <w:rFonts w:ascii="Arial Narrow" w:hAnsi="Arial Narrow"/>
                <w:i/>
                <w:iCs/>
                <w:color w:val="000000" w:themeColor="text1"/>
                <w:kern w:val="2"/>
                <w:sz w:val="20"/>
                <w:szCs w:val="20"/>
              </w:rPr>
              <w:t xml:space="preserve"> is associated with acute systemic hypersensitivity reactions. At first dose administration, patients should be monitored for at least 60 minutes at a medical facility capable of managing acute systemic hypersensitivity reactions. Patients should be prescribed an adrenaline auto-injector in the case of acute systemic hypersensitivity reactions and educated on how to recognise the signs and symptoms. Refer to the approved Therapeutic Goods Administration (TGA) Product Information for administration and monitoring requirements.</w:t>
            </w:r>
          </w:p>
        </w:tc>
      </w:tr>
      <w:tr w:rsidR="00500AD1" w:rsidRPr="00844B40" w14:paraId="5C23FADB"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7140C073" w14:textId="77777777" w:rsidR="00500AD1" w:rsidRPr="00C5239F" w:rsidRDefault="00500AD1" w:rsidP="00025AAC">
            <w:pPr>
              <w:rPr>
                <w:rFonts w:ascii="Arial Narrow" w:hAnsi="Arial Narrow"/>
                <w:b/>
                <w:bCs/>
                <w:i/>
                <w:iCs/>
                <w:color w:val="000000" w:themeColor="text1"/>
                <w:kern w:val="2"/>
                <w:sz w:val="20"/>
                <w:szCs w:val="20"/>
              </w:rPr>
            </w:pPr>
          </w:p>
        </w:tc>
      </w:tr>
      <w:tr w:rsidR="00500AD1" w14:paraId="30427F97"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B5B7FCB" w14:textId="77777777" w:rsidR="00500AD1" w:rsidRPr="008065E8" w:rsidRDefault="00500AD1" w:rsidP="00025AAC">
            <w:pPr>
              <w:rPr>
                <w:rFonts w:ascii="Arial Narrow" w:hAnsi="Arial Narrow"/>
                <w:b/>
                <w:bCs/>
                <w:color w:val="000000" w:themeColor="text1"/>
                <w:kern w:val="2"/>
                <w:sz w:val="20"/>
                <w:szCs w:val="20"/>
              </w:rPr>
            </w:pPr>
            <w:r w:rsidRPr="008065E8">
              <w:rPr>
                <w:rFonts w:ascii="Arial Narrow" w:hAnsi="Arial Narrow"/>
                <w:b/>
                <w:bCs/>
                <w:color w:val="000000" w:themeColor="text1"/>
                <w:kern w:val="2"/>
                <w:sz w:val="20"/>
                <w:szCs w:val="20"/>
              </w:rPr>
              <w:t xml:space="preserve">Restriction Summary [new1] / Treatment of Concept: [new1A] </w:t>
            </w:r>
          </w:p>
        </w:tc>
      </w:tr>
      <w:tr w:rsidR="00500AD1" w:rsidRPr="00237381" w14:paraId="35E17890"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2258C9D" w14:textId="77777777" w:rsidR="00500AD1" w:rsidRDefault="00500AD1" w:rsidP="00025AAC">
            <w:pPr>
              <w:rPr>
                <w:rFonts w:ascii="Arial Narrow" w:hAnsi="Arial Narrow"/>
                <w:b/>
                <w:bCs/>
                <w:color w:val="000000" w:themeColor="text1"/>
                <w:kern w:val="2"/>
                <w:sz w:val="20"/>
                <w:szCs w:val="20"/>
              </w:rPr>
            </w:pPr>
            <w:r w:rsidRPr="00F721E5">
              <w:rPr>
                <w:rFonts w:ascii="Arial Narrow" w:hAnsi="Arial Narrow"/>
                <w:b/>
                <w:bCs/>
                <w:color w:val="000000" w:themeColor="text1"/>
                <w:kern w:val="2"/>
                <w:sz w:val="20"/>
                <w:szCs w:val="20"/>
              </w:rPr>
              <w:t>Indication:</w:t>
            </w:r>
            <w:r>
              <w:rPr>
                <w:rFonts w:ascii="Arial Narrow" w:hAnsi="Arial Narrow"/>
                <w:b/>
                <w:bCs/>
                <w:color w:val="000000" w:themeColor="text1"/>
                <w:kern w:val="2"/>
                <w:sz w:val="20"/>
                <w:szCs w:val="20"/>
              </w:rPr>
              <w:t xml:space="preserve"> </w:t>
            </w:r>
          </w:p>
          <w:p w14:paraId="759024D2" w14:textId="77777777" w:rsidR="00500AD1" w:rsidRPr="00F721E5" w:rsidRDefault="00500AD1" w:rsidP="00025AAC">
            <w:pPr>
              <w:rPr>
                <w:rFonts w:ascii="Arial Narrow" w:hAnsi="Arial Narrow"/>
                <w:b/>
                <w:bCs/>
                <w:color w:val="000000" w:themeColor="text1"/>
                <w:kern w:val="2"/>
                <w:sz w:val="20"/>
                <w:szCs w:val="20"/>
              </w:rPr>
            </w:pPr>
            <w:proofErr w:type="spellStart"/>
            <w:r w:rsidRPr="00F721E5">
              <w:rPr>
                <w:rFonts w:ascii="Arial Narrow" w:hAnsi="Arial Narrow"/>
                <w:color w:val="000000" w:themeColor="text1"/>
                <w:kern w:val="2"/>
                <w:sz w:val="20"/>
                <w:szCs w:val="20"/>
              </w:rPr>
              <w:t>Hyperphenylalaninaemia</w:t>
            </w:r>
            <w:proofErr w:type="spellEnd"/>
            <w:r w:rsidRPr="00F721E5">
              <w:rPr>
                <w:rFonts w:ascii="Arial Narrow" w:hAnsi="Arial Narrow"/>
                <w:color w:val="000000" w:themeColor="text1"/>
                <w:kern w:val="2"/>
                <w:sz w:val="20"/>
                <w:szCs w:val="20"/>
              </w:rPr>
              <w:t xml:space="preserve"> (HPA) due to phenylketonuria (PKU)</w:t>
            </w:r>
          </w:p>
        </w:tc>
      </w:tr>
      <w:tr w:rsidR="00500AD1" w:rsidRPr="00237381" w14:paraId="1E571090"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25DB08DA" w14:textId="77777777" w:rsidR="00500AD1" w:rsidRDefault="00500AD1" w:rsidP="00025AAC">
            <w:pPr>
              <w:rPr>
                <w:rFonts w:ascii="Arial Narrow" w:hAnsi="Arial Narrow"/>
                <w:b/>
                <w:bCs/>
                <w:color w:val="000000" w:themeColor="text1"/>
                <w:kern w:val="2"/>
                <w:sz w:val="20"/>
                <w:szCs w:val="20"/>
              </w:rPr>
            </w:pPr>
            <w:r w:rsidRPr="00F721E5">
              <w:rPr>
                <w:rFonts w:ascii="Arial Narrow" w:hAnsi="Arial Narrow"/>
                <w:b/>
                <w:bCs/>
                <w:color w:val="000000" w:themeColor="text1"/>
                <w:kern w:val="2"/>
                <w:sz w:val="20"/>
                <w:szCs w:val="20"/>
              </w:rPr>
              <w:t xml:space="preserve">Treatment Phase: </w:t>
            </w:r>
          </w:p>
          <w:p w14:paraId="5EEF532F" w14:textId="77777777" w:rsidR="00500AD1" w:rsidRPr="00F721E5" w:rsidRDefault="00500AD1" w:rsidP="00025AAC">
            <w:pPr>
              <w:rPr>
                <w:rFonts w:ascii="Arial Narrow" w:hAnsi="Arial Narrow"/>
                <w:b/>
                <w:bCs/>
                <w:color w:val="000000" w:themeColor="text1"/>
                <w:kern w:val="2"/>
                <w:sz w:val="20"/>
                <w:szCs w:val="20"/>
              </w:rPr>
            </w:pPr>
            <w:r w:rsidRPr="00F721E5">
              <w:rPr>
                <w:rFonts w:ascii="Arial Narrow" w:hAnsi="Arial Narrow"/>
                <w:color w:val="000000" w:themeColor="text1"/>
                <w:kern w:val="2"/>
                <w:sz w:val="20"/>
                <w:szCs w:val="20"/>
              </w:rPr>
              <w:t>Initial treatment (Induction, titration, and maintenance treatment) within the first 24 months of therapy</w:t>
            </w:r>
          </w:p>
        </w:tc>
      </w:tr>
      <w:tr w:rsidR="00500AD1" w:rsidRPr="00237381" w14:paraId="169C4ED3"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D2319AA" w14:textId="77777777" w:rsidR="00500AD1" w:rsidRPr="001937CD" w:rsidRDefault="00500AD1" w:rsidP="00025AAC">
            <w:pPr>
              <w:rPr>
                <w:rFonts w:ascii="Arial Narrow" w:hAnsi="Arial Narrow"/>
                <w:b/>
                <w:bCs/>
                <w:i/>
                <w:iCs/>
                <w:strike/>
                <w:color w:val="000000" w:themeColor="text1"/>
                <w:kern w:val="2"/>
                <w:sz w:val="20"/>
                <w:szCs w:val="20"/>
              </w:rPr>
            </w:pPr>
            <w:r w:rsidRPr="001937CD">
              <w:rPr>
                <w:rFonts w:ascii="Arial Narrow" w:hAnsi="Arial Narrow"/>
                <w:b/>
                <w:bCs/>
                <w:i/>
                <w:iCs/>
                <w:strike/>
                <w:color w:val="000000" w:themeColor="text1"/>
                <w:kern w:val="2"/>
                <w:sz w:val="20"/>
                <w:szCs w:val="20"/>
              </w:rPr>
              <w:t>Clinical criteria:</w:t>
            </w:r>
          </w:p>
        </w:tc>
      </w:tr>
      <w:tr w:rsidR="00500AD1" w:rsidRPr="00237381" w14:paraId="6864579D"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588B3BF" w14:textId="77777777" w:rsidR="00500AD1" w:rsidRPr="001937CD" w:rsidRDefault="00500AD1" w:rsidP="00025AAC">
            <w:pPr>
              <w:pStyle w:val="TableText1"/>
              <w:rPr>
                <w:rFonts w:eastAsia="Times New Roman" w:cs="Times New Roman"/>
                <w:bCs w:val="0"/>
                <w:strike/>
              </w:rPr>
            </w:pPr>
            <w:r w:rsidRPr="001937CD">
              <w:rPr>
                <w:rFonts w:eastAsia="Times New Roman" w:cs="Times New Roman"/>
                <w:bCs w:val="0"/>
                <w:strike/>
              </w:rPr>
              <w:t>Patient must not have previously received PBS-subsidised treatment with this drug for this condition</w:t>
            </w:r>
          </w:p>
        </w:tc>
      </w:tr>
      <w:tr w:rsidR="00500AD1" w:rsidRPr="00237381" w14:paraId="5399DBAC"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C8208D6" w14:textId="77777777" w:rsidR="00500AD1" w:rsidRPr="005129B7" w:rsidRDefault="00500AD1" w:rsidP="00025AAC">
            <w:pPr>
              <w:pStyle w:val="TableText1"/>
              <w:rPr>
                <w:rFonts w:eastAsia="Times New Roman" w:cs="Times New Roman"/>
                <w:bCs w:val="0"/>
                <w:iCs w:val="0"/>
                <w:strike/>
              </w:rPr>
            </w:pPr>
            <w:r w:rsidRPr="005129B7">
              <w:rPr>
                <w:b/>
                <w:iCs w:val="0"/>
                <w:strike/>
                <w:color w:val="000000" w:themeColor="text1"/>
                <w:kern w:val="2"/>
                <w:szCs w:val="20"/>
              </w:rPr>
              <w:t>AND</w:t>
            </w:r>
          </w:p>
        </w:tc>
      </w:tr>
      <w:tr w:rsidR="00500AD1" w:rsidRPr="00237381" w14:paraId="55B339EC"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508D3EE8" w14:textId="77777777" w:rsidR="00500AD1" w:rsidRPr="003A5C0B" w:rsidRDefault="00500AD1" w:rsidP="00025AAC">
            <w:pPr>
              <w:rPr>
                <w:rFonts w:ascii="Arial Narrow" w:hAnsi="Arial Narrow"/>
                <w:b/>
                <w:bCs/>
                <w:color w:val="000000" w:themeColor="text1"/>
                <w:kern w:val="2"/>
                <w:sz w:val="20"/>
                <w:szCs w:val="20"/>
              </w:rPr>
            </w:pPr>
            <w:r w:rsidRPr="003A5C0B">
              <w:rPr>
                <w:rFonts w:ascii="Arial Narrow" w:hAnsi="Arial Narrow"/>
                <w:b/>
                <w:bCs/>
                <w:color w:val="000000" w:themeColor="text1"/>
                <w:kern w:val="2"/>
                <w:sz w:val="20"/>
                <w:szCs w:val="20"/>
              </w:rPr>
              <w:t>Clinical criteria:</w:t>
            </w:r>
          </w:p>
        </w:tc>
      </w:tr>
      <w:tr w:rsidR="00500AD1" w:rsidRPr="00237381" w14:paraId="49522A65"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57C2054C" w14:textId="77777777" w:rsidR="00500AD1" w:rsidRPr="003A5C0B" w:rsidRDefault="00500AD1" w:rsidP="00025AAC">
            <w:pPr>
              <w:rPr>
                <w:rFonts w:ascii="Arial Narrow" w:hAnsi="Arial Narrow"/>
                <w:color w:val="000000" w:themeColor="text1"/>
                <w:kern w:val="2"/>
                <w:sz w:val="20"/>
                <w:szCs w:val="20"/>
              </w:rPr>
            </w:pPr>
            <w:r w:rsidRPr="003A5C0B">
              <w:rPr>
                <w:rFonts w:ascii="Arial Narrow" w:hAnsi="Arial Narrow"/>
                <w:color w:val="000000" w:themeColor="text1"/>
                <w:kern w:val="2"/>
                <w:sz w:val="20"/>
                <w:szCs w:val="20"/>
              </w:rPr>
              <w:t xml:space="preserve">Patient must have a baseline blood phenylalanine level above 600 micromole per L </w:t>
            </w:r>
          </w:p>
        </w:tc>
      </w:tr>
      <w:tr w:rsidR="00500AD1" w:rsidRPr="00237381" w14:paraId="2F521563"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70315335" w14:textId="77777777" w:rsidR="00500AD1" w:rsidRPr="00844873" w:rsidRDefault="00500AD1" w:rsidP="00025AAC">
            <w:pPr>
              <w:rPr>
                <w:rFonts w:ascii="Arial Narrow" w:hAnsi="Arial Narrow"/>
                <w:b/>
                <w:bCs/>
                <w:color w:val="000000" w:themeColor="text1"/>
                <w:kern w:val="2"/>
                <w:sz w:val="20"/>
                <w:szCs w:val="20"/>
              </w:rPr>
            </w:pPr>
            <w:r w:rsidRPr="00844873">
              <w:rPr>
                <w:rFonts w:ascii="Arial Narrow" w:hAnsi="Arial Narrow"/>
                <w:b/>
                <w:bCs/>
                <w:color w:val="000000" w:themeColor="text1"/>
                <w:kern w:val="2"/>
                <w:sz w:val="20"/>
                <w:szCs w:val="20"/>
              </w:rPr>
              <w:t>AND</w:t>
            </w:r>
          </w:p>
        </w:tc>
      </w:tr>
      <w:tr w:rsidR="00500AD1" w:rsidRPr="00237381" w14:paraId="7861EBF5"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7B0B37A0" w14:textId="77777777" w:rsidR="00500AD1" w:rsidRPr="00844873" w:rsidRDefault="00500AD1" w:rsidP="00025AAC">
            <w:pPr>
              <w:rPr>
                <w:rFonts w:ascii="Arial Narrow" w:hAnsi="Arial Narrow"/>
                <w:b/>
                <w:bCs/>
                <w:color w:val="000000" w:themeColor="text1"/>
                <w:kern w:val="2"/>
                <w:sz w:val="20"/>
                <w:szCs w:val="20"/>
              </w:rPr>
            </w:pPr>
            <w:r w:rsidRPr="00844873">
              <w:rPr>
                <w:rFonts w:ascii="Arial Narrow" w:hAnsi="Arial Narrow"/>
                <w:b/>
                <w:bCs/>
                <w:color w:val="000000" w:themeColor="text1"/>
                <w:kern w:val="2"/>
                <w:sz w:val="20"/>
                <w:szCs w:val="20"/>
              </w:rPr>
              <w:t>Clinical criteria:</w:t>
            </w:r>
          </w:p>
        </w:tc>
      </w:tr>
      <w:tr w:rsidR="00500AD1" w:rsidRPr="00237381" w14:paraId="3ED84573"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5FA61980" w14:textId="77777777" w:rsidR="00500AD1" w:rsidRPr="00362F35" w:rsidRDefault="00500AD1" w:rsidP="00025AAC">
            <w:pPr>
              <w:pStyle w:val="TableText1"/>
              <w:rPr>
                <w:rFonts w:eastAsia="Times New Roman" w:cs="Times New Roman"/>
                <w:bCs w:val="0"/>
                <w:strike/>
              </w:rPr>
            </w:pPr>
            <w:r w:rsidRPr="00362F35">
              <w:rPr>
                <w:rFonts w:eastAsia="Times New Roman" w:cs="Times New Roman"/>
                <w:bCs w:val="0"/>
                <w:strike/>
              </w:rPr>
              <w:t xml:space="preserve">Patient must have failed to achieve an adequate response to a trial of </w:t>
            </w:r>
            <w:proofErr w:type="spellStart"/>
            <w:r w:rsidRPr="00362F35">
              <w:rPr>
                <w:rFonts w:eastAsia="Times New Roman" w:cs="Times New Roman"/>
                <w:bCs w:val="0"/>
                <w:strike/>
              </w:rPr>
              <w:t>sapropterin</w:t>
            </w:r>
            <w:proofErr w:type="spellEnd"/>
            <w:r w:rsidRPr="00362F35">
              <w:rPr>
                <w:rFonts w:eastAsia="Times New Roman" w:cs="Times New Roman"/>
                <w:bCs w:val="0"/>
                <w:strike/>
              </w:rPr>
              <w:t xml:space="preserve"> in accordance with the PBS restriction for </w:t>
            </w:r>
            <w:proofErr w:type="spellStart"/>
            <w:r w:rsidRPr="00362F35">
              <w:rPr>
                <w:rFonts w:eastAsia="Times New Roman" w:cs="Times New Roman"/>
                <w:bCs w:val="0"/>
                <w:strike/>
              </w:rPr>
              <w:t>sapropterin</w:t>
            </w:r>
            <w:proofErr w:type="spellEnd"/>
            <w:r w:rsidRPr="00362F35">
              <w:rPr>
                <w:rFonts w:eastAsia="Times New Roman" w:cs="Times New Roman"/>
                <w:bCs w:val="0"/>
                <w:strike/>
              </w:rPr>
              <w:t xml:space="preserve"> (‘Initial treatment - responsiveness testing’ and ‘First continuing treatment’) OR</w:t>
            </w:r>
          </w:p>
          <w:p w14:paraId="022D3B50" w14:textId="77777777" w:rsidR="00500AD1" w:rsidRDefault="00500AD1" w:rsidP="00025AAC">
            <w:pPr>
              <w:pStyle w:val="TableText1"/>
              <w:rPr>
                <w:rFonts w:eastAsia="Times New Roman" w:cs="Times New Roman"/>
                <w:bCs w:val="0"/>
              </w:rPr>
            </w:pPr>
          </w:p>
          <w:p w14:paraId="1C49308D" w14:textId="77777777" w:rsidR="00500AD1" w:rsidRPr="008065E8" w:rsidRDefault="00500AD1" w:rsidP="00025AAC">
            <w:pPr>
              <w:rPr>
                <w:rFonts w:ascii="Arial Narrow" w:hAnsi="Arial Narrow"/>
                <w:i/>
                <w:iCs/>
                <w:color w:val="000000" w:themeColor="text1"/>
                <w:kern w:val="2"/>
                <w:sz w:val="20"/>
                <w:szCs w:val="20"/>
              </w:rPr>
            </w:pPr>
            <w:r w:rsidRPr="008065E8">
              <w:rPr>
                <w:rFonts w:ascii="Arial Narrow" w:hAnsi="Arial Narrow"/>
                <w:i/>
                <w:iCs/>
                <w:color w:val="000000" w:themeColor="text1"/>
                <w:kern w:val="2"/>
                <w:sz w:val="20"/>
                <w:szCs w:val="20"/>
              </w:rPr>
              <w:t xml:space="preserve">Patient must not have achieved an adequate response to </w:t>
            </w:r>
            <w:proofErr w:type="spellStart"/>
            <w:r w:rsidRPr="008065E8">
              <w:rPr>
                <w:rFonts w:ascii="Arial Narrow" w:hAnsi="Arial Narrow"/>
                <w:i/>
                <w:iCs/>
                <w:color w:val="000000" w:themeColor="text1"/>
                <w:kern w:val="2"/>
                <w:sz w:val="20"/>
                <w:szCs w:val="20"/>
              </w:rPr>
              <w:t>sapropterin</w:t>
            </w:r>
            <w:proofErr w:type="spellEnd"/>
            <w:r w:rsidRPr="008065E8">
              <w:rPr>
                <w:rFonts w:ascii="Arial Narrow" w:hAnsi="Arial Narrow"/>
                <w:i/>
                <w:iCs/>
                <w:color w:val="000000" w:themeColor="text1"/>
                <w:kern w:val="2"/>
                <w:sz w:val="20"/>
                <w:szCs w:val="20"/>
              </w:rPr>
              <w:t xml:space="preserve"> treatment defined as demonstrating greater than or equal to a 30% reduction in phenylalanine levels from baseline;</w:t>
            </w:r>
            <w:r>
              <w:rPr>
                <w:rFonts w:ascii="Arial Narrow" w:hAnsi="Arial Narrow"/>
                <w:i/>
                <w:iCs/>
                <w:color w:val="000000" w:themeColor="text1"/>
                <w:kern w:val="2"/>
                <w:sz w:val="20"/>
                <w:szCs w:val="20"/>
              </w:rPr>
              <w:t xml:space="preserve"> </w:t>
            </w:r>
            <w:r w:rsidRPr="008065E8">
              <w:rPr>
                <w:rFonts w:ascii="Arial Narrow" w:hAnsi="Arial Narrow"/>
                <w:i/>
                <w:iCs/>
                <w:color w:val="000000" w:themeColor="text1"/>
                <w:kern w:val="2"/>
                <w:sz w:val="20"/>
                <w:szCs w:val="20"/>
              </w:rPr>
              <w:t>OR</w:t>
            </w:r>
          </w:p>
        </w:tc>
      </w:tr>
      <w:tr w:rsidR="00500AD1" w:rsidRPr="00237381" w14:paraId="6B1A3F9E"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9ED2E6A" w14:textId="77777777" w:rsidR="00500AD1" w:rsidRPr="00844873" w:rsidRDefault="00500AD1" w:rsidP="00025AAC">
            <w:pPr>
              <w:rPr>
                <w:rFonts w:ascii="Arial Narrow" w:hAnsi="Arial Narrow"/>
                <w:color w:val="000000" w:themeColor="text1"/>
                <w:kern w:val="2"/>
                <w:sz w:val="20"/>
                <w:szCs w:val="20"/>
              </w:rPr>
            </w:pPr>
            <w:r w:rsidRPr="00844873">
              <w:rPr>
                <w:rFonts w:ascii="Arial Narrow" w:hAnsi="Arial Narrow"/>
                <w:color w:val="000000" w:themeColor="text1"/>
                <w:kern w:val="2"/>
                <w:sz w:val="20"/>
                <w:szCs w:val="20"/>
              </w:rPr>
              <w:t>Patient must have a daily protein tolerance of less than 15 grams per day.</w:t>
            </w:r>
          </w:p>
        </w:tc>
      </w:tr>
      <w:tr w:rsidR="00500AD1" w14:paraId="613501D9"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907898E" w14:textId="77777777" w:rsidR="00500AD1" w:rsidRPr="00844873" w:rsidRDefault="00500AD1" w:rsidP="00025AAC">
            <w:pPr>
              <w:rPr>
                <w:rFonts w:ascii="Arial Narrow" w:hAnsi="Arial Narrow"/>
                <w:b/>
                <w:bCs/>
                <w:color w:val="000000" w:themeColor="text1"/>
                <w:kern w:val="2"/>
                <w:sz w:val="20"/>
                <w:szCs w:val="20"/>
              </w:rPr>
            </w:pPr>
            <w:r w:rsidRPr="00844873">
              <w:rPr>
                <w:rFonts w:ascii="Arial Narrow" w:hAnsi="Arial Narrow"/>
                <w:b/>
                <w:bCs/>
                <w:color w:val="000000" w:themeColor="text1"/>
                <w:kern w:val="2"/>
                <w:sz w:val="20"/>
                <w:szCs w:val="20"/>
              </w:rPr>
              <w:t>AND</w:t>
            </w:r>
          </w:p>
        </w:tc>
      </w:tr>
      <w:tr w:rsidR="00500AD1" w14:paraId="6B7A5570"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4994C5F0" w14:textId="77777777" w:rsidR="00500AD1" w:rsidRPr="00844873" w:rsidRDefault="00500AD1" w:rsidP="00025AAC">
            <w:pPr>
              <w:rPr>
                <w:rFonts w:ascii="Arial Narrow" w:hAnsi="Arial Narrow"/>
                <w:b/>
                <w:bCs/>
                <w:color w:val="000000" w:themeColor="text1"/>
                <w:kern w:val="2"/>
                <w:sz w:val="20"/>
                <w:szCs w:val="20"/>
              </w:rPr>
            </w:pPr>
            <w:r w:rsidRPr="00844873">
              <w:rPr>
                <w:rFonts w:ascii="Arial Narrow" w:hAnsi="Arial Narrow"/>
                <w:b/>
                <w:bCs/>
                <w:color w:val="000000" w:themeColor="text1"/>
                <w:kern w:val="2"/>
                <w:sz w:val="20"/>
                <w:szCs w:val="20"/>
              </w:rPr>
              <w:t>Clinical criteria:</w:t>
            </w:r>
          </w:p>
        </w:tc>
      </w:tr>
      <w:tr w:rsidR="00500AD1" w:rsidRPr="00152C9A" w14:paraId="7B4E31E3"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4F2C8DF1" w14:textId="77777777" w:rsidR="00500AD1" w:rsidRPr="00844873" w:rsidRDefault="00500AD1" w:rsidP="00025AAC">
            <w:pPr>
              <w:rPr>
                <w:rFonts w:ascii="Arial Narrow" w:hAnsi="Arial Narrow"/>
                <w:color w:val="000000" w:themeColor="text1"/>
                <w:kern w:val="2"/>
                <w:sz w:val="20"/>
                <w:szCs w:val="20"/>
              </w:rPr>
            </w:pPr>
            <w:r w:rsidRPr="00844873">
              <w:rPr>
                <w:rFonts w:ascii="Arial Narrow" w:hAnsi="Arial Narrow"/>
                <w:color w:val="000000" w:themeColor="text1"/>
                <w:kern w:val="2"/>
                <w:sz w:val="20"/>
                <w:szCs w:val="20"/>
              </w:rPr>
              <w:t xml:space="preserve">The treatment must not be in combination with </w:t>
            </w:r>
            <w:proofErr w:type="spellStart"/>
            <w:r w:rsidRPr="00844873">
              <w:rPr>
                <w:rFonts w:ascii="Arial Narrow" w:hAnsi="Arial Narrow"/>
                <w:color w:val="000000" w:themeColor="text1"/>
                <w:kern w:val="2"/>
                <w:sz w:val="20"/>
                <w:szCs w:val="20"/>
              </w:rPr>
              <w:t>sapropterin</w:t>
            </w:r>
            <w:proofErr w:type="spellEnd"/>
          </w:p>
        </w:tc>
      </w:tr>
      <w:tr w:rsidR="00500AD1" w14:paraId="0C0EA55B"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1DCBB6B" w14:textId="77777777" w:rsidR="00500AD1" w:rsidRPr="00844873" w:rsidRDefault="00500AD1" w:rsidP="00025AAC">
            <w:pPr>
              <w:rPr>
                <w:rFonts w:ascii="Arial Narrow" w:hAnsi="Arial Narrow"/>
                <w:b/>
                <w:bCs/>
                <w:color w:val="000000" w:themeColor="text1"/>
                <w:kern w:val="2"/>
                <w:sz w:val="20"/>
                <w:szCs w:val="20"/>
              </w:rPr>
            </w:pPr>
            <w:r w:rsidRPr="00844873">
              <w:rPr>
                <w:rFonts w:ascii="Arial Narrow" w:hAnsi="Arial Narrow"/>
                <w:b/>
                <w:bCs/>
                <w:color w:val="000000" w:themeColor="text1"/>
                <w:kern w:val="2"/>
                <w:sz w:val="20"/>
                <w:szCs w:val="20"/>
              </w:rPr>
              <w:t>Treatment criteria:</w:t>
            </w:r>
          </w:p>
        </w:tc>
      </w:tr>
      <w:tr w:rsidR="00500AD1" w14:paraId="403FCA7E"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28EA515B" w14:textId="77777777" w:rsidR="00500AD1" w:rsidRPr="00146FE4" w:rsidRDefault="00500AD1" w:rsidP="00025AAC">
            <w:pPr>
              <w:rPr>
                <w:rFonts w:ascii="Arial Narrow" w:hAnsi="Arial Narrow"/>
                <w:color w:val="000000" w:themeColor="text1"/>
                <w:kern w:val="2"/>
                <w:sz w:val="20"/>
                <w:szCs w:val="20"/>
              </w:rPr>
            </w:pPr>
            <w:r w:rsidRPr="00146FE4">
              <w:rPr>
                <w:rFonts w:ascii="Arial Narrow" w:hAnsi="Arial Narrow"/>
                <w:color w:val="000000" w:themeColor="text1"/>
                <w:kern w:val="2"/>
                <w:sz w:val="20"/>
                <w:szCs w:val="20"/>
              </w:rPr>
              <w:t>Must be treated by a metabolic physician; OR</w:t>
            </w:r>
          </w:p>
        </w:tc>
      </w:tr>
      <w:tr w:rsidR="00500AD1" w14:paraId="6E310B68"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A482870" w14:textId="77777777" w:rsidR="00500AD1" w:rsidRDefault="00500AD1" w:rsidP="00025AAC">
            <w:pPr>
              <w:spacing w:after="160" w:line="257" w:lineRule="auto"/>
              <w:rPr>
                <w:rFonts w:ascii="Arial Narrow" w:eastAsia="Arial Narrow" w:hAnsi="Arial Narrow" w:cs="Arial Narrow"/>
                <w:strike/>
                <w:sz w:val="20"/>
                <w:szCs w:val="20"/>
              </w:rPr>
            </w:pPr>
            <w:r w:rsidRPr="00127487">
              <w:rPr>
                <w:rFonts w:ascii="Arial Narrow" w:eastAsia="Arial Narrow" w:hAnsi="Arial Narrow" w:cs="Arial Narrow"/>
                <w:strike/>
                <w:sz w:val="20"/>
                <w:szCs w:val="20"/>
                <w:u w:val="single"/>
              </w:rPr>
              <w:t>Must be treated by a nurse practitioner experienced in the treatment of phenylketonuria in consultation with a metabolic physician</w:t>
            </w:r>
            <w:r w:rsidRPr="00127487">
              <w:rPr>
                <w:rFonts w:ascii="Arial Narrow" w:eastAsia="Arial Narrow" w:hAnsi="Arial Narrow" w:cs="Arial Narrow"/>
                <w:strike/>
                <w:sz w:val="20"/>
                <w:szCs w:val="20"/>
              </w:rPr>
              <w:t xml:space="preserve"> </w:t>
            </w:r>
          </w:p>
          <w:p w14:paraId="6D443EFB" w14:textId="68D17D00" w:rsidR="00500AD1" w:rsidRPr="00A34134" w:rsidRDefault="00500AD1" w:rsidP="00025AAC">
            <w:pPr>
              <w:spacing w:after="160" w:line="257" w:lineRule="auto"/>
              <w:rPr>
                <w:rFonts w:ascii="Arial Narrow" w:eastAsia="Arial Narrow" w:hAnsi="Arial Narrow" w:cs="Arial Narrow"/>
                <w:i/>
                <w:iCs/>
                <w:sz w:val="20"/>
                <w:szCs w:val="20"/>
              </w:rPr>
            </w:pPr>
            <w:r w:rsidRPr="00A34134">
              <w:rPr>
                <w:rFonts w:ascii="Arial Narrow" w:eastAsia="Arial Narrow" w:hAnsi="Arial Narrow" w:cs="Arial Narrow"/>
                <w:i/>
                <w:iCs/>
                <w:sz w:val="20"/>
                <w:szCs w:val="20"/>
              </w:rPr>
              <w:t>Must be treated by a health practitioner who is any of (</w:t>
            </w:r>
            <w:proofErr w:type="spellStart"/>
            <w:r w:rsidRPr="00A34134">
              <w:rPr>
                <w:rFonts w:ascii="Arial Narrow" w:eastAsia="Arial Narrow" w:hAnsi="Arial Narrow" w:cs="Arial Narrow"/>
                <w:i/>
                <w:iCs/>
                <w:sz w:val="20"/>
                <w:szCs w:val="20"/>
              </w:rPr>
              <w:t>i</w:t>
            </w:r>
            <w:proofErr w:type="spellEnd"/>
            <w:r w:rsidRPr="00A34134">
              <w:rPr>
                <w:rFonts w:ascii="Arial Narrow" w:eastAsia="Arial Narrow" w:hAnsi="Arial Narrow" w:cs="Arial Narrow"/>
                <w:i/>
                <w:iCs/>
                <w:sz w:val="20"/>
                <w:szCs w:val="20"/>
              </w:rPr>
              <w:t xml:space="preserve">) a medical practitioner, (ii) a nurse practitioner in consultation with a metabolic physician </w:t>
            </w:r>
          </w:p>
        </w:tc>
      </w:tr>
      <w:tr w:rsidR="00500AD1" w:rsidDel="00EB330D" w14:paraId="1F64EF8A"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A8F8818" w14:textId="77777777" w:rsidR="00500AD1" w:rsidRPr="00A952BB" w:rsidDel="00EB330D" w:rsidRDefault="00500AD1" w:rsidP="00025AAC">
            <w:pPr>
              <w:rPr>
                <w:rFonts w:ascii="Arial Narrow" w:hAnsi="Arial Narrow"/>
                <w:b/>
                <w:bCs/>
                <w:strike/>
                <w:color w:val="000000" w:themeColor="text1"/>
                <w:kern w:val="2"/>
                <w:sz w:val="20"/>
                <w:szCs w:val="20"/>
              </w:rPr>
            </w:pPr>
            <w:r w:rsidRPr="00A952BB" w:rsidDel="00EB330D">
              <w:rPr>
                <w:rFonts w:ascii="Arial Narrow" w:hAnsi="Arial Narrow"/>
                <w:b/>
                <w:bCs/>
                <w:strike/>
                <w:color w:val="000000" w:themeColor="text1"/>
                <w:kern w:val="2"/>
                <w:sz w:val="20"/>
                <w:szCs w:val="20"/>
              </w:rPr>
              <w:t>Population criteria:</w:t>
            </w:r>
          </w:p>
        </w:tc>
      </w:tr>
      <w:tr w:rsidR="00500AD1" w:rsidDel="00EB330D" w14:paraId="6A148B89"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7E464D68" w14:textId="77777777" w:rsidR="00500AD1" w:rsidRPr="00A952BB" w:rsidDel="00EB330D" w:rsidRDefault="00500AD1" w:rsidP="00025AAC">
            <w:pPr>
              <w:rPr>
                <w:rFonts w:ascii="Arial Narrow" w:hAnsi="Arial Narrow"/>
                <w:strike/>
                <w:color w:val="000000" w:themeColor="text1"/>
                <w:kern w:val="2"/>
                <w:sz w:val="20"/>
                <w:szCs w:val="20"/>
              </w:rPr>
            </w:pPr>
            <w:r w:rsidRPr="00A952BB" w:rsidDel="00EB330D">
              <w:rPr>
                <w:rFonts w:ascii="Arial Narrow" w:hAnsi="Arial Narrow"/>
                <w:strike/>
                <w:color w:val="000000" w:themeColor="text1"/>
                <w:kern w:val="2"/>
                <w:sz w:val="20"/>
                <w:szCs w:val="20"/>
              </w:rPr>
              <w:t>Patient must be at least 16 years of age</w:t>
            </w:r>
          </w:p>
        </w:tc>
      </w:tr>
      <w:tr w:rsidR="00500AD1" w14:paraId="788CE715"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3139F13E" w14:textId="77777777" w:rsidR="00500AD1" w:rsidRPr="00A952BB" w:rsidRDefault="00500AD1" w:rsidP="00025AAC">
            <w:pPr>
              <w:rPr>
                <w:rFonts w:ascii="Arial Narrow" w:hAnsi="Arial Narrow"/>
                <w:b/>
                <w:bCs/>
                <w:color w:val="000000" w:themeColor="text1"/>
                <w:kern w:val="2"/>
                <w:sz w:val="20"/>
                <w:szCs w:val="20"/>
              </w:rPr>
            </w:pPr>
            <w:r w:rsidRPr="00A952BB">
              <w:rPr>
                <w:rFonts w:ascii="Arial Narrow" w:hAnsi="Arial Narrow"/>
                <w:b/>
                <w:bCs/>
                <w:color w:val="000000" w:themeColor="text1"/>
                <w:kern w:val="2"/>
                <w:sz w:val="20"/>
                <w:szCs w:val="20"/>
              </w:rPr>
              <w:t>Prescribing Instructions:</w:t>
            </w:r>
          </w:p>
          <w:p w14:paraId="16E8B5A3" w14:textId="77777777" w:rsidR="00500AD1" w:rsidRPr="008065E8" w:rsidRDefault="00500AD1" w:rsidP="00025AAC">
            <w:pPr>
              <w:rPr>
                <w:rFonts w:ascii="Arial Narrow" w:hAnsi="Arial Narrow"/>
                <w:i/>
                <w:iCs/>
                <w:color w:val="000000" w:themeColor="text1"/>
                <w:kern w:val="2"/>
                <w:sz w:val="20"/>
                <w:szCs w:val="20"/>
              </w:rPr>
            </w:pPr>
            <w:r w:rsidRPr="00A952BB">
              <w:rPr>
                <w:rFonts w:ascii="Arial Narrow" w:hAnsi="Arial Narrow"/>
                <w:color w:val="000000" w:themeColor="text1"/>
                <w:kern w:val="2"/>
                <w:sz w:val="20"/>
                <w:szCs w:val="20"/>
              </w:rPr>
              <w:t>Dietary phenylalanine intake must be maintained at a constant level</w:t>
            </w:r>
            <w:r w:rsidRPr="008065E8">
              <w:rPr>
                <w:rFonts w:ascii="Arial Narrow" w:hAnsi="Arial Narrow"/>
                <w:i/>
                <w:iCs/>
                <w:color w:val="000000" w:themeColor="text1"/>
                <w:kern w:val="2"/>
                <w:sz w:val="20"/>
                <w:szCs w:val="20"/>
              </w:rPr>
              <w:t xml:space="preserve"> </w:t>
            </w:r>
            <w:r w:rsidRPr="004B5EBD">
              <w:rPr>
                <w:rFonts w:ascii="Arial Narrow" w:hAnsi="Arial Narrow"/>
                <w:strike/>
                <w:sz w:val="20"/>
                <w:szCs w:val="20"/>
              </w:rPr>
              <w:t>during the treatment period.</w:t>
            </w:r>
          </w:p>
        </w:tc>
      </w:tr>
      <w:tr w:rsidR="00500AD1" w:rsidRPr="00237381" w14:paraId="7F9F3A65"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508A0BA9" w14:textId="77777777" w:rsidR="00500AD1" w:rsidRPr="00A952BB" w:rsidRDefault="00500AD1" w:rsidP="00025AAC">
            <w:pPr>
              <w:rPr>
                <w:rFonts w:ascii="Arial Narrow" w:hAnsi="Arial Narrow"/>
                <w:color w:val="000000" w:themeColor="text1"/>
                <w:kern w:val="2"/>
                <w:sz w:val="20"/>
                <w:szCs w:val="20"/>
              </w:rPr>
            </w:pPr>
            <w:r w:rsidRPr="00A952BB">
              <w:rPr>
                <w:rFonts w:ascii="Arial Narrow" w:hAnsi="Arial Narrow"/>
                <w:b/>
                <w:bCs/>
                <w:color w:val="000000" w:themeColor="text1"/>
                <w:kern w:val="2"/>
                <w:sz w:val="20"/>
                <w:szCs w:val="20"/>
              </w:rPr>
              <w:t>Prescribing Instructions:</w:t>
            </w:r>
          </w:p>
          <w:p w14:paraId="5AEE361F" w14:textId="77777777" w:rsidR="00500AD1" w:rsidRPr="008065E8" w:rsidRDefault="00500AD1" w:rsidP="00025AAC">
            <w:pPr>
              <w:rPr>
                <w:rFonts w:ascii="Arial Narrow" w:hAnsi="Arial Narrow"/>
                <w:b/>
                <w:bCs/>
                <w:i/>
                <w:iCs/>
                <w:color w:val="000000" w:themeColor="text1"/>
                <w:kern w:val="2"/>
                <w:sz w:val="20"/>
                <w:szCs w:val="20"/>
              </w:rPr>
            </w:pPr>
            <w:r w:rsidRPr="00A952BB">
              <w:rPr>
                <w:rFonts w:ascii="Arial Narrow" w:hAnsi="Arial Narrow"/>
                <w:color w:val="000000" w:themeColor="text1"/>
                <w:kern w:val="2"/>
                <w:sz w:val="20"/>
                <w:szCs w:val="20"/>
              </w:rPr>
              <w:t>Patient must not receive more than 24 months of treatment under this restriction.</w:t>
            </w:r>
            <w:r w:rsidRPr="008065E8">
              <w:rPr>
                <w:rFonts w:ascii="Arial Narrow" w:hAnsi="Arial Narrow"/>
                <w:i/>
                <w:iCs/>
                <w:color w:val="000000" w:themeColor="text1"/>
                <w:kern w:val="2"/>
                <w:sz w:val="20"/>
                <w:szCs w:val="20"/>
              </w:rPr>
              <w:t xml:space="preserve"> </w:t>
            </w:r>
          </w:p>
        </w:tc>
      </w:tr>
      <w:tr w:rsidR="00500AD1" w:rsidRPr="00237381" w14:paraId="61047C42"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1A902D8E" w14:textId="77777777" w:rsidR="00500AD1" w:rsidRPr="008065E8" w:rsidRDefault="00500AD1" w:rsidP="00025AAC">
            <w:pPr>
              <w:rPr>
                <w:rFonts w:ascii="Arial Narrow" w:hAnsi="Arial Narrow"/>
                <w:b/>
                <w:bCs/>
                <w:i/>
                <w:iCs/>
                <w:color w:val="000000" w:themeColor="text1"/>
                <w:kern w:val="2"/>
                <w:sz w:val="20"/>
                <w:szCs w:val="20"/>
              </w:rPr>
            </w:pPr>
            <w:r w:rsidRPr="008065E8">
              <w:rPr>
                <w:rFonts w:ascii="Arial Narrow" w:hAnsi="Arial Narrow"/>
                <w:b/>
                <w:bCs/>
                <w:i/>
                <w:iCs/>
                <w:color w:val="000000" w:themeColor="text1"/>
                <w:kern w:val="2"/>
                <w:sz w:val="20"/>
                <w:szCs w:val="20"/>
              </w:rPr>
              <w:t>Prescribing Instructions:</w:t>
            </w:r>
          </w:p>
          <w:p w14:paraId="2830539D" w14:textId="77777777" w:rsidR="00500AD1" w:rsidRPr="008065E8" w:rsidRDefault="00500AD1" w:rsidP="00025AAC">
            <w:pPr>
              <w:rPr>
                <w:rFonts w:ascii="Arial Narrow" w:hAnsi="Arial Narrow"/>
                <w:i/>
                <w:iCs/>
                <w:color w:val="000000" w:themeColor="text1"/>
                <w:kern w:val="2"/>
                <w:sz w:val="20"/>
                <w:szCs w:val="20"/>
              </w:rPr>
            </w:pPr>
            <w:r w:rsidRPr="008065E8">
              <w:rPr>
                <w:rFonts w:ascii="Arial Narrow" w:hAnsi="Arial Narrow"/>
                <w:i/>
                <w:iCs/>
                <w:color w:val="000000" w:themeColor="text1"/>
                <w:kern w:val="2"/>
                <w:sz w:val="20"/>
                <w:szCs w:val="20"/>
              </w:rPr>
              <w:lastRenderedPageBreak/>
              <w:t>Confirmation of eligibility for treatment with diagnostic reports must be documented in the patient's medical records.</w:t>
            </w:r>
          </w:p>
        </w:tc>
      </w:tr>
      <w:tr w:rsidR="00500AD1" w:rsidRPr="00A45EDC" w14:paraId="6579F52E"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41FE219" w14:textId="77777777" w:rsidR="00500AD1" w:rsidRPr="00286A4E" w:rsidRDefault="00500AD1" w:rsidP="00025AAC">
            <w:pPr>
              <w:rPr>
                <w:rFonts w:ascii="Arial Narrow" w:hAnsi="Arial Narrow"/>
                <w:b/>
                <w:bCs/>
                <w:color w:val="000000" w:themeColor="text1"/>
                <w:kern w:val="2"/>
                <w:sz w:val="20"/>
                <w:szCs w:val="20"/>
              </w:rPr>
            </w:pPr>
            <w:r w:rsidRPr="00286A4E">
              <w:rPr>
                <w:rFonts w:ascii="Arial Narrow" w:hAnsi="Arial Narrow"/>
                <w:b/>
                <w:bCs/>
                <w:color w:val="000000" w:themeColor="text1"/>
                <w:kern w:val="2"/>
                <w:sz w:val="20"/>
                <w:szCs w:val="20"/>
              </w:rPr>
              <w:lastRenderedPageBreak/>
              <w:t>Prescribing Instructions:</w:t>
            </w:r>
          </w:p>
          <w:p w14:paraId="56317EB2" w14:textId="77777777" w:rsidR="00500AD1" w:rsidRPr="00286A4E" w:rsidRDefault="00500AD1" w:rsidP="00025AAC">
            <w:pPr>
              <w:rPr>
                <w:rFonts w:ascii="Arial Narrow" w:hAnsi="Arial Narrow"/>
                <w:strike/>
                <w:sz w:val="20"/>
                <w:szCs w:val="20"/>
              </w:rPr>
            </w:pPr>
            <w:r w:rsidRPr="00286A4E">
              <w:rPr>
                <w:rFonts w:ascii="Arial Narrow" w:hAnsi="Arial Narrow"/>
                <w:strike/>
                <w:sz w:val="20"/>
                <w:szCs w:val="20"/>
              </w:rPr>
              <w:t xml:space="preserve">At the time of the authority application, medical practitioners should request the appropriate quantity of prefilled syringes and the appropriate number of repeats, based on the dose required and in accordance with the recommended dosing described in the </w:t>
            </w:r>
            <w:proofErr w:type="spellStart"/>
            <w:r w:rsidRPr="00286A4E">
              <w:rPr>
                <w:rFonts w:ascii="Arial Narrow" w:hAnsi="Arial Narrow"/>
                <w:strike/>
                <w:sz w:val="20"/>
                <w:szCs w:val="20"/>
              </w:rPr>
              <w:t>pegvaliase</w:t>
            </w:r>
            <w:proofErr w:type="spellEnd"/>
            <w:r w:rsidRPr="00286A4E">
              <w:rPr>
                <w:rFonts w:ascii="Arial Narrow" w:hAnsi="Arial Narrow"/>
                <w:strike/>
                <w:sz w:val="20"/>
                <w:szCs w:val="20"/>
              </w:rPr>
              <w:t xml:space="preserve"> Product Information</w:t>
            </w:r>
          </w:p>
          <w:p w14:paraId="43D6538C" w14:textId="77777777" w:rsidR="00500AD1" w:rsidRPr="008065E8" w:rsidRDefault="00500AD1" w:rsidP="00025AAC">
            <w:pPr>
              <w:rPr>
                <w:rFonts w:ascii="Arial Narrow" w:hAnsi="Arial Narrow"/>
                <w:b/>
                <w:bCs/>
                <w:i/>
                <w:iCs/>
                <w:color w:val="000000" w:themeColor="text1"/>
                <w:kern w:val="2"/>
                <w:sz w:val="20"/>
                <w:szCs w:val="20"/>
              </w:rPr>
            </w:pPr>
          </w:p>
          <w:p w14:paraId="104FF662" w14:textId="77777777" w:rsidR="00500AD1" w:rsidRPr="008065E8" w:rsidRDefault="00500AD1" w:rsidP="00025AAC">
            <w:pPr>
              <w:rPr>
                <w:rFonts w:ascii="Arial Narrow" w:hAnsi="Arial Narrow"/>
                <w:i/>
                <w:iCs/>
                <w:color w:val="000000" w:themeColor="text1"/>
                <w:kern w:val="2"/>
                <w:sz w:val="20"/>
                <w:szCs w:val="20"/>
              </w:rPr>
            </w:pPr>
            <w:r w:rsidRPr="008065E8">
              <w:rPr>
                <w:rFonts w:ascii="Arial Narrow" w:hAnsi="Arial Narrow"/>
                <w:i/>
                <w:iCs/>
                <w:color w:val="000000" w:themeColor="text1"/>
                <w:kern w:val="2"/>
                <w:sz w:val="20"/>
                <w:szCs w:val="20"/>
              </w:rPr>
              <w:t>At the time of authority application, prescribers must request the appropriate number of prefilled syringes of each strength, to provide sufficient drug for 1 month of treatment at the dosage regimen specified in the approved Therapeutic Goods Administration (TGA) Product Information (PI). A separate authority prescription form must be completed for each strength requested. </w:t>
            </w:r>
          </w:p>
          <w:p w14:paraId="66ABBCE1" w14:textId="77777777" w:rsidR="00500AD1" w:rsidRPr="008065E8" w:rsidRDefault="00500AD1" w:rsidP="00025AAC">
            <w:pPr>
              <w:rPr>
                <w:rFonts w:ascii="Arial Narrow" w:hAnsi="Arial Narrow"/>
                <w:b/>
                <w:bCs/>
                <w:i/>
                <w:iCs/>
                <w:color w:val="000000" w:themeColor="text1"/>
                <w:kern w:val="2"/>
                <w:sz w:val="20"/>
                <w:szCs w:val="20"/>
              </w:rPr>
            </w:pPr>
            <w:r w:rsidRPr="007479B3">
              <w:rPr>
                <w:rFonts w:ascii="Arial Narrow" w:hAnsi="Arial Narrow"/>
                <w:b/>
                <w:bCs/>
                <w:i/>
                <w:iCs/>
                <w:color w:val="000000" w:themeColor="text1"/>
                <w:kern w:val="2"/>
                <w:sz w:val="20"/>
                <w:szCs w:val="20"/>
              </w:rPr>
              <w:t>The maximum listed quantity</w:t>
            </w:r>
            <w:r w:rsidRPr="008065E8">
              <w:rPr>
                <w:rFonts w:ascii="Arial Narrow" w:hAnsi="Arial Narrow"/>
                <w:i/>
                <w:iCs/>
                <w:color w:val="000000" w:themeColor="text1"/>
                <w:kern w:val="2"/>
                <w:sz w:val="20"/>
                <w:szCs w:val="20"/>
              </w:rPr>
              <w:t xml:space="preserve"> or number of repeats </w:t>
            </w:r>
            <w:r w:rsidRPr="001D2FE0">
              <w:rPr>
                <w:rFonts w:ascii="Arial Narrow" w:hAnsi="Arial Narrow"/>
                <w:b/>
                <w:bCs/>
                <w:i/>
                <w:iCs/>
                <w:color w:val="000000" w:themeColor="text1"/>
                <w:kern w:val="2"/>
                <w:sz w:val="20"/>
                <w:szCs w:val="20"/>
              </w:rPr>
              <w:t>must not be prescribed</w:t>
            </w:r>
            <w:r w:rsidRPr="008065E8">
              <w:rPr>
                <w:rFonts w:ascii="Arial Narrow" w:hAnsi="Arial Narrow"/>
                <w:i/>
                <w:iCs/>
                <w:color w:val="000000" w:themeColor="text1"/>
                <w:kern w:val="2"/>
                <w:sz w:val="20"/>
                <w:szCs w:val="20"/>
              </w:rPr>
              <w:t xml:space="preserve"> if lesser quantity or repeats are sufficient for the patient's needs.</w:t>
            </w:r>
          </w:p>
        </w:tc>
      </w:tr>
      <w:tr w:rsidR="00500AD1" w:rsidRPr="00A45EDC" w14:paraId="2299CD53"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12BFBFB4" w14:textId="77777777" w:rsidR="00500AD1" w:rsidRDefault="00500AD1" w:rsidP="00025AAC">
            <w:pPr>
              <w:rPr>
                <w:rFonts w:ascii="Arial Narrow" w:hAnsi="Arial Narrow"/>
                <w:b/>
                <w:bCs/>
                <w:i/>
                <w:iCs/>
                <w:color w:val="000000" w:themeColor="text1"/>
                <w:kern w:val="2"/>
                <w:sz w:val="20"/>
                <w:szCs w:val="20"/>
              </w:rPr>
            </w:pPr>
            <w:r w:rsidRPr="008065E8">
              <w:rPr>
                <w:rFonts w:ascii="Arial Narrow" w:hAnsi="Arial Narrow"/>
                <w:b/>
                <w:bCs/>
                <w:i/>
                <w:iCs/>
                <w:color w:val="000000" w:themeColor="text1"/>
                <w:kern w:val="2"/>
                <w:sz w:val="20"/>
                <w:szCs w:val="20"/>
              </w:rPr>
              <w:t>Prescribing Instructions:</w:t>
            </w:r>
          </w:p>
          <w:p w14:paraId="612A15A2" w14:textId="77777777" w:rsidR="00500AD1" w:rsidRPr="00DB1266" w:rsidRDefault="00500AD1" w:rsidP="00025AAC">
            <w:pPr>
              <w:rPr>
                <w:rFonts w:ascii="Arial Narrow" w:hAnsi="Arial Narrow"/>
                <w:strike/>
                <w:sz w:val="20"/>
                <w:szCs w:val="20"/>
              </w:rPr>
            </w:pPr>
            <w:r w:rsidRPr="00DB1266">
              <w:rPr>
                <w:rFonts w:ascii="Arial Narrow" w:hAnsi="Arial Narrow"/>
                <w:strike/>
                <w:sz w:val="20"/>
                <w:szCs w:val="20"/>
              </w:rPr>
              <w:t>A response to treatment with this drug is defined as at least one of:</w:t>
            </w:r>
          </w:p>
          <w:p w14:paraId="268CDF5D" w14:textId="77777777" w:rsidR="00500AD1" w:rsidRPr="00DB1266" w:rsidRDefault="00500AD1" w:rsidP="00025AAC">
            <w:pPr>
              <w:rPr>
                <w:rFonts w:ascii="Arial Narrow" w:hAnsi="Arial Narrow"/>
                <w:b/>
                <w:bCs/>
                <w:i/>
                <w:iCs/>
                <w:strike/>
                <w:color w:val="000000" w:themeColor="text1"/>
                <w:kern w:val="2"/>
                <w:sz w:val="20"/>
                <w:szCs w:val="20"/>
              </w:rPr>
            </w:pPr>
            <w:r w:rsidRPr="00DB1266">
              <w:rPr>
                <w:rFonts w:ascii="Arial Narrow" w:hAnsi="Arial Narrow"/>
                <w:strike/>
                <w:sz w:val="20"/>
                <w:szCs w:val="20"/>
              </w:rPr>
              <w:t>blood phenylalanine level below 360 micromole per L / clinically meaningful reduction in the inattention subscale of the ADHD-RS score, defined as a 5-point reduction in the inattention subscale (Spencer et al., 2010)</w:t>
            </w:r>
          </w:p>
          <w:p w14:paraId="0561C1C3" w14:textId="77777777" w:rsidR="00500AD1" w:rsidRPr="00DB1266" w:rsidRDefault="00500AD1" w:rsidP="00025AAC">
            <w:pPr>
              <w:rPr>
                <w:rFonts w:ascii="Arial Narrow" w:hAnsi="Arial Narrow"/>
                <w:i/>
                <w:iCs/>
                <w:strike/>
                <w:color w:val="000000" w:themeColor="text1"/>
                <w:kern w:val="2"/>
                <w:sz w:val="20"/>
                <w:szCs w:val="20"/>
              </w:rPr>
            </w:pPr>
            <w:r w:rsidRPr="00DB1266">
              <w:rPr>
                <w:rFonts w:ascii="Arial Narrow" w:hAnsi="Arial Narrow"/>
                <w:i/>
                <w:iCs/>
                <w:strike/>
                <w:color w:val="000000" w:themeColor="text1"/>
                <w:kern w:val="2"/>
                <w:sz w:val="20"/>
                <w:szCs w:val="20"/>
              </w:rPr>
              <w:t xml:space="preserve">An assessment of a patient’s response to the initial course of treatment must be conducted following a minimum of 5 months of therapy. </w:t>
            </w:r>
          </w:p>
          <w:p w14:paraId="12531A8D" w14:textId="77777777" w:rsidR="00500AD1" w:rsidRDefault="00500AD1" w:rsidP="00025AAC">
            <w:pPr>
              <w:rPr>
                <w:rFonts w:ascii="Arial Narrow" w:hAnsi="Arial Narrow"/>
                <w:b/>
                <w:bCs/>
                <w:i/>
                <w:iCs/>
                <w:color w:val="000000" w:themeColor="text1"/>
                <w:kern w:val="2"/>
                <w:sz w:val="20"/>
                <w:szCs w:val="20"/>
              </w:rPr>
            </w:pPr>
          </w:p>
          <w:p w14:paraId="192E5C5B" w14:textId="77777777" w:rsidR="00500AD1" w:rsidRPr="008065E8" w:rsidRDefault="00500AD1" w:rsidP="00025AAC">
            <w:pPr>
              <w:rPr>
                <w:rFonts w:ascii="Arial Narrow" w:hAnsi="Arial Narrow"/>
                <w:i/>
                <w:iCs/>
                <w:color w:val="000000" w:themeColor="text1"/>
                <w:kern w:val="2"/>
                <w:sz w:val="20"/>
                <w:szCs w:val="20"/>
              </w:rPr>
            </w:pPr>
            <w:r w:rsidRPr="008065E8">
              <w:rPr>
                <w:rFonts w:ascii="Arial Narrow" w:hAnsi="Arial Narrow"/>
                <w:i/>
                <w:iCs/>
                <w:color w:val="000000" w:themeColor="text1"/>
                <w:kern w:val="2"/>
                <w:sz w:val="20"/>
                <w:szCs w:val="20"/>
              </w:rPr>
              <w:t>An adequate response to this drug is defined as a blood phenylalanine level below 360 micromole per L.</w:t>
            </w:r>
          </w:p>
        </w:tc>
      </w:tr>
      <w:tr w:rsidR="00500AD1" w:rsidRPr="007342A6" w14:paraId="3F3DA313" w14:textId="77777777" w:rsidTr="63B97896">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166C0D3" w14:textId="77777777" w:rsidR="00500AD1" w:rsidRDefault="00500AD1" w:rsidP="00025AAC">
            <w:pPr>
              <w:rPr>
                <w:rFonts w:ascii="Arial Narrow" w:hAnsi="Arial Narrow"/>
                <w:b/>
                <w:bCs/>
                <w:i/>
                <w:iCs/>
                <w:color w:val="000000" w:themeColor="text1"/>
                <w:kern w:val="2"/>
                <w:sz w:val="20"/>
                <w:szCs w:val="20"/>
              </w:rPr>
            </w:pPr>
            <w:r w:rsidRPr="008065E8">
              <w:rPr>
                <w:rFonts w:ascii="Arial Narrow" w:hAnsi="Arial Narrow"/>
                <w:b/>
                <w:bCs/>
                <w:i/>
                <w:iCs/>
                <w:color w:val="000000" w:themeColor="text1"/>
                <w:kern w:val="2"/>
                <w:sz w:val="20"/>
                <w:szCs w:val="20"/>
              </w:rPr>
              <w:t>Prescribing Instructions:</w:t>
            </w:r>
          </w:p>
          <w:p w14:paraId="5DFFFFB2" w14:textId="77777777" w:rsidR="00500AD1" w:rsidRPr="00DB1266" w:rsidRDefault="00500AD1" w:rsidP="00025AAC">
            <w:pPr>
              <w:rPr>
                <w:rFonts w:ascii="Arial Narrow" w:hAnsi="Arial Narrow"/>
                <w:strike/>
                <w:sz w:val="20"/>
                <w:szCs w:val="20"/>
              </w:rPr>
            </w:pPr>
            <w:r w:rsidRPr="00DB1266">
              <w:rPr>
                <w:rFonts w:ascii="Arial Narrow" w:hAnsi="Arial Narrow"/>
                <w:strike/>
                <w:sz w:val="20"/>
                <w:szCs w:val="20"/>
              </w:rPr>
              <w:t>A response to initial treatment must be assessed following a minimum of 5 months and up to 24 months of treatment so there is adequate time for patients to titrate up to the maximum dosage of 60 mg per day or maximum tolerated dose.</w:t>
            </w:r>
          </w:p>
          <w:p w14:paraId="41012D7A" w14:textId="7E68F8C5" w:rsidR="00500AD1" w:rsidRPr="009C6CB7" w:rsidRDefault="00500AD1" w:rsidP="00025AAC">
            <w:pPr>
              <w:rPr>
                <w:rFonts w:ascii="Arial Narrow" w:hAnsi="Arial Narrow"/>
                <w:sz w:val="20"/>
                <w:szCs w:val="20"/>
              </w:rPr>
            </w:pPr>
          </w:p>
          <w:p w14:paraId="653A7025" w14:textId="77777777" w:rsidR="00500AD1" w:rsidRPr="008065E8" w:rsidRDefault="00500AD1" w:rsidP="00025AAC">
            <w:pPr>
              <w:rPr>
                <w:rFonts w:ascii="Arial Narrow" w:hAnsi="Arial Narrow"/>
                <w:i/>
                <w:iCs/>
                <w:color w:val="000000" w:themeColor="text1"/>
                <w:kern w:val="2"/>
                <w:sz w:val="20"/>
                <w:szCs w:val="20"/>
              </w:rPr>
            </w:pPr>
            <w:r w:rsidRPr="008065E8">
              <w:rPr>
                <w:rFonts w:ascii="Arial Narrow" w:hAnsi="Arial Narrow"/>
                <w:i/>
                <w:iCs/>
                <w:color w:val="000000" w:themeColor="text1"/>
                <w:kern w:val="2"/>
                <w:sz w:val="20"/>
                <w:szCs w:val="20"/>
              </w:rPr>
              <w:t xml:space="preserve">An assessment of a patient’s response to the initial course of treatment must be conducted following a minimum of 5 months of therapy. </w:t>
            </w:r>
          </w:p>
          <w:p w14:paraId="0DED1895" w14:textId="77777777" w:rsidR="00500AD1" w:rsidRPr="008065E8" w:rsidRDefault="00500AD1" w:rsidP="00025AAC">
            <w:pPr>
              <w:rPr>
                <w:rFonts w:ascii="Arial Narrow" w:hAnsi="Arial Narrow"/>
                <w:i/>
                <w:iCs/>
                <w:color w:val="000000" w:themeColor="text1"/>
                <w:kern w:val="2"/>
                <w:sz w:val="20"/>
                <w:szCs w:val="20"/>
              </w:rPr>
            </w:pPr>
          </w:p>
          <w:p w14:paraId="5BD4B723" w14:textId="4C3D8897" w:rsidR="00500AD1" w:rsidRPr="008065E8" w:rsidRDefault="00500AD1" w:rsidP="00025AAC">
            <w:pPr>
              <w:rPr>
                <w:rFonts w:ascii="Arial Narrow" w:hAnsi="Arial Narrow"/>
                <w:i/>
                <w:iCs/>
                <w:color w:val="000000" w:themeColor="text1"/>
                <w:kern w:val="2"/>
                <w:sz w:val="20"/>
                <w:szCs w:val="20"/>
              </w:rPr>
            </w:pPr>
            <w:r w:rsidRPr="63B97896">
              <w:rPr>
                <w:rFonts w:ascii="Arial Narrow" w:hAnsi="Arial Narrow"/>
                <w:i/>
                <w:color w:val="000000" w:themeColor="text1"/>
                <w:sz w:val="20"/>
                <w:szCs w:val="20"/>
              </w:rPr>
              <w:t>Patients who demonstrate a response are eligible to transition to PBS</w:t>
            </w:r>
            <w:r w:rsidR="37D2108F" w:rsidRPr="63B97896">
              <w:rPr>
                <w:rFonts w:ascii="Arial Narrow" w:hAnsi="Arial Narrow"/>
                <w:i/>
                <w:iCs/>
                <w:color w:val="000000" w:themeColor="text1"/>
                <w:kern w:val="2"/>
                <w:sz w:val="20"/>
                <w:szCs w:val="20"/>
              </w:rPr>
              <w:t xml:space="preserve"> </w:t>
            </w:r>
            <w:r w:rsidRPr="63B97896">
              <w:rPr>
                <w:rFonts w:ascii="Arial Narrow" w:hAnsi="Arial Narrow"/>
                <w:i/>
                <w:color w:val="000000" w:themeColor="text1"/>
                <w:sz w:val="20"/>
                <w:szCs w:val="20"/>
              </w:rPr>
              <w:t>subsidised treatment under the maintenance treatment restriction.</w:t>
            </w:r>
          </w:p>
          <w:p w14:paraId="0A829D99" w14:textId="77777777" w:rsidR="00500AD1" w:rsidRPr="008065E8" w:rsidRDefault="00500AD1" w:rsidP="00025AAC">
            <w:pPr>
              <w:rPr>
                <w:rFonts w:ascii="Arial Narrow" w:hAnsi="Arial Narrow"/>
                <w:i/>
                <w:iCs/>
                <w:color w:val="000000" w:themeColor="text1"/>
                <w:kern w:val="2"/>
                <w:sz w:val="20"/>
                <w:szCs w:val="20"/>
              </w:rPr>
            </w:pPr>
          </w:p>
          <w:p w14:paraId="4FE4AEED" w14:textId="77777777" w:rsidR="00500AD1" w:rsidRPr="008065E8" w:rsidRDefault="00500AD1" w:rsidP="00025AAC">
            <w:pPr>
              <w:rPr>
                <w:rFonts w:ascii="Arial Narrow" w:hAnsi="Arial Narrow"/>
                <w:i/>
                <w:iCs/>
                <w:color w:val="000000" w:themeColor="text1"/>
                <w:kern w:val="2"/>
                <w:sz w:val="20"/>
                <w:szCs w:val="20"/>
              </w:rPr>
            </w:pPr>
            <w:r w:rsidRPr="008065E8">
              <w:rPr>
                <w:rFonts w:ascii="Arial Narrow" w:hAnsi="Arial Narrow"/>
                <w:i/>
                <w:iCs/>
                <w:color w:val="000000" w:themeColor="text1"/>
                <w:kern w:val="2"/>
                <w:sz w:val="20"/>
                <w:szCs w:val="20"/>
              </w:rPr>
              <w:t>Patients who do not demonstrate a response may continue treatment under this restriction up to a maximum total duration of 18 months of therapy. Prescribers must reassess the patient at 18 months to determine the following:</w:t>
            </w:r>
          </w:p>
          <w:p w14:paraId="1317AAB8" w14:textId="77777777" w:rsidR="00500AD1" w:rsidRPr="008065E8" w:rsidRDefault="00500AD1" w:rsidP="00025AAC">
            <w:pPr>
              <w:pStyle w:val="ListParagraph"/>
              <w:numPr>
                <w:ilvl w:val="0"/>
                <w:numId w:val="79"/>
              </w:numPr>
              <w:suppressAutoHyphens w:val="0"/>
              <w:spacing w:after="0"/>
              <w:contextualSpacing/>
              <w:jc w:val="both"/>
              <w:rPr>
                <w:rFonts w:ascii="Arial Narrow" w:hAnsi="Arial Narrow"/>
                <w:i/>
                <w:iCs/>
                <w:color w:val="000000" w:themeColor="text1"/>
                <w:kern w:val="2"/>
                <w:sz w:val="20"/>
                <w:szCs w:val="20"/>
              </w:rPr>
            </w:pPr>
            <w:r w:rsidRPr="008065E8">
              <w:rPr>
                <w:rFonts w:ascii="Arial Narrow" w:hAnsi="Arial Narrow"/>
                <w:i/>
                <w:iCs/>
                <w:color w:val="000000" w:themeColor="text1"/>
                <w:kern w:val="2"/>
                <w:sz w:val="20"/>
                <w:szCs w:val="20"/>
              </w:rPr>
              <w:t xml:space="preserve">If no response is demonstrated, treatment should be discontinued. </w:t>
            </w:r>
          </w:p>
          <w:p w14:paraId="0DFD088C" w14:textId="77777777" w:rsidR="00500AD1" w:rsidRPr="008065E8" w:rsidRDefault="00500AD1" w:rsidP="00025AAC">
            <w:pPr>
              <w:pStyle w:val="ListParagraph"/>
              <w:numPr>
                <w:ilvl w:val="0"/>
                <w:numId w:val="79"/>
              </w:numPr>
              <w:suppressAutoHyphens w:val="0"/>
              <w:spacing w:after="0"/>
              <w:contextualSpacing/>
              <w:jc w:val="both"/>
              <w:rPr>
                <w:rFonts w:ascii="Arial Narrow" w:hAnsi="Arial Narrow"/>
                <w:b/>
                <w:bCs/>
                <w:i/>
                <w:iCs/>
                <w:color w:val="000000" w:themeColor="text1"/>
                <w:kern w:val="2"/>
                <w:sz w:val="20"/>
                <w:szCs w:val="20"/>
              </w:rPr>
            </w:pPr>
            <w:r w:rsidRPr="008065E8">
              <w:rPr>
                <w:rFonts w:ascii="Arial Narrow" w:hAnsi="Arial Narrow"/>
                <w:i/>
                <w:iCs/>
                <w:color w:val="000000" w:themeColor="text1"/>
                <w:kern w:val="2"/>
                <w:sz w:val="20"/>
                <w:szCs w:val="20"/>
              </w:rPr>
              <w:t>If an improvement in protein tolerance and/or neurocognitive function is demonstrated, treatment may be continued for a further 6 months only (total duration of 24 months of therapy).</w:t>
            </w:r>
          </w:p>
        </w:tc>
      </w:tr>
    </w:tbl>
    <w:p w14:paraId="50BF8C12" w14:textId="77777777" w:rsidR="00D61451" w:rsidRDefault="00D61451" w:rsidP="00025AAC">
      <w:pPr>
        <w:pStyle w:val="3-BodyText"/>
        <w:spacing w:after="120"/>
      </w:pPr>
    </w:p>
    <w:p w14:paraId="081965D0" w14:textId="2EAA164B" w:rsidR="00500AD1" w:rsidRPr="004D2F32" w:rsidRDefault="00500AD1" w:rsidP="00025AAC">
      <w:pPr>
        <w:pStyle w:val="3-BodyText"/>
        <w:spacing w:after="120"/>
        <w:rPr>
          <w:rFonts w:ascii="Arial Narrow" w:eastAsia="Calibri" w:hAnsi="Arial Narrow" w:cs="Calibri"/>
          <w:b/>
          <w:bCs/>
          <w:color w:val="000000" w:themeColor="text1"/>
          <w:sz w:val="20"/>
          <w:szCs w:val="20"/>
        </w:rPr>
      </w:pPr>
      <w:r w:rsidRPr="004D2F32">
        <w:rPr>
          <w:rFonts w:ascii="Arial Narrow" w:eastAsia="Calibri" w:hAnsi="Arial Narrow" w:cs="Calibri"/>
          <w:b/>
          <w:bCs/>
          <w:color w:val="000000" w:themeColor="text1"/>
          <w:sz w:val="20"/>
          <w:szCs w:val="20"/>
        </w:rPr>
        <w:t>Maintenance treatment:</w:t>
      </w:r>
    </w:p>
    <w:tbl>
      <w:tblPr>
        <w:tblW w:w="5028" w:type="pct"/>
        <w:tblLayout w:type="fixed"/>
        <w:tblLook w:val="04A0" w:firstRow="1" w:lastRow="0" w:firstColumn="1" w:lastColumn="0" w:noHBand="0" w:noVBand="1"/>
        <w:tblCaption w:val="Maintenance treatment:"/>
      </w:tblPr>
      <w:tblGrid>
        <w:gridCol w:w="3537"/>
        <w:gridCol w:w="1276"/>
        <w:gridCol w:w="992"/>
        <w:gridCol w:w="851"/>
        <w:gridCol w:w="708"/>
        <w:gridCol w:w="1702"/>
      </w:tblGrid>
      <w:tr w:rsidR="00500AD1" w14:paraId="53130FB7" w14:textId="77777777" w:rsidTr="0C90D5AB">
        <w:trPr>
          <w:cantSplit/>
          <w:trHeight w:val="20"/>
        </w:trPr>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39DC0" w14:textId="77777777" w:rsidR="00500AD1" w:rsidRDefault="00500AD1" w:rsidP="00025AAC">
            <w:pPr>
              <w:keepLines/>
              <w:rPr>
                <w:rFonts w:ascii="Arial Narrow" w:hAnsi="Arial Narrow"/>
                <w:b/>
                <w:bCs/>
                <w:kern w:val="2"/>
                <w:sz w:val="20"/>
                <w:szCs w:val="20"/>
              </w:rPr>
            </w:pPr>
            <w:r>
              <w:rPr>
                <w:rFonts w:ascii="Arial Narrow" w:hAnsi="Arial Narrow"/>
                <w:b/>
                <w:bCs/>
                <w:kern w:val="2"/>
                <w:sz w:val="20"/>
                <w:szCs w:val="20"/>
              </w:rPr>
              <w:t>MEDICINAL PRODUCT</w:t>
            </w:r>
          </w:p>
          <w:p w14:paraId="75A7A9A3" w14:textId="77777777" w:rsidR="00500AD1" w:rsidRDefault="00500AD1" w:rsidP="00025AAC">
            <w:pPr>
              <w:keepLines/>
              <w:rPr>
                <w:rFonts w:ascii="Arial Narrow" w:hAnsi="Arial Narrow"/>
                <w:b/>
                <w:kern w:val="2"/>
                <w:sz w:val="20"/>
                <w:szCs w:val="20"/>
              </w:rPr>
            </w:pPr>
            <w:r>
              <w:rPr>
                <w:rFonts w:ascii="Arial Narrow" w:hAnsi="Arial Narrow"/>
                <w:b/>
                <w:bCs/>
                <w:kern w:val="2"/>
                <w:sz w:val="20"/>
                <w:szCs w:val="20"/>
              </w:rPr>
              <w:t>medicinal product pack</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3B8B8" w14:textId="77777777" w:rsidR="00500AD1" w:rsidRDefault="00500AD1" w:rsidP="00025AAC">
            <w:pPr>
              <w:keepLines/>
              <w:jc w:val="center"/>
              <w:rPr>
                <w:rFonts w:ascii="Arial Narrow" w:hAnsi="Arial Narrow"/>
                <w:b/>
                <w:kern w:val="2"/>
                <w:sz w:val="20"/>
                <w:szCs w:val="20"/>
              </w:rPr>
            </w:pPr>
            <w:r>
              <w:rPr>
                <w:rFonts w:ascii="Arial Narrow" w:hAnsi="Arial Narrow"/>
                <w:b/>
                <w:kern w:val="2"/>
                <w:sz w:val="20"/>
                <w:szCs w:val="20"/>
              </w:rPr>
              <w:t>PBS item code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230E7" w14:textId="77777777" w:rsidR="00500AD1" w:rsidRDefault="00500AD1" w:rsidP="00025AAC">
            <w:pPr>
              <w:keepLines/>
              <w:jc w:val="center"/>
              <w:rPr>
                <w:rFonts w:ascii="Arial Narrow" w:hAnsi="Arial Narrow"/>
                <w:b/>
                <w:kern w:val="2"/>
                <w:sz w:val="20"/>
                <w:szCs w:val="20"/>
              </w:rPr>
            </w:pPr>
            <w:r>
              <w:rPr>
                <w:rFonts w:ascii="Arial Narrow" w:hAnsi="Arial Narrow"/>
                <w:b/>
                <w:kern w:val="2"/>
                <w:sz w:val="20"/>
                <w:szCs w:val="20"/>
              </w:rPr>
              <w:t>Max. qty packs</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AE163" w14:textId="77777777" w:rsidR="00500AD1" w:rsidRDefault="00500AD1" w:rsidP="00025AAC">
            <w:pPr>
              <w:keepLines/>
              <w:jc w:val="center"/>
              <w:rPr>
                <w:rFonts w:ascii="Arial Narrow" w:hAnsi="Arial Narrow"/>
                <w:b/>
                <w:kern w:val="2"/>
                <w:sz w:val="20"/>
                <w:szCs w:val="20"/>
              </w:rPr>
            </w:pPr>
            <w:r>
              <w:rPr>
                <w:rFonts w:ascii="Arial Narrow" w:hAnsi="Arial Narrow"/>
                <w:b/>
                <w:kern w:val="2"/>
                <w:sz w:val="20"/>
                <w:szCs w:val="20"/>
              </w:rPr>
              <w:t>Max. qty units</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57A25" w14:textId="77777777" w:rsidR="00500AD1" w:rsidRDefault="00500AD1" w:rsidP="00025AAC">
            <w:pPr>
              <w:keepLines/>
              <w:jc w:val="center"/>
              <w:rPr>
                <w:rFonts w:ascii="Arial Narrow" w:hAnsi="Arial Narrow"/>
                <w:b/>
                <w:kern w:val="2"/>
                <w:sz w:val="20"/>
                <w:szCs w:val="20"/>
              </w:rPr>
            </w:pPr>
            <w:proofErr w:type="gramStart"/>
            <w:r>
              <w:rPr>
                <w:rFonts w:ascii="Arial Narrow" w:hAnsi="Arial Narrow"/>
                <w:b/>
                <w:kern w:val="2"/>
                <w:sz w:val="20"/>
                <w:szCs w:val="20"/>
              </w:rPr>
              <w:t>№.of</w:t>
            </w:r>
            <w:proofErr w:type="gramEnd"/>
          </w:p>
          <w:p w14:paraId="4C9B957D" w14:textId="77777777" w:rsidR="00500AD1" w:rsidRDefault="00500AD1" w:rsidP="00025AAC">
            <w:pPr>
              <w:keepLines/>
              <w:jc w:val="center"/>
              <w:rPr>
                <w:rFonts w:ascii="Arial Narrow" w:hAnsi="Arial Narrow"/>
                <w:b/>
                <w:kern w:val="2"/>
                <w:sz w:val="20"/>
                <w:szCs w:val="20"/>
              </w:rPr>
            </w:pPr>
            <w:proofErr w:type="spellStart"/>
            <w:r>
              <w:rPr>
                <w:rFonts w:ascii="Arial Narrow" w:hAnsi="Arial Narrow"/>
                <w:b/>
                <w:kern w:val="2"/>
                <w:sz w:val="20"/>
                <w:szCs w:val="20"/>
              </w:rPr>
              <w:t>Rpts</w:t>
            </w:r>
            <w:proofErr w:type="spellEnd"/>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C2B128" w14:textId="77777777" w:rsidR="00500AD1" w:rsidRDefault="00500AD1" w:rsidP="00025AAC">
            <w:pPr>
              <w:keepLines/>
              <w:rPr>
                <w:rFonts w:ascii="Arial Narrow" w:hAnsi="Arial Narrow"/>
                <w:b/>
                <w:kern w:val="2"/>
                <w:sz w:val="20"/>
                <w:szCs w:val="20"/>
                <w:lang w:val="fr-FR"/>
              </w:rPr>
            </w:pPr>
            <w:r>
              <w:rPr>
                <w:rFonts w:ascii="Arial Narrow" w:hAnsi="Arial Narrow"/>
                <w:b/>
                <w:kern w:val="2"/>
                <w:sz w:val="20"/>
                <w:szCs w:val="20"/>
              </w:rPr>
              <w:t>Available brands</w:t>
            </w:r>
          </w:p>
        </w:tc>
      </w:tr>
      <w:tr w:rsidR="00500AD1" w14:paraId="71D77D0F"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EC490" w14:textId="77777777" w:rsidR="00500AD1" w:rsidRDefault="00500AD1" w:rsidP="00025AAC">
            <w:pPr>
              <w:keepLines/>
              <w:rPr>
                <w:rFonts w:ascii="Arial Narrow" w:hAnsi="Arial Narrow"/>
                <w:kern w:val="2"/>
                <w:sz w:val="20"/>
                <w:szCs w:val="20"/>
              </w:rPr>
            </w:pPr>
            <w:r>
              <w:rPr>
                <w:rFonts w:ascii="Arial Narrow" w:hAnsi="Arial Narrow"/>
                <w:kern w:val="2"/>
                <w:sz w:val="20"/>
                <w:szCs w:val="20"/>
              </w:rPr>
              <w:t>PEGVALIASE</w:t>
            </w:r>
          </w:p>
        </w:tc>
      </w:tr>
      <w:tr w:rsidR="00500AD1" w14:paraId="3D3450E4" w14:textId="77777777" w:rsidTr="0C90D5AB">
        <w:trPr>
          <w:cantSplit/>
          <w:trHeight w:val="20"/>
        </w:trPr>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E5A3DA" w14:textId="77777777" w:rsidR="00500AD1" w:rsidRDefault="00500AD1" w:rsidP="00025AAC">
            <w:pPr>
              <w:keepLines/>
              <w:rPr>
                <w:rFonts w:ascii="Arial Narrow" w:hAnsi="Arial Narrow"/>
                <w:kern w:val="2"/>
                <w:sz w:val="20"/>
                <w:szCs w:val="20"/>
              </w:rPr>
            </w:pPr>
            <w:proofErr w:type="spellStart"/>
            <w:r w:rsidRPr="00430A25">
              <w:rPr>
                <w:rFonts w:ascii="Arial Narrow" w:hAnsi="Arial Narrow"/>
                <w:kern w:val="2"/>
                <w:sz w:val="20"/>
                <w:szCs w:val="20"/>
              </w:rPr>
              <w:t>pegvaliase</w:t>
            </w:r>
            <w:proofErr w:type="spellEnd"/>
            <w:r w:rsidRPr="00430A25">
              <w:rPr>
                <w:rFonts w:ascii="Arial Narrow" w:hAnsi="Arial Narrow"/>
                <w:kern w:val="2"/>
                <w:sz w:val="20"/>
                <w:szCs w:val="20"/>
              </w:rPr>
              <w:t xml:space="preserve"> 2.5 mg/0.5 mL injection, 0.5 mL syringe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BE8B0"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 xml:space="preserve">NEW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AAA9F1" w14:textId="77777777" w:rsidR="00500AD1" w:rsidRDefault="00500AD1" w:rsidP="00025AAC">
            <w:pPr>
              <w:keepLines/>
              <w:jc w:val="center"/>
              <w:rPr>
                <w:rFonts w:ascii="Arial Narrow" w:hAnsi="Arial Narrow"/>
                <w:kern w:val="2"/>
                <w:sz w:val="20"/>
                <w:szCs w:val="20"/>
              </w:rPr>
            </w:pPr>
            <w:r w:rsidRPr="006B6CBB">
              <w:rPr>
                <w:rFonts w:ascii="Arial Narrow" w:hAnsi="Arial Narrow"/>
                <w:strike/>
                <w:kern w:val="2"/>
                <w:sz w:val="20"/>
                <w:szCs w:val="20"/>
              </w:rPr>
              <w:t xml:space="preserve">1 </w:t>
            </w:r>
            <w:r w:rsidRPr="006B6CBB">
              <w:rPr>
                <w:rFonts w:ascii="Arial Narrow" w:hAnsi="Arial Narrow"/>
                <w:i/>
                <w:iCs/>
                <w:kern w:val="2"/>
                <w:sz w:val="20"/>
                <w:szCs w:val="20"/>
              </w:rPr>
              <w:t>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63BB8" w14:textId="77777777" w:rsidR="00500AD1" w:rsidRDefault="00500AD1" w:rsidP="00025AAC">
            <w:pPr>
              <w:keepLines/>
              <w:jc w:val="center"/>
              <w:rPr>
                <w:rFonts w:ascii="Arial Narrow" w:hAnsi="Arial Narrow"/>
                <w:i/>
                <w:iCs/>
                <w:kern w:val="2"/>
                <w:sz w:val="20"/>
                <w:szCs w:val="20"/>
              </w:rPr>
            </w:pPr>
            <w:r w:rsidRPr="006B6CBB">
              <w:rPr>
                <w:rFonts w:ascii="Arial Narrow" w:hAnsi="Arial Narrow"/>
                <w:strike/>
                <w:kern w:val="2"/>
                <w:sz w:val="20"/>
                <w:szCs w:val="20"/>
              </w:rPr>
              <w:t>1</w:t>
            </w:r>
            <w:r>
              <w:rPr>
                <w:rFonts w:ascii="Arial Narrow" w:hAnsi="Arial Narrow"/>
                <w:kern w:val="2"/>
                <w:sz w:val="20"/>
                <w:szCs w:val="20"/>
              </w:rPr>
              <w:t xml:space="preserve"> </w:t>
            </w:r>
            <w:r w:rsidRPr="006B6CBB">
              <w:rPr>
                <w:rFonts w:ascii="Arial Narrow" w:hAnsi="Arial Narrow"/>
                <w:i/>
                <w:iCs/>
                <w:kern w:val="2"/>
                <w:sz w:val="20"/>
                <w:szCs w:val="20"/>
              </w:rPr>
              <w:t>84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DF263"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5</w:t>
            </w:r>
          </w:p>
        </w:tc>
        <w:tc>
          <w:tcPr>
            <w:tcW w:w="17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89336"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Palynziq</w:t>
            </w:r>
          </w:p>
        </w:tc>
      </w:tr>
      <w:tr w:rsidR="00500AD1" w14:paraId="60D850C5" w14:textId="77777777" w:rsidTr="0C90D5AB">
        <w:trPr>
          <w:cantSplit/>
          <w:trHeight w:val="20"/>
        </w:trPr>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FFF3E" w14:textId="77777777" w:rsidR="00500AD1" w:rsidRDefault="00500AD1" w:rsidP="00025AAC">
            <w:pPr>
              <w:keepLines/>
              <w:rPr>
                <w:rFonts w:ascii="Arial Narrow" w:hAnsi="Arial Narrow"/>
                <w:kern w:val="2"/>
                <w:sz w:val="20"/>
                <w:szCs w:val="20"/>
              </w:rPr>
            </w:pPr>
            <w:proofErr w:type="spellStart"/>
            <w:r w:rsidRPr="00430A25">
              <w:rPr>
                <w:rFonts w:ascii="Arial Narrow" w:hAnsi="Arial Narrow"/>
                <w:kern w:val="2"/>
                <w:sz w:val="20"/>
                <w:szCs w:val="20"/>
              </w:rPr>
              <w:t>pegvaliase</w:t>
            </w:r>
            <w:proofErr w:type="spellEnd"/>
            <w:r w:rsidRPr="00430A25">
              <w:rPr>
                <w:rFonts w:ascii="Arial Narrow" w:hAnsi="Arial Narrow"/>
                <w:kern w:val="2"/>
                <w:sz w:val="20"/>
                <w:szCs w:val="20"/>
              </w:rPr>
              <w:t xml:space="preserve"> 10 mg/0.5 mL injection, 0.5 mL syringe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F9AC8"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NEW</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A1B969" w14:textId="77777777" w:rsidR="00500AD1" w:rsidRDefault="00500AD1" w:rsidP="00025AAC">
            <w:pPr>
              <w:keepLines/>
              <w:jc w:val="center"/>
              <w:rPr>
                <w:rFonts w:ascii="Arial Narrow" w:hAnsi="Arial Narrow"/>
                <w:kern w:val="2"/>
                <w:sz w:val="20"/>
                <w:szCs w:val="20"/>
              </w:rPr>
            </w:pPr>
            <w:r w:rsidRPr="006B6CBB">
              <w:rPr>
                <w:rFonts w:ascii="Arial Narrow" w:hAnsi="Arial Narrow"/>
                <w:strike/>
                <w:kern w:val="2"/>
                <w:sz w:val="20"/>
                <w:szCs w:val="20"/>
              </w:rPr>
              <w:t>1</w:t>
            </w:r>
            <w:r>
              <w:rPr>
                <w:rFonts w:ascii="Arial Narrow" w:hAnsi="Arial Narrow"/>
                <w:kern w:val="2"/>
                <w:sz w:val="20"/>
                <w:szCs w:val="20"/>
              </w:rPr>
              <w:t xml:space="preserve"> </w:t>
            </w:r>
            <w:r w:rsidRPr="006B6CBB">
              <w:rPr>
                <w:rFonts w:ascii="Arial Narrow" w:hAnsi="Arial Narrow"/>
                <w:i/>
                <w:iCs/>
                <w:kern w:val="2"/>
                <w:sz w:val="20"/>
                <w:szCs w:val="20"/>
              </w:rPr>
              <w:t>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2A0F3" w14:textId="77777777" w:rsidR="00500AD1" w:rsidRDefault="00500AD1" w:rsidP="00025AAC">
            <w:pPr>
              <w:keepLines/>
              <w:jc w:val="center"/>
              <w:rPr>
                <w:rFonts w:ascii="Arial Narrow" w:hAnsi="Arial Narrow"/>
                <w:i/>
                <w:iCs/>
                <w:kern w:val="2"/>
                <w:sz w:val="20"/>
                <w:szCs w:val="20"/>
              </w:rPr>
            </w:pPr>
            <w:r w:rsidRPr="006B6CBB">
              <w:rPr>
                <w:rFonts w:ascii="Arial Narrow" w:hAnsi="Arial Narrow"/>
                <w:strike/>
                <w:kern w:val="2"/>
                <w:sz w:val="20"/>
                <w:szCs w:val="20"/>
              </w:rPr>
              <w:t>1</w:t>
            </w:r>
            <w:r>
              <w:rPr>
                <w:rFonts w:ascii="Arial Narrow" w:hAnsi="Arial Narrow"/>
                <w:kern w:val="2"/>
                <w:sz w:val="20"/>
                <w:szCs w:val="20"/>
              </w:rPr>
              <w:t xml:space="preserve"> </w:t>
            </w:r>
            <w:r w:rsidRPr="006B6CBB">
              <w:rPr>
                <w:rFonts w:ascii="Arial Narrow" w:hAnsi="Arial Narrow"/>
                <w:i/>
                <w:iCs/>
                <w:kern w:val="2"/>
                <w:sz w:val="20"/>
                <w:szCs w:val="20"/>
              </w:rPr>
              <w:t>28</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5FC5"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5</w:t>
            </w:r>
          </w:p>
        </w:tc>
        <w:tc>
          <w:tcPr>
            <w:tcW w:w="1702" w:type="dxa"/>
            <w:vMerge/>
            <w:vAlign w:val="center"/>
          </w:tcPr>
          <w:p w14:paraId="4F67EC12" w14:textId="77777777" w:rsidR="00500AD1" w:rsidRDefault="00500AD1" w:rsidP="00025AAC">
            <w:pPr>
              <w:keepLines/>
              <w:jc w:val="center"/>
              <w:rPr>
                <w:rFonts w:ascii="Arial Narrow" w:hAnsi="Arial Narrow"/>
                <w:kern w:val="2"/>
                <w:sz w:val="20"/>
                <w:szCs w:val="20"/>
              </w:rPr>
            </w:pPr>
          </w:p>
        </w:tc>
      </w:tr>
      <w:tr w:rsidR="00500AD1" w14:paraId="1A65737F" w14:textId="77777777" w:rsidTr="0C90D5AB">
        <w:trPr>
          <w:cantSplit/>
          <w:trHeight w:val="20"/>
        </w:trPr>
        <w:tc>
          <w:tcPr>
            <w:tcW w:w="353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F746C" w14:textId="77777777" w:rsidR="00500AD1" w:rsidRDefault="00500AD1" w:rsidP="00025AAC">
            <w:pPr>
              <w:keepLines/>
              <w:rPr>
                <w:rFonts w:ascii="Arial Narrow" w:hAnsi="Arial Narrow"/>
                <w:kern w:val="2"/>
                <w:sz w:val="20"/>
                <w:szCs w:val="20"/>
              </w:rPr>
            </w:pPr>
            <w:proofErr w:type="spellStart"/>
            <w:r w:rsidRPr="00430A25">
              <w:rPr>
                <w:rFonts w:ascii="Arial Narrow" w:hAnsi="Arial Narrow"/>
                <w:kern w:val="2"/>
                <w:sz w:val="20"/>
                <w:szCs w:val="20"/>
              </w:rPr>
              <w:t>pegvaliase</w:t>
            </w:r>
            <w:proofErr w:type="spellEnd"/>
            <w:r w:rsidRPr="00430A25">
              <w:rPr>
                <w:rFonts w:ascii="Arial Narrow" w:hAnsi="Arial Narrow"/>
                <w:kern w:val="2"/>
                <w:sz w:val="20"/>
                <w:szCs w:val="20"/>
              </w:rPr>
              <w:t xml:space="preserve"> 20 mg/mL injection, 10 x 1 mL syringe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251CA"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 xml:space="preserve">NEW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88434" w14:textId="77777777" w:rsidR="00500AD1" w:rsidRDefault="00500AD1" w:rsidP="00025AAC">
            <w:pPr>
              <w:keepLines/>
              <w:jc w:val="center"/>
              <w:rPr>
                <w:rFonts w:ascii="Arial Narrow" w:hAnsi="Arial Narrow"/>
                <w:kern w:val="2"/>
                <w:sz w:val="20"/>
                <w:szCs w:val="20"/>
              </w:rPr>
            </w:pPr>
            <w:r w:rsidRPr="006B6CBB">
              <w:rPr>
                <w:rFonts w:ascii="Arial Narrow" w:hAnsi="Arial Narrow"/>
                <w:strike/>
                <w:kern w:val="2"/>
                <w:sz w:val="20"/>
                <w:szCs w:val="20"/>
              </w:rPr>
              <w:t>1</w:t>
            </w:r>
            <w:r>
              <w:rPr>
                <w:rFonts w:ascii="Arial Narrow" w:hAnsi="Arial Narrow"/>
                <w:kern w:val="2"/>
                <w:sz w:val="20"/>
                <w:szCs w:val="20"/>
              </w:rPr>
              <w:t xml:space="preserve"> </w:t>
            </w:r>
            <w:r w:rsidRPr="006B6CBB">
              <w:rPr>
                <w:rFonts w:ascii="Arial Narrow" w:hAnsi="Arial Narrow"/>
                <w:i/>
                <w:iCs/>
                <w:kern w:val="2"/>
                <w:sz w:val="20"/>
                <w:szCs w:val="20"/>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04A637" w14:textId="77777777" w:rsidR="00500AD1" w:rsidRDefault="00500AD1" w:rsidP="00025AAC">
            <w:pPr>
              <w:keepLines/>
              <w:jc w:val="center"/>
              <w:rPr>
                <w:rFonts w:ascii="Arial Narrow" w:hAnsi="Arial Narrow"/>
                <w:kern w:val="2"/>
                <w:sz w:val="20"/>
                <w:szCs w:val="20"/>
              </w:rPr>
            </w:pPr>
            <w:r w:rsidRPr="006B6CBB">
              <w:rPr>
                <w:rFonts w:ascii="Arial Narrow" w:hAnsi="Arial Narrow"/>
                <w:strike/>
                <w:kern w:val="2"/>
                <w:sz w:val="20"/>
                <w:szCs w:val="20"/>
              </w:rPr>
              <w:t>10</w:t>
            </w:r>
            <w:r>
              <w:rPr>
                <w:rFonts w:ascii="Arial Narrow" w:hAnsi="Arial Narrow"/>
                <w:kern w:val="2"/>
                <w:sz w:val="20"/>
                <w:szCs w:val="20"/>
              </w:rPr>
              <w:t xml:space="preserve"> </w:t>
            </w:r>
            <w:r w:rsidRPr="006B6CBB">
              <w:rPr>
                <w:rFonts w:ascii="Arial Narrow" w:hAnsi="Arial Narrow"/>
                <w:i/>
                <w:iCs/>
                <w:kern w:val="2"/>
                <w:sz w:val="20"/>
                <w:szCs w:val="20"/>
              </w:rPr>
              <w:t>90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97853" w14:textId="77777777" w:rsidR="00500AD1" w:rsidRDefault="00500AD1" w:rsidP="00025AAC">
            <w:pPr>
              <w:keepLines/>
              <w:jc w:val="center"/>
              <w:rPr>
                <w:rFonts w:ascii="Arial Narrow" w:hAnsi="Arial Narrow"/>
                <w:kern w:val="2"/>
                <w:sz w:val="20"/>
                <w:szCs w:val="20"/>
              </w:rPr>
            </w:pPr>
            <w:r>
              <w:rPr>
                <w:rFonts w:ascii="Arial Narrow" w:hAnsi="Arial Narrow"/>
                <w:kern w:val="2"/>
                <w:sz w:val="20"/>
                <w:szCs w:val="20"/>
              </w:rPr>
              <w:t>5</w:t>
            </w:r>
          </w:p>
        </w:tc>
        <w:tc>
          <w:tcPr>
            <w:tcW w:w="1702" w:type="dxa"/>
            <w:vMerge/>
            <w:vAlign w:val="center"/>
          </w:tcPr>
          <w:p w14:paraId="1B39FB2B" w14:textId="77777777" w:rsidR="00500AD1" w:rsidRDefault="00500AD1" w:rsidP="00025AAC">
            <w:pPr>
              <w:keepLines/>
              <w:jc w:val="center"/>
              <w:rPr>
                <w:rFonts w:ascii="Arial Narrow" w:hAnsi="Arial Narrow"/>
                <w:kern w:val="2"/>
                <w:sz w:val="20"/>
                <w:szCs w:val="20"/>
              </w:rPr>
            </w:pPr>
          </w:p>
        </w:tc>
      </w:tr>
      <w:tr w:rsidR="00500AD1" w14:paraId="176059B2" w14:textId="77777777" w:rsidTr="0C90D5AB">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410C7E91" w14:textId="77777777" w:rsidR="00500AD1" w:rsidRDefault="00500AD1" w:rsidP="00025AAC">
            <w:pPr>
              <w:rPr>
                <w:rFonts w:ascii="Arial Narrow" w:hAnsi="Arial Narrow"/>
                <w:kern w:val="2"/>
                <w:sz w:val="20"/>
                <w:szCs w:val="20"/>
              </w:rPr>
            </w:pPr>
          </w:p>
        </w:tc>
      </w:tr>
      <w:tr w:rsidR="00500AD1" w14:paraId="32C485B8" w14:textId="77777777" w:rsidTr="0C90D5AB">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65DAD0C" w14:textId="77777777" w:rsidR="00500AD1" w:rsidRDefault="00500AD1" w:rsidP="00025AAC">
            <w:pPr>
              <w:keepLines/>
              <w:jc w:val="left"/>
              <w:rPr>
                <w:rFonts w:ascii="Arial Narrow" w:hAnsi="Arial Narrow"/>
                <w:kern w:val="2"/>
                <w:sz w:val="20"/>
                <w:szCs w:val="20"/>
              </w:rPr>
            </w:pPr>
            <w:r>
              <w:rPr>
                <w:rFonts w:ascii="Arial Narrow" w:hAnsi="Arial Narrow"/>
                <w:b/>
                <w:kern w:val="2"/>
                <w:sz w:val="20"/>
                <w:szCs w:val="20"/>
              </w:rPr>
              <w:t>Category / Program:</w:t>
            </w:r>
            <w:r>
              <w:rPr>
                <w:rFonts w:ascii="Arial Narrow" w:hAnsi="Arial Narrow"/>
                <w:kern w:val="2"/>
                <w:sz w:val="20"/>
                <w:szCs w:val="20"/>
              </w:rPr>
              <w:t xml:space="preserve"> </w:t>
            </w:r>
            <w:r>
              <w:fldChar w:fldCharType="begin">
                <w:ffData>
                  <w:name w:val="Bookmark Copy 4"/>
                  <w:enabled/>
                  <w:calcOnExit w:val="0"/>
                  <w:checkBox>
                    <w:sizeAuto/>
                    <w:default w:val="0"/>
                    <w:checked/>
                  </w:checkBox>
                </w:ffData>
              </w:fldChar>
            </w:r>
            <w:r>
              <w:rPr>
                <w:rFonts w:ascii="Arial Narrow" w:hAnsi="Arial Narrow"/>
                <w:kern w:val="2"/>
                <w:sz w:val="20"/>
                <w:szCs w:val="20"/>
              </w:rPr>
              <w:instrText xml:space="preserve"> FORMCHECKBOX </w:instrText>
            </w:r>
            <w:r>
              <w:rPr>
                <w:rFonts w:ascii="Arial Narrow" w:hAnsi="Arial Narrow"/>
                <w:kern w:val="2"/>
                <w:sz w:val="20"/>
                <w:szCs w:val="20"/>
              </w:rPr>
            </w:r>
            <w:r>
              <w:rPr>
                <w:rFonts w:ascii="Arial Narrow" w:hAnsi="Arial Narrow"/>
                <w:kern w:val="2"/>
                <w:sz w:val="20"/>
                <w:szCs w:val="20"/>
              </w:rPr>
              <w:fldChar w:fldCharType="separate"/>
            </w:r>
            <w:r>
              <w:rPr>
                <w:rFonts w:ascii="Arial Narrow" w:hAnsi="Arial Narrow"/>
                <w:kern w:val="2"/>
                <w:sz w:val="20"/>
                <w:szCs w:val="20"/>
              </w:rPr>
              <w:fldChar w:fldCharType="end"/>
            </w:r>
            <w:r>
              <w:rPr>
                <w:rFonts w:ascii="Arial Narrow" w:hAnsi="Arial Narrow"/>
                <w:kern w:val="2"/>
                <w:sz w:val="20"/>
                <w:szCs w:val="20"/>
              </w:rPr>
              <w:t xml:space="preserve"> </w:t>
            </w:r>
            <w:r>
              <w:rPr>
                <w:rFonts w:ascii="Arial Narrow" w:eastAsia="Calibri" w:hAnsi="Arial Narrow"/>
                <w:sz w:val="20"/>
                <w:szCs w:val="20"/>
              </w:rPr>
              <w:t>GENERAL - General Schedule (Code GE)</w:t>
            </w:r>
          </w:p>
        </w:tc>
      </w:tr>
      <w:tr w:rsidR="00500AD1" w14:paraId="24000F68" w14:textId="77777777" w:rsidTr="0C90D5AB">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384AADF3" w14:textId="77777777" w:rsidR="00500AD1" w:rsidRDefault="00500AD1" w:rsidP="00025AAC">
            <w:pPr>
              <w:keepLines/>
              <w:rPr>
                <w:rFonts w:ascii="Arial Narrow" w:hAnsi="Arial Narrow"/>
                <w:b/>
                <w:kern w:val="2"/>
                <w:sz w:val="20"/>
                <w:szCs w:val="20"/>
              </w:rPr>
            </w:pPr>
            <w:r>
              <w:rPr>
                <w:rFonts w:ascii="Arial Narrow" w:hAnsi="Arial Narrow"/>
                <w:b/>
                <w:kern w:val="2"/>
                <w:sz w:val="20"/>
                <w:szCs w:val="20"/>
              </w:rPr>
              <w:t xml:space="preserve">Prescriber type: </w:t>
            </w:r>
            <w:r>
              <w:fldChar w:fldCharType="begin">
                <w:ffData>
                  <w:name w:val="Bookmark Copy 5"/>
                  <w:enabled/>
                  <w:calcOnExit w:val="0"/>
                  <w:checkBox>
                    <w:sizeAuto/>
                    <w:default w:val="0"/>
                    <w:checked/>
                  </w:checkBox>
                </w:ffData>
              </w:fldChar>
            </w:r>
            <w:r>
              <w:rPr>
                <w:rFonts w:ascii="Arial Narrow" w:hAnsi="Arial Narrow"/>
                <w:b/>
                <w:kern w:val="2"/>
                <w:sz w:val="20"/>
                <w:szCs w:val="20"/>
              </w:rPr>
              <w:instrText xml:space="preserve"> FORMCHECKBOX </w:instrText>
            </w:r>
            <w:r>
              <w:rPr>
                <w:rFonts w:ascii="Arial Narrow" w:hAnsi="Arial Narrow"/>
                <w:b/>
                <w:kern w:val="2"/>
                <w:sz w:val="20"/>
                <w:szCs w:val="20"/>
              </w:rPr>
            </w:r>
            <w:r>
              <w:rPr>
                <w:rFonts w:ascii="Arial Narrow" w:hAnsi="Arial Narrow"/>
                <w:b/>
                <w:kern w:val="2"/>
                <w:sz w:val="20"/>
                <w:szCs w:val="20"/>
              </w:rPr>
              <w:fldChar w:fldCharType="separate"/>
            </w:r>
            <w:r>
              <w:rPr>
                <w:rFonts w:ascii="Arial Narrow" w:hAnsi="Arial Narrow"/>
                <w:b/>
                <w:kern w:val="2"/>
                <w:sz w:val="20"/>
                <w:szCs w:val="20"/>
              </w:rPr>
              <w:fldChar w:fldCharType="end"/>
            </w:r>
            <w:r>
              <w:rPr>
                <w:rFonts w:ascii="Arial Narrow" w:hAnsi="Arial Narrow"/>
                <w:kern w:val="2"/>
                <w:sz w:val="20"/>
                <w:szCs w:val="20"/>
              </w:rPr>
              <w:t xml:space="preserve"> Medical Practitioners </w:t>
            </w:r>
            <w:r>
              <w:fldChar w:fldCharType="begin">
                <w:ffData>
                  <w:name w:val="Bookmark Copy 6"/>
                  <w:enabled/>
                  <w:calcOnExit w:val="0"/>
                  <w:checkBox>
                    <w:sizeAuto/>
                    <w:default w:val="0"/>
                    <w:checked/>
                  </w:checkBox>
                </w:ffData>
              </w:fldChar>
            </w:r>
            <w:r>
              <w:rPr>
                <w:rFonts w:ascii="Arial Narrow" w:hAnsi="Arial Narrow"/>
                <w:kern w:val="2"/>
                <w:sz w:val="20"/>
                <w:szCs w:val="20"/>
              </w:rPr>
              <w:instrText xml:space="preserve"> FORMCHECKBOX </w:instrText>
            </w:r>
            <w:r>
              <w:rPr>
                <w:rFonts w:ascii="Arial Narrow" w:hAnsi="Arial Narrow"/>
                <w:kern w:val="2"/>
                <w:sz w:val="20"/>
                <w:szCs w:val="20"/>
              </w:rPr>
            </w:r>
            <w:r>
              <w:rPr>
                <w:rFonts w:ascii="Arial Narrow" w:hAnsi="Arial Narrow"/>
                <w:kern w:val="2"/>
                <w:sz w:val="20"/>
                <w:szCs w:val="20"/>
              </w:rPr>
              <w:fldChar w:fldCharType="separate"/>
            </w:r>
            <w:r>
              <w:rPr>
                <w:rFonts w:ascii="Arial Narrow" w:hAnsi="Arial Narrow"/>
                <w:kern w:val="2"/>
                <w:sz w:val="20"/>
                <w:szCs w:val="20"/>
              </w:rPr>
              <w:fldChar w:fldCharType="end"/>
            </w:r>
            <w:r>
              <w:rPr>
                <w:rFonts w:ascii="Arial Narrow" w:hAnsi="Arial Narrow"/>
                <w:kern w:val="2"/>
                <w:sz w:val="20"/>
                <w:szCs w:val="20"/>
              </w:rPr>
              <w:t xml:space="preserve"> Nurse Practitioners</w:t>
            </w:r>
          </w:p>
        </w:tc>
      </w:tr>
      <w:tr w:rsidR="00500AD1" w14:paraId="2A76DD70" w14:textId="77777777" w:rsidTr="0C90D5AB">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315BD13D" w14:textId="77777777" w:rsidR="00500AD1" w:rsidRDefault="00500AD1" w:rsidP="00025AAC">
            <w:pPr>
              <w:keepLines/>
              <w:jc w:val="left"/>
              <w:rPr>
                <w:rFonts w:ascii="Arial Narrow" w:hAnsi="Arial Narrow"/>
                <w:kern w:val="2"/>
                <w:sz w:val="20"/>
                <w:szCs w:val="20"/>
              </w:rPr>
            </w:pPr>
            <w:r>
              <w:rPr>
                <w:rFonts w:ascii="Arial Narrow" w:hAnsi="Arial Narrow"/>
                <w:b/>
                <w:kern w:val="2"/>
                <w:sz w:val="20"/>
                <w:szCs w:val="20"/>
              </w:rPr>
              <w:t xml:space="preserve">Benefit type: </w:t>
            </w:r>
            <w:r>
              <w:fldChar w:fldCharType="begin">
                <w:ffData>
                  <w:name w:val="Bookmark Copy 7"/>
                  <w:enabled/>
                  <w:calcOnExit w:val="0"/>
                  <w:checkBox>
                    <w:sizeAuto/>
                    <w:default w:val="0"/>
                    <w:checked/>
                  </w:checkBox>
                </w:ffData>
              </w:fldChar>
            </w:r>
            <w:r>
              <w:rPr>
                <w:rFonts w:ascii="Arial Narrow" w:hAnsi="Arial Narrow"/>
                <w:b/>
                <w:kern w:val="2"/>
                <w:sz w:val="20"/>
                <w:szCs w:val="20"/>
              </w:rPr>
              <w:instrText xml:space="preserve"> FORMCHECKBOX </w:instrText>
            </w:r>
            <w:r>
              <w:rPr>
                <w:rFonts w:ascii="Arial Narrow" w:hAnsi="Arial Narrow"/>
                <w:b/>
                <w:kern w:val="2"/>
                <w:sz w:val="20"/>
                <w:szCs w:val="20"/>
              </w:rPr>
            </w:r>
            <w:r>
              <w:rPr>
                <w:rFonts w:ascii="Arial Narrow" w:hAnsi="Arial Narrow"/>
                <w:b/>
                <w:kern w:val="2"/>
                <w:sz w:val="20"/>
                <w:szCs w:val="20"/>
              </w:rPr>
              <w:fldChar w:fldCharType="separate"/>
            </w:r>
            <w:r>
              <w:rPr>
                <w:rFonts w:ascii="Arial Narrow" w:hAnsi="Arial Narrow"/>
                <w:b/>
                <w:kern w:val="2"/>
                <w:sz w:val="20"/>
                <w:szCs w:val="20"/>
              </w:rPr>
              <w:fldChar w:fldCharType="end"/>
            </w:r>
            <w:r>
              <w:rPr>
                <w:rFonts w:ascii="Arial Narrow" w:hAnsi="Arial Narrow"/>
                <w:kern w:val="2"/>
                <w:sz w:val="20"/>
                <w:szCs w:val="20"/>
              </w:rPr>
              <w:t xml:space="preserve"> </w:t>
            </w:r>
            <w:r>
              <w:rPr>
                <w:rFonts w:ascii="Arial Narrow" w:eastAsia="Calibri" w:hAnsi="Arial Narrow"/>
                <w:kern w:val="2"/>
                <w:sz w:val="20"/>
                <w:szCs w:val="20"/>
              </w:rPr>
              <w:t xml:space="preserve">Authority Required (Telephone/ Online PBS Authorities System) </w:t>
            </w:r>
          </w:p>
        </w:tc>
      </w:tr>
      <w:tr w:rsidR="00500AD1" w14:paraId="55E931AA" w14:textId="77777777" w:rsidTr="0C90D5AB">
        <w:trPr>
          <w:trHeight w:val="10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2D19E815" w14:textId="505BBD39" w:rsidR="00500AD1" w:rsidRDefault="00500AD1" w:rsidP="00025AAC">
            <w:pPr>
              <w:pStyle w:val="pf0"/>
              <w:spacing w:beforeAutospacing="0" w:afterAutospacing="0" w:line="257" w:lineRule="auto"/>
              <w:rPr>
                <w:rFonts w:ascii="Arial Narrow" w:hAnsi="Arial Narrow" w:cs="Arial"/>
                <w:b/>
                <w:kern w:val="2"/>
                <w:sz w:val="20"/>
                <w:szCs w:val="20"/>
                <w:lang w:eastAsia="en-US"/>
                <w14:ligatures w14:val="standardContextual"/>
              </w:rPr>
            </w:pPr>
            <w:r>
              <w:rPr>
                <w:rFonts w:ascii="Arial Narrow" w:hAnsi="Arial Narrow" w:cs="Arial"/>
                <w:b/>
                <w:kern w:val="2"/>
                <w:sz w:val="20"/>
                <w:szCs w:val="20"/>
                <w:lang w:eastAsia="en-US"/>
                <w14:ligatures w14:val="standardContextual"/>
              </w:rPr>
              <w:t>Prescribing rule level:</w:t>
            </w:r>
            <w:r w:rsidR="00025AAC">
              <w:rPr>
                <w:rFonts w:ascii="Arial Narrow" w:hAnsi="Arial Narrow" w:cs="Arial"/>
                <w:b/>
                <w:kern w:val="2"/>
                <w:sz w:val="20"/>
                <w:szCs w:val="20"/>
                <w:lang w:eastAsia="en-US"/>
                <w14:ligatures w14:val="standardContextual"/>
              </w:rPr>
              <w:t xml:space="preserve"> </w:t>
            </w:r>
          </w:p>
        </w:tc>
      </w:tr>
      <w:tr w:rsidR="00500AD1" w:rsidRPr="00A45EDC" w14:paraId="0BBA3618" w14:textId="77777777" w:rsidTr="0C90D5AB">
        <w:trPr>
          <w:trHeight w:val="10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E231DE6" w14:textId="77777777" w:rsidR="00500AD1" w:rsidRPr="00A45EDC" w:rsidRDefault="00500AD1" w:rsidP="00025AAC">
            <w:pPr>
              <w:rPr>
                <w:rFonts w:ascii="Arial Narrow" w:hAnsi="Arial Narrow"/>
                <w:b/>
                <w:bCs/>
                <w:color w:val="333333"/>
                <w:kern w:val="2"/>
                <w:sz w:val="20"/>
                <w:szCs w:val="20"/>
              </w:rPr>
            </w:pPr>
            <w:r w:rsidRPr="00A45EDC">
              <w:rPr>
                <w:rFonts w:ascii="Arial Narrow" w:hAnsi="Arial Narrow"/>
                <w:b/>
                <w:bCs/>
                <w:color w:val="333333"/>
                <w:kern w:val="2"/>
                <w:sz w:val="20"/>
                <w:szCs w:val="20"/>
              </w:rPr>
              <w:lastRenderedPageBreak/>
              <w:t xml:space="preserve">Administrative Advice: </w:t>
            </w:r>
          </w:p>
          <w:p w14:paraId="543EE3E9" w14:textId="77777777" w:rsidR="00500AD1" w:rsidRPr="00A45EDC" w:rsidRDefault="00500AD1" w:rsidP="00025AAC">
            <w:pPr>
              <w:pStyle w:val="pf0"/>
              <w:spacing w:beforeAutospacing="0" w:afterAutospacing="0" w:line="257" w:lineRule="auto"/>
              <w:rPr>
                <w:rFonts w:ascii="Arial Narrow" w:hAnsi="Arial Narrow" w:cs="Arial"/>
                <w:b/>
                <w:kern w:val="2"/>
                <w:sz w:val="20"/>
                <w:szCs w:val="20"/>
                <w:lang w:eastAsia="en-US"/>
                <w14:ligatures w14:val="standardContextual"/>
              </w:rPr>
            </w:pPr>
            <w:r w:rsidRPr="00A45EDC">
              <w:rPr>
                <w:rFonts w:ascii="Arial Narrow" w:hAnsi="Arial Narrow" w:cs="Arial"/>
                <w:bCs/>
                <w:kern w:val="2"/>
                <w:sz w:val="20"/>
                <w:szCs w:val="20"/>
                <w:lang w:eastAsia="en-US"/>
                <w14:ligatures w14:val="standardContextual"/>
              </w:rPr>
              <w:t>No increase in the maximum quantity or number of units may be authorised.</w:t>
            </w:r>
          </w:p>
        </w:tc>
      </w:tr>
      <w:tr w:rsidR="00500AD1" w:rsidRPr="00A45EDC" w14:paraId="7906B66C" w14:textId="77777777" w:rsidTr="0C90D5AB">
        <w:trPr>
          <w:trHeight w:val="10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1B9DF09" w14:textId="77777777" w:rsidR="00500AD1" w:rsidRPr="006B6CBB" w:rsidRDefault="00500AD1" w:rsidP="00025AAC">
            <w:pPr>
              <w:rPr>
                <w:rFonts w:ascii="Arial Narrow" w:hAnsi="Arial Narrow"/>
                <w:b/>
                <w:bCs/>
                <w:i/>
                <w:iCs/>
                <w:color w:val="333333"/>
                <w:kern w:val="2"/>
                <w:sz w:val="20"/>
                <w:szCs w:val="20"/>
              </w:rPr>
            </w:pPr>
            <w:r w:rsidRPr="006B6CBB">
              <w:rPr>
                <w:rFonts w:ascii="Arial Narrow" w:hAnsi="Arial Narrow"/>
                <w:b/>
                <w:bCs/>
                <w:i/>
                <w:iCs/>
                <w:color w:val="333333"/>
                <w:kern w:val="2"/>
                <w:sz w:val="20"/>
                <w:szCs w:val="20"/>
              </w:rPr>
              <w:t xml:space="preserve">Administrative Advice: </w:t>
            </w:r>
          </w:p>
          <w:p w14:paraId="52AE051B" w14:textId="77777777" w:rsidR="00500AD1" w:rsidRPr="006B6CBB" w:rsidRDefault="00500AD1" w:rsidP="00025AAC">
            <w:pPr>
              <w:pStyle w:val="pf0"/>
              <w:spacing w:beforeAutospacing="0" w:afterAutospacing="0" w:line="257" w:lineRule="auto"/>
              <w:rPr>
                <w:rFonts w:ascii="Arial Narrow" w:hAnsi="Arial Narrow" w:cs="Arial"/>
                <w:b/>
                <w:i/>
                <w:iCs/>
                <w:kern w:val="2"/>
                <w:sz w:val="20"/>
                <w:szCs w:val="20"/>
                <w:lang w:eastAsia="en-US"/>
                <w14:ligatures w14:val="standardContextual"/>
              </w:rPr>
            </w:pPr>
            <w:r w:rsidRPr="006B6CBB">
              <w:rPr>
                <w:rFonts w:ascii="Arial Narrow" w:hAnsi="Arial Narrow" w:cs="Arial"/>
                <w:bCs/>
                <w:i/>
                <w:iCs/>
                <w:kern w:val="2"/>
                <w:sz w:val="20"/>
                <w:szCs w:val="20"/>
                <w:lang w:eastAsia="en-US"/>
                <w14:ligatures w14:val="standardContextual"/>
              </w:rPr>
              <w:t>No increase in the maximum number of repeats may be authorised.</w:t>
            </w:r>
          </w:p>
        </w:tc>
      </w:tr>
      <w:tr w:rsidR="00500AD1" w14:paraId="79644868" w14:textId="77777777" w:rsidTr="0C90D5AB">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1191475F" w14:textId="77777777" w:rsidR="00500AD1" w:rsidRDefault="00500AD1" w:rsidP="00025AAC">
            <w:pPr>
              <w:rPr>
                <w:rFonts w:ascii="Arial Narrow" w:hAnsi="Arial Narrow"/>
                <w:b/>
                <w:bCs/>
                <w:color w:val="333333"/>
                <w:kern w:val="2"/>
                <w:sz w:val="20"/>
                <w:szCs w:val="20"/>
              </w:rPr>
            </w:pPr>
            <w:r>
              <w:rPr>
                <w:rFonts w:ascii="Arial Narrow" w:hAnsi="Arial Narrow"/>
                <w:b/>
                <w:bCs/>
                <w:color w:val="333333"/>
                <w:kern w:val="2"/>
                <w:sz w:val="20"/>
                <w:szCs w:val="20"/>
              </w:rPr>
              <w:t xml:space="preserve">Administrative Advice: </w:t>
            </w:r>
          </w:p>
          <w:p w14:paraId="0D6BBDFD" w14:textId="77777777" w:rsidR="00500AD1" w:rsidRDefault="00500AD1" w:rsidP="00025AAC">
            <w:pPr>
              <w:rPr>
                <w:rFonts w:ascii="Arial Narrow" w:hAnsi="Arial Narrow"/>
                <w:kern w:val="2"/>
                <w:sz w:val="20"/>
                <w:szCs w:val="20"/>
              </w:rPr>
            </w:pPr>
            <w:r>
              <w:rPr>
                <w:rFonts w:ascii="Arial Narrow" w:hAnsi="Arial Narrow"/>
                <w:kern w:val="2"/>
                <w:sz w:val="20"/>
                <w:szCs w:val="20"/>
              </w:rPr>
              <w:t>Applications for authorisation under this restriction may be made in real time using the Online PBS Authorities system (see www.servicesaustralia.gov.au/HPOS) or by telephone by contacting Services Australia on 1800 888 333.</w:t>
            </w:r>
          </w:p>
        </w:tc>
      </w:tr>
      <w:tr w:rsidR="00500AD1" w14:paraId="7AA0BB5F" w14:textId="77777777" w:rsidTr="0C90D5AB">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173AB226" w14:textId="77777777" w:rsidR="00500AD1" w:rsidRPr="008D6695" w:rsidRDefault="00500AD1" w:rsidP="00025AAC">
            <w:pPr>
              <w:rPr>
                <w:rFonts w:ascii="Arial Narrow" w:hAnsi="Arial Narrow"/>
                <w:b/>
                <w:bCs/>
                <w:strike/>
                <w:color w:val="333333"/>
                <w:kern w:val="2"/>
                <w:sz w:val="20"/>
                <w:szCs w:val="20"/>
              </w:rPr>
            </w:pPr>
            <w:r w:rsidRPr="008D6695">
              <w:rPr>
                <w:rFonts w:ascii="Arial Narrow" w:hAnsi="Arial Narrow"/>
                <w:b/>
                <w:bCs/>
                <w:strike/>
                <w:color w:val="333333"/>
                <w:kern w:val="2"/>
                <w:sz w:val="20"/>
                <w:szCs w:val="20"/>
              </w:rPr>
              <w:t xml:space="preserve">Administrative Advice: </w:t>
            </w:r>
          </w:p>
          <w:p w14:paraId="41D112BA" w14:textId="77777777" w:rsidR="00500AD1" w:rsidRPr="008D6695" w:rsidRDefault="00500AD1" w:rsidP="00025AAC">
            <w:pPr>
              <w:rPr>
                <w:rFonts w:ascii="Arial Narrow" w:hAnsi="Arial Narrow"/>
                <w:strike/>
                <w:sz w:val="20"/>
                <w:szCs w:val="20"/>
              </w:rPr>
            </w:pPr>
            <w:r w:rsidRPr="008D6695">
              <w:rPr>
                <w:rFonts w:ascii="Arial Narrow" w:hAnsi="Arial Narrow"/>
                <w:strike/>
                <w:sz w:val="20"/>
                <w:szCs w:val="20"/>
              </w:rPr>
              <w:t>The ADHD-RS inattention subscale, with adult prompts, can be calculated here</w:t>
            </w:r>
            <w:r w:rsidRPr="008D6695">
              <w:rPr>
                <w:strike/>
              </w:rPr>
              <w:t xml:space="preserve"> </w:t>
            </w:r>
            <w:r w:rsidRPr="008D6695">
              <w:rPr>
                <w:rFonts w:ascii="Arial Narrow" w:hAnsi="Arial Narrow"/>
                <w:strike/>
                <w:sz w:val="20"/>
                <w:szCs w:val="20"/>
              </w:rPr>
              <w:t xml:space="preserve">https://www.qandadhd.com/Content/pdf/ADHD-RS-IV_Tear-Pad-with-Adult-Prompts.pdf </w:t>
            </w:r>
          </w:p>
          <w:p w14:paraId="0CC848E2" w14:textId="77777777" w:rsidR="00500AD1" w:rsidRDefault="00500AD1" w:rsidP="00025AAC">
            <w:pPr>
              <w:rPr>
                <w:rFonts w:ascii="Arial Narrow" w:hAnsi="Arial Narrow"/>
                <w:b/>
                <w:bCs/>
                <w:color w:val="333333"/>
                <w:kern w:val="2"/>
                <w:sz w:val="20"/>
                <w:szCs w:val="20"/>
              </w:rPr>
            </w:pPr>
            <w:r w:rsidRPr="008D6695">
              <w:rPr>
                <w:rFonts w:ascii="Arial Narrow" w:hAnsi="Arial Narrow"/>
                <w:strike/>
                <w:sz w:val="20"/>
                <w:szCs w:val="20"/>
              </w:rPr>
              <w:t>It comprises the following nine items: carelessness; difficulty sustaining attention in activities; listening; follow through; organisation; avoids/dislikes tasks requiring sustained mental effort; loses important items; easily distractable; and forgetful in daily activities. The severity of symptoms is rated on a four-point scale: 0 = none, 1 = mild, 2 = moderate, 3 = severe.</w:t>
            </w:r>
          </w:p>
        </w:tc>
      </w:tr>
      <w:tr w:rsidR="00500AD1" w:rsidRPr="00A45EDC" w14:paraId="76ACB159" w14:textId="77777777" w:rsidTr="0C90D5AB">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03413156" w14:textId="77777777" w:rsidR="00500AD1" w:rsidRDefault="00500AD1" w:rsidP="00025AAC">
            <w:pPr>
              <w:rPr>
                <w:rFonts w:ascii="Arial Narrow" w:hAnsi="Arial Narrow"/>
                <w:b/>
                <w:bCs/>
                <w:color w:val="333333"/>
                <w:kern w:val="2"/>
                <w:sz w:val="20"/>
                <w:szCs w:val="20"/>
              </w:rPr>
            </w:pPr>
            <w:r w:rsidRPr="00A45EDC">
              <w:rPr>
                <w:rFonts w:ascii="Arial Narrow" w:hAnsi="Arial Narrow"/>
                <w:b/>
                <w:bCs/>
                <w:color w:val="333333"/>
                <w:kern w:val="2"/>
                <w:sz w:val="20"/>
                <w:szCs w:val="20"/>
              </w:rPr>
              <w:t>Caution:</w:t>
            </w:r>
          </w:p>
          <w:p w14:paraId="770E739A" w14:textId="77777777" w:rsidR="00500AD1" w:rsidRPr="00393C4D" w:rsidRDefault="00500AD1" w:rsidP="00025AAC">
            <w:pPr>
              <w:rPr>
                <w:rFonts w:ascii="Arial Narrow" w:hAnsi="Arial Narrow"/>
                <w:strike/>
                <w:sz w:val="20"/>
                <w:szCs w:val="20"/>
              </w:rPr>
            </w:pPr>
            <w:r w:rsidRPr="00393C4D">
              <w:rPr>
                <w:rFonts w:ascii="Arial Narrow" w:hAnsi="Arial Narrow"/>
                <w:strike/>
                <w:sz w:val="20"/>
                <w:szCs w:val="20"/>
              </w:rPr>
              <w:t xml:space="preserve">Treatment with </w:t>
            </w:r>
            <w:proofErr w:type="spellStart"/>
            <w:r w:rsidRPr="00393C4D">
              <w:rPr>
                <w:rFonts w:ascii="Arial Narrow" w:hAnsi="Arial Narrow"/>
                <w:strike/>
                <w:sz w:val="20"/>
                <w:szCs w:val="20"/>
              </w:rPr>
              <w:t>pegvaliase</w:t>
            </w:r>
            <w:proofErr w:type="spellEnd"/>
            <w:r w:rsidRPr="00393C4D">
              <w:rPr>
                <w:rFonts w:ascii="Arial Narrow" w:hAnsi="Arial Narrow"/>
                <w:strike/>
                <w:sz w:val="20"/>
                <w:szCs w:val="20"/>
              </w:rPr>
              <w:t xml:space="preserve"> is associated with acute systemic hypersensitivity reactions. Patients should be instructed to recognise the signs and symptoms of acute systemic hypersensitivity reactions, in the proper emergency use of the adrenaline injection device, and the requirement to seek immediate medical care.</w:t>
            </w:r>
          </w:p>
          <w:p w14:paraId="0075C01B" w14:textId="77777777" w:rsidR="00500AD1" w:rsidRPr="00A45EDC" w:rsidRDefault="00500AD1" w:rsidP="00025AAC">
            <w:pPr>
              <w:rPr>
                <w:rFonts w:ascii="Arial Narrow" w:hAnsi="Arial Narrow"/>
                <w:b/>
                <w:bCs/>
                <w:color w:val="333333"/>
                <w:kern w:val="2"/>
                <w:sz w:val="20"/>
                <w:szCs w:val="20"/>
              </w:rPr>
            </w:pPr>
          </w:p>
          <w:p w14:paraId="4057783E" w14:textId="77777777" w:rsidR="00500AD1" w:rsidRPr="00393C4D" w:rsidRDefault="00500AD1" w:rsidP="00025AAC">
            <w:pPr>
              <w:rPr>
                <w:rFonts w:ascii="Arial Narrow" w:hAnsi="Arial Narrow"/>
                <w:b/>
                <w:bCs/>
                <w:i/>
                <w:iCs/>
                <w:color w:val="333333"/>
                <w:kern w:val="2"/>
                <w:sz w:val="20"/>
                <w:szCs w:val="20"/>
              </w:rPr>
            </w:pPr>
            <w:r w:rsidRPr="00393C4D">
              <w:rPr>
                <w:rFonts w:ascii="Arial Narrow" w:hAnsi="Arial Narrow"/>
                <w:i/>
                <w:iCs/>
                <w:kern w:val="2"/>
                <w:sz w:val="20"/>
                <w:szCs w:val="20"/>
              </w:rPr>
              <w:t xml:space="preserve">Treatment with </w:t>
            </w:r>
            <w:proofErr w:type="spellStart"/>
            <w:r w:rsidRPr="00393C4D">
              <w:rPr>
                <w:rFonts w:ascii="Arial Narrow" w:hAnsi="Arial Narrow"/>
                <w:i/>
                <w:iCs/>
                <w:kern w:val="2"/>
                <w:sz w:val="20"/>
                <w:szCs w:val="20"/>
              </w:rPr>
              <w:t>pegvaliase</w:t>
            </w:r>
            <w:proofErr w:type="spellEnd"/>
            <w:r w:rsidRPr="00393C4D">
              <w:rPr>
                <w:rFonts w:ascii="Arial Narrow" w:hAnsi="Arial Narrow"/>
                <w:i/>
                <w:iCs/>
                <w:kern w:val="2"/>
                <w:sz w:val="20"/>
                <w:szCs w:val="20"/>
              </w:rPr>
              <w:t xml:space="preserve"> is associated with acute systemic hypersensitivity reactions. At first dose administration, patients should be monitored for at least 60 minutes at a medical facility capable of managing acute systemic hypersensitivity reactions. Patients should be prescribed an adrenaline auto-injector in the case of acute systemic hypersensitivity reactions and educated on how to recognise the signs and symptoms. </w:t>
            </w:r>
            <w:r w:rsidRPr="00393C4D">
              <w:rPr>
                <w:rFonts w:ascii="Arial Narrow" w:hAnsi="Arial Narrow"/>
                <w:i/>
                <w:iCs/>
                <w:color w:val="000000" w:themeColor="text1"/>
                <w:kern w:val="2"/>
                <w:sz w:val="20"/>
                <w:szCs w:val="20"/>
              </w:rPr>
              <w:t>Refer to the approved Therapeutic Goods Administration (TGA) Product Information for administration and monitoring requirements.</w:t>
            </w:r>
          </w:p>
        </w:tc>
      </w:tr>
      <w:tr w:rsidR="00500AD1" w14:paraId="1431192F" w14:textId="77777777" w:rsidTr="0C90D5AB">
        <w:trPr>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15" w:type="dxa"/>
              <w:bottom w:w="15" w:type="dxa"/>
            </w:tcMar>
            <w:vAlign w:val="center"/>
          </w:tcPr>
          <w:p w14:paraId="5A1C8BEE" w14:textId="77777777" w:rsidR="00500AD1" w:rsidRDefault="00500AD1" w:rsidP="00025AAC">
            <w:pPr>
              <w:keepLines/>
              <w:rPr>
                <w:rFonts w:ascii="Arial Narrow" w:hAnsi="Arial Narrow"/>
                <w:b/>
                <w:bCs/>
                <w:color w:val="333333"/>
                <w:kern w:val="2"/>
                <w:sz w:val="20"/>
                <w:szCs w:val="20"/>
              </w:rPr>
            </w:pPr>
            <w:r>
              <w:rPr>
                <w:rFonts w:ascii="Arial Narrow" w:hAnsi="Arial Narrow"/>
                <w:b/>
                <w:kern w:val="2"/>
                <w:sz w:val="20"/>
                <w:szCs w:val="20"/>
              </w:rPr>
              <w:t xml:space="preserve">Restriction Summary [new2] / Treatment of Concept: [new2A] </w:t>
            </w:r>
          </w:p>
        </w:tc>
      </w:tr>
      <w:tr w:rsidR="00500AD1" w14:paraId="1F83C568"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3A9FCCE2" w14:textId="77777777" w:rsidR="00500AD1" w:rsidRDefault="00500AD1" w:rsidP="00025AAC">
            <w:pPr>
              <w:keepLines/>
              <w:rPr>
                <w:rFonts w:ascii="Arial Narrow" w:hAnsi="Arial Narrow"/>
                <w:kern w:val="2"/>
                <w:sz w:val="20"/>
                <w:szCs w:val="20"/>
              </w:rPr>
            </w:pPr>
            <w:r>
              <w:rPr>
                <w:rFonts w:ascii="Arial Narrow" w:hAnsi="Arial Narrow"/>
                <w:b/>
                <w:bCs/>
                <w:color w:val="333333"/>
                <w:kern w:val="2"/>
                <w:sz w:val="20"/>
                <w:szCs w:val="20"/>
              </w:rPr>
              <w:t>Indication:</w:t>
            </w:r>
            <w:r>
              <w:rPr>
                <w:rFonts w:ascii="Arial Narrow" w:hAnsi="Arial Narrow"/>
                <w:color w:val="333333"/>
                <w:kern w:val="2"/>
                <w:sz w:val="20"/>
                <w:szCs w:val="20"/>
              </w:rPr>
              <w:t xml:space="preserve"> </w:t>
            </w:r>
            <w:proofErr w:type="spellStart"/>
            <w:r>
              <w:rPr>
                <w:rFonts w:ascii="Arial Narrow" w:hAnsi="Arial Narrow"/>
                <w:bCs/>
                <w:sz w:val="20"/>
                <w:szCs w:val="20"/>
              </w:rPr>
              <w:t>Hyperphenylalaninaemia</w:t>
            </w:r>
            <w:proofErr w:type="spellEnd"/>
            <w:r>
              <w:rPr>
                <w:rFonts w:ascii="Arial Narrow" w:hAnsi="Arial Narrow"/>
                <w:bCs/>
                <w:sz w:val="20"/>
                <w:szCs w:val="20"/>
              </w:rPr>
              <w:t xml:space="preserve"> (HPA) due to phenylketonuria (PKU)</w:t>
            </w:r>
          </w:p>
        </w:tc>
      </w:tr>
      <w:tr w:rsidR="00500AD1" w14:paraId="2C41A34F"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1D38EF50" w14:textId="77777777" w:rsidR="00500AD1" w:rsidRDefault="00500AD1" w:rsidP="00025AAC">
            <w:pPr>
              <w:rPr>
                <w:rFonts w:ascii="Arial Narrow" w:hAnsi="Arial Narrow" w:cs="Times New Roman"/>
                <w:kern w:val="2"/>
                <w:sz w:val="20"/>
                <w:szCs w:val="20"/>
              </w:rPr>
            </w:pPr>
            <w:r>
              <w:rPr>
                <w:rFonts w:ascii="Arial Narrow" w:hAnsi="Arial Narrow"/>
                <w:b/>
                <w:bCs/>
                <w:color w:val="333333"/>
                <w:kern w:val="2"/>
                <w:sz w:val="20"/>
                <w:szCs w:val="20"/>
              </w:rPr>
              <w:t>Treatment Phase:</w:t>
            </w:r>
            <w:r>
              <w:rPr>
                <w:rFonts w:ascii="Arial Narrow" w:hAnsi="Arial Narrow"/>
                <w:color w:val="FF0000"/>
                <w:kern w:val="2"/>
                <w:sz w:val="20"/>
                <w:szCs w:val="20"/>
              </w:rPr>
              <w:t xml:space="preserve"> </w:t>
            </w:r>
            <w:r>
              <w:rPr>
                <w:rFonts w:ascii="Arial Narrow" w:hAnsi="Arial Narrow"/>
                <w:sz w:val="20"/>
                <w:szCs w:val="20"/>
              </w:rPr>
              <w:t xml:space="preserve">Maintenance treatment </w:t>
            </w:r>
          </w:p>
        </w:tc>
      </w:tr>
      <w:tr w:rsidR="00500AD1" w14:paraId="6DF717DD"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D22DFF8" w14:textId="77777777" w:rsidR="00500AD1" w:rsidRDefault="00500AD1" w:rsidP="00025AAC">
            <w:pPr>
              <w:rPr>
                <w:rFonts w:ascii="Arial Narrow" w:hAnsi="Arial Narrow"/>
                <w:kern w:val="2"/>
                <w:sz w:val="20"/>
                <w:szCs w:val="20"/>
              </w:rPr>
            </w:pPr>
            <w:r>
              <w:rPr>
                <w:rFonts w:ascii="Arial Narrow" w:hAnsi="Arial Narrow"/>
                <w:b/>
                <w:bCs/>
                <w:color w:val="333333"/>
                <w:kern w:val="2"/>
                <w:sz w:val="20"/>
                <w:szCs w:val="20"/>
              </w:rPr>
              <w:t xml:space="preserve">Clinical criteria: </w:t>
            </w:r>
          </w:p>
        </w:tc>
      </w:tr>
      <w:tr w:rsidR="00500AD1" w14:paraId="53BBFC4E"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3B5B7358" w14:textId="77777777" w:rsidR="00500AD1" w:rsidRPr="000C73ED" w:rsidRDefault="00500AD1" w:rsidP="00025AAC">
            <w:pPr>
              <w:rPr>
                <w:rFonts w:ascii="Arial Narrow" w:hAnsi="Arial Narrow"/>
                <w:iCs/>
                <w:strike/>
                <w:sz w:val="20"/>
                <w:szCs w:val="20"/>
              </w:rPr>
            </w:pPr>
            <w:r w:rsidRPr="000C73ED">
              <w:rPr>
                <w:rFonts w:ascii="Arial Narrow" w:hAnsi="Arial Narrow"/>
                <w:strike/>
                <w:sz w:val="20"/>
                <w:szCs w:val="20"/>
              </w:rPr>
              <w:t xml:space="preserve">Patient must have previously received PBS-subsidised treatment </w:t>
            </w:r>
            <w:r w:rsidRPr="000C73ED">
              <w:rPr>
                <w:rFonts w:ascii="Arial Narrow" w:hAnsi="Arial Narrow"/>
                <w:iCs/>
                <w:strike/>
                <w:sz w:val="20"/>
                <w:szCs w:val="20"/>
              </w:rPr>
              <w:t>under the Initial treatment (induction, titration, and maintenance) restriction with this drug for this condition</w:t>
            </w:r>
          </w:p>
          <w:p w14:paraId="3E64CCC3" w14:textId="77777777" w:rsidR="00500AD1" w:rsidRDefault="00500AD1" w:rsidP="00025AAC">
            <w:pPr>
              <w:rPr>
                <w:rFonts w:ascii="Arial Narrow" w:hAnsi="Arial Narrow"/>
                <w:sz w:val="20"/>
                <w:szCs w:val="20"/>
              </w:rPr>
            </w:pPr>
          </w:p>
          <w:p w14:paraId="3C102DDB" w14:textId="77777777" w:rsidR="00500AD1" w:rsidRPr="000C73ED" w:rsidRDefault="00500AD1" w:rsidP="00025AAC">
            <w:pPr>
              <w:rPr>
                <w:rFonts w:ascii="Arial Narrow" w:hAnsi="Arial Narrow" w:cs="Times New Roman"/>
                <w:i/>
                <w:iCs/>
                <w:color w:val="333333"/>
                <w:kern w:val="2"/>
                <w:sz w:val="20"/>
                <w:szCs w:val="20"/>
              </w:rPr>
            </w:pPr>
            <w:r w:rsidRPr="000C73ED">
              <w:rPr>
                <w:rFonts w:ascii="Arial Narrow" w:hAnsi="Arial Narrow"/>
                <w:i/>
                <w:iCs/>
                <w:sz w:val="20"/>
                <w:szCs w:val="20"/>
              </w:rPr>
              <w:t>Patient must have previously received PBS-subsidised treatment under the Initial treatment restriction with this drug for this condition,</w:t>
            </w:r>
          </w:p>
        </w:tc>
      </w:tr>
      <w:tr w:rsidR="00500AD1" w14:paraId="2418A2C5"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DCB1CB1" w14:textId="77777777" w:rsidR="00500AD1" w:rsidRDefault="00500AD1" w:rsidP="00025AAC">
            <w:pPr>
              <w:rPr>
                <w:rFonts w:ascii="Arial Narrow" w:hAnsi="Arial Narrow" w:cs="Times New Roman"/>
                <w:color w:val="333333"/>
                <w:kern w:val="2"/>
                <w:sz w:val="20"/>
                <w:szCs w:val="20"/>
              </w:rPr>
            </w:pPr>
            <w:r>
              <w:rPr>
                <w:rFonts w:ascii="Arial Narrow" w:hAnsi="Arial Narrow"/>
                <w:b/>
                <w:bCs/>
                <w:color w:val="333333"/>
                <w:kern w:val="2"/>
                <w:sz w:val="20"/>
                <w:szCs w:val="20"/>
              </w:rPr>
              <w:t>AND</w:t>
            </w:r>
          </w:p>
        </w:tc>
      </w:tr>
      <w:tr w:rsidR="00500AD1" w14:paraId="2680F3FE"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0292BC4" w14:textId="77777777" w:rsidR="00500AD1" w:rsidRDefault="00500AD1" w:rsidP="00025AAC">
            <w:pPr>
              <w:rPr>
                <w:rFonts w:ascii="Arial Narrow" w:hAnsi="Arial Narrow"/>
                <w:color w:val="333333"/>
                <w:kern w:val="2"/>
                <w:sz w:val="20"/>
                <w:szCs w:val="20"/>
              </w:rPr>
            </w:pPr>
            <w:r>
              <w:rPr>
                <w:rFonts w:ascii="Arial Narrow" w:hAnsi="Arial Narrow"/>
                <w:b/>
                <w:bCs/>
                <w:color w:val="333333"/>
                <w:kern w:val="2"/>
                <w:sz w:val="20"/>
                <w:szCs w:val="20"/>
              </w:rPr>
              <w:t>Clinical criteria:</w:t>
            </w:r>
          </w:p>
        </w:tc>
      </w:tr>
      <w:tr w:rsidR="00500AD1" w14:paraId="74E40AEE"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3C1D1F6E" w14:textId="77777777" w:rsidR="00500AD1" w:rsidRPr="004A3A9F" w:rsidRDefault="00500AD1" w:rsidP="00025AAC">
            <w:pPr>
              <w:rPr>
                <w:rFonts w:ascii="Arial Narrow" w:hAnsi="Arial Narrow"/>
                <w:strike/>
                <w:sz w:val="20"/>
                <w:szCs w:val="20"/>
              </w:rPr>
            </w:pPr>
            <w:r w:rsidRPr="004A3A9F">
              <w:rPr>
                <w:rFonts w:ascii="Arial Narrow" w:hAnsi="Arial Narrow"/>
                <w:strike/>
                <w:sz w:val="20"/>
                <w:szCs w:val="20"/>
              </w:rPr>
              <w:t>Patient must have demonstrated a response to initial treatment with this drug, assessed at a minimum of a minimum of 21 weeks and up to 24 months from commencing treatment with this drug, defined as at least one of either:</w:t>
            </w:r>
          </w:p>
          <w:p w14:paraId="444B95BA" w14:textId="77777777" w:rsidR="00500AD1" w:rsidRPr="004A3A9F" w:rsidRDefault="00500AD1" w:rsidP="00025AAC">
            <w:pPr>
              <w:rPr>
                <w:rFonts w:ascii="Arial Narrow" w:hAnsi="Arial Narrow"/>
                <w:strike/>
                <w:sz w:val="20"/>
                <w:szCs w:val="20"/>
              </w:rPr>
            </w:pPr>
            <w:r w:rsidRPr="004A3A9F">
              <w:rPr>
                <w:rFonts w:ascii="Arial Narrow" w:hAnsi="Arial Narrow"/>
                <w:strike/>
                <w:sz w:val="20"/>
                <w:szCs w:val="20"/>
              </w:rPr>
              <w:t xml:space="preserve">blood phenylalanine level below 360 micromole per L or </w:t>
            </w:r>
          </w:p>
          <w:p w14:paraId="22BBE773" w14:textId="77777777" w:rsidR="00500AD1" w:rsidRPr="004A3A9F" w:rsidRDefault="00500AD1" w:rsidP="00025AAC">
            <w:pPr>
              <w:rPr>
                <w:rFonts w:ascii="Arial Narrow" w:hAnsi="Arial Narrow"/>
                <w:strike/>
                <w:sz w:val="20"/>
                <w:szCs w:val="20"/>
              </w:rPr>
            </w:pPr>
            <w:r w:rsidRPr="004A3A9F">
              <w:rPr>
                <w:rFonts w:ascii="Arial Narrow" w:hAnsi="Arial Narrow"/>
                <w:strike/>
                <w:sz w:val="20"/>
                <w:szCs w:val="20"/>
              </w:rPr>
              <w:t>clinically meaningful reduction in the inattention subscale of the ADHD-RS score</w:t>
            </w:r>
          </w:p>
          <w:p w14:paraId="1DAAE951" w14:textId="77777777" w:rsidR="00500AD1" w:rsidRDefault="00500AD1" w:rsidP="00025AAC">
            <w:pPr>
              <w:rPr>
                <w:rFonts w:ascii="Arial Narrow" w:hAnsi="Arial Narrow"/>
                <w:sz w:val="20"/>
                <w:szCs w:val="20"/>
              </w:rPr>
            </w:pPr>
          </w:p>
          <w:p w14:paraId="40C5874A" w14:textId="1960A905" w:rsidR="00500AD1" w:rsidRPr="004A3A9F" w:rsidRDefault="00500AD1" w:rsidP="00025AAC">
            <w:pPr>
              <w:rPr>
                <w:rFonts w:ascii="Arial Narrow" w:hAnsi="Arial Narrow"/>
                <w:i/>
                <w:iCs/>
                <w:sz w:val="20"/>
                <w:szCs w:val="20"/>
              </w:rPr>
            </w:pPr>
            <w:r w:rsidRPr="004A3A9F">
              <w:rPr>
                <w:rFonts w:ascii="Arial Narrow" w:hAnsi="Arial Narrow"/>
                <w:i/>
                <w:iCs/>
                <w:sz w:val="20"/>
                <w:szCs w:val="20"/>
              </w:rPr>
              <w:t xml:space="preserve">Patient must have demonstrated a response to initial treatment with this drug, defined as </w:t>
            </w:r>
            <w:r w:rsidRPr="0C90D5AB">
              <w:rPr>
                <w:rFonts w:ascii="Arial Narrow" w:hAnsi="Arial Narrow"/>
                <w:i/>
                <w:sz w:val="20"/>
                <w:szCs w:val="20"/>
              </w:rPr>
              <w:t xml:space="preserve">a blood phenylalanine level below </w:t>
            </w:r>
            <w:r w:rsidRPr="004A3A9F">
              <w:rPr>
                <w:rFonts w:ascii="Arial Narrow" w:hAnsi="Arial Narrow"/>
                <w:i/>
                <w:iCs/>
                <w:sz w:val="20"/>
                <w:szCs w:val="20"/>
              </w:rPr>
              <w:t>360 micromole per L</w:t>
            </w:r>
          </w:p>
        </w:tc>
      </w:tr>
      <w:tr w:rsidR="00500AD1" w14:paraId="4B89BE02"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B843FA0" w14:textId="77777777" w:rsidR="00500AD1" w:rsidRDefault="00500AD1" w:rsidP="00025AAC">
            <w:pPr>
              <w:rPr>
                <w:rFonts w:ascii="Arial Narrow" w:hAnsi="Arial Narrow"/>
                <w:color w:val="333333"/>
                <w:kern w:val="2"/>
                <w:sz w:val="20"/>
                <w:szCs w:val="20"/>
              </w:rPr>
            </w:pPr>
            <w:r>
              <w:rPr>
                <w:rFonts w:ascii="Arial Narrow" w:hAnsi="Arial Narrow"/>
                <w:b/>
                <w:bCs/>
                <w:color w:val="333333"/>
                <w:kern w:val="2"/>
                <w:sz w:val="20"/>
                <w:szCs w:val="20"/>
              </w:rPr>
              <w:t>AND</w:t>
            </w:r>
          </w:p>
        </w:tc>
      </w:tr>
      <w:tr w:rsidR="00500AD1" w14:paraId="24305167"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7E4B2751" w14:textId="77777777" w:rsidR="00500AD1" w:rsidRDefault="00500AD1" w:rsidP="00025AAC">
            <w:pPr>
              <w:rPr>
                <w:rFonts w:ascii="Arial Narrow" w:hAnsi="Arial Narrow"/>
                <w:color w:val="333333"/>
                <w:kern w:val="2"/>
                <w:sz w:val="20"/>
                <w:szCs w:val="20"/>
              </w:rPr>
            </w:pPr>
            <w:r>
              <w:rPr>
                <w:rFonts w:ascii="Arial Narrow" w:hAnsi="Arial Narrow"/>
                <w:b/>
                <w:bCs/>
                <w:color w:val="333333"/>
                <w:kern w:val="2"/>
                <w:sz w:val="20"/>
                <w:szCs w:val="20"/>
              </w:rPr>
              <w:t>Clinical criteria:</w:t>
            </w:r>
          </w:p>
        </w:tc>
      </w:tr>
      <w:tr w:rsidR="00500AD1" w14:paraId="291B743E"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CAFA35F" w14:textId="77777777" w:rsidR="00500AD1" w:rsidRDefault="00500AD1" w:rsidP="00025AAC">
            <w:pPr>
              <w:rPr>
                <w:rFonts w:ascii="Arial Narrow" w:eastAsia="Calibri" w:hAnsi="Arial Narrow"/>
                <w:sz w:val="20"/>
                <w:szCs w:val="20"/>
              </w:rPr>
            </w:pPr>
            <w:r>
              <w:rPr>
                <w:rFonts w:ascii="Arial Narrow" w:eastAsia="Calibri" w:hAnsi="Arial Narrow"/>
                <w:sz w:val="20"/>
                <w:szCs w:val="20"/>
              </w:rPr>
              <w:t>Patient must be undergoing regular phenylalanine testing and assessment of adherence to dietary modifications</w:t>
            </w:r>
          </w:p>
        </w:tc>
      </w:tr>
      <w:tr w:rsidR="00500AD1" w14:paraId="4D4C2788"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1D472466" w14:textId="77777777" w:rsidR="00500AD1" w:rsidRDefault="00500AD1" w:rsidP="00025AAC">
            <w:pPr>
              <w:rPr>
                <w:rFonts w:ascii="Arial Narrow" w:hAnsi="Arial Narrow"/>
                <w:color w:val="FF0000"/>
                <w:kern w:val="2"/>
                <w:sz w:val="20"/>
                <w:szCs w:val="20"/>
              </w:rPr>
            </w:pPr>
            <w:r>
              <w:rPr>
                <w:rFonts w:ascii="Arial Narrow" w:hAnsi="Arial Narrow"/>
                <w:b/>
                <w:bCs/>
                <w:color w:val="333333"/>
                <w:kern w:val="2"/>
                <w:sz w:val="20"/>
                <w:szCs w:val="20"/>
              </w:rPr>
              <w:t>AND</w:t>
            </w:r>
          </w:p>
        </w:tc>
      </w:tr>
      <w:tr w:rsidR="00500AD1" w14:paraId="6AAAEC16"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7D957B5F" w14:textId="77777777" w:rsidR="00500AD1" w:rsidRDefault="00500AD1" w:rsidP="00025AAC">
            <w:pPr>
              <w:rPr>
                <w:rFonts w:ascii="Arial Narrow" w:hAnsi="Arial Narrow"/>
                <w:color w:val="FF0000"/>
                <w:kern w:val="2"/>
                <w:sz w:val="20"/>
                <w:szCs w:val="20"/>
              </w:rPr>
            </w:pPr>
            <w:r>
              <w:rPr>
                <w:rFonts w:ascii="Arial Narrow" w:hAnsi="Arial Narrow"/>
                <w:b/>
                <w:bCs/>
                <w:color w:val="333333"/>
                <w:kern w:val="2"/>
                <w:sz w:val="20"/>
                <w:szCs w:val="20"/>
              </w:rPr>
              <w:t>Clinical criteria:</w:t>
            </w:r>
          </w:p>
        </w:tc>
      </w:tr>
      <w:tr w:rsidR="00500AD1" w:rsidRPr="001361C8" w14:paraId="5DF6CC02"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3A2FFC82" w14:textId="77777777" w:rsidR="00500AD1" w:rsidRPr="001361C8" w:rsidRDefault="00500AD1" w:rsidP="00025AAC">
            <w:pPr>
              <w:rPr>
                <w:rFonts w:ascii="Arial Narrow" w:hAnsi="Arial Narrow"/>
                <w:color w:val="FF0000"/>
                <w:kern w:val="2"/>
                <w:sz w:val="20"/>
                <w:szCs w:val="20"/>
              </w:rPr>
            </w:pPr>
            <w:r w:rsidRPr="001361C8">
              <w:rPr>
                <w:rFonts w:ascii="Arial Narrow" w:eastAsia="Calibri" w:hAnsi="Arial Narrow"/>
                <w:sz w:val="20"/>
                <w:szCs w:val="20"/>
              </w:rPr>
              <w:t xml:space="preserve">The treatment must not be in combination with </w:t>
            </w:r>
            <w:proofErr w:type="spellStart"/>
            <w:r w:rsidRPr="001361C8">
              <w:rPr>
                <w:rFonts w:ascii="Arial Narrow" w:eastAsia="Calibri" w:hAnsi="Arial Narrow"/>
                <w:sz w:val="20"/>
                <w:szCs w:val="20"/>
              </w:rPr>
              <w:t>sapropterin</w:t>
            </w:r>
            <w:proofErr w:type="spellEnd"/>
          </w:p>
        </w:tc>
      </w:tr>
      <w:tr w:rsidR="00500AD1" w14:paraId="163994F3"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5FFD5F30" w14:textId="77777777" w:rsidR="00500AD1" w:rsidRDefault="00500AD1" w:rsidP="00025AAC">
            <w:pPr>
              <w:rPr>
                <w:rFonts w:ascii="Arial Narrow" w:hAnsi="Arial Narrow"/>
                <w:kern w:val="2"/>
                <w:sz w:val="20"/>
                <w:szCs w:val="20"/>
              </w:rPr>
            </w:pPr>
            <w:r>
              <w:rPr>
                <w:rFonts w:ascii="Arial Narrow" w:hAnsi="Arial Narrow"/>
                <w:b/>
                <w:bCs/>
                <w:color w:val="333333"/>
                <w:kern w:val="2"/>
                <w:sz w:val="20"/>
                <w:szCs w:val="20"/>
              </w:rPr>
              <w:t>Treatment criteria:</w:t>
            </w:r>
          </w:p>
        </w:tc>
      </w:tr>
      <w:tr w:rsidR="00500AD1" w14:paraId="27837DE4"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3A13DFF5" w14:textId="77777777" w:rsidR="00500AD1" w:rsidRDefault="00500AD1" w:rsidP="00025AAC">
            <w:pPr>
              <w:keepNext/>
              <w:rPr>
                <w:rFonts w:ascii="Arial Narrow" w:eastAsia="Calibri" w:hAnsi="Arial Narrow" w:cs="Arial Narrow"/>
                <w:iCs/>
                <w:sz w:val="20"/>
                <w:szCs w:val="20"/>
              </w:rPr>
            </w:pPr>
            <w:r>
              <w:rPr>
                <w:rFonts w:ascii="Arial Narrow" w:eastAsia="Calibri" w:hAnsi="Arial Narrow" w:cs="Arial Narrow"/>
                <w:iCs/>
                <w:sz w:val="20"/>
                <w:szCs w:val="20"/>
              </w:rPr>
              <w:lastRenderedPageBreak/>
              <w:t>Must be treated by a metabolic physician; OR</w:t>
            </w:r>
          </w:p>
        </w:tc>
      </w:tr>
      <w:tr w:rsidR="00500AD1" w14:paraId="1BF01369"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7A815D08" w14:textId="77777777" w:rsidR="00500AD1" w:rsidRDefault="00500AD1" w:rsidP="00025AAC">
            <w:pPr>
              <w:keepNext/>
              <w:rPr>
                <w:rFonts w:ascii="Arial Narrow" w:eastAsia="Calibri" w:hAnsi="Arial Narrow" w:cs="Arial Narrow"/>
                <w:iCs/>
                <w:strike/>
                <w:sz w:val="20"/>
                <w:szCs w:val="20"/>
              </w:rPr>
            </w:pPr>
            <w:r w:rsidRPr="00740BF5">
              <w:rPr>
                <w:rFonts w:ascii="Arial Narrow" w:eastAsia="Calibri" w:hAnsi="Arial Narrow" w:cs="Arial Narrow"/>
                <w:iCs/>
                <w:strike/>
                <w:sz w:val="20"/>
                <w:szCs w:val="20"/>
              </w:rPr>
              <w:t>Must be treated by a nurse practitioner experienced in the treatment of phenylketonuria in consultation with a metabolic physician.</w:t>
            </w:r>
          </w:p>
          <w:p w14:paraId="4FDAE781" w14:textId="77777777" w:rsidR="00500AD1" w:rsidRPr="00D62ECF" w:rsidRDefault="00500AD1" w:rsidP="00025AAC">
            <w:pPr>
              <w:keepNext/>
              <w:rPr>
                <w:rFonts w:ascii="Arial Narrow" w:eastAsia="Calibri" w:hAnsi="Arial Narrow" w:cs="Arial Narrow"/>
                <w:iCs/>
                <w:strike/>
                <w:sz w:val="20"/>
                <w:szCs w:val="20"/>
              </w:rPr>
            </w:pPr>
            <w:r w:rsidRPr="00D62ECF">
              <w:rPr>
                <w:rFonts w:ascii="Arial Narrow" w:eastAsia="Arial Narrow" w:hAnsi="Arial Narrow" w:cs="Arial Narrow"/>
                <w:i/>
                <w:iCs/>
                <w:sz w:val="20"/>
                <w:szCs w:val="20"/>
              </w:rPr>
              <w:t>Must be treated by a health practitioner who is any of (</w:t>
            </w:r>
            <w:proofErr w:type="spellStart"/>
            <w:r w:rsidRPr="00D62ECF">
              <w:rPr>
                <w:rFonts w:ascii="Arial Narrow" w:eastAsia="Arial Narrow" w:hAnsi="Arial Narrow" w:cs="Arial Narrow"/>
                <w:i/>
                <w:iCs/>
                <w:sz w:val="20"/>
                <w:szCs w:val="20"/>
              </w:rPr>
              <w:t>i</w:t>
            </w:r>
            <w:proofErr w:type="spellEnd"/>
            <w:r w:rsidRPr="00D62ECF">
              <w:rPr>
                <w:rFonts w:ascii="Arial Narrow" w:eastAsia="Arial Narrow" w:hAnsi="Arial Narrow" w:cs="Arial Narrow"/>
                <w:i/>
                <w:iCs/>
                <w:sz w:val="20"/>
                <w:szCs w:val="20"/>
              </w:rPr>
              <w:t xml:space="preserve">) a medical practitioner, (ii) a nurse practitioner in consultation with a metabolic physician </w:t>
            </w:r>
          </w:p>
        </w:tc>
      </w:tr>
      <w:tr w:rsidR="00500AD1" w:rsidRPr="00A45EDC" w14:paraId="62DCCC3C"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64256AED" w14:textId="77777777" w:rsidR="00500AD1" w:rsidRDefault="00500AD1" w:rsidP="00025AAC">
            <w:pPr>
              <w:rPr>
                <w:rFonts w:ascii="Arial Narrow" w:hAnsi="Arial Narrow"/>
                <w:b/>
                <w:bCs/>
                <w:color w:val="333333"/>
                <w:kern w:val="2"/>
                <w:sz w:val="20"/>
                <w:szCs w:val="20"/>
              </w:rPr>
            </w:pPr>
            <w:r w:rsidRPr="00A45EDC">
              <w:rPr>
                <w:rFonts w:ascii="Arial Narrow" w:hAnsi="Arial Narrow"/>
                <w:b/>
                <w:bCs/>
                <w:color w:val="333333"/>
                <w:kern w:val="2"/>
                <w:sz w:val="20"/>
                <w:szCs w:val="20"/>
              </w:rPr>
              <w:t>Prescribing Instructions:</w:t>
            </w:r>
          </w:p>
          <w:p w14:paraId="0A83E064" w14:textId="77777777" w:rsidR="00500AD1" w:rsidRPr="00A663D1" w:rsidRDefault="00500AD1" w:rsidP="00025AAC">
            <w:pPr>
              <w:rPr>
                <w:rFonts w:ascii="Arial Narrow" w:hAnsi="Arial Narrow"/>
                <w:b/>
                <w:bCs/>
                <w:strike/>
                <w:color w:val="333333"/>
                <w:kern w:val="2"/>
                <w:sz w:val="20"/>
                <w:szCs w:val="20"/>
              </w:rPr>
            </w:pPr>
            <w:r w:rsidRPr="00A663D1">
              <w:rPr>
                <w:rFonts w:ascii="Arial Narrow" w:hAnsi="Arial Narrow"/>
                <w:strike/>
                <w:sz w:val="20"/>
                <w:szCs w:val="20"/>
              </w:rPr>
              <w:t>At the time of the authority application, prescribers should request the appropriate quantity of prefilled syringes, required to provide 6 months of treatment at a dose of 60 mg per day or the patient’s maximum tolerated dose.</w:t>
            </w:r>
          </w:p>
          <w:p w14:paraId="00440B16" w14:textId="77777777" w:rsidR="00500AD1" w:rsidRPr="00A45EDC" w:rsidRDefault="00500AD1" w:rsidP="00025AAC">
            <w:pPr>
              <w:rPr>
                <w:rFonts w:ascii="Arial Narrow" w:hAnsi="Arial Narrow"/>
                <w:b/>
                <w:bCs/>
                <w:color w:val="333333"/>
                <w:kern w:val="2"/>
                <w:sz w:val="20"/>
                <w:szCs w:val="20"/>
              </w:rPr>
            </w:pPr>
          </w:p>
          <w:p w14:paraId="4D6A0BA8" w14:textId="77777777" w:rsidR="00500AD1" w:rsidRPr="00A663D1" w:rsidRDefault="00500AD1" w:rsidP="00025AAC">
            <w:pPr>
              <w:rPr>
                <w:rFonts w:ascii="Arial Narrow" w:hAnsi="Arial Narrow"/>
                <w:i/>
                <w:iCs/>
                <w:sz w:val="20"/>
                <w:szCs w:val="20"/>
                <w:lang w:val="en-US"/>
              </w:rPr>
            </w:pPr>
            <w:r w:rsidRPr="00A663D1">
              <w:rPr>
                <w:rFonts w:ascii="Arial Narrow" w:hAnsi="Arial Narrow"/>
                <w:i/>
                <w:iCs/>
                <w:sz w:val="20"/>
                <w:szCs w:val="20"/>
              </w:rPr>
              <w:t>At the time of authority application, prescribers must request the appropriate strength(s) and number of prefilled syringes, to provide sufficient drug for 1 month of treatment at the dosage regimen specified in the approved Therapeutic Goods Administration (TGA) Product Information (PI). A separate authority prescription form must be completed for each strength requested. </w:t>
            </w:r>
          </w:p>
          <w:p w14:paraId="784DFC81" w14:textId="77777777" w:rsidR="00500AD1" w:rsidRPr="00A45EDC" w:rsidRDefault="00500AD1" w:rsidP="00025AAC">
            <w:pPr>
              <w:rPr>
                <w:rFonts w:ascii="Arial Narrow" w:hAnsi="Arial Narrow"/>
                <w:sz w:val="20"/>
                <w:szCs w:val="20"/>
              </w:rPr>
            </w:pPr>
            <w:r w:rsidRPr="00A663D1">
              <w:rPr>
                <w:rFonts w:ascii="Arial Narrow" w:hAnsi="Arial Narrow"/>
                <w:b/>
                <w:bCs/>
                <w:i/>
                <w:iCs/>
                <w:sz w:val="20"/>
                <w:szCs w:val="20"/>
              </w:rPr>
              <w:t>The maximum listed quantity</w:t>
            </w:r>
            <w:r w:rsidRPr="00A663D1">
              <w:rPr>
                <w:rFonts w:ascii="Arial Narrow" w:hAnsi="Arial Narrow"/>
                <w:i/>
                <w:iCs/>
                <w:sz w:val="20"/>
                <w:szCs w:val="20"/>
              </w:rPr>
              <w:t xml:space="preserve"> or number of repeats </w:t>
            </w:r>
            <w:r w:rsidRPr="00A663D1">
              <w:rPr>
                <w:rFonts w:ascii="Arial Narrow" w:hAnsi="Arial Narrow"/>
                <w:b/>
                <w:bCs/>
                <w:i/>
                <w:iCs/>
                <w:sz w:val="20"/>
                <w:szCs w:val="20"/>
              </w:rPr>
              <w:t>must not be</w:t>
            </w:r>
            <w:r w:rsidRPr="00A663D1">
              <w:rPr>
                <w:rFonts w:ascii="Arial Narrow" w:hAnsi="Arial Narrow"/>
                <w:i/>
                <w:iCs/>
                <w:sz w:val="20"/>
                <w:szCs w:val="20"/>
              </w:rPr>
              <w:t xml:space="preserve"> </w:t>
            </w:r>
            <w:r w:rsidRPr="00A663D1">
              <w:rPr>
                <w:rFonts w:ascii="Arial Narrow" w:hAnsi="Arial Narrow"/>
                <w:b/>
                <w:bCs/>
                <w:i/>
                <w:iCs/>
                <w:sz w:val="20"/>
                <w:szCs w:val="20"/>
              </w:rPr>
              <w:t>prescribed</w:t>
            </w:r>
            <w:r w:rsidRPr="00A663D1">
              <w:rPr>
                <w:rFonts w:ascii="Arial Narrow" w:hAnsi="Arial Narrow"/>
                <w:i/>
                <w:iCs/>
                <w:sz w:val="20"/>
                <w:szCs w:val="20"/>
              </w:rPr>
              <w:t xml:space="preserve"> if lesser quantity or repeats are sufficient for the patient's needs.</w:t>
            </w:r>
          </w:p>
        </w:tc>
      </w:tr>
      <w:tr w:rsidR="00500AD1" w:rsidRPr="00A45EDC" w14:paraId="7ABD3A73"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4B93FEE0" w14:textId="77777777" w:rsidR="00500AD1" w:rsidRDefault="00500AD1" w:rsidP="00025AAC">
            <w:pPr>
              <w:rPr>
                <w:rFonts w:ascii="Arial Narrow" w:hAnsi="Arial Narrow"/>
                <w:b/>
                <w:bCs/>
                <w:color w:val="333333"/>
                <w:kern w:val="2"/>
                <w:sz w:val="20"/>
                <w:szCs w:val="20"/>
              </w:rPr>
            </w:pPr>
            <w:r>
              <w:rPr>
                <w:rFonts w:ascii="Arial Narrow" w:hAnsi="Arial Narrow"/>
                <w:b/>
                <w:bCs/>
                <w:color w:val="333333"/>
                <w:kern w:val="2"/>
                <w:sz w:val="20"/>
                <w:szCs w:val="20"/>
              </w:rPr>
              <w:t>Prescribing Instructions:</w:t>
            </w:r>
          </w:p>
          <w:p w14:paraId="07A5B27E" w14:textId="77777777" w:rsidR="00500AD1" w:rsidRPr="00A45EDC" w:rsidRDefault="00500AD1" w:rsidP="00025AAC">
            <w:pPr>
              <w:rPr>
                <w:rFonts w:ascii="Arial Narrow" w:hAnsi="Arial Narrow"/>
                <w:sz w:val="20"/>
                <w:szCs w:val="20"/>
              </w:rPr>
            </w:pPr>
            <w:r>
              <w:rPr>
                <w:rFonts w:ascii="Arial Narrow" w:hAnsi="Arial Narrow"/>
                <w:sz w:val="20"/>
                <w:szCs w:val="20"/>
              </w:rPr>
              <w:t>Blood phenylalanine levels must be based on measurements taken during stable periods of the condition.</w:t>
            </w:r>
          </w:p>
        </w:tc>
      </w:tr>
      <w:tr w:rsidR="00500AD1" w14:paraId="63FB2A9D" w14:textId="77777777" w:rsidTr="0C90D5AB">
        <w:trPr>
          <w:cantSplit/>
          <w:trHeight w:val="20"/>
        </w:trPr>
        <w:tc>
          <w:tcPr>
            <w:tcW w:w="906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bottom w:w="15" w:type="dxa"/>
            </w:tcMar>
            <w:vAlign w:val="center"/>
          </w:tcPr>
          <w:p w14:paraId="48785433" w14:textId="77777777" w:rsidR="00500AD1" w:rsidRDefault="00500AD1" w:rsidP="00025AAC">
            <w:pPr>
              <w:rPr>
                <w:rFonts w:ascii="Arial Narrow" w:hAnsi="Arial Narrow"/>
                <w:b/>
                <w:bCs/>
                <w:color w:val="333333"/>
                <w:kern w:val="2"/>
                <w:sz w:val="20"/>
                <w:szCs w:val="20"/>
              </w:rPr>
            </w:pPr>
            <w:r>
              <w:rPr>
                <w:rFonts w:ascii="Arial Narrow" w:hAnsi="Arial Narrow"/>
                <w:b/>
                <w:bCs/>
                <w:color w:val="333333"/>
                <w:kern w:val="2"/>
                <w:sz w:val="20"/>
                <w:szCs w:val="20"/>
              </w:rPr>
              <w:t>Prescribing Instructions:</w:t>
            </w:r>
          </w:p>
          <w:p w14:paraId="4B42FD45" w14:textId="77777777" w:rsidR="00500AD1" w:rsidRDefault="00500AD1" w:rsidP="00025AAC">
            <w:pPr>
              <w:rPr>
                <w:rFonts w:ascii="Arial Narrow" w:hAnsi="Arial Narrow"/>
                <w:b/>
                <w:bCs/>
                <w:color w:val="333333"/>
                <w:kern w:val="2"/>
                <w:sz w:val="20"/>
                <w:szCs w:val="20"/>
              </w:rPr>
            </w:pPr>
            <w:r>
              <w:rPr>
                <w:rFonts w:ascii="Arial Narrow" w:hAnsi="Arial Narrow"/>
                <w:sz w:val="20"/>
                <w:szCs w:val="20"/>
              </w:rPr>
              <w:t>Dietary phenylalanine intake must be maintained at a constant level</w:t>
            </w:r>
          </w:p>
        </w:tc>
      </w:tr>
    </w:tbl>
    <w:p w14:paraId="08EF0919" w14:textId="43A6A906" w:rsidR="004D59D4" w:rsidRPr="000366EF" w:rsidRDefault="009E5854" w:rsidP="00025AAC">
      <w:pPr>
        <w:pStyle w:val="3-BodyText"/>
        <w:spacing w:before="160" w:after="160"/>
        <w:ind w:left="720"/>
      </w:pPr>
      <w:r>
        <w:br/>
      </w:r>
      <w:r w:rsidR="005B3294" w:rsidRPr="00D02762">
        <w:rPr>
          <w:i/>
        </w:rPr>
        <w:t>For more detail on PBAC’s view, see section 7 PBAC outcome.</w:t>
      </w:r>
      <w:bookmarkEnd w:id="29"/>
    </w:p>
    <w:p w14:paraId="553CB95B" w14:textId="77777777" w:rsidR="004D59D4" w:rsidRDefault="00023FAF" w:rsidP="00025AAC">
      <w:pPr>
        <w:pStyle w:val="2-SectionHeading"/>
        <w:numPr>
          <w:ilvl w:val="0"/>
          <w:numId w:val="1"/>
        </w:numPr>
        <w:spacing w:before="160" w:after="160"/>
      </w:pPr>
      <w:bookmarkStart w:id="30" w:name="_Toc219799681"/>
      <w:r>
        <w:t>Population and disease</w:t>
      </w:r>
      <w:bookmarkEnd w:id="30"/>
    </w:p>
    <w:p w14:paraId="159FB785" w14:textId="77777777" w:rsidR="004D59D4" w:rsidRDefault="00023FAF" w:rsidP="00025AAC">
      <w:pPr>
        <w:pStyle w:val="3-BodyText"/>
        <w:numPr>
          <w:ilvl w:val="1"/>
          <w:numId w:val="27"/>
        </w:numPr>
        <w:spacing w:before="160" w:after="160"/>
      </w:pPr>
      <w:r>
        <w:t xml:space="preserve">PKU is a rare inborn disorder which leads to HPA whereby patients suffer from elevated levels of the essential amino acid </w:t>
      </w:r>
      <w:proofErr w:type="spellStart"/>
      <w:r>
        <w:t>Phe</w:t>
      </w:r>
      <w:proofErr w:type="spellEnd"/>
      <w:r>
        <w:t xml:space="preserve"> in the blood. In patients with PKU, the enzyme phenylalanine hydroxylase (PAH) does not effectively metabolise </w:t>
      </w:r>
      <w:proofErr w:type="spellStart"/>
      <w:r>
        <w:t>Phe</w:t>
      </w:r>
      <w:proofErr w:type="spellEnd"/>
      <w:r>
        <w:t xml:space="preserve"> into the essential amino acid tyrosine due to mutations in the PAH gene causing PAH deficiency. In adults, untreated high </w:t>
      </w:r>
      <w:proofErr w:type="spellStart"/>
      <w:r>
        <w:t>Phe</w:t>
      </w:r>
      <w:proofErr w:type="spellEnd"/>
      <w:r>
        <w:t xml:space="preserve">-blood levels can cause neuropsychiatric symptoms including inattention, hyperactivity, anxiety, depression, seizures and tremors, and can impact executive function. This can have negative impacts on a person’s employment and relationships, as well as their ability to appropriately manage their PKU. </w:t>
      </w:r>
    </w:p>
    <w:p w14:paraId="2B502C87" w14:textId="77777777" w:rsidR="004D59D4" w:rsidRDefault="00023FAF" w:rsidP="00025AAC">
      <w:pPr>
        <w:pStyle w:val="3-BodyText"/>
        <w:numPr>
          <w:ilvl w:val="1"/>
          <w:numId w:val="28"/>
        </w:numPr>
        <w:spacing w:before="160" w:after="160"/>
      </w:pPr>
      <w:r>
        <w:t xml:space="preserve">The PBAC previously considered that the benefits of </w:t>
      </w:r>
      <w:proofErr w:type="spellStart"/>
      <w:r>
        <w:t>sapropterin</w:t>
      </w:r>
      <w:proofErr w:type="spellEnd"/>
      <w:r>
        <w:t xml:space="preserve"> therapy in terms of improved neurological function were likely to be greatest during the development period for children and adolescents as untreated elevated blood-</w:t>
      </w:r>
      <w:proofErr w:type="spellStart"/>
      <w:r>
        <w:t>Phe</w:t>
      </w:r>
      <w:proofErr w:type="spellEnd"/>
      <w:r>
        <w:t xml:space="preserve"> levels during developmental stages can lead to issues with mental development, neurocognitive deficits, behavioural abnormalities, seizures and other serious neurological complications (paragraphs 4.2, 7.1 and 7.3, p29 </w:t>
      </w:r>
      <w:proofErr w:type="spellStart"/>
      <w:r>
        <w:t>sapropterin</w:t>
      </w:r>
      <w:proofErr w:type="spellEnd"/>
      <w:r>
        <w:t xml:space="preserve"> March 2018 PSD). In its consideration of </w:t>
      </w:r>
      <w:proofErr w:type="spellStart"/>
      <w:r>
        <w:t>pegvaliase</w:t>
      </w:r>
      <w:proofErr w:type="spellEnd"/>
      <w:r>
        <w:t xml:space="preserve">, the ACM advised that in the real-world setting, behavioural and psychological manifestations of PKU are substantially reversible in adulthood with improvements in serum </w:t>
      </w:r>
      <w:proofErr w:type="spellStart"/>
      <w:r>
        <w:t>Phe</w:t>
      </w:r>
      <w:proofErr w:type="spellEnd"/>
      <w:r>
        <w:t xml:space="preserve"> concentrations (p30, </w:t>
      </w:r>
      <w:proofErr w:type="spellStart"/>
      <w:r>
        <w:t>AusPAR</w:t>
      </w:r>
      <w:proofErr w:type="spellEnd"/>
      <w:r>
        <w:t xml:space="preserve"> </w:t>
      </w:r>
      <w:proofErr w:type="spellStart"/>
      <w:r>
        <w:t>pegvaliase</w:t>
      </w:r>
      <w:proofErr w:type="spellEnd"/>
      <w:r>
        <w:t xml:space="preserve"> November 2021).</w:t>
      </w:r>
    </w:p>
    <w:p w14:paraId="3DC90E43" w14:textId="45455CA0" w:rsidR="004D59D4" w:rsidRDefault="00023FAF" w:rsidP="00025AAC">
      <w:pPr>
        <w:pStyle w:val="3-BodyText"/>
        <w:numPr>
          <w:ilvl w:val="1"/>
          <w:numId w:val="29"/>
        </w:numPr>
        <w:spacing w:before="160" w:after="160"/>
      </w:pPr>
      <w:r>
        <w:t xml:space="preserve">Patients often maintain their </w:t>
      </w:r>
      <w:proofErr w:type="spellStart"/>
      <w:r>
        <w:t>Phe</w:t>
      </w:r>
      <w:proofErr w:type="spellEnd"/>
      <w:r>
        <w:t xml:space="preserve">-levels via a </w:t>
      </w:r>
      <w:proofErr w:type="spellStart"/>
      <w:r>
        <w:t>Phe</w:t>
      </w:r>
      <w:proofErr w:type="spellEnd"/>
      <w:r>
        <w:t xml:space="preserve">-controlled diet, consisting of low-protein foods combined with PBS-subsidised </w:t>
      </w:r>
      <w:proofErr w:type="spellStart"/>
      <w:r>
        <w:t>Phe</w:t>
      </w:r>
      <w:proofErr w:type="spellEnd"/>
      <w:r>
        <w:t xml:space="preserve">-free supplements. PKU patients </w:t>
      </w:r>
      <w:r>
        <w:lastRenderedPageBreak/>
        <w:t xml:space="preserve">experience negative quality-of-life impacts through neuropsychiatric symptoms and executive functioning impacts, but also through the negative impacts of a </w:t>
      </w:r>
      <w:proofErr w:type="spellStart"/>
      <w:r>
        <w:t>Phe</w:t>
      </w:r>
      <w:proofErr w:type="spellEnd"/>
      <w:r>
        <w:t>-restrict</w:t>
      </w:r>
      <w:r w:rsidR="00BF06F9">
        <w:t>ed</w:t>
      </w:r>
      <w:r>
        <w:t xml:space="preserve"> diet. </w:t>
      </w:r>
      <w:proofErr w:type="spellStart"/>
      <w:r>
        <w:t>Pegvaliase</w:t>
      </w:r>
      <w:proofErr w:type="spellEnd"/>
      <w:r>
        <w:t xml:space="preserve"> is intended to be used in conjunction with a </w:t>
      </w:r>
      <w:proofErr w:type="spellStart"/>
      <w:r>
        <w:t>Phe</w:t>
      </w:r>
      <w:proofErr w:type="spellEnd"/>
      <w:r>
        <w:t xml:space="preserve">-restricted diet. In clinical practice, it is likely that at least some of the benefits of </w:t>
      </w:r>
      <w:proofErr w:type="spellStart"/>
      <w:r>
        <w:t>pegvaliase</w:t>
      </w:r>
      <w:proofErr w:type="spellEnd"/>
      <w:r>
        <w:t xml:space="preserve"> will be due to a relaxation of dietary </w:t>
      </w:r>
      <w:proofErr w:type="spellStart"/>
      <w:r>
        <w:t>Phe</w:t>
      </w:r>
      <w:proofErr w:type="spellEnd"/>
      <w:r>
        <w:t>-restrictions.</w:t>
      </w:r>
    </w:p>
    <w:p w14:paraId="6534E44C" w14:textId="683D66B3" w:rsidR="004D59D4" w:rsidRDefault="00023FAF" w:rsidP="00025AAC">
      <w:pPr>
        <w:pStyle w:val="3-BodyText"/>
        <w:numPr>
          <w:ilvl w:val="1"/>
          <w:numId w:val="30"/>
        </w:numPr>
        <w:spacing w:before="160" w:after="160"/>
      </w:pPr>
      <w:r>
        <w:t xml:space="preserve">While </w:t>
      </w:r>
      <w:proofErr w:type="spellStart"/>
      <w:r>
        <w:t>pegvaliase</w:t>
      </w:r>
      <w:proofErr w:type="spellEnd"/>
      <w:r>
        <w:t xml:space="preserve"> substitutes for the deficient PAH enzyme, </w:t>
      </w:r>
      <w:proofErr w:type="spellStart"/>
      <w:r>
        <w:t>sapropterin</w:t>
      </w:r>
      <w:proofErr w:type="spellEnd"/>
      <w:r>
        <w:t xml:space="preserve"> is a cofactor for PAH and is dependent on residual PAH efficiency, with patients who are most likely to respond to </w:t>
      </w:r>
      <w:proofErr w:type="spellStart"/>
      <w:r>
        <w:t>sapropterin</w:t>
      </w:r>
      <w:proofErr w:type="spellEnd"/>
      <w:r>
        <w:t xml:space="preserve"> those with lower baseline </w:t>
      </w:r>
      <w:proofErr w:type="spellStart"/>
      <w:r>
        <w:t>Phe</w:t>
      </w:r>
      <w:proofErr w:type="spellEnd"/>
      <w:r>
        <w:t xml:space="preserve"> levels and ‘milder’ disease. The resubmission stated that as </w:t>
      </w:r>
      <w:proofErr w:type="spellStart"/>
      <w:r>
        <w:t>pegvaliase</w:t>
      </w:r>
      <w:proofErr w:type="spellEnd"/>
      <w:r>
        <w:t xml:space="preserve"> is an enzyme substitution therapy with pharmacological activity independent of BH4, there is not expected to be a relationship between a patient’s historical response to </w:t>
      </w:r>
      <w:proofErr w:type="spellStart"/>
      <w:r>
        <w:t>sapropterin</w:t>
      </w:r>
      <w:proofErr w:type="spellEnd"/>
      <w:r>
        <w:t xml:space="preserve"> and the efficacy of </w:t>
      </w:r>
      <w:proofErr w:type="spellStart"/>
      <w:r>
        <w:t>pegvaliase</w:t>
      </w:r>
      <w:proofErr w:type="spellEnd"/>
      <w:r>
        <w:t>.</w:t>
      </w:r>
      <w:r w:rsidR="005B3294">
        <w:br/>
      </w:r>
      <w:r w:rsidR="005B3294">
        <w:br/>
      </w:r>
      <w:r w:rsidR="005B3294" w:rsidRPr="00C33D30">
        <w:rPr>
          <w:i/>
        </w:rPr>
        <w:t>For more detail on PBAC’s view, see section 7 PBAC outcome</w:t>
      </w:r>
      <w:r w:rsidR="005B3294">
        <w:rPr>
          <w:i/>
        </w:rPr>
        <w:t>.</w:t>
      </w:r>
    </w:p>
    <w:p w14:paraId="39272E26" w14:textId="77777777" w:rsidR="004D59D4" w:rsidRDefault="00023FAF" w:rsidP="00025AAC">
      <w:pPr>
        <w:pStyle w:val="2-SectionHeading"/>
        <w:numPr>
          <w:ilvl w:val="0"/>
          <w:numId w:val="1"/>
        </w:numPr>
        <w:spacing w:before="160" w:after="160"/>
      </w:pPr>
      <w:bookmarkStart w:id="31" w:name="_Toc219799682"/>
      <w:r>
        <w:t>Comparator</w:t>
      </w:r>
      <w:bookmarkEnd w:id="31"/>
    </w:p>
    <w:p w14:paraId="2F2228EB" w14:textId="77777777" w:rsidR="004D59D4" w:rsidRDefault="00023FAF" w:rsidP="00025AAC">
      <w:pPr>
        <w:pStyle w:val="3-BodyText"/>
        <w:numPr>
          <w:ilvl w:val="1"/>
          <w:numId w:val="31"/>
        </w:numPr>
        <w:spacing w:before="160" w:after="160"/>
      </w:pPr>
      <w:bookmarkStart w:id="32" w:name="_Ref216722547"/>
      <w:r>
        <w:t xml:space="preserve">As in the previous </w:t>
      </w:r>
      <w:proofErr w:type="spellStart"/>
      <w:r>
        <w:t>pegvaliase</w:t>
      </w:r>
      <w:proofErr w:type="spellEnd"/>
      <w:r>
        <w:t xml:space="preserve"> submission, the resubmission proposed </w:t>
      </w:r>
      <w:bookmarkStart w:id="33" w:name="_Hlk214888557"/>
      <w:proofErr w:type="spellStart"/>
      <w:r>
        <w:t>Phe</w:t>
      </w:r>
      <w:proofErr w:type="spellEnd"/>
      <w:r>
        <w:t xml:space="preserve">-restricted diet </w:t>
      </w:r>
      <w:bookmarkEnd w:id="33"/>
      <w:r>
        <w:t>alone as the comparator.</w:t>
      </w:r>
      <w:bookmarkEnd w:id="32"/>
    </w:p>
    <w:p w14:paraId="4C88934A" w14:textId="77777777" w:rsidR="004D59D4" w:rsidRDefault="00023FAF" w:rsidP="00025AAC">
      <w:pPr>
        <w:pStyle w:val="3-BodyText"/>
        <w:numPr>
          <w:ilvl w:val="1"/>
          <w:numId w:val="32"/>
        </w:numPr>
        <w:spacing w:before="160" w:after="160"/>
      </w:pPr>
      <w:r>
        <w:t xml:space="preserve">The resubmission stated that as the proposed population are non-responders to </w:t>
      </w:r>
      <w:proofErr w:type="spellStart"/>
      <w:r>
        <w:t>sapropterin</w:t>
      </w:r>
      <w:proofErr w:type="spellEnd"/>
      <w:r>
        <w:t xml:space="preserve"> and there are no other available pharmacological treatments for PKU, the comparator is a </w:t>
      </w:r>
      <w:proofErr w:type="spellStart"/>
      <w:r>
        <w:t>Phe</w:t>
      </w:r>
      <w:proofErr w:type="spellEnd"/>
      <w:r>
        <w:t xml:space="preserve">-restricted diet alone. The resubmission did not provide any justification as to why a </w:t>
      </w:r>
      <w:proofErr w:type="spellStart"/>
      <w:r>
        <w:t>Phe</w:t>
      </w:r>
      <w:proofErr w:type="spellEnd"/>
      <w:r>
        <w:t xml:space="preserve">-restricted diet alone is an appropriate comparator for the proposed population of patients who have responded to </w:t>
      </w:r>
      <w:proofErr w:type="spellStart"/>
      <w:r>
        <w:t>sapropterin</w:t>
      </w:r>
      <w:proofErr w:type="spellEnd"/>
      <w:r>
        <w:t xml:space="preserve"> but have protein tolerance of less than 15 g/day.</w:t>
      </w:r>
    </w:p>
    <w:p w14:paraId="2E876882" w14:textId="4B48050F" w:rsidR="004D59D4" w:rsidRDefault="00023FAF" w:rsidP="00025AAC">
      <w:pPr>
        <w:pStyle w:val="3-BodyText"/>
        <w:numPr>
          <w:ilvl w:val="1"/>
          <w:numId w:val="33"/>
        </w:numPr>
        <w:spacing w:before="160" w:after="160"/>
      </w:pPr>
      <w:r>
        <w:t xml:space="preserve">For the July 2022 submission, the PBAC considered that the nominated comparator, a </w:t>
      </w:r>
      <w:proofErr w:type="spellStart"/>
      <w:r>
        <w:t>Phe</w:t>
      </w:r>
      <w:proofErr w:type="spellEnd"/>
      <w:r>
        <w:t xml:space="preserve">-restricted diet alone, was an appropriate comparator in the context of the restriction proposed by the submission. However, the PBAC considered that </w:t>
      </w:r>
      <w:proofErr w:type="spellStart"/>
      <w:r>
        <w:t>sapropterin</w:t>
      </w:r>
      <w:proofErr w:type="spellEnd"/>
      <w:r>
        <w:t xml:space="preserve"> was also a relevant comparator, given </w:t>
      </w:r>
      <w:r w:rsidR="00C24771">
        <w:t>it</w:t>
      </w:r>
      <w:r>
        <w:t xml:space="preserve"> considered that the proposed restriction of </w:t>
      </w:r>
      <w:proofErr w:type="spellStart"/>
      <w:r>
        <w:t>pegvaliase</w:t>
      </w:r>
      <w:proofErr w:type="spellEnd"/>
      <w:r>
        <w:t xml:space="preserve"> to </w:t>
      </w:r>
      <w:proofErr w:type="spellStart"/>
      <w:r>
        <w:t>sapropterin</w:t>
      </w:r>
      <w:proofErr w:type="spellEnd"/>
      <w:r>
        <w:t xml:space="preserve"> non-responders was not appropriate. Further, the PBAC noted that for many patients, a major goal of treatment is relaxation of the strict diet. Consequently, </w:t>
      </w:r>
      <w:proofErr w:type="spellStart"/>
      <w:r>
        <w:t>pegvaliase</w:t>
      </w:r>
      <w:proofErr w:type="spellEnd"/>
      <w:r>
        <w:t xml:space="preserve"> may in practice, partly replace the </w:t>
      </w:r>
      <w:proofErr w:type="spellStart"/>
      <w:r>
        <w:t>Phe</w:t>
      </w:r>
      <w:proofErr w:type="spellEnd"/>
      <w:r>
        <w:t>-restricted diet (paragraph 7.6 PSD July 2022 PBAC meeting).</w:t>
      </w:r>
    </w:p>
    <w:p w14:paraId="1BC108EA" w14:textId="77777777" w:rsidR="004D59D4" w:rsidRDefault="00023FAF" w:rsidP="00025AAC">
      <w:pPr>
        <w:pStyle w:val="3-BodyText"/>
        <w:numPr>
          <w:ilvl w:val="1"/>
          <w:numId w:val="34"/>
        </w:numPr>
        <w:spacing w:before="160" w:after="160"/>
      </w:pPr>
      <w:r>
        <w:t xml:space="preserve">The PBAC previously considered that any resubmission for </w:t>
      </w:r>
      <w:proofErr w:type="spellStart"/>
      <w:r>
        <w:t>pegvaliase</w:t>
      </w:r>
      <w:proofErr w:type="spellEnd"/>
      <w:r>
        <w:t xml:space="preserve"> should not restrict access based on prior response to </w:t>
      </w:r>
      <w:proofErr w:type="spellStart"/>
      <w:r>
        <w:t>sapropterin</w:t>
      </w:r>
      <w:proofErr w:type="spellEnd"/>
      <w:r>
        <w:t xml:space="preserve"> and hence </w:t>
      </w:r>
      <w:proofErr w:type="spellStart"/>
      <w:r>
        <w:t>sapropterin</w:t>
      </w:r>
      <w:proofErr w:type="spellEnd"/>
      <w:r>
        <w:t xml:space="preserve"> should be included as a comparator (paragraph 7.14, </w:t>
      </w:r>
      <w:proofErr w:type="spellStart"/>
      <w:r>
        <w:t>pegvaliase</w:t>
      </w:r>
      <w:proofErr w:type="spellEnd"/>
      <w:r>
        <w:t xml:space="preserve"> PSD, July 2022 PBAC meeting). Despite this, the resubmission maintained a requested listing among </w:t>
      </w:r>
      <w:proofErr w:type="spellStart"/>
      <w:r>
        <w:t>sapropterin</w:t>
      </w:r>
      <w:proofErr w:type="spellEnd"/>
      <w:r>
        <w:t xml:space="preserve"> non-responders and thus did not propose </w:t>
      </w:r>
      <w:proofErr w:type="spellStart"/>
      <w:r>
        <w:t>sapropterin</w:t>
      </w:r>
      <w:proofErr w:type="spellEnd"/>
      <w:r>
        <w:t xml:space="preserve"> as a comparator. Consequently, the resubmission did not provide any data comparing </w:t>
      </w:r>
      <w:proofErr w:type="spellStart"/>
      <w:r>
        <w:t>pegvaliase</w:t>
      </w:r>
      <w:proofErr w:type="spellEnd"/>
      <w:r>
        <w:t xml:space="preserve"> versus </w:t>
      </w:r>
      <w:proofErr w:type="spellStart"/>
      <w:r>
        <w:t>sapropterin</w:t>
      </w:r>
      <w:proofErr w:type="spellEnd"/>
      <w:r>
        <w:t xml:space="preserve"> in the proposed patient population. While this may be appropriate for patients who did not respond to </w:t>
      </w:r>
      <w:proofErr w:type="spellStart"/>
      <w:r>
        <w:t>sapropterin</w:t>
      </w:r>
      <w:proofErr w:type="spellEnd"/>
      <w:r>
        <w:t xml:space="preserve">, the evaluation considered that </w:t>
      </w:r>
      <w:proofErr w:type="spellStart"/>
      <w:r>
        <w:t>sapropterin</w:t>
      </w:r>
      <w:proofErr w:type="spellEnd"/>
      <w:r>
        <w:t xml:space="preserve"> would provide an appropriate comparator for the additional proposed </w:t>
      </w:r>
      <w:r>
        <w:lastRenderedPageBreak/>
        <w:t xml:space="preserve">patient population who have responded to </w:t>
      </w:r>
      <w:proofErr w:type="spellStart"/>
      <w:r>
        <w:t>sapropterin</w:t>
      </w:r>
      <w:proofErr w:type="spellEnd"/>
      <w:r>
        <w:t xml:space="preserve">. These patients are likely to be receiving </w:t>
      </w:r>
      <w:proofErr w:type="spellStart"/>
      <w:r>
        <w:t>sapropterin</w:t>
      </w:r>
      <w:proofErr w:type="spellEnd"/>
      <w:r>
        <w:t xml:space="preserve"> but may have the option to switch to </w:t>
      </w:r>
      <w:proofErr w:type="spellStart"/>
      <w:r>
        <w:t>pegvaliase</w:t>
      </w:r>
      <w:proofErr w:type="spellEnd"/>
      <w:r>
        <w:t xml:space="preserve"> if they meet the proposed criteria of having a daily protein tolerance of less than 15 grams.</w:t>
      </w:r>
    </w:p>
    <w:p w14:paraId="577FA9A3" w14:textId="77777777" w:rsidR="004D59D4" w:rsidRDefault="00023FAF" w:rsidP="00025AAC">
      <w:pPr>
        <w:pStyle w:val="3-BodyText"/>
        <w:numPr>
          <w:ilvl w:val="1"/>
          <w:numId w:val="35"/>
        </w:numPr>
        <w:spacing w:before="160" w:after="160"/>
      </w:pPr>
      <w:bookmarkStart w:id="34" w:name="_Hlk216721965"/>
      <w:bookmarkStart w:id="35" w:name="_Ref216722560"/>
      <w:bookmarkEnd w:id="34"/>
      <w:proofErr w:type="spellStart"/>
      <w:r>
        <w:t>Sapropterin</w:t>
      </w:r>
      <w:proofErr w:type="spellEnd"/>
      <w:r>
        <w:t xml:space="preserve"> is currently PBS-listed for the treatment of HPA due to PKU where:</w:t>
      </w:r>
      <w:bookmarkEnd w:id="35"/>
    </w:p>
    <w:p w14:paraId="579BA7A2" w14:textId="77777777" w:rsidR="004D59D4" w:rsidRDefault="00023FAF" w:rsidP="00025AAC">
      <w:pPr>
        <w:pStyle w:val="3-BodyText"/>
        <w:numPr>
          <w:ilvl w:val="0"/>
          <w:numId w:val="5"/>
        </w:numPr>
        <w:spacing w:before="160" w:after="160"/>
        <w:ind w:left="993" w:hanging="284"/>
      </w:pPr>
      <w:r>
        <w:t xml:space="preserve">For initial treatment, the patient must have a baseline blood </w:t>
      </w:r>
      <w:proofErr w:type="spellStart"/>
      <w:r>
        <w:t>Phe</w:t>
      </w:r>
      <w:proofErr w:type="spellEnd"/>
      <w:r>
        <w:t xml:space="preserve"> level &gt; 360 µmole/L if less than one month of age or a baseline blood </w:t>
      </w:r>
      <w:proofErr w:type="spellStart"/>
      <w:r>
        <w:t>Phe</w:t>
      </w:r>
      <w:proofErr w:type="spellEnd"/>
      <w:r>
        <w:t xml:space="preserve"> level &gt; 600 µmole/L if more than one month of age; and</w:t>
      </w:r>
    </w:p>
    <w:p w14:paraId="097ACE64" w14:textId="77777777" w:rsidR="004D59D4" w:rsidRDefault="00023FAF" w:rsidP="00025AAC">
      <w:pPr>
        <w:pStyle w:val="3-BodyText"/>
        <w:numPr>
          <w:ilvl w:val="0"/>
          <w:numId w:val="5"/>
        </w:numPr>
        <w:spacing w:before="160" w:after="160"/>
        <w:ind w:left="993" w:hanging="284"/>
      </w:pPr>
      <w:r>
        <w:t>Initial responsiveness testing is for a period of 24 hours in a patient less than one month of age or for a period of 7 days in a patient aged more than one month.</w:t>
      </w:r>
    </w:p>
    <w:p w14:paraId="474C9251" w14:textId="77777777" w:rsidR="004D59D4" w:rsidRDefault="00023FAF" w:rsidP="00025AAC">
      <w:pPr>
        <w:pStyle w:val="3-BodyText"/>
        <w:numPr>
          <w:ilvl w:val="0"/>
          <w:numId w:val="5"/>
        </w:numPr>
        <w:spacing w:before="160" w:after="160"/>
        <w:ind w:left="993" w:hanging="284"/>
      </w:pPr>
      <w:r>
        <w:t xml:space="preserve">Continuing treatment criteria: During initial responsiveness testing, patient must have ≥ 30% reduction in </w:t>
      </w:r>
      <w:proofErr w:type="spellStart"/>
      <w:r>
        <w:t>Phe</w:t>
      </w:r>
      <w:proofErr w:type="spellEnd"/>
      <w:r>
        <w:t xml:space="preserve"> from baseline.</w:t>
      </w:r>
    </w:p>
    <w:p w14:paraId="5F960BE9" w14:textId="04581FDB" w:rsidR="004D59D4" w:rsidRDefault="00023FAF" w:rsidP="00025AAC">
      <w:pPr>
        <w:pStyle w:val="3-BodyText"/>
        <w:numPr>
          <w:ilvl w:val="0"/>
          <w:numId w:val="5"/>
        </w:numPr>
        <w:spacing w:before="160" w:after="160"/>
        <w:ind w:left="993" w:hanging="284"/>
        <w:jc w:val="left"/>
      </w:pPr>
      <w:r>
        <w:t>Initial treatment must be by a metabolic physician. Continuing treatment can be by a metabolic physician or nurse practitioner.</w:t>
      </w:r>
      <w:r w:rsidR="005B3294">
        <w:br/>
      </w:r>
      <w:r w:rsidR="005B3294">
        <w:br/>
      </w:r>
      <w:r w:rsidR="00F55037" w:rsidRPr="00C33D30">
        <w:rPr>
          <w:i/>
        </w:rPr>
        <w:t>For more detail on PBAC’s view, see section 7 PBAC outcome</w:t>
      </w:r>
      <w:r w:rsidR="00F55037">
        <w:rPr>
          <w:i/>
        </w:rPr>
        <w:t>.</w:t>
      </w:r>
    </w:p>
    <w:p w14:paraId="1A53C55C" w14:textId="77777777" w:rsidR="004D59D4" w:rsidRDefault="00023FAF" w:rsidP="00025AAC">
      <w:pPr>
        <w:pStyle w:val="2-SectionHeading"/>
        <w:numPr>
          <w:ilvl w:val="0"/>
          <w:numId w:val="1"/>
        </w:numPr>
        <w:spacing w:before="160" w:after="160"/>
      </w:pPr>
      <w:bookmarkStart w:id="36" w:name="_Toc219799683"/>
      <w:r>
        <w:t>Consideration of the evidence</w:t>
      </w:r>
      <w:bookmarkEnd w:id="36"/>
    </w:p>
    <w:p w14:paraId="6EECA1DB" w14:textId="77777777" w:rsidR="00C34BCB" w:rsidRDefault="00C34BCB" w:rsidP="00025AAC">
      <w:pPr>
        <w:pStyle w:val="4-SubsectionHeading"/>
        <w:spacing w:before="160" w:after="160"/>
      </w:pPr>
      <w:bookmarkStart w:id="37" w:name="_Toc22897640"/>
      <w:bookmarkStart w:id="38" w:name="_Toc219799684"/>
      <w:r>
        <w:t>Sponsor hearing</w:t>
      </w:r>
    </w:p>
    <w:p w14:paraId="4149695F" w14:textId="71974140" w:rsidR="009A0E87" w:rsidRPr="001B189A" w:rsidRDefault="00B83FBF" w:rsidP="00025AAC">
      <w:pPr>
        <w:numPr>
          <w:ilvl w:val="1"/>
          <w:numId w:val="1"/>
        </w:numPr>
        <w:suppressAutoHyphens w:val="0"/>
        <w:spacing w:after="120"/>
        <w:rPr>
          <w:rFonts w:asciiTheme="minorHAnsi" w:hAnsiTheme="minorHAnsi"/>
          <w:bCs/>
          <w:snapToGrid w:val="0"/>
        </w:rPr>
      </w:pPr>
      <w:bookmarkStart w:id="39" w:name="_Ref226976249"/>
      <w:bookmarkStart w:id="40" w:name="_Hlk76382586"/>
      <w:r w:rsidRPr="0030459E">
        <w:rPr>
          <w:rFonts w:asciiTheme="minorHAnsi" w:hAnsiTheme="minorHAnsi"/>
          <w:bCs/>
          <w:snapToGrid w:val="0"/>
        </w:rPr>
        <w:t xml:space="preserve">The sponsor </w:t>
      </w:r>
      <w:r w:rsidRPr="001B189A">
        <w:rPr>
          <w:rFonts w:asciiTheme="minorHAnsi" w:hAnsiTheme="minorHAnsi"/>
          <w:bCs/>
          <w:snapToGrid w:val="0"/>
        </w:rPr>
        <w:t xml:space="preserve">requested a hearing for this item. </w:t>
      </w:r>
      <w:r w:rsidR="009A0E87" w:rsidRPr="001B189A">
        <w:rPr>
          <w:rFonts w:asciiTheme="minorHAnsi" w:hAnsiTheme="minorHAnsi"/>
          <w:bCs/>
          <w:snapToGrid w:val="0"/>
        </w:rPr>
        <w:t xml:space="preserve">The sponsor highlighted the significant </w:t>
      </w:r>
      <w:r w:rsidR="00043F17" w:rsidRPr="001B189A">
        <w:rPr>
          <w:rFonts w:asciiTheme="minorHAnsi" w:hAnsiTheme="minorHAnsi"/>
          <w:bCs/>
          <w:snapToGrid w:val="0"/>
        </w:rPr>
        <w:t>unmet need for this patient group and the stakeholder support for listing in the requested population</w:t>
      </w:r>
      <w:r w:rsidR="00EE4B61" w:rsidRPr="001B189A">
        <w:t xml:space="preserve"> </w:t>
      </w:r>
      <w:r w:rsidR="00EE4B61" w:rsidRPr="001B189A">
        <w:rPr>
          <w:rFonts w:asciiTheme="minorHAnsi" w:hAnsiTheme="minorHAnsi"/>
          <w:bCs/>
          <w:snapToGrid w:val="0"/>
        </w:rPr>
        <w:t xml:space="preserve">as opposed to the current situation of no access to </w:t>
      </w:r>
      <w:proofErr w:type="spellStart"/>
      <w:r w:rsidR="00EE4B61" w:rsidRPr="001B189A">
        <w:rPr>
          <w:rFonts w:asciiTheme="minorHAnsi" w:hAnsiTheme="minorHAnsi"/>
          <w:bCs/>
          <w:snapToGrid w:val="0"/>
        </w:rPr>
        <w:t>pegvaliase</w:t>
      </w:r>
      <w:proofErr w:type="spellEnd"/>
      <w:r w:rsidR="00EE4B61" w:rsidRPr="001B189A">
        <w:rPr>
          <w:rFonts w:asciiTheme="minorHAnsi" w:hAnsiTheme="minorHAnsi"/>
          <w:bCs/>
          <w:snapToGrid w:val="0"/>
        </w:rPr>
        <w:t xml:space="preserve"> at all.</w:t>
      </w:r>
      <w:r w:rsidR="00043F17" w:rsidRPr="001B189A">
        <w:rPr>
          <w:rFonts w:asciiTheme="minorHAnsi" w:hAnsiTheme="minorHAnsi"/>
          <w:bCs/>
          <w:snapToGrid w:val="0"/>
        </w:rPr>
        <w:t xml:space="preserve"> </w:t>
      </w:r>
      <w:r w:rsidR="00D32E51" w:rsidRPr="001B189A">
        <w:rPr>
          <w:rFonts w:asciiTheme="minorHAnsi" w:hAnsiTheme="minorHAnsi"/>
          <w:bCs/>
          <w:snapToGrid w:val="0"/>
        </w:rPr>
        <w:t>Further, the s</w:t>
      </w:r>
      <w:r w:rsidR="00A04F92" w:rsidRPr="001B189A">
        <w:rPr>
          <w:rFonts w:asciiTheme="minorHAnsi" w:hAnsiTheme="minorHAnsi"/>
          <w:bCs/>
          <w:snapToGrid w:val="0"/>
        </w:rPr>
        <w:t>ponsor</w:t>
      </w:r>
      <w:r w:rsidR="00D32E51" w:rsidRPr="001B189A">
        <w:rPr>
          <w:rFonts w:asciiTheme="minorHAnsi" w:hAnsiTheme="minorHAnsi"/>
          <w:bCs/>
          <w:snapToGrid w:val="0"/>
        </w:rPr>
        <w:t xml:space="preserve"> reiterated </w:t>
      </w:r>
      <w:r w:rsidR="00A04F92" w:rsidRPr="001B189A">
        <w:rPr>
          <w:rFonts w:asciiTheme="minorHAnsi" w:hAnsiTheme="minorHAnsi"/>
          <w:bCs/>
          <w:snapToGrid w:val="0"/>
        </w:rPr>
        <w:t>its</w:t>
      </w:r>
      <w:r w:rsidR="00D32E51" w:rsidRPr="001B189A">
        <w:rPr>
          <w:rFonts w:asciiTheme="minorHAnsi" w:hAnsiTheme="minorHAnsi"/>
          <w:bCs/>
          <w:snapToGrid w:val="0"/>
        </w:rPr>
        <w:t xml:space="preserve"> commitment to working with the PBAC to implement </w:t>
      </w:r>
      <w:r w:rsidR="00AE231E" w:rsidRPr="001B189A">
        <w:rPr>
          <w:rFonts w:asciiTheme="minorHAnsi" w:hAnsiTheme="minorHAnsi"/>
          <w:bCs/>
          <w:snapToGrid w:val="0"/>
        </w:rPr>
        <w:t xml:space="preserve">its proposed </w:t>
      </w:r>
      <w:r w:rsidR="003D2712">
        <w:rPr>
          <w:rFonts w:asciiTheme="minorHAnsi" w:hAnsiTheme="minorHAnsi"/>
          <w:bCs/>
          <w:snapToGrid w:val="0"/>
        </w:rPr>
        <w:t>RSA</w:t>
      </w:r>
      <w:r w:rsidR="009F534B" w:rsidRPr="001B189A">
        <w:rPr>
          <w:rFonts w:asciiTheme="minorHAnsi" w:hAnsiTheme="minorHAnsi"/>
          <w:bCs/>
          <w:snapToGrid w:val="0"/>
        </w:rPr>
        <w:t xml:space="preserve"> </w:t>
      </w:r>
      <w:r w:rsidR="00D32E51" w:rsidRPr="001B189A">
        <w:rPr>
          <w:rFonts w:asciiTheme="minorHAnsi" w:hAnsiTheme="minorHAnsi"/>
          <w:bCs/>
          <w:snapToGrid w:val="0"/>
        </w:rPr>
        <w:t>or an alternative mechanism t</w:t>
      </w:r>
      <w:r w:rsidR="0012421A" w:rsidRPr="001B189A">
        <w:rPr>
          <w:rFonts w:asciiTheme="minorHAnsi" w:hAnsiTheme="minorHAnsi"/>
          <w:bCs/>
          <w:snapToGrid w:val="0"/>
        </w:rPr>
        <w:t xml:space="preserve">hat balances the PBAC’s concerns and </w:t>
      </w:r>
      <w:r w:rsidR="00E812ED" w:rsidRPr="001B189A">
        <w:rPr>
          <w:rFonts w:asciiTheme="minorHAnsi" w:hAnsiTheme="minorHAnsi"/>
          <w:bCs/>
          <w:snapToGrid w:val="0"/>
        </w:rPr>
        <w:t>commercial constraints</w:t>
      </w:r>
      <w:r w:rsidR="00D32E51" w:rsidRPr="001B189A">
        <w:rPr>
          <w:rFonts w:asciiTheme="minorHAnsi" w:hAnsiTheme="minorHAnsi"/>
          <w:bCs/>
          <w:snapToGrid w:val="0"/>
        </w:rPr>
        <w:t>.</w:t>
      </w:r>
      <w:bookmarkEnd w:id="39"/>
    </w:p>
    <w:bookmarkEnd w:id="40"/>
    <w:p w14:paraId="4093D4E2" w14:textId="12401E26" w:rsidR="00713830" w:rsidRDefault="00713830" w:rsidP="00025AAC">
      <w:pPr>
        <w:pStyle w:val="4-SubsectionHeading"/>
        <w:spacing w:before="160" w:after="160"/>
      </w:pPr>
      <w:r>
        <w:t>Consumer input</w:t>
      </w:r>
    </w:p>
    <w:p w14:paraId="1E71DD10" w14:textId="1389AE1F" w:rsidR="00576AAA" w:rsidRPr="00576AAA" w:rsidRDefault="00213E7F" w:rsidP="00025AAC">
      <w:pPr>
        <w:pStyle w:val="ListParagraph"/>
        <w:numPr>
          <w:ilvl w:val="1"/>
          <w:numId w:val="1"/>
        </w:numPr>
        <w:suppressAutoHyphens w:val="0"/>
        <w:jc w:val="both"/>
        <w:rPr>
          <w:bCs/>
          <w:snapToGrid w:val="0"/>
          <w:lang w:eastAsia="en-US"/>
        </w:rPr>
      </w:pPr>
      <w:bookmarkStart w:id="41" w:name="_Hlk76382618"/>
      <w:r w:rsidRPr="00E33D13">
        <w:rPr>
          <w:bCs/>
          <w:snapToGrid w:val="0"/>
          <w:lang w:eastAsia="en-US"/>
        </w:rPr>
        <w:t>The PBAC noted and welcomed the input from individuals (</w:t>
      </w:r>
      <w:r w:rsidR="00DC7B3E" w:rsidRPr="00E33D13">
        <w:rPr>
          <w:bCs/>
          <w:snapToGrid w:val="0"/>
          <w:lang w:eastAsia="en-US"/>
        </w:rPr>
        <w:t>11</w:t>
      </w:r>
      <w:r w:rsidRPr="00E33D13">
        <w:rPr>
          <w:bCs/>
          <w:snapToGrid w:val="0"/>
          <w:lang w:eastAsia="en-US"/>
        </w:rPr>
        <w:t xml:space="preserve">), </w:t>
      </w:r>
      <w:r w:rsidR="004C7384" w:rsidRPr="00E33D13">
        <w:rPr>
          <w:bCs/>
          <w:snapToGrid w:val="0"/>
          <w:lang w:eastAsia="en-US"/>
        </w:rPr>
        <w:t>carers</w:t>
      </w:r>
      <w:r w:rsidR="00475C94" w:rsidRPr="00E33D13">
        <w:rPr>
          <w:bCs/>
          <w:snapToGrid w:val="0"/>
          <w:lang w:eastAsia="en-US"/>
        </w:rPr>
        <w:t xml:space="preserve"> (36)</w:t>
      </w:r>
      <w:r w:rsidR="00DA3879" w:rsidRPr="00E33D13">
        <w:rPr>
          <w:bCs/>
          <w:snapToGrid w:val="0"/>
          <w:lang w:eastAsia="en-US"/>
        </w:rPr>
        <w:t xml:space="preserve">, other interested </w:t>
      </w:r>
      <w:r w:rsidR="003D3935" w:rsidRPr="00E33D13">
        <w:rPr>
          <w:bCs/>
          <w:snapToGrid w:val="0"/>
          <w:lang w:eastAsia="en-US"/>
        </w:rPr>
        <w:t>individuals (</w:t>
      </w:r>
      <w:r w:rsidR="0006618B" w:rsidRPr="00E33D13">
        <w:rPr>
          <w:bCs/>
          <w:snapToGrid w:val="0"/>
          <w:lang w:eastAsia="en-US"/>
        </w:rPr>
        <w:t>8</w:t>
      </w:r>
      <w:r w:rsidR="003D3935" w:rsidRPr="00E33D13">
        <w:rPr>
          <w:bCs/>
          <w:snapToGrid w:val="0"/>
          <w:lang w:eastAsia="en-US"/>
        </w:rPr>
        <w:t>)</w:t>
      </w:r>
      <w:r w:rsidRPr="00E33D13">
        <w:rPr>
          <w:bCs/>
          <w:snapToGrid w:val="0"/>
          <w:lang w:eastAsia="en-US"/>
        </w:rPr>
        <w:t xml:space="preserve"> </w:t>
      </w:r>
      <w:r w:rsidR="00664BC7" w:rsidRPr="00E33D13">
        <w:rPr>
          <w:bCs/>
          <w:snapToGrid w:val="0"/>
          <w:lang w:eastAsia="en-US"/>
        </w:rPr>
        <w:t>and</w:t>
      </w:r>
      <w:r w:rsidR="00D9691A">
        <w:rPr>
          <w:bCs/>
          <w:snapToGrid w:val="0"/>
          <w:lang w:eastAsia="en-US"/>
        </w:rPr>
        <w:t xml:space="preserve"> an</w:t>
      </w:r>
      <w:r w:rsidR="00664BC7" w:rsidRPr="00E33D13">
        <w:rPr>
          <w:bCs/>
          <w:snapToGrid w:val="0"/>
          <w:lang w:eastAsia="en-US"/>
        </w:rPr>
        <w:t xml:space="preserve"> organisation, </w:t>
      </w:r>
      <w:r w:rsidRPr="00E33D13">
        <w:rPr>
          <w:bCs/>
          <w:snapToGrid w:val="0"/>
          <w:lang w:eastAsia="en-US"/>
        </w:rPr>
        <w:t xml:space="preserve">via the Office of Health Technology Assessment Consultation Hub. The input described </w:t>
      </w:r>
      <w:r w:rsidR="00771B0D">
        <w:rPr>
          <w:bCs/>
          <w:snapToGrid w:val="0"/>
          <w:lang w:eastAsia="en-US"/>
        </w:rPr>
        <w:t xml:space="preserve">the challenges of living with PKU including </w:t>
      </w:r>
      <w:r w:rsidR="00C32167">
        <w:rPr>
          <w:bCs/>
          <w:snapToGrid w:val="0"/>
          <w:lang w:eastAsia="en-US"/>
        </w:rPr>
        <w:t>the significant impact of dietary restrictions</w:t>
      </w:r>
      <w:r w:rsidR="00AD7869">
        <w:rPr>
          <w:bCs/>
          <w:snapToGrid w:val="0"/>
          <w:lang w:eastAsia="en-US"/>
        </w:rPr>
        <w:t>, including the social</w:t>
      </w:r>
      <w:r w:rsidR="002C302B">
        <w:rPr>
          <w:bCs/>
          <w:snapToGrid w:val="0"/>
          <w:lang w:eastAsia="en-US"/>
        </w:rPr>
        <w:t>, emotional and practical burden of these restrictions. The input also outlined</w:t>
      </w:r>
      <w:r w:rsidR="00C32167">
        <w:rPr>
          <w:bCs/>
          <w:snapToGrid w:val="0"/>
          <w:lang w:eastAsia="en-US"/>
        </w:rPr>
        <w:t xml:space="preserve"> the cognitive impacts of high </w:t>
      </w:r>
      <w:proofErr w:type="spellStart"/>
      <w:r w:rsidR="00C32167">
        <w:rPr>
          <w:bCs/>
          <w:snapToGrid w:val="0"/>
          <w:lang w:eastAsia="en-US"/>
        </w:rPr>
        <w:t>Phe</w:t>
      </w:r>
      <w:proofErr w:type="spellEnd"/>
      <w:r w:rsidR="00C32167">
        <w:rPr>
          <w:bCs/>
          <w:snapToGrid w:val="0"/>
          <w:lang w:eastAsia="en-US"/>
        </w:rPr>
        <w:t xml:space="preserve"> </w:t>
      </w:r>
      <w:r w:rsidR="00576AAA">
        <w:rPr>
          <w:bCs/>
          <w:snapToGrid w:val="0"/>
          <w:lang w:eastAsia="en-US"/>
        </w:rPr>
        <w:t>levels</w:t>
      </w:r>
      <w:r w:rsidR="00576AAA" w:rsidRPr="00576AAA">
        <w:rPr>
          <w:bCs/>
          <w:snapToGrid w:val="0"/>
          <w:lang w:eastAsia="en-US"/>
        </w:rPr>
        <w:t xml:space="preserve"> including difficulty concentrating, reduced mental clarity, anxiety and fatigue. Carers</w:t>
      </w:r>
      <w:r w:rsidR="00691574">
        <w:rPr>
          <w:bCs/>
          <w:snapToGrid w:val="0"/>
          <w:lang w:eastAsia="en-US"/>
        </w:rPr>
        <w:t xml:space="preserve">, </w:t>
      </w:r>
      <w:r w:rsidR="00576AAA" w:rsidRPr="00576AAA">
        <w:rPr>
          <w:bCs/>
          <w:snapToGrid w:val="0"/>
          <w:lang w:eastAsia="en-US"/>
        </w:rPr>
        <w:t>parents</w:t>
      </w:r>
      <w:r w:rsidR="00691574">
        <w:rPr>
          <w:bCs/>
          <w:snapToGrid w:val="0"/>
          <w:lang w:eastAsia="en-US"/>
        </w:rPr>
        <w:t xml:space="preserve"> and </w:t>
      </w:r>
      <w:r w:rsidR="00576AAA" w:rsidRPr="00576AAA">
        <w:rPr>
          <w:bCs/>
          <w:snapToGrid w:val="0"/>
          <w:lang w:eastAsia="en-US"/>
        </w:rPr>
        <w:t xml:space="preserve">partners </w:t>
      </w:r>
      <w:r w:rsidR="009E3C0F">
        <w:rPr>
          <w:bCs/>
          <w:snapToGrid w:val="0"/>
          <w:lang w:eastAsia="en-US"/>
        </w:rPr>
        <w:t xml:space="preserve">of patients </w:t>
      </w:r>
      <w:r w:rsidR="00576AAA" w:rsidRPr="00576AAA">
        <w:rPr>
          <w:bCs/>
          <w:snapToGrid w:val="0"/>
          <w:lang w:eastAsia="en-US"/>
        </w:rPr>
        <w:t>expressed concerns about long-term cognitive damage</w:t>
      </w:r>
      <w:r w:rsidR="00691574">
        <w:rPr>
          <w:bCs/>
          <w:snapToGrid w:val="0"/>
          <w:lang w:eastAsia="en-US"/>
        </w:rPr>
        <w:t>.</w:t>
      </w:r>
    </w:p>
    <w:p w14:paraId="3C55A2BB" w14:textId="3AE2E817" w:rsidR="00B15B29" w:rsidRPr="00326600" w:rsidRDefault="00576AAA" w:rsidP="00025AAC">
      <w:pPr>
        <w:pStyle w:val="ListParagraph"/>
        <w:numPr>
          <w:ilvl w:val="1"/>
          <w:numId w:val="1"/>
        </w:numPr>
        <w:suppressAutoHyphens w:val="0"/>
        <w:jc w:val="both"/>
        <w:rPr>
          <w:bCs/>
          <w:snapToGrid w:val="0"/>
          <w:lang w:eastAsia="en-US"/>
        </w:rPr>
      </w:pPr>
      <w:r w:rsidRPr="00576AAA">
        <w:rPr>
          <w:bCs/>
          <w:snapToGrid w:val="0"/>
          <w:lang w:eastAsia="en-US"/>
        </w:rPr>
        <w:t>Patients described current care</w:t>
      </w:r>
      <w:r w:rsidR="00747635" w:rsidRPr="008C74AB">
        <w:rPr>
          <w:bCs/>
          <w:snapToGrid w:val="0"/>
          <w:lang w:eastAsia="en-US"/>
        </w:rPr>
        <w:t xml:space="preserve">, including </w:t>
      </w:r>
      <w:proofErr w:type="spellStart"/>
      <w:r w:rsidR="00747635" w:rsidRPr="008C74AB">
        <w:rPr>
          <w:bCs/>
          <w:snapToGrid w:val="0"/>
          <w:lang w:eastAsia="en-US"/>
        </w:rPr>
        <w:t>sapropterin</w:t>
      </w:r>
      <w:proofErr w:type="spellEnd"/>
      <w:r w:rsidR="00747635" w:rsidRPr="008C74AB">
        <w:rPr>
          <w:bCs/>
          <w:snapToGrid w:val="0"/>
          <w:lang w:eastAsia="en-US"/>
        </w:rPr>
        <w:t xml:space="preserve">, </w:t>
      </w:r>
      <w:r w:rsidRPr="00576AAA">
        <w:rPr>
          <w:bCs/>
          <w:snapToGrid w:val="0"/>
          <w:lang w:eastAsia="en-US"/>
        </w:rPr>
        <w:t xml:space="preserve">as only providing partial metabolic control. </w:t>
      </w:r>
      <w:r w:rsidR="00747635" w:rsidRPr="008C74AB">
        <w:rPr>
          <w:bCs/>
          <w:snapToGrid w:val="0"/>
          <w:lang w:eastAsia="en-US"/>
        </w:rPr>
        <w:t xml:space="preserve">Some patients described </w:t>
      </w:r>
      <w:proofErr w:type="spellStart"/>
      <w:r w:rsidR="00747635" w:rsidRPr="008C74AB">
        <w:rPr>
          <w:bCs/>
          <w:snapToGrid w:val="0"/>
          <w:lang w:eastAsia="en-US"/>
        </w:rPr>
        <w:t>s</w:t>
      </w:r>
      <w:r w:rsidRPr="00576AAA">
        <w:rPr>
          <w:bCs/>
          <w:snapToGrid w:val="0"/>
          <w:lang w:eastAsia="en-US"/>
        </w:rPr>
        <w:t>apropterin</w:t>
      </w:r>
      <w:proofErr w:type="spellEnd"/>
      <w:r w:rsidRPr="00576AAA">
        <w:rPr>
          <w:bCs/>
          <w:snapToGrid w:val="0"/>
          <w:lang w:eastAsia="en-US"/>
        </w:rPr>
        <w:t xml:space="preserve"> as having some benefit but </w:t>
      </w:r>
      <w:r w:rsidR="00720B37">
        <w:rPr>
          <w:bCs/>
          <w:snapToGrid w:val="0"/>
          <w:lang w:eastAsia="en-US"/>
        </w:rPr>
        <w:t>that</w:t>
      </w:r>
      <w:r w:rsidRPr="00576AAA">
        <w:rPr>
          <w:bCs/>
          <w:snapToGrid w:val="0"/>
          <w:lang w:eastAsia="en-US"/>
        </w:rPr>
        <w:t xml:space="preserve"> significant dietary restrictions</w:t>
      </w:r>
      <w:r w:rsidR="00720B37">
        <w:rPr>
          <w:bCs/>
          <w:snapToGrid w:val="0"/>
          <w:lang w:eastAsia="en-US"/>
        </w:rPr>
        <w:t xml:space="preserve"> are still required</w:t>
      </w:r>
      <w:r w:rsidRPr="00576AAA">
        <w:rPr>
          <w:bCs/>
          <w:snapToGrid w:val="0"/>
          <w:lang w:eastAsia="en-US"/>
        </w:rPr>
        <w:t xml:space="preserve">. </w:t>
      </w:r>
      <w:r w:rsidR="008C74AB" w:rsidRPr="008C74AB">
        <w:rPr>
          <w:bCs/>
          <w:snapToGrid w:val="0"/>
          <w:lang w:eastAsia="en-US"/>
        </w:rPr>
        <w:t xml:space="preserve">The comments described </w:t>
      </w:r>
      <w:proofErr w:type="spellStart"/>
      <w:r w:rsidR="008C74AB" w:rsidRPr="008C74AB">
        <w:rPr>
          <w:bCs/>
          <w:snapToGrid w:val="0"/>
          <w:lang w:eastAsia="en-US"/>
        </w:rPr>
        <w:t>p</w:t>
      </w:r>
      <w:r w:rsidRPr="008C74AB">
        <w:rPr>
          <w:bCs/>
          <w:snapToGrid w:val="0"/>
          <w:lang w:eastAsia="en-US"/>
        </w:rPr>
        <w:t>egvaliase</w:t>
      </w:r>
      <w:proofErr w:type="spellEnd"/>
      <w:r w:rsidRPr="008C74AB">
        <w:rPr>
          <w:bCs/>
          <w:snapToGrid w:val="0"/>
          <w:lang w:eastAsia="en-US"/>
        </w:rPr>
        <w:t xml:space="preserve"> as </w:t>
      </w:r>
      <w:r w:rsidR="008C74AB">
        <w:rPr>
          <w:bCs/>
          <w:snapToGrid w:val="0"/>
          <w:lang w:eastAsia="en-US"/>
        </w:rPr>
        <w:t xml:space="preserve">being </w:t>
      </w:r>
      <w:r w:rsidRPr="008C74AB">
        <w:rPr>
          <w:bCs/>
          <w:snapToGrid w:val="0"/>
          <w:lang w:eastAsia="en-US"/>
        </w:rPr>
        <w:t xml:space="preserve">‘transformative’ and </w:t>
      </w:r>
      <w:r w:rsidR="00CF0914">
        <w:rPr>
          <w:bCs/>
          <w:snapToGrid w:val="0"/>
          <w:lang w:eastAsia="en-US"/>
        </w:rPr>
        <w:t xml:space="preserve">outlined a hope that </w:t>
      </w:r>
      <w:proofErr w:type="spellStart"/>
      <w:r w:rsidR="007052BA">
        <w:rPr>
          <w:bCs/>
          <w:snapToGrid w:val="0"/>
          <w:lang w:eastAsia="en-US"/>
        </w:rPr>
        <w:t>pegvaliase</w:t>
      </w:r>
      <w:proofErr w:type="spellEnd"/>
      <w:r w:rsidR="007052BA">
        <w:rPr>
          <w:bCs/>
          <w:snapToGrid w:val="0"/>
          <w:lang w:eastAsia="en-US"/>
        </w:rPr>
        <w:t xml:space="preserve"> </w:t>
      </w:r>
      <w:r w:rsidR="00CF0914">
        <w:rPr>
          <w:bCs/>
          <w:snapToGrid w:val="0"/>
          <w:lang w:eastAsia="en-US"/>
        </w:rPr>
        <w:t xml:space="preserve">would be </w:t>
      </w:r>
      <w:r w:rsidRPr="008C74AB">
        <w:rPr>
          <w:bCs/>
          <w:snapToGrid w:val="0"/>
          <w:lang w:eastAsia="en-US"/>
        </w:rPr>
        <w:lastRenderedPageBreak/>
        <w:t>more effective than existing therapies, allowing less-strict dietary restrictions and improved cognitive function.</w:t>
      </w:r>
      <w:r w:rsidR="002F3214" w:rsidRPr="002F3214">
        <w:rPr>
          <w:rFonts w:ascii="Calibri" w:hAnsi="Calibri"/>
        </w:rPr>
        <w:t xml:space="preserve"> </w:t>
      </w:r>
      <w:r w:rsidR="002F3214">
        <w:rPr>
          <w:rFonts w:ascii="Calibri" w:hAnsi="Calibri"/>
        </w:rPr>
        <w:t>F</w:t>
      </w:r>
      <w:r w:rsidR="00DC12AD">
        <w:rPr>
          <w:rFonts w:ascii="Calibri" w:hAnsi="Calibri"/>
        </w:rPr>
        <w:t xml:space="preserve">amilies outlined the fear of long-term neurological harm with </w:t>
      </w:r>
      <w:r w:rsidR="00EF5B10">
        <w:rPr>
          <w:rFonts w:ascii="Calibri" w:hAnsi="Calibri"/>
        </w:rPr>
        <w:t xml:space="preserve">PKU and viewed </w:t>
      </w:r>
      <w:proofErr w:type="spellStart"/>
      <w:r w:rsidR="00EF5B10">
        <w:rPr>
          <w:rFonts w:ascii="Calibri" w:hAnsi="Calibri"/>
        </w:rPr>
        <w:t>pegvaliase</w:t>
      </w:r>
      <w:proofErr w:type="spellEnd"/>
      <w:r w:rsidR="00EF5B10">
        <w:rPr>
          <w:rFonts w:ascii="Calibri" w:hAnsi="Calibri"/>
        </w:rPr>
        <w:t xml:space="preserve"> </w:t>
      </w:r>
      <w:r w:rsidR="002F3214" w:rsidRPr="002F3214">
        <w:rPr>
          <w:bCs/>
          <w:snapToGrid w:val="0"/>
          <w:lang w:eastAsia="en-US"/>
        </w:rPr>
        <w:t>as a pathway to protecting long</w:t>
      </w:r>
      <w:r w:rsidR="002F3214" w:rsidRPr="002F3214">
        <w:rPr>
          <w:rFonts w:ascii="Cambria Math" w:hAnsi="Cambria Math" w:cs="Cambria Math"/>
          <w:bCs/>
          <w:snapToGrid w:val="0"/>
          <w:lang w:eastAsia="en-US"/>
        </w:rPr>
        <w:t>‑</w:t>
      </w:r>
      <w:r w:rsidR="002F3214" w:rsidRPr="002F3214">
        <w:rPr>
          <w:bCs/>
          <w:snapToGrid w:val="0"/>
          <w:lang w:eastAsia="en-US"/>
        </w:rPr>
        <w:t>term brain health</w:t>
      </w:r>
      <w:r w:rsidR="00EF5B10">
        <w:rPr>
          <w:bCs/>
          <w:snapToGrid w:val="0"/>
          <w:lang w:eastAsia="en-US"/>
        </w:rPr>
        <w:t>.</w:t>
      </w:r>
      <w:r w:rsidRPr="008C74AB">
        <w:rPr>
          <w:bCs/>
          <w:snapToGrid w:val="0"/>
          <w:lang w:eastAsia="en-US"/>
        </w:rPr>
        <w:t xml:space="preserve"> Safety concerns with </w:t>
      </w:r>
      <w:proofErr w:type="spellStart"/>
      <w:r w:rsidRPr="008C74AB">
        <w:rPr>
          <w:bCs/>
          <w:snapToGrid w:val="0"/>
          <w:lang w:eastAsia="en-US"/>
        </w:rPr>
        <w:t>pegvaliase</w:t>
      </w:r>
      <w:proofErr w:type="spellEnd"/>
      <w:r w:rsidRPr="008C74AB">
        <w:rPr>
          <w:bCs/>
          <w:snapToGrid w:val="0"/>
          <w:lang w:eastAsia="en-US"/>
        </w:rPr>
        <w:t xml:space="preserve"> w</w:t>
      </w:r>
      <w:r w:rsidR="00CF0914">
        <w:rPr>
          <w:bCs/>
          <w:snapToGrid w:val="0"/>
          <w:lang w:eastAsia="en-US"/>
        </w:rPr>
        <w:t>ere</w:t>
      </w:r>
      <w:r w:rsidRPr="008C74AB">
        <w:rPr>
          <w:bCs/>
          <w:snapToGrid w:val="0"/>
          <w:lang w:eastAsia="en-US"/>
        </w:rPr>
        <w:t xml:space="preserve"> acknowledged </w:t>
      </w:r>
      <w:r w:rsidR="001E60C1">
        <w:rPr>
          <w:bCs/>
          <w:snapToGrid w:val="0"/>
          <w:lang w:eastAsia="en-US"/>
        </w:rPr>
        <w:t>(i.e.</w:t>
      </w:r>
      <w:r w:rsidR="001E60C1" w:rsidRPr="001E60C1">
        <w:t xml:space="preserve"> </w:t>
      </w:r>
      <w:r w:rsidR="001E60C1">
        <w:t>po</w:t>
      </w:r>
      <w:r w:rsidR="001E60C1" w:rsidRPr="001E60C1">
        <w:rPr>
          <w:bCs/>
          <w:snapToGrid w:val="0"/>
          <w:lang w:eastAsia="en-US"/>
        </w:rPr>
        <w:t>ssible anaphylaxis, immune responses, and daily injections</w:t>
      </w:r>
      <w:r w:rsidR="001E60C1">
        <w:rPr>
          <w:bCs/>
          <w:snapToGrid w:val="0"/>
          <w:lang w:eastAsia="en-US"/>
        </w:rPr>
        <w:t xml:space="preserve">) </w:t>
      </w:r>
      <w:r w:rsidRPr="008C74AB">
        <w:rPr>
          <w:bCs/>
          <w:snapToGrid w:val="0"/>
          <w:lang w:eastAsia="en-US"/>
        </w:rPr>
        <w:t xml:space="preserve">but </w:t>
      </w:r>
      <w:r w:rsidR="005F3200">
        <w:rPr>
          <w:bCs/>
          <w:snapToGrid w:val="0"/>
          <w:lang w:eastAsia="en-US"/>
        </w:rPr>
        <w:t xml:space="preserve">these were </w:t>
      </w:r>
      <w:r w:rsidR="00CF0914">
        <w:rPr>
          <w:bCs/>
          <w:snapToGrid w:val="0"/>
          <w:lang w:eastAsia="en-US"/>
        </w:rPr>
        <w:t>seen as</w:t>
      </w:r>
      <w:r w:rsidRPr="008C74AB">
        <w:rPr>
          <w:bCs/>
          <w:snapToGrid w:val="0"/>
          <w:lang w:eastAsia="en-US"/>
        </w:rPr>
        <w:t xml:space="preserve"> manageable </w:t>
      </w:r>
      <w:r w:rsidR="005F3200">
        <w:rPr>
          <w:bCs/>
          <w:snapToGrid w:val="0"/>
          <w:lang w:eastAsia="en-US"/>
        </w:rPr>
        <w:t>with</w:t>
      </w:r>
      <w:r w:rsidRPr="008C74AB">
        <w:rPr>
          <w:bCs/>
          <w:snapToGrid w:val="0"/>
          <w:lang w:eastAsia="en-US"/>
        </w:rPr>
        <w:t xml:space="preserve"> the benefits outweigh</w:t>
      </w:r>
      <w:r w:rsidR="005F3200">
        <w:rPr>
          <w:bCs/>
          <w:snapToGrid w:val="0"/>
          <w:lang w:eastAsia="en-US"/>
        </w:rPr>
        <w:t>ing</w:t>
      </w:r>
      <w:r w:rsidRPr="008C74AB">
        <w:rPr>
          <w:bCs/>
          <w:snapToGrid w:val="0"/>
          <w:lang w:eastAsia="en-US"/>
        </w:rPr>
        <w:t xml:space="preserve"> the risk</w:t>
      </w:r>
      <w:r w:rsidR="005F3200">
        <w:rPr>
          <w:bCs/>
          <w:snapToGrid w:val="0"/>
          <w:lang w:eastAsia="en-US"/>
        </w:rPr>
        <w:t>s</w:t>
      </w:r>
      <w:r w:rsidR="00F91D70">
        <w:rPr>
          <w:bCs/>
          <w:snapToGrid w:val="0"/>
          <w:lang w:eastAsia="en-US"/>
        </w:rPr>
        <w:t xml:space="preserve">. The PBAC considered that, based on the consumer </w:t>
      </w:r>
      <w:r w:rsidR="00F91D70" w:rsidRPr="00326600">
        <w:rPr>
          <w:bCs/>
          <w:snapToGrid w:val="0"/>
          <w:lang w:eastAsia="en-US"/>
        </w:rPr>
        <w:t xml:space="preserve">input, </w:t>
      </w:r>
      <w:r w:rsidR="001E60C1" w:rsidRPr="00326600">
        <w:rPr>
          <w:bCs/>
          <w:snapToGrid w:val="0"/>
          <w:lang w:eastAsia="en-US"/>
        </w:rPr>
        <w:t>there remains a high unmet need for better treatments of PKU.</w:t>
      </w:r>
    </w:p>
    <w:p w14:paraId="19013472" w14:textId="2CC15547" w:rsidR="00EA5C29" w:rsidRPr="00326600" w:rsidRDefault="00EA5C29" w:rsidP="00025AAC">
      <w:pPr>
        <w:pStyle w:val="ListParagraph"/>
        <w:numPr>
          <w:ilvl w:val="1"/>
          <w:numId w:val="1"/>
        </w:numPr>
        <w:suppressAutoHyphens w:val="0"/>
        <w:jc w:val="both"/>
        <w:rPr>
          <w:bCs/>
          <w:snapToGrid w:val="0"/>
          <w:lang w:eastAsia="en-US"/>
        </w:rPr>
      </w:pPr>
      <w:bookmarkStart w:id="42" w:name="_Ref225420172"/>
      <w:r w:rsidRPr="00326600">
        <w:rPr>
          <w:bCs/>
          <w:snapToGrid w:val="0"/>
          <w:lang w:eastAsia="en-US"/>
        </w:rPr>
        <w:t xml:space="preserve">Five </w:t>
      </w:r>
      <w:r w:rsidR="0054334C" w:rsidRPr="00326600">
        <w:rPr>
          <w:bCs/>
          <w:snapToGrid w:val="0"/>
          <w:lang w:eastAsia="en-US"/>
        </w:rPr>
        <w:t>clinicians</w:t>
      </w:r>
      <w:r w:rsidR="006F4183" w:rsidRPr="00326600">
        <w:rPr>
          <w:bCs/>
          <w:snapToGrid w:val="0"/>
          <w:lang w:eastAsia="en-US"/>
        </w:rPr>
        <w:t xml:space="preserve"> or </w:t>
      </w:r>
      <w:r w:rsidRPr="00326600">
        <w:rPr>
          <w:bCs/>
          <w:snapToGrid w:val="0"/>
          <w:lang w:eastAsia="en-US"/>
        </w:rPr>
        <w:t>groups</w:t>
      </w:r>
      <w:r w:rsidR="00127E80" w:rsidRPr="00326600">
        <w:rPr>
          <w:bCs/>
          <w:snapToGrid w:val="0"/>
          <w:lang w:eastAsia="en-US"/>
        </w:rPr>
        <w:t xml:space="preserve"> specialising in metabolic conditions</w:t>
      </w:r>
      <w:r w:rsidRPr="00326600">
        <w:rPr>
          <w:bCs/>
          <w:snapToGrid w:val="0"/>
          <w:lang w:eastAsia="en-US"/>
        </w:rPr>
        <w:t xml:space="preserve"> (nominated by MDAA) provided input about </w:t>
      </w:r>
      <w:r w:rsidR="009D0E9C" w:rsidRPr="00326600">
        <w:rPr>
          <w:bCs/>
          <w:snapToGrid w:val="0"/>
          <w:lang w:eastAsia="en-US"/>
        </w:rPr>
        <w:t xml:space="preserve">specific </w:t>
      </w:r>
      <w:r w:rsidR="001C03A9" w:rsidRPr="00326600">
        <w:rPr>
          <w:bCs/>
          <w:snapToGrid w:val="0"/>
          <w:lang w:eastAsia="en-US"/>
        </w:rPr>
        <w:t>issues</w:t>
      </w:r>
      <w:r w:rsidRPr="00326600">
        <w:rPr>
          <w:bCs/>
          <w:snapToGrid w:val="0"/>
          <w:lang w:eastAsia="en-US"/>
        </w:rPr>
        <w:t xml:space="preserve"> ahead of PBAC consideration</w:t>
      </w:r>
      <w:r w:rsidR="00CC22F4" w:rsidRPr="00326600">
        <w:rPr>
          <w:bCs/>
          <w:snapToGrid w:val="0"/>
          <w:lang w:eastAsia="en-US"/>
        </w:rPr>
        <w:t>.</w:t>
      </w:r>
      <w:bookmarkEnd w:id="42"/>
    </w:p>
    <w:p w14:paraId="510EB66B" w14:textId="576133C4" w:rsidR="008A5070" w:rsidRPr="00326600" w:rsidRDefault="0054334C" w:rsidP="00025AAC">
      <w:pPr>
        <w:pStyle w:val="ListParagraph"/>
        <w:numPr>
          <w:ilvl w:val="0"/>
          <w:numId w:val="78"/>
        </w:numPr>
        <w:suppressAutoHyphens w:val="0"/>
        <w:jc w:val="both"/>
        <w:rPr>
          <w:bCs/>
          <w:snapToGrid w:val="0"/>
          <w:lang w:eastAsia="en-US"/>
        </w:rPr>
      </w:pPr>
      <w:r w:rsidRPr="00326600">
        <w:rPr>
          <w:bCs/>
          <w:snapToGrid w:val="0"/>
          <w:lang w:eastAsia="en-US"/>
        </w:rPr>
        <w:t xml:space="preserve">The respondents supported </w:t>
      </w:r>
      <w:r w:rsidR="005F7D69" w:rsidRPr="00326600">
        <w:rPr>
          <w:bCs/>
          <w:snapToGrid w:val="0"/>
          <w:lang w:eastAsia="en-US"/>
        </w:rPr>
        <w:t>including</w:t>
      </w:r>
      <w:r w:rsidR="008A5070" w:rsidRPr="00326600">
        <w:rPr>
          <w:bCs/>
          <w:snapToGrid w:val="0"/>
          <w:lang w:eastAsia="en-US"/>
        </w:rPr>
        <w:t xml:space="preserve"> </w:t>
      </w:r>
      <w:r w:rsidR="006F4183" w:rsidRPr="00326600">
        <w:rPr>
          <w:bCs/>
          <w:snapToGrid w:val="0"/>
          <w:lang w:eastAsia="en-US"/>
        </w:rPr>
        <w:t xml:space="preserve">the group of </w:t>
      </w:r>
      <w:r w:rsidR="008A5070" w:rsidRPr="00326600">
        <w:rPr>
          <w:bCs/>
          <w:snapToGrid w:val="0"/>
          <w:lang w:eastAsia="en-US"/>
        </w:rPr>
        <w:t xml:space="preserve">patients with protein tolerance &lt; 15 g per day who meet the PBS </w:t>
      </w:r>
      <w:proofErr w:type="spellStart"/>
      <w:r w:rsidR="00DF279C" w:rsidRPr="00326600">
        <w:rPr>
          <w:bCs/>
          <w:snapToGrid w:val="0"/>
          <w:lang w:eastAsia="en-US"/>
        </w:rPr>
        <w:t>sapropterin</w:t>
      </w:r>
      <w:proofErr w:type="spellEnd"/>
      <w:r w:rsidR="00DF279C" w:rsidRPr="00326600">
        <w:rPr>
          <w:bCs/>
          <w:snapToGrid w:val="0"/>
          <w:lang w:eastAsia="en-US"/>
        </w:rPr>
        <w:t xml:space="preserve"> response </w:t>
      </w:r>
      <w:r w:rsidR="008A5070" w:rsidRPr="00326600">
        <w:rPr>
          <w:bCs/>
          <w:snapToGrid w:val="0"/>
          <w:lang w:eastAsia="en-US"/>
        </w:rPr>
        <w:t>criteri</w:t>
      </w:r>
      <w:r w:rsidR="00DF279C" w:rsidRPr="00326600">
        <w:rPr>
          <w:bCs/>
          <w:snapToGrid w:val="0"/>
          <w:lang w:eastAsia="en-US"/>
        </w:rPr>
        <w:t>on</w:t>
      </w:r>
      <w:r w:rsidR="008A5070" w:rsidRPr="00326600">
        <w:rPr>
          <w:bCs/>
          <w:snapToGrid w:val="0"/>
          <w:lang w:eastAsia="en-US"/>
        </w:rPr>
        <w:t xml:space="preserve"> </w:t>
      </w:r>
      <w:r w:rsidR="002D112F" w:rsidRPr="00326600">
        <w:rPr>
          <w:bCs/>
          <w:snapToGrid w:val="0"/>
          <w:lang w:eastAsia="en-US"/>
        </w:rPr>
        <w:t>(</w:t>
      </w:r>
      <w:r w:rsidR="008A5070" w:rsidRPr="00326600">
        <w:rPr>
          <w:bCs/>
          <w:snapToGrid w:val="0"/>
          <w:lang w:eastAsia="en-US"/>
        </w:rPr>
        <w:t xml:space="preserve">≥ 30% reduction in blood </w:t>
      </w:r>
      <w:proofErr w:type="spellStart"/>
      <w:r w:rsidR="008A5070" w:rsidRPr="00326600">
        <w:rPr>
          <w:bCs/>
          <w:snapToGrid w:val="0"/>
          <w:lang w:eastAsia="en-US"/>
        </w:rPr>
        <w:t>Phe</w:t>
      </w:r>
      <w:proofErr w:type="spellEnd"/>
      <w:r w:rsidR="002D112F" w:rsidRPr="00326600">
        <w:rPr>
          <w:bCs/>
          <w:snapToGrid w:val="0"/>
          <w:lang w:eastAsia="en-US"/>
        </w:rPr>
        <w:t>)</w:t>
      </w:r>
      <w:r w:rsidR="00002C04" w:rsidRPr="00326600">
        <w:rPr>
          <w:bCs/>
          <w:snapToGrid w:val="0"/>
          <w:lang w:eastAsia="en-US"/>
        </w:rPr>
        <w:t xml:space="preserve"> with all </w:t>
      </w:r>
      <w:r w:rsidR="00865962" w:rsidRPr="00326600">
        <w:rPr>
          <w:bCs/>
          <w:snapToGrid w:val="0"/>
          <w:lang w:eastAsia="en-US"/>
        </w:rPr>
        <w:t xml:space="preserve">indicating this would not be </w:t>
      </w:r>
      <w:r w:rsidR="00737544" w:rsidRPr="00326600">
        <w:rPr>
          <w:bCs/>
          <w:snapToGrid w:val="0"/>
          <w:lang w:eastAsia="en-US"/>
        </w:rPr>
        <w:t>considered</w:t>
      </w:r>
      <w:r w:rsidR="00865962" w:rsidRPr="00326600">
        <w:rPr>
          <w:bCs/>
          <w:snapToGrid w:val="0"/>
          <w:lang w:eastAsia="en-US"/>
        </w:rPr>
        <w:t xml:space="preserve"> an </w:t>
      </w:r>
      <w:r w:rsidR="0034759C" w:rsidRPr="00326600">
        <w:rPr>
          <w:bCs/>
          <w:snapToGrid w:val="0"/>
          <w:lang w:eastAsia="en-US"/>
        </w:rPr>
        <w:t>adequate re</w:t>
      </w:r>
      <w:r w:rsidR="008A5070" w:rsidRPr="00326600">
        <w:rPr>
          <w:bCs/>
          <w:snapToGrid w:val="0"/>
          <w:lang w:eastAsia="en-US"/>
        </w:rPr>
        <w:t xml:space="preserve">sponse </w:t>
      </w:r>
      <w:r w:rsidR="00737544" w:rsidRPr="00326600">
        <w:rPr>
          <w:bCs/>
          <w:snapToGrid w:val="0"/>
          <w:lang w:eastAsia="en-US"/>
        </w:rPr>
        <w:t xml:space="preserve">in clinical practice. </w:t>
      </w:r>
      <w:r w:rsidR="00B173FC" w:rsidRPr="00326600">
        <w:rPr>
          <w:bCs/>
          <w:snapToGrid w:val="0"/>
          <w:lang w:eastAsia="en-US"/>
        </w:rPr>
        <w:t xml:space="preserve">The respondents advised that this group is unlikely to materially impact the number of patients treated given most </w:t>
      </w:r>
      <w:r w:rsidR="007E4AED" w:rsidRPr="00326600">
        <w:rPr>
          <w:bCs/>
          <w:snapToGrid w:val="0"/>
          <w:lang w:eastAsia="en-US"/>
        </w:rPr>
        <w:t xml:space="preserve">of this group </w:t>
      </w:r>
      <w:r w:rsidR="00B173FC" w:rsidRPr="00326600">
        <w:rPr>
          <w:bCs/>
          <w:snapToGrid w:val="0"/>
          <w:lang w:eastAsia="en-US"/>
        </w:rPr>
        <w:t>have classical PKU</w:t>
      </w:r>
      <w:r w:rsidR="007E4AED" w:rsidRPr="00326600">
        <w:rPr>
          <w:bCs/>
          <w:snapToGrid w:val="0"/>
          <w:lang w:eastAsia="en-US"/>
        </w:rPr>
        <w:t xml:space="preserve"> and are unlikely to meet the PBS </w:t>
      </w:r>
      <w:proofErr w:type="spellStart"/>
      <w:r w:rsidR="007E4AED" w:rsidRPr="00326600">
        <w:rPr>
          <w:bCs/>
          <w:snapToGrid w:val="0"/>
          <w:lang w:eastAsia="en-US"/>
        </w:rPr>
        <w:t>sapropterin</w:t>
      </w:r>
      <w:proofErr w:type="spellEnd"/>
      <w:r w:rsidR="007E4AED" w:rsidRPr="00326600">
        <w:rPr>
          <w:bCs/>
          <w:snapToGrid w:val="0"/>
          <w:lang w:eastAsia="en-US"/>
        </w:rPr>
        <w:t xml:space="preserve"> response criteria</w:t>
      </w:r>
      <w:r w:rsidR="00B173FC" w:rsidRPr="00326600">
        <w:rPr>
          <w:bCs/>
          <w:snapToGrid w:val="0"/>
          <w:lang w:eastAsia="en-US"/>
        </w:rPr>
        <w:t xml:space="preserve">. </w:t>
      </w:r>
      <w:r w:rsidR="00737544" w:rsidRPr="00326600">
        <w:rPr>
          <w:bCs/>
          <w:snapToGrid w:val="0"/>
          <w:lang w:eastAsia="en-US"/>
        </w:rPr>
        <w:t xml:space="preserve">Most respondents </w:t>
      </w:r>
      <w:r w:rsidR="00B173FC" w:rsidRPr="00326600">
        <w:rPr>
          <w:bCs/>
          <w:snapToGrid w:val="0"/>
          <w:lang w:eastAsia="en-US"/>
        </w:rPr>
        <w:t>indicated that</w:t>
      </w:r>
      <w:r w:rsidR="008A5070" w:rsidRPr="00326600">
        <w:rPr>
          <w:bCs/>
          <w:snapToGrid w:val="0"/>
          <w:lang w:eastAsia="en-US"/>
        </w:rPr>
        <w:t xml:space="preserve"> ‘daily protein tolerance’ could be quantified </w:t>
      </w:r>
      <w:r w:rsidR="00260D87" w:rsidRPr="00326600">
        <w:rPr>
          <w:bCs/>
          <w:snapToGrid w:val="0"/>
          <w:lang w:eastAsia="en-US"/>
        </w:rPr>
        <w:t xml:space="preserve">(it may </w:t>
      </w:r>
      <w:r w:rsidR="008A5070" w:rsidRPr="00326600">
        <w:rPr>
          <w:bCs/>
          <w:snapToGrid w:val="0"/>
          <w:lang w:eastAsia="en-US"/>
        </w:rPr>
        <w:t>require dietician input</w:t>
      </w:r>
      <w:r w:rsidR="00260D87" w:rsidRPr="00326600">
        <w:rPr>
          <w:bCs/>
          <w:snapToGrid w:val="0"/>
          <w:lang w:eastAsia="en-US"/>
        </w:rPr>
        <w:t>)</w:t>
      </w:r>
      <w:r w:rsidR="008A5070" w:rsidRPr="00326600">
        <w:rPr>
          <w:bCs/>
          <w:snapToGrid w:val="0"/>
          <w:lang w:eastAsia="en-US"/>
        </w:rPr>
        <w:t xml:space="preserve"> but one said it </w:t>
      </w:r>
      <w:r w:rsidR="00503024" w:rsidRPr="00326600">
        <w:rPr>
          <w:bCs/>
          <w:snapToGrid w:val="0"/>
          <w:lang w:eastAsia="en-US"/>
        </w:rPr>
        <w:t xml:space="preserve">may be challenging to quantify given it </w:t>
      </w:r>
      <w:r w:rsidR="003E572C" w:rsidRPr="00326600">
        <w:rPr>
          <w:bCs/>
          <w:snapToGrid w:val="0"/>
          <w:lang w:eastAsia="en-US"/>
        </w:rPr>
        <w:t>usually involves</w:t>
      </w:r>
      <w:r w:rsidR="008A5070" w:rsidRPr="00326600">
        <w:rPr>
          <w:bCs/>
          <w:snapToGrid w:val="0"/>
          <w:lang w:eastAsia="en-US"/>
        </w:rPr>
        <w:t xml:space="preserve"> ‘trial and error’</w:t>
      </w:r>
      <w:r w:rsidR="002F728D" w:rsidRPr="00326600">
        <w:rPr>
          <w:bCs/>
          <w:snapToGrid w:val="0"/>
          <w:lang w:eastAsia="en-US"/>
        </w:rPr>
        <w:t xml:space="preserve">. </w:t>
      </w:r>
    </w:p>
    <w:p w14:paraId="7268E3CC" w14:textId="1E0A37A8" w:rsidR="008A5070" w:rsidRPr="00326600" w:rsidRDefault="009367A8" w:rsidP="00025AAC">
      <w:pPr>
        <w:pStyle w:val="ListParagraph"/>
        <w:numPr>
          <w:ilvl w:val="0"/>
          <w:numId w:val="78"/>
        </w:numPr>
        <w:suppressAutoHyphens w:val="0"/>
        <w:jc w:val="both"/>
        <w:rPr>
          <w:bCs/>
          <w:snapToGrid w:val="0"/>
          <w:lang w:eastAsia="en-US"/>
        </w:rPr>
      </w:pPr>
      <w:r w:rsidRPr="00326600">
        <w:rPr>
          <w:bCs/>
          <w:snapToGrid w:val="0"/>
          <w:lang w:eastAsia="en-US"/>
        </w:rPr>
        <w:t>For</w:t>
      </w:r>
      <w:r w:rsidR="004F629E" w:rsidRPr="00326600">
        <w:rPr>
          <w:bCs/>
          <w:snapToGrid w:val="0"/>
          <w:lang w:eastAsia="en-US"/>
        </w:rPr>
        <w:t xml:space="preserve"> the </w:t>
      </w:r>
      <w:r w:rsidR="008A5070" w:rsidRPr="00326600">
        <w:rPr>
          <w:bCs/>
          <w:snapToGrid w:val="0"/>
          <w:lang w:eastAsia="en-US"/>
        </w:rPr>
        <w:t>response assessment timeframe</w:t>
      </w:r>
      <w:r w:rsidR="004F629E" w:rsidRPr="00326600">
        <w:rPr>
          <w:bCs/>
          <w:snapToGrid w:val="0"/>
          <w:lang w:eastAsia="en-US"/>
        </w:rPr>
        <w:t>, t</w:t>
      </w:r>
      <w:r w:rsidR="008A5070" w:rsidRPr="00326600">
        <w:rPr>
          <w:bCs/>
          <w:snapToGrid w:val="0"/>
          <w:lang w:eastAsia="en-US"/>
        </w:rPr>
        <w:t xml:space="preserve">hree </w:t>
      </w:r>
      <w:r w:rsidR="004F629E" w:rsidRPr="00326600">
        <w:rPr>
          <w:bCs/>
          <w:snapToGrid w:val="0"/>
          <w:lang w:eastAsia="en-US"/>
        </w:rPr>
        <w:t xml:space="preserve">respondents </w:t>
      </w:r>
      <w:r w:rsidR="005B45BB" w:rsidRPr="00326600">
        <w:rPr>
          <w:bCs/>
          <w:snapToGrid w:val="0"/>
          <w:lang w:eastAsia="en-US"/>
        </w:rPr>
        <w:t>indicated that</w:t>
      </w:r>
      <w:r w:rsidR="008A5070" w:rsidRPr="00326600">
        <w:rPr>
          <w:bCs/>
          <w:snapToGrid w:val="0"/>
          <w:lang w:eastAsia="en-US"/>
        </w:rPr>
        <w:t xml:space="preserve"> 24 month</w:t>
      </w:r>
      <w:r w:rsidR="00A81F5C" w:rsidRPr="00326600">
        <w:rPr>
          <w:bCs/>
          <w:snapToGrid w:val="0"/>
          <w:lang w:eastAsia="en-US"/>
        </w:rPr>
        <w:t xml:space="preserve">s </w:t>
      </w:r>
      <w:r w:rsidR="008F1CA1" w:rsidRPr="00326600">
        <w:rPr>
          <w:bCs/>
          <w:snapToGrid w:val="0"/>
          <w:lang w:eastAsia="en-US"/>
        </w:rPr>
        <w:t>(as proposed in the submission) would be appropriate</w:t>
      </w:r>
      <w:r w:rsidR="008A5070" w:rsidRPr="00326600">
        <w:rPr>
          <w:bCs/>
          <w:snapToGrid w:val="0"/>
          <w:lang w:eastAsia="en-US"/>
        </w:rPr>
        <w:t xml:space="preserve">; </w:t>
      </w:r>
      <w:r w:rsidR="00A81F5C" w:rsidRPr="00326600">
        <w:rPr>
          <w:bCs/>
          <w:snapToGrid w:val="0"/>
          <w:lang w:eastAsia="en-US"/>
        </w:rPr>
        <w:t xml:space="preserve">though </w:t>
      </w:r>
      <w:r w:rsidR="008A5070" w:rsidRPr="00326600">
        <w:rPr>
          <w:bCs/>
          <w:snapToGrid w:val="0"/>
          <w:lang w:eastAsia="en-US"/>
        </w:rPr>
        <w:t xml:space="preserve">one </w:t>
      </w:r>
      <w:r w:rsidR="00A64487" w:rsidRPr="00326600">
        <w:rPr>
          <w:bCs/>
          <w:snapToGrid w:val="0"/>
          <w:lang w:eastAsia="en-US"/>
        </w:rPr>
        <w:t xml:space="preserve">preferred </w:t>
      </w:r>
      <w:r w:rsidR="008A5070" w:rsidRPr="00326600">
        <w:rPr>
          <w:bCs/>
          <w:snapToGrid w:val="0"/>
          <w:lang w:eastAsia="en-US"/>
        </w:rPr>
        <w:t>a staged approach with</w:t>
      </w:r>
      <w:r w:rsidR="00F05988" w:rsidRPr="00326600">
        <w:rPr>
          <w:bCs/>
          <w:snapToGrid w:val="0"/>
          <w:lang w:eastAsia="en-US"/>
        </w:rPr>
        <w:t>: (1)</w:t>
      </w:r>
      <w:r w:rsidR="008A5070" w:rsidRPr="00326600">
        <w:rPr>
          <w:bCs/>
          <w:snapToGrid w:val="0"/>
          <w:lang w:eastAsia="en-US"/>
        </w:rPr>
        <w:t xml:space="preserve"> early response </w:t>
      </w:r>
      <w:r w:rsidR="0026758C" w:rsidRPr="00326600">
        <w:rPr>
          <w:bCs/>
          <w:snapToGrid w:val="0"/>
          <w:lang w:eastAsia="en-US"/>
        </w:rPr>
        <w:t xml:space="preserve">assessment at </w:t>
      </w:r>
      <w:r w:rsidR="008A5070" w:rsidRPr="00326600">
        <w:rPr>
          <w:bCs/>
          <w:snapToGrid w:val="0"/>
          <w:lang w:eastAsia="en-US"/>
        </w:rPr>
        <w:t>16</w:t>
      </w:r>
      <w:r w:rsidR="0026758C" w:rsidRPr="00326600">
        <w:rPr>
          <w:bCs/>
          <w:snapToGrid w:val="0"/>
          <w:lang w:eastAsia="en-US"/>
        </w:rPr>
        <w:t xml:space="preserve"> to </w:t>
      </w:r>
      <w:r w:rsidR="00101167" w:rsidRPr="00326600">
        <w:rPr>
          <w:bCs/>
          <w:snapToGrid w:val="0"/>
          <w:lang w:eastAsia="en-US"/>
        </w:rPr>
        <w:t>24</w:t>
      </w:r>
      <w:r w:rsidR="008A5070" w:rsidRPr="00326600">
        <w:rPr>
          <w:bCs/>
          <w:snapToGrid w:val="0"/>
          <w:lang w:eastAsia="en-US"/>
        </w:rPr>
        <w:t xml:space="preserve"> weeks</w:t>
      </w:r>
      <w:r w:rsidR="00F05988" w:rsidRPr="00326600">
        <w:rPr>
          <w:bCs/>
          <w:snapToGrid w:val="0"/>
          <w:lang w:eastAsia="en-US"/>
        </w:rPr>
        <w:t>; (2)</w:t>
      </w:r>
      <w:r w:rsidR="00101167" w:rsidRPr="00326600">
        <w:rPr>
          <w:bCs/>
          <w:snapToGrid w:val="0"/>
          <w:lang w:eastAsia="en-US"/>
        </w:rPr>
        <w:t xml:space="preserve"> primary assessment</w:t>
      </w:r>
      <w:r w:rsidR="008A5070" w:rsidRPr="00326600">
        <w:rPr>
          <w:bCs/>
          <w:snapToGrid w:val="0"/>
          <w:lang w:eastAsia="en-US"/>
        </w:rPr>
        <w:t xml:space="preserve"> at 52 weeks based on multiple measure</w:t>
      </w:r>
      <w:r w:rsidR="006B63DB" w:rsidRPr="00326600">
        <w:rPr>
          <w:bCs/>
          <w:snapToGrid w:val="0"/>
          <w:lang w:eastAsia="en-US"/>
        </w:rPr>
        <w:t>ments</w:t>
      </w:r>
      <w:r w:rsidR="00F05988" w:rsidRPr="00326600">
        <w:rPr>
          <w:bCs/>
          <w:snapToGrid w:val="0"/>
          <w:lang w:eastAsia="en-US"/>
        </w:rPr>
        <w:t xml:space="preserve">; </w:t>
      </w:r>
      <w:r w:rsidR="006B63DB" w:rsidRPr="00326600">
        <w:rPr>
          <w:bCs/>
          <w:snapToGrid w:val="0"/>
          <w:lang w:eastAsia="en-US"/>
        </w:rPr>
        <w:t xml:space="preserve">and </w:t>
      </w:r>
      <w:r w:rsidR="00F05988" w:rsidRPr="00326600">
        <w:rPr>
          <w:bCs/>
          <w:snapToGrid w:val="0"/>
          <w:lang w:eastAsia="en-US"/>
        </w:rPr>
        <w:t>(3)</w:t>
      </w:r>
      <w:r w:rsidR="006B63DB" w:rsidRPr="00326600">
        <w:rPr>
          <w:bCs/>
          <w:snapToGrid w:val="0"/>
          <w:lang w:eastAsia="en-US"/>
        </w:rPr>
        <w:t xml:space="preserve"> an assessment at </w:t>
      </w:r>
      <w:r w:rsidR="008A5070" w:rsidRPr="00326600">
        <w:rPr>
          <w:bCs/>
          <w:snapToGrid w:val="0"/>
          <w:lang w:eastAsia="en-US"/>
        </w:rPr>
        <w:t>24 months for ‘slow responders’</w:t>
      </w:r>
      <w:r w:rsidR="00487C00" w:rsidRPr="00326600">
        <w:rPr>
          <w:bCs/>
          <w:snapToGrid w:val="0"/>
          <w:lang w:eastAsia="en-US"/>
        </w:rPr>
        <w:t>.</w:t>
      </w:r>
      <w:r w:rsidR="009E24BE" w:rsidRPr="00326600">
        <w:rPr>
          <w:bCs/>
          <w:snapToGrid w:val="0"/>
          <w:lang w:eastAsia="en-US"/>
        </w:rPr>
        <w:t xml:space="preserve"> The respondents all considered that response should be based on </w:t>
      </w:r>
      <w:proofErr w:type="spellStart"/>
      <w:r w:rsidR="008A5070" w:rsidRPr="00326600">
        <w:rPr>
          <w:bCs/>
          <w:snapToGrid w:val="0"/>
          <w:lang w:eastAsia="en-US"/>
        </w:rPr>
        <w:t>Phe</w:t>
      </w:r>
      <w:proofErr w:type="spellEnd"/>
      <w:r w:rsidR="008A5070" w:rsidRPr="00326600">
        <w:rPr>
          <w:bCs/>
          <w:snapToGrid w:val="0"/>
          <w:lang w:eastAsia="en-US"/>
        </w:rPr>
        <w:t xml:space="preserve"> levels</w:t>
      </w:r>
      <w:r w:rsidR="004B542B" w:rsidRPr="00326600">
        <w:rPr>
          <w:bCs/>
          <w:snapToGrid w:val="0"/>
          <w:lang w:eastAsia="en-US"/>
        </w:rPr>
        <w:t xml:space="preserve"> with most considering these should be measured</w:t>
      </w:r>
      <w:r w:rsidR="008A5070" w:rsidRPr="00326600">
        <w:rPr>
          <w:bCs/>
          <w:snapToGrid w:val="0"/>
          <w:lang w:eastAsia="en-US"/>
        </w:rPr>
        <w:t xml:space="preserve"> over a series of time (e.g. 4 samples in </w:t>
      </w:r>
      <w:r w:rsidR="000126FA" w:rsidRPr="00326600">
        <w:rPr>
          <w:bCs/>
          <w:snapToGrid w:val="0"/>
          <w:lang w:eastAsia="en-US"/>
        </w:rPr>
        <w:t xml:space="preserve">a </w:t>
      </w:r>
      <w:proofErr w:type="gramStart"/>
      <w:r w:rsidR="000126FA" w:rsidRPr="00326600">
        <w:rPr>
          <w:bCs/>
          <w:snapToGrid w:val="0"/>
          <w:lang w:eastAsia="en-US"/>
        </w:rPr>
        <w:t>one</w:t>
      </w:r>
      <w:r w:rsidR="008A5070" w:rsidRPr="00326600">
        <w:rPr>
          <w:bCs/>
          <w:snapToGrid w:val="0"/>
          <w:lang w:eastAsia="en-US"/>
        </w:rPr>
        <w:t xml:space="preserve"> month</w:t>
      </w:r>
      <w:proofErr w:type="gramEnd"/>
      <w:r w:rsidR="000126FA" w:rsidRPr="00326600">
        <w:rPr>
          <w:bCs/>
          <w:snapToGrid w:val="0"/>
          <w:lang w:eastAsia="en-US"/>
        </w:rPr>
        <w:t xml:space="preserve"> period</w:t>
      </w:r>
      <w:r w:rsidR="008A5070" w:rsidRPr="00326600">
        <w:rPr>
          <w:bCs/>
          <w:snapToGrid w:val="0"/>
          <w:lang w:eastAsia="en-US"/>
        </w:rPr>
        <w:t xml:space="preserve"> with &lt;</w:t>
      </w:r>
      <w:r w:rsidR="000126FA" w:rsidRPr="00326600">
        <w:rPr>
          <w:bCs/>
          <w:snapToGrid w:val="0"/>
          <w:lang w:eastAsia="en-US"/>
        </w:rPr>
        <w:t> </w:t>
      </w:r>
      <w:r w:rsidR="008A5070" w:rsidRPr="00326600">
        <w:rPr>
          <w:bCs/>
          <w:snapToGrid w:val="0"/>
          <w:lang w:eastAsia="en-US"/>
        </w:rPr>
        <w:t>360 µmol/L)</w:t>
      </w:r>
      <w:r w:rsidR="004B542B" w:rsidRPr="00326600">
        <w:rPr>
          <w:bCs/>
          <w:snapToGrid w:val="0"/>
          <w:lang w:eastAsia="en-US"/>
        </w:rPr>
        <w:t xml:space="preserve">. All respondents considered </w:t>
      </w:r>
      <w:r w:rsidR="00223800" w:rsidRPr="00326600">
        <w:rPr>
          <w:bCs/>
          <w:snapToGrid w:val="0"/>
          <w:lang w:eastAsia="en-US"/>
        </w:rPr>
        <w:t xml:space="preserve">there was no </w:t>
      </w:r>
      <w:r w:rsidR="008A5070" w:rsidRPr="00326600">
        <w:rPr>
          <w:bCs/>
          <w:snapToGrid w:val="0"/>
          <w:lang w:eastAsia="en-US"/>
        </w:rPr>
        <w:t xml:space="preserve">role for ADHD scores </w:t>
      </w:r>
      <w:r w:rsidR="0056569E">
        <w:rPr>
          <w:bCs/>
          <w:snapToGrid w:val="0"/>
          <w:lang w:eastAsia="en-US"/>
        </w:rPr>
        <w:t>i</w:t>
      </w:r>
      <w:r w:rsidR="00752FAF">
        <w:rPr>
          <w:bCs/>
          <w:snapToGrid w:val="0"/>
          <w:lang w:eastAsia="en-US"/>
        </w:rPr>
        <w:t xml:space="preserve">n response assessment </w:t>
      </w:r>
      <w:r w:rsidR="00223800" w:rsidRPr="00326600">
        <w:rPr>
          <w:bCs/>
          <w:snapToGrid w:val="0"/>
          <w:lang w:eastAsia="en-US"/>
        </w:rPr>
        <w:t>given these are not</w:t>
      </w:r>
      <w:r w:rsidR="008A5070" w:rsidRPr="00326600">
        <w:rPr>
          <w:bCs/>
          <w:snapToGrid w:val="0"/>
          <w:lang w:eastAsia="en-US"/>
        </w:rPr>
        <w:t xml:space="preserve"> validated</w:t>
      </w:r>
      <w:r w:rsidR="004B542B" w:rsidRPr="00326600">
        <w:rPr>
          <w:bCs/>
          <w:snapToGrid w:val="0"/>
          <w:lang w:eastAsia="en-US"/>
        </w:rPr>
        <w:t>.</w:t>
      </w:r>
    </w:p>
    <w:p w14:paraId="5E3ED13D" w14:textId="55837801" w:rsidR="008A5070" w:rsidRPr="00420F5F" w:rsidRDefault="009367A8" w:rsidP="00025AAC">
      <w:pPr>
        <w:pStyle w:val="ListParagraph"/>
        <w:numPr>
          <w:ilvl w:val="0"/>
          <w:numId w:val="78"/>
        </w:numPr>
        <w:suppressAutoHyphens w:val="0"/>
        <w:jc w:val="both"/>
        <w:rPr>
          <w:bCs/>
          <w:snapToGrid w:val="0"/>
          <w:lang w:eastAsia="en-US"/>
        </w:rPr>
      </w:pPr>
      <w:proofErr w:type="gramStart"/>
      <w:r w:rsidRPr="00420F5F">
        <w:rPr>
          <w:bCs/>
          <w:snapToGrid w:val="0"/>
          <w:lang w:eastAsia="en-US"/>
        </w:rPr>
        <w:t>With regard to</w:t>
      </w:r>
      <w:proofErr w:type="gramEnd"/>
      <w:r w:rsidRPr="00420F5F">
        <w:rPr>
          <w:bCs/>
          <w:snapToGrid w:val="0"/>
          <w:lang w:eastAsia="en-US"/>
        </w:rPr>
        <w:t xml:space="preserve"> n</w:t>
      </w:r>
      <w:r w:rsidR="008A5070" w:rsidRPr="00420F5F">
        <w:rPr>
          <w:bCs/>
          <w:snapToGrid w:val="0"/>
          <w:lang w:eastAsia="en-US"/>
        </w:rPr>
        <w:t>urse practitioner prescribing</w:t>
      </w:r>
      <w:r w:rsidRPr="00420F5F">
        <w:rPr>
          <w:bCs/>
          <w:snapToGrid w:val="0"/>
          <w:lang w:eastAsia="en-US"/>
        </w:rPr>
        <w:t>, t</w:t>
      </w:r>
      <w:r w:rsidR="008A5070" w:rsidRPr="00420F5F">
        <w:rPr>
          <w:bCs/>
          <w:snapToGrid w:val="0"/>
          <w:lang w:eastAsia="en-US"/>
        </w:rPr>
        <w:t xml:space="preserve">hree </w:t>
      </w:r>
      <w:r w:rsidRPr="00420F5F">
        <w:rPr>
          <w:bCs/>
          <w:snapToGrid w:val="0"/>
          <w:lang w:eastAsia="en-US"/>
        </w:rPr>
        <w:t>respondents advised that nurse practitioners</w:t>
      </w:r>
      <w:r w:rsidR="008A5070" w:rsidRPr="00420F5F">
        <w:rPr>
          <w:bCs/>
          <w:snapToGrid w:val="0"/>
          <w:lang w:eastAsia="en-US"/>
        </w:rPr>
        <w:t xml:space="preserve"> should not initiate prescribing because of </w:t>
      </w:r>
      <w:r w:rsidR="00CE1DBD" w:rsidRPr="00420F5F">
        <w:rPr>
          <w:bCs/>
          <w:snapToGrid w:val="0"/>
          <w:lang w:eastAsia="en-US"/>
        </w:rPr>
        <w:t xml:space="preserve">the potential for </w:t>
      </w:r>
      <w:r w:rsidR="008A5070" w:rsidRPr="00420F5F">
        <w:rPr>
          <w:bCs/>
          <w:snapToGrid w:val="0"/>
          <w:lang w:eastAsia="en-US"/>
        </w:rPr>
        <w:t xml:space="preserve">‘significant’ reactions with </w:t>
      </w:r>
      <w:proofErr w:type="spellStart"/>
      <w:r w:rsidR="00C71022" w:rsidRPr="00420F5F">
        <w:rPr>
          <w:bCs/>
          <w:snapToGrid w:val="0"/>
          <w:lang w:eastAsia="en-US"/>
        </w:rPr>
        <w:t>pegvaliase</w:t>
      </w:r>
      <w:proofErr w:type="spellEnd"/>
      <w:r w:rsidR="00C71022" w:rsidRPr="00420F5F">
        <w:rPr>
          <w:bCs/>
          <w:snapToGrid w:val="0"/>
          <w:lang w:eastAsia="en-US"/>
        </w:rPr>
        <w:t xml:space="preserve">, though one </w:t>
      </w:r>
      <w:r w:rsidR="008A5070" w:rsidRPr="00420F5F">
        <w:rPr>
          <w:bCs/>
          <w:snapToGrid w:val="0"/>
          <w:lang w:eastAsia="en-US"/>
        </w:rPr>
        <w:t>suggested a shared-care model with physician involvement in initiation</w:t>
      </w:r>
      <w:r w:rsidR="00C71022" w:rsidRPr="00420F5F">
        <w:rPr>
          <w:bCs/>
          <w:snapToGrid w:val="0"/>
          <w:lang w:eastAsia="en-US"/>
        </w:rPr>
        <w:t xml:space="preserve">, and one </w:t>
      </w:r>
      <w:r w:rsidR="00CE1DBD" w:rsidRPr="00420F5F">
        <w:rPr>
          <w:bCs/>
          <w:snapToGrid w:val="0"/>
          <w:lang w:eastAsia="en-US"/>
        </w:rPr>
        <w:t xml:space="preserve">respondent </w:t>
      </w:r>
      <w:r w:rsidR="00C71022" w:rsidRPr="00420F5F">
        <w:rPr>
          <w:bCs/>
          <w:snapToGrid w:val="0"/>
          <w:lang w:eastAsia="en-US"/>
        </w:rPr>
        <w:t xml:space="preserve">strongly advocated for nurse practitioner prescribing given the lack of </w:t>
      </w:r>
      <w:r w:rsidR="006308DB" w:rsidRPr="00420F5F">
        <w:rPr>
          <w:bCs/>
          <w:snapToGrid w:val="0"/>
          <w:lang w:eastAsia="en-US"/>
        </w:rPr>
        <w:t xml:space="preserve">paediatric </w:t>
      </w:r>
      <w:r w:rsidR="00C71022" w:rsidRPr="00420F5F">
        <w:rPr>
          <w:bCs/>
          <w:snapToGrid w:val="0"/>
          <w:lang w:eastAsia="en-US"/>
        </w:rPr>
        <w:t xml:space="preserve">metabolic </w:t>
      </w:r>
      <w:r w:rsidR="006308DB" w:rsidRPr="00420F5F">
        <w:rPr>
          <w:bCs/>
          <w:snapToGrid w:val="0"/>
          <w:lang w:eastAsia="en-US"/>
        </w:rPr>
        <w:t>physicians</w:t>
      </w:r>
      <w:r w:rsidR="00C71022" w:rsidRPr="00420F5F">
        <w:rPr>
          <w:bCs/>
          <w:snapToGrid w:val="0"/>
          <w:lang w:eastAsia="en-US"/>
        </w:rPr>
        <w:t xml:space="preserve">. </w:t>
      </w:r>
    </w:p>
    <w:p w14:paraId="412C220C" w14:textId="248768D4" w:rsidR="008A5070" w:rsidRPr="00420F5F" w:rsidRDefault="00963D5A" w:rsidP="00025AAC">
      <w:pPr>
        <w:pStyle w:val="ListParagraph"/>
        <w:numPr>
          <w:ilvl w:val="0"/>
          <w:numId w:val="78"/>
        </w:numPr>
        <w:suppressAutoHyphens w:val="0"/>
        <w:jc w:val="both"/>
        <w:rPr>
          <w:bCs/>
          <w:snapToGrid w:val="0"/>
          <w:lang w:eastAsia="en-US"/>
        </w:rPr>
      </w:pPr>
      <w:r w:rsidRPr="00420F5F">
        <w:rPr>
          <w:bCs/>
          <w:snapToGrid w:val="0"/>
          <w:lang w:eastAsia="en-US"/>
        </w:rPr>
        <w:t xml:space="preserve">Views on access to adrenaline injections were mixed. As outlined in paragraph </w:t>
      </w:r>
      <w:r w:rsidRPr="00420F5F">
        <w:rPr>
          <w:bCs/>
          <w:snapToGrid w:val="0"/>
          <w:lang w:eastAsia="en-US"/>
        </w:rPr>
        <w:fldChar w:fldCharType="begin"/>
      </w:r>
      <w:r w:rsidRPr="00420F5F">
        <w:rPr>
          <w:bCs/>
          <w:snapToGrid w:val="0"/>
          <w:lang w:eastAsia="en-US"/>
        </w:rPr>
        <w:instrText xml:space="preserve"> REF _Ref224800123 \r \h </w:instrText>
      </w:r>
      <w:r w:rsidR="00420F5F">
        <w:rPr>
          <w:bCs/>
          <w:snapToGrid w:val="0"/>
          <w:lang w:eastAsia="en-US"/>
        </w:rPr>
        <w:instrText xml:space="preserve"> \* MERGEFORMAT </w:instrText>
      </w:r>
      <w:r w:rsidRPr="00420F5F">
        <w:rPr>
          <w:bCs/>
          <w:snapToGrid w:val="0"/>
          <w:lang w:eastAsia="en-US"/>
        </w:rPr>
      </w:r>
      <w:r w:rsidRPr="00420F5F">
        <w:rPr>
          <w:bCs/>
          <w:snapToGrid w:val="0"/>
          <w:lang w:eastAsia="en-US"/>
        </w:rPr>
        <w:fldChar w:fldCharType="separate"/>
      </w:r>
      <w:r w:rsidR="00E24060">
        <w:rPr>
          <w:bCs/>
          <w:snapToGrid w:val="0"/>
          <w:lang w:eastAsia="en-US"/>
        </w:rPr>
        <w:t>3.16</w:t>
      </w:r>
      <w:r w:rsidRPr="00420F5F">
        <w:rPr>
          <w:bCs/>
          <w:snapToGrid w:val="0"/>
          <w:lang w:eastAsia="en-US"/>
        </w:rPr>
        <w:fldChar w:fldCharType="end"/>
      </w:r>
      <w:r w:rsidRPr="00420F5F">
        <w:rPr>
          <w:bCs/>
          <w:snapToGrid w:val="0"/>
          <w:lang w:eastAsia="en-US"/>
        </w:rPr>
        <w:t xml:space="preserve">, the PSCR stated “all metabolic physicians consult with relevant specialists (i.e., paediatrician, clinical immunologist, allergist, or respiratory physician) and provide their name at the time of the initial Authority Required Application for PBS supply of an adrenaline injection device”. </w:t>
      </w:r>
      <w:r w:rsidR="008A5070" w:rsidRPr="00420F5F">
        <w:rPr>
          <w:bCs/>
          <w:snapToGrid w:val="0"/>
          <w:lang w:eastAsia="en-US"/>
        </w:rPr>
        <w:t xml:space="preserve">Two </w:t>
      </w:r>
      <w:r w:rsidR="00B96B78" w:rsidRPr="00420F5F">
        <w:rPr>
          <w:bCs/>
          <w:snapToGrid w:val="0"/>
          <w:lang w:eastAsia="en-US"/>
        </w:rPr>
        <w:t xml:space="preserve">of the five </w:t>
      </w:r>
      <w:r w:rsidR="00897A03" w:rsidRPr="00420F5F">
        <w:rPr>
          <w:bCs/>
          <w:snapToGrid w:val="0"/>
          <w:lang w:eastAsia="en-US"/>
        </w:rPr>
        <w:t>respondents indicated this</w:t>
      </w:r>
      <w:r w:rsidR="008A5070" w:rsidRPr="00420F5F">
        <w:rPr>
          <w:bCs/>
          <w:snapToGrid w:val="0"/>
          <w:lang w:eastAsia="en-US"/>
        </w:rPr>
        <w:t xml:space="preserve"> was feasible and two said it would be difficult or not possible to consult with appropriate clinicians to </w:t>
      </w:r>
      <w:r w:rsidR="006237B7" w:rsidRPr="00420F5F">
        <w:rPr>
          <w:bCs/>
          <w:snapToGrid w:val="0"/>
          <w:lang w:eastAsia="en-US"/>
        </w:rPr>
        <w:t xml:space="preserve">enable access to adrenaline auto-injector devices. </w:t>
      </w:r>
      <w:r w:rsidR="008A5070" w:rsidRPr="00420F5F">
        <w:rPr>
          <w:bCs/>
          <w:snapToGrid w:val="0"/>
          <w:lang w:eastAsia="en-US"/>
        </w:rPr>
        <w:t xml:space="preserve">Three </w:t>
      </w:r>
      <w:r w:rsidR="006237B7" w:rsidRPr="00420F5F">
        <w:rPr>
          <w:bCs/>
          <w:snapToGrid w:val="0"/>
          <w:lang w:eastAsia="en-US"/>
        </w:rPr>
        <w:t xml:space="preserve">respondents </w:t>
      </w:r>
      <w:r w:rsidR="008A5070" w:rsidRPr="00420F5F">
        <w:rPr>
          <w:bCs/>
          <w:snapToGrid w:val="0"/>
          <w:lang w:eastAsia="en-US"/>
        </w:rPr>
        <w:t xml:space="preserve">suggested broadening </w:t>
      </w:r>
      <w:r w:rsidR="0076755D" w:rsidRPr="00420F5F">
        <w:rPr>
          <w:bCs/>
          <w:snapToGrid w:val="0"/>
          <w:lang w:eastAsia="en-US"/>
        </w:rPr>
        <w:t xml:space="preserve">access to adrenaline auto-injector devices </w:t>
      </w:r>
      <w:r w:rsidR="008A5070" w:rsidRPr="00420F5F">
        <w:rPr>
          <w:bCs/>
          <w:snapToGrid w:val="0"/>
          <w:lang w:eastAsia="en-US"/>
        </w:rPr>
        <w:t>(e.g. include metabolic physicians)</w:t>
      </w:r>
      <w:r w:rsidR="006237B7" w:rsidRPr="00420F5F">
        <w:rPr>
          <w:bCs/>
          <w:snapToGrid w:val="0"/>
          <w:lang w:eastAsia="en-US"/>
        </w:rPr>
        <w:t>.</w:t>
      </w:r>
    </w:p>
    <w:p w14:paraId="0007672A" w14:textId="5D9866A9" w:rsidR="00425E7B" w:rsidRPr="00420F5F" w:rsidRDefault="00535A60" w:rsidP="00025AAC">
      <w:pPr>
        <w:pStyle w:val="ListParagraph"/>
        <w:numPr>
          <w:ilvl w:val="0"/>
          <w:numId w:val="78"/>
        </w:numPr>
        <w:suppressAutoHyphens w:val="0"/>
        <w:jc w:val="both"/>
        <w:rPr>
          <w:bCs/>
          <w:snapToGrid w:val="0"/>
          <w:lang w:eastAsia="en-US"/>
        </w:rPr>
      </w:pPr>
      <w:r w:rsidRPr="00420F5F">
        <w:rPr>
          <w:bCs/>
          <w:snapToGrid w:val="0"/>
          <w:lang w:eastAsia="en-US"/>
        </w:rPr>
        <w:lastRenderedPageBreak/>
        <w:t>All respondents supported allowing patients to s</w:t>
      </w:r>
      <w:r w:rsidR="008A5070" w:rsidRPr="00420F5F">
        <w:rPr>
          <w:bCs/>
          <w:snapToGrid w:val="0"/>
          <w:lang w:eastAsia="en-US"/>
        </w:rPr>
        <w:t xml:space="preserve">witch back to </w:t>
      </w:r>
      <w:proofErr w:type="spellStart"/>
      <w:r w:rsidR="008A5070" w:rsidRPr="00420F5F">
        <w:rPr>
          <w:bCs/>
          <w:snapToGrid w:val="0"/>
          <w:lang w:eastAsia="en-US"/>
        </w:rPr>
        <w:t>sapropterin</w:t>
      </w:r>
      <w:proofErr w:type="spellEnd"/>
      <w:r w:rsidR="001A2229" w:rsidRPr="00420F5F">
        <w:rPr>
          <w:bCs/>
          <w:snapToGrid w:val="0"/>
          <w:lang w:eastAsia="en-US"/>
        </w:rPr>
        <w:t xml:space="preserve">. Some of the respondents noted that </w:t>
      </w:r>
      <w:proofErr w:type="spellStart"/>
      <w:r w:rsidR="00222BC3">
        <w:rPr>
          <w:bCs/>
          <w:snapToGrid w:val="0"/>
          <w:lang w:eastAsia="en-US"/>
        </w:rPr>
        <w:t>s</w:t>
      </w:r>
      <w:r w:rsidR="00467242" w:rsidRPr="00420F5F">
        <w:rPr>
          <w:bCs/>
          <w:snapToGrid w:val="0"/>
          <w:lang w:eastAsia="en-US"/>
        </w:rPr>
        <w:t>epiapterin</w:t>
      </w:r>
      <w:proofErr w:type="spellEnd"/>
      <w:r w:rsidR="008A5070" w:rsidRPr="00420F5F">
        <w:rPr>
          <w:bCs/>
          <w:snapToGrid w:val="0"/>
          <w:lang w:eastAsia="en-US"/>
        </w:rPr>
        <w:t xml:space="preserve"> </w:t>
      </w:r>
      <w:r w:rsidR="005F7D69" w:rsidRPr="00420F5F">
        <w:rPr>
          <w:bCs/>
          <w:snapToGrid w:val="0"/>
          <w:lang w:eastAsia="en-US"/>
        </w:rPr>
        <w:t>may be a potential future option.</w:t>
      </w:r>
    </w:p>
    <w:bookmarkEnd w:id="41"/>
    <w:p w14:paraId="1AC71A7D" w14:textId="025AB1FB" w:rsidR="004D59D4" w:rsidRDefault="00023FAF" w:rsidP="00025AAC">
      <w:pPr>
        <w:pStyle w:val="4-SubsectionHeading"/>
        <w:spacing w:before="160" w:after="160"/>
      </w:pPr>
      <w:r>
        <w:t>Clinical studies and trials</w:t>
      </w:r>
      <w:bookmarkEnd w:id="37"/>
      <w:bookmarkEnd w:id="38"/>
    </w:p>
    <w:p w14:paraId="634FEC7F" w14:textId="77777777" w:rsidR="004D59D4" w:rsidRDefault="00023FAF" w:rsidP="00025AAC">
      <w:pPr>
        <w:pStyle w:val="3-BodyText"/>
        <w:numPr>
          <w:ilvl w:val="1"/>
          <w:numId w:val="1"/>
        </w:numPr>
        <w:spacing w:before="160" w:after="160"/>
      </w:pPr>
      <w:r>
        <w:t xml:space="preserve">As in the previous submission, the efficacy and safety of </w:t>
      </w:r>
      <w:proofErr w:type="spellStart"/>
      <w:r>
        <w:t>pegvaliase</w:t>
      </w:r>
      <w:proofErr w:type="spellEnd"/>
      <w:r>
        <w:t xml:space="preserve"> continued to be informed by PRISM 1 and PRISM 2. As in the previous submission, the resubmission was based on a matched-adjusted historical cohort analysis (Zori 2019) and a naïve-indirect comparison, both using:</w:t>
      </w:r>
    </w:p>
    <w:p w14:paraId="0C30C218" w14:textId="77777777" w:rsidR="004D59D4" w:rsidRDefault="00023FAF" w:rsidP="00025AAC">
      <w:pPr>
        <w:pStyle w:val="3-BodyText"/>
        <w:numPr>
          <w:ilvl w:val="0"/>
          <w:numId w:val="5"/>
        </w:numPr>
        <w:spacing w:before="160" w:after="160"/>
        <w:ind w:left="993" w:hanging="284"/>
      </w:pPr>
      <w:proofErr w:type="spellStart"/>
      <w:r>
        <w:t>pegvaliase</w:t>
      </w:r>
      <w:proofErr w:type="spellEnd"/>
      <w:r>
        <w:t xml:space="preserve"> patient data from (a) one randomised trial which included one eight-week component that compared </w:t>
      </w:r>
      <w:proofErr w:type="spellStart"/>
      <w:r>
        <w:t>pegvaliase</w:t>
      </w:r>
      <w:proofErr w:type="spellEnd"/>
      <w:r>
        <w:t xml:space="preserve"> to placebo (PRISM 2) and (b) one randomised trial comparing </w:t>
      </w:r>
      <w:proofErr w:type="spellStart"/>
      <w:r>
        <w:t>pegvaliase</w:t>
      </w:r>
      <w:proofErr w:type="spellEnd"/>
      <w:r>
        <w:t xml:space="preserve"> 20mg/day to </w:t>
      </w:r>
      <w:proofErr w:type="spellStart"/>
      <w:r>
        <w:t>pegvaliase</w:t>
      </w:r>
      <w:proofErr w:type="spellEnd"/>
      <w:r>
        <w:t xml:space="preserve"> 40mg/day (PRISM 1); and</w:t>
      </w:r>
    </w:p>
    <w:p w14:paraId="4592D328" w14:textId="77777777" w:rsidR="004D59D4" w:rsidRDefault="00023FAF" w:rsidP="00025AAC">
      <w:pPr>
        <w:pStyle w:val="3-BodyText"/>
        <w:numPr>
          <w:ilvl w:val="0"/>
          <w:numId w:val="5"/>
        </w:numPr>
        <w:spacing w:before="160" w:after="160"/>
        <w:ind w:left="993" w:hanging="284"/>
      </w:pPr>
      <w:r>
        <w:t xml:space="preserve">data from the Phenylketonuria PKU Demographics, Outcomes and Safety (PKUDOS) study to inform outcomes in patients treated with </w:t>
      </w:r>
      <w:proofErr w:type="spellStart"/>
      <w:r>
        <w:t>Phe</w:t>
      </w:r>
      <w:proofErr w:type="spellEnd"/>
      <w:r>
        <w:t xml:space="preserve">-restricted diet alone, after previously being treated with </w:t>
      </w:r>
      <w:proofErr w:type="spellStart"/>
      <w:r>
        <w:t>sapropterin</w:t>
      </w:r>
      <w:proofErr w:type="spellEnd"/>
      <w:r>
        <w:t>.</w:t>
      </w:r>
    </w:p>
    <w:p w14:paraId="2CBB8777" w14:textId="77777777" w:rsidR="004D59D4" w:rsidRDefault="00023FAF" w:rsidP="00025AAC">
      <w:pPr>
        <w:pStyle w:val="3-BodyText"/>
        <w:spacing w:before="160" w:after="160"/>
        <w:ind w:left="709" w:firstLine="11"/>
      </w:pPr>
      <w:r>
        <w:t xml:space="preserve">For the previous submission, the ESC considered that a key underlying issue with these comparisons was that neither included a common comparator arm (paragraph 6.23, </w:t>
      </w:r>
      <w:proofErr w:type="spellStart"/>
      <w:r>
        <w:t>pegvaliase</w:t>
      </w:r>
      <w:proofErr w:type="spellEnd"/>
      <w:r>
        <w:t xml:space="preserve"> PSD, July 2022).</w:t>
      </w:r>
    </w:p>
    <w:p w14:paraId="3148A338" w14:textId="77777777" w:rsidR="004D59D4" w:rsidRDefault="00023FAF" w:rsidP="00025AAC">
      <w:pPr>
        <w:pStyle w:val="3-BodyText"/>
        <w:numPr>
          <w:ilvl w:val="1"/>
          <w:numId w:val="1"/>
        </w:numPr>
        <w:spacing w:before="160" w:after="160"/>
      </w:pPr>
      <w:r>
        <w:t xml:space="preserve">The resubmission presented an additional unanchored comparison of </w:t>
      </w:r>
      <w:proofErr w:type="spellStart"/>
      <w:r>
        <w:t>pegvaliase</w:t>
      </w:r>
      <w:proofErr w:type="spellEnd"/>
      <w:r>
        <w:t xml:space="preserve">-treated and </w:t>
      </w:r>
      <w:proofErr w:type="spellStart"/>
      <w:r>
        <w:t>Phe</w:t>
      </w:r>
      <w:proofErr w:type="spellEnd"/>
      <w:r>
        <w:t>-restricted diet alone-treated patients (Burton 2024). This analysis used data from the same trials/studies (PRISM vs PKUDOS), with the primary difference (compared to analyses previously considered by the PBAC) being the use of quantile regression and the availability of a longer follow-up period (three years).</w:t>
      </w:r>
    </w:p>
    <w:p w14:paraId="7EE5EF5D" w14:textId="1D906B58" w:rsidR="003E58D4" w:rsidRPr="003E58D4" w:rsidRDefault="00023FAF" w:rsidP="00025AAC">
      <w:pPr>
        <w:pStyle w:val="3-BodyText"/>
        <w:numPr>
          <w:ilvl w:val="1"/>
          <w:numId w:val="1"/>
        </w:numPr>
        <w:spacing w:before="160" w:after="160"/>
      </w:pPr>
      <w:r>
        <w:t xml:space="preserve">Details of the trials and studies presented in the resubmission are provided in </w:t>
      </w:r>
      <w:r>
        <w:fldChar w:fldCharType="begin"/>
      </w:r>
      <w:r>
        <w:instrText xml:space="preserve"> REF _Ref104803956 \h </w:instrText>
      </w:r>
      <w:r w:rsidR="003E58D4">
        <w:instrText xml:space="preserve"> \* MERGEFORMAT </w:instrText>
      </w:r>
      <w:r>
        <w:fldChar w:fldCharType="separate"/>
      </w:r>
      <w:r w:rsidR="00E24060" w:rsidRPr="00E24060">
        <w:t>Table 3</w:t>
      </w:r>
      <w:r>
        <w:fldChar w:fldCharType="end"/>
      </w:r>
      <w:r>
        <w:t xml:space="preserve">. These publications are the same </w:t>
      </w:r>
      <w:r w:rsidR="00E019D2">
        <w:t xml:space="preserve">as those </w:t>
      </w:r>
      <w:r>
        <w:t xml:space="preserve">previously evaluated by the PBAC for </w:t>
      </w:r>
      <w:proofErr w:type="spellStart"/>
      <w:r>
        <w:t>pegvaliase</w:t>
      </w:r>
      <w:proofErr w:type="spellEnd"/>
      <w:r>
        <w:t xml:space="preserve"> in July 2022, with the addition of the publications Rohr 2024 and Burton 2024. While Rohr 2024 was listed as an additional publication for the PRISM 2 trial, the resubmission did not present any data from this source.</w:t>
      </w:r>
    </w:p>
    <w:p w14:paraId="04D7C65C" w14:textId="6AEA90C0" w:rsidR="004D59D4" w:rsidRPr="009D1233" w:rsidRDefault="00023FAF" w:rsidP="00025AAC">
      <w:pPr>
        <w:pStyle w:val="3-BodyText"/>
        <w:keepNext/>
        <w:keepLines/>
        <w:spacing w:before="160" w:after="0"/>
        <w:ind w:left="720" w:hanging="720"/>
        <w:rPr>
          <w:rStyle w:val="CommentReference"/>
          <w:szCs w:val="24"/>
        </w:rPr>
      </w:pPr>
      <w:bookmarkStart w:id="43" w:name="_Ref104803956"/>
      <w:r w:rsidRPr="003E58D4">
        <w:rPr>
          <w:rStyle w:val="CommentReference"/>
          <w:szCs w:val="24"/>
        </w:rPr>
        <w:lastRenderedPageBreak/>
        <w:t xml:space="preserve">Table </w:t>
      </w:r>
      <w:r w:rsidR="004D59D4" w:rsidRPr="003E58D4">
        <w:rPr>
          <w:rStyle w:val="CommentReference"/>
          <w:szCs w:val="24"/>
        </w:rPr>
        <w:fldChar w:fldCharType="begin"/>
      </w:r>
      <w:r w:rsidR="004D59D4" w:rsidRPr="003E58D4">
        <w:rPr>
          <w:rStyle w:val="CommentReference"/>
          <w:szCs w:val="24"/>
        </w:rPr>
        <w:instrText xml:space="preserve"> SEQ Table \* ARABIC </w:instrText>
      </w:r>
      <w:r w:rsidR="004D59D4" w:rsidRPr="003E58D4">
        <w:rPr>
          <w:rStyle w:val="CommentReference"/>
          <w:szCs w:val="24"/>
        </w:rPr>
        <w:fldChar w:fldCharType="separate"/>
      </w:r>
      <w:r w:rsidR="00E24060">
        <w:rPr>
          <w:rStyle w:val="CommentReference"/>
          <w:noProof/>
          <w:szCs w:val="24"/>
        </w:rPr>
        <w:t>3</w:t>
      </w:r>
      <w:r w:rsidR="004D59D4" w:rsidRPr="003E58D4">
        <w:rPr>
          <w:rStyle w:val="CommentReference"/>
          <w:szCs w:val="24"/>
        </w:rPr>
        <w:fldChar w:fldCharType="end"/>
      </w:r>
      <w:bookmarkEnd w:id="43"/>
      <w:r w:rsidRPr="003E58D4">
        <w:rPr>
          <w:rStyle w:val="CommentReference"/>
          <w:szCs w:val="24"/>
        </w:rPr>
        <w:t>:</w:t>
      </w:r>
      <w:r w:rsidRPr="009D1233">
        <w:rPr>
          <w:rStyle w:val="CommentReference"/>
          <w:szCs w:val="24"/>
        </w:rPr>
        <w:t xml:space="preserve"> Trials, studies and associated reports presented in the resubmission</w:t>
      </w:r>
    </w:p>
    <w:tbl>
      <w:tblPr>
        <w:tblW w:w="5000" w:type="pct"/>
        <w:tblLayout w:type="fixed"/>
        <w:tblCellMar>
          <w:left w:w="28" w:type="dxa"/>
          <w:right w:w="28" w:type="dxa"/>
        </w:tblCellMar>
        <w:tblLook w:val="01E0" w:firstRow="1" w:lastRow="1" w:firstColumn="1" w:lastColumn="1" w:noHBand="0" w:noVBand="0"/>
        <w:tblCaption w:val="Table 3: Trials, studies and associated reports presented in the resubmission"/>
      </w:tblPr>
      <w:tblGrid>
        <w:gridCol w:w="1433"/>
        <w:gridCol w:w="5460"/>
        <w:gridCol w:w="2123"/>
      </w:tblGrid>
      <w:tr w:rsidR="004D59D4" w14:paraId="72BCE4E4" w14:textId="77777777">
        <w:trPr>
          <w:tblHeader/>
        </w:trPr>
        <w:tc>
          <w:tcPr>
            <w:tcW w:w="1435" w:type="dxa"/>
            <w:tcBorders>
              <w:top w:val="single" w:sz="4" w:space="0" w:color="000000"/>
              <w:left w:val="single" w:sz="4" w:space="0" w:color="000000"/>
              <w:bottom w:val="single" w:sz="4" w:space="0" w:color="000000"/>
              <w:right w:val="single" w:sz="4" w:space="0" w:color="000000"/>
            </w:tcBorders>
            <w:vAlign w:val="center"/>
          </w:tcPr>
          <w:p w14:paraId="64E1601B" w14:textId="77777777" w:rsidR="004D59D4" w:rsidRDefault="00023FAF" w:rsidP="00025AAC">
            <w:pPr>
              <w:pStyle w:val="In-tableHeading"/>
            </w:pPr>
            <w:r>
              <w:t>Trial ID</w:t>
            </w:r>
          </w:p>
        </w:tc>
        <w:tc>
          <w:tcPr>
            <w:tcW w:w="5466" w:type="dxa"/>
            <w:tcBorders>
              <w:top w:val="single" w:sz="4" w:space="0" w:color="000000"/>
              <w:left w:val="single" w:sz="4" w:space="0" w:color="000000"/>
              <w:bottom w:val="single" w:sz="4" w:space="0" w:color="000000"/>
              <w:right w:val="single" w:sz="4" w:space="0" w:color="000000"/>
            </w:tcBorders>
            <w:vAlign w:val="center"/>
          </w:tcPr>
          <w:p w14:paraId="3530DDDA" w14:textId="77777777" w:rsidR="004D59D4" w:rsidRDefault="00023FAF" w:rsidP="00025AAC">
            <w:pPr>
              <w:pStyle w:val="In-tableHeading"/>
            </w:pPr>
            <w:r>
              <w:t>Protocol title/ Publication title</w:t>
            </w:r>
          </w:p>
        </w:tc>
        <w:tc>
          <w:tcPr>
            <w:tcW w:w="2125" w:type="dxa"/>
            <w:tcBorders>
              <w:top w:val="single" w:sz="4" w:space="0" w:color="000000"/>
              <w:left w:val="single" w:sz="4" w:space="0" w:color="000000"/>
              <w:bottom w:val="single" w:sz="4" w:space="0" w:color="000000"/>
              <w:right w:val="single" w:sz="4" w:space="0" w:color="000000"/>
            </w:tcBorders>
            <w:vAlign w:val="center"/>
          </w:tcPr>
          <w:p w14:paraId="2EBBB935" w14:textId="77777777" w:rsidR="004D59D4" w:rsidRDefault="00023FAF" w:rsidP="00025AAC">
            <w:pPr>
              <w:pStyle w:val="In-tableHeading"/>
            </w:pPr>
            <w:r>
              <w:t>Publication citation</w:t>
            </w:r>
          </w:p>
        </w:tc>
      </w:tr>
      <w:tr w:rsidR="004D59D4" w14:paraId="2EE0113D" w14:textId="77777777">
        <w:tc>
          <w:tcPr>
            <w:tcW w:w="1435" w:type="dxa"/>
            <w:vMerge w:val="restart"/>
            <w:tcBorders>
              <w:top w:val="single" w:sz="4" w:space="0" w:color="000000"/>
              <w:left w:val="single" w:sz="4" w:space="0" w:color="000000"/>
              <w:right w:val="single" w:sz="4" w:space="0" w:color="000000"/>
            </w:tcBorders>
            <w:shd w:val="clear" w:color="auto" w:fill="B8CCE4" w:themeFill="accent1" w:themeFillTint="66"/>
          </w:tcPr>
          <w:p w14:paraId="53A5F956" w14:textId="77777777" w:rsidR="004D59D4" w:rsidRDefault="00023FAF" w:rsidP="00025AAC">
            <w:pPr>
              <w:pStyle w:val="TableText1"/>
            </w:pPr>
            <w:r>
              <w:t>PRISM 1</w:t>
            </w:r>
          </w:p>
        </w:tc>
        <w:tc>
          <w:tcPr>
            <w:tcW w:w="5466" w:type="dxa"/>
            <w:tcBorders>
              <w:top w:val="single" w:sz="4" w:space="0" w:color="000000"/>
              <w:left w:val="single" w:sz="4" w:space="0" w:color="000000"/>
              <w:right w:val="single" w:sz="4" w:space="0" w:color="000000"/>
            </w:tcBorders>
            <w:shd w:val="clear" w:color="auto" w:fill="B8CCE4" w:themeFill="accent1" w:themeFillTint="66"/>
          </w:tcPr>
          <w:p w14:paraId="215B317C" w14:textId="77777777" w:rsidR="004D59D4" w:rsidRDefault="00023FAF" w:rsidP="00025AAC">
            <w:pPr>
              <w:pStyle w:val="TableText1"/>
              <w:rPr>
                <w:szCs w:val="18"/>
              </w:rPr>
            </w:pPr>
            <w:r>
              <w:t>A Phase 3, open-label, randomized, multi-</w:t>
            </w:r>
            <w:proofErr w:type="spellStart"/>
            <w:r>
              <w:t>center</w:t>
            </w:r>
            <w:proofErr w:type="spellEnd"/>
            <w:r>
              <w:t xml:space="preserve"> study to assess the safety and tolerability of an induction, titration, and maintenance dose regimen of BMN 165 self-administered by adults with phenylketonuria not previously treated with BMN 165</w:t>
            </w:r>
            <w:r>
              <w:rPr>
                <w:szCs w:val="18"/>
              </w:rPr>
              <w:t xml:space="preserve"> </w:t>
            </w:r>
          </w:p>
        </w:tc>
        <w:tc>
          <w:tcPr>
            <w:tcW w:w="2125" w:type="dxa"/>
            <w:tcBorders>
              <w:top w:val="single" w:sz="4" w:space="0" w:color="000000"/>
              <w:left w:val="single" w:sz="4" w:space="0" w:color="000000"/>
              <w:right w:val="single" w:sz="4" w:space="0" w:color="000000"/>
            </w:tcBorders>
            <w:shd w:val="clear" w:color="auto" w:fill="B8CCE4" w:themeFill="accent1" w:themeFillTint="66"/>
          </w:tcPr>
          <w:p w14:paraId="42862256" w14:textId="77777777" w:rsidR="004D59D4" w:rsidRDefault="00023FAF" w:rsidP="00025AAC">
            <w:pPr>
              <w:pStyle w:val="TableText1"/>
            </w:pPr>
            <w:r>
              <w:t>March 2018</w:t>
            </w:r>
          </w:p>
        </w:tc>
      </w:tr>
      <w:tr w:rsidR="004D59D4" w14:paraId="6EAEFB0F"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5021C63"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1D07E9E5" w14:textId="77777777" w:rsidR="004D59D4" w:rsidRDefault="00023FAF" w:rsidP="00025AAC">
            <w:pPr>
              <w:pStyle w:val="TableText1"/>
              <w:rPr>
                <w:szCs w:val="18"/>
              </w:rPr>
            </w:pPr>
            <w:r>
              <w:t>A Phase 3, open-label, randomized, multi-</w:t>
            </w:r>
            <w:proofErr w:type="spellStart"/>
            <w:r>
              <w:t>center</w:t>
            </w:r>
            <w:proofErr w:type="spellEnd"/>
            <w:r>
              <w:t xml:space="preserve"> study to assess the safety and tolerability of an induction, titration, and maintenance dose regimen of BMN 165 self-administered by adults with phenylketonuria not previously treated with BMN 165</w:t>
            </w:r>
          </w:p>
        </w:tc>
        <w:tc>
          <w:tcPr>
            <w:tcW w:w="2125" w:type="dxa"/>
            <w:tcBorders>
              <w:left w:val="single" w:sz="4" w:space="0" w:color="000000"/>
              <w:right w:val="single" w:sz="4" w:space="0" w:color="000000"/>
            </w:tcBorders>
            <w:shd w:val="clear" w:color="auto" w:fill="B8CCE4" w:themeFill="accent1" w:themeFillTint="66"/>
          </w:tcPr>
          <w:p w14:paraId="53A4A732" w14:textId="77777777" w:rsidR="004D59D4" w:rsidRDefault="00023FAF" w:rsidP="00025AAC">
            <w:pPr>
              <w:pStyle w:val="TableText1"/>
              <w:rPr>
                <w:szCs w:val="18"/>
              </w:rPr>
            </w:pPr>
            <w:r>
              <w:rPr>
                <w:szCs w:val="18"/>
              </w:rPr>
              <w:t>August 2014</w:t>
            </w:r>
          </w:p>
        </w:tc>
      </w:tr>
      <w:tr w:rsidR="004D59D4" w14:paraId="2171FC67"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9E25CBE"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0C0CCD41" w14:textId="77777777" w:rsidR="004D59D4" w:rsidRDefault="00023FAF" w:rsidP="00025AAC">
            <w:pPr>
              <w:pStyle w:val="TableText1"/>
              <w:rPr>
                <w:szCs w:val="18"/>
              </w:rPr>
            </w:pPr>
            <w:r>
              <w:t xml:space="preserve">Thomas et al, J. </w:t>
            </w:r>
            <w:proofErr w:type="spellStart"/>
            <w:r>
              <w:t>Pegvaliase</w:t>
            </w:r>
            <w:proofErr w:type="spellEnd"/>
            <w:r>
              <w:t xml:space="preserve"> for the treatment of phenylketonuria: Results of a long-term phase 3 clinical trial program (PRISM).</w:t>
            </w:r>
          </w:p>
        </w:tc>
        <w:tc>
          <w:tcPr>
            <w:tcW w:w="2125" w:type="dxa"/>
            <w:tcBorders>
              <w:left w:val="single" w:sz="4" w:space="0" w:color="000000"/>
              <w:right w:val="single" w:sz="4" w:space="0" w:color="000000"/>
            </w:tcBorders>
            <w:shd w:val="clear" w:color="auto" w:fill="B8CCE4" w:themeFill="accent1" w:themeFillTint="66"/>
          </w:tcPr>
          <w:p w14:paraId="622ADD20" w14:textId="77777777" w:rsidR="004D59D4" w:rsidRDefault="00023FAF" w:rsidP="00025AAC">
            <w:pPr>
              <w:pStyle w:val="TableText1"/>
              <w:rPr>
                <w:szCs w:val="18"/>
              </w:rPr>
            </w:pPr>
            <w:r>
              <w:t xml:space="preserve">Mol Gen </w:t>
            </w:r>
            <w:proofErr w:type="spellStart"/>
            <w:r>
              <w:t>Metab</w:t>
            </w:r>
            <w:proofErr w:type="spellEnd"/>
            <w:r>
              <w:t>, 2018; 124: 27-38</w:t>
            </w:r>
          </w:p>
        </w:tc>
      </w:tr>
      <w:tr w:rsidR="004D59D4" w14:paraId="4886597C"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CECC4D9"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124892F9" w14:textId="77777777" w:rsidR="004D59D4" w:rsidRDefault="00023FAF" w:rsidP="00025AAC">
            <w:pPr>
              <w:pStyle w:val="TableText1"/>
            </w:pPr>
            <w:r>
              <w:t xml:space="preserve">Gupta, S. Association of immune response with efficacy and safety outcomes in adults with phenylketonuria administered </w:t>
            </w:r>
            <w:proofErr w:type="spellStart"/>
            <w:r>
              <w:t>pegvaliase</w:t>
            </w:r>
            <w:proofErr w:type="spellEnd"/>
            <w:r>
              <w:t xml:space="preserve"> in phase 3 clinical trials</w:t>
            </w:r>
          </w:p>
        </w:tc>
        <w:tc>
          <w:tcPr>
            <w:tcW w:w="2125" w:type="dxa"/>
            <w:tcBorders>
              <w:left w:val="single" w:sz="4" w:space="0" w:color="000000"/>
              <w:right w:val="single" w:sz="4" w:space="0" w:color="000000"/>
            </w:tcBorders>
            <w:shd w:val="clear" w:color="auto" w:fill="B8CCE4" w:themeFill="accent1" w:themeFillTint="66"/>
          </w:tcPr>
          <w:p w14:paraId="053B21A5" w14:textId="77777777" w:rsidR="004D59D4" w:rsidRDefault="00023FAF" w:rsidP="00025AAC">
            <w:pPr>
              <w:pStyle w:val="TableText1"/>
              <w:rPr>
                <w:szCs w:val="18"/>
              </w:rPr>
            </w:pPr>
            <w:proofErr w:type="spellStart"/>
            <w:r>
              <w:t>EBioMedicine</w:t>
            </w:r>
            <w:proofErr w:type="spellEnd"/>
            <w:r>
              <w:t xml:space="preserve"> 2018; 37: 366-373</w:t>
            </w:r>
          </w:p>
        </w:tc>
      </w:tr>
      <w:tr w:rsidR="004D59D4" w14:paraId="1BC41BAA"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523B9C5"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269A9E99" w14:textId="77777777" w:rsidR="004D59D4" w:rsidRDefault="00023FAF" w:rsidP="00025AAC">
            <w:pPr>
              <w:pStyle w:val="TableText1"/>
            </w:pPr>
            <w:r>
              <w:t>Bilder, D. Improved attention linked to sustained phenylalanine reduction in adults with early-treated phenylketonuria</w:t>
            </w:r>
          </w:p>
        </w:tc>
        <w:tc>
          <w:tcPr>
            <w:tcW w:w="2125" w:type="dxa"/>
            <w:tcBorders>
              <w:left w:val="single" w:sz="4" w:space="0" w:color="000000"/>
              <w:right w:val="single" w:sz="4" w:space="0" w:color="000000"/>
            </w:tcBorders>
            <w:shd w:val="clear" w:color="auto" w:fill="B8CCE4" w:themeFill="accent1" w:themeFillTint="66"/>
          </w:tcPr>
          <w:p w14:paraId="14C319DE" w14:textId="77777777" w:rsidR="004D59D4" w:rsidRDefault="00023FAF" w:rsidP="00025AAC">
            <w:pPr>
              <w:pStyle w:val="TableText1"/>
              <w:rPr>
                <w:szCs w:val="18"/>
              </w:rPr>
            </w:pPr>
            <w:r>
              <w:t>Am J Med Genet 2021; 1–11</w:t>
            </w:r>
          </w:p>
        </w:tc>
      </w:tr>
      <w:tr w:rsidR="004D59D4" w14:paraId="668E1B68" w14:textId="77777777">
        <w:tc>
          <w:tcPr>
            <w:tcW w:w="1435" w:type="dxa"/>
            <w:vMerge/>
            <w:tcBorders>
              <w:top w:val="single" w:sz="4" w:space="0" w:color="000000"/>
              <w:left w:val="single" w:sz="4" w:space="0" w:color="000000"/>
              <w:right w:val="single" w:sz="4" w:space="0" w:color="000000"/>
            </w:tcBorders>
            <w:shd w:val="clear" w:color="auto" w:fill="B8CCE4" w:themeFill="accent1" w:themeFillTint="66"/>
          </w:tcPr>
          <w:p w14:paraId="4D65FD35"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5CAFB9C9" w14:textId="77777777" w:rsidR="004D59D4" w:rsidRDefault="00023FAF" w:rsidP="00025AAC">
            <w:pPr>
              <w:pStyle w:val="TableText1"/>
            </w:pPr>
            <w:r>
              <w:t xml:space="preserve">Aryal et al. M. Achieving efficacy in subjects with sustained </w:t>
            </w:r>
            <w:proofErr w:type="spellStart"/>
            <w:r>
              <w:t>pegvaliase</w:t>
            </w:r>
            <w:proofErr w:type="spellEnd"/>
            <w:r>
              <w:t>-neutralizing antibody responses.</w:t>
            </w:r>
          </w:p>
        </w:tc>
        <w:tc>
          <w:tcPr>
            <w:tcW w:w="2125" w:type="dxa"/>
            <w:tcBorders>
              <w:left w:val="single" w:sz="4" w:space="0" w:color="000000"/>
              <w:right w:val="single" w:sz="4" w:space="0" w:color="000000"/>
            </w:tcBorders>
            <w:shd w:val="clear" w:color="auto" w:fill="B8CCE4" w:themeFill="accent1" w:themeFillTint="66"/>
          </w:tcPr>
          <w:p w14:paraId="5C77448F" w14:textId="77777777" w:rsidR="004D59D4" w:rsidRDefault="00023FAF" w:rsidP="00025AAC">
            <w:pPr>
              <w:pStyle w:val="TableText1"/>
            </w:pPr>
            <w:r>
              <w:t xml:space="preserve">Mol Gen </w:t>
            </w:r>
            <w:proofErr w:type="spellStart"/>
            <w:r>
              <w:t>Metab</w:t>
            </w:r>
            <w:proofErr w:type="spellEnd"/>
            <w:r>
              <w:t xml:space="preserve"> 2021: 235-242</w:t>
            </w:r>
          </w:p>
        </w:tc>
      </w:tr>
      <w:tr w:rsidR="004D59D4" w14:paraId="35F30A33" w14:textId="77777777">
        <w:tc>
          <w:tcPr>
            <w:tcW w:w="1435" w:type="dxa"/>
            <w:vMerge w:val="restar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4BE4F7A" w14:textId="77777777" w:rsidR="004D59D4" w:rsidRDefault="00023FAF" w:rsidP="00025AAC">
            <w:pPr>
              <w:pStyle w:val="TableText1"/>
            </w:pPr>
            <w:r>
              <w:t>PRISM 2</w:t>
            </w:r>
          </w:p>
        </w:tc>
        <w:tc>
          <w:tcPr>
            <w:tcW w:w="5466" w:type="dxa"/>
            <w:tcBorders>
              <w:top w:val="single" w:sz="4" w:space="0" w:color="000000"/>
              <w:left w:val="single" w:sz="4" w:space="0" w:color="000000"/>
              <w:right w:val="single" w:sz="4" w:space="0" w:color="000000"/>
            </w:tcBorders>
            <w:shd w:val="clear" w:color="auto" w:fill="B8CCE4" w:themeFill="accent1" w:themeFillTint="66"/>
          </w:tcPr>
          <w:p w14:paraId="43FBEE56" w14:textId="77777777" w:rsidR="004D59D4" w:rsidRDefault="00023FAF" w:rsidP="00025AAC">
            <w:pPr>
              <w:pStyle w:val="TableText1"/>
            </w:pPr>
            <w:r>
              <w:t>A four-part, Phase 3, randomized, double-blind, placebo-controlled, four-arm, discontinuation study to evaluate the efficacy and safety of subcutaneous injections of BMN 165 self-administered by adults with phenylketonuria</w:t>
            </w:r>
          </w:p>
        </w:tc>
        <w:tc>
          <w:tcPr>
            <w:tcW w:w="2125" w:type="dxa"/>
            <w:tcBorders>
              <w:top w:val="single" w:sz="4" w:space="0" w:color="000000"/>
              <w:left w:val="single" w:sz="4" w:space="0" w:color="000000"/>
              <w:right w:val="single" w:sz="4" w:space="0" w:color="000000"/>
            </w:tcBorders>
            <w:shd w:val="clear" w:color="auto" w:fill="B8CCE4" w:themeFill="accent1" w:themeFillTint="66"/>
          </w:tcPr>
          <w:p w14:paraId="32F32C30" w14:textId="77777777" w:rsidR="004D59D4" w:rsidRDefault="00023FAF" w:rsidP="00025AAC">
            <w:pPr>
              <w:pStyle w:val="TableText1"/>
            </w:pPr>
            <w:r>
              <w:t>October 2019</w:t>
            </w:r>
          </w:p>
        </w:tc>
      </w:tr>
      <w:tr w:rsidR="004D59D4" w14:paraId="2A8BA00E"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7DB1B6C"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3BB7D05B" w14:textId="77777777" w:rsidR="004D59D4" w:rsidRDefault="00023FAF" w:rsidP="00025AAC">
            <w:pPr>
              <w:pStyle w:val="TableText1"/>
              <w:rPr>
                <w:szCs w:val="18"/>
              </w:rPr>
            </w:pPr>
            <w:r>
              <w:t>A four-part, Phase 3, randomized, double-blind, placebo-controlled, four-arm, discontinuation study to evaluate the efficacy and safety of subcutaneous injections of BMN 165 self-administered by adults with phenylketonuria</w:t>
            </w:r>
          </w:p>
        </w:tc>
        <w:tc>
          <w:tcPr>
            <w:tcW w:w="2125" w:type="dxa"/>
            <w:tcBorders>
              <w:left w:val="single" w:sz="4" w:space="0" w:color="000000"/>
              <w:right w:val="single" w:sz="4" w:space="0" w:color="000000"/>
            </w:tcBorders>
            <w:shd w:val="clear" w:color="auto" w:fill="B8CCE4" w:themeFill="accent1" w:themeFillTint="66"/>
          </w:tcPr>
          <w:p w14:paraId="15C10FE6" w14:textId="77777777" w:rsidR="004D59D4" w:rsidRDefault="00023FAF" w:rsidP="00025AAC">
            <w:pPr>
              <w:pStyle w:val="TableText1"/>
            </w:pPr>
            <w:r>
              <w:t>March 2017</w:t>
            </w:r>
          </w:p>
        </w:tc>
      </w:tr>
      <w:tr w:rsidR="004D59D4" w14:paraId="40DC4232"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9880716"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0284B435" w14:textId="77777777" w:rsidR="004D59D4" w:rsidRDefault="00023FAF" w:rsidP="00025AAC">
            <w:pPr>
              <w:pStyle w:val="TableText1"/>
              <w:rPr>
                <w:szCs w:val="18"/>
              </w:rPr>
            </w:pPr>
            <w:r>
              <w:rPr>
                <w:szCs w:val="18"/>
              </w:rPr>
              <w:t xml:space="preserve">Harding et al. C. </w:t>
            </w:r>
            <w:proofErr w:type="spellStart"/>
            <w:r>
              <w:t>Pegvaliase</w:t>
            </w:r>
            <w:proofErr w:type="spellEnd"/>
            <w:r>
              <w:t xml:space="preserve"> for the treatment of phenylketonuria: A pivotal, double-blind randomized discontinuation Phase 3 clinical trial.</w:t>
            </w:r>
          </w:p>
        </w:tc>
        <w:tc>
          <w:tcPr>
            <w:tcW w:w="2125" w:type="dxa"/>
            <w:tcBorders>
              <w:left w:val="single" w:sz="4" w:space="0" w:color="000000"/>
              <w:right w:val="single" w:sz="4" w:space="0" w:color="000000"/>
            </w:tcBorders>
            <w:shd w:val="clear" w:color="auto" w:fill="B8CCE4" w:themeFill="accent1" w:themeFillTint="66"/>
          </w:tcPr>
          <w:p w14:paraId="3802073B" w14:textId="77777777" w:rsidR="004D59D4" w:rsidRDefault="00023FAF" w:rsidP="00025AAC">
            <w:pPr>
              <w:pStyle w:val="TableText1"/>
            </w:pPr>
            <w:r>
              <w:t xml:space="preserve">Mol Gen </w:t>
            </w:r>
            <w:proofErr w:type="spellStart"/>
            <w:r>
              <w:t>Metab</w:t>
            </w:r>
            <w:proofErr w:type="spellEnd"/>
            <w:r>
              <w:t>; 124: 20-26</w:t>
            </w:r>
          </w:p>
        </w:tc>
      </w:tr>
      <w:tr w:rsidR="004D59D4" w14:paraId="6C48523E"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CE447E3"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3CA6B37F" w14:textId="77777777" w:rsidR="004D59D4" w:rsidRDefault="00023FAF" w:rsidP="00025AAC">
            <w:pPr>
              <w:pStyle w:val="TableText1"/>
              <w:rPr>
                <w:szCs w:val="18"/>
              </w:rPr>
            </w:pPr>
            <w:r>
              <w:t xml:space="preserve">Thomas et al, J. </w:t>
            </w:r>
            <w:proofErr w:type="spellStart"/>
            <w:r>
              <w:t>Pegvaliase</w:t>
            </w:r>
            <w:proofErr w:type="spellEnd"/>
            <w:r>
              <w:t xml:space="preserve"> for the treatment of phenylketonuria: Results of a long-term phase 3 clinical trial program (PRISM).</w:t>
            </w:r>
          </w:p>
        </w:tc>
        <w:tc>
          <w:tcPr>
            <w:tcW w:w="2125" w:type="dxa"/>
            <w:tcBorders>
              <w:left w:val="single" w:sz="4" w:space="0" w:color="000000"/>
              <w:right w:val="single" w:sz="4" w:space="0" w:color="000000"/>
            </w:tcBorders>
            <w:shd w:val="clear" w:color="auto" w:fill="B8CCE4" w:themeFill="accent1" w:themeFillTint="66"/>
          </w:tcPr>
          <w:p w14:paraId="6240D56B" w14:textId="77777777" w:rsidR="004D59D4" w:rsidRDefault="00023FAF" w:rsidP="00025AAC">
            <w:pPr>
              <w:pStyle w:val="TableText1"/>
              <w:rPr>
                <w:szCs w:val="18"/>
              </w:rPr>
            </w:pPr>
            <w:r>
              <w:t xml:space="preserve">Mol Gen </w:t>
            </w:r>
            <w:proofErr w:type="spellStart"/>
            <w:r>
              <w:t>Metab</w:t>
            </w:r>
            <w:proofErr w:type="spellEnd"/>
            <w:r>
              <w:t>, 2018; 124: 27-38</w:t>
            </w:r>
          </w:p>
        </w:tc>
      </w:tr>
      <w:tr w:rsidR="004D59D4" w14:paraId="023505DF"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D8815B4"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58B5538F" w14:textId="77777777" w:rsidR="004D59D4" w:rsidRDefault="00023FAF" w:rsidP="00025AAC">
            <w:pPr>
              <w:pStyle w:val="TableText1"/>
            </w:pPr>
            <w:r>
              <w:t xml:space="preserve">Gupta, S. Association of immune response with efficacy and safety outcomes in adults with phenylketonuria administered </w:t>
            </w:r>
            <w:proofErr w:type="spellStart"/>
            <w:r>
              <w:t>pegvaliase</w:t>
            </w:r>
            <w:proofErr w:type="spellEnd"/>
            <w:r>
              <w:t xml:space="preserve"> in phase 3 clinical trials</w:t>
            </w:r>
          </w:p>
        </w:tc>
        <w:tc>
          <w:tcPr>
            <w:tcW w:w="2125" w:type="dxa"/>
            <w:tcBorders>
              <w:left w:val="single" w:sz="4" w:space="0" w:color="000000"/>
              <w:right w:val="single" w:sz="4" w:space="0" w:color="000000"/>
            </w:tcBorders>
            <w:shd w:val="clear" w:color="auto" w:fill="B8CCE4" w:themeFill="accent1" w:themeFillTint="66"/>
          </w:tcPr>
          <w:p w14:paraId="3F53857E" w14:textId="77777777" w:rsidR="004D59D4" w:rsidRDefault="00023FAF" w:rsidP="00025AAC">
            <w:pPr>
              <w:pStyle w:val="TableText1"/>
              <w:rPr>
                <w:szCs w:val="18"/>
              </w:rPr>
            </w:pPr>
            <w:proofErr w:type="spellStart"/>
            <w:r>
              <w:t>EBioMedicine</w:t>
            </w:r>
            <w:proofErr w:type="spellEnd"/>
            <w:r>
              <w:t xml:space="preserve"> 2018; 37: 366-373</w:t>
            </w:r>
          </w:p>
        </w:tc>
      </w:tr>
      <w:tr w:rsidR="004D59D4" w14:paraId="0EBD870A"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472F0059"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712D22FC" w14:textId="77777777" w:rsidR="004D59D4" w:rsidRDefault="00023FAF" w:rsidP="00025AAC">
            <w:pPr>
              <w:pStyle w:val="TableText1"/>
            </w:pPr>
            <w:r>
              <w:t>Bilder, D. Improved attention linked to sustained phenylalanine reduction in adults with early-treated phenylketonuria</w:t>
            </w:r>
          </w:p>
        </w:tc>
        <w:tc>
          <w:tcPr>
            <w:tcW w:w="2125" w:type="dxa"/>
            <w:tcBorders>
              <w:left w:val="single" w:sz="4" w:space="0" w:color="000000"/>
              <w:right w:val="single" w:sz="4" w:space="0" w:color="000000"/>
            </w:tcBorders>
            <w:shd w:val="clear" w:color="auto" w:fill="B8CCE4" w:themeFill="accent1" w:themeFillTint="66"/>
          </w:tcPr>
          <w:p w14:paraId="6BA4076B" w14:textId="77777777" w:rsidR="004D59D4" w:rsidRDefault="00023FAF" w:rsidP="00025AAC">
            <w:pPr>
              <w:pStyle w:val="TableText1"/>
              <w:rPr>
                <w:szCs w:val="18"/>
              </w:rPr>
            </w:pPr>
            <w:r>
              <w:t>Am J Med Genet 2021; 1–11</w:t>
            </w:r>
          </w:p>
        </w:tc>
      </w:tr>
      <w:tr w:rsidR="004D59D4" w14:paraId="4587C535"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17F24528" w14:textId="77777777" w:rsidR="004D59D4" w:rsidRDefault="004D59D4" w:rsidP="00025AAC">
            <w:pPr>
              <w:pStyle w:val="TableText1"/>
            </w:pPr>
          </w:p>
        </w:tc>
        <w:tc>
          <w:tcPr>
            <w:tcW w:w="5466" w:type="dxa"/>
            <w:tcBorders>
              <w:left w:val="single" w:sz="4" w:space="0" w:color="000000"/>
              <w:right w:val="single" w:sz="4" w:space="0" w:color="000000"/>
            </w:tcBorders>
            <w:shd w:val="clear" w:color="auto" w:fill="B8CCE4" w:themeFill="accent1" w:themeFillTint="66"/>
          </w:tcPr>
          <w:p w14:paraId="4453BDB0" w14:textId="77777777" w:rsidR="004D59D4" w:rsidRDefault="00023FAF" w:rsidP="00025AAC">
            <w:pPr>
              <w:pStyle w:val="TableText1"/>
            </w:pPr>
            <w:r>
              <w:t xml:space="preserve">Aryal et al. M. Achieving efficacy in subjects with sustained </w:t>
            </w:r>
            <w:proofErr w:type="spellStart"/>
            <w:r>
              <w:t>pegvaliase</w:t>
            </w:r>
            <w:proofErr w:type="spellEnd"/>
            <w:r>
              <w:t>-neutralizing antibody responses.</w:t>
            </w:r>
          </w:p>
        </w:tc>
        <w:tc>
          <w:tcPr>
            <w:tcW w:w="2125" w:type="dxa"/>
            <w:tcBorders>
              <w:left w:val="single" w:sz="4" w:space="0" w:color="000000"/>
              <w:right w:val="single" w:sz="4" w:space="0" w:color="000000"/>
            </w:tcBorders>
            <w:shd w:val="clear" w:color="auto" w:fill="B8CCE4" w:themeFill="accent1" w:themeFillTint="66"/>
          </w:tcPr>
          <w:p w14:paraId="5BA0DE94" w14:textId="77777777" w:rsidR="004D59D4" w:rsidRDefault="00023FAF" w:rsidP="00025AAC">
            <w:pPr>
              <w:pStyle w:val="TableText1"/>
              <w:rPr>
                <w:szCs w:val="18"/>
              </w:rPr>
            </w:pPr>
            <w:r>
              <w:t xml:space="preserve">Mol Gen </w:t>
            </w:r>
            <w:proofErr w:type="spellStart"/>
            <w:r>
              <w:t>Metab</w:t>
            </w:r>
            <w:proofErr w:type="spellEnd"/>
            <w:r>
              <w:t xml:space="preserve"> 2021: 235-242</w:t>
            </w:r>
          </w:p>
        </w:tc>
      </w:tr>
      <w:tr w:rsidR="004D59D4" w14:paraId="2BBB687A"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04A55C3F" w14:textId="77777777" w:rsidR="004D59D4" w:rsidRDefault="004D59D4" w:rsidP="00025AAC">
            <w:pPr>
              <w:pStyle w:val="TableText1"/>
            </w:pPr>
          </w:p>
        </w:tc>
        <w:tc>
          <w:tcPr>
            <w:tcW w:w="5466" w:type="dxa"/>
            <w:tcBorders>
              <w:left w:val="single" w:sz="4" w:space="0" w:color="000000"/>
              <w:bottom w:val="single" w:sz="4" w:space="0" w:color="000000"/>
              <w:right w:val="single" w:sz="4" w:space="0" w:color="000000"/>
            </w:tcBorders>
          </w:tcPr>
          <w:p w14:paraId="56D09622" w14:textId="77777777" w:rsidR="004D59D4" w:rsidRDefault="00023FAF" w:rsidP="00025AAC">
            <w:pPr>
              <w:pStyle w:val="TableText1"/>
            </w:pPr>
            <w:r>
              <w:t xml:space="preserve">Rohr, F. et al., 2024. Evaluating change in diet with </w:t>
            </w:r>
            <w:proofErr w:type="spellStart"/>
            <w:r>
              <w:t>pegvaliase</w:t>
            </w:r>
            <w:proofErr w:type="spellEnd"/>
            <w:r>
              <w:t xml:space="preserve"> treatment in adults with phenylketonuria: analysis of phase 3 clinical trial data. </w:t>
            </w:r>
          </w:p>
        </w:tc>
        <w:tc>
          <w:tcPr>
            <w:tcW w:w="2125" w:type="dxa"/>
            <w:tcBorders>
              <w:left w:val="single" w:sz="4" w:space="0" w:color="000000"/>
              <w:bottom w:val="single" w:sz="4" w:space="0" w:color="000000"/>
              <w:right w:val="single" w:sz="4" w:space="0" w:color="000000"/>
            </w:tcBorders>
          </w:tcPr>
          <w:p w14:paraId="1B1C6780" w14:textId="77777777" w:rsidR="004D59D4" w:rsidRDefault="00023FAF" w:rsidP="00025AAC">
            <w:pPr>
              <w:pStyle w:val="TableText1"/>
            </w:pPr>
            <w:r>
              <w:t>Mol Genet Metab. 2024; 143(4):108613</w:t>
            </w:r>
          </w:p>
        </w:tc>
      </w:tr>
      <w:tr w:rsidR="004D59D4" w14:paraId="5B305D09" w14:textId="77777777">
        <w:tc>
          <w:tcPr>
            <w:tcW w:w="9026" w:type="dxa"/>
            <w:gridSpan w:val="3"/>
            <w:tcBorders>
              <w:left w:val="single" w:sz="4" w:space="0" w:color="000000"/>
              <w:bottom w:val="single" w:sz="4" w:space="0" w:color="000000"/>
              <w:right w:val="single" w:sz="4" w:space="0" w:color="000000"/>
            </w:tcBorders>
            <w:vAlign w:val="center"/>
          </w:tcPr>
          <w:p w14:paraId="4FA3D507" w14:textId="77777777" w:rsidR="004D59D4" w:rsidRDefault="00023FAF" w:rsidP="00025AAC">
            <w:pPr>
              <w:pStyle w:val="TableText1"/>
              <w:rPr>
                <w:b/>
                <w:bCs w:val="0"/>
                <w:iCs w:val="0"/>
                <w:szCs w:val="18"/>
              </w:rPr>
            </w:pPr>
            <w:r>
              <w:rPr>
                <w:b/>
                <w:bCs w:val="0"/>
                <w:szCs w:val="18"/>
              </w:rPr>
              <w:t>Additional studies</w:t>
            </w:r>
          </w:p>
        </w:tc>
      </w:tr>
      <w:tr w:rsidR="004D59D4" w14:paraId="484A2558" w14:textId="77777777">
        <w:tc>
          <w:tcPr>
            <w:tcW w:w="1435" w:type="dxa"/>
            <w:vMerge w:val="restart"/>
            <w:tcBorders>
              <w:left w:val="single" w:sz="4" w:space="0" w:color="000000"/>
              <w:bottom w:val="single" w:sz="4" w:space="0" w:color="000000"/>
              <w:right w:val="single" w:sz="4" w:space="0" w:color="000000"/>
            </w:tcBorders>
            <w:shd w:val="clear" w:color="auto" w:fill="B8CCE4" w:themeFill="accent1" w:themeFillTint="66"/>
          </w:tcPr>
          <w:p w14:paraId="696E06E5" w14:textId="77777777" w:rsidR="004D59D4" w:rsidRDefault="00023FAF" w:rsidP="00025AAC">
            <w:pPr>
              <w:pStyle w:val="TableText1"/>
            </w:pPr>
            <w:r>
              <w:t>PKUDOS Registry</w:t>
            </w:r>
          </w:p>
        </w:tc>
        <w:tc>
          <w:tcPr>
            <w:tcW w:w="5466" w:type="dxa"/>
            <w:tcBorders>
              <w:left w:val="single" w:sz="4" w:space="0" w:color="000000"/>
              <w:right w:val="single" w:sz="4" w:space="0" w:color="000000"/>
            </w:tcBorders>
            <w:shd w:val="clear" w:color="auto" w:fill="B8CCE4" w:themeFill="accent1" w:themeFillTint="66"/>
          </w:tcPr>
          <w:p w14:paraId="3D0B7D39" w14:textId="77777777" w:rsidR="004D59D4" w:rsidRDefault="00023FAF" w:rsidP="00025AAC">
            <w:pPr>
              <w:pStyle w:val="TableText1"/>
              <w:rPr>
                <w:szCs w:val="18"/>
              </w:rPr>
            </w:pPr>
            <w:r>
              <w:rPr>
                <w:szCs w:val="18"/>
              </w:rPr>
              <w:t xml:space="preserve">Longo, N. et al. </w:t>
            </w:r>
            <w:r>
              <w:t xml:space="preserve">Long-term safety and efficacy of </w:t>
            </w:r>
            <w:proofErr w:type="spellStart"/>
            <w:r>
              <w:t>sapropterin</w:t>
            </w:r>
            <w:proofErr w:type="spellEnd"/>
            <w:r>
              <w:t>: The PKUDOS registry experience.</w:t>
            </w:r>
          </w:p>
        </w:tc>
        <w:tc>
          <w:tcPr>
            <w:tcW w:w="2125" w:type="dxa"/>
            <w:tcBorders>
              <w:left w:val="single" w:sz="4" w:space="0" w:color="000000"/>
              <w:right w:val="single" w:sz="4" w:space="0" w:color="000000"/>
            </w:tcBorders>
            <w:shd w:val="clear" w:color="auto" w:fill="B8CCE4" w:themeFill="accent1" w:themeFillTint="66"/>
          </w:tcPr>
          <w:p w14:paraId="7CCFBB1C" w14:textId="77777777" w:rsidR="004D59D4" w:rsidRDefault="00023FAF" w:rsidP="00025AAC">
            <w:pPr>
              <w:pStyle w:val="TableText1"/>
              <w:rPr>
                <w:szCs w:val="18"/>
              </w:rPr>
            </w:pPr>
            <w:r>
              <w:t xml:space="preserve">Mol Gen </w:t>
            </w:r>
            <w:proofErr w:type="spellStart"/>
            <w:r>
              <w:t>Metab</w:t>
            </w:r>
            <w:proofErr w:type="spellEnd"/>
            <w:r>
              <w:t>, 2015; 114: 557-563</w:t>
            </w:r>
          </w:p>
        </w:tc>
      </w:tr>
      <w:tr w:rsidR="004D59D4" w14:paraId="3393C4B5" w14:textId="77777777">
        <w:tc>
          <w:tcPr>
            <w:tcW w:w="143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F878AB1" w14:textId="77777777" w:rsidR="004D59D4" w:rsidRDefault="004D59D4" w:rsidP="00025AAC">
            <w:pPr>
              <w:pStyle w:val="TableText1"/>
            </w:pPr>
          </w:p>
        </w:tc>
        <w:tc>
          <w:tcPr>
            <w:tcW w:w="5466" w:type="dxa"/>
            <w:tcBorders>
              <w:left w:val="single" w:sz="4" w:space="0" w:color="000000"/>
              <w:bottom w:val="single" w:sz="4" w:space="0" w:color="000000"/>
              <w:right w:val="single" w:sz="4" w:space="0" w:color="000000"/>
            </w:tcBorders>
            <w:shd w:val="clear" w:color="auto" w:fill="B8CCE4" w:themeFill="accent1" w:themeFillTint="66"/>
          </w:tcPr>
          <w:p w14:paraId="6DE08D74" w14:textId="77777777" w:rsidR="004D59D4" w:rsidRDefault="00023FAF" w:rsidP="00025AAC">
            <w:pPr>
              <w:pStyle w:val="TableText1"/>
              <w:rPr>
                <w:szCs w:val="18"/>
              </w:rPr>
            </w:pPr>
            <w:r>
              <w:t>Lilienstein, J. et al. Interim analysis of the Phenylketonuria (PKU) patients enrolled in the PKUDOS registry.</w:t>
            </w:r>
          </w:p>
        </w:tc>
        <w:tc>
          <w:tcPr>
            <w:tcW w:w="2125" w:type="dxa"/>
            <w:tcBorders>
              <w:left w:val="single" w:sz="4" w:space="0" w:color="000000"/>
              <w:bottom w:val="single" w:sz="4" w:space="0" w:color="000000"/>
              <w:right w:val="single" w:sz="4" w:space="0" w:color="000000"/>
            </w:tcBorders>
            <w:shd w:val="clear" w:color="auto" w:fill="B8CCE4" w:themeFill="accent1" w:themeFillTint="66"/>
          </w:tcPr>
          <w:p w14:paraId="5A9F7D38" w14:textId="77777777" w:rsidR="004D59D4" w:rsidRDefault="00023FAF" w:rsidP="00025AAC">
            <w:pPr>
              <w:pStyle w:val="TableText1"/>
              <w:rPr>
                <w:szCs w:val="18"/>
              </w:rPr>
            </w:pPr>
            <w:r>
              <w:rPr>
                <w:szCs w:val="18"/>
              </w:rPr>
              <w:t>National PKU Alliance Conference: July 5-8, 2018, Atlanta, Georgia</w:t>
            </w:r>
          </w:p>
        </w:tc>
      </w:tr>
      <w:tr w:rsidR="004D59D4" w14:paraId="3D0F2C74" w14:textId="77777777">
        <w:tc>
          <w:tcPr>
            <w:tcW w:w="143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6EE14CB" w14:textId="77777777" w:rsidR="004D59D4" w:rsidRDefault="00023FAF" w:rsidP="00025AAC">
            <w:pPr>
              <w:pStyle w:val="TableText1"/>
            </w:pPr>
            <w:r>
              <w:t>Matched-adjusted comparison</w:t>
            </w:r>
          </w:p>
        </w:tc>
        <w:tc>
          <w:tcPr>
            <w:tcW w:w="5466"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6A07CB3" w14:textId="77777777" w:rsidR="004D59D4" w:rsidRDefault="00023FAF" w:rsidP="00025AAC">
            <w:pPr>
              <w:pStyle w:val="TableText1"/>
              <w:rPr>
                <w:szCs w:val="18"/>
              </w:rPr>
            </w:pPr>
            <w:r>
              <w:t xml:space="preserve">Zori, R. et al. Long-term comparative effectiveness of </w:t>
            </w:r>
            <w:proofErr w:type="spellStart"/>
            <w:r>
              <w:t>pegvaliase</w:t>
            </w:r>
            <w:proofErr w:type="spellEnd"/>
            <w:r>
              <w:t xml:space="preserve"> versus standard of care comparators in adults with phenylketonuria</w:t>
            </w:r>
          </w:p>
        </w:tc>
        <w:tc>
          <w:tcPr>
            <w:tcW w:w="212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5DCA768" w14:textId="77777777" w:rsidR="004D59D4" w:rsidRDefault="00023FAF" w:rsidP="00025AAC">
            <w:pPr>
              <w:pStyle w:val="TableText1"/>
              <w:rPr>
                <w:szCs w:val="18"/>
              </w:rPr>
            </w:pPr>
            <w:r>
              <w:t xml:space="preserve">Mol Gen </w:t>
            </w:r>
            <w:proofErr w:type="spellStart"/>
            <w:r>
              <w:t>Metab</w:t>
            </w:r>
            <w:proofErr w:type="spellEnd"/>
            <w:r>
              <w:t xml:space="preserve"> 2019; 128: 92-101</w:t>
            </w:r>
          </w:p>
        </w:tc>
      </w:tr>
      <w:tr w:rsidR="004D59D4" w14:paraId="42473D54" w14:textId="77777777">
        <w:tc>
          <w:tcPr>
            <w:tcW w:w="1435" w:type="dxa"/>
            <w:tcBorders>
              <w:top w:val="single" w:sz="4" w:space="0" w:color="000000"/>
              <w:left w:val="single" w:sz="4" w:space="0" w:color="000000"/>
              <w:bottom w:val="single" w:sz="4" w:space="0" w:color="000000"/>
              <w:right w:val="single" w:sz="4" w:space="0" w:color="000000"/>
            </w:tcBorders>
          </w:tcPr>
          <w:p w14:paraId="0A2938A8" w14:textId="77777777" w:rsidR="004D59D4" w:rsidRDefault="00023FAF" w:rsidP="00025AAC">
            <w:pPr>
              <w:pStyle w:val="TableText1"/>
            </w:pPr>
            <w:r>
              <w:t>Quantile regression analysis</w:t>
            </w:r>
          </w:p>
        </w:tc>
        <w:tc>
          <w:tcPr>
            <w:tcW w:w="5466" w:type="dxa"/>
            <w:tcBorders>
              <w:top w:val="single" w:sz="4" w:space="0" w:color="000000"/>
              <w:left w:val="single" w:sz="4" w:space="0" w:color="000000"/>
              <w:bottom w:val="single" w:sz="4" w:space="0" w:color="000000"/>
              <w:right w:val="single" w:sz="4" w:space="0" w:color="000000"/>
            </w:tcBorders>
          </w:tcPr>
          <w:p w14:paraId="6A6F48B0" w14:textId="77777777" w:rsidR="004D59D4" w:rsidRDefault="00023FAF" w:rsidP="00025AAC">
            <w:pPr>
              <w:pStyle w:val="TableText1"/>
            </w:pPr>
            <w:r>
              <w:t xml:space="preserve">Burton, B. et al. Long-term comparative effectiveness of </w:t>
            </w:r>
            <w:proofErr w:type="spellStart"/>
            <w:r>
              <w:t>pegvaliase</w:t>
            </w:r>
            <w:proofErr w:type="spellEnd"/>
            <w:r>
              <w:t xml:space="preserve"> versus medical nutrition therapy with and without </w:t>
            </w:r>
            <w:proofErr w:type="spellStart"/>
            <w:r>
              <w:t>sapropterin</w:t>
            </w:r>
            <w:proofErr w:type="spellEnd"/>
            <w:r>
              <w:t xml:space="preserve"> in adults with phenylketonuria. </w:t>
            </w:r>
          </w:p>
        </w:tc>
        <w:tc>
          <w:tcPr>
            <w:tcW w:w="2125" w:type="dxa"/>
            <w:tcBorders>
              <w:top w:val="single" w:sz="4" w:space="0" w:color="000000"/>
              <w:left w:val="single" w:sz="4" w:space="0" w:color="000000"/>
              <w:bottom w:val="single" w:sz="4" w:space="0" w:color="000000"/>
              <w:right w:val="single" w:sz="4" w:space="0" w:color="000000"/>
            </w:tcBorders>
          </w:tcPr>
          <w:p w14:paraId="4A4488F7" w14:textId="77777777" w:rsidR="004D59D4" w:rsidRDefault="00023FAF" w:rsidP="00025AAC">
            <w:pPr>
              <w:pStyle w:val="TableText1"/>
            </w:pPr>
            <w:r>
              <w:t>Mol Genet Metab. 2024; 141(1):108114</w:t>
            </w:r>
          </w:p>
        </w:tc>
      </w:tr>
    </w:tbl>
    <w:p w14:paraId="420891F0" w14:textId="77777777" w:rsidR="004D59D4" w:rsidRDefault="00023FAF" w:rsidP="00025AAC">
      <w:pPr>
        <w:pStyle w:val="FooterTableFigure"/>
      </w:pPr>
      <w:r>
        <w:t xml:space="preserve">Note: Blue shading indicates data previously considered by the PBAC. </w:t>
      </w:r>
    </w:p>
    <w:p w14:paraId="5DD37688" w14:textId="77777777" w:rsidR="004D59D4" w:rsidRDefault="00023FAF" w:rsidP="00025AAC">
      <w:pPr>
        <w:pStyle w:val="FooterTableFigure"/>
        <w:rPr>
          <w:sz w:val="20"/>
        </w:rPr>
      </w:pPr>
      <w:r>
        <w:t>Source: Table 2.2-2, pp65-66 of the resubmission.</w:t>
      </w:r>
    </w:p>
    <w:p w14:paraId="14773126" w14:textId="03023915" w:rsidR="004D59D4" w:rsidRDefault="00023FAF" w:rsidP="00025AAC">
      <w:pPr>
        <w:pStyle w:val="3-BodyText"/>
        <w:numPr>
          <w:ilvl w:val="1"/>
          <w:numId w:val="1"/>
        </w:numPr>
        <w:spacing w:before="160"/>
      </w:pPr>
      <w:r>
        <w:t xml:space="preserve">The key features of the included evidence are summarised in </w:t>
      </w:r>
      <w:r>
        <w:fldChar w:fldCharType="begin"/>
      </w:r>
      <w:r>
        <w:instrText xml:space="preserve"> REF _Ref104804098 \h </w:instrText>
      </w:r>
      <w:r w:rsidR="00F5171F">
        <w:instrText xml:space="preserve"> \* MERGEFORMAT </w:instrText>
      </w:r>
      <w:r>
        <w:fldChar w:fldCharType="separate"/>
      </w:r>
      <w:r w:rsidR="00E24060" w:rsidRPr="00F5171F">
        <w:t>Table 4</w:t>
      </w:r>
      <w:r>
        <w:fldChar w:fldCharType="end"/>
      </w:r>
      <w:r>
        <w:t>.</w:t>
      </w:r>
    </w:p>
    <w:p w14:paraId="3BA54E4E" w14:textId="257CD265" w:rsidR="004D59D4" w:rsidRDefault="00023FAF" w:rsidP="00025AAC">
      <w:pPr>
        <w:pStyle w:val="Caption"/>
        <w:spacing w:before="160"/>
        <w:rPr>
          <w:rStyle w:val="CommentReference"/>
          <w:rFonts w:eastAsiaTheme="majorEastAsia" w:cstheme="majorBidi"/>
          <w:b/>
          <w:szCs w:val="24"/>
        </w:rPr>
      </w:pPr>
      <w:bookmarkStart w:id="44" w:name="_Ref104804098"/>
      <w:r>
        <w:rPr>
          <w:rStyle w:val="CommentReference"/>
          <w:rFonts w:eastAsiaTheme="majorEastAsia" w:cstheme="majorBidi"/>
          <w:b/>
          <w:szCs w:val="24"/>
        </w:rPr>
        <w:lastRenderedPageBreak/>
        <w:t xml:space="preserve">Table </w:t>
      </w:r>
      <w:r>
        <w:rPr>
          <w:rStyle w:val="CommentReference"/>
          <w:rFonts w:eastAsiaTheme="majorEastAsia" w:cstheme="majorBidi"/>
          <w:b/>
          <w:szCs w:val="24"/>
        </w:rPr>
        <w:fldChar w:fldCharType="begin"/>
      </w:r>
      <w:r>
        <w:rPr>
          <w:rStyle w:val="CommentReference"/>
          <w:rFonts w:eastAsia="MS Gothic"/>
          <w:b/>
          <w:szCs w:val="24"/>
        </w:rPr>
        <w:instrText xml:space="preserve"> SEQ Table \* ARABIC </w:instrText>
      </w:r>
      <w:r>
        <w:rPr>
          <w:rStyle w:val="CommentReference"/>
          <w:rFonts w:eastAsia="MS Gothic"/>
          <w:b/>
          <w:szCs w:val="24"/>
        </w:rPr>
        <w:fldChar w:fldCharType="separate"/>
      </w:r>
      <w:r w:rsidR="00E24060">
        <w:rPr>
          <w:rStyle w:val="CommentReference"/>
          <w:rFonts w:eastAsia="MS Gothic"/>
          <w:b/>
          <w:noProof/>
          <w:szCs w:val="24"/>
        </w:rPr>
        <w:t>4</w:t>
      </w:r>
      <w:r>
        <w:rPr>
          <w:rStyle w:val="CommentReference"/>
          <w:rFonts w:eastAsia="MS Gothic"/>
          <w:b/>
          <w:szCs w:val="24"/>
        </w:rPr>
        <w:fldChar w:fldCharType="end"/>
      </w:r>
      <w:bookmarkEnd w:id="44"/>
      <w:r>
        <w:rPr>
          <w:rStyle w:val="CommentReference"/>
          <w:rFonts w:eastAsiaTheme="majorEastAsia" w:cstheme="majorBidi"/>
          <w:b/>
          <w:szCs w:val="24"/>
        </w:rPr>
        <w:t>: Key features of the included evidence</w:t>
      </w:r>
    </w:p>
    <w:tbl>
      <w:tblPr>
        <w:tblW w:w="5000" w:type="pct"/>
        <w:tblLayout w:type="fixed"/>
        <w:tblCellMar>
          <w:left w:w="28" w:type="dxa"/>
          <w:right w:w="28" w:type="dxa"/>
        </w:tblCellMar>
        <w:tblLook w:val="04A0" w:firstRow="1" w:lastRow="0" w:firstColumn="1" w:lastColumn="0" w:noHBand="0" w:noVBand="1"/>
        <w:tblCaption w:val="Table 4: Key features of the included evidence"/>
      </w:tblPr>
      <w:tblGrid>
        <w:gridCol w:w="1222"/>
        <w:gridCol w:w="777"/>
        <w:gridCol w:w="1348"/>
        <w:gridCol w:w="1059"/>
        <w:gridCol w:w="1483"/>
        <w:gridCol w:w="1497"/>
        <w:gridCol w:w="1630"/>
      </w:tblGrid>
      <w:tr w:rsidR="004D59D4" w14:paraId="1E1BDC19" w14:textId="77777777">
        <w:trPr>
          <w:cantSplit/>
          <w:tblHeader/>
        </w:trPr>
        <w:tc>
          <w:tcPr>
            <w:tcW w:w="1223" w:type="dxa"/>
            <w:tcBorders>
              <w:top w:val="single" w:sz="4" w:space="0" w:color="000000"/>
              <w:left w:val="single" w:sz="4" w:space="0" w:color="000000"/>
              <w:bottom w:val="single" w:sz="4" w:space="0" w:color="000000"/>
              <w:right w:val="single" w:sz="4" w:space="0" w:color="000000"/>
            </w:tcBorders>
            <w:vAlign w:val="center"/>
          </w:tcPr>
          <w:p w14:paraId="4FB9D576" w14:textId="77777777" w:rsidR="004D59D4" w:rsidRDefault="00023FAF" w:rsidP="00025AAC">
            <w:pPr>
              <w:pStyle w:val="In-tableHeading"/>
            </w:pPr>
            <w:r>
              <w:t>Trial</w:t>
            </w:r>
          </w:p>
        </w:tc>
        <w:tc>
          <w:tcPr>
            <w:tcW w:w="778" w:type="dxa"/>
            <w:tcBorders>
              <w:top w:val="single" w:sz="4" w:space="0" w:color="000000"/>
              <w:left w:val="single" w:sz="4" w:space="0" w:color="000000"/>
              <w:bottom w:val="single" w:sz="4" w:space="0" w:color="000000"/>
              <w:right w:val="single" w:sz="4" w:space="0" w:color="000000"/>
            </w:tcBorders>
            <w:vAlign w:val="center"/>
          </w:tcPr>
          <w:p w14:paraId="273EE284" w14:textId="77777777" w:rsidR="004D59D4" w:rsidRDefault="00023FAF" w:rsidP="00025AAC">
            <w:pPr>
              <w:pStyle w:val="In-tableHeading"/>
              <w:jc w:val="center"/>
            </w:pPr>
            <w:r>
              <w:t>N</w:t>
            </w:r>
          </w:p>
        </w:tc>
        <w:tc>
          <w:tcPr>
            <w:tcW w:w="1349" w:type="dxa"/>
            <w:tcBorders>
              <w:top w:val="single" w:sz="4" w:space="0" w:color="000000"/>
              <w:left w:val="single" w:sz="4" w:space="0" w:color="000000"/>
              <w:bottom w:val="single" w:sz="4" w:space="0" w:color="000000"/>
              <w:right w:val="single" w:sz="4" w:space="0" w:color="000000"/>
            </w:tcBorders>
            <w:vAlign w:val="center"/>
          </w:tcPr>
          <w:p w14:paraId="3284A2D8" w14:textId="77777777" w:rsidR="004D59D4" w:rsidRDefault="00023FAF" w:rsidP="00025AAC">
            <w:pPr>
              <w:pStyle w:val="In-tableHeading"/>
              <w:jc w:val="center"/>
            </w:pPr>
            <w:r>
              <w:t>Design/ duration</w:t>
            </w:r>
          </w:p>
        </w:tc>
        <w:tc>
          <w:tcPr>
            <w:tcW w:w="1060" w:type="dxa"/>
            <w:tcBorders>
              <w:top w:val="single" w:sz="4" w:space="0" w:color="000000"/>
              <w:left w:val="single" w:sz="4" w:space="0" w:color="000000"/>
              <w:bottom w:val="single" w:sz="4" w:space="0" w:color="000000"/>
              <w:right w:val="single" w:sz="4" w:space="0" w:color="000000"/>
            </w:tcBorders>
            <w:vAlign w:val="center"/>
          </w:tcPr>
          <w:p w14:paraId="2567F77C" w14:textId="77777777" w:rsidR="004D59D4" w:rsidRDefault="00023FAF" w:rsidP="00025AAC">
            <w:pPr>
              <w:pStyle w:val="In-tableHeading"/>
              <w:jc w:val="center"/>
            </w:pPr>
            <w:r>
              <w:t>Risk of bias</w:t>
            </w:r>
          </w:p>
        </w:tc>
        <w:tc>
          <w:tcPr>
            <w:tcW w:w="1485" w:type="dxa"/>
            <w:tcBorders>
              <w:top w:val="single" w:sz="4" w:space="0" w:color="000000"/>
              <w:left w:val="single" w:sz="4" w:space="0" w:color="000000"/>
              <w:bottom w:val="single" w:sz="4" w:space="0" w:color="000000"/>
              <w:right w:val="single" w:sz="4" w:space="0" w:color="000000"/>
            </w:tcBorders>
            <w:vAlign w:val="center"/>
          </w:tcPr>
          <w:p w14:paraId="208E20AC" w14:textId="77777777" w:rsidR="004D59D4" w:rsidRDefault="00023FAF" w:rsidP="00025AAC">
            <w:pPr>
              <w:pStyle w:val="In-tableHeading"/>
              <w:jc w:val="center"/>
            </w:pPr>
            <w:r>
              <w:t>Patient population</w:t>
            </w:r>
          </w:p>
        </w:tc>
        <w:tc>
          <w:tcPr>
            <w:tcW w:w="1499" w:type="dxa"/>
            <w:tcBorders>
              <w:top w:val="single" w:sz="4" w:space="0" w:color="000000"/>
              <w:left w:val="single" w:sz="4" w:space="0" w:color="000000"/>
              <w:bottom w:val="single" w:sz="4" w:space="0" w:color="000000"/>
              <w:right w:val="single" w:sz="4" w:space="0" w:color="000000"/>
            </w:tcBorders>
            <w:vAlign w:val="center"/>
          </w:tcPr>
          <w:p w14:paraId="07882B0C" w14:textId="77777777" w:rsidR="004D59D4" w:rsidRDefault="00023FAF" w:rsidP="00025AAC">
            <w:pPr>
              <w:pStyle w:val="In-tableHeading"/>
              <w:jc w:val="center"/>
            </w:pPr>
            <w:r>
              <w:t>Outcome(s)</w:t>
            </w:r>
          </w:p>
        </w:tc>
        <w:tc>
          <w:tcPr>
            <w:tcW w:w="1632" w:type="dxa"/>
            <w:tcBorders>
              <w:top w:val="single" w:sz="4" w:space="0" w:color="000000"/>
              <w:left w:val="single" w:sz="4" w:space="0" w:color="000000"/>
              <w:bottom w:val="single" w:sz="4" w:space="0" w:color="000000"/>
              <w:right w:val="single" w:sz="4" w:space="0" w:color="000000"/>
            </w:tcBorders>
            <w:vAlign w:val="center"/>
          </w:tcPr>
          <w:p w14:paraId="0DE8268E" w14:textId="77777777" w:rsidR="004D59D4" w:rsidRDefault="00023FAF" w:rsidP="00025AAC">
            <w:pPr>
              <w:pStyle w:val="In-tableHeading"/>
              <w:jc w:val="center"/>
            </w:pPr>
            <w:r>
              <w:t>Use in modelled evaluation</w:t>
            </w:r>
          </w:p>
        </w:tc>
      </w:tr>
      <w:tr w:rsidR="004D59D4" w14:paraId="39E34AAA" w14:textId="77777777">
        <w:trPr>
          <w:cantSplit/>
        </w:trPr>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2DD75BA3" w14:textId="77777777" w:rsidR="004D59D4" w:rsidRDefault="00023FAF" w:rsidP="00025AAC">
            <w:pPr>
              <w:pStyle w:val="In-tableHeading"/>
            </w:pPr>
            <w:proofErr w:type="spellStart"/>
            <w:r>
              <w:t>Pegvaliase</w:t>
            </w:r>
            <w:proofErr w:type="spellEnd"/>
            <w:r>
              <w:t xml:space="preserve"> 20 mg/day vs </w:t>
            </w:r>
            <w:proofErr w:type="spellStart"/>
            <w:r>
              <w:t>Pegvaliase</w:t>
            </w:r>
            <w:proofErr w:type="spellEnd"/>
            <w:r>
              <w:t xml:space="preserve"> 40 mg/day</w:t>
            </w:r>
          </w:p>
        </w:tc>
      </w:tr>
      <w:tr w:rsidR="004D59D4" w14:paraId="3CB057D9" w14:textId="77777777">
        <w:trPr>
          <w:cantSplit/>
        </w:trPr>
        <w:tc>
          <w:tcPr>
            <w:tcW w:w="122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FB43C6A" w14:textId="77777777" w:rsidR="004D59D4" w:rsidRDefault="00023FAF" w:rsidP="00025AAC">
            <w:pPr>
              <w:pStyle w:val="TableText1"/>
              <w:keepNext w:val="0"/>
              <w:keepLines w:val="0"/>
            </w:pPr>
            <w:r>
              <w:t>PRISM 1</w:t>
            </w:r>
          </w:p>
        </w:tc>
        <w:tc>
          <w:tcPr>
            <w:tcW w:w="77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07E947D" w14:textId="77777777" w:rsidR="004D59D4" w:rsidRDefault="00023FAF" w:rsidP="00025AAC">
            <w:pPr>
              <w:pStyle w:val="TableText1"/>
              <w:keepNext w:val="0"/>
              <w:keepLines w:val="0"/>
              <w:jc w:val="center"/>
            </w:pPr>
            <w:r>
              <w:t>261</w:t>
            </w:r>
          </w:p>
        </w:tc>
        <w:tc>
          <w:tcPr>
            <w:tcW w:w="134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3133B0E" w14:textId="77777777" w:rsidR="004D59D4" w:rsidRDefault="00023FAF" w:rsidP="00025AAC">
            <w:pPr>
              <w:pStyle w:val="TableText1"/>
              <w:keepNext w:val="0"/>
              <w:keepLines w:val="0"/>
              <w:jc w:val="center"/>
            </w:pPr>
            <w:r>
              <w:t>R, OL, MC</w:t>
            </w:r>
          </w:p>
          <w:p w14:paraId="03CD520B" w14:textId="77777777" w:rsidR="004D59D4" w:rsidRDefault="00023FAF" w:rsidP="00025AAC">
            <w:pPr>
              <w:pStyle w:val="TableText1"/>
              <w:keepNext w:val="0"/>
              <w:keepLines w:val="0"/>
              <w:jc w:val="center"/>
            </w:pPr>
            <w:r>
              <w:t>26-35 weeks</w:t>
            </w:r>
          </w:p>
        </w:tc>
        <w:tc>
          <w:tcPr>
            <w:tcW w:w="10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6D12E2F" w14:textId="77777777" w:rsidR="004D59D4" w:rsidRDefault="00023FAF" w:rsidP="00025AAC">
            <w:pPr>
              <w:pStyle w:val="TableText1"/>
              <w:keepNext w:val="0"/>
              <w:keepLines w:val="0"/>
              <w:jc w:val="center"/>
            </w:pPr>
            <w:r>
              <w:t>High</w:t>
            </w:r>
          </w:p>
        </w:tc>
        <w:tc>
          <w:tcPr>
            <w:tcW w:w="1485" w:type="dxa"/>
            <w:vMerge w:val="restar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1E5B822" w14:textId="77777777" w:rsidR="004D59D4" w:rsidRDefault="00023FAF" w:rsidP="00025AAC">
            <w:pPr>
              <w:pStyle w:val="TableText1"/>
              <w:keepNext w:val="0"/>
              <w:keepLines w:val="0"/>
              <w:jc w:val="center"/>
            </w:pPr>
            <w:r>
              <w:t xml:space="preserve">PKU, </w:t>
            </w:r>
            <w:proofErr w:type="spellStart"/>
            <w:r>
              <w:t>Phe</w:t>
            </w:r>
            <w:proofErr w:type="spellEnd"/>
            <w:r>
              <w:t xml:space="preserve"> &gt;600µmol/L, ≥18 years-old</w:t>
            </w:r>
          </w:p>
        </w:tc>
        <w:tc>
          <w:tcPr>
            <w:tcW w:w="1499" w:type="dxa"/>
            <w:vMerge w:val="restar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4D5E251" w14:textId="77777777" w:rsidR="004D59D4" w:rsidRDefault="00023FAF" w:rsidP="00025AAC">
            <w:pPr>
              <w:jc w:val="center"/>
              <w:rPr>
                <w:rFonts w:ascii="Arial Narrow" w:hAnsi="Arial Narrow"/>
                <w:sz w:val="20"/>
                <w:szCs w:val="20"/>
              </w:rPr>
            </w:pPr>
            <w:r>
              <w:rPr>
                <w:rFonts w:ascii="Arial Narrow" w:hAnsi="Arial Narrow"/>
                <w:sz w:val="20"/>
                <w:szCs w:val="20"/>
              </w:rPr>
              <w:t>Blood-</w:t>
            </w:r>
            <w:proofErr w:type="spellStart"/>
            <w:r>
              <w:rPr>
                <w:rFonts w:ascii="Arial Narrow" w:hAnsi="Arial Narrow"/>
                <w:sz w:val="20"/>
                <w:szCs w:val="20"/>
              </w:rPr>
              <w:t>Phe</w:t>
            </w:r>
            <w:proofErr w:type="spellEnd"/>
            <w:r>
              <w:rPr>
                <w:rFonts w:ascii="Arial Narrow" w:hAnsi="Arial Narrow"/>
                <w:sz w:val="20"/>
                <w:szCs w:val="20"/>
              </w:rPr>
              <w:t>;</w:t>
            </w:r>
          </w:p>
          <w:p w14:paraId="4C5821D4" w14:textId="77777777" w:rsidR="004D59D4" w:rsidRDefault="00023FAF" w:rsidP="00025AAC">
            <w:pPr>
              <w:jc w:val="center"/>
              <w:rPr>
                <w:rFonts w:ascii="Arial Narrow" w:hAnsi="Arial Narrow"/>
                <w:sz w:val="20"/>
                <w:szCs w:val="20"/>
              </w:rPr>
            </w:pPr>
            <w:r>
              <w:rPr>
                <w:rFonts w:ascii="Arial Narrow" w:hAnsi="Arial Narrow"/>
                <w:sz w:val="20"/>
                <w:szCs w:val="20"/>
              </w:rPr>
              <w:t xml:space="preserve">Dietary </w:t>
            </w:r>
            <w:proofErr w:type="spellStart"/>
            <w:r>
              <w:rPr>
                <w:rFonts w:ascii="Arial Narrow" w:hAnsi="Arial Narrow"/>
                <w:sz w:val="20"/>
                <w:szCs w:val="20"/>
              </w:rPr>
              <w:t>Phe</w:t>
            </w:r>
            <w:proofErr w:type="spellEnd"/>
            <w:r>
              <w:rPr>
                <w:rFonts w:ascii="Arial Narrow" w:hAnsi="Arial Narrow"/>
                <w:sz w:val="20"/>
                <w:szCs w:val="20"/>
              </w:rPr>
              <w:t xml:space="preserve"> intake; Psychiatric assessment; Safety</w:t>
            </w:r>
          </w:p>
        </w:tc>
        <w:tc>
          <w:tcPr>
            <w:tcW w:w="1632" w:type="dxa"/>
            <w:vMerge w:val="restar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C16AB23" w14:textId="77777777" w:rsidR="004D59D4" w:rsidRDefault="00023FAF" w:rsidP="00025AAC">
            <w:pPr>
              <w:pStyle w:val="TableText1"/>
              <w:keepNext w:val="0"/>
              <w:keepLines w:val="0"/>
              <w:jc w:val="center"/>
              <w:rPr>
                <w:highlight w:val="green"/>
              </w:rPr>
            </w:pPr>
            <w:r>
              <w:t>Yes (blood-</w:t>
            </w:r>
            <w:proofErr w:type="spellStart"/>
            <w:r>
              <w:t>Phe</w:t>
            </w:r>
            <w:proofErr w:type="spellEnd"/>
            <w:r>
              <w:t>; response rate; safety)</w:t>
            </w:r>
          </w:p>
        </w:tc>
      </w:tr>
      <w:tr w:rsidR="004D59D4" w14:paraId="443348D2" w14:textId="77777777">
        <w:trPr>
          <w:cantSplit/>
        </w:trPr>
        <w:tc>
          <w:tcPr>
            <w:tcW w:w="122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426FC84" w14:textId="77777777" w:rsidR="004D59D4" w:rsidRDefault="00023FAF" w:rsidP="00025AAC">
            <w:pPr>
              <w:pStyle w:val="TableText1"/>
              <w:keepNext w:val="0"/>
              <w:keepLines w:val="0"/>
            </w:pPr>
            <w:r>
              <w:t>PRISM 2 Part 1</w:t>
            </w:r>
          </w:p>
        </w:tc>
        <w:tc>
          <w:tcPr>
            <w:tcW w:w="77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6B2483D" w14:textId="77777777" w:rsidR="004D59D4" w:rsidRDefault="00023FAF" w:rsidP="00025AAC">
            <w:pPr>
              <w:pStyle w:val="TableText1"/>
              <w:keepNext w:val="0"/>
              <w:keepLines w:val="0"/>
              <w:jc w:val="center"/>
            </w:pPr>
            <w:r>
              <w:t>164</w:t>
            </w:r>
          </w:p>
        </w:tc>
        <w:tc>
          <w:tcPr>
            <w:tcW w:w="134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08A48C4" w14:textId="77777777" w:rsidR="004D59D4" w:rsidRDefault="00023FAF" w:rsidP="00025AAC">
            <w:pPr>
              <w:pStyle w:val="TableText1"/>
              <w:keepNext w:val="0"/>
              <w:keepLines w:val="0"/>
              <w:jc w:val="center"/>
            </w:pPr>
            <w:r>
              <w:t>R, OL, MC</w:t>
            </w:r>
          </w:p>
          <w:p w14:paraId="441663BD" w14:textId="77777777" w:rsidR="004D59D4" w:rsidRDefault="00023FAF" w:rsidP="00025AAC">
            <w:pPr>
              <w:pStyle w:val="TableText1"/>
              <w:keepNext w:val="0"/>
              <w:keepLines w:val="0"/>
              <w:jc w:val="center"/>
            </w:pPr>
            <w:r>
              <w:t>13 weeks</w:t>
            </w:r>
          </w:p>
        </w:tc>
        <w:tc>
          <w:tcPr>
            <w:tcW w:w="10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9FD3004" w14:textId="77777777" w:rsidR="004D59D4" w:rsidRDefault="00023FAF" w:rsidP="00025AAC">
            <w:pPr>
              <w:pStyle w:val="TableText1"/>
              <w:keepNext w:val="0"/>
              <w:keepLines w:val="0"/>
              <w:jc w:val="center"/>
            </w:pPr>
            <w:r>
              <w:t>High</w:t>
            </w:r>
          </w:p>
        </w:tc>
        <w:tc>
          <w:tcPr>
            <w:tcW w:w="148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127C192" w14:textId="77777777" w:rsidR="004D59D4" w:rsidRDefault="004D59D4" w:rsidP="00025AAC">
            <w:pPr>
              <w:pStyle w:val="TableText1"/>
              <w:keepNext w:val="0"/>
              <w:keepLines w:val="0"/>
              <w:jc w:val="center"/>
            </w:pPr>
          </w:p>
        </w:tc>
        <w:tc>
          <w:tcPr>
            <w:tcW w:w="1499"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D3A001E" w14:textId="77777777" w:rsidR="004D59D4" w:rsidRDefault="004D59D4" w:rsidP="00025AAC">
            <w:pPr>
              <w:pStyle w:val="TableText1"/>
              <w:keepNext w:val="0"/>
              <w:keepLines w:val="0"/>
              <w:jc w:val="center"/>
            </w:pPr>
          </w:p>
        </w:tc>
        <w:tc>
          <w:tcPr>
            <w:tcW w:w="1632"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5233EF6" w14:textId="77777777" w:rsidR="004D59D4" w:rsidRDefault="004D59D4" w:rsidP="00025AAC">
            <w:pPr>
              <w:pStyle w:val="TableText1"/>
              <w:keepNext w:val="0"/>
              <w:keepLines w:val="0"/>
              <w:jc w:val="center"/>
            </w:pPr>
          </w:p>
        </w:tc>
      </w:tr>
      <w:tr w:rsidR="004D59D4" w14:paraId="73967D3E" w14:textId="77777777">
        <w:trPr>
          <w:cantSplit/>
        </w:trPr>
        <w:tc>
          <w:tcPr>
            <w:tcW w:w="122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E7D77E0" w14:textId="77777777" w:rsidR="004D59D4" w:rsidRDefault="00023FAF" w:rsidP="00025AAC">
            <w:pPr>
              <w:pStyle w:val="TableText1"/>
              <w:keepNext w:val="0"/>
              <w:keepLines w:val="0"/>
            </w:pPr>
            <w:r>
              <w:t>PRISM 2 Part 3</w:t>
            </w:r>
          </w:p>
        </w:tc>
        <w:tc>
          <w:tcPr>
            <w:tcW w:w="77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E6CD98B" w14:textId="77777777" w:rsidR="004D59D4" w:rsidRDefault="00023FAF" w:rsidP="00025AAC">
            <w:pPr>
              <w:pStyle w:val="TableText1"/>
              <w:keepNext w:val="0"/>
              <w:keepLines w:val="0"/>
              <w:jc w:val="center"/>
            </w:pPr>
            <w:r>
              <w:t>89</w:t>
            </w:r>
          </w:p>
        </w:tc>
        <w:tc>
          <w:tcPr>
            <w:tcW w:w="134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0E26511" w14:textId="77777777" w:rsidR="004D59D4" w:rsidRDefault="00023FAF" w:rsidP="00025AAC">
            <w:pPr>
              <w:pStyle w:val="TableText1"/>
              <w:keepNext w:val="0"/>
              <w:keepLines w:val="0"/>
              <w:jc w:val="center"/>
            </w:pPr>
            <w:r>
              <w:t>R, OL, MC</w:t>
            </w:r>
          </w:p>
          <w:p w14:paraId="284C002A" w14:textId="77777777" w:rsidR="004D59D4" w:rsidRDefault="00023FAF" w:rsidP="00025AAC">
            <w:pPr>
              <w:pStyle w:val="TableText1"/>
              <w:keepNext w:val="0"/>
              <w:keepLines w:val="0"/>
              <w:jc w:val="center"/>
            </w:pPr>
            <w:r>
              <w:t>6 weeks</w:t>
            </w:r>
          </w:p>
        </w:tc>
        <w:tc>
          <w:tcPr>
            <w:tcW w:w="10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6AF0D93" w14:textId="77777777" w:rsidR="004D59D4" w:rsidRDefault="00023FAF" w:rsidP="00025AAC">
            <w:pPr>
              <w:pStyle w:val="TableText1"/>
              <w:keepNext w:val="0"/>
              <w:keepLines w:val="0"/>
              <w:jc w:val="center"/>
            </w:pPr>
            <w:r>
              <w:t>High</w:t>
            </w:r>
          </w:p>
        </w:tc>
        <w:tc>
          <w:tcPr>
            <w:tcW w:w="14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4A86A5E" w14:textId="77777777" w:rsidR="004D59D4" w:rsidRDefault="00023FAF" w:rsidP="00025AAC">
            <w:pPr>
              <w:pStyle w:val="TableText1"/>
              <w:keepNext w:val="0"/>
              <w:keepLines w:val="0"/>
              <w:jc w:val="center"/>
            </w:pPr>
            <w:r>
              <w:t>Patients who completed PRISM 2 Part 2</w:t>
            </w:r>
          </w:p>
        </w:tc>
        <w:tc>
          <w:tcPr>
            <w:tcW w:w="14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C0540D6" w14:textId="77777777" w:rsidR="004D59D4" w:rsidRDefault="00023FAF" w:rsidP="00025AAC">
            <w:pPr>
              <w:pStyle w:val="TableText1"/>
              <w:keepNext w:val="0"/>
              <w:keepLines w:val="0"/>
              <w:jc w:val="center"/>
            </w:pPr>
            <w:r>
              <w:t>As above; Pharmacodynamics</w:t>
            </w:r>
          </w:p>
        </w:tc>
        <w:tc>
          <w:tcPr>
            <w:tcW w:w="1632"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00951D6D" w14:textId="77777777" w:rsidR="004D59D4" w:rsidRDefault="004D59D4" w:rsidP="00025AAC">
            <w:pPr>
              <w:pStyle w:val="TableText1"/>
              <w:keepNext w:val="0"/>
              <w:keepLines w:val="0"/>
              <w:jc w:val="center"/>
            </w:pPr>
          </w:p>
        </w:tc>
      </w:tr>
      <w:tr w:rsidR="004D59D4" w14:paraId="5B9B52BA" w14:textId="77777777">
        <w:trPr>
          <w:cantSplit/>
        </w:trPr>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6F4F9886" w14:textId="77777777" w:rsidR="004D59D4" w:rsidRDefault="00023FAF" w:rsidP="00025AAC">
            <w:pPr>
              <w:pStyle w:val="TableText1"/>
              <w:keepNext w:val="0"/>
              <w:keepLines w:val="0"/>
              <w:rPr>
                <w:b/>
                <w:bCs w:val="0"/>
              </w:rPr>
            </w:pPr>
            <w:proofErr w:type="spellStart"/>
            <w:r>
              <w:rPr>
                <w:b/>
                <w:bCs w:val="0"/>
              </w:rPr>
              <w:t>Pegvaliase</w:t>
            </w:r>
            <w:proofErr w:type="spellEnd"/>
            <w:r>
              <w:rPr>
                <w:b/>
                <w:bCs w:val="0"/>
              </w:rPr>
              <w:t xml:space="preserve"> vs placebo</w:t>
            </w:r>
          </w:p>
        </w:tc>
      </w:tr>
      <w:tr w:rsidR="004D59D4" w14:paraId="6D2441E8" w14:textId="77777777">
        <w:trPr>
          <w:cantSplit/>
        </w:trPr>
        <w:tc>
          <w:tcPr>
            <w:tcW w:w="122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0C181C2" w14:textId="77777777" w:rsidR="004D59D4" w:rsidRDefault="00023FAF" w:rsidP="00025AAC">
            <w:pPr>
              <w:pStyle w:val="TableText1"/>
              <w:keepNext w:val="0"/>
              <w:keepLines w:val="0"/>
            </w:pPr>
            <w:r>
              <w:t>PRISM 2 Part 2</w:t>
            </w:r>
          </w:p>
        </w:tc>
        <w:tc>
          <w:tcPr>
            <w:tcW w:w="77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A9BE7A9" w14:textId="77777777" w:rsidR="004D59D4" w:rsidRDefault="00023FAF" w:rsidP="00025AAC">
            <w:pPr>
              <w:pStyle w:val="TableText1"/>
              <w:keepNext w:val="0"/>
              <w:keepLines w:val="0"/>
              <w:jc w:val="center"/>
            </w:pPr>
            <w:r>
              <w:t>95</w:t>
            </w:r>
          </w:p>
        </w:tc>
        <w:tc>
          <w:tcPr>
            <w:tcW w:w="134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A1325B8" w14:textId="77777777" w:rsidR="004D59D4" w:rsidRDefault="00023FAF" w:rsidP="00025AAC">
            <w:pPr>
              <w:pStyle w:val="TableText1"/>
              <w:keepNext w:val="0"/>
              <w:keepLines w:val="0"/>
              <w:jc w:val="center"/>
            </w:pPr>
            <w:r>
              <w:t>R, DB, MC</w:t>
            </w:r>
          </w:p>
          <w:p w14:paraId="2B9AF031" w14:textId="77777777" w:rsidR="004D59D4" w:rsidRDefault="00023FAF" w:rsidP="00025AAC">
            <w:pPr>
              <w:pStyle w:val="TableText1"/>
              <w:keepNext w:val="0"/>
              <w:keepLines w:val="0"/>
              <w:jc w:val="center"/>
            </w:pPr>
            <w:r>
              <w:t>8 weeks</w:t>
            </w:r>
          </w:p>
        </w:tc>
        <w:tc>
          <w:tcPr>
            <w:tcW w:w="10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1FD544D" w14:textId="77777777" w:rsidR="004D59D4" w:rsidRDefault="00023FAF" w:rsidP="00025AAC">
            <w:pPr>
              <w:pStyle w:val="TableText1"/>
              <w:keepNext w:val="0"/>
              <w:keepLines w:val="0"/>
              <w:jc w:val="center"/>
            </w:pPr>
            <w:r>
              <w:t xml:space="preserve">High </w:t>
            </w:r>
            <w:r>
              <w:rPr>
                <w:vertAlign w:val="superscript"/>
              </w:rPr>
              <w:t>a</w:t>
            </w:r>
          </w:p>
        </w:tc>
        <w:tc>
          <w:tcPr>
            <w:tcW w:w="14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97F946" w14:textId="77777777" w:rsidR="004D59D4" w:rsidRDefault="00023FAF" w:rsidP="00025AAC">
            <w:pPr>
              <w:pStyle w:val="TableText1"/>
              <w:keepNext w:val="0"/>
              <w:keepLines w:val="0"/>
              <w:jc w:val="center"/>
            </w:pPr>
            <w:r>
              <w:t xml:space="preserve">PRISM 2 Part 1 patients who achieved </w:t>
            </w:r>
            <w:r>
              <w:rPr>
                <w:rFonts w:cs="Calibri"/>
              </w:rPr>
              <w:t>≥</w:t>
            </w:r>
            <w:r>
              <w:t>20% reduction in blood-</w:t>
            </w:r>
            <w:proofErr w:type="spellStart"/>
            <w:r>
              <w:t>Phe</w:t>
            </w:r>
            <w:proofErr w:type="spellEnd"/>
            <w:r>
              <w:t xml:space="preserve"> from </w:t>
            </w:r>
            <w:proofErr w:type="spellStart"/>
            <w:r>
              <w:t>pegvaliase</w:t>
            </w:r>
            <w:proofErr w:type="spellEnd"/>
            <w:r>
              <w:t>-naïve baseline</w:t>
            </w:r>
          </w:p>
        </w:tc>
        <w:tc>
          <w:tcPr>
            <w:tcW w:w="14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742AA1A" w14:textId="77777777" w:rsidR="004D59D4" w:rsidRDefault="00023FAF" w:rsidP="00025AAC">
            <w:pPr>
              <w:pStyle w:val="TableText1"/>
              <w:keepNext w:val="0"/>
              <w:keepLines w:val="0"/>
              <w:jc w:val="center"/>
            </w:pPr>
            <w:r>
              <w:t>As in PRISM 1</w:t>
            </w:r>
          </w:p>
        </w:tc>
        <w:tc>
          <w:tcPr>
            <w:tcW w:w="16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3847FB6" w14:textId="77777777" w:rsidR="004D59D4" w:rsidRDefault="00023FAF" w:rsidP="00025AAC">
            <w:pPr>
              <w:pStyle w:val="TableText1"/>
              <w:keepNext w:val="0"/>
              <w:keepLines w:val="0"/>
              <w:jc w:val="center"/>
            </w:pPr>
            <w:r>
              <w:t>Yes (blood-</w:t>
            </w:r>
            <w:proofErr w:type="spellStart"/>
            <w:r>
              <w:t>Phe</w:t>
            </w:r>
            <w:proofErr w:type="spellEnd"/>
            <w:r>
              <w:t>; response rate; safety)</w:t>
            </w:r>
          </w:p>
        </w:tc>
      </w:tr>
      <w:tr w:rsidR="004D59D4" w14:paraId="02AD35C6" w14:textId="77777777">
        <w:trPr>
          <w:cantSplit/>
        </w:trPr>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2301447D" w14:textId="77777777" w:rsidR="004D59D4" w:rsidRDefault="00023FAF" w:rsidP="00025AAC">
            <w:pPr>
              <w:pStyle w:val="TableText1"/>
              <w:keepNext w:val="0"/>
              <w:keepLines w:val="0"/>
              <w:rPr>
                <w:b/>
                <w:bCs w:val="0"/>
              </w:rPr>
            </w:pPr>
            <w:proofErr w:type="spellStart"/>
            <w:r>
              <w:rPr>
                <w:b/>
                <w:bCs w:val="0"/>
              </w:rPr>
              <w:t>Pegvaliase</w:t>
            </w:r>
            <w:proofErr w:type="spellEnd"/>
            <w:r>
              <w:rPr>
                <w:b/>
                <w:bCs w:val="0"/>
              </w:rPr>
              <w:t xml:space="preserve"> single-arm extension study</w:t>
            </w:r>
          </w:p>
        </w:tc>
      </w:tr>
      <w:tr w:rsidR="004D59D4" w14:paraId="649FDCBC" w14:textId="77777777">
        <w:trPr>
          <w:cantSplit/>
        </w:trPr>
        <w:tc>
          <w:tcPr>
            <w:tcW w:w="122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9F48F8C" w14:textId="77777777" w:rsidR="004D59D4" w:rsidRDefault="00023FAF" w:rsidP="00025AAC">
            <w:pPr>
              <w:pStyle w:val="TableText1"/>
              <w:keepNext w:val="0"/>
              <w:keepLines w:val="0"/>
            </w:pPr>
            <w:r>
              <w:t>PRISM 2 Part 4</w:t>
            </w:r>
          </w:p>
        </w:tc>
        <w:tc>
          <w:tcPr>
            <w:tcW w:w="77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633C48E" w14:textId="77777777" w:rsidR="004D59D4" w:rsidRDefault="00023FAF" w:rsidP="00025AAC">
            <w:pPr>
              <w:pStyle w:val="TableText1"/>
              <w:keepNext w:val="0"/>
              <w:keepLines w:val="0"/>
              <w:jc w:val="center"/>
            </w:pPr>
            <w:r>
              <w:t>202</w:t>
            </w:r>
          </w:p>
        </w:tc>
        <w:tc>
          <w:tcPr>
            <w:tcW w:w="134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B084C22" w14:textId="77777777" w:rsidR="004D59D4" w:rsidRDefault="00023FAF" w:rsidP="00025AAC">
            <w:pPr>
              <w:pStyle w:val="TableText1"/>
              <w:keepNext w:val="0"/>
              <w:keepLines w:val="0"/>
              <w:jc w:val="center"/>
            </w:pPr>
            <w:r>
              <w:t>MC, OL</w:t>
            </w:r>
          </w:p>
          <w:p w14:paraId="185D984F" w14:textId="77777777" w:rsidR="004D59D4" w:rsidRDefault="00023FAF" w:rsidP="00025AAC">
            <w:pPr>
              <w:pStyle w:val="TableText1"/>
              <w:keepNext w:val="0"/>
              <w:keepLines w:val="0"/>
              <w:jc w:val="center"/>
            </w:pPr>
            <w:r>
              <w:t>274 weeks</w:t>
            </w:r>
          </w:p>
        </w:tc>
        <w:tc>
          <w:tcPr>
            <w:tcW w:w="10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9A8CE03" w14:textId="77777777" w:rsidR="004D59D4" w:rsidRDefault="00023FAF" w:rsidP="00025AAC">
            <w:pPr>
              <w:pStyle w:val="TableText1"/>
              <w:keepNext w:val="0"/>
              <w:keepLines w:val="0"/>
              <w:jc w:val="center"/>
            </w:pPr>
            <w:r>
              <w:t>High</w:t>
            </w:r>
          </w:p>
        </w:tc>
        <w:tc>
          <w:tcPr>
            <w:tcW w:w="14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BF43596" w14:textId="77777777" w:rsidR="004D59D4" w:rsidRDefault="00023FAF" w:rsidP="00025AAC">
            <w:pPr>
              <w:pStyle w:val="TableText1"/>
              <w:keepNext w:val="0"/>
              <w:keepLines w:val="0"/>
              <w:jc w:val="center"/>
            </w:pPr>
            <w:r>
              <w:t>PRISM 1, PRISM 2 Parts 1-3 patients</w:t>
            </w:r>
          </w:p>
        </w:tc>
        <w:tc>
          <w:tcPr>
            <w:tcW w:w="14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2B895EF" w14:textId="77777777" w:rsidR="004D59D4" w:rsidRDefault="00023FAF" w:rsidP="00025AAC">
            <w:pPr>
              <w:pStyle w:val="TableText1"/>
              <w:keepNext w:val="0"/>
              <w:keepLines w:val="0"/>
              <w:jc w:val="center"/>
            </w:pPr>
            <w:r>
              <w:t>As in PRISM 1</w:t>
            </w:r>
          </w:p>
        </w:tc>
        <w:tc>
          <w:tcPr>
            <w:tcW w:w="16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E5CAE85" w14:textId="77777777" w:rsidR="004D59D4" w:rsidRDefault="00023FAF" w:rsidP="00025AAC">
            <w:pPr>
              <w:pStyle w:val="TableText1"/>
              <w:keepNext w:val="0"/>
              <w:keepLines w:val="0"/>
              <w:jc w:val="center"/>
            </w:pPr>
            <w:r>
              <w:t>Yes (blood-</w:t>
            </w:r>
            <w:proofErr w:type="spellStart"/>
            <w:r>
              <w:t>Phe</w:t>
            </w:r>
            <w:proofErr w:type="spellEnd"/>
            <w:r>
              <w:t>; response rate; safety)</w:t>
            </w:r>
          </w:p>
        </w:tc>
      </w:tr>
      <w:tr w:rsidR="004D59D4" w14:paraId="3F42270B" w14:textId="77777777">
        <w:trPr>
          <w:cantSplit/>
        </w:trPr>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63E40FE1" w14:textId="77777777" w:rsidR="004D59D4" w:rsidRDefault="00023FAF" w:rsidP="00025AAC">
            <w:pPr>
              <w:pStyle w:val="TableText1"/>
              <w:keepNext w:val="0"/>
              <w:keepLines w:val="0"/>
              <w:rPr>
                <w:b/>
                <w:bCs w:val="0"/>
              </w:rPr>
            </w:pPr>
            <w:proofErr w:type="spellStart"/>
            <w:r>
              <w:rPr>
                <w:b/>
                <w:bCs w:val="0"/>
              </w:rPr>
              <w:t>Phe</w:t>
            </w:r>
            <w:proofErr w:type="spellEnd"/>
            <w:r>
              <w:rPr>
                <w:b/>
                <w:bCs w:val="0"/>
              </w:rPr>
              <w:t>-diet registry</w:t>
            </w:r>
          </w:p>
        </w:tc>
      </w:tr>
      <w:tr w:rsidR="004D59D4" w14:paraId="4861DBA1" w14:textId="77777777">
        <w:trPr>
          <w:cantSplit/>
        </w:trPr>
        <w:tc>
          <w:tcPr>
            <w:tcW w:w="122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7E0B7F2" w14:textId="77777777" w:rsidR="004D59D4" w:rsidRDefault="00023FAF" w:rsidP="00025AAC">
            <w:pPr>
              <w:pStyle w:val="TableText1"/>
              <w:keepNext w:val="0"/>
              <w:keepLines w:val="0"/>
            </w:pPr>
            <w:r>
              <w:t>PKUDOS</w:t>
            </w:r>
          </w:p>
        </w:tc>
        <w:tc>
          <w:tcPr>
            <w:tcW w:w="77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2FDAEC8" w14:textId="77777777" w:rsidR="004D59D4" w:rsidRDefault="00023FAF" w:rsidP="00025AAC">
            <w:pPr>
              <w:pStyle w:val="TableText1"/>
              <w:keepNext w:val="0"/>
              <w:keepLines w:val="0"/>
              <w:jc w:val="center"/>
            </w:pPr>
            <w:r>
              <w:t>715</w:t>
            </w:r>
          </w:p>
        </w:tc>
        <w:tc>
          <w:tcPr>
            <w:tcW w:w="134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9270FC3" w14:textId="77777777" w:rsidR="004D59D4" w:rsidRDefault="00023FAF" w:rsidP="00025AAC">
            <w:pPr>
              <w:pStyle w:val="TableText1"/>
              <w:keepNext w:val="0"/>
              <w:keepLines w:val="0"/>
              <w:jc w:val="center"/>
            </w:pPr>
            <w:r>
              <w:t>MC, Registry</w:t>
            </w:r>
          </w:p>
        </w:tc>
        <w:tc>
          <w:tcPr>
            <w:tcW w:w="10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A949543" w14:textId="77777777" w:rsidR="004D59D4" w:rsidRDefault="00023FAF" w:rsidP="00025AAC">
            <w:pPr>
              <w:pStyle w:val="TableText1"/>
              <w:keepNext w:val="0"/>
              <w:keepLines w:val="0"/>
              <w:jc w:val="center"/>
            </w:pPr>
            <w:r>
              <w:t>NA</w:t>
            </w:r>
          </w:p>
        </w:tc>
        <w:tc>
          <w:tcPr>
            <w:tcW w:w="14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12F1AFC" w14:textId="77777777" w:rsidR="004D59D4" w:rsidRDefault="00023FAF" w:rsidP="00025AAC">
            <w:pPr>
              <w:pStyle w:val="TableText1"/>
              <w:keepNext w:val="0"/>
              <w:keepLines w:val="0"/>
              <w:jc w:val="center"/>
            </w:pPr>
            <w:r>
              <w:t xml:space="preserve">PKU; previously received, receiving or intend to receive </w:t>
            </w:r>
            <w:proofErr w:type="spellStart"/>
            <w:r>
              <w:t>sapropterin</w:t>
            </w:r>
            <w:proofErr w:type="spellEnd"/>
          </w:p>
        </w:tc>
        <w:tc>
          <w:tcPr>
            <w:tcW w:w="14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72B01BF" w14:textId="77777777" w:rsidR="004D59D4" w:rsidRDefault="00023FAF" w:rsidP="00025AAC">
            <w:pPr>
              <w:jc w:val="center"/>
              <w:rPr>
                <w:rFonts w:ascii="Arial Narrow" w:hAnsi="Arial Narrow"/>
                <w:sz w:val="20"/>
                <w:szCs w:val="20"/>
              </w:rPr>
            </w:pPr>
            <w:r>
              <w:rPr>
                <w:rFonts w:ascii="Arial Narrow" w:hAnsi="Arial Narrow"/>
                <w:sz w:val="20"/>
                <w:szCs w:val="20"/>
              </w:rPr>
              <w:t>Blood-</w:t>
            </w:r>
            <w:proofErr w:type="spellStart"/>
            <w:r>
              <w:rPr>
                <w:rFonts w:ascii="Arial Narrow" w:hAnsi="Arial Narrow"/>
                <w:sz w:val="20"/>
                <w:szCs w:val="20"/>
              </w:rPr>
              <w:t>Phe</w:t>
            </w:r>
            <w:proofErr w:type="spellEnd"/>
            <w:r>
              <w:rPr>
                <w:rFonts w:ascii="Arial Narrow" w:hAnsi="Arial Narrow"/>
                <w:sz w:val="20"/>
                <w:szCs w:val="20"/>
              </w:rPr>
              <w:t>;</w:t>
            </w:r>
          </w:p>
          <w:p w14:paraId="47EEF22D" w14:textId="77777777" w:rsidR="004D59D4" w:rsidRDefault="00023FAF" w:rsidP="00025AAC">
            <w:pPr>
              <w:pStyle w:val="TableText1"/>
              <w:keepNext w:val="0"/>
              <w:keepLines w:val="0"/>
              <w:jc w:val="center"/>
            </w:pPr>
            <w:r>
              <w:rPr>
                <w:szCs w:val="20"/>
              </w:rPr>
              <w:t xml:space="preserve">Dietary </w:t>
            </w:r>
            <w:proofErr w:type="spellStart"/>
            <w:r>
              <w:rPr>
                <w:szCs w:val="20"/>
              </w:rPr>
              <w:t>Phe</w:t>
            </w:r>
            <w:proofErr w:type="spellEnd"/>
            <w:r>
              <w:rPr>
                <w:szCs w:val="20"/>
              </w:rPr>
              <w:t xml:space="preserve"> intake; Psychiatric assessment; Safety</w:t>
            </w:r>
          </w:p>
        </w:tc>
        <w:tc>
          <w:tcPr>
            <w:tcW w:w="16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4CD7081" w14:textId="77777777" w:rsidR="004D59D4" w:rsidRDefault="00023FAF" w:rsidP="00025AAC">
            <w:pPr>
              <w:pStyle w:val="TableText1"/>
              <w:keepNext w:val="0"/>
              <w:keepLines w:val="0"/>
              <w:jc w:val="center"/>
            </w:pPr>
            <w:r>
              <w:t>Yes (blood-</w:t>
            </w:r>
            <w:proofErr w:type="spellStart"/>
            <w:r>
              <w:t>Phe</w:t>
            </w:r>
            <w:proofErr w:type="spellEnd"/>
            <w:r>
              <w:t>)</w:t>
            </w:r>
          </w:p>
        </w:tc>
      </w:tr>
      <w:tr w:rsidR="004D59D4" w14:paraId="6F1C56AF" w14:textId="77777777">
        <w:trPr>
          <w:cantSplit/>
        </w:trPr>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6D33965D" w14:textId="77777777" w:rsidR="004D59D4" w:rsidRDefault="00023FAF" w:rsidP="00025AAC">
            <w:pPr>
              <w:pStyle w:val="TableText1"/>
              <w:keepNext w:val="0"/>
              <w:keepLines w:val="0"/>
              <w:rPr>
                <w:b/>
                <w:bCs w:val="0"/>
              </w:rPr>
            </w:pPr>
            <w:proofErr w:type="spellStart"/>
            <w:r>
              <w:rPr>
                <w:b/>
                <w:bCs w:val="0"/>
              </w:rPr>
              <w:t>Pegvaliase</w:t>
            </w:r>
            <w:proofErr w:type="spellEnd"/>
            <w:r>
              <w:rPr>
                <w:b/>
                <w:bCs w:val="0"/>
              </w:rPr>
              <w:t xml:space="preserve"> vs </w:t>
            </w:r>
            <w:proofErr w:type="spellStart"/>
            <w:r>
              <w:rPr>
                <w:b/>
                <w:bCs w:val="0"/>
              </w:rPr>
              <w:t>Phe</w:t>
            </w:r>
            <w:proofErr w:type="spellEnd"/>
            <w:r>
              <w:rPr>
                <w:b/>
                <w:bCs w:val="0"/>
              </w:rPr>
              <w:t xml:space="preserve">-restricted diet </w:t>
            </w:r>
          </w:p>
        </w:tc>
      </w:tr>
      <w:tr w:rsidR="004D59D4" w14:paraId="0DE7FD92" w14:textId="77777777">
        <w:trPr>
          <w:cantSplit/>
        </w:trPr>
        <w:tc>
          <w:tcPr>
            <w:tcW w:w="122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D365CCE" w14:textId="77777777" w:rsidR="004D59D4" w:rsidRDefault="00023FAF" w:rsidP="00025AAC">
            <w:pPr>
              <w:pStyle w:val="TableText1"/>
              <w:keepNext w:val="0"/>
              <w:keepLines w:val="0"/>
            </w:pPr>
            <w:r>
              <w:t>Zori 2019</w:t>
            </w:r>
          </w:p>
        </w:tc>
        <w:tc>
          <w:tcPr>
            <w:tcW w:w="77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9930D9A" w14:textId="77777777" w:rsidR="004D59D4" w:rsidRDefault="00023FAF" w:rsidP="00025AAC">
            <w:pPr>
              <w:pStyle w:val="TableText1"/>
              <w:keepNext w:val="0"/>
              <w:keepLines w:val="0"/>
              <w:jc w:val="center"/>
            </w:pPr>
            <w:r>
              <w:t>250</w:t>
            </w:r>
          </w:p>
        </w:tc>
        <w:tc>
          <w:tcPr>
            <w:tcW w:w="134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97D7A5A" w14:textId="77777777" w:rsidR="004D59D4" w:rsidRDefault="00023FAF" w:rsidP="00025AAC">
            <w:pPr>
              <w:pStyle w:val="TableText1"/>
              <w:keepNext w:val="0"/>
              <w:keepLines w:val="0"/>
              <w:jc w:val="center"/>
            </w:pPr>
            <w:r>
              <w:t>Matched cohort analysis</w:t>
            </w:r>
          </w:p>
        </w:tc>
        <w:tc>
          <w:tcPr>
            <w:tcW w:w="10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DCBAB62" w14:textId="77777777" w:rsidR="004D59D4" w:rsidRDefault="00023FAF" w:rsidP="00025AAC">
            <w:pPr>
              <w:pStyle w:val="TableText1"/>
              <w:keepNext w:val="0"/>
              <w:keepLines w:val="0"/>
              <w:jc w:val="center"/>
            </w:pPr>
            <w:r>
              <w:t xml:space="preserve">High </w:t>
            </w:r>
            <w:r>
              <w:rPr>
                <w:vertAlign w:val="superscript"/>
              </w:rPr>
              <w:t>b</w:t>
            </w:r>
          </w:p>
        </w:tc>
        <w:tc>
          <w:tcPr>
            <w:tcW w:w="14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97A9C87" w14:textId="77777777" w:rsidR="004D59D4" w:rsidRDefault="00023FAF" w:rsidP="00025AAC">
            <w:pPr>
              <w:pStyle w:val="TableText1"/>
              <w:keepNext w:val="0"/>
              <w:keepLines w:val="0"/>
              <w:jc w:val="center"/>
            </w:pPr>
            <w:r>
              <w:t xml:space="preserve">PRISM patients; PKUDOS patients who discontinued </w:t>
            </w:r>
            <w:proofErr w:type="spellStart"/>
            <w:r>
              <w:t>sapropterin</w:t>
            </w:r>
            <w:proofErr w:type="spellEnd"/>
            <w:r>
              <w:t>; baseline blood-</w:t>
            </w:r>
            <w:proofErr w:type="spellStart"/>
            <w:r>
              <w:t>Phe</w:t>
            </w:r>
            <w:proofErr w:type="spellEnd"/>
            <w:r>
              <w:t xml:space="preserve"> ≥600 µmol/L; ≥18 years old</w:t>
            </w:r>
          </w:p>
        </w:tc>
        <w:tc>
          <w:tcPr>
            <w:tcW w:w="14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FD3BD49" w14:textId="77777777" w:rsidR="004D59D4" w:rsidRDefault="00023FAF" w:rsidP="00025AAC">
            <w:pPr>
              <w:jc w:val="center"/>
            </w:pPr>
            <w:r>
              <w:rPr>
                <w:rFonts w:ascii="Arial Narrow" w:hAnsi="Arial Narrow"/>
                <w:sz w:val="20"/>
                <w:szCs w:val="20"/>
              </w:rPr>
              <w:t>Blood-</w:t>
            </w:r>
            <w:proofErr w:type="spellStart"/>
            <w:r>
              <w:rPr>
                <w:rFonts w:ascii="Arial Narrow" w:hAnsi="Arial Narrow"/>
                <w:sz w:val="20"/>
                <w:szCs w:val="20"/>
              </w:rPr>
              <w:t>Phe</w:t>
            </w:r>
            <w:proofErr w:type="spellEnd"/>
            <w:r>
              <w:rPr>
                <w:rFonts w:ascii="Arial Narrow" w:hAnsi="Arial Narrow"/>
                <w:sz w:val="20"/>
                <w:szCs w:val="20"/>
              </w:rPr>
              <w:t xml:space="preserve">; protein intake; </w:t>
            </w:r>
            <w:proofErr w:type="spellStart"/>
            <w:r>
              <w:rPr>
                <w:rFonts w:ascii="Arial Narrow" w:hAnsi="Arial Narrow"/>
                <w:sz w:val="20"/>
                <w:szCs w:val="20"/>
              </w:rPr>
              <w:t>Phe</w:t>
            </w:r>
            <w:proofErr w:type="spellEnd"/>
            <w:r>
              <w:rPr>
                <w:rFonts w:ascii="Arial Narrow" w:hAnsi="Arial Narrow"/>
                <w:sz w:val="20"/>
                <w:szCs w:val="20"/>
              </w:rPr>
              <w:t xml:space="preserve"> response rate; Safety</w:t>
            </w:r>
          </w:p>
        </w:tc>
        <w:tc>
          <w:tcPr>
            <w:tcW w:w="16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591175FB" w14:textId="77777777" w:rsidR="004D59D4" w:rsidRDefault="00023FAF" w:rsidP="00025AAC">
            <w:pPr>
              <w:pStyle w:val="TableText1"/>
              <w:keepNext w:val="0"/>
              <w:keepLines w:val="0"/>
              <w:jc w:val="center"/>
            </w:pPr>
            <w:r>
              <w:t>No</w:t>
            </w:r>
          </w:p>
        </w:tc>
      </w:tr>
      <w:tr w:rsidR="004D59D4" w14:paraId="686F8D70" w14:textId="77777777">
        <w:trPr>
          <w:cantSplit/>
        </w:trPr>
        <w:tc>
          <w:tcPr>
            <w:tcW w:w="1223" w:type="dxa"/>
            <w:tcBorders>
              <w:top w:val="single" w:sz="4" w:space="0" w:color="000000"/>
              <w:left w:val="single" w:sz="4" w:space="0" w:color="000000"/>
              <w:bottom w:val="single" w:sz="4" w:space="0" w:color="000000"/>
              <w:right w:val="single" w:sz="4" w:space="0" w:color="000000"/>
            </w:tcBorders>
            <w:vAlign w:val="center"/>
          </w:tcPr>
          <w:p w14:paraId="17F78649" w14:textId="77777777" w:rsidR="004D59D4" w:rsidRDefault="00023FAF" w:rsidP="00025AAC">
            <w:pPr>
              <w:pStyle w:val="TableText1"/>
              <w:keepNext w:val="0"/>
              <w:keepLines w:val="0"/>
            </w:pPr>
            <w:r>
              <w:t>Burton 2024</w:t>
            </w:r>
          </w:p>
        </w:tc>
        <w:tc>
          <w:tcPr>
            <w:tcW w:w="778" w:type="dxa"/>
            <w:tcBorders>
              <w:top w:val="single" w:sz="4" w:space="0" w:color="000000"/>
              <w:left w:val="single" w:sz="4" w:space="0" w:color="000000"/>
              <w:bottom w:val="single" w:sz="4" w:space="0" w:color="000000"/>
              <w:right w:val="single" w:sz="4" w:space="0" w:color="000000"/>
            </w:tcBorders>
            <w:vAlign w:val="center"/>
          </w:tcPr>
          <w:p w14:paraId="0DE7537F" w14:textId="77777777" w:rsidR="004D59D4" w:rsidRDefault="00023FAF" w:rsidP="00025AAC">
            <w:pPr>
              <w:pStyle w:val="TableText1"/>
              <w:keepNext w:val="0"/>
              <w:keepLines w:val="0"/>
              <w:jc w:val="center"/>
            </w:pPr>
            <w:r>
              <w:t xml:space="preserve">382 </w:t>
            </w:r>
            <w:r>
              <w:rPr>
                <w:vertAlign w:val="superscript"/>
              </w:rPr>
              <w:t>c</w:t>
            </w:r>
          </w:p>
        </w:tc>
        <w:tc>
          <w:tcPr>
            <w:tcW w:w="1349" w:type="dxa"/>
            <w:tcBorders>
              <w:top w:val="single" w:sz="4" w:space="0" w:color="000000"/>
              <w:left w:val="single" w:sz="4" w:space="0" w:color="000000"/>
              <w:bottom w:val="single" w:sz="4" w:space="0" w:color="000000"/>
              <w:right w:val="single" w:sz="4" w:space="0" w:color="000000"/>
            </w:tcBorders>
            <w:vAlign w:val="center"/>
          </w:tcPr>
          <w:p w14:paraId="7E7AF2B8" w14:textId="77777777" w:rsidR="004D59D4" w:rsidRDefault="00023FAF" w:rsidP="00025AAC">
            <w:pPr>
              <w:pStyle w:val="TableText1"/>
              <w:keepNext w:val="0"/>
              <w:keepLines w:val="0"/>
              <w:jc w:val="center"/>
            </w:pPr>
            <w:r>
              <w:t>Quantile regression analysis</w:t>
            </w:r>
          </w:p>
        </w:tc>
        <w:tc>
          <w:tcPr>
            <w:tcW w:w="1060" w:type="dxa"/>
            <w:tcBorders>
              <w:top w:val="single" w:sz="4" w:space="0" w:color="000000"/>
              <w:left w:val="single" w:sz="4" w:space="0" w:color="000000"/>
              <w:bottom w:val="single" w:sz="4" w:space="0" w:color="000000"/>
              <w:right w:val="single" w:sz="4" w:space="0" w:color="000000"/>
            </w:tcBorders>
            <w:vAlign w:val="center"/>
          </w:tcPr>
          <w:p w14:paraId="4DBE76E7" w14:textId="77777777" w:rsidR="004D59D4" w:rsidRDefault="00023FAF" w:rsidP="00025AAC">
            <w:pPr>
              <w:pStyle w:val="TableText1"/>
              <w:keepNext w:val="0"/>
              <w:keepLines w:val="0"/>
              <w:jc w:val="center"/>
            </w:pPr>
            <w:r>
              <w:t xml:space="preserve">High </w:t>
            </w:r>
            <w:r>
              <w:rPr>
                <w:vertAlign w:val="superscript"/>
              </w:rPr>
              <w:t>b</w:t>
            </w:r>
          </w:p>
        </w:tc>
        <w:tc>
          <w:tcPr>
            <w:tcW w:w="1485" w:type="dxa"/>
            <w:tcBorders>
              <w:top w:val="single" w:sz="4" w:space="0" w:color="000000"/>
              <w:left w:val="single" w:sz="4" w:space="0" w:color="000000"/>
              <w:bottom w:val="single" w:sz="4" w:space="0" w:color="000000"/>
              <w:right w:val="single" w:sz="4" w:space="0" w:color="000000"/>
            </w:tcBorders>
            <w:vAlign w:val="center"/>
          </w:tcPr>
          <w:p w14:paraId="1EE451B7" w14:textId="77777777" w:rsidR="004D59D4" w:rsidRDefault="00023FAF" w:rsidP="00025AAC">
            <w:pPr>
              <w:pStyle w:val="TableText1"/>
              <w:keepNext w:val="0"/>
              <w:keepLines w:val="0"/>
              <w:jc w:val="center"/>
            </w:pPr>
            <w:r>
              <w:t>PRISM patients; PKUDOS patients; baseline blood-</w:t>
            </w:r>
            <w:proofErr w:type="spellStart"/>
            <w:r>
              <w:t>Phe</w:t>
            </w:r>
            <w:proofErr w:type="spellEnd"/>
            <w:r>
              <w:t xml:space="preserve"> ≥600 µmol/L; ≥16 years old</w:t>
            </w:r>
          </w:p>
        </w:tc>
        <w:tc>
          <w:tcPr>
            <w:tcW w:w="1499" w:type="dxa"/>
            <w:tcBorders>
              <w:top w:val="single" w:sz="4" w:space="0" w:color="000000"/>
              <w:left w:val="single" w:sz="4" w:space="0" w:color="000000"/>
              <w:bottom w:val="single" w:sz="4" w:space="0" w:color="000000"/>
              <w:right w:val="single" w:sz="4" w:space="0" w:color="000000"/>
            </w:tcBorders>
            <w:vAlign w:val="center"/>
          </w:tcPr>
          <w:p w14:paraId="381F8C22" w14:textId="77777777" w:rsidR="004D59D4" w:rsidRDefault="00023FAF" w:rsidP="00025AAC">
            <w:pPr>
              <w:jc w:val="center"/>
              <w:rPr>
                <w:rFonts w:ascii="Arial Narrow" w:hAnsi="Arial Narrow"/>
                <w:sz w:val="20"/>
                <w:szCs w:val="20"/>
              </w:rPr>
            </w:pPr>
            <w:r>
              <w:rPr>
                <w:rFonts w:ascii="Arial Narrow" w:hAnsi="Arial Narrow"/>
                <w:sz w:val="20"/>
                <w:szCs w:val="20"/>
              </w:rPr>
              <w:t>Blood-</w:t>
            </w:r>
            <w:proofErr w:type="spellStart"/>
            <w:r>
              <w:rPr>
                <w:rFonts w:ascii="Arial Narrow" w:hAnsi="Arial Narrow"/>
                <w:sz w:val="20"/>
                <w:szCs w:val="20"/>
              </w:rPr>
              <w:t>Phe</w:t>
            </w:r>
            <w:proofErr w:type="spellEnd"/>
            <w:r>
              <w:rPr>
                <w:rFonts w:ascii="Arial Narrow" w:hAnsi="Arial Narrow"/>
                <w:sz w:val="20"/>
                <w:szCs w:val="20"/>
              </w:rPr>
              <w:t xml:space="preserve">; protein intake; </w:t>
            </w:r>
            <w:proofErr w:type="spellStart"/>
            <w:r>
              <w:rPr>
                <w:rFonts w:ascii="Arial Narrow" w:hAnsi="Arial Narrow"/>
                <w:sz w:val="20"/>
                <w:szCs w:val="20"/>
              </w:rPr>
              <w:t>Phe</w:t>
            </w:r>
            <w:proofErr w:type="spellEnd"/>
            <w:r>
              <w:rPr>
                <w:rFonts w:ascii="Arial Narrow" w:hAnsi="Arial Narrow"/>
                <w:sz w:val="20"/>
                <w:szCs w:val="20"/>
              </w:rPr>
              <w:t xml:space="preserve"> response rate</w:t>
            </w:r>
          </w:p>
        </w:tc>
        <w:tc>
          <w:tcPr>
            <w:tcW w:w="1632" w:type="dxa"/>
            <w:tcBorders>
              <w:top w:val="single" w:sz="4" w:space="0" w:color="000000"/>
              <w:left w:val="single" w:sz="4" w:space="0" w:color="000000"/>
              <w:bottom w:val="single" w:sz="4" w:space="0" w:color="000000"/>
              <w:right w:val="single" w:sz="4" w:space="0" w:color="000000"/>
            </w:tcBorders>
            <w:vAlign w:val="center"/>
          </w:tcPr>
          <w:p w14:paraId="2D4FC61A" w14:textId="77777777" w:rsidR="004D59D4" w:rsidRDefault="00023FAF" w:rsidP="00025AAC">
            <w:pPr>
              <w:pStyle w:val="TableText1"/>
              <w:keepNext w:val="0"/>
              <w:keepLines w:val="0"/>
              <w:jc w:val="center"/>
            </w:pPr>
            <w:r>
              <w:t>No</w:t>
            </w:r>
          </w:p>
        </w:tc>
      </w:tr>
      <w:tr w:rsidR="004D59D4" w14:paraId="0044AEA1" w14:textId="77777777">
        <w:trPr>
          <w:cantSplit/>
        </w:trPr>
        <w:tc>
          <w:tcPr>
            <w:tcW w:w="122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A91F228" w14:textId="77777777" w:rsidR="004D59D4" w:rsidRDefault="00023FAF" w:rsidP="00025AAC">
            <w:pPr>
              <w:pStyle w:val="TableText1"/>
              <w:keepNext w:val="0"/>
              <w:keepLines w:val="0"/>
            </w:pPr>
            <w:r>
              <w:t>Indirect naïve comparison</w:t>
            </w:r>
          </w:p>
        </w:tc>
        <w:tc>
          <w:tcPr>
            <w:tcW w:w="77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C03B4A8" w14:textId="77777777" w:rsidR="004D59D4" w:rsidRDefault="00023FAF" w:rsidP="00025AAC">
            <w:pPr>
              <w:pStyle w:val="TableText1"/>
              <w:keepNext w:val="0"/>
              <w:keepLines w:val="0"/>
              <w:jc w:val="center"/>
            </w:pPr>
            <w:r>
              <w:t>311</w:t>
            </w:r>
          </w:p>
        </w:tc>
        <w:tc>
          <w:tcPr>
            <w:tcW w:w="134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5367FD9" w14:textId="77777777" w:rsidR="004D59D4" w:rsidRDefault="00023FAF" w:rsidP="00025AAC">
            <w:pPr>
              <w:pStyle w:val="TableText1"/>
              <w:keepNext w:val="0"/>
              <w:keepLines w:val="0"/>
              <w:jc w:val="center"/>
            </w:pPr>
            <w:r>
              <w:t>Indirect naïve comparison</w:t>
            </w:r>
          </w:p>
        </w:tc>
        <w:tc>
          <w:tcPr>
            <w:tcW w:w="10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76D39A8B" w14:textId="77777777" w:rsidR="004D59D4" w:rsidRDefault="00023FAF" w:rsidP="00025AAC">
            <w:pPr>
              <w:pStyle w:val="TableText1"/>
              <w:keepNext w:val="0"/>
              <w:keepLines w:val="0"/>
              <w:jc w:val="center"/>
            </w:pPr>
            <w:r>
              <w:t xml:space="preserve">High </w:t>
            </w:r>
            <w:r>
              <w:rPr>
                <w:vertAlign w:val="superscript"/>
              </w:rPr>
              <w:t>d</w:t>
            </w:r>
          </w:p>
        </w:tc>
        <w:tc>
          <w:tcPr>
            <w:tcW w:w="148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EDCCA39" w14:textId="77777777" w:rsidR="004D59D4" w:rsidRDefault="00023FAF" w:rsidP="00025AAC">
            <w:pPr>
              <w:pStyle w:val="TableText1"/>
              <w:keepNext w:val="0"/>
              <w:keepLines w:val="0"/>
              <w:jc w:val="center"/>
            </w:pPr>
            <w:r>
              <w:t xml:space="preserve">PRISM patients; PKUDOS patients aged≥18, previously treated with </w:t>
            </w:r>
            <w:proofErr w:type="spellStart"/>
            <w:r>
              <w:t>sapropterin</w:t>
            </w:r>
            <w:proofErr w:type="spellEnd"/>
            <w:r>
              <w:t>, &gt;600µmol/L</w:t>
            </w:r>
          </w:p>
        </w:tc>
        <w:tc>
          <w:tcPr>
            <w:tcW w:w="149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746AC9E" w14:textId="77777777" w:rsidR="004D59D4" w:rsidRDefault="00023FAF" w:rsidP="00025AAC">
            <w:pPr>
              <w:pStyle w:val="TableText1"/>
              <w:keepNext w:val="0"/>
              <w:keepLines w:val="0"/>
              <w:jc w:val="center"/>
            </w:pPr>
            <w:r>
              <w:rPr>
                <w:szCs w:val="20"/>
              </w:rPr>
              <w:t>Blood-</w:t>
            </w:r>
            <w:proofErr w:type="spellStart"/>
            <w:r>
              <w:rPr>
                <w:szCs w:val="20"/>
              </w:rPr>
              <w:t>Phe</w:t>
            </w:r>
            <w:proofErr w:type="spellEnd"/>
            <w:r>
              <w:rPr>
                <w:szCs w:val="20"/>
              </w:rPr>
              <w:t xml:space="preserve">; </w:t>
            </w:r>
            <w:proofErr w:type="spellStart"/>
            <w:r>
              <w:rPr>
                <w:szCs w:val="20"/>
              </w:rPr>
              <w:t>Phe</w:t>
            </w:r>
            <w:proofErr w:type="spellEnd"/>
            <w:r>
              <w:rPr>
                <w:szCs w:val="20"/>
              </w:rPr>
              <w:t xml:space="preserve"> response rate</w:t>
            </w:r>
          </w:p>
        </w:tc>
        <w:tc>
          <w:tcPr>
            <w:tcW w:w="1632"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D592748" w14:textId="77777777" w:rsidR="004D59D4" w:rsidRDefault="00023FAF" w:rsidP="00025AAC">
            <w:pPr>
              <w:pStyle w:val="TableText1"/>
              <w:keepNext w:val="0"/>
              <w:keepLines w:val="0"/>
              <w:jc w:val="center"/>
            </w:pPr>
            <w:r>
              <w:t>Yes (blood-</w:t>
            </w:r>
            <w:proofErr w:type="spellStart"/>
            <w:r>
              <w:t>Phe</w:t>
            </w:r>
            <w:proofErr w:type="spellEnd"/>
            <w:r>
              <w:t>)</w:t>
            </w:r>
          </w:p>
        </w:tc>
      </w:tr>
    </w:tbl>
    <w:p w14:paraId="65EC162D" w14:textId="77777777" w:rsidR="004D59D4" w:rsidRDefault="00023FAF" w:rsidP="00025AAC">
      <w:pPr>
        <w:pStyle w:val="TableFigureFooter"/>
      </w:pPr>
      <w:r>
        <w:t xml:space="preserve">Note: Blue shading indicates data previously considered by the PBAC. </w:t>
      </w:r>
    </w:p>
    <w:p w14:paraId="2D1BA553" w14:textId="77777777" w:rsidR="004D59D4" w:rsidRDefault="00023FAF" w:rsidP="00025AAC">
      <w:pPr>
        <w:pStyle w:val="TableFigureFooter"/>
      </w:pPr>
      <w:r>
        <w:t xml:space="preserve">Source: Table 3, </w:t>
      </w:r>
      <w:proofErr w:type="spellStart"/>
      <w:r>
        <w:t>pegvaliase</w:t>
      </w:r>
      <w:proofErr w:type="spellEnd"/>
      <w:r>
        <w:t xml:space="preserve"> PSD, July 2022 PBAC meeting; Section 2 of the resubmission.</w:t>
      </w:r>
    </w:p>
    <w:p w14:paraId="18A23560" w14:textId="77777777" w:rsidR="004D59D4" w:rsidRDefault="00023FAF" w:rsidP="00025AAC">
      <w:pPr>
        <w:pStyle w:val="TableFigureFooter"/>
        <w:rPr>
          <w:sz w:val="20"/>
        </w:rPr>
      </w:pPr>
      <w:r>
        <w:t xml:space="preserve">DB = double blind; MC = multi-centre; NA = not applicable; OL = open label; </w:t>
      </w:r>
      <w:proofErr w:type="spellStart"/>
      <w:r>
        <w:t>Phe</w:t>
      </w:r>
      <w:proofErr w:type="spellEnd"/>
      <w:r>
        <w:t xml:space="preserve"> = phenylalanine</w:t>
      </w:r>
      <w:r>
        <w:rPr>
          <w:sz w:val="20"/>
        </w:rPr>
        <w:t xml:space="preserve">; </w:t>
      </w:r>
      <w:r>
        <w:t xml:space="preserve">R = randomised. </w:t>
      </w:r>
    </w:p>
    <w:p w14:paraId="21E65DA6" w14:textId="77777777" w:rsidR="004D59D4" w:rsidRDefault="00023FAF" w:rsidP="00025AAC">
      <w:pPr>
        <w:pStyle w:val="TableFigureFooter"/>
      </w:pPr>
      <w:r>
        <w:rPr>
          <w:vertAlign w:val="superscript"/>
        </w:rPr>
        <w:t>a</w:t>
      </w:r>
      <w:r>
        <w:t xml:space="preserve"> </w:t>
      </w:r>
      <w:proofErr w:type="gramStart"/>
      <w:r>
        <w:t>High</w:t>
      </w:r>
      <w:proofErr w:type="gramEnd"/>
      <w:r>
        <w:t xml:space="preserve"> risk of selection bias as only patients who achieved a ≥20% reduction in blood-</w:t>
      </w:r>
      <w:proofErr w:type="spellStart"/>
      <w:r>
        <w:t>Phe</w:t>
      </w:r>
      <w:proofErr w:type="spellEnd"/>
      <w:r>
        <w:t xml:space="preserve"> from </w:t>
      </w:r>
      <w:proofErr w:type="spellStart"/>
      <w:r>
        <w:t>pegvaliase</w:t>
      </w:r>
      <w:proofErr w:type="spellEnd"/>
      <w:r>
        <w:t>-naïve baseline were included</w:t>
      </w:r>
    </w:p>
    <w:p w14:paraId="1DA35E82" w14:textId="77777777" w:rsidR="004D59D4" w:rsidRDefault="00023FAF" w:rsidP="00025AAC">
      <w:pPr>
        <w:pStyle w:val="TableFigureFooter"/>
      </w:pPr>
      <w:r>
        <w:rPr>
          <w:vertAlign w:val="superscript"/>
        </w:rPr>
        <w:t>b</w:t>
      </w:r>
      <w:r>
        <w:t xml:space="preserve"> High risk of bias as lack of control in confounding from the open-label single arm design in the PRISM 1/PRISM 2 trials and the PKUDOS registry used to inform the comparison.</w:t>
      </w:r>
    </w:p>
    <w:p w14:paraId="1F6D535B" w14:textId="77777777" w:rsidR="004D59D4" w:rsidRDefault="00023FAF" w:rsidP="00025AAC">
      <w:pPr>
        <w:pStyle w:val="TableFigureFooter"/>
      </w:pPr>
      <w:r>
        <w:rPr>
          <w:vertAlign w:val="superscript"/>
        </w:rPr>
        <w:t>c</w:t>
      </w:r>
      <w:r>
        <w:t xml:space="preserve"> While the resubmission only used the </w:t>
      </w:r>
      <w:proofErr w:type="spellStart"/>
      <w:r>
        <w:t>pegvaliase</w:t>
      </w:r>
      <w:proofErr w:type="spellEnd"/>
      <w:r>
        <w:t xml:space="preserve"> (n = 183) and </w:t>
      </w:r>
      <w:proofErr w:type="spellStart"/>
      <w:r>
        <w:t>Phe</w:t>
      </w:r>
      <w:proofErr w:type="spellEnd"/>
      <w:r>
        <w:t xml:space="preserve">-restricted diet only (n = 67) arms, the analysis by Buton et al. (2024) also included patients who received </w:t>
      </w:r>
      <w:proofErr w:type="spellStart"/>
      <w:r>
        <w:t>sapropterin</w:t>
      </w:r>
      <w:proofErr w:type="spellEnd"/>
      <w:r>
        <w:t xml:space="preserve"> + </w:t>
      </w:r>
      <w:proofErr w:type="spellStart"/>
      <w:r>
        <w:t>Phe</w:t>
      </w:r>
      <w:proofErr w:type="spellEnd"/>
      <w:r>
        <w:t>-restricted diet (n = 82).</w:t>
      </w:r>
    </w:p>
    <w:p w14:paraId="40239164" w14:textId="77777777" w:rsidR="004D59D4" w:rsidRDefault="00023FAF" w:rsidP="00025AAC">
      <w:pPr>
        <w:pStyle w:val="TableFigureFooter"/>
        <w:spacing w:before="160"/>
      </w:pPr>
      <w:r>
        <w:rPr>
          <w:vertAlign w:val="superscript"/>
        </w:rPr>
        <w:lastRenderedPageBreak/>
        <w:t>d</w:t>
      </w:r>
      <w:r>
        <w:t xml:space="preserve"> High risk of bias as no common comparator and lower ability to adequately assess and control for confounding variables. </w:t>
      </w:r>
    </w:p>
    <w:p w14:paraId="2F8D802C" w14:textId="77777777" w:rsidR="004D59D4" w:rsidRDefault="00023FAF" w:rsidP="00025AAC">
      <w:pPr>
        <w:pStyle w:val="3-BodyText"/>
        <w:numPr>
          <w:ilvl w:val="1"/>
          <w:numId w:val="1"/>
        </w:numPr>
        <w:spacing w:before="160"/>
      </w:pPr>
      <w:r>
        <w:t xml:space="preserve">For the previous submission, all evidence was considered to have a high risk of bias (Table 3, </w:t>
      </w:r>
      <w:proofErr w:type="spellStart"/>
      <w:r>
        <w:t>pegvaliase</w:t>
      </w:r>
      <w:proofErr w:type="spellEnd"/>
      <w:r>
        <w:t xml:space="preserve"> PSD, July 2022 PBAC meeting). Burton 2024 was considered to have a high risk of bias during the evaluation, predominantly due to confounding due to the use of data from two studies/trials that had no common comparator arm, a high risk of selection bias and potential bias due to missing data for PRISM and PKUDOS.</w:t>
      </w:r>
    </w:p>
    <w:p w14:paraId="627ADF77" w14:textId="60175E73" w:rsidR="004D59D4" w:rsidRDefault="00023FAF" w:rsidP="00025AAC">
      <w:pPr>
        <w:pStyle w:val="3-BodyText"/>
        <w:numPr>
          <w:ilvl w:val="1"/>
          <w:numId w:val="1"/>
        </w:numPr>
        <w:spacing w:before="160"/>
      </w:pPr>
      <w:r>
        <w:t xml:space="preserve">As previously noted by the PBAC, PRISM 2 was a four-part clinical trial that varied in comparison groups and trial design, and enrolled patients from PRISM 1. The flow of patients through PRISM 1 and PRISM 2 is summarised in </w:t>
      </w:r>
      <w:r w:rsidRPr="00ED7268">
        <w:rPr>
          <w:rFonts w:cstheme="minorHAnsi"/>
          <w:b/>
          <w:bCs/>
          <w:szCs w:val="24"/>
        </w:rPr>
        <w:fldChar w:fldCharType="begin"/>
      </w:r>
      <w:r w:rsidRPr="00ED7268">
        <w:rPr>
          <w:rFonts w:cstheme="minorHAnsi"/>
          <w:b/>
          <w:bCs/>
          <w:szCs w:val="24"/>
        </w:rPr>
        <w:instrText xml:space="preserve"> REF _Ref103048030 \h </w:instrText>
      </w:r>
      <w:r w:rsidR="00ED7268" w:rsidRPr="00ED7268">
        <w:rPr>
          <w:rFonts w:cstheme="minorHAnsi"/>
          <w:b/>
          <w:bCs/>
          <w:szCs w:val="24"/>
        </w:rPr>
        <w:instrText xml:space="preserve"> \* MERGEFORMAT </w:instrText>
      </w:r>
      <w:r w:rsidRPr="00ED7268">
        <w:rPr>
          <w:rFonts w:cstheme="minorHAnsi"/>
          <w:b/>
          <w:bCs/>
          <w:szCs w:val="24"/>
        </w:rPr>
      </w:r>
      <w:r w:rsidRPr="00ED7268">
        <w:rPr>
          <w:rFonts w:cstheme="minorHAnsi"/>
          <w:b/>
          <w:bCs/>
          <w:szCs w:val="24"/>
        </w:rPr>
        <w:fldChar w:fldCharType="separate"/>
      </w:r>
      <w:r w:rsidR="00E24060" w:rsidRPr="00ED7268">
        <w:rPr>
          <w:rStyle w:val="CommentReference"/>
          <w:rFonts w:asciiTheme="minorHAnsi" w:hAnsiTheme="minorHAnsi" w:cstheme="minorHAnsi"/>
          <w:b w:val="0"/>
          <w:bCs/>
          <w:sz w:val="24"/>
          <w:szCs w:val="24"/>
        </w:rPr>
        <w:t xml:space="preserve">Figure </w:t>
      </w:r>
      <w:r w:rsidR="00E24060" w:rsidRPr="00ED7268">
        <w:rPr>
          <w:rStyle w:val="CommentReference"/>
          <w:rFonts w:asciiTheme="minorHAnsi" w:hAnsiTheme="minorHAnsi" w:cstheme="minorHAnsi"/>
          <w:b w:val="0"/>
          <w:bCs/>
          <w:noProof/>
          <w:sz w:val="24"/>
          <w:szCs w:val="24"/>
        </w:rPr>
        <w:t>2</w:t>
      </w:r>
      <w:r w:rsidRPr="00ED7268">
        <w:rPr>
          <w:rFonts w:cstheme="minorHAnsi"/>
          <w:b/>
          <w:bCs/>
          <w:szCs w:val="24"/>
        </w:rPr>
        <w:fldChar w:fldCharType="end"/>
      </w:r>
      <w:r>
        <w:t xml:space="preserve">. Other than PRISM 2 Part 2, all parts of the PRISM 1 and PRISM 2 trials were single arm, open-label studies and therefore associated with a high risk of bias. </w:t>
      </w:r>
    </w:p>
    <w:p w14:paraId="1EDBBD03" w14:textId="0BA33B8B" w:rsidR="004D59D4" w:rsidRDefault="00023FAF" w:rsidP="00025AAC">
      <w:pPr>
        <w:pStyle w:val="TableFigureHeading"/>
        <w:spacing w:before="160"/>
        <w:rPr>
          <w:rStyle w:val="CommentReference"/>
          <w:b/>
          <w:szCs w:val="24"/>
        </w:rPr>
      </w:pPr>
      <w:bookmarkStart w:id="45" w:name="_Ref103048030"/>
      <w:r>
        <w:rPr>
          <w:rStyle w:val="CommentReference"/>
          <w:b/>
          <w:szCs w:val="24"/>
        </w:rPr>
        <w:t xml:space="preserve">Figure </w:t>
      </w:r>
      <w:r>
        <w:rPr>
          <w:rStyle w:val="CommentReference"/>
          <w:b/>
          <w:szCs w:val="24"/>
        </w:rPr>
        <w:fldChar w:fldCharType="begin"/>
      </w:r>
      <w:r>
        <w:rPr>
          <w:rStyle w:val="CommentReference"/>
          <w:b/>
          <w:szCs w:val="24"/>
        </w:rPr>
        <w:instrText xml:space="preserve"> SEQ Figure \* ARABIC </w:instrText>
      </w:r>
      <w:r>
        <w:rPr>
          <w:rStyle w:val="CommentReference"/>
          <w:b/>
          <w:szCs w:val="24"/>
        </w:rPr>
        <w:fldChar w:fldCharType="separate"/>
      </w:r>
      <w:r w:rsidR="00E24060">
        <w:rPr>
          <w:rStyle w:val="CommentReference"/>
          <w:b/>
          <w:noProof/>
          <w:szCs w:val="24"/>
        </w:rPr>
        <w:t>2</w:t>
      </w:r>
      <w:r>
        <w:rPr>
          <w:rStyle w:val="CommentReference"/>
          <w:b/>
          <w:szCs w:val="24"/>
        </w:rPr>
        <w:fldChar w:fldCharType="end"/>
      </w:r>
      <w:bookmarkEnd w:id="45"/>
      <w:r>
        <w:rPr>
          <w:rStyle w:val="CommentReference"/>
          <w:b/>
          <w:szCs w:val="24"/>
        </w:rPr>
        <w:t>: PRISM 1 and PRISM 2 trial study designs</w:t>
      </w:r>
    </w:p>
    <w:p w14:paraId="6EEEDB54" w14:textId="77777777" w:rsidR="004D59D4" w:rsidRDefault="00023FAF" w:rsidP="00025AAC">
      <w:pPr>
        <w:pStyle w:val="TableFigureFooter"/>
      </w:pPr>
      <w:r>
        <w:rPr>
          <w:noProof/>
        </w:rPr>
        <w:drawing>
          <wp:inline distT="0" distB="0" distL="0" distR="0" wp14:anchorId="77C6AB8F" wp14:editId="263688F7">
            <wp:extent cx="5731510" cy="1943735"/>
            <wp:effectExtent l="0" t="0" r="0" b="0"/>
            <wp:docPr id="2" name="Picture 8" descr="Figure 2: PRISM 1 and PRISM 2 trial study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Figure 2: PRISM 1 and PRISM 2 trial study designs"/>
                    <pic:cNvPicPr>
                      <a:picLocks noChangeAspect="1" noChangeArrowheads="1"/>
                    </pic:cNvPicPr>
                  </pic:nvPicPr>
                  <pic:blipFill>
                    <a:blip r:embed="rId12"/>
                    <a:stretch>
                      <a:fillRect/>
                    </a:stretch>
                  </pic:blipFill>
                  <pic:spPr bwMode="auto">
                    <a:xfrm>
                      <a:off x="0" y="0"/>
                      <a:ext cx="5731510" cy="1943735"/>
                    </a:xfrm>
                    <a:prstGeom prst="rect">
                      <a:avLst/>
                    </a:prstGeom>
                    <a:noFill/>
                  </pic:spPr>
                </pic:pic>
              </a:graphicData>
            </a:graphic>
          </wp:inline>
        </w:drawing>
      </w:r>
    </w:p>
    <w:p w14:paraId="5C610B0B" w14:textId="77777777" w:rsidR="004D59D4" w:rsidRDefault="00023FAF" w:rsidP="00025AAC">
      <w:pPr>
        <w:pStyle w:val="TableFigureFooter"/>
      </w:pPr>
      <w:r>
        <w:t>Source: Figure 2.3-1 (p69) of the submission</w:t>
      </w:r>
    </w:p>
    <w:p w14:paraId="11F183A2" w14:textId="77777777" w:rsidR="004D59D4" w:rsidRDefault="00023FAF" w:rsidP="00025AAC">
      <w:pPr>
        <w:pStyle w:val="TableFigureFooter"/>
      </w:pPr>
      <w:r>
        <w:t xml:space="preserve">Note: Patients from the Phase 2 trials Study 165-205 and PAL-003 </w:t>
      </w:r>
      <w:proofErr w:type="gramStart"/>
      <w:r>
        <w:t>are able to</w:t>
      </w:r>
      <w:proofErr w:type="gramEnd"/>
      <w:r>
        <w:t xml:space="preserve"> enter PRISM 2 at Part 1 or at Part 4. </w:t>
      </w:r>
    </w:p>
    <w:p w14:paraId="7953A122" w14:textId="30794B3E" w:rsidR="004D59D4" w:rsidRPr="00F717D0" w:rsidRDefault="00023FAF" w:rsidP="00025AAC">
      <w:pPr>
        <w:pStyle w:val="TableFigureFooter"/>
        <w:spacing w:before="160"/>
        <w:jc w:val="both"/>
      </w:pPr>
      <w:r w:rsidRPr="00F717D0">
        <w:t>The evaluation and ESC previously considered that PRISM 2 Part 2 was associated with a high risk of selection bias as only patients who achieved a ≥ 20% reduction in blood-</w:t>
      </w:r>
      <w:proofErr w:type="spellStart"/>
      <w:r w:rsidRPr="00F717D0">
        <w:t>Phe</w:t>
      </w:r>
      <w:proofErr w:type="spellEnd"/>
      <w:r w:rsidRPr="00F717D0">
        <w:t xml:space="preserve"> from </w:t>
      </w:r>
      <w:proofErr w:type="spellStart"/>
      <w:r w:rsidRPr="00F717D0">
        <w:t>pegvaliase</w:t>
      </w:r>
      <w:proofErr w:type="spellEnd"/>
      <w:r w:rsidRPr="00F717D0">
        <w:t xml:space="preserve">-naïve baseline were included, favouring </w:t>
      </w:r>
      <w:proofErr w:type="spellStart"/>
      <w:r w:rsidRPr="00F717D0">
        <w:t>pegvaliase</w:t>
      </w:r>
      <w:proofErr w:type="spellEnd"/>
      <w:r w:rsidRPr="00F717D0">
        <w:t xml:space="preserve">. Further, the ESC </w:t>
      </w:r>
      <w:r w:rsidR="00F717D0">
        <w:t xml:space="preserve">previously </w:t>
      </w:r>
      <w:r w:rsidRPr="00F717D0">
        <w:t xml:space="preserve">noted that PRISM 2 Part 2 only included patients who had not discontinued </w:t>
      </w:r>
      <w:proofErr w:type="spellStart"/>
      <w:r w:rsidRPr="00F717D0">
        <w:t>pegvaliase</w:t>
      </w:r>
      <w:proofErr w:type="spellEnd"/>
      <w:r w:rsidRPr="00F717D0">
        <w:t xml:space="preserve"> in earlier studies (i.e., patients had already been taking </w:t>
      </w:r>
      <w:proofErr w:type="spellStart"/>
      <w:r w:rsidRPr="00F717D0">
        <w:t>pegvaliase</w:t>
      </w:r>
      <w:proofErr w:type="spellEnd"/>
      <w:r w:rsidRPr="00F717D0">
        <w:t xml:space="preserve"> for a considerable length of time) which was also likely to bias results in favour of </w:t>
      </w:r>
      <w:proofErr w:type="spellStart"/>
      <w:r w:rsidRPr="00F717D0">
        <w:t>pegvaliase</w:t>
      </w:r>
      <w:proofErr w:type="spellEnd"/>
      <w:r w:rsidRPr="00F717D0">
        <w:t xml:space="preserve"> (paragraph 6.20, </w:t>
      </w:r>
      <w:proofErr w:type="spellStart"/>
      <w:r w:rsidRPr="00F717D0">
        <w:t>pegvaliase</w:t>
      </w:r>
      <w:proofErr w:type="spellEnd"/>
      <w:r w:rsidRPr="00F717D0">
        <w:t xml:space="preserve"> PSD, July 2022 PBAC meeting).</w:t>
      </w:r>
    </w:p>
    <w:p w14:paraId="185999E7" w14:textId="77777777" w:rsidR="004D59D4" w:rsidRDefault="00023FAF" w:rsidP="00025AAC">
      <w:pPr>
        <w:pStyle w:val="3-BodyText"/>
        <w:numPr>
          <w:ilvl w:val="1"/>
          <w:numId w:val="1"/>
        </w:numPr>
        <w:spacing w:before="160" w:after="160"/>
      </w:pPr>
      <w:r>
        <w:t xml:space="preserve">PKUDOS was a Phase 4 voluntary observational multi-centre registry study that included PKU patients who had previously received </w:t>
      </w:r>
      <w:proofErr w:type="spellStart"/>
      <w:r>
        <w:t>sapropterin</w:t>
      </w:r>
      <w:proofErr w:type="spellEnd"/>
      <w:r>
        <w:t xml:space="preserve"> therapy, were currently receiving </w:t>
      </w:r>
      <w:proofErr w:type="spellStart"/>
      <w:r>
        <w:t>sapropterin</w:t>
      </w:r>
      <w:proofErr w:type="spellEnd"/>
      <w:r>
        <w:t xml:space="preserve"> therapy or intended to receive </w:t>
      </w:r>
      <w:proofErr w:type="spellStart"/>
      <w:r>
        <w:t>sapropterin</w:t>
      </w:r>
      <w:proofErr w:type="spellEnd"/>
      <w:r>
        <w:t xml:space="preserve"> therapy. As noted by the PBAC for the previous submission, PKUDOS included patients who had discontinued </w:t>
      </w:r>
      <w:proofErr w:type="spellStart"/>
      <w:r>
        <w:t>sapropterin</w:t>
      </w:r>
      <w:proofErr w:type="spellEnd"/>
      <w:r>
        <w:t xml:space="preserve"> for any reason and the reasons for discontinuation were not reported in the (re)submission. It was unknown if these patients were </w:t>
      </w:r>
      <w:proofErr w:type="spellStart"/>
      <w:r>
        <w:t>sapropterin</w:t>
      </w:r>
      <w:proofErr w:type="spellEnd"/>
      <w:r>
        <w:t xml:space="preserve"> responders (as defined in the requested restriction), so the applicability of these data were unclear. Previously, the ESC noted that the submission had not provided detailed information about the flow of patients through PKUDOS, but there appeared to be a high proportion of patients who were lost to follow-up over time (paragraph 6.21, </w:t>
      </w:r>
      <w:proofErr w:type="spellStart"/>
      <w:r>
        <w:t>pegvaliase</w:t>
      </w:r>
      <w:proofErr w:type="spellEnd"/>
      <w:r>
        <w:t xml:space="preserve"> PSD, July 2022 PBAC meeting).</w:t>
      </w:r>
    </w:p>
    <w:p w14:paraId="4071F2D5" w14:textId="77777777" w:rsidR="004D59D4" w:rsidRDefault="00023FAF" w:rsidP="00025AAC">
      <w:pPr>
        <w:pStyle w:val="3-BodyText"/>
        <w:numPr>
          <w:ilvl w:val="1"/>
          <w:numId w:val="1"/>
        </w:numPr>
        <w:spacing w:before="160" w:after="160"/>
      </w:pPr>
      <w:r>
        <w:t xml:space="preserve">The resubmission presented three unanchored indirect comparisons of </w:t>
      </w:r>
      <w:proofErr w:type="spellStart"/>
      <w:r>
        <w:t>pegvaliase</w:t>
      </w:r>
      <w:proofErr w:type="spellEnd"/>
      <w:r>
        <w:t xml:space="preserve"> versus a </w:t>
      </w:r>
      <w:proofErr w:type="spellStart"/>
      <w:r>
        <w:t>Phe</w:t>
      </w:r>
      <w:proofErr w:type="spellEnd"/>
      <w:r>
        <w:t>-restricted diet alone using various cohorts of the PRISM and PKUDOS studies, and different statistical methodology:</w:t>
      </w:r>
    </w:p>
    <w:p w14:paraId="6E7DACE5" w14:textId="77777777" w:rsidR="004D59D4" w:rsidRDefault="00023FAF" w:rsidP="00025AAC">
      <w:pPr>
        <w:pStyle w:val="ListParagraph"/>
        <w:spacing w:before="160" w:after="160"/>
        <w:ind w:left="1134"/>
        <w:jc w:val="both"/>
      </w:pPr>
      <w:r>
        <w:lastRenderedPageBreak/>
        <w:t xml:space="preserve">Zori 2019 reported an indirect matched analysis that selected patients for the </w:t>
      </w:r>
      <w:proofErr w:type="spellStart"/>
      <w:r>
        <w:t>pegvaliase</w:t>
      </w:r>
      <w:proofErr w:type="spellEnd"/>
      <w:r>
        <w:t xml:space="preserve"> arm (n = 125) from either the Phase 2 165-205 study (24-week, single-arm, open-label dose-optimisation study that allowed </w:t>
      </w:r>
      <w:proofErr w:type="spellStart"/>
      <w:r>
        <w:t>pegvaliase</w:t>
      </w:r>
      <w:proofErr w:type="spellEnd"/>
      <w:r>
        <w:t xml:space="preserve"> doses of between 2.5mg per week up to 375 mg five times per week; enrolled patients were eligible to enrol in PRISM 2) or the PRISM trials (</w:t>
      </w:r>
      <w:proofErr w:type="spellStart"/>
      <w:r>
        <w:t>pegvaliase</w:t>
      </w:r>
      <w:proofErr w:type="spellEnd"/>
      <w:r>
        <w:t xml:space="preserve"> dose 5 to 60 mg/day). To be included in the </w:t>
      </w:r>
      <w:proofErr w:type="spellStart"/>
      <w:r>
        <w:t>Phe</w:t>
      </w:r>
      <w:proofErr w:type="spellEnd"/>
      <w:r>
        <w:t xml:space="preserve">-restricted diet alone group from PKUDOS, patients must have previously received </w:t>
      </w:r>
      <w:proofErr w:type="spellStart"/>
      <w:r>
        <w:t>sapropterin</w:t>
      </w:r>
      <w:proofErr w:type="spellEnd"/>
      <w:r>
        <w:t xml:space="preserve"> (n = 64). This study also included a </w:t>
      </w:r>
      <w:proofErr w:type="spellStart"/>
      <w:r>
        <w:t>sapropterin</w:t>
      </w:r>
      <w:proofErr w:type="spellEnd"/>
      <w:r>
        <w:t xml:space="preserve"> plus diet arm based on patients from PKUDOS. Propensity scores were estimated using logistic regression with probability of treatment as outcome (i.e. </w:t>
      </w:r>
      <w:proofErr w:type="spellStart"/>
      <w:r>
        <w:t>pegvaliase</w:t>
      </w:r>
      <w:proofErr w:type="spellEnd"/>
      <w:r>
        <w:t>, “</w:t>
      </w:r>
      <w:proofErr w:type="spellStart"/>
      <w:r>
        <w:t>sapropterin</w:t>
      </w:r>
      <w:proofErr w:type="spellEnd"/>
      <w:r>
        <w:t xml:space="preserve"> + diet”, or “diet alone”) and patient demographic and disease severity covariates (baseline age, gender, baseline blood </w:t>
      </w:r>
      <w:proofErr w:type="spellStart"/>
      <w:r>
        <w:t>Phe</w:t>
      </w:r>
      <w:proofErr w:type="spellEnd"/>
      <w:r>
        <w:t xml:space="preserve"> concentration and baseline dietary </w:t>
      </w:r>
      <w:proofErr w:type="spellStart"/>
      <w:r>
        <w:t>Phe</w:t>
      </w:r>
      <w:proofErr w:type="spellEnd"/>
      <w:r>
        <w:t>) as predictors</w:t>
      </w:r>
      <w:bookmarkStart w:id="46" w:name="_Toc22897641"/>
      <w:r>
        <w:t>.</w:t>
      </w:r>
    </w:p>
    <w:p w14:paraId="665EAD06" w14:textId="77777777" w:rsidR="004D59D4" w:rsidRDefault="00023FAF" w:rsidP="00025AAC">
      <w:pPr>
        <w:pStyle w:val="ListParagraph"/>
        <w:spacing w:before="160" w:after="160"/>
        <w:ind w:left="1134"/>
        <w:jc w:val="both"/>
      </w:pPr>
      <w:r>
        <w:t xml:space="preserve">An indirect comparison was conducted to inform the July 2022 </w:t>
      </w:r>
      <w:proofErr w:type="spellStart"/>
      <w:r>
        <w:t>pegvaliase</w:t>
      </w:r>
      <w:proofErr w:type="spellEnd"/>
      <w:r>
        <w:t xml:space="preserve"> submission that investigated the proportion of patients who achieved blood-</w:t>
      </w:r>
      <w:proofErr w:type="spellStart"/>
      <w:r>
        <w:t>Phe</w:t>
      </w:r>
      <w:proofErr w:type="spellEnd"/>
      <w:r>
        <w:t xml:space="preserve"> ≤ 360 µmol/L, ≤ 600 </w:t>
      </w:r>
      <w:bookmarkStart w:id="47" w:name="_Hlk216668179"/>
      <w:r>
        <w:t>µmol</w:t>
      </w:r>
      <w:bookmarkEnd w:id="47"/>
      <w:r>
        <w:t xml:space="preserve">/L and reduction of ≥ 30% from baseline. The </w:t>
      </w:r>
      <w:proofErr w:type="spellStart"/>
      <w:r>
        <w:t>pegvaliase</w:t>
      </w:r>
      <w:proofErr w:type="spellEnd"/>
      <w:r>
        <w:t xml:space="preserve"> arm included patients from PRISM 1 (n = 261) and the </w:t>
      </w:r>
      <w:proofErr w:type="spellStart"/>
      <w:r>
        <w:t>Phe</w:t>
      </w:r>
      <w:proofErr w:type="spellEnd"/>
      <w:r>
        <w:t xml:space="preserve">-restricted diet population included patients from PKUDOS (n = 50) aged ≥ 18 years-old who were previously treated with </w:t>
      </w:r>
      <w:proofErr w:type="spellStart"/>
      <w:r>
        <w:t>sapropterin</w:t>
      </w:r>
      <w:proofErr w:type="spellEnd"/>
      <w:r>
        <w:t xml:space="preserve"> and had a post-</w:t>
      </w:r>
      <w:proofErr w:type="spellStart"/>
      <w:r>
        <w:t>sapropterin</w:t>
      </w:r>
      <w:proofErr w:type="spellEnd"/>
      <w:r>
        <w:t xml:space="preserve"> blood-</w:t>
      </w:r>
      <w:proofErr w:type="spellStart"/>
      <w:r>
        <w:t>Phe</w:t>
      </w:r>
      <w:proofErr w:type="spellEnd"/>
      <w:r>
        <w:t xml:space="preserve"> (defined as between 28 to 90 days post-</w:t>
      </w:r>
      <w:proofErr w:type="spellStart"/>
      <w:r>
        <w:t>sapropterin</w:t>
      </w:r>
      <w:proofErr w:type="spellEnd"/>
      <w:r>
        <w:t xml:space="preserve">) of &gt; 600 µmol/L. </w:t>
      </w:r>
      <w:bookmarkEnd w:id="46"/>
    </w:p>
    <w:p w14:paraId="5920A54E" w14:textId="77777777" w:rsidR="004D59D4" w:rsidRDefault="00023FAF" w:rsidP="00025AAC">
      <w:pPr>
        <w:pStyle w:val="ListParagraph"/>
        <w:spacing w:before="160" w:after="160"/>
        <w:ind w:left="1134"/>
        <w:jc w:val="both"/>
      </w:pPr>
      <w:r>
        <w:t xml:space="preserve">Burton 2024 was a quantile regression analysis that modelled median blood </w:t>
      </w:r>
      <w:proofErr w:type="spellStart"/>
      <w:r>
        <w:t>Phe</w:t>
      </w:r>
      <w:proofErr w:type="spellEnd"/>
      <w:r>
        <w:t xml:space="preserve"> response, adjusting for age, sex, and baseline blood </w:t>
      </w:r>
      <w:proofErr w:type="spellStart"/>
      <w:r>
        <w:t>Phe</w:t>
      </w:r>
      <w:proofErr w:type="spellEnd"/>
      <w:r>
        <w:t xml:space="preserve"> level at each time point. The study included patients aged ≥ 16 years with PKU who had baseline blood </w:t>
      </w:r>
      <w:proofErr w:type="spellStart"/>
      <w:r>
        <w:t>Phe</w:t>
      </w:r>
      <w:proofErr w:type="spellEnd"/>
      <w:r>
        <w:t xml:space="preserve"> concentrations &gt; 600 </w:t>
      </w:r>
      <w:proofErr w:type="spellStart"/>
      <w:r>
        <w:t>μmol</w:t>
      </w:r>
      <w:proofErr w:type="spellEnd"/>
      <w:r>
        <w:t xml:space="preserve">/L (PRISM; n= 183) or were not being treated with </w:t>
      </w:r>
      <w:proofErr w:type="spellStart"/>
      <w:r>
        <w:t>sapropterin</w:t>
      </w:r>
      <w:proofErr w:type="spellEnd"/>
      <w:r>
        <w:t xml:space="preserve"> and had blood </w:t>
      </w:r>
      <w:proofErr w:type="spellStart"/>
      <w:r>
        <w:t>Phe</w:t>
      </w:r>
      <w:proofErr w:type="spellEnd"/>
      <w:r>
        <w:t xml:space="preserve"> measurements available at baseline and at any of the 12- , 18-, 24-, and 36-month time points (PKUDOS; n = 82). This study also included a </w:t>
      </w:r>
      <w:proofErr w:type="spellStart"/>
      <w:r>
        <w:t>sapropterin</w:t>
      </w:r>
      <w:proofErr w:type="spellEnd"/>
      <w:r>
        <w:t xml:space="preserve"> plus diet arm. As noted for the studies previously evaluated by the PBAC, a key underlying issue for Burton 2024 is that it did not include a common comparator arm.</w:t>
      </w:r>
    </w:p>
    <w:p w14:paraId="54729147" w14:textId="77777777" w:rsidR="004D59D4" w:rsidRDefault="00023FAF" w:rsidP="00025AAC">
      <w:pPr>
        <w:pStyle w:val="4-SubsectionHeading"/>
        <w:spacing w:before="160" w:after="160"/>
      </w:pPr>
      <w:bookmarkStart w:id="48" w:name="_Toc219799685"/>
      <w:bookmarkStart w:id="49" w:name="_Toc103769998"/>
      <w:r>
        <w:t>Comparative effectiveness</w:t>
      </w:r>
      <w:bookmarkEnd w:id="48"/>
      <w:bookmarkEnd w:id="49"/>
    </w:p>
    <w:p w14:paraId="4A3C38DE" w14:textId="77777777" w:rsidR="004D59D4" w:rsidRDefault="00023FAF" w:rsidP="00025AAC">
      <w:pPr>
        <w:spacing w:before="160" w:after="160"/>
        <w:rPr>
          <w:rFonts w:asciiTheme="minorHAnsi" w:hAnsiTheme="minorHAnsi" w:cstheme="minorHAnsi"/>
          <w:b/>
          <w:bCs/>
        </w:rPr>
      </w:pPr>
      <w:r>
        <w:rPr>
          <w:rFonts w:cstheme="minorHAnsi"/>
          <w:b/>
          <w:bCs/>
        </w:rPr>
        <w:t>PRISM 1, PRISM 2 and PKUDOS</w:t>
      </w:r>
    </w:p>
    <w:p w14:paraId="035E81F5" w14:textId="5168DB48" w:rsidR="004D59D4" w:rsidRDefault="00023FAF" w:rsidP="00025AAC">
      <w:pPr>
        <w:pStyle w:val="3-BodyText"/>
        <w:numPr>
          <w:ilvl w:val="1"/>
          <w:numId w:val="1"/>
        </w:numPr>
        <w:spacing w:before="160" w:after="160"/>
      </w:pPr>
      <w:bookmarkStart w:id="50" w:name="_Ref216722586"/>
      <w:r>
        <w:t xml:space="preserve">The results for PRISM 1, PRISM 2 and PKUDOS presented in the resubmission were identical to the results presented in the previous submission. While the resubmission requested listing for an additional patient population (those who have a daily protein tolerance &lt; 15 g per day), the resubmission acknowledged there </w:t>
      </w:r>
      <w:r w:rsidR="00245B33">
        <w:t>wa</w:t>
      </w:r>
      <w:r>
        <w:t>s no specific clinical evidence for the additional cohort.</w:t>
      </w:r>
      <w:bookmarkEnd w:id="50"/>
    </w:p>
    <w:p w14:paraId="5BAC374B" w14:textId="5C4D6FFB" w:rsidR="004D59D4" w:rsidRDefault="00023FAF" w:rsidP="00025AAC">
      <w:pPr>
        <w:pStyle w:val="3-BodyText"/>
        <w:numPr>
          <w:ilvl w:val="1"/>
          <w:numId w:val="1"/>
        </w:numPr>
        <w:spacing w:before="160"/>
      </w:pPr>
      <w:r>
        <w:t>The results for change in blood-</w:t>
      </w:r>
      <w:proofErr w:type="spellStart"/>
      <w:r>
        <w:t>Phe</w:t>
      </w:r>
      <w:proofErr w:type="spellEnd"/>
      <w:r>
        <w:t xml:space="preserve"> over time for the randomised, double-blind, placebo-controlled segment of PRISM 2 (Part 2) are presented in </w:t>
      </w:r>
      <w:r>
        <w:fldChar w:fldCharType="begin"/>
      </w:r>
      <w:r>
        <w:instrText xml:space="preserve"> REF _Ref103047555 \h </w:instrText>
      </w:r>
      <w:r>
        <w:fldChar w:fldCharType="separate"/>
      </w:r>
      <w:r w:rsidR="00E24060">
        <w:t xml:space="preserve">Table </w:t>
      </w:r>
      <w:r w:rsidR="00E24060">
        <w:rPr>
          <w:noProof/>
        </w:rPr>
        <w:t>5</w:t>
      </w:r>
      <w:r>
        <w:fldChar w:fldCharType="end"/>
      </w:r>
      <w:r>
        <w:t xml:space="preserve">. </w:t>
      </w:r>
    </w:p>
    <w:p w14:paraId="78D22749" w14:textId="20038343" w:rsidR="004D59D4" w:rsidRDefault="00023FAF" w:rsidP="00025AAC">
      <w:pPr>
        <w:pStyle w:val="TableFigureHeading"/>
        <w:spacing w:before="160"/>
      </w:pPr>
      <w:bookmarkStart w:id="51" w:name="_Ref103047555"/>
      <w:bookmarkStart w:id="52" w:name="_Hlk215318192"/>
      <w:r>
        <w:lastRenderedPageBreak/>
        <w:t xml:space="preserve">Table </w:t>
      </w:r>
      <w:fldSimple w:instr=" SEQ Table \* ARABIC ">
        <w:r w:rsidR="00E24060">
          <w:rPr>
            <w:noProof/>
          </w:rPr>
          <w:t>5</w:t>
        </w:r>
      </w:fldSimple>
      <w:bookmarkEnd w:id="51"/>
      <w:r>
        <w:t>: Results of change in blood-</w:t>
      </w:r>
      <w:proofErr w:type="spellStart"/>
      <w:r>
        <w:t>Phe</w:t>
      </w:r>
      <w:proofErr w:type="spellEnd"/>
      <w:r>
        <w:t xml:space="preserve"> over time in PRISM 2 Part 2</w:t>
      </w:r>
    </w:p>
    <w:tbl>
      <w:tblPr>
        <w:tblStyle w:val="TableGrid"/>
        <w:tblW w:w="5000" w:type="pct"/>
        <w:tblLayout w:type="fixed"/>
        <w:tblLook w:val="04A0" w:firstRow="1" w:lastRow="0" w:firstColumn="1" w:lastColumn="0" w:noHBand="0" w:noVBand="1"/>
        <w:tblCaption w:val="Table 5: Results of change in blood-Phe over time in PRISM 2 Part 2"/>
      </w:tblPr>
      <w:tblGrid>
        <w:gridCol w:w="3254"/>
        <w:gridCol w:w="1525"/>
        <w:gridCol w:w="2231"/>
        <w:gridCol w:w="2006"/>
      </w:tblGrid>
      <w:tr w:rsidR="004D59D4" w14:paraId="6A6B2218" w14:textId="77777777">
        <w:tc>
          <w:tcPr>
            <w:tcW w:w="3258" w:type="dxa"/>
            <w:tcBorders>
              <w:bottom w:val="nil"/>
            </w:tcBorders>
            <w:shd w:val="clear" w:color="auto" w:fill="B8CCE4" w:themeFill="accent1" w:themeFillTint="66"/>
            <w:vAlign w:val="center"/>
          </w:tcPr>
          <w:p w14:paraId="313A2311" w14:textId="77777777" w:rsidR="004D59D4" w:rsidRDefault="00023FAF" w:rsidP="00025AAC">
            <w:pPr>
              <w:pStyle w:val="TableFigureHeading"/>
            </w:pPr>
            <w:r>
              <w:t>Outcome</w:t>
            </w:r>
          </w:p>
        </w:tc>
        <w:tc>
          <w:tcPr>
            <w:tcW w:w="1527" w:type="dxa"/>
            <w:tcBorders>
              <w:bottom w:val="nil"/>
            </w:tcBorders>
            <w:shd w:val="clear" w:color="auto" w:fill="B8CCE4" w:themeFill="accent1" w:themeFillTint="66"/>
            <w:vAlign w:val="center"/>
          </w:tcPr>
          <w:p w14:paraId="1E600D48" w14:textId="77777777" w:rsidR="004D59D4" w:rsidRDefault="00023FAF" w:rsidP="00025AAC">
            <w:pPr>
              <w:pStyle w:val="TableFigureHeading"/>
              <w:jc w:val="center"/>
            </w:pPr>
            <w:r>
              <w:t xml:space="preserve">Pooled </w:t>
            </w:r>
            <w:proofErr w:type="spellStart"/>
            <w:r>
              <w:t>pegvaliase</w:t>
            </w:r>
            <w:proofErr w:type="spellEnd"/>
          </w:p>
        </w:tc>
        <w:tc>
          <w:tcPr>
            <w:tcW w:w="2233" w:type="dxa"/>
            <w:tcBorders>
              <w:bottom w:val="nil"/>
            </w:tcBorders>
            <w:shd w:val="clear" w:color="auto" w:fill="B8CCE4" w:themeFill="accent1" w:themeFillTint="66"/>
            <w:vAlign w:val="center"/>
          </w:tcPr>
          <w:p w14:paraId="65EA4F48" w14:textId="77777777" w:rsidR="004D59D4" w:rsidRDefault="00023FAF" w:rsidP="00025AAC">
            <w:pPr>
              <w:pStyle w:val="TableFigureHeading"/>
              <w:jc w:val="center"/>
            </w:pPr>
            <w:r>
              <w:t xml:space="preserve">Placebo (20 mg/day </w:t>
            </w:r>
            <w:proofErr w:type="spellStart"/>
            <w:r>
              <w:t>pegvaliase</w:t>
            </w:r>
            <w:proofErr w:type="spellEnd"/>
            <w:r>
              <w:t xml:space="preserve"> previously in Part 1) </w:t>
            </w:r>
            <w:r>
              <w:rPr>
                <w:vertAlign w:val="superscript"/>
              </w:rPr>
              <w:t>a</w:t>
            </w:r>
          </w:p>
        </w:tc>
        <w:tc>
          <w:tcPr>
            <w:tcW w:w="2008" w:type="dxa"/>
            <w:tcBorders>
              <w:bottom w:val="nil"/>
            </w:tcBorders>
            <w:shd w:val="clear" w:color="auto" w:fill="B8CCE4" w:themeFill="accent1" w:themeFillTint="66"/>
            <w:vAlign w:val="center"/>
          </w:tcPr>
          <w:p w14:paraId="68F06BF9" w14:textId="77777777" w:rsidR="004D59D4" w:rsidRDefault="00023FAF" w:rsidP="00025AAC">
            <w:pPr>
              <w:pStyle w:val="TableFigureHeading"/>
              <w:jc w:val="center"/>
            </w:pPr>
            <w:r>
              <w:t xml:space="preserve">Placebo (40 mg/day </w:t>
            </w:r>
            <w:proofErr w:type="spellStart"/>
            <w:r>
              <w:t>pegvaliase</w:t>
            </w:r>
            <w:proofErr w:type="spellEnd"/>
            <w:r>
              <w:t xml:space="preserve"> previously in Part 1) </w:t>
            </w:r>
            <w:r>
              <w:rPr>
                <w:vertAlign w:val="superscript"/>
              </w:rPr>
              <w:t>a</w:t>
            </w:r>
          </w:p>
        </w:tc>
      </w:tr>
      <w:tr w:rsidR="004D59D4" w14:paraId="3727E266" w14:textId="77777777">
        <w:tc>
          <w:tcPr>
            <w:tcW w:w="3258" w:type="dxa"/>
            <w:tcBorders>
              <w:top w:val="nil"/>
            </w:tcBorders>
            <w:shd w:val="clear" w:color="auto" w:fill="B8CCE4" w:themeFill="accent1" w:themeFillTint="66"/>
            <w:vAlign w:val="center"/>
          </w:tcPr>
          <w:p w14:paraId="2B07EF7A" w14:textId="77777777" w:rsidR="004D59D4" w:rsidRDefault="004D59D4" w:rsidP="00025AAC">
            <w:pPr>
              <w:pStyle w:val="TableText1"/>
            </w:pPr>
          </w:p>
        </w:tc>
        <w:tc>
          <w:tcPr>
            <w:tcW w:w="1527" w:type="dxa"/>
            <w:tcBorders>
              <w:top w:val="nil"/>
            </w:tcBorders>
            <w:shd w:val="clear" w:color="auto" w:fill="B8CCE4" w:themeFill="accent1" w:themeFillTint="66"/>
            <w:vAlign w:val="center"/>
          </w:tcPr>
          <w:p w14:paraId="6A7ADF5A" w14:textId="77777777" w:rsidR="004D59D4" w:rsidRDefault="00023FAF" w:rsidP="00025AAC">
            <w:pPr>
              <w:pStyle w:val="TableText1"/>
              <w:jc w:val="center"/>
            </w:pPr>
            <w:r>
              <w:t>N = 58</w:t>
            </w:r>
          </w:p>
        </w:tc>
        <w:tc>
          <w:tcPr>
            <w:tcW w:w="2233" w:type="dxa"/>
            <w:tcBorders>
              <w:top w:val="nil"/>
            </w:tcBorders>
            <w:shd w:val="clear" w:color="auto" w:fill="B8CCE4" w:themeFill="accent1" w:themeFillTint="66"/>
            <w:vAlign w:val="center"/>
          </w:tcPr>
          <w:p w14:paraId="06D77D34" w14:textId="77777777" w:rsidR="004D59D4" w:rsidRDefault="00023FAF" w:rsidP="00025AAC">
            <w:pPr>
              <w:pStyle w:val="TableText1"/>
              <w:jc w:val="center"/>
            </w:pPr>
            <w:r>
              <w:t>N = 14</w:t>
            </w:r>
          </w:p>
        </w:tc>
        <w:tc>
          <w:tcPr>
            <w:tcW w:w="2008" w:type="dxa"/>
            <w:tcBorders>
              <w:top w:val="nil"/>
            </w:tcBorders>
            <w:shd w:val="clear" w:color="auto" w:fill="B8CCE4" w:themeFill="accent1" w:themeFillTint="66"/>
            <w:vAlign w:val="center"/>
          </w:tcPr>
          <w:p w14:paraId="13EAF0E3" w14:textId="77777777" w:rsidR="004D59D4" w:rsidRDefault="00023FAF" w:rsidP="00025AAC">
            <w:pPr>
              <w:pStyle w:val="TableText1"/>
              <w:jc w:val="center"/>
            </w:pPr>
            <w:r>
              <w:t>N = 14</w:t>
            </w:r>
          </w:p>
        </w:tc>
      </w:tr>
      <w:tr w:rsidR="004D59D4" w14:paraId="7BDAFA2F" w14:textId="77777777">
        <w:tc>
          <w:tcPr>
            <w:tcW w:w="9026" w:type="dxa"/>
            <w:gridSpan w:val="4"/>
            <w:shd w:val="clear" w:color="auto" w:fill="B8CCE4" w:themeFill="accent1" w:themeFillTint="66"/>
            <w:vAlign w:val="center"/>
          </w:tcPr>
          <w:p w14:paraId="102523CC" w14:textId="77777777" w:rsidR="004D59D4" w:rsidRDefault="00023FAF" w:rsidP="00025AAC">
            <w:pPr>
              <w:pStyle w:val="TableText1"/>
            </w:pPr>
            <w:r>
              <w:rPr>
                <w:b/>
                <w:bCs w:val="0"/>
              </w:rPr>
              <w:t>Responder (blood-</w:t>
            </w:r>
            <w:proofErr w:type="spellStart"/>
            <w:r>
              <w:rPr>
                <w:b/>
                <w:bCs w:val="0"/>
              </w:rPr>
              <w:t>Phe</w:t>
            </w:r>
            <w:proofErr w:type="spellEnd"/>
            <w:r>
              <w:rPr>
                <w:b/>
                <w:bCs w:val="0"/>
              </w:rPr>
              <w:t xml:space="preserve"> ≤ 360µmol/L)</w:t>
            </w:r>
            <w:r>
              <w:rPr>
                <w:vertAlign w:val="superscript"/>
              </w:rPr>
              <w:t xml:space="preserve"> b</w:t>
            </w:r>
          </w:p>
        </w:tc>
      </w:tr>
      <w:tr w:rsidR="004D59D4" w14:paraId="0FC196DE" w14:textId="77777777">
        <w:tc>
          <w:tcPr>
            <w:tcW w:w="3258" w:type="dxa"/>
            <w:shd w:val="clear" w:color="auto" w:fill="B8CCE4" w:themeFill="accent1" w:themeFillTint="66"/>
          </w:tcPr>
          <w:p w14:paraId="1ABCDC4E" w14:textId="77777777" w:rsidR="004D59D4" w:rsidRDefault="00023FAF" w:rsidP="00025AAC">
            <w:pPr>
              <w:pStyle w:val="TableText1"/>
            </w:pPr>
            <w:r>
              <w:t>n/N (%)</w:t>
            </w:r>
          </w:p>
        </w:tc>
        <w:tc>
          <w:tcPr>
            <w:tcW w:w="1527" w:type="dxa"/>
            <w:shd w:val="clear" w:color="auto" w:fill="B8CCE4" w:themeFill="accent1" w:themeFillTint="66"/>
          </w:tcPr>
          <w:p w14:paraId="5A5C6025" w14:textId="77777777" w:rsidR="004D59D4" w:rsidRDefault="00023FAF" w:rsidP="00025AAC">
            <w:pPr>
              <w:pStyle w:val="TableText1"/>
              <w:jc w:val="center"/>
            </w:pPr>
            <w:r>
              <w:t>25/49 (51)</w:t>
            </w:r>
          </w:p>
        </w:tc>
        <w:tc>
          <w:tcPr>
            <w:tcW w:w="2233" w:type="dxa"/>
            <w:shd w:val="clear" w:color="auto" w:fill="B8CCE4" w:themeFill="accent1" w:themeFillTint="66"/>
          </w:tcPr>
          <w:p w14:paraId="24E1540B" w14:textId="77777777" w:rsidR="004D59D4" w:rsidRDefault="00023FAF" w:rsidP="00025AAC">
            <w:pPr>
              <w:pStyle w:val="TableText1"/>
              <w:jc w:val="center"/>
            </w:pPr>
            <w:r>
              <w:t>0/13 (0)</w:t>
            </w:r>
          </w:p>
        </w:tc>
        <w:tc>
          <w:tcPr>
            <w:tcW w:w="2008" w:type="dxa"/>
            <w:shd w:val="clear" w:color="auto" w:fill="B8CCE4" w:themeFill="accent1" w:themeFillTint="66"/>
          </w:tcPr>
          <w:p w14:paraId="7361F359" w14:textId="77777777" w:rsidR="004D59D4" w:rsidRDefault="00023FAF" w:rsidP="00025AAC">
            <w:pPr>
              <w:pStyle w:val="TableText1"/>
              <w:jc w:val="center"/>
            </w:pPr>
            <w:r>
              <w:t>0/10 (0)</w:t>
            </w:r>
          </w:p>
        </w:tc>
      </w:tr>
      <w:tr w:rsidR="004D59D4" w14:paraId="05E3922D" w14:textId="77777777">
        <w:tc>
          <w:tcPr>
            <w:tcW w:w="9026" w:type="dxa"/>
            <w:gridSpan w:val="4"/>
            <w:shd w:val="clear" w:color="auto" w:fill="B8CCE4" w:themeFill="accent1" w:themeFillTint="66"/>
            <w:vAlign w:val="center"/>
          </w:tcPr>
          <w:p w14:paraId="10C58DF4" w14:textId="77777777" w:rsidR="004D59D4" w:rsidRDefault="00023FAF" w:rsidP="00025AAC">
            <w:pPr>
              <w:pStyle w:val="TableText1"/>
              <w:rPr>
                <w:b/>
                <w:bCs w:val="0"/>
              </w:rPr>
            </w:pPr>
            <w:proofErr w:type="spellStart"/>
            <w:r>
              <w:rPr>
                <w:b/>
                <w:bCs w:val="0"/>
              </w:rPr>
              <w:t>Phe</w:t>
            </w:r>
            <w:proofErr w:type="spellEnd"/>
            <w:r>
              <w:rPr>
                <w:b/>
                <w:bCs w:val="0"/>
              </w:rPr>
              <w:t xml:space="preserve"> levels (µmol/L), Mean (SD)</w:t>
            </w:r>
          </w:p>
        </w:tc>
      </w:tr>
      <w:tr w:rsidR="004D59D4" w14:paraId="017C427E" w14:textId="77777777">
        <w:tc>
          <w:tcPr>
            <w:tcW w:w="3258" w:type="dxa"/>
            <w:shd w:val="clear" w:color="auto" w:fill="B8CCE4" w:themeFill="accent1" w:themeFillTint="66"/>
            <w:vAlign w:val="center"/>
          </w:tcPr>
          <w:p w14:paraId="066B753C" w14:textId="77777777" w:rsidR="004D59D4" w:rsidRDefault="00023FAF" w:rsidP="00025AAC">
            <w:pPr>
              <w:pStyle w:val="TableText1"/>
            </w:pPr>
            <w:proofErr w:type="spellStart"/>
            <w:r>
              <w:t>Baseline</w:t>
            </w:r>
            <w:r>
              <w:rPr>
                <w:vertAlign w:val="superscript"/>
              </w:rPr>
              <w:t>c</w:t>
            </w:r>
            <w:proofErr w:type="spellEnd"/>
          </w:p>
        </w:tc>
        <w:tc>
          <w:tcPr>
            <w:tcW w:w="1527" w:type="dxa"/>
            <w:shd w:val="clear" w:color="auto" w:fill="B8CCE4" w:themeFill="accent1" w:themeFillTint="66"/>
            <w:vAlign w:val="center"/>
          </w:tcPr>
          <w:p w14:paraId="637D2AB4" w14:textId="77777777" w:rsidR="004D59D4" w:rsidRDefault="00023FAF" w:rsidP="00025AAC">
            <w:pPr>
              <w:pStyle w:val="TableText1"/>
              <w:jc w:val="center"/>
            </w:pPr>
            <w:r>
              <w:t>503.9 (520.28)</w:t>
            </w:r>
          </w:p>
        </w:tc>
        <w:tc>
          <w:tcPr>
            <w:tcW w:w="2233" w:type="dxa"/>
            <w:shd w:val="clear" w:color="auto" w:fill="B8CCE4" w:themeFill="accent1" w:themeFillTint="66"/>
            <w:vAlign w:val="center"/>
          </w:tcPr>
          <w:p w14:paraId="53DC262A" w14:textId="77777777" w:rsidR="004D59D4" w:rsidRDefault="00023FAF" w:rsidP="00025AAC">
            <w:pPr>
              <w:pStyle w:val="TableText1"/>
              <w:jc w:val="center"/>
            </w:pPr>
            <w:r>
              <w:t>563.9 (504.62)</w:t>
            </w:r>
          </w:p>
        </w:tc>
        <w:tc>
          <w:tcPr>
            <w:tcW w:w="2008" w:type="dxa"/>
            <w:shd w:val="clear" w:color="auto" w:fill="B8CCE4" w:themeFill="accent1" w:themeFillTint="66"/>
            <w:vAlign w:val="center"/>
          </w:tcPr>
          <w:p w14:paraId="3FB0ECE1" w14:textId="77777777" w:rsidR="004D59D4" w:rsidRDefault="00023FAF" w:rsidP="00025AAC">
            <w:pPr>
              <w:pStyle w:val="TableText1"/>
              <w:jc w:val="center"/>
            </w:pPr>
            <w:r>
              <w:t>508.2 (363.68)</w:t>
            </w:r>
          </w:p>
        </w:tc>
      </w:tr>
      <w:tr w:rsidR="004D59D4" w14:paraId="191BB719" w14:textId="77777777">
        <w:tc>
          <w:tcPr>
            <w:tcW w:w="3258" w:type="dxa"/>
            <w:shd w:val="clear" w:color="auto" w:fill="B8CCE4" w:themeFill="accent1" w:themeFillTint="66"/>
            <w:vAlign w:val="center"/>
          </w:tcPr>
          <w:p w14:paraId="170F8B95" w14:textId="77777777" w:rsidR="004D59D4" w:rsidRDefault="00023FAF" w:rsidP="00025AAC">
            <w:pPr>
              <w:pStyle w:val="TableText1"/>
            </w:pPr>
            <w:r>
              <w:t>Week 8</w:t>
            </w:r>
          </w:p>
        </w:tc>
        <w:tc>
          <w:tcPr>
            <w:tcW w:w="1527" w:type="dxa"/>
            <w:shd w:val="clear" w:color="auto" w:fill="B8CCE4" w:themeFill="accent1" w:themeFillTint="66"/>
            <w:vAlign w:val="center"/>
          </w:tcPr>
          <w:p w14:paraId="4A6A8242" w14:textId="77777777" w:rsidR="004D59D4" w:rsidRDefault="00023FAF" w:rsidP="00025AAC">
            <w:pPr>
              <w:pStyle w:val="TableText1"/>
              <w:jc w:val="center"/>
            </w:pPr>
            <w:r>
              <w:t>559.2 (569.47)</w:t>
            </w:r>
          </w:p>
        </w:tc>
        <w:tc>
          <w:tcPr>
            <w:tcW w:w="2233" w:type="dxa"/>
            <w:shd w:val="clear" w:color="auto" w:fill="B8CCE4" w:themeFill="accent1" w:themeFillTint="66"/>
            <w:vAlign w:val="center"/>
          </w:tcPr>
          <w:p w14:paraId="73140CFB" w14:textId="77777777" w:rsidR="004D59D4" w:rsidRDefault="00023FAF" w:rsidP="00025AAC">
            <w:pPr>
              <w:pStyle w:val="TableText1"/>
              <w:jc w:val="center"/>
            </w:pPr>
            <w:r>
              <w:t>1509.0 (372.64)</w:t>
            </w:r>
          </w:p>
        </w:tc>
        <w:tc>
          <w:tcPr>
            <w:tcW w:w="2008" w:type="dxa"/>
            <w:shd w:val="clear" w:color="auto" w:fill="B8CCE4" w:themeFill="accent1" w:themeFillTint="66"/>
            <w:vAlign w:val="center"/>
          </w:tcPr>
          <w:p w14:paraId="6342EA19" w14:textId="77777777" w:rsidR="004D59D4" w:rsidRDefault="00023FAF" w:rsidP="00025AAC">
            <w:pPr>
              <w:pStyle w:val="TableText1"/>
              <w:jc w:val="center"/>
            </w:pPr>
            <w:r>
              <w:t>1164.4 (343.32)</w:t>
            </w:r>
          </w:p>
        </w:tc>
      </w:tr>
      <w:tr w:rsidR="004D59D4" w14:paraId="7049F662" w14:textId="77777777">
        <w:trPr>
          <w:trHeight w:val="104"/>
        </w:trPr>
        <w:tc>
          <w:tcPr>
            <w:tcW w:w="3258" w:type="dxa"/>
            <w:shd w:val="clear" w:color="auto" w:fill="B8CCE4" w:themeFill="accent1" w:themeFillTint="66"/>
            <w:vAlign w:val="center"/>
          </w:tcPr>
          <w:p w14:paraId="574BF0C7" w14:textId="77777777" w:rsidR="004D59D4" w:rsidRDefault="00023FAF" w:rsidP="00025AAC">
            <w:pPr>
              <w:pStyle w:val="TableText1"/>
            </w:pPr>
            <w:r>
              <w:t>Mean change from baseline</w:t>
            </w:r>
          </w:p>
        </w:tc>
        <w:tc>
          <w:tcPr>
            <w:tcW w:w="1527" w:type="dxa"/>
            <w:shd w:val="clear" w:color="auto" w:fill="B8CCE4" w:themeFill="accent1" w:themeFillTint="66"/>
            <w:vAlign w:val="center"/>
          </w:tcPr>
          <w:p w14:paraId="1760F310" w14:textId="77777777" w:rsidR="004D59D4" w:rsidRDefault="00023FAF" w:rsidP="00025AAC">
            <w:pPr>
              <w:pStyle w:val="TableText1"/>
              <w:jc w:val="center"/>
            </w:pPr>
            <w:r>
              <w:t>18.6 (279.43)</w:t>
            </w:r>
          </w:p>
        </w:tc>
        <w:tc>
          <w:tcPr>
            <w:tcW w:w="2233" w:type="dxa"/>
            <w:shd w:val="clear" w:color="auto" w:fill="B8CCE4" w:themeFill="accent1" w:themeFillTint="66"/>
            <w:vAlign w:val="center"/>
          </w:tcPr>
          <w:p w14:paraId="7D596E72" w14:textId="77777777" w:rsidR="004D59D4" w:rsidRDefault="00023FAF" w:rsidP="00025AAC">
            <w:pPr>
              <w:pStyle w:val="TableText1"/>
              <w:jc w:val="center"/>
            </w:pPr>
            <w:r>
              <w:t>996.4 (555.0)</w:t>
            </w:r>
          </w:p>
        </w:tc>
        <w:tc>
          <w:tcPr>
            <w:tcW w:w="2008" w:type="dxa"/>
            <w:shd w:val="clear" w:color="auto" w:fill="B8CCE4" w:themeFill="accent1" w:themeFillTint="66"/>
            <w:vAlign w:val="center"/>
          </w:tcPr>
          <w:p w14:paraId="6AEF101C" w14:textId="77777777" w:rsidR="004D59D4" w:rsidRDefault="00023FAF" w:rsidP="00025AAC">
            <w:pPr>
              <w:pStyle w:val="TableText1"/>
              <w:jc w:val="center"/>
            </w:pPr>
            <w:r>
              <w:t>599.0 (507.40)</w:t>
            </w:r>
          </w:p>
        </w:tc>
      </w:tr>
      <w:tr w:rsidR="004D59D4" w14:paraId="7E0EF017" w14:textId="77777777">
        <w:tc>
          <w:tcPr>
            <w:tcW w:w="3258" w:type="dxa"/>
            <w:shd w:val="clear" w:color="auto" w:fill="B8CCE4" w:themeFill="accent1" w:themeFillTint="66"/>
            <w:vAlign w:val="center"/>
          </w:tcPr>
          <w:p w14:paraId="607E0350" w14:textId="77777777" w:rsidR="004D59D4" w:rsidRDefault="00023FAF" w:rsidP="00025AAC">
            <w:pPr>
              <w:pStyle w:val="TableText1"/>
            </w:pPr>
            <w:r>
              <w:t>LS mean change from baseline (95% CI)</w:t>
            </w:r>
          </w:p>
        </w:tc>
        <w:tc>
          <w:tcPr>
            <w:tcW w:w="1527" w:type="dxa"/>
            <w:shd w:val="clear" w:color="auto" w:fill="B8CCE4" w:themeFill="accent1" w:themeFillTint="66"/>
            <w:vAlign w:val="center"/>
          </w:tcPr>
          <w:p w14:paraId="5D51FBB0" w14:textId="77777777" w:rsidR="004D59D4" w:rsidRDefault="00023FAF" w:rsidP="00025AAC">
            <w:pPr>
              <w:pStyle w:val="TableText1"/>
              <w:jc w:val="center"/>
            </w:pPr>
            <w:r>
              <w:t>26.50</w:t>
            </w:r>
          </w:p>
          <w:p w14:paraId="2D3170CC" w14:textId="77777777" w:rsidR="004D59D4" w:rsidRDefault="00023FAF" w:rsidP="00025AAC">
            <w:pPr>
              <w:pStyle w:val="TableText1"/>
              <w:jc w:val="center"/>
            </w:pPr>
            <w:r>
              <w:t>(</w:t>
            </w:r>
            <w:r>
              <w:noBreakHyphen/>
              <w:t>68.26, 121.26)</w:t>
            </w:r>
          </w:p>
        </w:tc>
        <w:tc>
          <w:tcPr>
            <w:tcW w:w="2233" w:type="dxa"/>
            <w:shd w:val="clear" w:color="auto" w:fill="B8CCE4" w:themeFill="accent1" w:themeFillTint="66"/>
            <w:vAlign w:val="center"/>
          </w:tcPr>
          <w:p w14:paraId="5CC0FE20" w14:textId="77777777" w:rsidR="004D59D4" w:rsidRDefault="00023FAF" w:rsidP="00025AAC">
            <w:pPr>
              <w:pStyle w:val="TableText1"/>
              <w:jc w:val="center"/>
            </w:pPr>
            <w:r>
              <w:t>949.75</w:t>
            </w:r>
          </w:p>
          <w:p w14:paraId="72E1FE6B" w14:textId="77777777" w:rsidR="004D59D4" w:rsidRDefault="00023FAF" w:rsidP="00025AAC">
            <w:pPr>
              <w:pStyle w:val="TableText1"/>
              <w:jc w:val="center"/>
            </w:pPr>
            <w:r>
              <w:t>(760.38, 1139.11)</w:t>
            </w:r>
          </w:p>
        </w:tc>
        <w:tc>
          <w:tcPr>
            <w:tcW w:w="2008" w:type="dxa"/>
            <w:shd w:val="clear" w:color="auto" w:fill="B8CCE4" w:themeFill="accent1" w:themeFillTint="66"/>
            <w:vAlign w:val="center"/>
          </w:tcPr>
          <w:p w14:paraId="62EA452E" w14:textId="77777777" w:rsidR="004D59D4" w:rsidRDefault="00023FAF" w:rsidP="00025AAC">
            <w:pPr>
              <w:pStyle w:val="TableText1"/>
              <w:jc w:val="center"/>
            </w:pPr>
            <w:r>
              <w:t>664.77</w:t>
            </w:r>
          </w:p>
          <w:p w14:paraId="506CEEB8" w14:textId="77777777" w:rsidR="004D59D4" w:rsidRDefault="00023FAF" w:rsidP="00025AAC">
            <w:pPr>
              <w:pStyle w:val="TableText1"/>
              <w:jc w:val="center"/>
            </w:pPr>
            <w:r>
              <w:t>(465.45, 864.10)</w:t>
            </w:r>
          </w:p>
        </w:tc>
      </w:tr>
      <w:tr w:rsidR="004D59D4" w14:paraId="245B6D79" w14:textId="77777777">
        <w:tc>
          <w:tcPr>
            <w:tcW w:w="3258" w:type="dxa"/>
            <w:tcBorders>
              <w:bottom w:val="nil"/>
            </w:tcBorders>
            <w:shd w:val="clear" w:color="auto" w:fill="B8CCE4" w:themeFill="accent1" w:themeFillTint="66"/>
            <w:vAlign w:val="center"/>
          </w:tcPr>
          <w:p w14:paraId="1E1DAE19" w14:textId="77777777" w:rsidR="004D59D4" w:rsidRDefault="00023FAF" w:rsidP="00025AAC">
            <w:pPr>
              <w:pStyle w:val="TableText1"/>
              <w:rPr>
                <w:b/>
                <w:bCs w:val="0"/>
              </w:rPr>
            </w:pPr>
            <w:r>
              <w:rPr>
                <w:b/>
                <w:bCs w:val="0"/>
              </w:rPr>
              <w:t xml:space="preserve">Pooled </w:t>
            </w:r>
            <w:proofErr w:type="spellStart"/>
            <w:r>
              <w:rPr>
                <w:b/>
                <w:bCs w:val="0"/>
              </w:rPr>
              <w:t>pegvaliase</w:t>
            </w:r>
            <w:proofErr w:type="spellEnd"/>
            <w:r>
              <w:rPr>
                <w:b/>
                <w:bCs w:val="0"/>
              </w:rPr>
              <w:t xml:space="preserve"> vs placebo</w:t>
            </w:r>
          </w:p>
        </w:tc>
        <w:tc>
          <w:tcPr>
            <w:tcW w:w="1527" w:type="dxa"/>
            <w:tcBorders>
              <w:bottom w:val="nil"/>
            </w:tcBorders>
            <w:shd w:val="clear" w:color="auto" w:fill="B8CCE4" w:themeFill="accent1" w:themeFillTint="66"/>
            <w:vAlign w:val="center"/>
          </w:tcPr>
          <w:p w14:paraId="73ACC5C7" w14:textId="77777777" w:rsidR="004D59D4" w:rsidRDefault="004D59D4" w:rsidP="00025AAC">
            <w:pPr>
              <w:pStyle w:val="TableText1"/>
              <w:jc w:val="center"/>
            </w:pPr>
          </w:p>
        </w:tc>
        <w:tc>
          <w:tcPr>
            <w:tcW w:w="2233" w:type="dxa"/>
            <w:tcBorders>
              <w:bottom w:val="nil"/>
            </w:tcBorders>
            <w:shd w:val="clear" w:color="auto" w:fill="B8CCE4" w:themeFill="accent1" w:themeFillTint="66"/>
            <w:vAlign w:val="center"/>
          </w:tcPr>
          <w:p w14:paraId="462C552F" w14:textId="77777777" w:rsidR="004D59D4" w:rsidRDefault="004D59D4" w:rsidP="00025AAC">
            <w:pPr>
              <w:pStyle w:val="TableText1"/>
              <w:jc w:val="center"/>
            </w:pPr>
          </w:p>
        </w:tc>
        <w:tc>
          <w:tcPr>
            <w:tcW w:w="2008" w:type="dxa"/>
            <w:tcBorders>
              <w:bottom w:val="nil"/>
            </w:tcBorders>
            <w:shd w:val="clear" w:color="auto" w:fill="B8CCE4" w:themeFill="accent1" w:themeFillTint="66"/>
            <w:vAlign w:val="center"/>
          </w:tcPr>
          <w:p w14:paraId="2DCCC983" w14:textId="77777777" w:rsidR="004D59D4" w:rsidRDefault="004D59D4" w:rsidP="00025AAC">
            <w:pPr>
              <w:pStyle w:val="TableText1"/>
              <w:jc w:val="center"/>
            </w:pPr>
          </w:p>
        </w:tc>
      </w:tr>
      <w:tr w:rsidR="004D59D4" w14:paraId="3BE21316" w14:textId="77777777">
        <w:tc>
          <w:tcPr>
            <w:tcW w:w="3258" w:type="dxa"/>
            <w:tcBorders>
              <w:top w:val="nil"/>
            </w:tcBorders>
            <w:shd w:val="clear" w:color="auto" w:fill="B8CCE4" w:themeFill="accent1" w:themeFillTint="66"/>
            <w:vAlign w:val="center"/>
          </w:tcPr>
          <w:p w14:paraId="62838E5A" w14:textId="77777777" w:rsidR="004D59D4" w:rsidRDefault="00023FAF" w:rsidP="00025AAC">
            <w:pPr>
              <w:pStyle w:val="TableText1"/>
            </w:pPr>
            <w:r>
              <w:t>Difference in LS means (95% CI)</w:t>
            </w:r>
          </w:p>
        </w:tc>
        <w:tc>
          <w:tcPr>
            <w:tcW w:w="1527" w:type="dxa"/>
            <w:tcBorders>
              <w:top w:val="nil"/>
            </w:tcBorders>
            <w:shd w:val="clear" w:color="auto" w:fill="B8CCE4" w:themeFill="accent1" w:themeFillTint="66"/>
            <w:vAlign w:val="center"/>
          </w:tcPr>
          <w:p w14:paraId="6BF8F2E7" w14:textId="77777777" w:rsidR="004D59D4" w:rsidRDefault="00023FAF" w:rsidP="00025AAC">
            <w:pPr>
              <w:pStyle w:val="TableText1"/>
              <w:jc w:val="center"/>
            </w:pPr>
            <w:r>
              <w:t>-</w:t>
            </w:r>
          </w:p>
        </w:tc>
        <w:tc>
          <w:tcPr>
            <w:tcW w:w="2233" w:type="dxa"/>
            <w:tcBorders>
              <w:top w:val="nil"/>
            </w:tcBorders>
            <w:shd w:val="clear" w:color="auto" w:fill="B8CCE4" w:themeFill="accent1" w:themeFillTint="66"/>
            <w:vAlign w:val="center"/>
          </w:tcPr>
          <w:p w14:paraId="488B6A73" w14:textId="77777777" w:rsidR="004D59D4" w:rsidRDefault="00023FAF" w:rsidP="00025AAC">
            <w:pPr>
              <w:pStyle w:val="TableText1"/>
              <w:jc w:val="center"/>
            </w:pPr>
            <w:r>
              <w:noBreakHyphen/>
              <w:t>923.25 (</w:t>
            </w:r>
            <w:r>
              <w:noBreakHyphen/>
              <w:t xml:space="preserve">1135.04, </w:t>
            </w:r>
            <w:r>
              <w:noBreakHyphen/>
              <w:t>711.46)</w:t>
            </w:r>
          </w:p>
          <w:p w14:paraId="277F9239" w14:textId="77777777" w:rsidR="004D59D4" w:rsidRDefault="00023FAF" w:rsidP="00025AAC">
            <w:pPr>
              <w:pStyle w:val="TableText1"/>
              <w:jc w:val="center"/>
            </w:pPr>
            <w:r>
              <w:t>p &lt; 0.0001</w:t>
            </w:r>
            <w:r>
              <w:rPr>
                <w:vertAlign w:val="superscript"/>
              </w:rPr>
              <w:t>d</w:t>
            </w:r>
          </w:p>
        </w:tc>
        <w:tc>
          <w:tcPr>
            <w:tcW w:w="2008" w:type="dxa"/>
            <w:tcBorders>
              <w:top w:val="nil"/>
            </w:tcBorders>
            <w:shd w:val="clear" w:color="auto" w:fill="B8CCE4" w:themeFill="accent1" w:themeFillTint="66"/>
            <w:vAlign w:val="center"/>
          </w:tcPr>
          <w:p w14:paraId="64196361" w14:textId="77777777" w:rsidR="004D59D4" w:rsidRDefault="00023FAF" w:rsidP="00025AAC">
            <w:pPr>
              <w:pStyle w:val="TableText1"/>
              <w:jc w:val="center"/>
            </w:pPr>
            <w:r>
              <w:noBreakHyphen/>
              <w:t>638.27 (</w:t>
            </w:r>
            <w:r>
              <w:noBreakHyphen/>
              <w:t xml:space="preserve">858.97, </w:t>
            </w:r>
            <w:r>
              <w:noBreakHyphen/>
              <w:t>417.57)</w:t>
            </w:r>
          </w:p>
          <w:p w14:paraId="3D0675CD" w14:textId="77777777" w:rsidR="004D59D4" w:rsidRDefault="00023FAF" w:rsidP="00025AAC">
            <w:pPr>
              <w:pStyle w:val="TableText1"/>
              <w:jc w:val="center"/>
            </w:pPr>
            <w:r>
              <w:t>p &lt; 0.0001</w:t>
            </w:r>
            <w:r>
              <w:rPr>
                <w:vertAlign w:val="superscript"/>
              </w:rPr>
              <w:t>d</w:t>
            </w:r>
          </w:p>
        </w:tc>
      </w:tr>
    </w:tbl>
    <w:p w14:paraId="6B03161F" w14:textId="77777777" w:rsidR="004D59D4" w:rsidRDefault="00023FAF" w:rsidP="00025AAC">
      <w:pPr>
        <w:pStyle w:val="TableFigureFooter"/>
        <w:jc w:val="both"/>
      </w:pPr>
      <w:r>
        <w:t>Note: This data has previously been reviewed by the PBAC.</w:t>
      </w:r>
    </w:p>
    <w:p w14:paraId="70748903" w14:textId="77777777" w:rsidR="004D59D4" w:rsidRDefault="00023FAF" w:rsidP="00025AAC">
      <w:pPr>
        <w:pStyle w:val="TableFigureFooter"/>
        <w:jc w:val="both"/>
      </w:pPr>
      <w:r>
        <w:t>Source: Table 2.5-5, p129 of the resubmission, Table 14.2.8.1.230, p3372 165-302 PRISM 2 CSR</w:t>
      </w:r>
    </w:p>
    <w:p w14:paraId="41B92B8E" w14:textId="77777777" w:rsidR="004D59D4" w:rsidRDefault="00023FAF" w:rsidP="00025AAC">
      <w:pPr>
        <w:pStyle w:val="TableFigureFooter"/>
        <w:jc w:val="both"/>
      </w:pPr>
      <w:r>
        <w:t xml:space="preserve">CI = confidence interval; LS = least squares; </w:t>
      </w:r>
      <w:proofErr w:type="spellStart"/>
      <w:r>
        <w:t>mITT</w:t>
      </w:r>
      <w:proofErr w:type="spellEnd"/>
      <w:r>
        <w:t xml:space="preserve"> = modified intention-to-treat; MMRM = mixed-model repeated measures; </w:t>
      </w:r>
      <w:proofErr w:type="spellStart"/>
      <w:r>
        <w:t>Phe</w:t>
      </w:r>
      <w:proofErr w:type="spellEnd"/>
      <w:r>
        <w:t xml:space="preserve"> = phenylalanine; SD = standard deviation</w:t>
      </w:r>
    </w:p>
    <w:p w14:paraId="77C8BCFA" w14:textId="77777777" w:rsidR="004D59D4" w:rsidRDefault="00023FAF" w:rsidP="00025AAC">
      <w:pPr>
        <w:pStyle w:val="TableFigureFooter"/>
        <w:jc w:val="both"/>
      </w:pPr>
      <w:r>
        <w:rPr>
          <w:vertAlign w:val="superscript"/>
        </w:rPr>
        <w:t>a</w:t>
      </w:r>
      <w:r>
        <w:t xml:space="preserve"> Placebo groups separated as results from a mixed model repeated measures analysis of change in blood-</w:t>
      </w:r>
      <w:proofErr w:type="spellStart"/>
      <w:r>
        <w:t>Phe</w:t>
      </w:r>
      <w:proofErr w:type="spellEnd"/>
      <w:r>
        <w:t xml:space="preserve"> concentration from baseline to week 8 reported a P value &gt;0.1, suggesting the groups were different due to carryover effect from different dosage of </w:t>
      </w:r>
      <w:proofErr w:type="spellStart"/>
      <w:r>
        <w:t>pegvaliase</w:t>
      </w:r>
      <w:proofErr w:type="spellEnd"/>
      <w:r>
        <w:t xml:space="preserve"> used in PRISM 2 Part 1.</w:t>
      </w:r>
    </w:p>
    <w:p w14:paraId="6B06AD37" w14:textId="77777777" w:rsidR="004D59D4" w:rsidRDefault="00023FAF" w:rsidP="00025AAC">
      <w:pPr>
        <w:pStyle w:val="TableFigureFooter"/>
        <w:jc w:val="both"/>
      </w:pPr>
      <w:r>
        <w:rPr>
          <w:vertAlign w:val="superscript"/>
        </w:rPr>
        <w:t>b</w:t>
      </w:r>
      <w:r>
        <w:t xml:space="preserve"> It was unclear why there were missing data from the responder analysis.</w:t>
      </w:r>
    </w:p>
    <w:p w14:paraId="7A30147B" w14:textId="77777777" w:rsidR="004D59D4" w:rsidRDefault="00023FAF" w:rsidP="00025AAC">
      <w:pPr>
        <w:pStyle w:val="TableFigureFooter"/>
        <w:jc w:val="both"/>
      </w:pPr>
      <w:r>
        <w:rPr>
          <w:vertAlign w:val="superscript"/>
        </w:rPr>
        <w:t>c</w:t>
      </w:r>
      <w:r>
        <w:t xml:space="preserve"> Baseline measured from start of PRISM 2 Part 2, defined as the last available blood </w:t>
      </w:r>
      <w:proofErr w:type="spellStart"/>
      <w:r>
        <w:t>Phe</w:t>
      </w:r>
      <w:proofErr w:type="spellEnd"/>
      <w:r>
        <w:t xml:space="preserve"> collected prior to dosing on day 1 of Part 2 (PRISM 2 CSR p 175).</w:t>
      </w:r>
    </w:p>
    <w:p w14:paraId="218EBC7B" w14:textId="77777777" w:rsidR="004D59D4" w:rsidRDefault="00023FAF" w:rsidP="00025AAC">
      <w:pPr>
        <w:pStyle w:val="TableFigureFooter"/>
        <w:spacing w:before="160" w:after="160"/>
        <w:jc w:val="both"/>
      </w:pPr>
      <w:r>
        <w:rPr>
          <w:vertAlign w:val="superscript"/>
        </w:rPr>
        <w:t>d</w:t>
      </w:r>
      <w:r>
        <w:t xml:space="preserve"> Based on the mixed model repeated measures (MMRM) method, with study drug (</w:t>
      </w:r>
      <w:proofErr w:type="spellStart"/>
      <w:r>
        <w:t>pegvaliase</w:t>
      </w:r>
      <w:proofErr w:type="spellEnd"/>
      <w:r>
        <w:t xml:space="preserve">, placebo), visit, and study drug-by-visit interaction as factors adjusting for baseline blood </w:t>
      </w:r>
      <w:proofErr w:type="spellStart"/>
      <w:r>
        <w:t>Phe</w:t>
      </w:r>
      <w:proofErr w:type="spellEnd"/>
      <w:r>
        <w:t xml:space="preserve"> concentration.</w:t>
      </w:r>
      <w:bookmarkEnd w:id="52"/>
    </w:p>
    <w:p w14:paraId="7BE16FA8" w14:textId="1FB825E0" w:rsidR="004D59D4" w:rsidRDefault="00023FAF" w:rsidP="00025AAC">
      <w:pPr>
        <w:pStyle w:val="3-BodyText"/>
        <w:numPr>
          <w:ilvl w:val="1"/>
          <w:numId w:val="1"/>
        </w:numPr>
        <w:spacing w:before="160" w:after="160"/>
      </w:pPr>
      <w:r>
        <w:t xml:space="preserve">In PRISM 1, both </w:t>
      </w:r>
      <w:proofErr w:type="spellStart"/>
      <w:r>
        <w:t>pegvaliase</w:t>
      </w:r>
      <w:proofErr w:type="spellEnd"/>
      <w:r>
        <w:t xml:space="preserve"> 20 mg/day and 40 mg/day led to substantial decreases (mean decrease &gt; 350 µmol/L by week 36) in blood-</w:t>
      </w:r>
      <w:proofErr w:type="spellStart"/>
      <w:r>
        <w:t>Phe</w:t>
      </w:r>
      <w:proofErr w:type="spellEnd"/>
      <w:r>
        <w:t xml:space="preserve"> from baseline. However, in the randomised double-blind PRISM 2 Part 2, mean blood-</w:t>
      </w:r>
      <w:proofErr w:type="spellStart"/>
      <w:r>
        <w:t>Phe</w:t>
      </w:r>
      <w:proofErr w:type="spellEnd"/>
      <w:r>
        <w:t xml:space="preserve"> levels </w:t>
      </w:r>
      <w:proofErr w:type="gramStart"/>
      <w:r>
        <w:t>actually increased</w:t>
      </w:r>
      <w:proofErr w:type="gramEnd"/>
      <w:r>
        <w:t xml:space="preserve"> over the eight weeks in patients treated with </w:t>
      </w:r>
      <w:proofErr w:type="spellStart"/>
      <w:r>
        <w:t>pegvaliase</w:t>
      </w:r>
      <w:proofErr w:type="spellEnd"/>
      <w:r>
        <w:t xml:space="preserve">. As noted for the previous submission, this was inconsistent with the assumptions applied in the economic model. However, the PBAC previously noted that for patients continuing </w:t>
      </w:r>
      <w:proofErr w:type="spellStart"/>
      <w:r>
        <w:t>pegvaliase</w:t>
      </w:r>
      <w:proofErr w:type="spellEnd"/>
      <w:r>
        <w:t xml:space="preserve"> the increase was relatively small and blood-</w:t>
      </w:r>
      <w:proofErr w:type="spellStart"/>
      <w:r>
        <w:t>Phe</w:t>
      </w:r>
      <w:proofErr w:type="spellEnd"/>
      <w:r>
        <w:t xml:space="preserve"> levels remained </w:t>
      </w:r>
      <w:proofErr w:type="gramStart"/>
      <w:r>
        <w:t>fairly stable</w:t>
      </w:r>
      <w:proofErr w:type="gramEnd"/>
      <w:r>
        <w:t>, compared with placebo, where blood-</w:t>
      </w:r>
      <w:proofErr w:type="spellStart"/>
      <w:r>
        <w:t>Phe</w:t>
      </w:r>
      <w:proofErr w:type="spellEnd"/>
      <w:r>
        <w:t xml:space="preserve"> increased substantially. The difference in change from baseline blood </w:t>
      </w:r>
      <w:proofErr w:type="spellStart"/>
      <w:r>
        <w:t>Phe</w:t>
      </w:r>
      <w:proofErr w:type="spellEnd"/>
      <w:r>
        <w:t xml:space="preserve"> as measured by least squares mean between </w:t>
      </w:r>
      <w:proofErr w:type="spellStart"/>
      <w:r>
        <w:t>pegvaliase</w:t>
      </w:r>
      <w:proofErr w:type="spellEnd"/>
      <w:r>
        <w:t xml:space="preserve"> and placebo was statistically significantly in favour of </w:t>
      </w:r>
      <w:proofErr w:type="spellStart"/>
      <w:r>
        <w:t>pegvaliase</w:t>
      </w:r>
      <w:proofErr w:type="spellEnd"/>
      <w:r>
        <w:t xml:space="preserve">. Further, more than half (25/49, 51%) of the patients treated with </w:t>
      </w:r>
      <w:proofErr w:type="spellStart"/>
      <w:r>
        <w:t>pegvaliase</w:t>
      </w:r>
      <w:proofErr w:type="spellEnd"/>
      <w:r>
        <w:t xml:space="preserve"> (who were included in the analysis) reported a blood-</w:t>
      </w:r>
      <w:proofErr w:type="spellStart"/>
      <w:r>
        <w:t>Phe</w:t>
      </w:r>
      <w:proofErr w:type="spellEnd"/>
      <w:r>
        <w:t xml:space="preserve"> ≤ 360 µmol/L. The PBAC previously noted that there was likely to have been considerable attrition in PRISM 1, with less than a third of patients (80/261) having </w:t>
      </w:r>
      <w:proofErr w:type="spellStart"/>
      <w:r>
        <w:t>Phe</w:t>
      </w:r>
      <w:proofErr w:type="spellEnd"/>
      <w:r>
        <w:t xml:space="preserve">-level data available at 36 weeks. The PBAC </w:t>
      </w:r>
      <w:r w:rsidR="009A6FBE">
        <w:t xml:space="preserve">previously </w:t>
      </w:r>
      <w:r>
        <w:t xml:space="preserve">considered that the treatment effect may </w:t>
      </w:r>
      <w:r w:rsidR="009A6FBE">
        <w:t xml:space="preserve">have </w:t>
      </w:r>
      <w:r>
        <w:t>be</w:t>
      </w:r>
      <w:r w:rsidR="009A6FBE">
        <w:t>en</w:t>
      </w:r>
      <w:r>
        <w:t xml:space="preserve"> overestimated due to the drop out of patients with poor response to </w:t>
      </w:r>
      <w:proofErr w:type="spellStart"/>
      <w:r>
        <w:t>pegvaliase</w:t>
      </w:r>
      <w:proofErr w:type="spellEnd"/>
      <w:r>
        <w:t xml:space="preserve"> (paragraph 6.25, </w:t>
      </w:r>
      <w:proofErr w:type="spellStart"/>
      <w:r>
        <w:t>pegvaliase</w:t>
      </w:r>
      <w:proofErr w:type="spellEnd"/>
      <w:r>
        <w:t xml:space="preserve"> PSD, July 2022 PBAC meeting).</w:t>
      </w:r>
    </w:p>
    <w:p w14:paraId="128569FC" w14:textId="77777777" w:rsidR="004D59D4" w:rsidRDefault="00023FAF" w:rsidP="00025AAC">
      <w:pPr>
        <w:pStyle w:val="3-BodyText"/>
        <w:numPr>
          <w:ilvl w:val="1"/>
          <w:numId w:val="1"/>
        </w:numPr>
        <w:spacing w:before="160" w:after="160"/>
      </w:pPr>
      <w:r>
        <w:t xml:space="preserve">The PBAC previously observed that patients treated with </w:t>
      </w:r>
      <w:proofErr w:type="spellStart"/>
      <w:r>
        <w:t>pegvaliase</w:t>
      </w:r>
      <w:proofErr w:type="spellEnd"/>
      <w:r>
        <w:t xml:space="preserve"> in PRISM 1 and PRISM 2 reported a slow decline in mean blood-</w:t>
      </w:r>
      <w:proofErr w:type="spellStart"/>
      <w:r>
        <w:t>Phe</w:t>
      </w:r>
      <w:proofErr w:type="spellEnd"/>
      <w:r>
        <w:t xml:space="preserve"> over time which appeared to plateau at around 360 µmol/L by 15-18 months. The sharp decrease in blood-</w:t>
      </w:r>
      <w:proofErr w:type="spellStart"/>
      <w:r>
        <w:t>Phe</w:t>
      </w:r>
      <w:proofErr w:type="spellEnd"/>
      <w:r>
        <w:t xml:space="preserve"> just </w:t>
      </w:r>
      <w:r>
        <w:lastRenderedPageBreak/>
        <w:t>prior to month 3 appears to approximately align with the minimum time point in the PRISM 1 trial dosing regimen (10 weeks) that allowed patients to titrate up to a dose of 20 mg/day. For reference, patients were kept on a 2.5 mg/week dose for the first 4 weeks of PRISM 1, which is consistent with PI dosing. It is unclear whether this adequately explains the sharp decrease in blood-</w:t>
      </w:r>
      <w:proofErr w:type="spellStart"/>
      <w:r>
        <w:t>Phe</w:t>
      </w:r>
      <w:proofErr w:type="spellEnd"/>
      <w:r>
        <w:t xml:space="preserve"> </w:t>
      </w:r>
      <w:proofErr w:type="gramStart"/>
      <w:r>
        <w:t>at this time</w:t>
      </w:r>
      <w:proofErr w:type="gramEnd"/>
      <w:r>
        <w:t xml:space="preserve"> point. The PBAC noted that although the blood-</w:t>
      </w:r>
      <w:proofErr w:type="spellStart"/>
      <w:r>
        <w:t>Phe</w:t>
      </w:r>
      <w:proofErr w:type="spellEnd"/>
      <w:r>
        <w:t xml:space="preserve"> decreased over time for patients treated with </w:t>
      </w:r>
      <w:proofErr w:type="spellStart"/>
      <w:r>
        <w:t>pegvaliase</w:t>
      </w:r>
      <w:proofErr w:type="spellEnd"/>
      <w:r>
        <w:t>, the number of patients for whom there were data available decreased considerably, with an attrition rate of 80% over 24 months. The PBAC considered that part of the apparent decline in blood-</w:t>
      </w:r>
      <w:proofErr w:type="spellStart"/>
      <w:r>
        <w:t>Phe</w:t>
      </w:r>
      <w:proofErr w:type="spellEnd"/>
      <w:r>
        <w:t xml:space="preserve"> may be attributable to a selection bias caused by disproportionate drop-out of those with persistently high blood-</w:t>
      </w:r>
      <w:proofErr w:type="spellStart"/>
      <w:r>
        <w:t>Phe</w:t>
      </w:r>
      <w:proofErr w:type="spellEnd"/>
      <w:r>
        <w:t xml:space="preserve">, rather than therapy (paragraph 6.27, </w:t>
      </w:r>
      <w:proofErr w:type="spellStart"/>
      <w:r>
        <w:t>pegvaliase</w:t>
      </w:r>
      <w:proofErr w:type="spellEnd"/>
      <w:r>
        <w:t xml:space="preserve"> PSD, July 2022 PBAC meeting).</w:t>
      </w:r>
    </w:p>
    <w:p w14:paraId="233F95E1" w14:textId="77777777" w:rsidR="004D59D4" w:rsidRDefault="00023FAF" w:rsidP="00025AAC">
      <w:pPr>
        <w:pStyle w:val="3-BodyText"/>
        <w:numPr>
          <w:ilvl w:val="1"/>
          <w:numId w:val="1"/>
        </w:numPr>
        <w:spacing w:before="160" w:after="160"/>
      </w:pPr>
      <w:r>
        <w:t>The PBAC previously noted that the results for the previously treated group in PKUDOS show a slight decrease in blood-</w:t>
      </w:r>
      <w:proofErr w:type="spellStart"/>
      <w:r>
        <w:t>Phe</w:t>
      </w:r>
      <w:proofErr w:type="spellEnd"/>
      <w:r>
        <w:t xml:space="preserve"> over time, however standard deviations (SDs), around the estimate are large and over-lapping, and therefore there is a large amount of uncertainty in the results (paragraph 6.28, </w:t>
      </w:r>
      <w:proofErr w:type="spellStart"/>
      <w:r>
        <w:t>pegvaliase</w:t>
      </w:r>
      <w:proofErr w:type="spellEnd"/>
      <w:r>
        <w:t xml:space="preserve"> PSD, July 2022 PBAC meeting). </w:t>
      </w:r>
    </w:p>
    <w:p w14:paraId="5965AE74" w14:textId="77777777" w:rsidR="004D59D4" w:rsidRDefault="00023FAF" w:rsidP="00025AAC">
      <w:pPr>
        <w:spacing w:before="160" w:after="160"/>
        <w:outlineLvl w:val="2"/>
        <w:rPr>
          <w:rFonts w:asciiTheme="minorHAnsi" w:hAnsiTheme="minorHAnsi" w:cstheme="minorHAnsi"/>
          <w:b/>
          <w:bCs/>
          <w:i/>
          <w:iCs/>
        </w:rPr>
      </w:pPr>
      <w:r>
        <w:rPr>
          <w:rFonts w:cstheme="minorHAnsi"/>
          <w:b/>
          <w:bCs/>
          <w:i/>
          <w:iCs/>
        </w:rPr>
        <w:t xml:space="preserve">Indirect comparisons: </w:t>
      </w:r>
      <w:proofErr w:type="spellStart"/>
      <w:r>
        <w:rPr>
          <w:rFonts w:cstheme="minorHAnsi"/>
          <w:b/>
          <w:bCs/>
          <w:i/>
          <w:iCs/>
        </w:rPr>
        <w:t>pegvaliase</w:t>
      </w:r>
      <w:proofErr w:type="spellEnd"/>
      <w:r>
        <w:rPr>
          <w:rFonts w:cstheme="minorHAnsi"/>
          <w:b/>
          <w:bCs/>
          <w:i/>
          <w:iCs/>
        </w:rPr>
        <w:t xml:space="preserve"> vs </w:t>
      </w:r>
      <w:proofErr w:type="spellStart"/>
      <w:r>
        <w:rPr>
          <w:rFonts w:cstheme="minorHAnsi"/>
          <w:b/>
          <w:bCs/>
          <w:i/>
          <w:iCs/>
        </w:rPr>
        <w:t>Phe</w:t>
      </w:r>
      <w:proofErr w:type="spellEnd"/>
      <w:r>
        <w:rPr>
          <w:rFonts w:cstheme="minorHAnsi"/>
          <w:b/>
          <w:bCs/>
          <w:i/>
          <w:iCs/>
        </w:rPr>
        <w:t>-restricted diet</w:t>
      </w:r>
    </w:p>
    <w:p w14:paraId="2CE2908D" w14:textId="367E4163" w:rsidR="004D59D4" w:rsidRPr="005C1F04" w:rsidRDefault="00023FAF" w:rsidP="00025AAC">
      <w:pPr>
        <w:pStyle w:val="3-BodyText"/>
        <w:numPr>
          <w:ilvl w:val="1"/>
          <w:numId w:val="1"/>
        </w:numPr>
        <w:spacing w:before="160" w:after="160"/>
      </w:pPr>
      <w:r>
        <w:t xml:space="preserve">An overview of the results for the common outcomes of patients achieving blood </w:t>
      </w:r>
      <w:proofErr w:type="spellStart"/>
      <w:r>
        <w:t>Phe</w:t>
      </w:r>
      <w:proofErr w:type="spellEnd"/>
      <w:r>
        <w:t xml:space="preserve"> levels ≤ 360 </w:t>
      </w:r>
      <w:proofErr w:type="spellStart"/>
      <w:r>
        <w:t>μmol</w:t>
      </w:r>
      <w:proofErr w:type="spellEnd"/>
      <w:r>
        <w:t xml:space="preserve">/L and ≥ 30% reduction from baseline at Years 1 and 2 for Zori 2019 and the naïve indirect comparison and Burton 2024 are shown in </w:t>
      </w:r>
      <w:r w:rsidRPr="005C1F04">
        <w:fldChar w:fldCharType="begin"/>
      </w:r>
      <w:r w:rsidRPr="005C1F04">
        <w:instrText xml:space="preserve"> REF _Ref215332969 \h </w:instrText>
      </w:r>
      <w:r w:rsidR="005C1F04" w:rsidRPr="005C1F04">
        <w:instrText xml:space="preserve"> \* MERGEFORMAT </w:instrText>
      </w:r>
      <w:r w:rsidRPr="005C1F04">
        <w:fldChar w:fldCharType="separate"/>
      </w:r>
      <w:r w:rsidR="00E24060" w:rsidRPr="005C1F04">
        <w:t>Table 6</w:t>
      </w:r>
      <w:r w:rsidRPr="005C1F04">
        <w:fldChar w:fldCharType="end"/>
      </w:r>
      <w:r w:rsidRPr="005C1F04">
        <w:t>.</w:t>
      </w:r>
    </w:p>
    <w:p w14:paraId="0AD04718" w14:textId="68651B5B" w:rsidR="004D59D4" w:rsidRDefault="00023FAF" w:rsidP="00025AAC">
      <w:pPr>
        <w:pStyle w:val="TableFigureHeading"/>
        <w:rPr>
          <w:rStyle w:val="CommentReference"/>
          <w:b/>
          <w:szCs w:val="24"/>
        </w:rPr>
      </w:pPr>
      <w:bookmarkStart w:id="53" w:name="_Ref215332969"/>
      <w:r>
        <w:rPr>
          <w:rStyle w:val="CommentReference"/>
          <w:b/>
          <w:bCs w:val="0"/>
          <w:szCs w:val="24"/>
        </w:rPr>
        <w:t xml:space="preserve">Table </w:t>
      </w:r>
      <w:r>
        <w:rPr>
          <w:rStyle w:val="CommentReference"/>
          <w:b/>
          <w:bCs w:val="0"/>
          <w:szCs w:val="24"/>
        </w:rPr>
        <w:fldChar w:fldCharType="begin"/>
      </w:r>
      <w:r>
        <w:rPr>
          <w:rStyle w:val="CommentReference"/>
          <w:b/>
          <w:bCs w:val="0"/>
          <w:szCs w:val="24"/>
        </w:rPr>
        <w:instrText xml:space="preserve"> SEQ Table \* ARABIC </w:instrText>
      </w:r>
      <w:r>
        <w:rPr>
          <w:rStyle w:val="CommentReference"/>
          <w:b/>
          <w:bCs w:val="0"/>
          <w:szCs w:val="24"/>
        </w:rPr>
        <w:fldChar w:fldCharType="separate"/>
      </w:r>
      <w:r w:rsidR="00E24060">
        <w:rPr>
          <w:rStyle w:val="CommentReference"/>
          <w:b/>
          <w:bCs w:val="0"/>
          <w:noProof/>
          <w:szCs w:val="24"/>
        </w:rPr>
        <w:t>6</w:t>
      </w:r>
      <w:r>
        <w:rPr>
          <w:rStyle w:val="CommentReference"/>
          <w:b/>
          <w:bCs w:val="0"/>
          <w:szCs w:val="24"/>
        </w:rPr>
        <w:fldChar w:fldCharType="end"/>
      </w:r>
      <w:bookmarkEnd w:id="53"/>
      <w:r>
        <w:rPr>
          <w:rStyle w:val="CommentReference"/>
          <w:b/>
          <w:bCs w:val="0"/>
          <w:szCs w:val="24"/>
        </w:rPr>
        <w:t>: Blood-</w:t>
      </w:r>
      <w:proofErr w:type="spellStart"/>
      <w:r>
        <w:rPr>
          <w:rStyle w:val="CommentReference"/>
          <w:b/>
          <w:bCs w:val="0"/>
          <w:szCs w:val="24"/>
        </w:rPr>
        <w:t>Phe</w:t>
      </w:r>
      <w:proofErr w:type="spellEnd"/>
      <w:r>
        <w:rPr>
          <w:rStyle w:val="CommentReference"/>
          <w:b/>
          <w:bCs w:val="0"/>
          <w:szCs w:val="24"/>
        </w:rPr>
        <w:t xml:space="preserve"> level outcome results over time in the Zori </w:t>
      </w:r>
      <w:r>
        <w:rPr>
          <w:rStyle w:val="CommentReference"/>
          <w:b/>
          <w:szCs w:val="24"/>
        </w:rPr>
        <w:t>2019, the indirect analysis and Burton 2024</w:t>
      </w:r>
    </w:p>
    <w:tbl>
      <w:tblPr>
        <w:tblStyle w:val="TableGrid"/>
        <w:tblW w:w="8926" w:type="dxa"/>
        <w:tblLayout w:type="fixed"/>
        <w:tblCellMar>
          <w:left w:w="28" w:type="dxa"/>
          <w:right w:w="28" w:type="dxa"/>
        </w:tblCellMar>
        <w:tblLook w:val="04A0" w:firstRow="1" w:lastRow="0" w:firstColumn="1" w:lastColumn="0" w:noHBand="0" w:noVBand="1"/>
        <w:tblCaption w:val="Table 6: Blood-Phe level outcome results over time in the Zori 2019, the indirect analysis and Burton 2024"/>
      </w:tblPr>
      <w:tblGrid>
        <w:gridCol w:w="988"/>
        <w:gridCol w:w="1242"/>
        <w:gridCol w:w="1340"/>
        <w:gridCol w:w="1339"/>
        <w:gridCol w:w="1339"/>
        <w:gridCol w:w="1339"/>
        <w:gridCol w:w="1339"/>
      </w:tblGrid>
      <w:tr w:rsidR="004D59D4" w14:paraId="4D487034" w14:textId="77777777">
        <w:trPr>
          <w:trHeight w:val="67"/>
        </w:trPr>
        <w:tc>
          <w:tcPr>
            <w:tcW w:w="988" w:type="dxa"/>
            <w:vMerge w:val="restart"/>
          </w:tcPr>
          <w:p w14:paraId="73441D56" w14:textId="77777777" w:rsidR="004D59D4" w:rsidRDefault="004D59D4" w:rsidP="00025AAC">
            <w:pPr>
              <w:pStyle w:val="In-tableHeading"/>
            </w:pPr>
          </w:p>
        </w:tc>
        <w:tc>
          <w:tcPr>
            <w:tcW w:w="3921" w:type="dxa"/>
            <w:gridSpan w:val="3"/>
          </w:tcPr>
          <w:p w14:paraId="1726603C" w14:textId="77777777" w:rsidR="004D59D4" w:rsidRDefault="00023FAF" w:rsidP="00025AAC">
            <w:pPr>
              <w:pStyle w:val="In-tableHeading"/>
              <w:jc w:val="center"/>
            </w:pPr>
            <w:r>
              <w:t>≤ 360 µmol/L</w:t>
            </w:r>
          </w:p>
        </w:tc>
        <w:tc>
          <w:tcPr>
            <w:tcW w:w="4017" w:type="dxa"/>
            <w:gridSpan w:val="3"/>
          </w:tcPr>
          <w:p w14:paraId="3646982B" w14:textId="77777777" w:rsidR="004D59D4" w:rsidRDefault="00023FAF" w:rsidP="00025AAC">
            <w:pPr>
              <w:pStyle w:val="In-tableHeading"/>
              <w:jc w:val="center"/>
            </w:pPr>
            <w:r>
              <w:t>≥ 30% reduction from baseline</w:t>
            </w:r>
          </w:p>
        </w:tc>
      </w:tr>
      <w:tr w:rsidR="004D59D4" w14:paraId="1915B635" w14:textId="77777777">
        <w:trPr>
          <w:trHeight w:val="67"/>
        </w:trPr>
        <w:tc>
          <w:tcPr>
            <w:tcW w:w="988" w:type="dxa"/>
            <w:vMerge/>
          </w:tcPr>
          <w:p w14:paraId="6F0558C6" w14:textId="77777777" w:rsidR="004D59D4" w:rsidRDefault="004D59D4" w:rsidP="00025AAC">
            <w:pPr>
              <w:pStyle w:val="In-tableHeading"/>
            </w:pPr>
          </w:p>
        </w:tc>
        <w:tc>
          <w:tcPr>
            <w:tcW w:w="1242" w:type="dxa"/>
            <w:vAlign w:val="center"/>
          </w:tcPr>
          <w:p w14:paraId="3B2B949F" w14:textId="77777777" w:rsidR="004D59D4" w:rsidRDefault="00023FAF" w:rsidP="00025AAC">
            <w:pPr>
              <w:pStyle w:val="In-tableHeading"/>
              <w:jc w:val="center"/>
            </w:pPr>
            <w:proofErr w:type="spellStart"/>
            <w:r>
              <w:t>Pegvaliase</w:t>
            </w:r>
            <w:proofErr w:type="spellEnd"/>
          </w:p>
          <w:p w14:paraId="11F178CC" w14:textId="77777777" w:rsidR="004D59D4" w:rsidRDefault="00023FAF" w:rsidP="00025AAC">
            <w:pPr>
              <w:pStyle w:val="In-tableHeading"/>
              <w:jc w:val="center"/>
            </w:pPr>
            <w:r>
              <w:t>n/N (%)</w:t>
            </w:r>
          </w:p>
        </w:tc>
        <w:tc>
          <w:tcPr>
            <w:tcW w:w="1340" w:type="dxa"/>
            <w:vAlign w:val="center"/>
          </w:tcPr>
          <w:p w14:paraId="77B3E633" w14:textId="77777777" w:rsidR="004D59D4" w:rsidRDefault="00023FAF" w:rsidP="00025AAC">
            <w:pPr>
              <w:pStyle w:val="In-tableHeading"/>
              <w:jc w:val="center"/>
            </w:pPr>
            <w:proofErr w:type="spellStart"/>
            <w:r>
              <w:t>Phe</w:t>
            </w:r>
            <w:proofErr w:type="spellEnd"/>
            <w:r>
              <w:t>-restricted diet</w:t>
            </w:r>
          </w:p>
          <w:p w14:paraId="4B93264B" w14:textId="77777777" w:rsidR="004D59D4" w:rsidRDefault="00023FAF" w:rsidP="00025AAC">
            <w:pPr>
              <w:pStyle w:val="In-tableHeading"/>
              <w:jc w:val="center"/>
            </w:pPr>
            <w:r>
              <w:t>n/N (%)</w:t>
            </w:r>
          </w:p>
        </w:tc>
        <w:tc>
          <w:tcPr>
            <w:tcW w:w="1339" w:type="dxa"/>
            <w:vAlign w:val="center"/>
          </w:tcPr>
          <w:p w14:paraId="6730D725" w14:textId="77777777" w:rsidR="004D59D4" w:rsidRDefault="00023FAF" w:rsidP="00025AAC">
            <w:pPr>
              <w:pStyle w:val="In-tableHeading"/>
              <w:jc w:val="center"/>
            </w:pPr>
            <w:r>
              <w:t>OR (95% CI)</w:t>
            </w:r>
          </w:p>
        </w:tc>
        <w:tc>
          <w:tcPr>
            <w:tcW w:w="1339" w:type="dxa"/>
            <w:vAlign w:val="center"/>
          </w:tcPr>
          <w:p w14:paraId="57BAA6B8" w14:textId="77777777" w:rsidR="004D59D4" w:rsidRDefault="00023FAF" w:rsidP="00025AAC">
            <w:pPr>
              <w:pStyle w:val="In-tableHeading"/>
              <w:jc w:val="center"/>
            </w:pPr>
            <w:proofErr w:type="spellStart"/>
            <w:r>
              <w:t>Pegvaliase</w:t>
            </w:r>
            <w:proofErr w:type="spellEnd"/>
          </w:p>
          <w:p w14:paraId="2E9AB97C" w14:textId="77777777" w:rsidR="004D59D4" w:rsidRDefault="00023FAF" w:rsidP="00025AAC">
            <w:pPr>
              <w:pStyle w:val="In-tableHeading"/>
              <w:jc w:val="center"/>
            </w:pPr>
            <w:r>
              <w:t>n/N (%)</w:t>
            </w:r>
          </w:p>
        </w:tc>
        <w:tc>
          <w:tcPr>
            <w:tcW w:w="1339" w:type="dxa"/>
            <w:vAlign w:val="center"/>
          </w:tcPr>
          <w:p w14:paraId="00CA9F52" w14:textId="77777777" w:rsidR="004D59D4" w:rsidRDefault="00023FAF" w:rsidP="00025AAC">
            <w:pPr>
              <w:pStyle w:val="In-tableHeading"/>
              <w:jc w:val="center"/>
            </w:pPr>
            <w:proofErr w:type="spellStart"/>
            <w:r>
              <w:t>Phe</w:t>
            </w:r>
            <w:proofErr w:type="spellEnd"/>
            <w:r>
              <w:t>-restricted diet</w:t>
            </w:r>
          </w:p>
          <w:p w14:paraId="784EB506" w14:textId="77777777" w:rsidR="004D59D4" w:rsidRDefault="00023FAF" w:rsidP="00025AAC">
            <w:pPr>
              <w:pStyle w:val="In-tableHeading"/>
              <w:jc w:val="center"/>
            </w:pPr>
            <w:r>
              <w:t>n/N (%)</w:t>
            </w:r>
          </w:p>
        </w:tc>
        <w:tc>
          <w:tcPr>
            <w:tcW w:w="1339" w:type="dxa"/>
            <w:vAlign w:val="center"/>
          </w:tcPr>
          <w:p w14:paraId="7E8395C6" w14:textId="77777777" w:rsidR="004D59D4" w:rsidRDefault="00023FAF" w:rsidP="00025AAC">
            <w:pPr>
              <w:pStyle w:val="In-tableHeading"/>
              <w:jc w:val="center"/>
            </w:pPr>
            <w:r>
              <w:t>OR (95% CI)</w:t>
            </w:r>
          </w:p>
        </w:tc>
      </w:tr>
      <w:tr w:rsidR="004D59D4" w14:paraId="069B03E7" w14:textId="77777777">
        <w:tc>
          <w:tcPr>
            <w:tcW w:w="8926" w:type="dxa"/>
            <w:gridSpan w:val="7"/>
          </w:tcPr>
          <w:p w14:paraId="70FBCAAB" w14:textId="77777777" w:rsidR="004D59D4" w:rsidRDefault="00023FAF" w:rsidP="00025AAC">
            <w:pPr>
              <w:pStyle w:val="TableText1"/>
              <w:rPr>
                <w:b/>
                <w:bCs w:val="0"/>
              </w:rPr>
            </w:pPr>
            <w:r>
              <w:rPr>
                <w:b/>
                <w:bCs w:val="0"/>
              </w:rPr>
              <w:t>Year 1</w:t>
            </w:r>
          </w:p>
        </w:tc>
      </w:tr>
      <w:tr w:rsidR="004D59D4" w14:paraId="3AF71C61" w14:textId="77777777">
        <w:tc>
          <w:tcPr>
            <w:tcW w:w="988" w:type="dxa"/>
            <w:shd w:val="clear" w:color="auto" w:fill="B8CCE4" w:themeFill="accent1" w:themeFillTint="66"/>
            <w:vAlign w:val="center"/>
          </w:tcPr>
          <w:p w14:paraId="03F1591D" w14:textId="77777777" w:rsidR="004D59D4" w:rsidRDefault="00023FAF" w:rsidP="00025AAC">
            <w:pPr>
              <w:pStyle w:val="TableText1"/>
            </w:pPr>
            <w:r>
              <w:t>Zori 2019</w:t>
            </w:r>
          </w:p>
        </w:tc>
        <w:tc>
          <w:tcPr>
            <w:tcW w:w="1242" w:type="dxa"/>
            <w:shd w:val="clear" w:color="auto" w:fill="B8CCE4" w:themeFill="accent1" w:themeFillTint="66"/>
            <w:vAlign w:val="center"/>
          </w:tcPr>
          <w:p w14:paraId="5CF456BF" w14:textId="77777777" w:rsidR="004D59D4" w:rsidRDefault="00023FAF" w:rsidP="00025AAC">
            <w:pPr>
              <w:pStyle w:val="TableText1"/>
              <w:jc w:val="center"/>
            </w:pPr>
            <w:r>
              <w:t>41/87 (47)</w:t>
            </w:r>
          </w:p>
        </w:tc>
        <w:tc>
          <w:tcPr>
            <w:tcW w:w="1340" w:type="dxa"/>
            <w:shd w:val="clear" w:color="auto" w:fill="B8CCE4" w:themeFill="accent1" w:themeFillTint="66"/>
            <w:vAlign w:val="center"/>
          </w:tcPr>
          <w:p w14:paraId="24B0B37B" w14:textId="77777777" w:rsidR="004D59D4" w:rsidRDefault="00023FAF" w:rsidP="00025AAC">
            <w:pPr>
              <w:pStyle w:val="TableText1"/>
              <w:jc w:val="center"/>
            </w:pPr>
            <w:r>
              <w:t>0/51 (0)</w:t>
            </w:r>
          </w:p>
        </w:tc>
        <w:tc>
          <w:tcPr>
            <w:tcW w:w="1339" w:type="dxa"/>
            <w:vAlign w:val="center"/>
          </w:tcPr>
          <w:p w14:paraId="29E24436" w14:textId="77777777" w:rsidR="004D59D4" w:rsidRDefault="00023FAF" w:rsidP="00025AAC">
            <w:pPr>
              <w:pStyle w:val="TableText1"/>
              <w:jc w:val="center"/>
            </w:pPr>
            <w:r>
              <w:t>NC</w:t>
            </w:r>
          </w:p>
        </w:tc>
        <w:tc>
          <w:tcPr>
            <w:tcW w:w="1339" w:type="dxa"/>
            <w:shd w:val="clear" w:color="auto" w:fill="B8CCE4" w:themeFill="accent1" w:themeFillTint="66"/>
            <w:vAlign w:val="center"/>
          </w:tcPr>
          <w:p w14:paraId="685F8CE1" w14:textId="77777777" w:rsidR="004D59D4" w:rsidRDefault="00023FAF" w:rsidP="00025AAC">
            <w:pPr>
              <w:pStyle w:val="TableText1"/>
              <w:jc w:val="center"/>
            </w:pPr>
            <w:r>
              <w:t>58/87 (67)</w:t>
            </w:r>
          </w:p>
        </w:tc>
        <w:tc>
          <w:tcPr>
            <w:tcW w:w="1339" w:type="dxa"/>
            <w:shd w:val="clear" w:color="auto" w:fill="B8CCE4" w:themeFill="accent1" w:themeFillTint="66"/>
            <w:vAlign w:val="center"/>
          </w:tcPr>
          <w:p w14:paraId="34AC7598" w14:textId="77777777" w:rsidR="004D59D4" w:rsidRDefault="00023FAF" w:rsidP="00025AAC">
            <w:pPr>
              <w:pStyle w:val="TableText1"/>
              <w:jc w:val="center"/>
            </w:pPr>
            <w:r>
              <w:t>9/51 (18)</w:t>
            </w:r>
          </w:p>
        </w:tc>
        <w:tc>
          <w:tcPr>
            <w:tcW w:w="1339" w:type="dxa"/>
            <w:vAlign w:val="center"/>
          </w:tcPr>
          <w:p w14:paraId="57282A99" w14:textId="77777777" w:rsidR="004D59D4" w:rsidRDefault="00023FAF" w:rsidP="00025AAC">
            <w:pPr>
              <w:pStyle w:val="TableText1"/>
              <w:jc w:val="center"/>
              <w:rPr>
                <w:b/>
                <w:bCs w:val="0"/>
              </w:rPr>
            </w:pPr>
            <w:r>
              <w:rPr>
                <w:b/>
                <w:bCs w:val="0"/>
              </w:rPr>
              <w:t xml:space="preserve">0.11 </w:t>
            </w:r>
            <w:r>
              <w:rPr>
                <w:b/>
                <w:bCs w:val="0"/>
              </w:rPr>
              <w:br/>
              <w:t>(0.05, 0.25)</w:t>
            </w:r>
          </w:p>
        </w:tc>
      </w:tr>
      <w:tr w:rsidR="004D59D4" w14:paraId="61B5EC32" w14:textId="77777777">
        <w:tc>
          <w:tcPr>
            <w:tcW w:w="988" w:type="dxa"/>
            <w:shd w:val="clear" w:color="auto" w:fill="B8CCE4" w:themeFill="accent1" w:themeFillTint="66"/>
            <w:vAlign w:val="center"/>
          </w:tcPr>
          <w:p w14:paraId="35088530" w14:textId="77777777" w:rsidR="004D59D4" w:rsidRDefault="00023FAF" w:rsidP="00025AAC">
            <w:pPr>
              <w:pStyle w:val="TableText1"/>
            </w:pPr>
            <w:r>
              <w:t xml:space="preserve">Indirect </w:t>
            </w:r>
            <w:proofErr w:type="spellStart"/>
            <w:proofErr w:type="gramStart"/>
            <w:r>
              <w:t>analysis</w:t>
            </w:r>
            <w:r>
              <w:rPr>
                <w:vertAlign w:val="superscript"/>
              </w:rPr>
              <w:t>a,b</w:t>
            </w:r>
            <w:proofErr w:type="spellEnd"/>
            <w:proofErr w:type="gramEnd"/>
          </w:p>
        </w:tc>
        <w:tc>
          <w:tcPr>
            <w:tcW w:w="1242" w:type="dxa"/>
            <w:shd w:val="clear" w:color="auto" w:fill="B8CCE4" w:themeFill="accent1" w:themeFillTint="66"/>
            <w:vAlign w:val="center"/>
          </w:tcPr>
          <w:p w14:paraId="22EA5503" w14:textId="77777777" w:rsidR="004D59D4" w:rsidRDefault="00023FAF" w:rsidP="00025AAC">
            <w:pPr>
              <w:pStyle w:val="TableText1"/>
              <w:jc w:val="center"/>
            </w:pPr>
            <w:r>
              <w:t>96/261 (37)</w:t>
            </w:r>
          </w:p>
        </w:tc>
        <w:tc>
          <w:tcPr>
            <w:tcW w:w="1340" w:type="dxa"/>
            <w:shd w:val="clear" w:color="auto" w:fill="B8CCE4" w:themeFill="accent1" w:themeFillTint="66"/>
            <w:vAlign w:val="center"/>
          </w:tcPr>
          <w:p w14:paraId="12CC0E03" w14:textId="77777777" w:rsidR="004D59D4" w:rsidRDefault="00023FAF" w:rsidP="00025AAC">
            <w:pPr>
              <w:pStyle w:val="TableText1"/>
              <w:jc w:val="center"/>
            </w:pPr>
            <w:r>
              <w:t>4/50 (8)</w:t>
            </w:r>
          </w:p>
        </w:tc>
        <w:tc>
          <w:tcPr>
            <w:tcW w:w="1339" w:type="dxa"/>
            <w:shd w:val="clear" w:color="auto" w:fill="B8CCE4" w:themeFill="accent1" w:themeFillTint="66"/>
            <w:vAlign w:val="center"/>
          </w:tcPr>
          <w:p w14:paraId="39424C3A" w14:textId="77777777" w:rsidR="004D59D4" w:rsidRDefault="00023FAF" w:rsidP="00025AAC">
            <w:pPr>
              <w:pStyle w:val="TableText1"/>
              <w:jc w:val="center"/>
            </w:pPr>
            <w:r>
              <w:rPr>
                <w:b/>
                <w:bCs w:val="0"/>
              </w:rPr>
              <w:t>0.15</w:t>
            </w:r>
            <w:r>
              <w:rPr>
                <w:b/>
                <w:bCs w:val="0"/>
              </w:rPr>
              <w:br/>
              <w:t>(0.05, 0.43)</w:t>
            </w:r>
          </w:p>
        </w:tc>
        <w:tc>
          <w:tcPr>
            <w:tcW w:w="1339" w:type="dxa"/>
            <w:shd w:val="clear" w:color="auto" w:fill="B8CCE4" w:themeFill="accent1" w:themeFillTint="66"/>
            <w:vAlign w:val="center"/>
          </w:tcPr>
          <w:p w14:paraId="3F731D52" w14:textId="77777777" w:rsidR="004D59D4" w:rsidRDefault="00023FAF" w:rsidP="00025AAC">
            <w:pPr>
              <w:pStyle w:val="TableText1"/>
              <w:jc w:val="center"/>
            </w:pPr>
            <w:r>
              <w:t>147/261 (56)</w:t>
            </w:r>
          </w:p>
        </w:tc>
        <w:tc>
          <w:tcPr>
            <w:tcW w:w="1339" w:type="dxa"/>
            <w:shd w:val="clear" w:color="auto" w:fill="B8CCE4" w:themeFill="accent1" w:themeFillTint="66"/>
            <w:vAlign w:val="center"/>
          </w:tcPr>
          <w:p w14:paraId="3E389ADF" w14:textId="77777777" w:rsidR="004D59D4" w:rsidRDefault="00023FAF" w:rsidP="00025AAC">
            <w:pPr>
              <w:pStyle w:val="TableText1"/>
              <w:jc w:val="center"/>
            </w:pPr>
            <w:r>
              <w:t>9/50 (18)</w:t>
            </w:r>
          </w:p>
        </w:tc>
        <w:tc>
          <w:tcPr>
            <w:tcW w:w="1339" w:type="dxa"/>
            <w:shd w:val="clear" w:color="auto" w:fill="B8CCE4" w:themeFill="accent1" w:themeFillTint="66"/>
            <w:vAlign w:val="center"/>
          </w:tcPr>
          <w:p w14:paraId="1C9A2CD0" w14:textId="77777777" w:rsidR="004D59D4" w:rsidRDefault="00023FAF" w:rsidP="00025AAC">
            <w:pPr>
              <w:pStyle w:val="TableText1"/>
              <w:jc w:val="center"/>
            </w:pPr>
            <w:r>
              <w:rPr>
                <w:b/>
                <w:bCs w:val="0"/>
              </w:rPr>
              <w:t xml:space="preserve">0.17 </w:t>
            </w:r>
            <w:r>
              <w:rPr>
                <w:b/>
                <w:bCs w:val="0"/>
              </w:rPr>
              <w:br/>
              <w:t>(0.08, 0.36)</w:t>
            </w:r>
          </w:p>
        </w:tc>
      </w:tr>
      <w:tr w:rsidR="004D59D4" w14:paraId="79CD856A" w14:textId="77777777">
        <w:tc>
          <w:tcPr>
            <w:tcW w:w="988" w:type="dxa"/>
            <w:vAlign w:val="center"/>
          </w:tcPr>
          <w:p w14:paraId="1B3322B1" w14:textId="77777777" w:rsidR="004D59D4" w:rsidRDefault="00023FAF" w:rsidP="00025AAC">
            <w:pPr>
              <w:pStyle w:val="TableText1"/>
            </w:pPr>
            <w:r>
              <w:t>Burton 2024</w:t>
            </w:r>
          </w:p>
        </w:tc>
        <w:tc>
          <w:tcPr>
            <w:tcW w:w="1242" w:type="dxa"/>
            <w:vAlign w:val="center"/>
          </w:tcPr>
          <w:p w14:paraId="13C6A2B1" w14:textId="77777777" w:rsidR="004D59D4" w:rsidRDefault="00023FAF" w:rsidP="00025AAC">
            <w:pPr>
              <w:pStyle w:val="TableText1"/>
              <w:jc w:val="center"/>
            </w:pPr>
            <w:r>
              <w:t>13/180 (7)</w:t>
            </w:r>
          </w:p>
        </w:tc>
        <w:tc>
          <w:tcPr>
            <w:tcW w:w="1340" w:type="dxa"/>
            <w:vAlign w:val="center"/>
          </w:tcPr>
          <w:p w14:paraId="465C113B" w14:textId="77777777" w:rsidR="004D59D4" w:rsidRDefault="00023FAF" w:rsidP="00025AAC">
            <w:pPr>
              <w:pStyle w:val="TableText1"/>
              <w:jc w:val="center"/>
            </w:pPr>
            <w:r>
              <w:t>0/42</w:t>
            </w:r>
          </w:p>
        </w:tc>
        <w:tc>
          <w:tcPr>
            <w:tcW w:w="1339" w:type="dxa"/>
            <w:vAlign w:val="center"/>
          </w:tcPr>
          <w:p w14:paraId="550DCF5C" w14:textId="77777777" w:rsidR="004D59D4" w:rsidRDefault="00023FAF" w:rsidP="00025AAC">
            <w:pPr>
              <w:pStyle w:val="TableText1"/>
              <w:jc w:val="center"/>
            </w:pPr>
            <w:r>
              <w:t>NC</w:t>
            </w:r>
          </w:p>
        </w:tc>
        <w:tc>
          <w:tcPr>
            <w:tcW w:w="1339" w:type="dxa"/>
            <w:vAlign w:val="center"/>
          </w:tcPr>
          <w:p w14:paraId="0DD8EED7" w14:textId="77777777" w:rsidR="004D59D4" w:rsidRDefault="00023FAF" w:rsidP="00025AAC">
            <w:pPr>
              <w:pStyle w:val="TableText1"/>
              <w:jc w:val="center"/>
            </w:pPr>
            <w:r>
              <w:t>NR</w:t>
            </w:r>
          </w:p>
        </w:tc>
        <w:tc>
          <w:tcPr>
            <w:tcW w:w="1339" w:type="dxa"/>
            <w:vAlign w:val="center"/>
          </w:tcPr>
          <w:p w14:paraId="564F6F97" w14:textId="77777777" w:rsidR="004D59D4" w:rsidRDefault="00023FAF" w:rsidP="00025AAC">
            <w:pPr>
              <w:pStyle w:val="TableText1"/>
              <w:jc w:val="center"/>
            </w:pPr>
            <w:r>
              <w:t>NR</w:t>
            </w:r>
          </w:p>
        </w:tc>
        <w:tc>
          <w:tcPr>
            <w:tcW w:w="1339" w:type="dxa"/>
            <w:vAlign w:val="center"/>
          </w:tcPr>
          <w:p w14:paraId="4078EA9E" w14:textId="77777777" w:rsidR="004D59D4" w:rsidRDefault="00023FAF" w:rsidP="00025AAC">
            <w:pPr>
              <w:pStyle w:val="TableText1"/>
              <w:jc w:val="center"/>
            </w:pPr>
            <w:r>
              <w:t>NR</w:t>
            </w:r>
          </w:p>
        </w:tc>
      </w:tr>
      <w:tr w:rsidR="004D59D4" w14:paraId="54033E6B" w14:textId="77777777">
        <w:tc>
          <w:tcPr>
            <w:tcW w:w="8926" w:type="dxa"/>
            <w:gridSpan w:val="7"/>
            <w:vAlign w:val="center"/>
          </w:tcPr>
          <w:p w14:paraId="5C84216D" w14:textId="77777777" w:rsidR="004D59D4" w:rsidRDefault="00023FAF" w:rsidP="00025AAC">
            <w:pPr>
              <w:pStyle w:val="TableText1"/>
              <w:rPr>
                <w:b/>
                <w:bCs w:val="0"/>
              </w:rPr>
            </w:pPr>
            <w:r>
              <w:rPr>
                <w:b/>
                <w:bCs w:val="0"/>
              </w:rPr>
              <w:t>Year 2</w:t>
            </w:r>
          </w:p>
        </w:tc>
      </w:tr>
      <w:tr w:rsidR="004D59D4" w14:paraId="3D25404E" w14:textId="77777777">
        <w:tc>
          <w:tcPr>
            <w:tcW w:w="988" w:type="dxa"/>
            <w:shd w:val="clear" w:color="auto" w:fill="B8CCE4" w:themeFill="accent1" w:themeFillTint="66"/>
            <w:vAlign w:val="center"/>
          </w:tcPr>
          <w:p w14:paraId="1B7E7753" w14:textId="77777777" w:rsidR="004D59D4" w:rsidRDefault="00023FAF" w:rsidP="00025AAC">
            <w:pPr>
              <w:pStyle w:val="TableText1"/>
            </w:pPr>
            <w:r>
              <w:t>Zori 2019</w:t>
            </w:r>
          </w:p>
        </w:tc>
        <w:tc>
          <w:tcPr>
            <w:tcW w:w="1242" w:type="dxa"/>
            <w:shd w:val="clear" w:color="auto" w:fill="B8CCE4" w:themeFill="accent1" w:themeFillTint="66"/>
            <w:vAlign w:val="center"/>
          </w:tcPr>
          <w:p w14:paraId="5DB46692" w14:textId="77777777" w:rsidR="004D59D4" w:rsidRDefault="00023FAF" w:rsidP="00025AAC">
            <w:pPr>
              <w:pStyle w:val="TableText1"/>
              <w:jc w:val="center"/>
            </w:pPr>
            <w:r>
              <w:t>58/80 (72)</w:t>
            </w:r>
          </w:p>
        </w:tc>
        <w:tc>
          <w:tcPr>
            <w:tcW w:w="1340" w:type="dxa"/>
            <w:shd w:val="clear" w:color="auto" w:fill="B8CCE4" w:themeFill="accent1" w:themeFillTint="66"/>
            <w:vAlign w:val="center"/>
          </w:tcPr>
          <w:p w14:paraId="6CCFCA73" w14:textId="77777777" w:rsidR="004D59D4" w:rsidRDefault="00023FAF" w:rsidP="00025AAC">
            <w:pPr>
              <w:pStyle w:val="TableText1"/>
              <w:jc w:val="center"/>
            </w:pPr>
            <w:r>
              <w:t>1/42 (2)</w:t>
            </w:r>
          </w:p>
        </w:tc>
        <w:tc>
          <w:tcPr>
            <w:tcW w:w="1339" w:type="dxa"/>
            <w:vAlign w:val="center"/>
          </w:tcPr>
          <w:p w14:paraId="7A968EB1" w14:textId="77777777" w:rsidR="004D59D4" w:rsidRDefault="00023FAF" w:rsidP="00025AAC">
            <w:pPr>
              <w:pStyle w:val="TableText1"/>
              <w:jc w:val="center"/>
              <w:rPr>
                <w:b/>
                <w:bCs w:val="0"/>
              </w:rPr>
            </w:pPr>
            <w:r>
              <w:rPr>
                <w:b/>
                <w:bCs w:val="0"/>
              </w:rPr>
              <w:t xml:space="preserve">0.01 </w:t>
            </w:r>
            <w:r>
              <w:rPr>
                <w:b/>
                <w:bCs w:val="0"/>
              </w:rPr>
              <w:br/>
              <w:t>(0.00, 0.07)</w:t>
            </w:r>
          </w:p>
        </w:tc>
        <w:tc>
          <w:tcPr>
            <w:tcW w:w="1339" w:type="dxa"/>
            <w:shd w:val="clear" w:color="auto" w:fill="B8CCE4" w:themeFill="accent1" w:themeFillTint="66"/>
            <w:vAlign w:val="center"/>
          </w:tcPr>
          <w:p w14:paraId="7CED124F" w14:textId="77777777" w:rsidR="004D59D4" w:rsidRDefault="00023FAF" w:rsidP="00025AAC">
            <w:pPr>
              <w:pStyle w:val="TableText1"/>
              <w:jc w:val="center"/>
            </w:pPr>
            <w:r>
              <w:t>65/80 (81)</w:t>
            </w:r>
          </w:p>
        </w:tc>
        <w:tc>
          <w:tcPr>
            <w:tcW w:w="1339" w:type="dxa"/>
            <w:shd w:val="clear" w:color="auto" w:fill="B8CCE4" w:themeFill="accent1" w:themeFillTint="66"/>
            <w:vAlign w:val="center"/>
          </w:tcPr>
          <w:p w14:paraId="2DE46433" w14:textId="77777777" w:rsidR="004D59D4" w:rsidRDefault="00023FAF" w:rsidP="00025AAC">
            <w:pPr>
              <w:pStyle w:val="TableText1"/>
              <w:jc w:val="center"/>
            </w:pPr>
            <w:r>
              <w:rPr>
                <w:rFonts w:eastAsia="Times New Roman" w:cs="Times New Roman"/>
              </w:rPr>
              <w:t>9/42 (21)</w:t>
            </w:r>
          </w:p>
        </w:tc>
        <w:tc>
          <w:tcPr>
            <w:tcW w:w="1339" w:type="dxa"/>
            <w:vAlign w:val="center"/>
          </w:tcPr>
          <w:p w14:paraId="2DE4C9FA" w14:textId="77777777" w:rsidR="004D59D4" w:rsidRDefault="00023FAF" w:rsidP="00025AAC">
            <w:pPr>
              <w:pStyle w:val="TableText1"/>
              <w:jc w:val="center"/>
              <w:rPr>
                <w:b/>
                <w:bCs w:val="0"/>
              </w:rPr>
            </w:pPr>
            <w:r>
              <w:rPr>
                <w:b/>
                <w:bCs w:val="0"/>
              </w:rPr>
              <w:t xml:space="preserve">0.06 </w:t>
            </w:r>
            <w:r>
              <w:rPr>
                <w:b/>
                <w:bCs w:val="0"/>
              </w:rPr>
              <w:br/>
              <w:t>(0.02, 0.16)</w:t>
            </w:r>
          </w:p>
        </w:tc>
      </w:tr>
      <w:tr w:rsidR="004D59D4" w14:paraId="02216755" w14:textId="77777777">
        <w:tc>
          <w:tcPr>
            <w:tcW w:w="988" w:type="dxa"/>
            <w:shd w:val="clear" w:color="auto" w:fill="B8CCE4" w:themeFill="accent1" w:themeFillTint="66"/>
            <w:vAlign w:val="center"/>
          </w:tcPr>
          <w:p w14:paraId="5920CAEC" w14:textId="77777777" w:rsidR="004D59D4" w:rsidRDefault="00023FAF" w:rsidP="00025AAC">
            <w:pPr>
              <w:pStyle w:val="TableText1"/>
            </w:pPr>
            <w:r>
              <w:t>Indirect analysis</w:t>
            </w:r>
            <w:r>
              <w:rPr>
                <w:vertAlign w:val="superscript"/>
              </w:rPr>
              <w:t xml:space="preserve"> b</w:t>
            </w:r>
          </w:p>
        </w:tc>
        <w:tc>
          <w:tcPr>
            <w:tcW w:w="1242" w:type="dxa"/>
            <w:shd w:val="clear" w:color="auto" w:fill="B8CCE4" w:themeFill="accent1" w:themeFillTint="66"/>
            <w:vAlign w:val="center"/>
          </w:tcPr>
          <w:p w14:paraId="5A15B0BA" w14:textId="77777777" w:rsidR="004D59D4" w:rsidRDefault="00023FAF" w:rsidP="00025AAC">
            <w:pPr>
              <w:pStyle w:val="TableText1"/>
              <w:jc w:val="center"/>
            </w:pPr>
            <w:r>
              <w:t>135/261 (52)</w:t>
            </w:r>
          </w:p>
        </w:tc>
        <w:tc>
          <w:tcPr>
            <w:tcW w:w="1340" w:type="dxa"/>
            <w:shd w:val="clear" w:color="auto" w:fill="B8CCE4" w:themeFill="accent1" w:themeFillTint="66"/>
            <w:vAlign w:val="center"/>
          </w:tcPr>
          <w:p w14:paraId="0D29A61E" w14:textId="77777777" w:rsidR="004D59D4" w:rsidRDefault="00023FAF" w:rsidP="00025AAC">
            <w:pPr>
              <w:pStyle w:val="TableText1"/>
              <w:jc w:val="center"/>
            </w:pPr>
            <w:r>
              <w:t>3/50 (6)</w:t>
            </w:r>
          </w:p>
        </w:tc>
        <w:tc>
          <w:tcPr>
            <w:tcW w:w="1339" w:type="dxa"/>
            <w:shd w:val="clear" w:color="auto" w:fill="B8CCE4" w:themeFill="accent1" w:themeFillTint="66"/>
            <w:vAlign w:val="center"/>
          </w:tcPr>
          <w:p w14:paraId="11D67883" w14:textId="77777777" w:rsidR="004D59D4" w:rsidRDefault="00023FAF" w:rsidP="00025AAC">
            <w:pPr>
              <w:pStyle w:val="TableText1"/>
              <w:jc w:val="center"/>
            </w:pPr>
            <w:r>
              <w:rPr>
                <w:b/>
                <w:bCs w:val="0"/>
              </w:rPr>
              <w:t xml:space="preserve">0.06 </w:t>
            </w:r>
            <w:r>
              <w:rPr>
                <w:b/>
                <w:bCs w:val="0"/>
              </w:rPr>
              <w:br/>
              <w:t>(0.02, 0.20)</w:t>
            </w:r>
          </w:p>
        </w:tc>
        <w:tc>
          <w:tcPr>
            <w:tcW w:w="1339" w:type="dxa"/>
            <w:shd w:val="clear" w:color="auto" w:fill="B8CCE4" w:themeFill="accent1" w:themeFillTint="66"/>
            <w:vAlign w:val="center"/>
          </w:tcPr>
          <w:p w14:paraId="6BD9E220" w14:textId="77777777" w:rsidR="004D59D4" w:rsidRDefault="00023FAF" w:rsidP="00025AAC">
            <w:pPr>
              <w:pStyle w:val="TableText1"/>
              <w:jc w:val="center"/>
            </w:pPr>
            <w:r>
              <w:t>169/261 (65)</w:t>
            </w:r>
          </w:p>
        </w:tc>
        <w:tc>
          <w:tcPr>
            <w:tcW w:w="1339" w:type="dxa"/>
            <w:shd w:val="clear" w:color="auto" w:fill="B8CCE4" w:themeFill="accent1" w:themeFillTint="66"/>
            <w:vAlign w:val="center"/>
          </w:tcPr>
          <w:p w14:paraId="20C4C9BB" w14:textId="77777777" w:rsidR="004D59D4" w:rsidRDefault="00023FAF" w:rsidP="00025AAC">
            <w:pPr>
              <w:pStyle w:val="TableText1"/>
              <w:jc w:val="center"/>
            </w:pPr>
            <w:r>
              <w:t>13/50 (26)</w:t>
            </w:r>
          </w:p>
        </w:tc>
        <w:tc>
          <w:tcPr>
            <w:tcW w:w="1339" w:type="dxa"/>
            <w:shd w:val="clear" w:color="auto" w:fill="B8CCE4" w:themeFill="accent1" w:themeFillTint="66"/>
            <w:vAlign w:val="center"/>
          </w:tcPr>
          <w:p w14:paraId="387BD82F" w14:textId="77777777" w:rsidR="004D59D4" w:rsidRDefault="00023FAF" w:rsidP="00025AAC">
            <w:pPr>
              <w:pStyle w:val="TableText1"/>
              <w:jc w:val="center"/>
            </w:pPr>
            <w:r>
              <w:rPr>
                <w:b/>
                <w:bCs w:val="0"/>
              </w:rPr>
              <w:t xml:space="preserve">0.19 </w:t>
            </w:r>
            <w:r>
              <w:rPr>
                <w:b/>
                <w:bCs w:val="0"/>
              </w:rPr>
              <w:br/>
              <w:t>(0.10, 0.38)</w:t>
            </w:r>
          </w:p>
        </w:tc>
      </w:tr>
      <w:tr w:rsidR="004D59D4" w14:paraId="1BDB85A4" w14:textId="77777777">
        <w:tc>
          <w:tcPr>
            <w:tcW w:w="988" w:type="dxa"/>
            <w:vAlign w:val="center"/>
          </w:tcPr>
          <w:p w14:paraId="5685DCB4" w14:textId="77777777" w:rsidR="004D59D4" w:rsidRDefault="00023FAF" w:rsidP="00025AAC">
            <w:pPr>
              <w:pStyle w:val="TableText1"/>
            </w:pPr>
            <w:r>
              <w:t>Burton 2024</w:t>
            </w:r>
          </w:p>
        </w:tc>
        <w:tc>
          <w:tcPr>
            <w:tcW w:w="1242" w:type="dxa"/>
            <w:vAlign w:val="center"/>
          </w:tcPr>
          <w:p w14:paraId="6870C167" w14:textId="77777777" w:rsidR="004D59D4" w:rsidRDefault="00023FAF" w:rsidP="00025AAC">
            <w:pPr>
              <w:pStyle w:val="TableText1"/>
              <w:jc w:val="center"/>
            </w:pPr>
            <w:r>
              <w:t>79/165 (48)</w:t>
            </w:r>
          </w:p>
        </w:tc>
        <w:tc>
          <w:tcPr>
            <w:tcW w:w="1340" w:type="dxa"/>
            <w:vAlign w:val="center"/>
          </w:tcPr>
          <w:p w14:paraId="48B87F5C" w14:textId="77777777" w:rsidR="004D59D4" w:rsidRDefault="00023FAF" w:rsidP="00025AAC">
            <w:pPr>
              <w:pStyle w:val="TableText1"/>
              <w:jc w:val="center"/>
            </w:pPr>
            <w:r>
              <w:t>0/32</w:t>
            </w:r>
          </w:p>
        </w:tc>
        <w:tc>
          <w:tcPr>
            <w:tcW w:w="1339" w:type="dxa"/>
            <w:vAlign w:val="center"/>
          </w:tcPr>
          <w:p w14:paraId="68FAB852" w14:textId="77777777" w:rsidR="004D59D4" w:rsidRDefault="00023FAF" w:rsidP="00025AAC">
            <w:pPr>
              <w:pStyle w:val="TableText1"/>
              <w:jc w:val="center"/>
            </w:pPr>
            <w:r>
              <w:t>NC</w:t>
            </w:r>
          </w:p>
        </w:tc>
        <w:tc>
          <w:tcPr>
            <w:tcW w:w="1339" w:type="dxa"/>
            <w:vAlign w:val="center"/>
          </w:tcPr>
          <w:p w14:paraId="757E2210" w14:textId="77777777" w:rsidR="004D59D4" w:rsidRDefault="00023FAF" w:rsidP="00025AAC">
            <w:pPr>
              <w:pStyle w:val="TableText1"/>
              <w:jc w:val="center"/>
            </w:pPr>
            <w:r>
              <w:t>NR</w:t>
            </w:r>
          </w:p>
        </w:tc>
        <w:tc>
          <w:tcPr>
            <w:tcW w:w="1339" w:type="dxa"/>
            <w:vAlign w:val="center"/>
          </w:tcPr>
          <w:p w14:paraId="02EDBED2" w14:textId="77777777" w:rsidR="004D59D4" w:rsidRDefault="00023FAF" w:rsidP="00025AAC">
            <w:pPr>
              <w:pStyle w:val="TableText1"/>
              <w:jc w:val="center"/>
            </w:pPr>
            <w:r>
              <w:t>NR</w:t>
            </w:r>
          </w:p>
        </w:tc>
        <w:tc>
          <w:tcPr>
            <w:tcW w:w="1339" w:type="dxa"/>
            <w:vAlign w:val="center"/>
          </w:tcPr>
          <w:p w14:paraId="75BE2D44" w14:textId="77777777" w:rsidR="004D59D4" w:rsidRDefault="00023FAF" w:rsidP="00025AAC">
            <w:pPr>
              <w:pStyle w:val="TableText1"/>
              <w:jc w:val="center"/>
            </w:pPr>
            <w:r>
              <w:t>NR</w:t>
            </w:r>
          </w:p>
        </w:tc>
      </w:tr>
    </w:tbl>
    <w:p w14:paraId="4FA29941" w14:textId="77777777" w:rsidR="004D59D4" w:rsidRDefault="00023FAF" w:rsidP="00025AAC">
      <w:pPr>
        <w:pStyle w:val="TableFigureFooter"/>
        <w:jc w:val="both"/>
      </w:pPr>
      <w:r>
        <w:t>Note: Blue shading indicates data sets previously considered by the PBAC. Bold denotes a statistically significant value (p ≤ 0.05)</w:t>
      </w:r>
    </w:p>
    <w:p w14:paraId="2BDE20B1" w14:textId="77777777" w:rsidR="004D59D4" w:rsidRDefault="00023FAF" w:rsidP="00025AAC">
      <w:pPr>
        <w:pStyle w:val="TableFigureFooter"/>
        <w:jc w:val="both"/>
      </w:pPr>
      <w:r>
        <w:t xml:space="preserve">Source: Tables 2.6-3, 2.6-10 and 2.6-12 and Figure 2.6-3, pp 166, 172, 186 and 189 of the </w:t>
      </w:r>
      <w:proofErr w:type="gramStart"/>
      <w:r>
        <w:t>resubmission</w:t>
      </w:r>
      <w:proofErr w:type="gramEnd"/>
      <w:r>
        <w:t>; evaluator conducted calculations.</w:t>
      </w:r>
    </w:p>
    <w:p w14:paraId="0398E41F" w14:textId="77777777" w:rsidR="004D59D4" w:rsidRDefault="00023FAF" w:rsidP="00025AAC">
      <w:pPr>
        <w:pStyle w:val="TableFigureFooter"/>
        <w:jc w:val="both"/>
      </w:pPr>
      <w:r>
        <w:t xml:space="preserve">CI = confidence interval; NC = not calculable; NR = not reported; OR = odds ratio; </w:t>
      </w:r>
      <w:proofErr w:type="spellStart"/>
      <w:r>
        <w:t>Phe</w:t>
      </w:r>
      <w:proofErr w:type="spellEnd"/>
      <w:r>
        <w:t xml:space="preserve"> = phenylalanine</w:t>
      </w:r>
    </w:p>
    <w:p w14:paraId="1B74271F" w14:textId="77777777" w:rsidR="004D59D4" w:rsidRDefault="00023FAF" w:rsidP="00025AAC">
      <w:pPr>
        <w:pStyle w:val="TableFigureFooter"/>
        <w:jc w:val="both"/>
      </w:pPr>
      <w:r>
        <w:rPr>
          <w:vertAlign w:val="superscript"/>
        </w:rPr>
        <w:t>a</w:t>
      </w:r>
      <w:r>
        <w:t xml:space="preserve"> Year 1 results were for 7 to 12 months.</w:t>
      </w:r>
    </w:p>
    <w:p w14:paraId="520D8A08" w14:textId="77777777" w:rsidR="004D59D4" w:rsidRDefault="00023FAF" w:rsidP="00025AAC">
      <w:pPr>
        <w:pStyle w:val="TableFigureFooter"/>
        <w:spacing w:before="160" w:after="160"/>
        <w:jc w:val="both"/>
      </w:pPr>
      <w:r>
        <w:rPr>
          <w:vertAlign w:val="superscript"/>
        </w:rPr>
        <w:t>b</w:t>
      </w:r>
      <w:r>
        <w:t xml:space="preserve"> </w:t>
      </w:r>
      <w:proofErr w:type="gramStart"/>
      <w:r>
        <w:t>In</w:t>
      </w:r>
      <w:proofErr w:type="gramEnd"/>
      <w:r>
        <w:t xml:space="preserve"> the resubmission, data for the indirect comparison was amended to calculate response rates using the total baseline samples size as the denominator, instead of the number of patients at risk at a particular time. Therefore, while the dataset for the indirect analysis has previously been reviewed by the PBAC, the figures shown have been modified compared to the results presented in the previous submission.</w:t>
      </w:r>
    </w:p>
    <w:p w14:paraId="6C753077" w14:textId="77777777" w:rsidR="004D59D4" w:rsidRDefault="00023FAF" w:rsidP="00025AAC">
      <w:pPr>
        <w:pStyle w:val="3-BodyText"/>
        <w:numPr>
          <w:ilvl w:val="1"/>
          <w:numId w:val="1"/>
        </w:numPr>
        <w:spacing w:before="160" w:after="160"/>
      </w:pPr>
      <w:r>
        <w:t xml:space="preserve">As in the previous submission, the resubmission presented responder analyses results for blood </w:t>
      </w:r>
      <w:proofErr w:type="spellStart"/>
      <w:r>
        <w:t>Phe</w:t>
      </w:r>
      <w:proofErr w:type="spellEnd"/>
      <w:r>
        <w:t xml:space="preserve">-level outcomes over time from Zori 2019. Zori et al. (2019) reported that </w:t>
      </w:r>
      <w:r>
        <w:lastRenderedPageBreak/>
        <w:t xml:space="preserve">matched patients treated with </w:t>
      </w:r>
      <w:proofErr w:type="spellStart"/>
      <w:r>
        <w:t>pegvaliase</w:t>
      </w:r>
      <w:proofErr w:type="spellEnd"/>
      <w:r>
        <w:t xml:space="preserve"> achieved better results across all blood-</w:t>
      </w:r>
      <w:proofErr w:type="spellStart"/>
      <w:r>
        <w:t>Phe</w:t>
      </w:r>
      <w:proofErr w:type="spellEnd"/>
      <w:r>
        <w:t xml:space="preserve"> outcomes than patients treated with </w:t>
      </w:r>
      <w:proofErr w:type="spellStart"/>
      <w:r>
        <w:t>Phe</w:t>
      </w:r>
      <w:proofErr w:type="spellEnd"/>
      <w:r>
        <w:t>-restricted diet. For the 2022 submission, the evaluation and the ESC previously noted the following issues with the analysis by Zori et al (2019):</w:t>
      </w:r>
    </w:p>
    <w:p w14:paraId="66D14415" w14:textId="77777777" w:rsidR="004D59D4" w:rsidRDefault="00023FAF" w:rsidP="00025AAC">
      <w:pPr>
        <w:pStyle w:val="ListBullet"/>
        <w:numPr>
          <w:ilvl w:val="0"/>
          <w:numId w:val="6"/>
        </w:numPr>
        <w:spacing w:before="160" w:after="160"/>
        <w:ind w:left="1134" w:hanging="425"/>
        <w:contextualSpacing w:val="0"/>
      </w:pPr>
      <w:r>
        <w:t xml:space="preserve">Whilst 125 patients per arm were matched at baseline for the analysis, follow-up data were only available for 87 and 51 patients in Year 1 for </w:t>
      </w:r>
      <w:proofErr w:type="spellStart"/>
      <w:r>
        <w:t>pegvaliase</w:t>
      </w:r>
      <w:proofErr w:type="spellEnd"/>
      <w:r>
        <w:t xml:space="preserve"> and </w:t>
      </w:r>
      <w:proofErr w:type="spellStart"/>
      <w:r>
        <w:t>Phe</w:t>
      </w:r>
      <w:proofErr w:type="spellEnd"/>
      <w:r>
        <w:t>-restricted diet patients respectively, and 80 and 42 patients respectively in Year 2. It was unclear whether there were systematic differences between these arms in patients due to factors leading to lost to follow up.</w:t>
      </w:r>
    </w:p>
    <w:p w14:paraId="052DC767" w14:textId="77777777" w:rsidR="004D59D4" w:rsidRDefault="00023FAF" w:rsidP="00025AAC">
      <w:pPr>
        <w:pStyle w:val="ListParagraph"/>
        <w:numPr>
          <w:ilvl w:val="0"/>
          <w:numId w:val="6"/>
        </w:numPr>
        <w:spacing w:before="160" w:after="160"/>
        <w:ind w:left="1134" w:hanging="425"/>
        <w:jc w:val="both"/>
      </w:pPr>
      <w:r>
        <w:t>There was no common comparator arm, and as such there was high potential for confounding due to differences in prognostic factors (that were not accounted for in the matching) across single arms of different studies.</w:t>
      </w:r>
    </w:p>
    <w:p w14:paraId="484771DD" w14:textId="77777777" w:rsidR="004D59D4" w:rsidRDefault="00023FAF" w:rsidP="00025AAC">
      <w:pPr>
        <w:pStyle w:val="ListParagraph"/>
        <w:numPr>
          <w:ilvl w:val="0"/>
          <w:numId w:val="6"/>
        </w:numPr>
        <w:spacing w:before="160" w:after="160"/>
        <w:ind w:left="1134" w:hanging="425"/>
        <w:jc w:val="both"/>
      </w:pPr>
      <w:bookmarkStart w:id="54" w:name="_Hlk214033982"/>
      <w:r>
        <w:t>It was unclear whether all relevant effect modifiers and prognostic variables were identified in the analysis</w:t>
      </w:r>
      <w:bookmarkEnd w:id="54"/>
      <w:r>
        <w:t xml:space="preserve">. For example, patients were not matched for </w:t>
      </w:r>
      <w:proofErr w:type="spellStart"/>
      <w:r>
        <w:t>sapropterin</w:t>
      </w:r>
      <w:proofErr w:type="spellEnd"/>
      <w:r>
        <w:t xml:space="preserve"> responsiveness, which was also a potential applicability issue.</w:t>
      </w:r>
    </w:p>
    <w:p w14:paraId="77E81502" w14:textId="77777777" w:rsidR="004D59D4" w:rsidRDefault="00023FAF" w:rsidP="00025AAC">
      <w:pPr>
        <w:pStyle w:val="ListParagraph"/>
        <w:numPr>
          <w:ilvl w:val="0"/>
          <w:numId w:val="6"/>
        </w:numPr>
        <w:spacing w:before="160" w:after="160"/>
        <w:ind w:left="1134" w:hanging="425"/>
        <w:jc w:val="both"/>
      </w:pPr>
      <w:r>
        <w:t>The mean blood-</w:t>
      </w:r>
      <w:proofErr w:type="spellStart"/>
      <w:r>
        <w:t>Phe</w:t>
      </w:r>
      <w:proofErr w:type="spellEnd"/>
      <w:r>
        <w:t xml:space="preserve"> levels have large SDs, with the SD around the </w:t>
      </w:r>
      <w:proofErr w:type="spellStart"/>
      <w:r>
        <w:t>pegvaliase</w:t>
      </w:r>
      <w:proofErr w:type="spellEnd"/>
      <w:r>
        <w:t xml:space="preserve"> estimates being larger than the estimated mean blood-</w:t>
      </w:r>
      <w:proofErr w:type="spellStart"/>
      <w:r>
        <w:t>Phe</w:t>
      </w:r>
      <w:proofErr w:type="spellEnd"/>
      <w:r>
        <w:t>. This suggests a sizeable amount of uncertainty with the results.</w:t>
      </w:r>
    </w:p>
    <w:p w14:paraId="1D7AD2E2" w14:textId="77777777" w:rsidR="004D59D4" w:rsidRDefault="00023FAF" w:rsidP="00025AAC">
      <w:pPr>
        <w:pStyle w:val="ListParagraph"/>
        <w:numPr>
          <w:ilvl w:val="0"/>
          <w:numId w:val="6"/>
        </w:numPr>
        <w:spacing w:before="160" w:after="160"/>
        <w:ind w:left="1134" w:hanging="425"/>
        <w:jc w:val="both"/>
      </w:pPr>
      <w:r>
        <w:t>There are no measures of uncertainty around the proportion of patients achieving the blood-</w:t>
      </w:r>
      <w:proofErr w:type="spellStart"/>
      <w:r>
        <w:t>Phe</w:t>
      </w:r>
      <w:proofErr w:type="spellEnd"/>
      <w:r>
        <w:t xml:space="preserve"> outcomes nor any formal statistical testing to allow an estimation of the incremental benefit of </w:t>
      </w:r>
      <w:proofErr w:type="spellStart"/>
      <w:r>
        <w:t>pegvaliase</w:t>
      </w:r>
      <w:proofErr w:type="spellEnd"/>
      <w:r>
        <w:t xml:space="preserve"> compared to diet alone (paragraph 6.30, </w:t>
      </w:r>
      <w:proofErr w:type="spellStart"/>
      <w:r>
        <w:t>pegvaliase</w:t>
      </w:r>
      <w:proofErr w:type="spellEnd"/>
      <w:r>
        <w:t xml:space="preserve"> PSD, July 2022 PBAC meeting).</w:t>
      </w:r>
    </w:p>
    <w:p w14:paraId="0BF8E3D3" w14:textId="52B83D8D" w:rsidR="004D59D4" w:rsidRDefault="00023FAF" w:rsidP="00025AAC">
      <w:pPr>
        <w:pStyle w:val="3-BodyText"/>
        <w:numPr>
          <w:ilvl w:val="1"/>
          <w:numId w:val="36"/>
        </w:numPr>
        <w:spacing w:before="160"/>
      </w:pPr>
      <w:r>
        <w:t xml:space="preserve">The resubmission presented results for a naïve indirect comparison that found the patients treated with </w:t>
      </w:r>
      <w:proofErr w:type="spellStart"/>
      <w:r>
        <w:t>pegvaliase</w:t>
      </w:r>
      <w:proofErr w:type="spellEnd"/>
      <w:r>
        <w:t xml:space="preserve"> achieved higher responder rates than patients treated with </w:t>
      </w:r>
      <w:proofErr w:type="spellStart"/>
      <w:r>
        <w:t>Phe</w:t>
      </w:r>
      <w:proofErr w:type="spellEnd"/>
      <w:r>
        <w:t xml:space="preserve">-restricted diet. Refer to </w:t>
      </w:r>
      <w:r>
        <w:fldChar w:fldCharType="begin"/>
      </w:r>
      <w:r>
        <w:instrText xml:space="preserve"> REF _Ref216178103 \h </w:instrText>
      </w:r>
      <w:r>
        <w:fldChar w:fldCharType="separate"/>
      </w:r>
      <w:r w:rsidR="00E24060">
        <w:t xml:space="preserve">Table </w:t>
      </w:r>
      <w:r w:rsidR="00E24060">
        <w:rPr>
          <w:noProof/>
        </w:rPr>
        <w:t>7</w:t>
      </w:r>
      <w:r>
        <w:fldChar w:fldCharType="end"/>
      </w:r>
      <w:r>
        <w:t xml:space="preserve"> for details of the responder analysis for blood-</w:t>
      </w:r>
      <w:proofErr w:type="spellStart"/>
      <w:r>
        <w:t>Phe</w:t>
      </w:r>
      <w:proofErr w:type="spellEnd"/>
      <w:r>
        <w:t xml:space="preserve"> level ≤ 360 µmol/L. As in the previous submission, the resubmission presented observed data using the number of patients at risk as the denominator, however the resubmission also presented data calculated using the total sample size.</w:t>
      </w:r>
    </w:p>
    <w:p w14:paraId="6648C036" w14:textId="7A80C550" w:rsidR="004D59D4" w:rsidRDefault="00023FAF" w:rsidP="00025AAC">
      <w:pPr>
        <w:pStyle w:val="Caption"/>
        <w:spacing w:before="160"/>
        <w:rPr>
          <w:rStyle w:val="CommentReference"/>
          <w:b/>
          <w:bCs w:val="0"/>
          <w:szCs w:val="24"/>
        </w:rPr>
      </w:pPr>
      <w:bookmarkStart w:id="55" w:name="_Ref216178103"/>
      <w:r>
        <w:lastRenderedPageBreak/>
        <w:t xml:space="preserve">Table </w:t>
      </w:r>
      <w:fldSimple w:instr=" SEQ Table \* ARABIC ">
        <w:r w:rsidR="00E24060">
          <w:rPr>
            <w:noProof/>
          </w:rPr>
          <w:t>7</w:t>
        </w:r>
      </w:fldSimple>
      <w:bookmarkEnd w:id="55"/>
      <w:r>
        <w:t xml:space="preserve">: </w:t>
      </w:r>
      <w:r>
        <w:rPr>
          <w:rStyle w:val="CommentReference"/>
          <w:b/>
          <w:bCs w:val="0"/>
          <w:szCs w:val="24"/>
        </w:rPr>
        <w:t>Blood-</w:t>
      </w:r>
      <w:proofErr w:type="spellStart"/>
      <w:r>
        <w:rPr>
          <w:rStyle w:val="CommentReference"/>
          <w:b/>
          <w:bCs w:val="0"/>
          <w:szCs w:val="24"/>
        </w:rPr>
        <w:t>Phe</w:t>
      </w:r>
      <w:proofErr w:type="spellEnd"/>
      <w:r>
        <w:rPr>
          <w:rStyle w:val="CommentReference"/>
          <w:b/>
          <w:bCs w:val="0"/>
          <w:szCs w:val="24"/>
        </w:rPr>
        <w:t xml:space="preserve"> level response (</w:t>
      </w:r>
      <w:r>
        <w:t>≤ 360 µmol/L</w:t>
      </w:r>
      <w:r>
        <w:rPr>
          <w:rStyle w:val="CommentReference"/>
          <w:b/>
          <w:bCs w:val="0"/>
          <w:szCs w:val="24"/>
        </w:rPr>
        <w:t>) over time in the indirect comparison</w:t>
      </w:r>
    </w:p>
    <w:tbl>
      <w:tblPr>
        <w:tblStyle w:val="TableGrid"/>
        <w:tblW w:w="8926" w:type="dxa"/>
        <w:tblLayout w:type="fixed"/>
        <w:tblCellMar>
          <w:left w:w="28" w:type="dxa"/>
          <w:right w:w="28" w:type="dxa"/>
        </w:tblCellMar>
        <w:tblLook w:val="04A0" w:firstRow="1" w:lastRow="0" w:firstColumn="1" w:lastColumn="0" w:noHBand="0" w:noVBand="1"/>
        <w:tblCaption w:val="Table 7: Blood-Phe level response (≤ 360 µmol/L) over time in the indirect comparison"/>
      </w:tblPr>
      <w:tblGrid>
        <w:gridCol w:w="892"/>
        <w:gridCol w:w="1338"/>
        <w:gridCol w:w="1340"/>
        <w:gridCol w:w="1339"/>
        <w:gridCol w:w="1339"/>
        <w:gridCol w:w="1339"/>
        <w:gridCol w:w="1339"/>
      </w:tblGrid>
      <w:tr w:rsidR="004D59D4" w14:paraId="2288ACBB" w14:textId="77777777">
        <w:trPr>
          <w:trHeight w:val="67"/>
        </w:trPr>
        <w:tc>
          <w:tcPr>
            <w:tcW w:w="892" w:type="dxa"/>
            <w:vMerge w:val="restart"/>
          </w:tcPr>
          <w:p w14:paraId="1002B80E" w14:textId="77777777" w:rsidR="004D59D4" w:rsidRDefault="00023FAF" w:rsidP="00025AAC">
            <w:pPr>
              <w:pStyle w:val="In-tableHeading"/>
            </w:pPr>
            <w:r>
              <w:t>Time period</w:t>
            </w:r>
          </w:p>
        </w:tc>
        <w:tc>
          <w:tcPr>
            <w:tcW w:w="4017" w:type="dxa"/>
            <w:gridSpan w:val="3"/>
          </w:tcPr>
          <w:p w14:paraId="535B9BCB" w14:textId="77777777" w:rsidR="004D59D4" w:rsidRDefault="00023FAF" w:rsidP="00025AAC">
            <w:pPr>
              <w:pStyle w:val="In-tableHeading"/>
              <w:jc w:val="center"/>
            </w:pPr>
            <w:r>
              <w:t>Observed data</w:t>
            </w:r>
          </w:p>
        </w:tc>
        <w:tc>
          <w:tcPr>
            <w:tcW w:w="4017" w:type="dxa"/>
            <w:gridSpan w:val="3"/>
          </w:tcPr>
          <w:p w14:paraId="7C74A91D" w14:textId="77777777" w:rsidR="004D59D4" w:rsidRDefault="00023FAF" w:rsidP="00025AAC">
            <w:pPr>
              <w:pStyle w:val="In-tableHeading"/>
              <w:jc w:val="center"/>
            </w:pPr>
            <w:r>
              <w:t>Based on total baseline sample size</w:t>
            </w:r>
          </w:p>
        </w:tc>
      </w:tr>
      <w:tr w:rsidR="004D59D4" w14:paraId="221FAB5C" w14:textId="77777777">
        <w:trPr>
          <w:trHeight w:val="67"/>
        </w:trPr>
        <w:tc>
          <w:tcPr>
            <w:tcW w:w="892" w:type="dxa"/>
            <w:vMerge/>
          </w:tcPr>
          <w:p w14:paraId="70574AB0" w14:textId="77777777" w:rsidR="004D59D4" w:rsidRDefault="004D59D4" w:rsidP="00025AAC">
            <w:pPr>
              <w:pStyle w:val="In-tableHeading"/>
            </w:pPr>
          </w:p>
        </w:tc>
        <w:tc>
          <w:tcPr>
            <w:tcW w:w="1338" w:type="dxa"/>
            <w:vAlign w:val="center"/>
          </w:tcPr>
          <w:p w14:paraId="5FD92A16" w14:textId="77777777" w:rsidR="004D59D4" w:rsidRDefault="00023FAF" w:rsidP="00025AAC">
            <w:pPr>
              <w:pStyle w:val="In-tableHeading"/>
              <w:jc w:val="center"/>
            </w:pPr>
            <w:proofErr w:type="spellStart"/>
            <w:r>
              <w:t>Pegvaliase</w:t>
            </w:r>
            <w:proofErr w:type="spellEnd"/>
          </w:p>
          <w:p w14:paraId="29307A44" w14:textId="77777777" w:rsidR="004D59D4" w:rsidRDefault="00023FAF" w:rsidP="00025AAC">
            <w:pPr>
              <w:pStyle w:val="In-tableHeading"/>
              <w:jc w:val="center"/>
            </w:pPr>
            <w:r>
              <w:t>n (%)</w:t>
            </w:r>
          </w:p>
        </w:tc>
        <w:tc>
          <w:tcPr>
            <w:tcW w:w="1340" w:type="dxa"/>
            <w:vAlign w:val="center"/>
          </w:tcPr>
          <w:p w14:paraId="43CF483D" w14:textId="77777777" w:rsidR="004D59D4" w:rsidRDefault="00023FAF" w:rsidP="00025AAC">
            <w:pPr>
              <w:pStyle w:val="In-tableHeading"/>
              <w:jc w:val="center"/>
            </w:pPr>
            <w:proofErr w:type="spellStart"/>
            <w:r>
              <w:t>Phe</w:t>
            </w:r>
            <w:proofErr w:type="spellEnd"/>
            <w:r>
              <w:t>-restricted diet</w:t>
            </w:r>
          </w:p>
          <w:p w14:paraId="02131538" w14:textId="77777777" w:rsidR="004D59D4" w:rsidRDefault="00023FAF" w:rsidP="00025AAC">
            <w:pPr>
              <w:pStyle w:val="In-tableHeading"/>
              <w:jc w:val="center"/>
            </w:pPr>
            <w:r>
              <w:t>n (%)</w:t>
            </w:r>
          </w:p>
        </w:tc>
        <w:tc>
          <w:tcPr>
            <w:tcW w:w="1339" w:type="dxa"/>
            <w:vAlign w:val="center"/>
          </w:tcPr>
          <w:p w14:paraId="3121BCA4" w14:textId="77777777" w:rsidR="004D59D4" w:rsidRDefault="00023FAF" w:rsidP="00025AAC">
            <w:pPr>
              <w:pStyle w:val="In-tableHeading"/>
              <w:jc w:val="center"/>
            </w:pPr>
            <w:r>
              <w:t>OR (95% CI)</w:t>
            </w:r>
          </w:p>
        </w:tc>
        <w:tc>
          <w:tcPr>
            <w:tcW w:w="1339" w:type="dxa"/>
            <w:vAlign w:val="center"/>
          </w:tcPr>
          <w:p w14:paraId="764EBB5D" w14:textId="77777777" w:rsidR="004D59D4" w:rsidRDefault="00023FAF" w:rsidP="00025AAC">
            <w:pPr>
              <w:pStyle w:val="In-tableHeading"/>
              <w:jc w:val="center"/>
            </w:pPr>
            <w:proofErr w:type="spellStart"/>
            <w:r>
              <w:t>Pegvaliase</w:t>
            </w:r>
            <w:proofErr w:type="spellEnd"/>
          </w:p>
          <w:p w14:paraId="4576E32F" w14:textId="77777777" w:rsidR="004D59D4" w:rsidRDefault="00023FAF" w:rsidP="00025AAC">
            <w:pPr>
              <w:pStyle w:val="In-tableHeading"/>
              <w:jc w:val="center"/>
            </w:pPr>
            <w:r>
              <w:t>N = 261</w:t>
            </w:r>
          </w:p>
          <w:p w14:paraId="7CF65A69" w14:textId="77777777" w:rsidR="004D59D4" w:rsidRDefault="00023FAF" w:rsidP="00025AAC">
            <w:pPr>
              <w:pStyle w:val="In-tableHeading"/>
              <w:jc w:val="center"/>
            </w:pPr>
            <w:r>
              <w:t>n (%)</w:t>
            </w:r>
          </w:p>
        </w:tc>
        <w:tc>
          <w:tcPr>
            <w:tcW w:w="1339" w:type="dxa"/>
            <w:vAlign w:val="center"/>
          </w:tcPr>
          <w:p w14:paraId="11F77445" w14:textId="77777777" w:rsidR="004D59D4" w:rsidRDefault="00023FAF" w:rsidP="00025AAC">
            <w:pPr>
              <w:pStyle w:val="In-tableHeading"/>
              <w:jc w:val="center"/>
            </w:pPr>
            <w:proofErr w:type="spellStart"/>
            <w:r>
              <w:t>Phe</w:t>
            </w:r>
            <w:proofErr w:type="spellEnd"/>
            <w:r>
              <w:t>-restricted diet, N = 50</w:t>
            </w:r>
          </w:p>
          <w:p w14:paraId="5D3433C9" w14:textId="77777777" w:rsidR="004D59D4" w:rsidRDefault="00023FAF" w:rsidP="00025AAC">
            <w:pPr>
              <w:pStyle w:val="In-tableHeading"/>
              <w:jc w:val="center"/>
            </w:pPr>
            <w:r>
              <w:t>n (%)</w:t>
            </w:r>
          </w:p>
        </w:tc>
        <w:tc>
          <w:tcPr>
            <w:tcW w:w="1339" w:type="dxa"/>
            <w:vAlign w:val="center"/>
          </w:tcPr>
          <w:p w14:paraId="36B3931E" w14:textId="77777777" w:rsidR="004D59D4" w:rsidRDefault="00023FAF" w:rsidP="00025AAC">
            <w:pPr>
              <w:pStyle w:val="In-tableHeading"/>
              <w:jc w:val="center"/>
            </w:pPr>
            <w:r>
              <w:t>OR (95% CI)</w:t>
            </w:r>
          </w:p>
        </w:tc>
      </w:tr>
      <w:tr w:rsidR="004D59D4" w14:paraId="4B52C4AF" w14:textId="77777777">
        <w:tc>
          <w:tcPr>
            <w:tcW w:w="892" w:type="dxa"/>
          </w:tcPr>
          <w:p w14:paraId="33FDAA82" w14:textId="77777777" w:rsidR="004D59D4" w:rsidRDefault="00023FAF" w:rsidP="00025AAC">
            <w:pPr>
              <w:pStyle w:val="TableText1"/>
            </w:pPr>
            <w:r>
              <w:t>Baseline</w:t>
            </w:r>
          </w:p>
        </w:tc>
        <w:tc>
          <w:tcPr>
            <w:tcW w:w="1338" w:type="dxa"/>
            <w:shd w:val="clear" w:color="auto" w:fill="B8CCE4" w:themeFill="accent1" w:themeFillTint="66"/>
          </w:tcPr>
          <w:p w14:paraId="25831F03"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261</w:t>
            </w:r>
          </w:p>
          <w:p w14:paraId="32496B24" w14:textId="77777777" w:rsidR="004D59D4" w:rsidRDefault="00023FAF" w:rsidP="00025AAC">
            <w:pPr>
              <w:pStyle w:val="TableText1"/>
              <w:jc w:val="center"/>
            </w:pPr>
            <w:r>
              <w:t>0 (0)</w:t>
            </w:r>
          </w:p>
        </w:tc>
        <w:tc>
          <w:tcPr>
            <w:tcW w:w="1340" w:type="dxa"/>
            <w:shd w:val="clear" w:color="auto" w:fill="B8CCE4" w:themeFill="accent1" w:themeFillTint="66"/>
          </w:tcPr>
          <w:p w14:paraId="45A00EA2"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50</w:t>
            </w:r>
          </w:p>
          <w:p w14:paraId="285E2C6D" w14:textId="77777777" w:rsidR="004D59D4" w:rsidRDefault="00023FAF" w:rsidP="00025AAC">
            <w:pPr>
              <w:pStyle w:val="TableText1"/>
              <w:jc w:val="center"/>
            </w:pPr>
            <w:r>
              <w:t>0 (0)</w:t>
            </w:r>
          </w:p>
        </w:tc>
        <w:tc>
          <w:tcPr>
            <w:tcW w:w="1339" w:type="dxa"/>
            <w:shd w:val="clear" w:color="auto" w:fill="B8CCE4" w:themeFill="accent1" w:themeFillTint="66"/>
          </w:tcPr>
          <w:p w14:paraId="3FDB27B1" w14:textId="77777777" w:rsidR="004D59D4" w:rsidRDefault="00023FAF" w:rsidP="00025AAC">
            <w:pPr>
              <w:pStyle w:val="TableText1"/>
              <w:jc w:val="center"/>
            </w:pPr>
            <w:r>
              <w:t>-</w:t>
            </w:r>
          </w:p>
        </w:tc>
        <w:tc>
          <w:tcPr>
            <w:tcW w:w="1339" w:type="dxa"/>
          </w:tcPr>
          <w:p w14:paraId="558E7FD3" w14:textId="77777777" w:rsidR="004D59D4" w:rsidRDefault="00023FAF" w:rsidP="00025AAC">
            <w:pPr>
              <w:pStyle w:val="TableText1"/>
              <w:jc w:val="center"/>
            </w:pPr>
            <w:r>
              <w:t>0 (0)</w:t>
            </w:r>
          </w:p>
        </w:tc>
        <w:tc>
          <w:tcPr>
            <w:tcW w:w="1339" w:type="dxa"/>
          </w:tcPr>
          <w:p w14:paraId="56CAA947" w14:textId="77777777" w:rsidR="004D59D4" w:rsidRDefault="00023FAF" w:rsidP="00025AAC">
            <w:pPr>
              <w:pStyle w:val="TableText1"/>
              <w:jc w:val="center"/>
            </w:pPr>
            <w:r>
              <w:t>0 (0)</w:t>
            </w:r>
          </w:p>
        </w:tc>
        <w:tc>
          <w:tcPr>
            <w:tcW w:w="1339" w:type="dxa"/>
          </w:tcPr>
          <w:p w14:paraId="37CCEAA6" w14:textId="77777777" w:rsidR="004D59D4" w:rsidRDefault="00023FAF" w:rsidP="00025AAC">
            <w:pPr>
              <w:pStyle w:val="TableText1"/>
              <w:jc w:val="center"/>
            </w:pPr>
            <w:r>
              <w:t>-</w:t>
            </w:r>
          </w:p>
        </w:tc>
      </w:tr>
      <w:tr w:rsidR="004D59D4" w14:paraId="68021795" w14:textId="77777777">
        <w:tc>
          <w:tcPr>
            <w:tcW w:w="892" w:type="dxa"/>
          </w:tcPr>
          <w:p w14:paraId="41505A5F" w14:textId="77777777" w:rsidR="004D59D4" w:rsidRDefault="00023FAF" w:rsidP="00025AAC">
            <w:pPr>
              <w:pStyle w:val="TableText1"/>
            </w:pPr>
            <w:r>
              <w:t>1-6 months</w:t>
            </w:r>
          </w:p>
        </w:tc>
        <w:tc>
          <w:tcPr>
            <w:tcW w:w="1338" w:type="dxa"/>
            <w:shd w:val="clear" w:color="auto" w:fill="B8CCE4" w:themeFill="accent1" w:themeFillTint="66"/>
          </w:tcPr>
          <w:p w14:paraId="42A7BE76"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257</w:t>
            </w:r>
          </w:p>
          <w:p w14:paraId="38428770" w14:textId="77777777" w:rsidR="004D59D4" w:rsidRDefault="00023FAF" w:rsidP="00025AAC">
            <w:pPr>
              <w:pStyle w:val="TableText1"/>
              <w:jc w:val="center"/>
            </w:pPr>
            <w:r>
              <w:t>70 (27)</w:t>
            </w:r>
          </w:p>
        </w:tc>
        <w:tc>
          <w:tcPr>
            <w:tcW w:w="1340" w:type="dxa"/>
            <w:shd w:val="clear" w:color="auto" w:fill="B8CCE4" w:themeFill="accent1" w:themeFillTint="66"/>
          </w:tcPr>
          <w:p w14:paraId="6B52B3F8"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37</w:t>
            </w:r>
          </w:p>
          <w:p w14:paraId="5ECF1A97" w14:textId="77777777" w:rsidR="004D59D4" w:rsidRDefault="00023FAF" w:rsidP="00025AAC">
            <w:pPr>
              <w:pStyle w:val="TableText1"/>
              <w:jc w:val="center"/>
            </w:pPr>
            <w:r>
              <w:t>6 (16)</w:t>
            </w:r>
          </w:p>
        </w:tc>
        <w:tc>
          <w:tcPr>
            <w:tcW w:w="1339" w:type="dxa"/>
            <w:shd w:val="clear" w:color="auto" w:fill="B8CCE4" w:themeFill="accent1" w:themeFillTint="66"/>
          </w:tcPr>
          <w:p w14:paraId="4A3C0977" w14:textId="77777777" w:rsidR="004D59D4" w:rsidRDefault="00023FAF" w:rsidP="00025AAC">
            <w:pPr>
              <w:pStyle w:val="TableText1"/>
              <w:jc w:val="center"/>
              <w:rPr>
                <w:b/>
                <w:bCs w:val="0"/>
                <w:i/>
                <w:iCs w:val="0"/>
              </w:rPr>
            </w:pPr>
            <w:r>
              <w:rPr>
                <w:i/>
                <w:iCs w:val="0"/>
              </w:rPr>
              <w:t>0.52 (0.21, 1.29)</w:t>
            </w:r>
          </w:p>
        </w:tc>
        <w:tc>
          <w:tcPr>
            <w:tcW w:w="1339" w:type="dxa"/>
          </w:tcPr>
          <w:p w14:paraId="7C4408AC" w14:textId="77777777" w:rsidR="004D59D4" w:rsidRDefault="00023FAF" w:rsidP="00025AAC">
            <w:pPr>
              <w:pStyle w:val="TableText1"/>
              <w:jc w:val="center"/>
            </w:pPr>
            <w:r>
              <w:t>70 (27)</w:t>
            </w:r>
          </w:p>
        </w:tc>
        <w:tc>
          <w:tcPr>
            <w:tcW w:w="1339" w:type="dxa"/>
          </w:tcPr>
          <w:p w14:paraId="590DA4A5" w14:textId="6497B3B8" w:rsidR="004D59D4" w:rsidRDefault="00023FAF" w:rsidP="00025AAC">
            <w:pPr>
              <w:pStyle w:val="TableText1"/>
              <w:jc w:val="center"/>
            </w:pPr>
            <w:r>
              <w:t>6 (12</w:t>
            </w:r>
            <w:r w:rsidR="00D112D2">
              <w:t>)</w:t>
            </w:r>
          </w:p>
        </w:tc>
        <w:tc>
          <w:tcPr>
            <w:tcW w:w="1339" w:type="dxa"/>
          </w:tcPr>
          <w:p w14:paraId="7B723903" w14:textId="77777777" w:rsidR="004D59D4" w:rsidRDefault="00023FAF" w:rsidP="00025AAC">
            <w:pPr>
              <w:pStyle w:val="TableText1"/>
              <w:jc w:val="center"/>
              <w:rPr>
                <w:b/>
                <w:bCs w:val="0"/>
                <w:i/>
                <w:iCs w:val="0"/>
              </w:rPr>
            </w:pPr>
            <w:r>
              <w:rPr>
                <w:b/>
                <w:bCs w:val="0"/>
                <w:i/>
                <w:iCs w:val="0"/>
              </w:rPr>
              <w:t>0.37 (0.15, 0.91)</w:t>
            </w:r>
          </w:p>
        </w:tc>
      </w:tr>
      <w:tr w:rsidR="004D59D4" w14:paraId="75927A3A" w14:textId="77777777">
        <w:tc>
          <w:tcPr>
            <w:tcW w:w="892" w:type="dxa"/>
          </w:tcPr>
          <w:p w14:paraId="334F93C2" w14:textId="77777777" w:rsidR="004D59D4" w:rsidRDefault="00023FAF" w:rsidP="00025AAC">
            <w:pPr>
              <w:pStyle w:val="TableText1"/>
            </w:pPr>
            <w:r>
              <w:t>7-12 months</w:t>
            </w:r>
          </w:p>
        </w:tc>
        <w:tc>
          <w:tcPr>
            <w:tcW w:w="1338" w:type="dxa"/>
            <w:shd w:val="clear" w:color="auto" w:fill="B8CCE4" w:themeFill="accent1" w:themeFillTint="66"/>
          </w:tcPr>
          <w:p w14:paraId="0EE45125"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209</w:t>
            </w:r>
          </w:p>
          <w:p w14:paraId="6809BFD9" w14:textId="77777777" w:rsidR="004D59D4" w:rsidRDefault="00023FAF" w:rsidP="00025AAC">
            <w:pPr>
              <w:pStyle w:val="TableText1"/>
              <w:jc w:val="center"/>
            </w:pPr>
            <w:r>
              <w:t>96 (46)</w:t>
            </w:r>
          </w:p>
        </w:tc>
        <w:tc>
          <w:tcPr>
            <w:tcW w:w="1340" w:type="dxa"/>
            <w:shd w:val="clear" w:color="auto" w:fill="B8CCE4" w:themeFill="accent1" w:themeFillTint="66"/>
          </w:tcPr>
          <w:p w14:paraId="5911C5A4"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32</w:t>
            </w:r>
          </w:p>
          <w:p w14:paraId="19D80E4E" w14:textId="77777777" w:rsidR="004D59D4" w:rsidRDefault="00023FAF" w:rsidP="00025AAC">
            <w:pPr>
              <w:pStyle w:val="TableText1"/>
              <w:jc w:val="center"/>
            </w:pPr>
            <w:r>
              <w:t>4 (13)</w:t>
            </w:r>
          </w:p>
        </w:tc>
        <w:tc>
          <w:tcPr>
            <w:tcW w:w="1339" w:type="dxa"/>
            <w:shd w:val="clear" w:color="auto" w:fill="B8CCE4" w:themeFill="accent1" w:themeFillTint="66"/>
          </w:tcPr>
          <w:p w14:paraId="10A98521" w14:textId="77777777" w:rsidR="004D59D4" w:rsidRDefault="00023FAF" w:rsidP="00025AAC">
            <w:pPr>
              <w:pStyle w:val="TableText1"/>
              <w:jc w:val="center"/>
              <w:rPr>
                <w:b/>
                <w:bCs w:val="0"/>
                <w:i/>
                <w:iCs w:val="0"/>
              </w:rPr>
            </w:pPr>
            <w:r>
              <w:rPr>
                <w:b/>
                <w:bCs w:val="0"/>
                <w:i/>
                <w:iCs w:val="0"/>
              </w:rPr>
              <w:t>0.19 (0.06, 0.50)</w:t>
            </w:r>
          </w:p>
        </w:tc>
        <w:tc>
          <w:tcPr>
            <w:tcW w:w="1339" w:type="dxa"/>
          </w:tcPr>
          <w:p w14:paraId="5264FEB5" w14:textId="77777777" w:rsidR="004D59D4" w:rsidRDefault="00023FAF" w:rsidP="00025AAC">
            <w:pPr>
              <w:pStyle w:val="TableText1"/>
              <w:jc w:val="center"/>
            </w:pPr>
            <w:r>
              <w:t>96 (37)</w:t>
            </w:r>
          </w:p>
        </w:tc>
        <w:tc>
          <w:tcPr>
            <w:tcW w:w="1339" w:type="dxa"/>
          </w:tcPr>
          <w:p w14:paraId="078C36AE" w14:textId="77777777" w:rsidR="004D59D4" w:rsidRDefault="00023FAF" w:rsidP="00025AAC">
            <w:pPr>
              <w:pStyle w:val="TableText1"/>
              <w:jc w:val="center"/>
            </w:pPr>
            <w:r>
              <w:t>4 (8)</w:t>
            </w:r>
          </w:p>
        </w:tc>
        <w:tc>
          <w:tcPr>
            <w:tcW w:w="1339" w:type="dxa"/>
          </w:tcPr>
          <w:p w14:paraId="291A6B48" w14:textId="77777777" w:rsidR="004D59D4" w:rsidRDefault="00023FAF" w:rsidP="00025AAC">
            <w:pPr>
              <w:pStyle w:val="TableText1"/>
              <w:jc w:val="center"/>
              <w:rPr>
                <w:b/>
                <w:bCs w:val="0"/>
                <w:i/>
                <w:iCs w:val="0"/>
              </w:rPr>
            </w:pPr>
            <w:r>
              <w:rPr>
                <w:b/>
                <w:bCs w:val="0"/>
                <w:i/>
                <w:iCs w:val="0"/>
              </w:rPr>
              <w:t>0.15 (0.05, 0.43)</w:t>
            </w:r>
          </w:p>
        </w:tc>
      </w:tr>
      <w:tr w:rsidR="004D59D4" w14:paraId="17B38D3A" w14:textId="77777777">
        <w:tc>
          <w:tcPr>
            <w:tcW w:w="892" w:type="dxa"/>
          </w:tcPr>
          <w:p w14:paraId="0F67F171" w14:textId="77777777" w:rsidR="004D59D4" w:rsidRDefault="00023FAF" w:rsidP="00025AAC">
            <w:pPr>
              <w:pStyle w:val="TableText1"/>
            </w:pPr>
            <w:r>
              <w:t>Year 2</w:t>
            </w:r>
          </w:p>
        </w:tc>
        <w:tc>
          <w:tcPr>
            <w:tcW w:w="1338" w:type="dxa"/>
            <w:shd w:val="clear" w:color="auto" w:fill="B8CCE4" w:themeFill="accent1" w:themeFillTint="66"/>
          </w:tcPr>
          <w:p w14:paraId="21A644F5"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186</w:t>
            </w:r>
            <w:r>
              <w:rPr>
                <w:rFonts w:ascii="Arial Narrow" w:hAnsi="Arial Narrow" w:cs="Times New Roman"/>
                <w:sz w:val="20"/>
                <w:vertAlign w:val="superscript"/>
              </w:rPr>
              <w:t xml:space="preserve"> a</w:t>
            </w:r>
          </w:p>
          <w:p w14:paraId="02B03ABB" w14:textId="77777777" w:rsidR="004D59D4" w:rsidRDefault="00023FAF" w:rsidP="00025AAC">
            <w:pPr>
              <w:pStyle w:val="TableText1"/>
              <w:jc w:val="center"/>
            </w:pPr>
            <w:r>
              <w:t>135 (73)</w:t>
            </w:r>
          </w:p>
        </w:tc>
        <w:tc>
          <w:tcPr>
            <w:tcW w:w="1340" w:type="dxa"/>
            <w:shd w:val="clear" w:color="auto" w:fill="B8CCE4" w:themeFill="accent1" w:themeFillTint="66"/>
          </w:tcPr>
          <w:p w14:paraId="3DC9D59A"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27</w:t>
            </w:r>
          </w:p>
          <w:p w14:paraId="03143B3C" w14:textId="77777777" w:rsidR="004D59D4" w:rsidRDefault="00023FAF" w:rsidP="00025AAC">
            <w:pPr>
              <w:pStyle w:val="TableText1"/>
              <w:jc w:val="center"/>
            </w:pPr>
            <w:r>
              <w:t>3 (11)</w:t>
            </w:r>
          </w:p>
        </w:tc>
        <w:tc>
          <w:tcPr>
            <w:tcW w:w="1339" w:type="dxa"/>
            <w:shd w:val="clear" w:color="auto" w:fill="B8CCE4" w:themeFill="accent1" w:themeFillTint="66"/>
          </w:tcPr>
          <w:p w14:paraId="3A311F73" w14:textId="77777777" w:rsidR="004D59D4" w:rsidRDefault="00023FAF" w:rsidP="00025AAC">
            <w:pPr>
              <w:pStyle w:val="TableText1"/>
              <w:jc w:val="center"/>
              <w:rPr>
                <w:b/>
                <w:bCs w:val="0"/>
              </w:rPr>
            </w:pPr>
            <w:r>
              <w:rPr>
                <w:b/>
                <w:bCs w:val="0"/>
              </w:rPr>
              <w:t>0.06 (0.01, 0.16)</w:t>
            </w:r>
          </w:p>
        </w:tc>
        <w:tc>
          <w:tcPr>
            <w:tcW w:w="1339" w:type="dxa"/>
          </w:tcPr>
          <w:p w14:paraId="09905088" w14:textId="77777777" w:rsidR="004D59D4" w:rsidRDefault="00023FAF" w:rsidP="00025AAC">
            <w:pPr>
              <w:pStyle w:val="TableText1"/>
              <w:jc w:val="center"/>
            </w:pPr>
            <w:r>
              <w:t>135 (52)</w:t>
            </w:r>
          </w:p>
        </w:tc>
        <w:tc>
          <w:tcPr>
            <w:tcW w:w="1339" w:type="dxa"/>
          </w:tcPr>
          <w:p w14:paraId="006E1C0B" w14:textId="77777777" w:rsidR="004D59D4" w:rsidRDefault="00023FAF" w:rsidP="00025AAC">
            <w:pPr>
              <w:pStyle w:val="TableText1"/>
              <w:jc w:val="center"/>
            </w:pPr>
            <w:r>
              <w:t>3 (6)</w:t>
            </w:r>
          </w:p>
        </w:tc>
        <w:tc>
          <w:tcPr>
            <w:tcW w:w="1339" w:type="dxa"/>
          </w:tcPr>
          <w:p w14:paraId="1B369309" w14:textId="77777777" w:rsidR="004D59D4" w:rsidRDefault="00023FAF" w:rsidP="00025AAC">
            <w:pPr>
              <w:pStyle w:val="TableText1"/>
              <w:jc w:val="center"/>
              <w:rPr>
                <w:b/>
                <w:bCs w:val="0"/>
                <w:i/>
                <w:iCs w:val="0"/>
              </w:rPr>
            </w:pPr>
            <w:r>
              <w:rPr>
                <w:b/>
                <w:bCs w:val="0"/>
                <w:i/>
                <w:iCs w:val="0"/>
              </w:rPr>
              <w:t>0.06 (0.02, 0.20)</w:t>
            </w:r>
          </w:p>
        </w:tc>
      </w:tr>
      <w:tr w:rsidR="004D59D4" w14:paraId="648938B3" w14:textId="77777777">
        <w:tc>
          <w:tcPr>
            <w:tcW w:w="892" w:type="dxa"/>
          </w:tcPr>
          <w:p w14:paraId="5E3D9796" w14:textId="77777777" w:rsidR="004D59D4" w:rsidRDefault="00023FAF" w:rsidP="00025AAC">
            <w:pPr>
              <w:pStyle w:val="TableText1"/>
            </w:pPr>
            <w:r>
              <w:t>Year 3</w:t>
            </w:r>
          </w:p>
        </w:tc>
        <w:tc>
          <w:tcPr>
            <w:tcW w:w="1338" w:type="dxa"/>
            <w:shd w:val="clear" w:color="auto" w:fill="B8CCE4" w:themeFill="accent1" w:themeFillTint="66"/>
          </w:tcPr>
          <w:p w14:paraId="7BED4FCF"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162</w:t>
            </w:r>
          </w:p>
          <w:p w14:paraId="5A1BB986" w14:textId="77777777" w:rsidR="004D59D4" w:rsidRDefault="00023FAF" w:rsidP="00025AAC">
            <w:pPr>
              <w:pStyle w:val="TableText1"/>
              <w:jc w:val="center"/>
            </w:pPr>
            <w:r>
              <w:t>139 (86)</w:t>
            </w:r>
          </w:p>
        </w:tc>
        <w:tc>
          <w:tcPr>
            <w:tcW w:w="1340" w:type="dxa"/>
            <w:shd w:val="clear" w:color="auto" w:fill="B8CCE4" w:themeFill="accent1" w:themeFillTint="66"/>
          </w:tcPr>
          <w:p w14:paraId="74A93726"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21</w:t>
            </w:r>
          </w:p>
          <w:p w14:paraId="1AB5951C" w14:textId="77777777" w:rsidR="004D59D4" w:rsidRDefault="00023FAF" w:rsidP="00025AAC">
            <w:pPr>
              <w:pStyle w:val="TableText1"/>
              <w:jc w:val="center"/>
            </w:pPr>
            <w:r>
              <w:t>2 (10)</w:t>
            </w:r>
          </w:p>
        </w:tc>
        <w:tc>
          <w:tcPr>
            <w:tcW w:w="1339" w:type="dxa"/>
            <w:shd w:val="clear" w:color="auto" w:fill="B8CCE4" w:themeFill="accent1" w:themeFillTint="66"/>
          </w:tcPr>
          <w:p w14:paraId="432600A7" w14:textId="77777777" w:rsidR="004D59D4" w:rsidRDefault="00023FAF" w:rsidP="00025AAC">
            <w:pPr>
              <w:pStyle w:val="TableText1"/>
              <w:jc w:val="center"/>
              <w:rPr>
                <w:b/>
                <w:bCs w:val="0"/>
              </w:rPr>
            </w:pPr>
            <w:r>
              <w:rPr>
                <w:b/>
                <w:i/>
              </w:rPr>
              <w:t>0.02 (0.00, 0.08)</w:t>
            </w:r>
          </w:p>
        </w:tc>
        <w:tc>
          <w:tcPr>
            <w:tcW w:w="1339" w:type="dxa"/>
          </w:tcPr>
          <w:p w14:paraId="23F3EA53" w14:textId="77777777" w:rsidR="004D59D4" w:rsidRDefault="00023FAF" w:rsidP="00025AAC">
            <w:pPr>
              <w:pStyle w:val="TableText1"/>
              <w:jc w:val="center"/>
            </w:pPr>
            <w:r>
              <w:t>139 (53)</w:t>
            </w:r>
          </w:p>
        </w:tc>
        <w:tc>
          <w:tcPr>
            <w:tcW w:w="1339" w:type="dxa"/>
          </w:tcPr>
          <w:p w14:paraId="5F713BF5" w14:textId="77777777" w:rsidR="004D59D4" w:rsidRDefault="00023FAF" w:rsidP="00025AAC">
            <w:pPr>
              <w:pStyle w:val="TableText1"/>
              <w:jc w:val="center"/>
            </w:pPr>
            <w:r>
              <w:t>2 (4)</w:t>
            </w:r>
          </w:p>
        </w:tc>
        <w:tc>
          <w:tcPr>
            <w:tcW w:w="1339" w:type="dxa"/>
          </w:tcPr>
          <w:p w14:paraId="1615FCA0" w14:textId="77777777" w:rsidR="004D59D4" w:rsidRDefault="00023FAF" w:rsidP="00025AAC">
            <w:pPr>
              <w:pStyle w:val="TableText1"/>
              <w:jc w:val="center"/>
              <w:rPr>
                <w:b/>
                <w:bCs w:val="0"/>
                <w:i/>
                <w:iCs w:val="0"/>
              </w:rPr>
            </w:pPr>
            <w:r>
              <w:rPr>
                <w:b/>
                <w:bCs w:val="0"/>
                <w:i/>
                <w:iCs w:val="0"/>
              </w:rPr>
              <w:t>0.04 (0.01, 0.15)</w:t>
            </w:r>
          </w:p>
        </w:tc>
      </w:tr>
      <w:tr w:rsidR="004D59D4" w14:paraId="00C8C2FF" w14:textId="77777777">
        <w:tc>
          <w:tcPr>
            <w:tcW w:w="892" w:type="dxa"/>
          </w:tcPr>
          <w:p w14:paraId="7F511C2A" w14:textId="77777777" w:rsidR="004D59D4" w:rsidRDefault="00023FAF" w:rsidP="00025AAC">
            <w:pPr>
              <w:pStyle w:val="TableText1"/>
            </w:pPr>
            <w:r>
              <w:t>Year 4</w:t>
            </w:r>
          </w:p>
        </w:tc>
        <w:tc>
          <w:tcPr>
            <w:tcW w:w="1338" w:type="dxa"/>
            <w:shd w:val="clear" w:color="auto" w:fill="B8CCE4" w:themeFill="accent1" w:themeFillTint="66"/>
          </w:tcPr>
          <w:p w14:paraId="65B28219"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132</w:t>
            </w:r>
          </w:p>
          <w:p w14:paraId="0C35E941" w14:textId="77777777" w:rsidR="004D59D4" w:rsidRDefault="00023FAF" w:rsidP="00025AAC">
            <w:pPr>
              <w:pStyle w:val="TableText1"/>
              <w:jc w:val="center"/>
            </w:pPr>
            <w:r>
              <w:t>112 (85)</w:t>
            </w:r>
          </w:p>
        </w:tc>
        <w:tc>
          <w:tcPr>
            <w:tcW w:w="1340" w:type="dxa"/>
            <w:shd w:val="clear" w:color="auto" w:fill="B8CCE4" w:themeFill="accent1" w:themeFillTint="66"/>
          </w:tcPr>
          <w:p w14:paraId="0B4212DF"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13</w:t>
            </w:r>
          </w:p>
          <w:p w14:paraId="00DAA798" w14:textId="77777777" w:rsidR="004D59D4" w:rsidRDefault="00023FAF" w:rsidP="00025AAC">
            <w:pPr>
              <w:pStyle w:val="TableText1"/>
              <w:jc w:val="center"/>
            </w:pPr>
            <w:r>
              <w:t>2 (15)</w:t>
            </w:r>
          </w:p>
        </w:tc>
        <w:tc>
          <w:tcPr>
            <w:tcW w:w="1339" w:type="dxa"/>
            <w:shd w:val="clear" w:color="auto" w:fill="B8CCE4" w:themeFill="accent1" w:themeFillTint="66"/>
          </w:tcPr>
          <w:p w14:paraId="5F5C16A2" w14:textId="77777777" w:rsidR="004D59D4" w:rsidRDefault="00023FAF" w:rsidP="00025AAC">
            <w:pPr>
              <w:pStyle w:val="TableText1"/>
              <w:jc w:val="center"/>
              <w:rPr>
                <w:b/>
                <w:bCs w:val="0"/>
              </w:rPr>
            </w:pPr>
            <w:r>
              <w:rPr>
                <w:b/>
                <w:i/>
              </w:rPr>
              <w:t>0.04 (0.01, 0.18)</w:t>
            </w:r>
          </w:p>
        </w:tc>
        <w:tc>
          <w:tcPr>
            <w:tcW w:w="1339" w:type="dxa"/>
          </w:tcPr>
          <w:p w14:paraId="6ADD2954" w14:textId="77777777" w:rsidR="004D59D4" w:rsidRDefault="00023FAF" w:rsidP="00025AAC">
            <w:pPr>
              <w:pStyle w:val="TableText1"/>
              <w:jc w:val="center"/>
            </w:pPr>
            <w:r>
              <w:t>112 (43)</w:t>
            </w:r>
          </w:p>
        </w:tc>
        <w:tc>
          <w:tcPr>
            <w:tcW w:w="1339" w:type="dxa"/>
          </w:tcPr>
          <w:p w14:paraId="41877713" w14:textId="77777777" w:rsidR="004D59D4" w:rsidRDefault="00023FAF" w:rsidP="00025AAC">
            <w:pPr>
              <w:pStyle w:val="TableText1"/>
              <w:jc w:val="center"/>
            </w:pPr>
            <w:r>
              <w:t>2 (4)</w:t>
            </w:r>
          </w:p>
        </w:tc>
        <w:tc>
          <w:tcPr>
            <w:tcW w:w="1339" w:type="dxa"/>
          </w:tcPr>
          <w:p w14:paraId="04EFDB9D" w14:textId="77777777" w:rsidR="004D59D4" w:rsidRDefault="00023FAF" w:rsidP="00025AAC">
            <w:pPr>
              <w:pStyle w:val="TableText1"/>
              <w:jc w:val="center"/>
              <w:rPr>
                <w:b/>
                <w:bCs w:val="0"/>
                <w:i/>
                <w:iCs w:val="0"/>
              </w:rPr>
            </w:pPr>
            <w:r>
              <w:rPr>
                <w:b/>
                <w:bCs w:val="0"/>
                <w:i/>
                <w:iCs w:val="0"/>
              </w:rPr>
              <w:t>0.06 (0.01, 0.23)</w:t>
            </w:r>
          </w:p>
        </w:tc>
      </w:tr>
      <w:tr w:rsidR="004D59D4" w14:paraId="24B35C2F" w14:textId="77777777">
        <w:tc>
          <w:tcPr>
            <w:tcW w:w="892" w:type="dxa"/>
          </w:tcPr>
          <w:p w14:paraId="30ED6384" w14:textId="77777777" w:rsidR="004D59D4" w:rsidRDefault="00023FAF" w:rsidP="00025AAC">
            <w:pPr>
              <w:pStyle w:val="TableText1"/>
            </w:pPr>
            <w:r>
              <w:t>Year 5</w:t>
            </w:r>
          </w:p>
        </w:tc>
        <w:tc>
          <w:tcPr>
            <w:tcW w:w="1338" w:type="dxa"/>
            <w:shd w:val="clear" w:color="auto" w:fill="B8CCE4" w:themeFill="accent1" w:themeFillTint="66"/>
          </w:tcPr>
          <w:p w14:paraId="1E0F7F3F"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74</w:t>
            </w:r>
          </w:p>
          <w:p w14:paraId="53914D05" w14:textId="77777777" w:rsidR="004D59D4" w:rsidRDefault="00023FAF" w:rsidP="00025AAC">
            <w:pPr>
              <w:pStyle w:val="TableText1"/>
              <w:jc w:val="center"/>
            </w:pPr>
            <w:r>
              <w:t>58 (78)</w:t>
            </w:r>
          </w:p>
        </w:tc>
        <w:tc>
          <w:tcPr>
            <w:tcW w:w="1340" w:type="dxa"/>
            <w:shd w:val="clear" w:color="auto" w:fill="B8CCE4" w:themeFill="accent1" w:themeFillTint="66"/>
          </w:tcPr>
          <w:p w14:paraId="084492B2" w14:textId="77777777" w:rsidR="004D59D4" w:rsidRDefault="00023FAF" w:rsidP="00025AAC">
            <w:pPr>
              <w:keepNext/>
              <w:keepLines/>
              <w:jc w:val="center"/>
              <w:rPr>
                <w:rFonts w:ascii="Arial Narrow" w:hAnsi="Arial Narrow" w:cs="Times New Roman"/>
                <w:sz w:val="20"/>
              </w:rPr>
            </w:pPr>
            <w:r>
              <w:rPr>
                <w:rFonts w:ascii="Arial Narrow" w:hAnsi="Arial Narrow" w:cs="Times New Roman"/>
                <w:sz w:val="20"/>
              </w:rPr>
              <w:t>n = 11</w:t>
            </w:r>
          </w:p>
          <w:p w14:paraId="49BC78AD" w14:textId="77777777" w:rsidR="004D59D4" w:rsidRDefault="00023FAF" w:rsidP="00025AAC">
            <w:pPr>
              <w:pStyle w:val="TableText1"/>
              <w:jc w:val="center"/>
            </w:pPr>
            <w:r>
              <w:t>0 (0)</w:t>
            </w:r>
          </w:p>
        </w:tc>
        <w:tc>
          <w:tcPr>
            <w:tcW w:w="1339" w:type="dxa"/>
            <w:shd w:val="clear" w:color="auto" w:fill="B8CCE4" w:themeFill="accent1" w:themeFillTint="66"/>
          </w:tcPr>
          <w:p w14:paraId="5E6E5FA9" w14:textId="77777777" w:rsidR="004D59D4" w:rsidRDefault="00023FAF" w:rsidP="00025AAC">
            <w:pPr>
              <w:pStyle w:val="TableText1"/>
              <w:jc w:val="center"/>
            </w:pPr>
            <w:r>
              <w:rPr>
                <w:bCs w:val="0"/>
                <w:i/>
              </w:rPr>
              <w:t>NE</w:t>
            </w:r>
          </w:p>
        </w:tc>
        <w:tc>
          <w:tcPr>
            <w:tcW w:w="1339" w:type="dxa"/>
          </w:tcPr>
          <w:p w14:paraId="4B58B5EE" w14:textId="77777777" w:rsidR="004D59D4" w:rsidRDefault="00023FAF" w:rsidP="00025AAC">
            <w:pPr>
              <w:pStyle w:val="TableText1"/>
              <w:jc w:val="center"/>
            </w:pPr>
            <w:r>
              <w:t>58 (22)</w:t>
            </w:r>
          </w:p>
        </w:tc>
        <w:tc>
          <w:tcPr>
            <w:tcW w:w="1339" w:type="dxa"/>
          </w:tcPr>
          <w:p w14:paraId="254835A4" w14:textId="77777777" w:rsidR="004D59D4" w:rsidRDefault="00023FAF" w:rsidP="00025AAC">
            <w:pPr>
              <w:pStyle w:val="TableText1"/>
              <w:jc w:val="center"/>
            </w:pPr>
            <w:r>
              <w:t>0 (0)</w:t>
            </w:r>
          </w:p>
        </w:tc>
        <w:tc>
          <w:tcPr>
            <w:tcW w:w="1339" w:type="dxa"/>
          </w:tcPr>
          <w:p w14:paraId="5E3EA7AC" w14:textId="77777777" w:rsidR="004D59D4" w:rsidRDefault="00023FAF" w:rsidP="00025AAC">
            <w:pPr>
              <w:pStyle w:val="TableText1"/>
              <w:jc w:val="center"/>
              <w:rPr>
                <w:b/>
                <w:bCs w:val="0"/>
                <w:i/>
                <w:iCs w:val="0"/>
              </w:rPr>
            </w:pPr>
            <w:r>
              <w:rPr>
                <w:i/>
                <w:iCs w:val="0"/>
              </w:rPr>
              <w:t>NE</w:t>
            </w:r>
          </w:p>
        </w:tc>
      </w:tr>
    </w:tbl>
    <w:p w14:paraId="0FE443BB" w14:textId="77777777" w:rsidR="004D59D4" w:rsidRDefault="00023FAF" w:rsidP="00025AAC">
      <w:pPr>
        <w:pStyle w:val="TableFigureFooter"/>
        <w:jc w:val="both"/>
      </w:pPr>
      <w:r>
        <w:t xml:space="preserve">Note: This data set has previously been reviewed by the PBAC; however, the resubmission additionally presented this data to include response rates using the total baseline samples size as the denominator. </w:t>
      </w:r>
    </w:p>
    <w:p w14:paraId="43070971" w14:textId="77777777" w:rsidR="004D59D4" w:rsidRDefault="00023FAF" w:rsidP="00025AAC">
      <w:pPr>
        <w:pStyle w:val="TableFigureFooter"/>
        <w:jc w:val="both"/>
      </w:pPr>
      <w:r>
        <w:t>Bold denotes a statistically significant value (p ≤ 0.05). Blue shading indicates data sets previously seen by the PBAC.</w:t>
      </w:r>
    </w:p>
    <w:p w14:paraId="000209D9" w14:textId="77777777" w:rsidR="004D59D4" w:rsidRDefault="00023FAF" w:rsidP="00025AAC">
      <w:pPr>
        <w:pStyle w:val="TableFigureFooter"/>
        <w:jc w:val="both"/>
      </w:pPr>
      <w:r>
        <w:t>Source: Table 2.6-12, p 189 of the resubmission; evaluator conducted calculations in italics.</w:t>
      </w:r>
    </w:p>
    <w:p w14:paraId="69407C7B" w14:textId="77777777" w:rsidR="004D59D4" w:rsidRDefault="00023FAF" w:rsidP="00025AAC">
      <w:pPr>
        <w:pStyle w:val="TableFigureFooter"/>
        <w:jc w:val="both"/>
      </w:pPr>
      <w:r>
        <w:t xml:space="preserve">CI = confidence interval; NE = not estimable; OR = odds ratio; </w:t>
      </w:r>
      <w:proofErr w:type="spellStart"/>
      <w:r>
        <w:t>Phe</w:t>
      </w:r>
      <w:proofErr w:type="spellEnd"/>
      <w:r>
        <w:t xml:space="preserve"> = phenylalanine</w:t>
      </w:r>
    </w:p>
    <w:p w14:paraId="69F472CB" w14:textId="5ED5998C" w:rsidR="004D59D4" w:rsidRDefault="00023FAF" w:rsidP="00025AAC">
      <w:pPr>
        <w:pStyle w:val="TableFigureFooter"/>
        <w:spacing w:before="160"/>
        <w:jc w:val="both"/>
      </w:pPr>
      <w:proofErr w:type="gramStart"/>
      <w:r>
        <w:rPr>
          <w:vertAlign w:val="superscript"/>
        </w:rPr>
        <w:t>a</w:t>
      </w:r>
      <w:r>
        <w:t xml:space="preserve"> 21 patients</w:t>
      </w:r>
      <w:proofErr w:type="gramEnd"/>
      <w:r>
        <w:t xml:space="preserve"> were further excluded from the economic evaluation (n=165), as it was stated that they did not remain on </w:t>
      </w:r>
      <w:proofErr w:type="spellStart"/>
      <w:r>
        <w:t>pegvaliase</w:t>
      </w:r>
      <w:proofErr w:type="spellEnd"/>
      <w:r>
        <w:t xml:space="preserve"> for two years, and a response rate of 81.8% (135/165) was used in the economic evaluation.</w:t>
      </w:r>
      <w:r w:rsidR="00025AAC">
        <w:t xml:space="preserve"> </w:t>
      </w:r>
    </w:p>
    <w:p w14:paraId="61E4C3F7" w14:textId="77777777" w:rsidR="004D59D4" w:rsidRDefault="00023FAF" w:rsidP="00025AAC">
      <w:pPr>
        <w:pStyle w:val="3-BodyText"/>
        <w:numPr>
          <w:ilvl w:val="1"/>
          <w:numId w:val="37"/>
        </w:numPr>
        <w:spacing w:before="160"/>
      </w:pPr>
      <w:r>
        <w:t xml:space="preserve">The economic model relied on </w:t>
      </w:r>
      <w:proofErr w:type="spellStart"/>
      <w:r>
        <w:t>pegvaliase</w:t>
      </w:r>
      <w:proofErr w:type="spellEnd"/>
      <w:r>
        <w:t xml:space="preserve"> responder rates from the naïve indirect comparison, as was the case for the previous </w:t>
      </w:r>
      <w:proofErr w:type="spellStart"/>
      <w:r>
        <w:t>pegvaliase</w:t>
      </w:r>
      <w:proofErr w:type="spellEnd"/>
      <w:r>
        <w:t xml:space="preserve"> submission. The resubmission did not provide any justification as to why these data were used to inform the economic evaluation rather than data from Zori 2019 or Burton 2024. While the resubmission presented amended response rates incorporating the total baseline sample size as the denominator (rather than using the number of patients at risk at a particular time as in the previous submission), the </w:t>
      </w:r>
      <w:proofErr w:type="spellStart"/>
      <w:r>
        <w:t>pegvaliase</w:t>
      </w:r>
      <w:proofErr w:type="spellEnd"/>
      <w:r>
        <w:t xml:space="preserve"> response rate used in the economic model was not updated. As in the 2022 economic model, a </w:t>
      </w:r>
      <w:proofErr w:type="spellStart"/>
      <w:r>
        <w:t>pegvaliase</w:t>
      </w:r>
      <w:proofErr w:type="spellEnd"/>
      <w:r>
        <w:t xml:space="preserve"> response rate of 81.8% (135/165) was used based on the further exclusion of 21 patients who did not remain on </w:t>
      </w:r>
      <w:proofErr w:type="spellStart"/>
      <w:r>
        <w:t>pegvaliase</w:t>
      </w:r>
      <w:proofErr w:type="spellEnd"/>
      <w:r>
        <w:t xml:space="preserve"> for two years.</w:t>
      </w:r>
    </w:p>
    <w:p w14:paraId="203EBBFD" w14:textId="44B45251" w:rsidR="004D59D4" w:rsidRDefault="00023FAF" w:rsidP="00025AAC">
      <w:pPr>
        <w:pStyle w:val="3-BodyText"/>
        <w:numPr>
          <w:ilvl w:val="1"/>
          <w:numId w:val="38"/>
        </w:numPr>
        <w:spacing w:before="160"/>
      </w:pPr>
      <w:r>
        <w:t xml:space="preserve">The analysis calculated that 14 of the remaining 30 patients (who were not considered </w:t>
      </w:r>
      <w:proofErr w:type="spellStart"/>
      <w:r>
        <w:t>pegvaliase</w:t>
      </w:r>
      <w:proofErr w:type="spellEnd"/>
      <w:r>
        <w:t xml:space="preserve"> responders based on </w:t>
      </w:r>
      <w:proofErr w:type="spellStart"/>
      <w:r>
        <w:t>Phe</w:t>
      </w:r>
      <w:proofErr w:type="spellEnd"/>
      <w:r>
        <w:t xml:space="preserve"> blood) achieved at least one recorded score of a ≥ 5 ADHD-RS inattention subscale score reduction within the two years, representing 8.5% (14/165). These responder values (81.8% + 8.5% = 90.3%) were applied in the economic model.</w:t>
      </w:r>
    </w:p>
    <w:p w14:paraId="21BEA9E9" w14:textId="77777777" w:rsidR="004D59D4" w:rsidRDefault="00023FAF" w:rsidP="00025AAC">
      <w:pPr>
        <w:pStyle w:val="3-BodyText"/>
        <w:numPr>
          <w:ilvl w:val="1"/>
          <w:numId w:val="1"/>
        </w:numPr>
        <w:spacing w:before="160"/>
      </w:pPr>
      <w:r>
        <w:t xml:space="preserve">Comparatively, a 0% response rate was assumed in the economic model for </w:t>
      </w:r>
      <w:proofErr w:type="spellStart"/>
      <w:r>
        <w:t>Phe</w:t>
      </w:r>
      <w:proofErr w:type="spellEnd"/>
      <w:r>
        <w:t xml:space="preserve"> restricted diet only patients. As noted for the previous submission (paragraph 6.35, </w:t>
      </w:r>
      <w:proofErr w:type="spellStart"/>
      <w:r>
        <w:t>pegvaliase</w:t>
      </w:r>
      <w:proofErr w:type="spellEnd"/>
      <w:r>
        <w:t xml:space="preserve"> PSD, July 2022 PBAC meeting), this was not supported by the PKUDOS data which reported an up to 16% blood-</w:t>
      </w:r>
      <w:proofErr w:type="spellStart"/>
      <w:r>
        <w:t>Phe</w:t>
      </w:r>
      <w:proofErr w:type="spellEnd"/>
      <w:r>
        <w:t xml:space="preserve"> response rate at 6 months using the 2022 submission’s calculation methods (12% using the total baseline samples size as the </w:t>
      </w:r>
      <w:r>
        <w:lastRenderedPageBreak/>
        <w:t xml:space="preserve">denominator as presented in the resubmission). This favoured </w:t>
      </w:r>
      <w:proofErr w:type="spellStart"/>
      <w:r>
        <w:t>pegvaliase</w:t>
      </w:r>
      <w:proofErr w:type="spellEnd"/>
      <w:r>
        <w:t xml:space="preserve"> in the economic model. </w:t>
      </w:r>
    </w:p>
    <w:p w14:paraId="2A8910AF" w14:textId="04889C17" w:rsidR="004D59D4" w:rsidRDefault="00023FAF" w:rsidP="00025AAC">
      <w:pPr>
        <w:pStyle w:val="3-BodyText"/>
        <w:numPr>
          <w:ilvl w:val="1"/>
          <w:numId w:val="1"/>
        </w:numPr>
        <w:spacing w:before="160"/>
      </w:pPr>
      <w:bookmarkStart w:id="56" w:name="_Ref216723044"/>
      <w:r>
        <w:t xml:space="preserve">Burton 2024 reported results for blood </w:t>
      </w:r>
      <w:proofErr w:type="spellStart"/>
      <w:r>
        <w:t>Phe</w:t>
      </w:r>
      <w:proofErr w:type="spellEnd"/>
      <w:r>
        <w:t xml:space="preserve"> at baseline and at 1, 2, and 3 years of follow-up for </w:t>
      </w:r>
      <w:proofErr w:type="spellStart"/>
      <w:r>
        <w:t>pegvaliase</w:t>
      </w:r>
      <w:proofErr w:type="spellEnd"/>
      <w:r>
        <w:t xml:space="preserve"> from the PRISM trials and </w:t>
      </w:r>
      <w:proofErr w:type="spellStart"/>
      <w:r>
        <w:t>Phe</w:t>
      </w:r>
      <w:proofErr w:type="spellEnd"/>
      <w:r>
        <w:t xml:space="preserve">-restricted diet alone in PKUDOS, as summarised in </w:t>
      </w:r>
      <w:r>
        <w:fldChar w:fldCharType="begin"/>
      </w:r>
      <w:r>
        <w:instrText xml:space="preserve"> REF _Ref215051547 \h </w:instrText>
      </w:r>
      <w:r>
        <w:fldChar w:fldCharType="separate"/>
      </w:r>
      <w:r w:rsidR="00E24060">
        <w:t xml:space="preserve">Table </w:t>
      </w:r>
      <w:r w:rsidR="00E24060">
        <w:rPr>
          <w:noProof/>
        </w:rPr>
        <w:t>8</w:t>
      </w:r>
      <w:r>
        <w:fldChar w:fldCharType="end"/>
      </w:r>
      <w:r>
        <w:t xml:space="preserve">. </w:t>
      </w:r>
      <w:bookmarkEnd w:id="56"/>
    </w:p>
    <w:p w14:paraId="6751D686" w14:textId="723E4472" w:rsidR="004D59D4" w:rsidRDefault="00023FAF" w:rsidP="00025AAC">
      <w:pPr>
        <w:pStyle w:val="Caption"/>
        <w:spacing w:before="160"/>
      </w:pPr>
      <w:bookmarkStart w:id="57" w:name="_Ref215051547"/>
      <w:r>
        <w:t xml:space="preserve">Table </w:t>
      </w:r>
      <w:fldSimple w:instr=" SEQ Table \* ARABIC ">
        <w:r w:rsidR="00E24060">
          <w:rPr>
            <w:noProof/>
          </w:rPr>
          <w:t>8</w:t>
        </w:r>
      </w:fldSimple>
      <w:bookmarkEnd w:id="57"/>
      <w:r>
        <w:t xml:space="preserve">: Burton 2024 clinical outcomes with </w:t>
      </w:r>
      <w:proofErr w:type="spellStart"/>
      <w:r>
        <w:t>pegvaliase</w:t>
      </w:r>
      <w:proofErr w:type="spellEnd"/>
      <w:r>
        <w:t xml:space="preserve"> and </w:t>
      </w:r>
      <w:proofErr w:type="spellStart"/>
      <w:r>
        <w:t>Phe</w:t>
      </w:r>
      <w:proofErr w:type="spellEnd"/>
      <w:r>
        <w:t>-restricted diet alone at baseline and 1, 2, and 3 years of follow-up (observed data)</w:t>
      </w:r>
    </w:p>
    <w:tbl>
      <w:tblPr>
        <w:tblStyle w:val="TableGrid"/>
        <w:tblW w:w="5000" w:type="pct"/>
        <w:tblLayout w:type="fixed"/>
        <w:tblLook w:val="04A0" w:firstRow="1" w:lastRow="0" w:firstColumn="1" w:lastColumn="0" w:noHBand="0" w:noVBand="1"/>
        <w:tblCaption w:val="Table 8: Burton 2024 clinical outcomes with pegvaliase and Phe-restricted diet alone at baseline and 1, 2, and 3 years of follow-up (observed data)"/>
      </w:tblPr>
      <w:tblGrid>
        <w:gridCol w:w="1836"/>
        <w:gridCol w:w="2009"/>
        <w:gridCol w:w="1724"/>
        <w:gridCol w:w="1654"/>
        <w:gridCol w:w="1793"/>
      </w:tblGrid>
      <w:tr w:rsidR="004D59D4" w14:paraId="058999CC" w14:textId="77777777">
        <w:tc>
          <w:tcPr>
            <w:tcW w:w="1838" w:type="dxa"/>
            <w:vMerge w:val="restart"/>
          </w:tcPr>
          <w:p w14:paraId="499FC16C" w14:textId="77777777" w:rsidR="004D59D4" w:rsidRDefault="004D59D4" w:rsidP="00025AAC">
            <w:pPr>
              <w:pStyle w:val="Tabletext"/>
            </w:pPr>
          </w:p>
        </w:tc>
        <w:tc>
          <w:tcPr>
            <w:tcW w:w="7188" w:type="dxa"/>
            <w:gridSpan w:val="4"/>
          </w:tcPr>
          <w:p w14:paraId="10CC37E9" w14:textId="77777777" w:rsidR="004D59D4" w:rsidRDefault="00023FAF" w:rsidP="00025AAC">
            <w:pPr>
              <w:pStyle w:val="In-tableHeading"/>
              <w:jc w:val="center"/>
            </w:pPr>
            <w:proofErr w:type="spellStart"/>
            <w:r>
              <w:t>Pegvaliase</w:t>
            </w:r>
            <w:proofErr w:type="spellEnd"/>
            <w:r>
              <w:t xml:space="preserve"> (N = 183)</w:t>
            </w:r>
          </w:p>
        </w:tc>
      </w:tr>
      <w:tr w:rsidR="004D59D4" w14:paraId="05C8578F" w14:textId="77777777">
        <w:tc>
          <w:tcPr>
            <w:tcW w:w="1838" w:type="dxa"/>
            <w:vMerge/>
          </w:tcPr>
          <w:p w14:paraId="0ADDEAC6" w14:textId="77777777" w:rsidR="004D59D4" w:rsidRDefault="004D59D4" w:rsidP="00025AAC">
            <w:pPr>
              <w:pStyle w:val="Tabletext"/>
            </w:pPr>
          </w:p>
        </w:tc>
        <w:tc>
          <w:tcPr>
            <w:tcW w:w="2011" w:type="dxa"/>
          </w:tcPr>
          <w:p w14:paraId="7E84623A" w14:textId="77777777" w:rsidR="004D59D4" w:rsidRDefault="00023FAF" w:rsidP="00025AAC">
            <w:pPr>
              <w:pStyle w:val="In-tableHeading"/>
              <w:jc w:val="center"/>
            </w:pPr>
            <w:r>
              <w:t>Baseline</w:t>
            </w:r>
          </w:p>
        </w:tc>
        <w:tc>
          <w:tcPr>
            <w:tcW w:w="1726" w:type="dxa"/>
          </w:tcPr>
          <w:p w14:paraId="37B94308" w14:textId="77777777" w:rsidR="004D59D4" w:rsidRDefault="00023FAF" w:rsidP="00025AAC">
            <w:pPr>
              <w:pStyle w:val="In-tableHeading"/>
              <w:jc w:val="center"/>
            </w:pPr>
            <w:r>
              <w:t>Year 1</w:t>
            </w:r>
          </w:p>
        </w:tc>
        <w:tc>
          <w:tcPr>
            <w:tcW w:w="1656" w:type="dxa"/>
          </w:tcPr>
          <w:p w14:paraId="594D5C67" w14:textId="77777777" w:rsidR="004D59D4" w:rsidRDefault="00023FAF" w:rsidP="00025AAC">
            <w:pPr>
              <w:pStyle w:val="In-tableHeading"/>
              <w:jc w:val="center"/>
            </w:pPr>
            <w:r>
              <w:t>Year 2</w:t>
            </w:r>
          </w:p>
        </w:tc>
        <w:tc>
          <w:tcPr>
            <w:tcW w:w="1795" w:type="dxa"/>
          </w:tcPr>
          <w:p w14:paraId="07DEB4BC" w14:textId="77777777" w:rsidR="004D59D4" w:rsidRDefault="00023FAF" w:rsidP="00025AAC">
            <w:pPr>
              <w:pStyle w:val="In-tableHeading"/>
              <w:jc w:val="center"/>
            </w:pPr>
            <w:r>
              <w:t>Year 3</w:t>
            </w:r>
          </w:p>
        </w:tc>
      </w:tr>
      <w:tr w:rsidR="004D59D4" w14:paraId="61722478" w14:textId="77777777">
        <w:tc>
          <w:tcPr>
            <w:tcW w:w="9026" w:type="dxa"/>
            <w:gridSpan w:val="5"/>
            <w:vAlign w:val="center"/>
          </w:tcPr>
          <w:p w14:paraId="71D3B275" w14:textId="77777777" w:rsidR="004D59D4" w:rsidRDefault="00023FAF" w:rsidP="00025AAC">
            <w:pPr>
              <w:pStyle w:val="Tabletext"/>
            </w:pPr>
            <w:r>
              <w:t xml:space="preserve">Blood </w:t>
            </w:r>
            <w:proofErr w:type="spellStart"/>
            <w:r>
              <w:t>Phe</w:t>
            </w:r>
            <w:proofErr w:type="spellEnd"/>
            <w:r>
              <w:t>, µmol/L</w:t>
            </w:r>
          </w:p>
        </w:tc>
      </w:tr>
      <w:tr w:rsidR="004D59D4" w14:paraId="7C35B17A" w14:textId="77777777">
        <w:tc>
          <w:tcPr>
            <w:tcW w:w="1838" w:type="dxa"/>
          </w:tcPr>
          <w:p w14:paraId="72EDF412" w14:textId="77777777" w:rsidR="004D59D4" w:rsidRDefault="00023FAF" w:rsidP="00025AAC">
            <w:pPr>
              <w:pStyle w:val="Tabletext"/>
              <w:rPr>
                <w:rFonts w:eastAsia="Calibri"/>
              </w:rPr>
            </w:pPr>
            <w:r>
              <w:rPr>
                <w:rFonts w:eastAsia="Calibri"/>
              </w:rPr>
              <w:t>n</w:t>
            </w:r>
          </w:p>
        </w:tc>
        <w:tc>
          <w:tcPr>
            <w:tcW w:w="2011" w:type="dxa"/>
          </w:tcPr>
          <w:p w14:paraId="2DB946A2" w14:textId="77777777" w:rsidR="004D59D4" w:rsidRDefault="00023FAF" w:rsidP="00025AAC">
            <w:pPr>
              <w:pStyle w:val="Tabletext"/>
              <w:jc w:val="center"/>
            </w:pPr>
            <w:r>
              <w:t>183</w:t>
            </w:r>
          </w:p>
        </w:tc>
        <w:tc>
          <w:tcPr>
            <w:tcW w:w="1726" w:type="dxa"/>
          </w:tcPr>
          <w:p w14:paraId="37D78480" w14:textId="77777777" w:rsidR="004D59D4" w:rsidRDefault="00023FAF" w:rsidP="00025AAC">
            <w:pPr>
              <w:pStyle w:val="Tabletext"/>
              <w:jc w:val="center"/>
            </w:pPr>
            <w:r>
              <w:t>180</w:t>
            </w:r>
          </w:p>
        </w:tc>
        <w:tc>
          <w:tcPr>
            <w:tcW w:w="1656" w:type="dxa"/>
          </w:tcPr>
          <w:p w14:paraId="6202FF8F" w14:textId="77777777" w:rsidR="004D59D4" w:rsidRDefault="00023FAF" w:rsidP="00025AAC">
            <w:pPr>
              <w:pStyle w:val="Tabletext"/>
              <w:jc w:val="center"/>
            </w:pPr>
            <w:r>
              <w:t>165</w:t>
            </w:r>
          </w:p>
        </w:tc>
        <w:tc>
          <w:tcPr>
            <w:tcW w:w="1795" w:type="dxa"/>
          </w:tcPr>
          <w:p w14:paraId="281301B8" w14:textId="77777777" w:rsidR="004D59D4" w:rsidRDefault="00023FAF" w:rsidP="00025AAC">
            <w:pPr>
              <w:pStyle w:val="Tabletext"/>
              <w:jc w:val="center"/>
            </w:pPr>
            <w:r>
              <w:t>153</w:t>
            </w:r>
          </w:p>
        </w:tc>
      </w:tr>
      <w:tr w:rsidR="004D59D4" w14:paraId="784F4FD0" w14:textId="77777777">
        <w:tc>
          <w:tcPr>
            <w:tcW w:w="1838" w:type="dxa"/>
          </w:tcPr>
          <w:p w14:paraId="32E69A05" w14:textId="77777777" w:rsidR="004D59D4" w:rsidRDefault="00023FAF" w:rsidP="00025AAC">
            <w:pPr>
              <w:pStyle w:val="Tabletext"/>
            </w:pPr>
            <w:r>
              <w:rPr>
                <w:rFonts w:eastAsia="Calibri"/>
              </w:rPr>
              <w:t>Mean (SD)</w:t>
            </w:r>
          </w:p>
        </w:tc>
        <w:tc>
          <w:tcPr>
            <w:tcW w:w="2011" w:type="dxa"/>
          </w:tcPr>
          <w:p w14:paraId="53AF7FAB" w14:textId="77777777" w:rsidR="004D59D4" w:rsidRDefault="00023FAF" w:rsidP="00025AAC">
            <w:pPr>
              <w:pStyle w:val="Tabletext"/>
              <w:jc w:val="center"/>
            </w:pPr>
            <w:r>
              <w:t>1258.0 (365.3)</w:t>
            </w:r>
          </w:p>
        </w:tc>
        <w:tc>
          <w:tcPr>
            <w:tcW w:w="1726" w:type="dxa"/>
          </w:tcPr>
          <w:p w14:paraId="0EC19266" w14:textId="77777777" w:rsidR="004D59D4" w:rsidRDefault="00023FAF" w:rsidP="00025AAC">
            <w:pPr>
              <w:pStyle w:val="Tabletext"/>
              <w:jc w:val="center"/>
            </w:pPr>
            <w:r>
              <w:t>605.7 (556.2)</w:t>
            </w:r>
          </w:p>
        </w:tc>
        <w:tc>
          <w:tcPr>
            <w:tcW w:w="1656" w:type="dxa"/>
          </w:tcPr>
          <w:p w14:paraId="331A0D46" w14:textId="77777777" w:rsidR="004D59D4" w:rsidRDefault="00023FAF" w:rsidP="00025AAC">
            <w:pPr>
              <w:pStyle w:val="Tabletext"/>
              <w:jc w:val="center"/>
            </w:pPr>
            <w:r>
              <w:t>400.2 (514.3)</w:t>
            </w:r>
          </w:p>
        </w:tc>
        <w:tc>
          <w:tcPr>
            <w:tcW w:w="1795" w:type="dxa"/>
          </w:tcPr>
          <w:p w14:paraId="097C1571" w14:textId="77777777" w:rsidR="004D59D4" w:rsidRDefault="00023FAF" w:rsidP="00025AAC">
            <w:pPr>
              <w:pStyle w:val="Tabletext"/>
              <w:jc w:val="center"/>
            </w:pPr>
            <w:r>
              <w:t>396.9 (463.6)</w:t>
            </w:r>
          </w:p>
        </w:tc>
      </w:tr>
      <w:tr w:rsidR="004D59D4" w14:paraId="54DC69C2" w14:textId="77777777">
        <w:tc>
          <w:tcPr>
            <w:tcW w:w="1838" w:type="dxa"/>
          </w:tcPr>
          <w:p w14:paraId="15B5CE82" w14:textId="77777777" w:rsidR="004D59D4" w:rsidRDefault="00023FAF" w:rsidP="00025AAC">
            <w:pPr>
              <w:pStyle w:val="Tabletext"/>
            </w:pPr>
            <w:r>
              <w:rPr>
                <w:rFonts w:eastAsia="Calibri"/>
              </w:rPr>
              <w:t>Median (IQR)</w:t>
            </w:r>
          </w:p>
        </w:tc>
        <w:tc>
          <w:tcPr>
            <w:tcW w:w="2011" w:type="dxa"/>
          </w:tcPr>
          <w:p w14:paraId="7AC012EF" w14:textId="77777777" w:rsidR="004D59D4" w:rsidRDefault="00023FAF" w:rsidP="00025AAC">
            <w:pPr>
              <w:pStyle w:val="Tabletext"/>
              <w:jc w:val="center"/>
            </w:pPr>
            <w:r>
              <w:t>1244.0 (984.5–1508.5)</w:t>
            </w:r>
          </w:p>
        </w:tc>
        <w:tc>
          <w:tcPr>
            <w:tcW w:w="1726" w:type="dxa"/>
          </w:tcPr>
          <w:p w14:paraId="35A3667E" w14:textId="77777777" w:rsidR="004D59D4" w:rsidRDefault="00023FAF" w:rsidP="00025AAC">
            <w:pPr>
              <w:pStyle w:val="Tabletext"/>
              <w:jc w:val="center"/>
            </w:pPr>
            <w:r>
              <w:t>535.0 (34.8-1,065.3)</w:t>
            </w:r>
          </w:p>
        </w:tc>
        <w:tc>
          <w:tcPr>
            <w:tcW w:w="1656" w:type="dxa"/>
          </w:tcPr>
          <w:p w14:paraId="589FB96D" w14:textId="77777777" w:rsidR="004D59D4" w:rsidRDefault="00023FAF" w:rsidP="00025AAC">
            <w:pPr>
              <w:pStyle w:val="Tabletext"/>
              <w:jc w:val="center"/>
            </w:pPr>
            <w:r>
              <w:t>142.0 (6.0-735.0)</w:t>
            </w:r>
          </w:p>
        </w:tc>
        <w:tc>
          <w:tcPr>
            <w:tcW w:w="1795" w:type="dxa"/>
          </w:tcPr>
          <w:p w14:paraId="029979A5" w14:textId="77777777" w:rsidR="004D59D4" w:rsidRDefault="00023FAF" w:rsidP="00025AAC">
            <w:pPr>
              <w:pStyle w:val="Tabletext"/>
              <w:jc w:val="center"/>
            </w:pPr>
            <w:r>
              <w:t>167.0 (9.0-763.0)</w:t>
            </w:r>
          </w:p>
        </w:tc>
      </w:tr>
      <w:tr w:rsidR="004D59D4" w14:paraId="7BBA6A1C" w14:textId="77777777">
        <w:tc>
          <w:tcPr>
            <w:tcW w:w="1838" w:type="dxa"/>
          </w:tcPr>
          <w:p w14:paraId="26D227E0" w14:textId="77777777" w:rsidR="004D59D4" w:rsidRDefault="00023FAF" w:rsidP="00025AAC">
            <w:pPr>
              <w:pStyle w:val="Tabletext"/>
            </w:pPr>
            <w:r>
              <w:rPr>
                <w:rFonts w:eastAsia="Calibri"/>
              </w:rPr>
              <w:t>MAD</w:t>
            </w:r>
          </w:p>
        </w:tc>
        <w:tc>
          <w:tcPr>
            <w:tcW w:w="2011" w:type="dxa"/>
          </w:tcPr>
          <w:p w14:paraId="6750722C" w14:textId="77777777" w:rsidR="004D59D4" w:rsidRDefault="00023FAF" w:rsidP="00025AAC">
            <w:pPr>
              <w:pStyle w:val="Tabletext"/>
              <w:jc w:val="center"/>
            </w:pPr>
            <w:r>
              <w:t>416.4</w:t>
            </w:r>
          </w:p>
        </w:tc>
        <w:tc>
          <w:tcPr>
            <w:tcW w:w="1726" w:type="dxa"/>
          </w:tcPr>
          <w:p w14:paraId="1438EBDC" w14:textId="77777777" w:rsidR="004D59D4" w:rsidRDefault="00023FAF" w:rsidP="00025AAC">
            <w:pPr>
              <w:pStyle w:val="Tabletext"/>
              <w:jc w:val="center"/>
            </w:pPr>
            <w:r>
              <w:t>624.8</w:t>
            </w:r>
          </w:p>
        </w:tc>
        <w:tc>
          <w:tcPr>
            <w:tcW w:w="1656" w:type="dxa"/>
          </w:tcPr>
          <w:p w14:paraId="66BD23A5" w14:textId="77777777" w:rsidR="004D59D4" w:rsidRDefault="00023FAF" w:rsidP="00025AAC">
            <w:pPr>
              <w:pStyle w:val="Tabletext"/>
              <w:jc w:val="center"/>
            </w:pPr>
            <w:r>
              <w:t>525.2</w:t>
            </w:r>
          </w:p>
        </w:tc>
        <w:tc>
          <w:tcPr>
            <w:tcW w:w="1795" w:type="dxa"/>
          </w:tcPr>
          <w:p w14:paraId="010D7126" w14:textId="77777777" w:rsidR="004D59D4" w:rsidRDefault="00023FAF" w:rsidP="00025AAC">
            <w:pPr>
              <w:pStyle w:val="Tabletext"/>
              <w:jc w:val="center"/>
            </w:pPr>
            <w:r>
              <w:t>491.5</w:t>
            </w:r>
          </w:p>
        </w:tc>
      </w:tr>
      <w:tr w:rsidR="004D59D4" w14:paraId="595464C9" w14:textId="77777777">
        <w:tc>
          <w:tcPr>
            <w:tcW w:w="9026" w:type="dxa"/>
            <w:gridSpan w:val="5"/>
            <w:vAlign w:val="center"/>
          </w:tcPr>
          <w:p w14:paraId="3985B3ED" w14:textId="77777777" w:rsidR="004D59D4" w:rsidRDefault="00023FAF" w:rsidP="00025AAC">
            <w:pPr>
              <w:pStyle w:val="Tabletext"/>
            </w:pPr>
            <w:r>
              <w:t>Protein intake from natural food (g/</w:t>
            </w:r>
            <w:proofErr w:type="gramStart"/>
            <w:r>
              <w:t>day)</w:t>
            </w:r>
            <w:r>
              <w:rPr>
                <w:vertAlign w:val="superscript"/>
              </w:rPr>
              <w:t>a</w:t>
            </w:r>
            <w:proofErr w:type="gramEnd"/>
          </w:p>
        </w:tc>
      </w:tr>
      <w:tr w:rsidR="004D59D4" w14:paraId="319D433F" w14:textId="77777777">
        <w:tc>
          <w:tcPr>
            <w:tcW w:w="1838" w:type="dxa"/>
          </w:tcPr>
          <w:p w14:paraId="15AB5D1F" w14:textId="77777777" w:rsidR="004D59D4" w:rsidRDefault="00023FAF" w:rsidP="00025AAC">
            <w:pPr>
              <w:pStyle w:val="Tabletext"/>
            </w:pPr>
            <w:r>
              <w:rPr>
                <w:rFonts w:eastAsia="Calibri"/>
              </w:rPr>
              <w:t>n</w:t>
            </w:r>
          </w:p>
        </w:tc>
        <w:tc>
          <w:tcPr>
            <w:tcW w:w="2011" w:type="dxa"/>
          </w:tcPr>
          <w:p w14:paraId="6A202987" w14:textId="77777777" w:rsidR="004D59D4" w:rsidRDefault="00023FAF" w:rsidP="00025AAC">
            <w:pPr>
              <w:pStyle w:val="Tabletext"/>
              <w:jc w:val="center"/>
            </w:pPr>
            <w:r>
              <w:t>176</w:t>
            </w:r>
          </w:p>
        </w:tc>
        <w:tc>
          <w:tcPr>
            <w:tcW w:w="1726" w:type="dxa"/>
          </w:tcPr>
          <w:p w14:paraId="6EE613E1" w14:textId="77777777" w:rsidR="004D59D4" w:rsidRDefault="00023FAF" w:rsidP="00025AAC">
            <w:pPr>
              <w:pStyle w:val="Tabletext"/>
              <w:jc w:val="center"/>
            </w:pPr>
            <w:r>
              <w:t>174</w:t>
            </w:r>
          </w:p>
        </w:tc>
        <w:tc>
          <w:tcPr>
            <w:tcW w:w="1656" w:type="dxa"/>
          </w:tcPr>
          <w:p w14:paraId="0B9597E7" w14:textId="77777777" w:rsidR="004D59D4" w:rsidRDefault="00023FAF" w:rsidP="00025AAC">
            <w:pPr>
              <w:pStyle w:val="Tabletext"/>
              <w:jc w:val="center"/>
            </w:pPr>
            <w:r>
              <w:t>160</w:t>
            </w:r>
          </w:p>
        </w:tc>
        <w:tc>
          <w:tcPr>
            <w:tcW w:w="1795" w:type="dxa"/>
          </w:tcPr>
          <w:p w14:paraId="04F12175" w14:textId="77777777" w:rsidR="004D59D4" w:rsidRDefault="00023FAF" w:rsidP="00025AAC">
            <w:pPr>
              <w:pStyle w:val="Tabletext"/>
              <w:jc w:val="center"/>
            </w:pPr>
            <w:r>
              <w:t>146</w:t>
            </w:r>
          </w:p>
        </w:tc>
      </w:tr>
      <w:tr w:rsidR="004D59D4" w14:paraId="3EFB5DEB" w14:textId="77777777">
        <w:tc>
          <w:tcPr>
            <w:tcW w:w="1838" w:type="dxa"/>
          </w:tcPr>
          <w:p w14:paraId="79299522" w14:textId="77777777" w:rsidR="004D59D4" w:rsidRDefault="00023FAF" w:rsidP="00025AAC">
            <w:pPr>
              <w:pStyle w:val="Tabletext"/>
            </w:pPr>
            <w:r>
              <w:rPr>
                <w:rFonts w:eastAsia="Calibri"/>
              </w:rPr>
              <w:t>Mean (SD)</w:t>
            </w:r>
          </w:p>
        </w:tc>
        <w:tc>
          <w:tcPr>
            <w:tcW w:w="2011" w:type="dxa"/>
          </w:tcPr>
          <w:p w14:paraId="4B4B43F8" w14:textId="77777777" w:rsidR="004D59D4" w:rsidRDefault="00023FAF" w:rsidP="00025AAC">
            <w:pPr>
              <w:pStyle w:val="Tabletext"/>
              <w:jc w:val="center"/>
            </w:pPr>
            <w:r>
              <w:t>39.2 (27.9)</w:t>
            </w:r>
          </w:p>
        </w:tc>
        <w:tc>
          <w:tcPr>
            <w:tcW w:w="1726" w:type="dxa"/>
          </w:tcPr>
          <w:p w14:paraId="217B5C49" w14:textId="77777777" w:rsidR="004D59D4" w:rsidRDefault="00023FAF" w:rsidP="00025AAC">
            <w:pPr>
              <w:pStyle w:val="Tabletext"/>
              <w:jc w:val="center"/>
            </w:pPr>
            <w:r>
              <w:t>48.0 (28.5)</w:t>
            </w:r>
          </w:p>
        </w:tc>
        <w:tc>
          <w:tcPr>
            <w:tcW w:w="1656" w:type="dxa"/>
          </w:tcPr>
          <w:p w14:paraId="1490122C" w14:textId="77777777" w:rsidR="004D59D4" w:rsidRDefault="00023FAF" w:rsidP="00025AAC">
            <w:pPr>
              <w:pStyle w:val="Tabletext"/>
              <w:jc w:val="center"/>
            </w:pPr>
            <w:r>
              <w:t>58.0 (28.1)</w:t>
            </w:r>
          </w:p>
        </w:tc>
        <w:tc>
          <w:tcPr>
            <w:tcW w:w="1795" w:type="dxa"/>
          </w:tcPr>
          <w:p w14:paraId="7615D78E" w14:textId="77777777" w:rsidR="004D59D4" w:rsidRDefault="00023FAF" w:rsidP="00025AAC">
            <w:pPr>
              <w:pStyle w:val="Tabletext"/>
              <w:jc w:val="center"/>
            </w:pPr>
            <w:r>
              <w:t>63.3 (27.8)</w:t>
            </w:r>
          </w:p>
        </w:tc>
      </w:tr>
      <w:tr w:rsidR="004D59D4" w14:paraId="1D5103EF" w14:textId="77777777">
        <w:tc>
          <w:tcPr>
            <w:tcW w:w="1838" w:type="dxa"/>
          </w:tcPr>
          <w:p w14:paraId="4C4ED976" w14:textId="77777777" w:rsidR="004D59D4" w:rsidRDefault="00023FAF" w:rsidP="00025AAC">
            <w:pPr>
              <w:pStyle w:val="Tabletext"/>
            </w:pPr>
            <w:r>
              <w:rPr>
                <w:rFonts w:eastAsia="Calibri"/>
              </w:rPr>
              <w:t>Median (min, max)</w:t>
            </w:r>
          </w:p>
        </w:tc>
        <w:tc>
          <w:tcPr>
            <w:tcW w:w="2011" w:type="dxa"/>
          </w:tcPr>
          <w:p w14:paraId="07F95C96" w14:textId="77777777" w:rsidR="004D59D4" w:rsidRDefault="00023FAF" w:rsidP="00025AAC">
            <w:pPr>
              <w:pStyle w:val="Tabletext"/>
              <w:jc w:val="center"/>
            </w:pPr>
            <w:r>
              <w:t>30.4 (4.2, 155.3)</w:t>
            </w:r>
          </w:p>
        </w:tc>
        <w:tc>
          <w:tcPr>
            <w:tcW w:w="1726" w:type="dxa"/>
          </w:tcPr>
          <w:p w14:paraId="04619C5F" w14:textId="77777777" w:rsidR="004D59D4" w:rsidRDefault="00023FAF" w:rsidP="00025AAC">
            <w:pPr>
              <w:pStyle w:val="Tabletext"/>
              <w:jc w:val="center"/>
            </w:pPr>
            <w:r>
              <w:t>39.3 (6.9, 128.8)</w:t>
            </w:r>
          </w:p>
        </w:tc>
        <w:tc>
          <w:tcPr>
            <w:tcW w:w="1656" w:type="dxa"/>
          </w:tcPr>
          <w:p w14:paraId="2FB88CA1" w14:textId="77777777" w:rsidR="004D59D4" w:rsidRDefault="00023FAF" w:rsidP="00025AAC">
            <w:pPr>
              <w:pStyle w:val="Tabletext"/>
              <w:jc w:val="center"/>
            </w:pPr>
            <w:r>
              <w:t>56.7 (7.0, 127.8)</w:t>
            </w:r>
          </w:p>
        </w:tc>
        <w:tc>
          <w:tcPr>
            <w:tcW w:w="1795" w:type="dxa"/>
          </w:tcPr>
          <w:p w14:paraId="55F7C518" w14:textId="77777777" w:rsidR="004D59D4" w:rsidRDefault="00023FAF" w:rsidP="00025AAC">
            <w:pPr>
              <w:pStyle w:val="Tabletext"/>
              <w:jc w:val="center"/>
            </w:pPr>
            <w:r>
              <w:t>63.5 (7.1, 126.0)</w:t>
            </w:r>
          </w:p>
        </w:tc>
      </w:tr>
      <w:tr w:rsidR="004D59D4" w14:paraId="66E49668" w14:textId="77777777">
        <w:tc>
          <w:tcPr>
            <w:tcW w:w="1838" w:type="dxa"/>
            <w:vMerge w:val="restart"/>
          </w:tcPr>
          <w:p w14:paraId="4810B5F9" w14:textId="77777777" w:rsidR="004D59D4" w:rsidRDefault="004D59D4" w:rsidP="00025AAC">
            <w:pPr>
              <w:pStyle w:val="Tabletext"/>
            </w:pPr>
          </w:p>
        </w:tc>
        <w:tc>
          <w:tcPr>
            <w:tcW w:w="7188" w:type="dxa"/>
            <w:gridSpan w:val="4"/>
          </w:tcPr>
          <w:p w14:paraId="4421FC9B" w14:textId="77777777" w:rsidR="004D59D4" w:rsidRDefault="00023FAF" w:rsidP="00025AAC">
            <w:pPr>
              <w:pStyle w:val="In-tableHeading"/>
              <w:jc w:val="center"/>
            </w:pPr>
            <w:proofErr w:type="spellStart"/>
            <w:r>
              <w:t>Phe</w:t>
            </w:r>
            <w:proofErr w:type="spellEnd"/>
            <w:r>
              <w:t>-restricted diet alone (N = 67)</w:t>
            </w:r>
          </w:p>
        </w:tc>
      </w:tr>
      <w:tr w:rsidR="004D59D4" w14:paraId="7579F7E0" w14:textId="77777777">
        <w:tc>
          <w:tcPr>
            <w:tcW w:w="1838" w:type="dxa"/>
            <w:vMerge/>
          </w:tcPr>
          <w:p w14:paraId="6A6AF449" w14:textId="77777777" w:rsidR="004D59D4" w:rsidRDefault="004D59D4" w:rsidP="00025AAC">
            <w:pPr>
              <w:pStyle w:val="Tabletext"/>
            </w:pPr>
          </w:p>
        </w:tc>
        <w:tc>
          <w:tcPr>
            <w:tcW w:w="2011" w:type="dxa"/>
          </w:tcPr>
          <w:p w14:paraId="242A92ED" w14:textId="77777777" w:rsidR="004D59D4" w:rsidRDefault="00023FAF" w:rsidP="00025AAC">
            <w:pPr>
              <w:pStyle w:val="In-tableHeading"/>
              <w:jc w:val="center"/>
            </w:pPr>
            <w:r>
              <w:t>Baseline</w:t>
            </w:r>
          </w:p>
        </w:tc>
        <w:tc>
          <w:tcPr>
            <w:tcW w:w="1726" w:type="dxa"/>
          </w:tcPr>
          <w:p w14:paraId="105351FC" w14:textId="77777777" w:rsidR="004D59D4" w:rsidRDefault="00023FAF" w:rsidP="00025AAC">
            <w:pPr>
              <w:pStyle w:val="In-tableHeading"/>
              <w:jc w:val="center"/>
            </w:pPr>
            <w:r>
              <w:t>Year 1</w:t>
            </w:r>
          </w:p>
        </w:tc>
        <w:tc>
          <w:tcPr>
            <w:tcW w:w="1656" w:type="dxa"/>
          </w:tcPr>
          <w:p w14:paraId="677CF9C0" w14:textId="77777777" w:rsidR="004D59D4" w:rsidRDefault="00023FAF" w:rsidP="00025AAC">
            <w:pPr>
              <w:pStyle w:val="In-tableHeading"/>
              <w:jc w:val="center"/>
            </w:pPr>
            <w:r>
              <w:t>Year 2</w:t>
            </w:r>
          </w:p>
        </w:tc>
        <w:tc>
          <w:tcPr>
            <w:tcW w:w="1795" w:type="dxa"/>
          </w:tcPr>
          <w:p w14:paraId="40862659" w14:textId="77777777" w:rsidR="004D59D4" w:rsidRDefault="00023FAF" w:rsidP="00025AAC">
            <w:pPr>
              <w:pStyle w:val="In-tableHeading"/>
              <w:jc w:val="center"/>
            </w:pPr>
            <w:r>
              <w:t>Year 3</w:t>
            </w:r>
          </w:p>
        </w:tc>
      </w:tr>
      <w:tr w:rsidR="004D59D4" w14:paraId="72FCDA9A" w14:textId="77777777">
        <w:tc>
          <w:tcPr>
            <w:tcW w:w="9026" w:type="dxa"/>
            <w:gridSpan w:val="5"/>
          </w:tcPr>
          <w:p w14:paraId="63273A85" w14:textId="77777777" w:rsidR="004D59D4" w:rsidRDefault="00023FAF" w:rsidP="00025AAC">
            <w:pPr>
              <w:pStyle w:val="Tabletext"/>
            </w:pPr>
            <w:r>
              <w:t xml:space="preserve">Blood </w:t>
            </w:r>
            <w:proofErr w:type="spellStart"/>
            <w:r>
              <w:t>Phe</w:t>
            </w:r>
            <w:proofErr w:type="spellEnd"/>
            <w:r>
              <w:t>, µmol/L</w:t>
            </w:r>
          </w:p>
        </w:tc>
      </w:tr>
      <w:tr w:rsidR="004D59D4" w14:paraId="71095713" w14:textId="77777777">
        <w:tc>
          <w:tcPr>
            <w:tcW w:w="1838" w:type="dxa"/>
          </w:tcPr>
          <w:p w14:paraId="695B416D" w14:textId="77777777" w:rsidR="004D59D4" w:rsidRDefault="00023FAF" w:rsidP="00025AAC">
            <w:pPr>
              <w:pStyle w:val="Tabletext"/>
              <w:rPr>
                <w:rFonts w:eastAsia="Calibri"/>
              </w:rPr>
            </w:pPr>
            <w:r>
              <w:rPr>
                <w:rFonts w:eastAsia="Calibri"/>
              </w:rPr>
              <w:t>n</w:t>
            </w:r>
          </w:p>
        </w:tc>
        <w:tc>
          <w:tcPr>
            <w:tcW w:w="2011" w:type="dxa"/>
          </w:tcPr>
          <w:p w14:paraId="6CE9D99F" w14:textId="77777777" w:rsidR="004D59D4" w:rsidRDefault="00023FAF" w:rsidP="00025AAC">
            <w:pPr>
              <w:pStyle w:val="Tabletext"/>
              <w:jc w:val="center"/>
            </w:pPr>
            <w:r>
              <w:t>67</w:t>
            </w:r>
          </w:p>
        </w:tc>
        <w:tc>
          <w:tcPr>
            <w:tcW w:w="1726" w:type="dxa"/>
          </w:tcPr>
          <w:p w14:paraId="624E9F99" w14:textId="77777777" w:rsidR="004D59D4" w:rsidRDefault="00023FAF" w:rsidP="00025AAC">
            <w:pPr>
              <w:pStyle w:val="Tabletext"/>
              <w:jc w:val="center"/>
            </w:pPr>
            <w:r>
              <w:t>42</w:t>
            </w:r>
          </w:p>
        </w:tc>
        <w:tc>
          <w:tcPr>
            <w:tcW w:w="1656" w:type="dxa"/>
          </w:tcPr>
          <w:p w14:paraId="7D4D8D91" w14:textId="77777777" w:rsidR="004D59D4" w:rsidRDefault="00023FAF" w:rsidP="00025AAC">
            <w:pPr>
              <w:pStyle w:val="Tabletext"/>
              <w:jc w:val="center"/>
            </w:pPr>
            <w:r>
              <w:t>32</w:t>
            </w:r>
          </w:p>
        </w:tc>
        <w:tc>
          <w:tcPr>
            <w:tcW w:w="1795" w:type="dxa"/>
          </w:tcPr>
          <w:p w14:paraId="233CDD7A" w14:textId="77777777" w:rsidR="004D59D4" w:rsidRDefault="00023FAF" w:rsidP="00025AAC">
            <w:pPr>
              <w:pStyle w:val="Tabletext"/>
              <w:jc w:val="center"/>
            </w:pPr>
            <w:r>
              <w:t>27</w:t>
            </w:r>
          </w:p>
        </w:tc>
      </w:tr>
      <w:tr w:rsidR="004D59D4" w14:paraId="5B63A5DB" w14:textId="77777777">
        <w:tc>
          <w:tcPr>
            <w:tcW w:w="1838" w:type="dxa"/>
          </w:tcPr>
          <w:p w14:paraId="0E5E783B" w14:textId="77777777" w:rsidR="004D59D4" w:rsidRDefault="00023FAF" w:rsidP="00025AAC">
            <w:pPr>
              <w:pStyle w:val="Tabletext"/>
              <w:rPr>
                <w:rFonts w:eastAsia="Calibri"/>
              </w:rPr>
            </w:pPr>
            <w:r>
              <w:rPr>
                <w:rFonts w:eastAsia="Calibri"/>
              </w:rPr>
              <w:t>Mean (SD)</w:t>
            </w:r>
          </w:p>
        </w:tc>
        <w:tc>
          <w:tcPr>
            <w:tcW w:w="2011" w:type="dxa"/>
          </w:tcPr>
          <w:p w14:paraId="59371A5E" w14:textId="77777777" w:rsidR="004D59D4" w:rsidRDefault="00023FAF" w:rsidP="00025AAC">
            <w:pPr>
              <w:pStyle w:val="Tabletext"/>
              <w:jc w:val="center"/>
            </w:pPr>
            <w:r>
              <w:t>1,082.0 (298.6)</w:t>
            </w:r>
          </w:p>
        </w:tc>
        <w:tc>
          <w:tcPr>
            <w:tcW w:w="1726" w:type="dxa"/>
          </w:tcPr>
          <w:p w14:paraId="31FB6510" w14:textId="77777777" w:rsidR="004D59D4" w:rsidRDefault="00023FAF" w:rsidP="00025AAC">
            <w:pPr>
              <w:pStyle w:val="Tabletext"/>
              <w:jc w:val="center"/>
            </w:pPr>
            <w:r>
              <w:t>963.4 (315.8)</w:t>
            </w:r>
          </w:p>
        </w:tc>
        <w:tc>
          <w:tcPr>
            <w:tcW w:w="1656" w:type="dxa"/>
          </w:tcPr>
          <w:p w14:paraId="1460D348" w14:textId="77777777" w:rsidR="004D59D4" w:rsidRDefault="00023FAF" w:rsidP="00025AAC">
            <w:pPr>
              <w:pStyle w:val="Tabletext"/>
              <w:jc w:val="center"/>
            </w:pPr>
            <w:r>
              <w:t>940.9 (388.3)</w:t>
            </w:r>
          </w:p>
        </w:tc>
        <w:tc>
          <w:tcPr>
            <w:tcW w:w="1795" w:type="dxa"/>
          </w:tcPr>
          <w:p w14:paraId="61963B09" w14:textId="77777777" w:rsidR="004D59D4" w:rsidRDefault="00023FAF" w:rsidP="00025AAC">
            <w:pPr>
              <w:pStyle w:val="Tabletext"/>
              <w:jc w:val="center"/>
            </w:pPr>
            <w:r>
              <w:t>1,134.0 (523.6)</w:t>
            </w:r>
          </w:p>
        </w:tc>
      </w:tr>
      <w:tr w:rsidR="004D59D4" w14:paraId="5808BEA0" w14:textId="77777777">
        <w:tc>
          <w:tcPr>
            <w:tcW w:w="1838" w:type="dxa"/>
          </w:tcPr>
          <w:p w14:paraId="18DE9761" w14:textId="77777777" w:rsidR="004D59D4" w:rsidRDefault="00023FAF" w:rsidP="00025AAC">
            <w:pPr>
              <w:pStyle w:val="Tabletext"/>
              <w:rPr>
                <w:rFonts w:eastAsia="Calibri"/>
              </w:rPr>
            </w:pPr>
            <w:r>
              <w:rPr>
                <w:rFonts w:eastAsia="Calibri"/>
              </w:rPr>
              <w:t>Median (IQR)</w:t>
            </w:r>
          </w:p>
        </w:tc>
        <w:tc>
          <w:tcPr>
            <w:tcW w:w="2011" w:type="dxa"/>
          </w:tcPr>
          <w:p w14:paraId="2E622F65" w14:textId="77777777" w:rsidR="004D59D4" w:rsidRDefault="00023FAF" w:rsidP="00025AAC">
            <w:pPr>
              <w:pStyle w:val="Tabletext"/>
              <w:jc w:val="center"/>
            </w:pPr>
            <w:r>
              <w:t xml:space="preserve">984.0 </w:t>
            </w:r>
          </w:p>
          <w:p w14:paraId="07C0F04A" w14:textId="77777777" w:rsidR="004D59D4" w:rsidRDefault="00023FAF" w:rsidP="00025AAC">
            <w:pPr>
              <w:pStyle w:val="Tabletext"/>
              <w:jc w:val="center"/>
            </w:pPr>
            <w:r>
              <w:t>(846.5–1368.5)</w:t>
            </w:r>
          </w:p>
        </w:tc>
        <w:tc>
          <w:tcPr>
            <w:tcW w:w="1726" w:type="dxa"/>
          </w:tcPr>
          <w:p w14:paraId="0FCEFC03" w14:textId="77777777" w:rsidR="004D59D4" w:rsidRDefault="00023FAF" w:rsidP="00025AAC">
            <w:pPr>
              <w:pStyle w:val="Tabletext"/>
              <w:jc w:val="center"/>
            </w:pPr>
            <w:r>
              <w:t xml:space="preserve">939.0 </w:t>
            </w:r>
          </w:p>
          <w:p w14:paraId="12A6AA40" w14:textId="77777777" w:rsidR="004D59D4" w:rsidRDefault="00023FAF" w:rsidP="00025AAC">
            <w:pPr>
              <w:pStyle w:val="Tabletext"/>
              <w:jc w:val="center"/>
            </w:pPr>
            <w:r>
              <w:t>(675.5-1,149.0)</w:t>
            </w:r>
          </w:p>
        </w:tc>
        <w:tc>
          <w:tcPr>
            <w:tcW w:w="1656" w:type="dxa"/>
          </w:tcPr>
          <w:p w14:paraId="1EDE24B5" w14:textId="77777777" w:rsidR="004D59D4" w:rsidRDefault="00023FAF" w:rsidP="00025AAC">
            <w:pPr>
              <w:pStyle w:val="Tabletext"/>
              <w:jc w:val="center"/>
            </w:pPr>
            <w:r>
              <w:t xml:space="preserve">941.1 </w:t>
            </w:r>
          </w:p>
          <w:p w14:paraId="4B32E3DC" w14:textId="77777777" w:rsidR="004D59D4" w:rsidRDefault="00023FAF" w:rsidP="00025AAC">
            <w:pPr>
              <w:pStyle w:val="Tabletext"/>
              <w:jc w:val="center"/>
            </w:pPr>
            <w:r>
              <w:t>(671.0-1,225.2)</w:t>
            </w:r>
          </w:p>
        </w:tc>
        <w:tc>
          <w:tcPr>
            <w:tcW w:w="1795" w:type="dxa"/>
          </w:tcPr>
          <w:p w14:paraId="7A5C39EC" w14:textId="77777777" w:rsidR="004D59D4" w:rsidRDefault="00023FAF" w:rsidP="00025AAC">
            <w:pPr>
              <w:pStyle w:val="Tabletext"/>
              <w:jc w:val="center"/>
            </w:pPr>
            <w:r>
              <w:t xml:space="preserve">1,157.0 </w:t>
            </w:r>
          </w:p>
          <w:p w14:paraId="3F270C1E" w14:textId="77777777" w:rsidR="004D59D4" w:rsidRDefault="00023FAF" w:rsidP="00025AAC">
            <w:pPr>
              <w:pStyle w:val="Tabletext"/>
              <w:jc w:val="center"/>
            </w:pPr>
            <w:r>
              <w:t>(727.2-1,470.0)</w:t>
            </w:r>
          </w:p>
        </w:tc>
      </w:tr>
      <w:tr w:rsidR="004D59D4" w14:paraId="506A5317" w14:textId="77777777">
        <w:tc>
          <w:tcPr>
            <w:tcW w:w="1838" w:type="dxa"/>
          </w:tcPr>
          <w:p w14:paraId="6285F742" w14:textId="77777777" w:rsidR="004D59D4" w:rsidRDefault="00023FAF" w:rsidP="00025AAC">
            <w:pPr>
              <w:pStyle w:val="Tabletext"/>
              <w:rPr>
                <w:rFonts w:eastAsia="Calibri"/>
              </w:rPr>
            </w:pPr>
            <w:r>
              <w:rPr>
                <w:rFonts w:eastAsia="Calibri"/>
              </w:rPr>
              <w:t>MAD</w:t>
            </w:r>
          </w:p>
        </w:tc>
        <w:tc>
          <w:tcPr>
            <w:tcW w:w="2011" w:type="dxa"/>
          </w:tcPr>
          <w:p w14:paraId="486B97D6" w14:textId="77777777" w:rsidR="004D59D4" w:rsidRDefault="00023FAF" w:rsidP="00025AAC">
            <w:pPr>
              <w:pStyle w:val="Tabletext"/>
              <w:jc w:val="center"/>
            </w:pPr>
            <w:r>
              <w:t>342.8</w:t>
            </w:r>
          </w:p>
        </w:tc>
        <w:tc>
          <w:tcPr>
            <w:tcW w:w="1726" w:type="dxa"/>
          </w:tcPr>
          <w:p w14:paraId="62ACC60E" w14:textId="77777777" w:rsidR="004D59D4" w:rsidRDefault="00023FAF" w:rsidP="00025AAC">
            <w:pPr>
              <w:pStyle w:val="Tabletext"/>
              <w:jc w:val="center"/>
            </w:pPr>
            <w:r>
              <w:t>364.9</w:t>
            </w:r>
          </w:p>
        </w:tc>
        <w:tc>
          <w:tcPr>
            <w:tcW w:w="1656" w:type="dxa"/>
          </w:tcPr>
          <w:p w14:paraId="1936F4B5" w14:textId="77777777" w:rsidR="004D59D4" w:rsidRDefault="00023FAF" w:rsidP="00025AAC">
            <w:pPr>
              <w:pStyle w:val="Tabletext"/>
              <w:jc w:val="center"/>
            </w:pPr>
            <w:r>
              <w:t>446.5</w:t>
            </w:r>
          </w:p>
        </w:tc>
        <w:tc>
          <w:tcPr>
            <w:tcW w:w="1795" w:type="dxa"/>
          </w:tcPr>
          <w:p w14:paraId="6C5693A0" w14:textId="77777777" w:rsidR="004D59D4" w:rsidRDefault="00023FAF" w:rsidP="00025AAC">
            <w:pPr>
              <w:pStyle w:val="Tabletext"/>
              <w:jc w:val="center"/>
            </w:pPr>
            <w:r>
              <w:t>605.3</w:t>
            </w:r>
          </w:p>
        </w:tc>
      </w:tr>
      <w:tr w:rsidR="004D59D4" w14:paraId="6CA24478" w14:textId="77777777">
        <w:tc>
          <w:tcPr>
            <w:tcW w:w="9026" w:type="dxa"/>
            <w:gridSpan w:val="5"/>
          </w:tcPr>
          <w:p w14:paraId="1A027DD6" w14:textId="77777777" w:rsidR="004D59D4" w:rsidRDefault="00023FAF" w:rsidP="00025AAC">
            <w:pPr>
              <w:pStyle w:val="Tabletext"/>
            </w:pPr>
            <w:r>
              <w:t>Protein intake from natural food (g/day)</w:t>
            </w:r>
            <w:r>
              <w:rPr>
                <w:vertAlign w:val="superscript"/>
              </w:rPr>
              <w:t xml:space="preserve"> a</w:t>
            </w:r>
          </w:p>
        </w:tc>
      </w:tr>
      <w:tr w:rsidR="004D59D4" w14:paraId="0202D0F6" w14:textId="77777777">
        <w:tc>
          <w:tcPr>
            <w:tcW w:w="1838" w:type="dxa"/>
          </w:tcPr>
          <w:p w14:paraId="2829A59C" w14:textId="77777777" w:rsidR="004D59D4" w:rsidRDefault="00023FAF" w:rsidP="00025AAC">
            <w:pPr>
              <w:pStyle w:val="Tabletext"/>
              <w:rPr>
                <w:rFonts w:eastAsia="Calibri"/>
              </w:rPr>
            </w:pPr>
            <w:r>
              <w:rPr>
                <w:rFonts w:eastAsia="Calibri"/>
              </w:rPr>
              <w:t>n</w:t>
            </w:r>
          </w:p>
        </w:tc>
        <w:tc>
          <w:tcPr>
            <w:tcW w:w="2011" w:type="dxa"/>
          </w:tcPr>
          <w:p w14:paraId="60C30871" w14:textId="77777777" w:rsidR="004D59D4" w:rsidRDefault="00023FAF" w:rsidP="00025AAC">
            <w:pPr>
              <w:pStyle w:val="Tabletext"/>
              <w:jc w:val="center"/>
            </w:pPr>
            <w:r>
              <w:t>47</w:t>
            </w:r>
          </w:p>
        </w:tc>
        <w:tc>
          <w:tcPr>
            <w:tcW w:w="1726" w:type="dxa"/>
          </w:tcPr>
          <w:p w14:paraId="3527CECA" w14:textId="77777777" w:rsidR="004D59D4" w:rsidRDefault="00023FAF" w:rsidP="00025AAC">
            <w:pPr>
              <w:pStyle w:val="Tabletext"/>
              <w:jc w:val="center"/>
            </w:pPr>
            <w:r>
              <w:t>14</w:t>
            </w:r>
          </w:p>
        </w:tc>
        <w:tc>
          <w:tcPr>
            <w:tcW w:w="1656" w:type="dxa"/>
          </w:tcPr>
          <w:p w14:paraId="5334D8E6" w14:textId="77777777" w:rsidR="004D59D4" w:rsidRDefault="00023FAF" w:rsidP="00025AAC">
            <w:pPr>
              <w:pStyle w:val="Tabletext"/>
              <w:jc w:val="center"/>
            </w:pPr>
            <w:r>
              <w:t>10</w:t>
            </w:r>
          </w:p>
        </w:tc>
        <w:tc>
          <w:tcPr>
            <w:tcW w:w="1795" w:type="dxa"/>
          </w:tcPr>
          <w:p w14:paraId="2D71CE44" w14:textId="77777777" w:rsidR="004D59D4" w:rsidRDefault="00023FAF" w:rsidP="00025AAC">
            <w:pPr>
              <w:pStyle w:val="Tabletext"/>
              <w:jc w:val="center"/>
            </w:pPr>
            <w:r>
              <w:t>4</w:t>
            </w:r>
          </w:p>
        </w:tc>
      </w:tr>
      <w:tr w:rsidR="004D59D4" w14:paraId="146AF405" w14:textId="77777777">
        <w:tc>
          <w:tcPr>
            <w:tcW w:w="1838" w:type="dxa"/>
          </w:tcPr>
          <w:p w14:paraId="41172111" w14:textId="77777777" w:rsidR="004D59D4" w:rsidRDefault="00023FAF" w:rsidP="00025AAC">
            <w:pPr>
              <w:pStyle w:val="Tabletext"/>
              <w:rPr>
                <w:rFonts w:eastAsia="Calibri"/>
              </w:rPr>
            </w:pPr>
            <w:r>
              <w:rPr>
                <w:rFonts w:eastAsia="Calibri"/>
              </w:rPr>
              <w:t>Mean (SD)</w:t>
            </w:r>
          </w:p>
        </w:tc>
        <w:tc>
          <w:tcPr>
            <w:tcW w:w="2011" w:type="dxa"/>
          </w:tcPr>
          <w:p w14:paraId="2F5C6FC2" w14:textId="77777777" w:rsidR="004D59D4" w:rsidRDefault="00023FAF" w:rsidP="00025AAC">
            <w:pPr>
              <w:pStyle w:val="Tabletext"/>
              <w:jc w:val="center"/>
            </w:pPr>
            <w:r>
              <w:t>20.4 (17.5)</w:t>
            </w:r>
          </w:p>
        </w:tc>
        <w:tc>
          <w:tcPr>
            <w:tcW w:w="1726" w:type="dxa"/>
          </w:tcPr>
          <w:p w14:paraId="08382325" w14:textId="77777777" w:rsidR="004D59D4" w:rsidRDefault="00023FAF" w:rsidP="00025AAC">
            <w:pPr>
              <w:pStyle w:val="Tabletext"/>
              <w:jc w:val="center"/>
            </w:pPr>
            <w:r>
              <w:t>23.9 (16.6)</w:t>
            </w:r>
          </w:p>
        </w:tc>
        <w:tc>
          <w:tcPr>
            <w:tcW w:w="1656" w:type="dxa"/>
          </w:tcPr>
          <w:p w14:paraId="6CA908B9" w14:textId="77777777" w:rsidR="004D59D4" w:rsidRDefault="00023FAF" w:rsidP="00025AAC">
            <w:pPr>
              <w:pStyle w:val="Tabletext"/>
              <w:jc w:val="center"/>
            </w:pPr>
            <w:r>
              <w:t>16.5 (11.3)</w:t>
            </w:r>
          </w:p>
        </w:tc>
        <w:tc>
          <w:tcPr>
            <w:tcW w:w="1795" w:type="dxa"/>
          </w:tcPr>
          <w:p w14:paraId="2BC08995" w14:textId="77777777" w:rsidR="004D59D4" w:rsidRDefault="00023FAF" w:rsidP="00025AAC">
            <w:pPr>
              <w:pStyle w:val="Tabletext"/>
              <w:jc w:val="center"/>
            </w:pPr>
            <w:r>
              <w:t>22.9 (10.1)</w:t>
            </w:r>
          </w:p>
        </w:tc>
      </w:tr>
      <w:tr w:rsidR="004D59D4" w14:paraId="25A8C4A1" w14:textId="77777777">
        <w:tc>
          <w:tcPr>
            <w:tcW w:w="1838" w:type="dxa"/>
          </w:tcPr>
          <w:p w14:paraId="662023F4" w14:textId="77777777" w:rsidR="004D59D4" w:rsidRDefault="00023FAF" w:rsidP="00025AAC">
            <w:pPr>
              <w:pStyle w:val="Tabletext"/>
              <w:rPr>
                <w:rFonts w:eastAsia="Calibri"/>
              </w:rPr>
            </w:pPr>
            <w:r>
              <w:rPr>
                <w:rFonts w:eastAsia="Calibri"/>
              </w:rPr>
              <w:t>Median (min, max)</w:t>
            </w:r>
          </w:p>
        </w:tc>
        <w:tc>
          <w:tcPr>
            <w:tcW w:w="2011" w:type="dxa"/>
          </w:tcPr>
          <w:p w14:paraId="7A10340F" w14:textId="77777777" w:rsidR="004D59D4" w:rsidRDefault="00023FAF" w:rsidP="00025AAC">
            <w:pPr>
              <w:pStyle w:val="Tabletext"/>
              <w:jc w:val="center"/>
            </w:pPr>
            <w:r>
              <w:t>14.0 (3.0, 74.9)</w:t>
            </w:r>
          </w:p>
        </w:tc>
        <w:tc>
          <w:tcPr>
            <w:tcW w:w="1726" w:type="dxa"/>
          </w:tcPr>
          <w:p w14:paraId="5AAA1D48" w14:textId="77777777" w:rsidR="004D59D4" w:rsidRDefault="00023FAF" w:rsidP="00025AAC">
            <w:pPr>
              <w:pStyle w:val="Tabletext"/>
              <w:jc w:val="center"/>
            </w:pPr>
            <w:r>
              <w:t>19.0 (4.0, 69.5)</w:t>
            </w:r>
          </w:p>
        </w:tc>
        <w:tc>
          <w:tcPr>
            <w:tcW w:w="1656" w:type="dxa"/>
          </w:tcPr>
          <w:p w14:paraId="4B323A55" w14:textId="77777777" w:rsidR="004D59D4" w:rsidRDefault="00023FAF" w:rsidP="00025AAC">
            <w:pPr>
              <w:pStyle w:val="Tabletext"/>
              <w:jc w:val="center"/>
            </w:pPr>
            <w:r>
              <w:t>12.6 (3.6, 39.6)</w:t>
            </w:r>
          </w:p>
        </w:tc>
        <w:tc>
          <w:tcPr>
            <w:tcW w:w="1795" w:type="dxa"/>
          </w:tcPr>
          <w:p w14:paraId="60F4AD49" w14:textId="77777777" w:rsidR="004D59D4" w:rsidRDefault="00023FAF" w:rsidP="00025AAC">
            <w:pPr>
              <w:pStyle w:val="Tabletext"/>
              <w:jc w:val="center"/>
            </w:pPr>
            <w:r>
              <w:t>24.0 (10.5, 33.0)</w:t>
            </w:r>
          </w:p>
        </w:tc>
      </w:tr>
    </w:tbl>
    <w:p w14:paraId="568C18AC" w14:textId="77777777" w:rsidR="004D59D4" w:rsidRDefault="00023FAF" w:rsidP="00025AAC">
      <w:pPr>
        <w:pStyle w:val="TableFigureFooter"/>
        <w:jc w:val="both"/>
      </w:pPr>
      <w:r>
        <w:t>Source: Table 2.6-6, p170 of the resubmission</w:t>
      </w:r>
    </w:p>
    <w:p w14:paraId="579B6390" w14:textId="77777777" w:rsidR="004D59D4" w:rsidRDefault="00023FAF" w:rsidP="00025AAC">
      <w:pPr>
        <w:pStyle w:val="TableFigureFooter"/>
        <w:jc w:val="both"/>
      </w:pPr>
      <w:r>
        <w:t xml:space="preserve">IQR = interquartile range; MAD = mean absolute difference; max = maximum; min = minimum; </w:t>
      </w:r>
      <w:proofErr w:type="spellStart"/>
      <w:r>
        <w:t>Phe</w:t>
      </w:r>
      <w:proofErr w:type="spellEnd"/>
      <w:r>
        <w:t xml:space="preserve"> = phenylalanine; PKUDOS = Phenylketonuria Demographics, Outcomes and Safety Registry; SD = standard deviation. </w:t>
      </w:r>
    </w:p>
    <w:p w14:paraId="7F47666C" w14:textId="77777777" w:rsidR="004D59D4" w:rsidRDefault="00023FAF" w:rsidP="00025AAC">
      <w:pPr>
        <w:pStyle w:val="TableFigureFooter"/>
        <w:spacing w:before="160"/>
      </w:pPr>
      <w:proofErr w:type="spellStart"/>
      <w:r>
        <w:rPr>
          <w:vertAlign w:val="superscript"/>
        </w:rPr>
        <w:t>a</w:t>
      </w:r>
      <w:proofErr w:type="spellEnd"/>
      <w:r>
        <w:rPr>
          <w:vertAlign w:val="superscript"/>
        </w:rPr>
        <w:t xml:space="preserve"> </w:t>
      </w:r>
      <w:proofErr w:type="gramStart"/>
      <w:r>
        <w:t>For</w:t>
      </w:r>
      <w:proofErr w:type="gramEnd"/>
      <w:r>
        <w:t xml:space="preserve"> the </w:t>
      </w:r>
      <w:proofErr w:type="spellStart"/>
      <w:r>
        <w:t>pegvaliase</w:t>
      </w:r>
      <w:proofErr w:type="spellEnd"/>
      <w:r>
        <w:t xml:space="preserve"> group: intact protein intake = average dietary protein intake from intact food (g/day); for </w:t>
      </w:r>
      <w:proofErr w:type="spellStart"/>
      <w:r>
        <w:t>Phe</w:t>
      </w:r>
      <w:proofErr w:type="spellEnd"/>
      <w:r>
        <w:t>-restricted diet alone group: intact protein intake (g/day) = total protein intake – medical food protein intake. Calculated intact protein intake measures of &lt;0 g/day and ≥200 g/day were excluded due to the improbability that the measurement was correct.</w:t>
      </w:r>
    </w:p>
    <w:p w14:paraId="713138A3" w14:textId="77777777" w:rsidR="004D59D4" w:rsidRDefault="00023FAF" w:rsidP="00025AAC">
      <w:pPr>
        <w:pStyle w:val="3-BodyText"/>
        <w:numPr>
          <w:ilvl w:val="1"/>
          <w:numId w:val="1"/>
        </w:numPr>
        <w:spacing w:before="160"/>
        <w:rPr>
          <w:rFonts w:cstheme="minorHAnsi"/>
        </w:rPr>
      </w:pPr>
      <w:bookmarkStart w:id="58" w:name="_Hlk215327568"/>
      <w:bookmarkStart w:id="59" w:name="_Ref217307822"/>
      <w:bookmarkEnd w:id="58"/>
      <w:r>
        <w:rPr>
          <w:rFonts w:cstheme="minorHAnsi"/>
        </w:rPr>
        <w:t xml:space="preserve">The results for Burton 2024 indicated that for patients treated with </w:t>
      </w:r>
      <w:proofErr w:type="spellStart"/>
      <w:r>
        <w:rPr>
          <w:rFonts w:cstheme="minorHAnsi"/>
        </w:rPr>
        <w:t>pegvaliase</w:t>
      </w:r>
      <w:proofErr w:type="spellEnd"/>
      <w:r>
        <w:rPr>
          <w:rFonts w:cstheme="minorHAnsi"/>
        </w:rPr>
        <w:t>, blood-</w:t>
      </w:r>
      <w:proofErr w:type="spellStart"/>
      <w:r>
        <w:rPr>
          <w:rFonts w:cstheme="minorHAnsi"/>
        </w:rPr>
        <w:t>Phe</w:t>
      </w:r>
      <w:proofErr w:type="spellEnd"/>
      <w:r>
        <w:rPr>
          <w:rFonts w:cstheme="minorHAnsi"/>
        </w:rPr>
        <w:t xml:space="preserve"> was reduced over time to a greater extent than for patients treated with </w:t>
      </w:r>
      <w:proofErr w:type="spellStart"/>
      <w:r>
        <w:rPr>
          <w:rFonts w:cstheme="minorHAnsi"/>
        </w:rPr>
        <w:t>Phe</w:t>
      </w:r>
      <w:proofErr w:type="spellEnd"/>
      <w:r>
        <w:rPr>
          <w:rFonts w:cstheme="minorHAnsi"/>
        </w:rPr>
        <w:t xml:space="preserve">-restricted diet, and protein intake was increased over time to a greater extent than for patients treated with </w:t>
      </w:r>
      <w:proofErr w:type="spellStart"/>
      <w:r>
        <w:rPr>
          <w:rFonts w:cstheme="minorHAnsi"/>
        </w:rPr>
        <w:t>Phe</w:t>
      </w:r>
      <w:proofErr w:type="spellEnd"/>
      <w:r>
        <w:rPr>
          <w:rFonts w:cstheme="minorHAnsi"/>
        </w:rPr>
        <w:t>-restricted diet. However, there was a high level of uncertainty in the clinical evidence and comparative effectiveness because:</w:t>
      </w:r>
      <w:bookmarkEnd w:id="59"/>
    </w:p>
    <w:p w14:paraId="0856CBB7" w14:textId="77777777" w:rsidR="004D59D4" w:rsidRDefault="00023FAF" w:rsidP="00025AAC">
      <w:pPr>
        <w:pStyle w:val="ListBullet"/>
        <w:numPr>
          <w:ilvl w:val="0"/>
          <w:numId w:val="6"/>
        </w:numPr>
        <w:spacing w:before="160" w:after="120"/>
        <w:ind w:left="1134" w:hanging="425"/>
        <w:contextualSpacing w:val="0"/>
        <w:rPr>
          <w:rFonts w:asciiTheme="minorHAnsi" w:hAnsiTheme="minorHAnsi" w:cstheme="minorHAnsi"/>
        </w:rPr>
      </w:pPr>
      <w:r>
        <w:rPr>
          <w:rFonts w:cstheme="minorHAnsi"/>
        </w:rPr>
        <w:t>The study was associated with a high risk of bias, predominantly due to confounding due to the use of data from two studies/trials that had no common comparator arm, a high risk of selection bias and potential bias due to missing data for PRISM and PKUDOS.</w:t>
      </w:r>
    </w:p>
    <w:p w14:paraId="04D1E0C2" w14:textId="77777777" w:rsidR="004D59D4" w:rsidRDefault="00023FAF" w:rsidP="00025AAC">
      <w:pPr>
        <w:pStyle w:val="ListBullet"/>
        <w:numPr>
          <w:ilvl w:val="0"/>
          <w:numId w:val="6"/>
        </w:numPr>
        <w:spacing w:before="160" w:after="120"/>
        <w:ind w:left="1134" w:hanging="425"/>
        <w:contextualSpacing w:val="0"/>
        <w:rPr>
          <w:rFonts w:asciiTheme="minorHAnsi" w:hAnsiTheme="minorHAnsi" w:cstheme="minorHAnsi"/>
        </w:rPr>
      </w:pPr>
      <w:bookmarkStart w:id="60" w:name="_Hlk215050856"/>
      <w:r>
        <w:rPr>
          <w:rFonts w:cstheme="minorHAnsi"/>
        </w:rPr>
        <w:t xml:space="preserve">There were differences in baseline characteristics between the treatment groups. Baseline blood </w:t>
      </w:r>
      <w:proofErr w:type="spellStart"/>
      <w:r>
        <w:rPr>
          <w:rFonts w:cstheme="minorHAnsi"/>
        </w:rPr>
        <w:t>Phe</w:t>
      </w:r>
      <w:proofErr w:type="spellEnd"/>
      <w:r>
        <w:rPr>
          <w:rFonts w:cstheme="minorHAnsi"/>
        </w:rPr>
        <w:t xml:space="preserve"> levels were higher in </w:t>
      </w:r>
      <w:proofErr w:type="spellStart"/>
      <w:r>
        <w:rPr>
          <w:rFonts w:cstheme="minorHAnsi"/>
        </w:rPr>
        <w:t>pegvaliase</w:t>
      </w:r>
      <w:proofErr w:type="spellEnd"/>
      <w:r>
        <w:rPr>
          <w:rFonts w:cstheme="minorHAnsi"/>
        </w:rPr>
        <w:t xml:space="preserve">-treated patients (median: </w:t>
      </w:r>
      <w:r>
        <w:rPr>
          <w:rFonts w:cstheme="minorHAnsi"/>
        </w:rPr>
        <w:lastRenderedPageBreak/>
        <w:t xml:space="preserve">1,244.0 </w:t>
      </w:r>
      <w:proofErr w:type="spellStart"/>
      <w:r>
        <w:rPr>
          <w:rFonts w:cstheme="minorHAnsi"/>
        </w:rPr>
        <w:t>μmol</w:t>
      </w:r>
      <w:proofErr w:type="spellEnd"/>
      <w:r>
        <w:rPr>
          <w:rFonts w:cstheme="minorHAnsi"/>
        </w:rPr>
        <w:t xml:space="preserve">/L) compared with the </w:t>
      </w:r>
      <w:proofErr w:type="spellStart"/>
      <w:r>
        <w:rPr>
          <w:rFonts w:cstheme="minorHAnsi"/>
        </w:rPr>
        <w:t>Phe</w:t>
      </w:r>
      <w:proofErr w:type="spellEnd"/>
      <w:r>
        <w:rPr>
          <w:rFonts w:cstheme="minorHAnsi"/>
        </w:rPr>
        <w:t xml:space="preserve">-restricted diet alone patients (median: 984.0 </w:t>
      </w:r>
      <w:proofErr w:type="spellStart"/>
      <w:r>
        <w:rPr>
          <w:rFonts w:cstheme="minorHAnsi"/>
        </w:rPr>
        <w:t>μmol</w:t>
      </w:r>
      <w:proofErr w:type="spellEnd"/>
      <w:r>
        <w:rPr>
          <w:rFonts w:cstheme="minorHAnsi"/>
        </w:rPr>
        <w:t xml:space="preserve">/L). Similarly, baseline protein intake was higher in the </w:t>
      </w:r>
      <w:proofErr w:type="spellStart"/>
      <w:r>
        <w:rPr>
          <w:rFonts w:cstheme="minorHAnsi"/>
        </w:rPr>
        <w:t>pegvaliase</w:t>
      </w:r>
      <w:proofErr w:type="spellEnd"/>
      <w:r>
        <w:rPr>
          <w:rFonts w:cstheme="minorHAnsi"/>
        </w:rPr>
        <w:t xml:space="preserve">-treated patients (median: 30.4 g/day) compared with the </w:t>
      </w:r>
      <w:proofErr w:type="spellStart"/>
      <w:r>
        <w:rPr>
          <w:rFonts w:cstheme="minorHAnsi"/>
        </w:rPr>
        <w:t>Phe</w:t>
      </w:r>
      <w:proofErr w:type="spellEnd"/>
      <w:r>
        <w:rPr>
          <w:rFonts w:cstheme="minorHAnsi"/>
        </w:rPr>
        <w:t>-restricted diet alone patients (median: 14.0 g/day). It was unclear if these differences were due to actual differences between the patient populations or if this was a consequence of the patient populations being sourced from different studies/trials with no common comparator.</w:t>
      </w:r>
      <w:bookmarkEnd w:id="60"/>
    </w:p>
    <w:p w14:paraId="02A82B93" w14:textId="77777777" w:rsidR="004D59D4" w:rsidRDefault="00023FAF" w:rsidP="00025AAC">
      <w:pPr>
        <w:pStyle w:val="ListBullet"/>
        <w:numPr>
          <w:ilvl w:val="0"/>
          <w:numId w:val="6"/>
        </w:numPr>
        <w:spacing w:before="160" w:after="120"/>
        <w:ind w:left="1134" w:hanging="425"/>
        <w:contextualSpacing w:val="0"/>
        <w:rPr>
          <w:rFonts w:asciiTheme="minorHAnsi" w:hAnsiTheme="minorHAnsi" w:cstheme="minorHAnsi"/>
        </w:rPr>
      </w:pPr>
      <w:r>
        <w:rPr>
          <w:rFonts w:cstheme="minorHAnsi"/>
        </w:rPr>
        <w:t xml:space="preserve">While the analysis adjusted for age, sex, and baseline blood </w:t>
      </w:r>
      <w:proofErr w:type="spellStart"/>
      <w:r>
        <w:rPr>
          <w:rFonts w:cstheme="minorHAnsi"/>
        </w:rPr>
        <w:t>Phe</w:t>
      </w:r>
      <w:proofErr w:type="spellEnd"/>
      <w:r>
        <w:rPr>
          <w:rFonts w:cstheme="minorHAnsi"/>
        </w:rPr>
        <w:t xml:space="preserve"> concentrations at each time point, it was unclear whether all relevant effect modifiers and prognostic variables were adjusted for in the analysis.</w:t>
      </w:r>
    </w:p>
    <w:p w14:paraId="089C699E" w14:textId="77777777" w:rsidR="004D59D4" w:rsidRDefault="00023FAF" w:rsidP="00025AAC">
      <w:pPr>
        <w:pStyle w:val="ListBullet"/>
        <w:numPr>
          <w:ilvl w:val="0"/>
          <w:numId w:val="6"/>
        </w:numPr>
        <w:spacing w:before="160" w:after="120"/>
        <w:ind w:left="1134" w:hanging="425"/>
        <w:contextualSpacing w:val="0"/>
        <w:rPr>
          <w:rFonts w:asciiTheme="minorHAnsi" w:hAnsiTheme="minorHAnsi" w:cstheme="minorHAnsi"/>
        </w:rPr>
      </w:pPr>
      <w:r>
        <w:rPr>
          <w:rFonts w:cstheme="minorHAnsi"/>
        </w:rPr>
        <w:t xml:space="preserve">While the </w:t>
      </w:r>
      <w:proofErr w:type="spellStart"/>
      <w:r>
        <w:rPr>
          <w:rFonts w:cstheme="minorHAnsi"/>
        </w:rPr>
        <w:t>Phe</w:t>
      </w:r>
      <w:proofErr w:type="spellEnd"/>
      <w:r>
        <w:rPr>
          <w:rFonts w:cstheme="minorHAnsi"/>
        </w:rPr>
        <w:t xml:space="preserve">-restricted diet arm initially included 67 patients, results for considerably fewer patients were available over time for both the blood </w:t>
      </w:r>
      <w:proofErr w:type="spellStart"/>
      <w:r>
        <w:rPr>
          <w:rFonts w:cstheme="minorHAnsi"/>
        </w:rPr>
        <w:t>Phe</w:t>
      </w:r>
      <w:proofErr w:type="spellEnd"/>
      <w:r>
        <w:rPr>
          <w:rFonts w:cstheme="minorHAnsi"/>
        </w:rPr>
        <w:t xml:space="preserve"> and protein intake outcomes but most notably for the protein intake outcome. This is likely to have limited the robustness of this data and its comparison with the </w:t>
      </w:r>
      <w:proofErr w:type="spellStart"/>
      <w:r>
        <w:rPr>
          <w:rFonts w:cstheme="minorHAnsi"/>
        </w:rPr>
        <w:t>pegvaliase</w:t>
      </w:r>
      <w:proofErr w:type="spellEnd"/>
      <w:r>
        <w:rPr>
          <w:rFonts w:cstheme="minorHAnsi"/>
        </w:rPr>
        <w:t xml:space="preserve"> group.</w:t>
      </w:r>
    </w:p>
    <w:p w14:paraId="738C8340" w14:textId="77777777" w:rsidR="004D59D4" w:rsidRDefault="00023FAF" w:rsidP="00025AAC">
      <w:pPr>
        <w:pStyle w:val="ListBullet"/>
        <w:numPr>
          <w:ilvl w:val="0"/>
          <w:numId w:val="6"/>
        </w:numPr>
        <w:spacing w:before="160" w:after="120"/>
        <w:ind w:left="1134" w:hanging="425"/>
        <w:contextualSpacing w:val="0"/>
        <w:rPr>
          <w:rFonts w:asciiTheme="minorHAnsi" w:hAnsiTheme="minorHAnsi" w:cstheme="minorHAnsi"/>
        </w:rPr>
      </w:pPr>
      <w:r>
        <w:rPr>
          <w:rFonts w:cstheme="minorHAnsi"/>
        </w:rPr>
        <w:t xml:space="preserve">For the </w:t>
      </w:r>
      <w:proofErr w:type="spellStart"/>
      <w:r>
        <w:rPr>
          <w:rFonts w:cstheme="minorHAnsi"/>
        </w:rPr>
        <w:t>pegvaliase</w:t>
      </w:r>
      <w:proofErr w:type="spellEnd"/>
      <w:r>
        <w:rPr>
          <w:rFonts w:cstheme="minorHAnsi"/>
        </w:rPr>
        <w:t xml:space="preserve"> group, the blood-</w:t>
      </w:r>
      <w:proofErr w:type="spellStart"/>
      <w:r>
        <w:rPr>
          <w:rFonts w:cstheme="minorHAnsi"/>
        </w:rPr>
        <w:t>Phe</w:t>
      </w:r>
      <w:proofErr w:type="spellEnd"/>
      <w:r>
        <w:rPr>
          <w:rFonts w:cstheme="minorHAnsi"/>
        </w:rPr>
        <w:t xml:space="preserve"> level results have large SDs. This suggests a sizeable amount of uncertainty is associated with these results.</w:t>
      </w:r>
    </w:p>
    <w:p w14:paraId="70942F90" w14:textId="77777777" w:rsidR="004D59D4" w:rsidRDefault="00023FAF" w:rsidP="00025AAC">
      <w:pPr>
        <w:pStyle w:val="ListBullet"/>
        <w:spacing w:before="160" w:after="120"/>
        <w:ind w:left="709"/>
        <w:contextualSpacing w:val="0"/>
        <w:rPr>
          <w:rFonts w:asciiTheme="minorHAnsi" w:hAnsiTheme="minorHAnsi" w:cstheme="minorHAnsi"/>
        </w:rPr>
      </w:pPr>
      <w:r>
        <w:rPr>
          <w:rFonts w:cstheme="minorHAnsi"/>
        </w:rPr>
        <w:t xml:space="preserve">Consequently, the results from Burton 2024 appear unable to robustly inform the magnitude of the incremental benefit that could not be reliably estimated in the previous </w:t>
      </w:r>
      <w:proofErr w:type="spellStart"/>
      <w:r>
        <w:rPr>
          <w:rFonts w:cstheme="minorHAnsi"/>
        </w:rPr>
        <w:t>pegvaliase</w:t>
      </w:r>
      <w:proofErr w:type="spellEnd"/>
      <w:r>
        <w:rPr>
          <w:rFonts w:cstheme="minorHAnsi"/>
        </w:rPr>
        <w:t xml:space="preserve"> submission (paragraph 7.8, </w:t>
      </w:r>
      <w:proofErr w:type="spellStart"/>
      <w:r>
        <w:rPr>
          <w:rFonts w:cstheme="minorHAnsi"/>
        </w:rPr>
        <w:t>pegvaliase</w:t>
      </w:r>
      <w:proofErr w:type="spellEnd"/>
      <w:r>
        <w:rPr>
          <w:rFonts w:cstheme="minorHAnsi"/>
        </w:rPr>
        <w:t xml:space="preserve"> PSD, July 2022 PBAC meeting).</w:t>
      </w:r>
    </w:p>
    <w:p w14:paraId="7FF1ABDB" w14:textId="77777777" w:rsidR="004D59D4" w:rsidRDefault="00023FAF" w:rsidP="00025AAC">
      <w:pPr>
        <w:spacing w:before="160"/>
        <w:rPr>
          <w:rFonts w:asciiTheme="minorHAnsi" w:hAnsiTheme="minorHAnsi" w:cstheme="minorHAnsi"/>
          <w:b/>
          <w:bCs/>
          <w:i/>
          <w:iCs/>
        </w:rPr>
      </w:pPr>
      <w:bookmarkStart w:id="61" w:name="_Ref103052572"/>
      <w:r>
        <w:rPr>
          <w:rFonts w:cstheme="minorHAnsi"/>
          <w:b/>
          <w:bCs/>
          <w:i/>
          <w:iCs/>
        </w:rPr>
        <w:t>Other comparative effectiveness data</w:t>
      </w:r>
    </w:p>
    <w:p w14:paraId="755AFD32" w14:textId="77777777" w:rsidR="004D59D4" w:rsidRDefault="00023FAF" w:rsidP="00025AAC">
      <w:pPr>
        <w:pStyle w:val="3-BodyText"/>
        <w:numPr>
          <w:ilvl w:val="1"/>
          <w:numId w:val="1"/>
        </w:numPr>
        <w:spacing w:before="160" w:after="160"/>
        <w:rPr>
          <w:rFonts w:cstheme="minorHAnsi"/>
        </w:rPr>
      </w:pPr>
      <w:r>
        <w:rPr>
          <w:rFonts w:cstheme="minorHAnsi"/>
        </w:rPr>
        <w:t>As observed for the previous submission, Zori 2019 also presented results comparing matched patients (by age, gender and baseline blood-</w:t>
      </w:r>
      <w:proofErr w:type="spellStart"/>
      <w:r>
        <w:rPr>
          <w:rFonts w:cstheme="minorHAnsi"/>
        </w:rPr>
        <w:t>Phe</w:t>
      </w:r>
      <w:proofErr w:type="spellEnd"/>
      <w:r>
        <w:rPr>
          <w:rFonts w:cstheme="minorHAnsi"/>
        </w:rPr>
        <w:t xml:space="preserve">) treated with </w:t>
      </w:r>
      <w:proofErr w:type="spellStart"/>
      <w:r>
        <w:rPr>
          <w:rFonts w:cstheme="minorHAnsi"/>
        </w:rPr>
        <w:t>pegvaliase</w:t>
      </w:r>
      <w:proofErr w:type="spellEnd"/>
      <w:r>
        <w:t xml:space="preserve"> </w:t>
      </w:r>
      <w:r>
        <w:rPr>
          <w:rFonts w:cstheme="minorHAnsi"/>
        </w:rPr>
        <w:t xml:space="preserve">(n=43) compared to patients treated with </w:t>
      </w:r>
      <w:proofErr w:type="spellStart"/>
      <w:r>
        <w:rPr>
          <w:rFonts w:cstheme="minorHAnsi"/>
        </w:rPr>
        <w:t>sapropterin</w:t>
      </w:r>
      <w:proofErr w:type="spellEnd"/>
      <w:r>
        <w:rPr>
          <w:rFonts w:cstheme="minorHAnsi"/>
        </w:rPr>
        <w:t xml:space="preserve"> plus diet in PKUDOS (n=25). The PBAC noted that both treatments led to decreases in blood-</w:t>
      </w:r>
      <w:proofErr w:type="spellStart"/>
      <w:r>
        <w:rPr>
          <w:rFonts w:cstheme="minorHAnsi"/>
        </w:rPr>
        <w:t>Phe</w:t>
      </w:r>
      <w:proofErr w:type="spellEnd"/>
      <w:r>
        <w:rPr>
          <w:rFonts w:cstheme="minorHAnsi"/>
        </w:rPr>
        <w:t xml:space="preserve"> over time, but compared to </w:t>
      </w:r>
      <w:proofErr w:type="spellStart"/>
      <w:r>
        <w:rPr>
          <w:rFonts w:cstheme="minorHAnsi"/>
        </w:rPr>
        <w:t>sapropterin</w:t>
      </w:r>
      <w:proofErr w:type="spellEnd"/>
      <w:r>
        <w:rPr>
          <w:rFonts w:cstheme="minorHAnsi"/>
        </w:rPr>
        <w:t xml:space="preserve">, a higher proportion of patients treated with </w:t>
      </w:r>
      <w:proofErr w:type="spellStart"/>
      <w:r>
        <w:rPr>
          <w:rFonts w:cstheme="minorHAnsi"/>
        </w:rPr>
        <w:t>pegvaliase</w:t>
      </w:r>
      <w:proofErr w:type="spellEnd"/>
      <w:r>
        <w:rPr>
          <w:rFonts w:cstheme="minorHAnsi"/>
        </w:rPr>
        <w:t xml:space="preserve"> achieved ≤ 360 µmol/L at Year 1 (2/25 (8%) and 22/43 (51%, respectively) and at Year 2 (2/25 (8%) and 26/40 (65%), respectively), suggesting that </w:t>
      </w:r>
      <w:proofErr w:type="spellStart"/>
      <w:r>
        <w:rPr>
          <w:rFonts w:cstheme="minorHAnsi"/>
        </w:rPr>
        <w:t>pegvaliase</w:t>
      </w:r>
      <w:proofErr w:type="spellEnd"/>
      <w:r>
        <w:rPr>
          <w:rFonts w:cstheme="minorHAnsi"/>
        </w:rPr>
        <w:t xml:space="preserve"> was more effective than </w:t>
      </w:r>
      <w:proofErr w:type="spellStart"/>
      <w:r>
        <w:rPr>
          <w:rFonts w:cstheme="minorHAnsi"/>
        </w:rPr>
        <w:t>sapropterin</w:t>
      </w:r>
      <w:proofErr w:type="spellEnd"/>
      <w:r>
        <w:rPr>
          <w:rFonts w:cstheme="minorHAnsi"/>
        </w:rPr>
        <w:t xml:space="preserve"> at lowering blood-</w:t>
      </w:r>
      <w:proofErr w:type="spellStart"/>
      <w:r>
        <w:rPr>
          <w:rFonts w:cstheme="minorHAnsi"/>
        </w:rPr>
        <w:t>Phe</w:t>
      </w:r>
      <w:proofErr w:type="spellEnd"/>
      <w:r>
        <w:rPr>
          <w:rFonts w:cstheme="minorHAnsi"/>
        </w:rPr>
        <w:t xml:space="preserve"> levels </w:t>
      </w:r>
      <w:bookmarkEnd w:id="61"/>
      <w:r>
        <w:rPr>
          <w:rFonts w:cstheme="minorHAnsi"/>
        </w:rPr>
        <w:t xml:space="preserve">(paragraph 6.31, </w:t>
      </w:r>
      <w:proofErr w:type="spellStart"/>
      <w:r>
        <w:rPr>
          <w:rFonts w:cstheme="minorHAnsi"/>
        </w:rPr>
        <w:t>pegvaliase</w:t>
      </w:r>
      <w:proofErr w:type="spellEnd"/>
      <w:r>
        <w:rPr>
          <w:rFonts w:cstheme="minorHAnsi"/>
        </w:rPr>
        <w:t xml:space="preserve"> PSD, July 2022 PBAC meeting).</w:t>
      </w:r>
    </w:p>
    <w:p w14:paraId="3EB0651E" w14:textId="77777777" w:rsidR="004D59D4" w:rsidRDefault="00023FAF" w:rsidP="00025AAC">
      <w:pPr>
        <w:pStyle w:val="3-BodyText"/>
        <w:numPr>
          <w:ilvl w:val="1"/>
          <w:numId w:val="1"/>
        </w:numPr>
        <w:spacing w:before="160" w:after="160"/>
        <w:rPr>
          <w:rFonts w:cstheme="minorHAnsi"/>
        </w:rPr>
      </w:pPr>
      <w:r>
        <w:rPr>
          <w:rFonts w:cstheme="minorHAnsi"/>
        </w:rPr>
        <w:t xml:space="preserve">While not discussed in the resubmission, the study by Burton 2024 included a treatment arm for patients who received </w:t>
      </w:r>
      <w:proofErr w:type="spellStart"/>
      <w:r>
        <w:rPr>
          <w:rFonts w:cstheme="minorHAnsi"/>
        </w:rPr>
        <w:t>sapropterin</w:t>
      </w:r>
      <w:proofErr w:type="spellEnd"/>
      <w:r>
        <w:rPr>
          <w:rFonts w:cstheme="minorHAnsi"/>
        </w:rPr>
        <w:t xml:space="preserve"> + </w:t>
      </w:r>
      <w:proofErr w:type="spellStart"/>
      <w:r>
        <w:rPr>
          <w:rFonts w:cstheme="minorHAnsi"/>
        </w:rPr>
        <w:t>Phe</w:t>
      </w:r>
      <w:proofErr w:type="spellEnd"/>
      <w:r>
        <w:rPr>
          <w:rFonts w:cstheme="minorHAnsi"/>
        </w:rPr>
        <w:t xml:space="preserve">-restricted diet. A comparison was therefore made between patients treated with </w:t>
      </w:r>
      <w:proofErr w:type="spellStart"/>
      <w:r>
        <w:rPr>
          <w:rFonts w:cstheme="minorHAnsi"/>
        </w:rPr>
        <w:t>pegvaliase</w:t>
      </w:r>
      <w:proofErr w:type="spellEnd"/>
      <w:r>
        <w:rPr>
          <w:rFonts w:cstheme="minorHAnsi"/>
        </w:rPr>
        <w:t xml:space="preserve"> from the PRISM trials (n = 183) and patients treated with </w:t>
      </w:r>
      <w:proofErr w:type="spellStart"/>
      <w:r>
        <w:rPr>
          <w:rFonts w:cstheme="minorHAnsi"/>
        </w:rPr>
        <w:t>sapropterin</w:t>
      </w:r>
      <w:proofErr w:type="spellEnd"/>
      <w:r>
        <w:rPr>
          <w:rFonts w:cstheme="minorHAnsi"/>
        </w:rPr>
        <w:t xml:space="preserve"> + </w:t>
      </w:r>
      <w:proofErr w:type="spellStart"/>
      <w:r>
        <w:rPr>
          <w:rFonts w:cstheme="minorHAnsi"/>
        </w:rPr>
        <w:t>Phe</w:t>
      </w:r>
      <w:proofErr w:type="spellEnd"/>
      <w:r>
        <w:rPr>
          <w:rFonts w:cstheme="minorHAnsi"/>
        </w:rPr>
        <w:t xml:space="preserve">-restricted diet from PKUDOS (n=82). While there were notable differences in baseline </w:t>
      </w:r>
      <w:proofErr w:type="spellStart"/>
      <w:r>
        <w:rPr>
          <w:rFonts w:cstheme="minorHAnsi"/>
        </w:rPr>
        <w:t>Phe</w:t>
      </w:r>
      <w:proofErr w:type="spellEnd"/>
      <w:r>
        <w:rPr>
          <w:rFonts w:cstheme="minorHAnsi"/>
        </w:rPr>
        <w:t xml:space="preserve"> levels (mean: </w:t>
      </w:r>
      <w:proofErr w:type="spellStart"/>
      <w:r>
        <w:rPr>
          <w:rFonts w:cstheme="minorHAnsi"/>
        </w:rPr>
        <w:t>pegvaliase</w:t>
      </w:r>
      <w:proofErr w:type="spellEnd"/>
      <w:r>
        <w:rPr>
          <w:rFonts w:cstheme="minorHAnsi"/>
        </w:rPr>
        <w:t xml:space="preserve"> = 1258.0 µmol/L, </w:t>
      </w:r>
      <w:proofErr w:type="spellStart"/>
      <w:r>
        <w:rPr>
          <w:rFonts w:cstheme="minorHAnsi"/>
        </w:rPr>
        <w:t>sapropterin</w:t>
      </w:r>
      <w:proofErr w:type="spellEnd"/>
      <w:r>
        <w:rPr>
          <w:rFonts w:cstheme="minorHAnsi"/>
        </w:rPr>
        <w:t xml:space="preserve"> + </w:t>
      </w:r>
      <w:proofErr w:type="spellStart"/>
      <w:r>
        <w:rPr>
          <w:rFonts w:cstheme="minorHAnsi"/>
        </w:rPr>
        <w:t>Phe</w:t>
      </w:r>
      <w:proofErr w:type="spellEnd"/>
      <w:r>
        <w:rPr>
          <w:rFonts w:cstheme="minorHAnsi"/>
        </w:rPr>
        <w:t xml:space="preserve">-restricted diet = 989.9 µmol/L), the </w:t>
      </w:r>
      <w:proofErr w:type="spellStart"/>
      <w:r>
        <w:rPr>
          <w:rFonts w:cstheme="minorHAnsi"/>
        </w:rPr>
        <w:t>pegvaliase</w:t>
      </w:r>
      <w:proofErr w:type="spellEnd"/>
      <w:r>
        <w:rPr>
          <w:rFonts w:cstheme="minorHAnsi"/>
        </w:rPr>
        <w:t xml:space="preserve"> arm reported lower blood </w:t>
      </w:r>
      <w:proofErr w:type="spellStart"/>
      <w:r>
        <w:rPr>
          <w:rFonts w:cstheme="minorHAnsi"/>
        </w:rPr>
        <w:t>Phe</w:t>
      </w:r>
      <w:proofErr w:type="spellEnd"/>
      <w:r>
        <w:rPr>
          <w:rFonts w:cstheme="minorHAnsi"/>
        </w:rPr>
        <w:t xml:space="preserve"> at all time points (mean: year 1 605.7 µmol/L vs 690.6 µmol/L; year 2 400.2 µmol/L vs 659.6 µmol/L; year 3 396.9 µmol/L vs 693.0 </w:t>
      </w:r>
      <w:r>
        <w:rPr>
          <w:rFonts w:cstheme="minorHAnsi"/>
        </w:rPr>
        <w:lastRenderedPageBreak/>
        <w:t xml:space="preserve">µmol/L). The model-estimated proportions of patients achieving blood </w:t>
      </w:r>
      <w:proofErr w:type="spellStart"/>
      <w:r>
        <w:rPr>
          <w:rFonts w:cstheme="minorHAnsi"/>
        </w:rPr>
        <w:t>Phe</w:t>
      </w:r>
      <w:proofErr w:type="spellEnd"/>
      <w:r>
        <w:rPr>
          <w:rFonts w:cstheme="minorHAnsi"/>
        </w:rPr>
        <w:t xml:space="preserve"> ≤ 360 µmol/L using quantile regression (adjusting for age, sex, and baseline blood </w:t>
      </w:r>
      <w:proofErr w:type="spellStart"/>
      <w:r>
        <w:rPr>
          <w:rFonts w:cstheme="minorHAnsi"/>
        </w:rPr>
        <w:t>Phe</w:t>
      </w:r>
      <w:proofErr w:type="spellEnd"/>
      <w:r>
        <w:rPr>
          <w:rFonts w:cstheme="minorHAnsi"/>
        </w:rPr>
        <w:t xml:space="preserve"> level at each time point) was higher for patients treated with </w:t>
      </w:r>
      <w:proofErr w:type="spellStart"/>
      <w:r>
        <w:rPr>
          <w:rFonts w:cstheme="minorHAnsi"/>
        </w:rPr>
        <w:t>sapropterin</w:t>
      </w:r>
      <w:proofErr w:type="spellEnd"/>
      <w:r>
        <w:rPr>
          <w:rFonts w:cstheme="minorHAnsi"/>
        </w:rPr>
        <w:t xml:space="preserve"> + </w:t>
      </w:r>
      <w:proofErr w:type="spellStart"/>
      <w:r>
        <w:rPr>
          <w:rFonts w:cstheme="minorHAnsi"/>
        </w:rPr>
        <w:t>Phe</w:t>
      </w:r>
      <w:proofErr w:type="spellEnd"/>
      <w:r>
        <w:rPr>
          <w:rFonts w:cstheme="minorHAnsi"/>
        </w:rPr>
        <w:t xml:space="preserve">-restricted diet in Year 1 (18% vs 9%) but was higher for patients treated with </w:t>
      </w:r>
      <w:proofErr w:type="spellStart"/>
      <w:r>
        <w:rPr>
          <w:rFonts w:cstheme="minorHAnsi"/>
        </w:rPr>
        <w:t>pegvaliase</w:t>
      </w:r>
      <w:proofErr w:type="spellEnd"/>
      <w:r>
        <w:rPr>
          <w:rFonts w:cstheme="minorHAnsi"/>
        </w:rPr>
        <w:t xml:space="preserve"> in Year 2 (96% vs 0) and Year 3 (84% vs 3%). While trials that have been conducted to specifically evaluate the efficacy of </w:t>
      </w:r>
      <w:proofErr w:type="spellStart"/>
      <w:r>
        <w:rPr>
          <w:rFonts w:cstheme="minorHAnsi"/>
        </w:rPr>
        <w:t>sapropterin</w:t>
      </w:r>
      <w:proofErr w:type="spellEnd"/>
      <w:r>
        <w:rPr>
          <w:rFonts w:cstheme="minorHAnsi"/>
        </w:rPr>
        <w:t xml:space="preserve"> were available to the sponsor (e.g. PKU-001, PKU-003, PKU-004, PKU-008 as evaluated by the PBAC in July 2022), Burton 2024 used registry data from PKUDOS to demonstrate the efficacy of </w:t>
      </w:r>
      <w:proofErr w:type="spellStart"/>
      <w:r>
        <w:rPr>
          <w:rFonts w:cstheme="minorHAnsi"/>
        </w:rPr>
        <w:t>sapropterin</w:t>
      </w:r>
      <w:proofErr w:type="spellEnd"/>
      <w:r>
        <w:rPr>
          <w:rFonts w:cstheme="minorHAnsi"/>
        </w:rPr>
        <w:t xml:space="preserve"> + </w:t>
      </w:r>
      <w:proofErr w:type="spellStart"/>
      <w:r>
        <w:rPr>
          <w:rFonts w:cstheme="minorHAnsi"/>
        </w:rPr>
        <w:t>Phe</w:t>
      </w:r>
      <w:proofErr w:type="spellEnd"/>
      <w:r>
        <w:rPr>
          <w:rFonts w:cstheme="minorHAnsi"/>
        </w:rPr>
        <w:t xml:space="preserve">-restricted diet. The evaluation therefore considered it was unclear if this comparison of </w:t>
      </w:r>
      <w:proofErr w:type="spellStart"/>
      <w:r>
        <w:rPr>
          <w:rFonts w:cstheme="minorHAnsi"/>
        </w:rPr>
        <w:t>pegvaliase</w:t>
      </w:r>
      <w:proofErr w:type="spellEnd"/>
      <w:r>
        <w:rPr>
          <w:rFonts w:cstheme="minorHAnsi"/>
        </w:rPr>
        <w:t xml:space="preserve"> versus </w:t>
      </w:r>
      <w:proofErr w:type="spellStart"/>
      <w:r>
        <w:rPr>
          <w:rFonts w:cstheme="minorHAnsi"/>
        </w:rPr>
        <w:t>sapropterin</w:t>
      </w:r>
      <w:proofErr w:type="spellEnd"/>
      <w:r>
        <w:rPr>
          <w:rFonts w:cstheme="minorHAnsi"/>
        </w:rPr>
        <w:t xml:space="preserve"> + </w:t>
      </w:r>
      <w:proofErr w:type="spellStart"/>
      <w:r>
        <w:rPr>
          <w:rFonts w:cstheme="minorHAnsi"/>
        </w:rPr>
        <w:t>Phe</w:t>
      </w:r>
      <w:proofErr w:type="spellEnd"/>
      <w:r>
        <w:rPr>
          <w:rFonts w:cstheme="minorHAnsi"/>
        </w:rPr>
        <w:t>-restricted diet was reasonable.</w:t>
      </w:r>
    </w:p>
    <w:p w14:paraId="102416C7" w14:textId="77777777" w:rsidR="004D59D4" w:rsidRDefault="00023FAF" w:rsidP="00025AAC">
      <w:pPr>
        <w:pStyle w:val="3-BodyText"/>
        <w:numPr>
          <w:ilvl w:val="1"/>
          <w:numId w:val="1"/>
        </w:numPr>
        <w:spacing w:before="160" w:after="160"/>
        <w:rPr>
          <w:rFonts w:cstheme="minorHAnsi"/>
        </w:rPr>
      </w:pPr>
      <w:r>
        <w:rPr>
          <w:rFonts w:cstheme="minorHAnsi"/>
        </w:rPr>
        <w:t xml:space="preserve">As in the previous submission, the resubmission presented an analysis of PRISM subgroup results by </w:t>
      </w:r>
      <w:proofErr w:type="spellStart"/>
      <w:r>
        <w:rPr>
          <w:rFonts w:cstheme="minorHAnsi"/>
        </w:rPr>
        <w:t>sapropterin</w:t>
      </w:r>
      <w:proofErr w:type="spellEnd"/>
      <w:r>
        <w:rPr>
          <w:rFonts w:cstheme="minorHAnsi"/>
        </w:rPr>
        <w:t xml:space="preserve"> responder status. The PBAC previously noted that limited exploratory subgroup analyses suggested that </w:t>
      </w:r>
      <w:proofErr w:type="spellStart"/>
      <w:r>
        <w:rPr>
          <w:rFonts w:cstheme="minorHAnsi"/>
        </w:rPr>
        <w:t>sapropterin</w:t>
      </w:r>
      <w:proofErr w:type="spellEnd"/>
      <w:r>
        <w:rPr>
          <w:rFonts w:cstheme="minorHAnsi"/>
        </w:rPr>
        <w:t xml:space="preserve"> responder-status was not a treatment effect modifier (paragraph 7.4, </w:t>
      </w:r>
      <w:proofErr w:type="spellStart"/>
      <w:r>
        <w:rPr>
          <w:rFonts w:cstheme="minorHAnsi"/>
        </w:rPr>
        <w:t>pegvaliase</w:t>
      </w:r>
      <w:proofErr w:type="spellEnd"/>
      <w:r>
        <w:rPr>
          <w:rFonts w:cstheme="minorHAnsi"/>
        </w:rPr>
        <w:t xml:space="preserve"> PSD, July 2022 PBAC meeting).</w:t>
      </w:r>
    </w:p>
    <w:p w14:paraId="538A92D4" w14:textId="77777777" w:rsidR="004D59D4" w:rsidRDefault="00023FAF" w:rsidP="00025AAC">
      <w:pPr>
        <w:pStyle w:val="3-BodyText"/>
        <w:numPr>
          <w:ilvl w:val="1"/>
          <w:numId w:val="1"/>
        </w:numPr>
        <w:spacing w:before="160" w:after="160"/>
      </w:pPr>
      <w:r>
        <w:rPr>
          <w:rFonts w:cstheme="minorHAnsi"/>
        </w:rPr>
        <w:t>As in the previous submission, the resubmission presented a review of translational studies discussing the relationship between blood-</w:t>
      </w:r>
      <w:proofErr w:type="spellStart"/>
      <w:r>
        <w:rPr>
          <w:rFonts w:cstheme="minorHAnsi"/>
        </w:rPr>
        <w:t>Phe</w:t>
      </w:r>
      <w:proofErr w:type="spellEnd"/>
      <w:r>
        <w:rPr>
          <w:rFonts w:cstheme="minorHAnsi"/>
        </w:rPr>
        <w:t xml:space="preserve"> and improvements in neuropsychiatric symptoms and </w:t>
      </w:r>
      <w:proofErr w:type="spellStart"/>
      <w:r>
        <w:rPr>
          <w:rFonts w:cstheme="minorHAnsi"/>
        </w:rPr>
        <w:t>Phe</w:t>
      </w:r>
      <w:proofErr w:type="spellEnd"/>
      <w:r>
        <w:rPr>
          <w:rFonts w:cstheme="minorHAnsi"/>
        </w:rPr>
        <w:t xml:space="preserve"> tolerance (increase in dietary </w:t>
      </w:r>
      <w:proofErr w:type="spellStart"/>
      <w:r>
        <w:rPr>
          <w:rFonts w:cstheme="minorHAnsi"/>
        </w:rPr>
        <w:t>Phe</w:t>
      </w:r>
      <w:proofErr w:type="spellEnd"/>
      <w:r>
        <w:rPr>
          <w:rFonts w:cstheme="minorHAnsi"/>
        </w:rPr>
        <w:t xml:space="preserve"> intake) with quality of life in adult PKU patients. The PBAC previously considered that the supportive evidence from the literature suggested that a reduction in blood-</w:t>
      </w:r>
      <w:proofErr w:type="spellStart"/>
      <w:r>
        <w:rPr>
          <w:rFonts w:cstheme="minorHAnsi"/>
        </w:rPr>
        <w:t>Phe</w:t>
      </w:r>
      <w:proofErr w:type="spellEnd"/>
      <w:r>
        <w:rPr>
          <w:rFonts w:cstheme="minorHAnsi"/>
        </w:rPr>
        <w:t xml:space="preserve"> is plausibly related to a reduction in neuropsychiatric symptoms though this difference was difficult to quantify. Overall, the PBAC considered that the benefit from </w:t>
      </w:r>
      <w:proofErr w:type="spellStart"/>
      <w:r>
        <w:rPr>
          <w:rFonts w:cstheme="minorHAnsi"/>
        </w:rPr>
        <w:t>pegvaliase</w:t>
      </w:r>
      <w:proofErr w:type="spellEnd"/>
      <w:r>
        <w:rPr>
          <w:rFonts w:cstheme="minorHAnsi"/>
        </w:rPr>
        <w:t xml:space="preserve"> in terms of patient-relevant outcomes such as executive functioning was not well-demonstrated in the clinical data. The PBAC considered that, while consumer input assisted in establishing the benefit of lowering blood-</w:t>
      </w:r>
      <w:proofErr w:type="spellStart"/>
      <w:r>
        <w:rPr>
          <w:rFonts w:cstheme="minorHAnsi"/>
        </w:rPr>
        <w:t>Phe</w:t>
      </w:r>
      <w:proofErr w:type="spellEnd"/>
      <w:r>
        <w:rPr>
          <w:rFonts w:cstheme="minorHAnsi"/>
        </w:rPr>
        <w:t xml:space="preserve"> levels</w:t>
      </w:r>
      <w:r>
        <w:t xml:space="preserve"> in adult patients, the degree of benefit with </w:t>
      </w:r>
      <w:proofErr w:type="spellStart"/>
      <w:r>
        <w:t>pegvaliase</w:t>
      </w:r>
      <w:proofErr w:type="spellEnd"/>
      <w:r>
        <w:t xml:space="preserve"> remained uncertain given the available clinical data (paragraph 7.9, </w:t>
      </w:r>
      <w:proofErr w:type="spellStart"/>
      <w:r>
        <w:t>pegvaliase</w:t>
      </w:r>
      <w:proofErr w:type="spellEnd"/>
      <w:r>
        <w:t xml:space="preserve"> PSD, July 2022 PBAC meeting).</w:t>
      </w:r>
    </w:p>
    <w:p w14:paraId="062FB43F" w14:textId="77777777" w:rsidR="004D59D4" w:rsidRDefault="00023FAF" w:rsidP="00025AAC">
      <w:pPr>
        <w:pStyle w:val="3-BodyText"/>
        <w:numPr>
          <w:ilvl w:val="1"/>
          <w:numId w:val="1"/>
        </w:numPr>
        <w:spacing w:before="160"/>
      </w:pPr>
      <w:bookmarkStart w:id="62" w:name="_Ref216722602"/>
      <w:r>
        <w:t xml:space="preserve">As in the previous submission, the resubmission presented neurocognitive/psychiatric outcome data for the ADHD-RS inattention subscale from the PRISM trials. (As noted for the previous submission, the results do not appear to support the claim of clinical efficacy in terms of improvement in ADHD-RS inattention subscale scores with treatment with </w:t>
      </w:r>
      <w:proofErr w:type="spellStart"/>
      <w:r>
        <w:t>pegvaliase</w:t>
      </w:r>
      <w:proofErr w:type="spellEnd"/>
      <w:r>
        <w:t xml:space="preserve"> and further do not support the correlation between blood-</w:t>
      </w:r>
      <w:proofErr w:type="spellStart"/>
      <w:r>
        <w:t>Phe</w:t>
      </w:r>
      <w:proofErr w:type="spellEnd"/>
      <w:r>
        <w:t xml:space="preserve"> and ADHD-RS inattention subscale scores as assumed by the submission in the economic model (paragraph 6.38, </w:t>
      </w:r>
      <w:proofErr w:type="spellStart"/>
      <w:r>
        <w:t>pegvaliase</w:t>
      </w:r>
      <w:proofErr w:type="spellEnd"/>
      <w:r>
        <w:t xml:space="preserve"> PSD, July 2022 PBAC meeting).</w:t>
      </w:r>
      <w:bookmarkEnd w:id="62"/>
    </w:p>
    <w:p w14:paraId="6F229792" w14:textId="77777777" w:rsidR="004D59D4" w:rsidRDefault="00023FAF" w:rsidP="00025AAC">
      <w:pPr>
        <w:pStyle w:val="4-SubsectionHeading"/>
        <w:spacing w:before="160"/>
      </w:pPr>
      <w:bookmarkStart w:id="63" w:name="_Toc219799686"/>
      <w:bookmarkStart w:id="64" w:name="_Toc22897642"/>
      <w:r>
        <w:t>Comparative harms</w:t>
      </w:r>
      <w:bookmarkEnd w:id="63"/>
      <w:bookmarkEnd w:id="64"/>
    </w:p>
    <w:p w14:paraId="1D1DAF35" w14:textId="77777777" w:rsidR="004D59D4" w:rsidRDefault="00023FAF" w:rsidP="00025AAC">
      <w:pPr>
        <w:pStyle w:val="3-BodyText"/>
        <w:numPr>
          <w:ilvl w:val="1"/>
          <w:numId w:val="1"/>
        </w:numPr>
        <w:spacing w:before="160"/>
      </w:pPr>
      <w:r>
        <w:t>Identical safety data was presented in the previous submission and the resubmission. Burton 2024 did not report any safety outcome data.</w:t>
      </w:r>
    </w:p>
    <w:p w14:paraId="16D73EC7" w14:textId="483F21F4" w:rsidR="004D59D4" w:rsidRPr="00F5171F" w:rsidRDefault="00023FAF" w:rsidP="00025AAC">
      <w:pPr>
        <w:pStyle w:val="3-BodyText"/>
        <w:numPr>
          <w:ilvl w:val="1"/>
          <w:numId w:val="1"/>
        </w:numPr>
        <w:spacing w:before="160"/>
      </w:pPr>
      <w:r>
        <w:t xml:space="preserve">The safety results for patients treated with </w:t>
      </w:r>
      <w:proofErr w:type="spellStart"/>
      <w:r>
        <w:t>pegvaliase</w:t>
      </w:r>
      <w:proofErr w:type="spellEnd"/>
      <w:r>
        <w:t xml:space="preserve"> and placebo from PRISM 2 Part 2 are presented </w:t>
      </w:r>
      <w:r w:rsidRPr="00F5171F">
        <w:t xml:space="preserve">in </w:t>
      </w:r>
      <w:r w:rsidRPr="00F5171F">
        <w:fldChar w:fldCharType="begin"/>
      </w:r>
      <w:r w:rsidRPr="00F5171F">
        <w:instrText xml:space="preserve"> REF _Ref109987916 \h </w:instrText>
      </w:r>
      <w:r w:rsidR="00F5171F" w:rsidRPr="00F5171F">
        <w:instrText xml:space="preserve"> \* MERGEFORMAT </w:instrText>
      </w:r>
      <w:r w:rsidRPr="00F5171F">
        <w:fldChar w:fldCharType="separate"/>
      </w:r>
      <w:r w:rsidR="00E24060" w:rsidRPr="00F5171F">
        <w:t>Table 9</w:t>
      </w:r>
      <w:r w:rsidRPr="00F5171F">
        <w:fldChar w:fldCharType="end"/>
      </w:r>
      <w:r w:rsidRPr="00F5171F">
        <w:t>.</w:t>
      </w:r>
    </w:p>
    <w:p w14:paraId="5A900673" w14:textId="0FFC5918" w:rsidR="004D59D4" w:rsidRDefault="00023FAF" w:rsidP="00025AAC">
      <w:pPr>
        <w:pStyle w:val="TableFigureHeading"/>
        <w:spacing w:before="160"/>
        <w:rPr>
          <w:rStyle w:val="CommentReference"/>
          <w:b/>
          <w:bCs w:val="0"/>
          <w:szCs w:val="24"/>
        </w:rPr>
      </w:pPr>
      <w:bookmarkStart w:id="65" w:name="_Ref109987916"/>
      <w:r>
        <w:rPr>
          <w:rStyle w:val="CommentReference"/>
          <w:b/>
          <w:bCs w:val="0"/>
          <w:szCs w:val="24"/>
        </w:rPr>
        <w:lastRenderedPageBreak/>
        <w:t xml:space="preserve">Table </w:t>
      </w:r>
      <w:r>
        <w:rPr>
          <w:rStyle w:val="CommentReference"/>
          <w:b/>
          <w:bCs w:val="0"/>
          <w:szCs w:val="24"/>
        </w:rPr>
        <w:fldChar w:fldCharType="begin"/>
      </w:r>
      <w:r>
        <w:rPr>
          <w:rStyle w:val="CommentReference"/>
          <w:b/>
          <w:bCs w:val="0"/>
          <w:szCs w:val="24"/>
        </w:rPr>
        <w:instrText xml:space="preserve"> SEQ Table \* ARABIC </w:instrText>
      </w:r>
      <w:r>
        <w:rPr>
          <w:rStyle w:val="CommentReference"/>
          <w:b/>
          <w:bCs w:val="0"/>
          <w:szCs w:val="24"/>
        </w:rPr>
        <w:fldChar w:fldCharType="separate"/>
      </w:r>
      <w:r w:rsidR="00E24060">
        <w:rPr>
          <w:rStyle w:val="CommentReference"/>
          <w:b/>
          <w:bCs w:val="0"/>
          <w:noProof/>
          <w:szCs w:val="24"/>
        </w:rPr>
        <w:t>9</w:t>
      </w:r>
      <w:r>
        <w:rPr>
          <w:rStyle w:val="CommentReference"/>
          <w:b/>
          <w:bCs w:val="0"/>
          <w:szCs w:val="24"/>
        </w:rPr>
        <w:fldChar w:fldCharType="end"/>
      </w:r>
      <w:bookmarkEnd w:id="65"/>
      <w:r>
        <w:rPr>
          <w:rStyle w:val="CommentReference"/>
          <w:b/>
          <w:bCs w:val="0"/>
          <w:szCs w:val="24"/>
        </w:rPr>
        <w:t>: Summary of AEs in PRISM 2 Part 2</w:t>
      </w:r>
    </w:p>
    <w:tbl>
      <w:tblPr>
        <w:tblStyle w:val="TableGrid"/>
        <w:tblW w:w="5000" w:type="pct"/>
        <w:tblLayout w:type="fixed"/>
        <w:tblLook w:val="04A0" w:firstRow="1" w:lastRow="0" w:firstColumn="1" w:lastColumn="0" w:noHBand="0" w:noVBand="1"/>
        <w:tblCaption w:val="Table 9: Summary of AEs in PRISM 2 Part 2"/>
      </w:tblPr>
      <w:tblGrid>
        <w:gridCol w:w="3402"/>
        <w:gridCol w:w="1872"/>
        <w:gridCol w:w="1872"/>
        <w:gridCol w:w="1870"/>
      </w:tblGrid>
      <w:tr w:rsidR="004D59D4" w14:paraId="012E7256" w14:textId="77777777">
        <w:trPr>
          <w:trHeight w:val="227"/>
        </w:trPr>
        <w:tc>
          <w:tcPr>
            <w:tcW w:w="3406" w:type="dxa"/>
            <w:vMerge w:val="restart"/>
            <w:shd w:val="clear" w:color="auto" w:fill="B8CCE4" w:themeFill="accent1" w:themeFillTint="66"/>
            <w:vAlign w:val="center"/>
          </w:tcPr>
          <w:p w14:paraId="62543F6B" w14:textId="77777777" w:rsidR="004D59D4" w:rsidRDefault="00023FAF" w:rsidP="00025AAC">
            <w:pPr>
              <w:pStyle w:val="In-tableHeading"/>
            </w:pPr>
            <w:r>
              <w:t>Adverse event type, n (%)</w:t>
            </w:r>
          </w:p>
        </w:tc>
        <w:tc>
          <w:tcPr>
            <w:tcW w:w="3748" w:type="dxa"/>
            <w:gridSpan w:val="2"/>
            <w:shd w:val="clear" w:color="auto" w:fill="B8CCE4" w:themeFill="accent1" w:themeFillTint="66"/>
            <w:vAlign w:val="center"/>
          </w:tcPr>
          <w:p w14:paraId="5511DD50" w14:textId="77777777" w:rsidR="004D59D4" w:rsidRDefault="00023FAF" w:rsidP="00025AAC">
            <w:pPr>
              <w:pStyle w:val="In-tableHeading"/>
              <w:jc w:val="center"/>
            </w:pPr>
            <w:r>
              <w:t>Incidence</w:t>
            </w:r>
          </w:p>
        </w:tc>
        <w:tc>
          <w:tcPr>
            <w:tcW w:w="1872" w:type="dxa"/>
            <w:vMerge w:val="restart"/>
            <w:shd w:val="clear" w:color="auto" w:fill="B8CCE4" w:themeFill="accent1" w:themeFillTint="66"/>
            <w:vAlign w:val="center"/>
          </w:tcPr>
          <w:p w14:paraId="2964200E" w14:textId="77777777" w:rsidR="004D59D4" w:rsidRDefault="00023FAF" w:rsidP="00025AAC">
            <w:pPr>
              <w:pStyle w:val="In-tableHeading"/>
              <w:jc w:val="center"/>
            </w:pPr>
            <w:r>
              <w:t xml:space="preserve">Risk Difference </w:t>
            </w:r>
            <w:r>
              <w:br/>
              <w:t>(95% CI)</w:t>
            </w:r>
          </w:p>
        </w:tc>
      </w:tr>
      <w:tr w:rsidR="004D59D4" w14:paraId="2EB81720" w14:textId="77777777">
        <w:trPr>
          <w:trHeight w:val="227"/>
        </w:trPr>
        <w:tc>
          <w:tcPr>
            <w:tcW w:w="3406" w:type="dxa"/>
            <w:vMerge/>
            <w:shd w:val="clear" w:color="auto" w:fill="B8CCE4" w:themeFill="accent1" w:themeFillTint="66"/>
            <w:vAlign w:val="center"/>
          </w:tcPr>
          <w:p w14:paraId="6DE4F806" w14:textId="77777777" w:rsidR="004D59D4" w:rsidRDefault="004D59D4" w:rsidP="00025AAC">
            <w:pPr>
              <w:pStyle w:val="TableText1"/>
            </w:pPr>
          </w:p>
        </w:tc>
        <w:tc>
          <w:tcPr>
            <w:tcW w:w="1874" w:type="dxa"/>
            <w:shd w:val="clear" w:color="auto" w:fill="B8CCE4" w:themeFill="accent1" w:themeFillTint="66"/>
            <w:vAlign w:val="center"/>
          </w:tcPr>
          <w:p w14:paraId="040BF386" w14:textId="77777777" w:rsidR="004D59D4" w:rsidRDefault="00023FAF" w:rsidP="00025AAC">
            <w:pPr>
              <w:pStyle w:val="In-tableHeading"/>
              <w:jc w:val="center"/>
            </w:pPr>
            <w:r>
              <w:t xml:space="preserve">Pooled </w:t>
            </w:r>
            <w:proofErr w:type="spellStart"/>
            <w:r>
              <w:t>pegvaliase</w:t>
            </w:r>
            <w:proofErr w:type="spellEnd"/>
          </w:p>
          <w:p w14:paraId="598A0590" w14:textId="77777777" w:rsidR="004D59D4" w:rsidRDefault="00023FAF" w:rsidP="00025AAC">
            <w:pPr>
              <w:pStyle w:val="In-tableHeading"/>
              <w:jc w:val="center"/>
            </w:pPr>
            <w:r>
              <w:t>(N = 66)</w:t>
            </w:r>
          </w:p>
        </w:tc>
        <w:tc>
          <w:tcPr>
            <w:tcW w:w="1874" w:type="dxa"/>
            <w:shd w:val="clear" w:color="auto" w:fill="B8CCE4" w:themeFill="accent1" w:themeFillTint="66"/>
            <w:vAlign w:val="center"/>
          </w:tcPr>
          <w:p w14:paraId="1F0453C2" w14:textId="77777777" w:rsidR="004D59D4" w:rsidRDefault="00023FAF" w:rsidP="00025AAC">
            <w:pPr>
              <w:pStyle w:val="In-tableHeading"/>
              <w:jc w:val="center"/>
            </w:pPr>
            <w:r>
              <w:t>Pooled placebo</w:t>
            </w:r>
          </w:p>
          <w:p w14:paraId="040E0947" w14:textId="77777777" w:rsidR="004D59D4" w:rsidRDefault="00023FAF" w:rsidP="00025AAC">
            <w:pPr>
              <w:pStyle w:val="In-tableHeading"/>
              <w:jc w:val="center"/>
            </w:pPr>
            <w:r>
              <w:t>(N = 29)</w:t>
            </w:r>
          </w:p>
        </w:tc>
        <w:tc>
          <w:tcPr>
            <w:tcW w:w="1872" w:type="dxa"/>
            <w:vMerge/>
            <w:shd w:val="clear" w:color="auto" w:fill="B8CCE4" w:themeFill="accent1" w:themeFillTint="66"/>
            <w:vAlign w:val="center"/>
          </w:tcPr>
          <w:p w14:paraId="2986AD6E" w14:textId="77777777" w:rsidR="004D59D4" w:rsidRDefault="004D59D4" w:rsidP="00025AAC">
            <w:pPr>
              <w:pStyle w:val="TableText1"/>
              <w:jc w:val="center"/>
            </w:pPr>
          </w:p>
        </w:tc>
      </w:tr>
      <w:tr w:rsidR="004D59D4" w14:paraId="5E593E5A" w14:textId="77777777">
        <w:trPr>
          <w:trHeight w:val="227"/>
        </w:trPr>
        <w:tc>
          <w:tcPr>
            <w:tcW w:w="3406" w:type="dxa"/>
            <w:shd w:val="clear" w:color="auto" w:fill="B8CCE4" w:themeFill="accent1" w:themeFillTint="66"/>
            <w:vAlign w:val="center"/>
          </w:tcPr>
          <w:p w14:paraId="675BE902" w14:textId="77777777" w:rsidR="004D59D4" w:rsidRDefault="00023FAF" w:rsidP="00025AAC">
            <w:pPr>
              <w:pStyle w:val="TableText1"/>
            </w:pPr>
            <w:r>
              <w:t>Duration of exposure, days, mean (SD)</w:t>
            </w:r>
          </w:p>
        </w:tc>
        <w:tc>
          <w:tcPr>
            <w:tcW w:w="1874" w:type="dxa"/>
            <w:shd w:val="clear" w:color="auto" w:fill="B8CCE4" w:themeFill="accent1" w:themeFillTint="66"/>
            <w:vAlign w:val="center"/>
          </w:tcPr>
          <w:p w14:paraId="4C06EF62" w14:textId="77777777" w:rsidR="004D59D4" w:rsidRDefault="00023FAF" w:rsidP="00025AAC">
            <w:pPr>
              <w:pStyle w:val="TableText1"/>
              <w:jc w:val="center"/>
            </w:pPr>
            <w:r>
              <w:t>54.4 (6.91)</w:t>
            </w:r>
          </w:p>
        </w:tc>
        <w:tc>
          <w:tcPr>
            <w:tcW w:w="1874" w:type="dxa"/>
            <w:shd w:val="clear" w:color="auto" w:fill="B8CCE4" w:themeFill="accent1" w:themeFillTint="66"/>
            <w:vAlign w:val="center"/>
          </w:tcPr>
          <w:p w14:paraId="411A4D88" w14:textId="77777777" w:rsidR="004D59D4" w:rsidRDefault="00023FAF" w:rsidP="00025AAC">
            <w:pPr>
              <w:pStyle w:val="TableText1"/>
              <w:jc w:val="center"/>
            </w:pPr>
            <w:r>
              <w:t>55.0 (5.21)</w:t>
            </w:r>
          </w:p>
        </w:tc>
        <w:tc>
          <w:tcPr>
            <w:tcW w:w="1872" w:type="dxa"/>
            <w:shd w:val="clear" w:color="auto" w:fill="B8CCE4" w:themeFill="accent1" w:themeFillTint="66"/>
            <w:vAlign w:val="center"/>
          </w:tcPr>
          <w:p w14:paraId="291D2676" w14:textId="77777777" w:rsidR="004D59D4" w:rsidRDefault="004D59D4" w:rsidP="00025AAC">
            <w:pPr>
              <w:pStyle w:val="TableText1"/>
              <w:jc w:val="center"/>
            </w:pPr>
          </w:p>
        </w:tc>
      </w:tr>
      <w:tr w:rsidR="004D59D4" w14:paraId="4BF135FA" w14:textId="77777777">
        <w:trPr>
          <w:trHeight w:val="227"/>
        </w:trPr>
        <w:tc>
          <w:tcPr>
            <w:tcW w:w="3406" w:type="dxa"/>
            <w:shd w:val="clear" w:color="auto" w:fill="B8CCE4" w:themeFill="accent1" w:themeFillTint="66"/>
            <w:vAlign w:val="center"/>
          </w:tcPr>
          <w:p w14:paraId="20B9F975" w14:textId="77777777" w:rsidR="004D59D4" w:rsidRDefault="00023FAF" w:rsidP="00025AAC">
            <w:pPr>
              <w:pStyle w:val="TableText1"/>
            </w:pPr>
            <w:r>
              <w:t>Duration of exposure (person-years)</w:t>
            </w:r>
          </w:p>
        </w:tc>
        <w:tc>
          <w:tcPr>
            <w:tcW w:w="1874" w:type="dxa"/>
            <w:shd w:val="clear" w:color="auto" w:fill="B8CCE4" w:themeFill="accent1" w:themeFillTint="66"/>
            <w:vAlign w:val="center"/>
          </w:tcPr>
          <w:p w14:paraId="19A3D386" w14:textId="77777777" w:rsidR="004D59D4" w:rsidRDefault="00023FAF" w:rsidP="00025AAC">
            <w:pPr>
              <w:pStyle w:val="TableText1"/>
              <w:jc w:val="center"/>
            </w:pPr>
            <w:r>
              <w:t>9.8</w:t>
            </w:r>
          </w:p>
        </w:tc>
        <w:tc>
          <w:tcPr>
            <w:tcW w:w="1874" w:type="dxa"/>
            <w:shd w:val="clear" w:color="auto" w:fill="B8CCE4" w:themeFill="accent1" w:themeFillTint="66"/>
            <w:vAlign w:val="center"/>
          </w:tcPr>
          <w:p w14:paraId="3CF6833D" w14:textId="77777777" w:rsidR="004D59D4" w:rsidRDefault="00023FAF" w:rsidP="00025AAC">
            <w:pPr>
              <w:pStyle w:val="TableText1"/>
              <w:jc w:val="center"/>
            </w:pPr>
            <w:r>
              <w:t xml:space="preserve">4.4 </w:t>
            </w:r>
            <w:r>
              <w:rPr>
                <w:vertAlign w:val="superscript"/>
              </w:rPr>
              <w:t>a</w:t>
            </w:r>
          </w:p>
        </w:tc>
        <w:tc>
          <w:tcPr>
            <w:tcW w:w="1872" w:type="dxa"/>
            <w:shd w:val="clear" w:color="auto" w:fill="B8CCE4" w:themeFill="accent1" w:themeFillTint="66"/>
            <w:vAlign w:val="center"/>
          </w:tcPr>
          <w:p w14:paraId="5815808B" w14:textId="77777777" w:rsidR="004D59D4" w:rsidRDefault="004D59D4" w:rsidP="00025AAC">
            <w:pPr>
              <w:pStyle w:val="TableText1"/>
              <w:jc w:val="center"/>
            </w:pPr>
          </w:p>
        </w:tc>
      </w:tr>
      <w:tr w:rsidR="004D59D4" w14:paraId="652414F8" w14:textId="77777777">
        <w:trPr>
          <w:trHeight w:val="227"/>
        </w:trPr>
        <w:tc>
          <w:tcPr>
            <w:tcW w:w="3406" w:type="dxa"/>
            <w:shd w:val="clear" w:color="auto" w:fill="B8CCE4" w:themeFill="accent1" w:themeFillTint="66"/>
            <w:vAlign w:val="center"/>
          </w:tcPr>
          <w:p w14:paraId="7FB09DB8" w14:textId="77777777" w:rsidR="004D59D4" w:rsidRDefault="00023FAF" w:rsidP="00025AAC">
            <w:pPr>
              <w:pStyle w:val="TableText1"/>
            </w:pPr>
            <w:r>
              <w:t>Deaths</w:t>
            </w:r>
          </w:p>
        </w:tc>
        <w:tc>
          <w:tcPr>
            <w:tcW w:w="1874" w:type="dxa"/>
            <w:shd w:val="clear" w:color="auto" w:fill="B8CCE4" w:themeFill="accent1" w:themeFillTint="66"/>
            <w:vAlign w:val="center"/>
          </w:tcPr>
          <w:p w14:paraId="359F9D3F" w14:textId="77777777" w:rsidR="004D59D4" w:rsidRDefault="00023FAF" w:rsidP="00025AAC">
            <w:pPr>
              <w:pStyle w:val="TableText1"/>
              <w:jc w:val="center"/>
            </w:pPr>
            <w:r>
              <w:t>0</w:t>
            </w:r>
          </w:p>
        </w:tc>
        <w:tc>
          <w:tcPr>
            <w:tcW w:w="1874" w:type="dxa"/>
            <w:shd w:val="clear" w:color="auto" w:fill="B8CCE4" w:themeFill="accent1" w:themeFillTint="66"/>
            <w:vAlign w:val="center"/>
          </w:tcPr>
          <w:p w14:paraId="47604809" w14:textId="77777777" w:rsidR="004D59D4" w:rsidRDefault="00023FAF" w:rsidP="00025AAC">
            <w:pPr>
              <w:pStyle w:val="TableText1"/>
              <w:jc w:val="center"/>
            </w:pPr>
            <w:r>
              <w:t>0</w:t>
            </w:r>
          </w:p>
        </w:tc>
        <w:tc>
          <w:tcPr>
            <w:tcW w:w="1872" w:type="dxa"/>
            <w:shd w:val="clear" w:color="auto" w:fill="B8CCE4" w:themeFill="accent1" w:themeFillTint="66"/>
            <w:vAlign w:val="center"/>
          </w:tcPr>
          <w:p w14:paraId="53B86C6B" w14:textId="77777777" w:rsidR="004D59D4" w:rsidRDefault="00023FAF" w:rsidP="00025AAC">
            <w:pPr>
              <w:pStyle w:val="TableText1"/>
              <w:jc w:val="center"/>
            </w:pPr>
            <w:r>
              <w:t>0</w:t>
            </w:r>
          </w:p>
        </w:tc>
      </w:tr>
      <w:tr w:rsidR="004D59D4" w14:paraId="61E541FC" w14:textId="77777777">
        <w:trPr>
          <w:trHeight w:val="227"/>
        </w:trPr>
        <w:tc>
          <w:tcPr>
            <w:tcW w:w="9026" w:type="dxa"/>
            <w:gridSpan w:val="4"/>
            <w:shd w:val="clear" w:color="auto" w:fill="B8CCE4" w:themeFill="accent1" w:themeFillTint="66"/>
            <w:vAlign w:val="center"/>
          </w:tcPr>
          <w:p w14:paraId="34454E9A" w14:textId="77777777" w:rsidR="004D59D4" w:rsidRDefault="00023FAF" w:rsidP="00025AAC">
            <w:pPr>
              <w:pStyle w:val="TableText1"/>
            </w:pPr>
            <w:r>
              <w:t>AEs</w:t>
            </w:r>
          </w:p>
        </w:tc>
      </w:tr>
      <w:tr w:rsidR="004D59D4" w14:paraId="2E6B0C55" w14:textId="77777777">
        <w:trPr>
          <w:trHeight w:val="227"/>
        </w:trPr>
        <w:tc>
          <w:tcPr>
            <w:tcW w:w="3406" w:type="dxa"/>
            <w:shd w:val="clear" w:color="auto" w:fill="B8CCE4" w:themeFill="accent1" w:themeFillTint="66"/>
            <w:vAlign w:val="center"/>
          </w:tcPr>
          <w:p w14:paraId="33214ACC" w14:textId="77777777" w:rsidR="004D59D4" w:rsidRDefault="00023FAF" w:rsidP="00025AAC">
            <w:pPr>
              <w:pStyle w:val="TableText1"/>
            </w:pPr>
            <w:r>
              <w:t>Any AEs</w:t>
            </w:r>
          </w:p>
        </w:tc>
        <w:tc>
          <w:tcPr>
            <w:tcW w:w="1874" w:type="dxa"/>
            <w:shd w:val="clear" w:color="auto" w:fill="B8CCE4" w:themeFill="accent1" w:themeFillTint="66"/>
            <w:vAlign w:val="center"/>
          </w:tcPr>
          <w:p w14:paraId="1F3F3D51" w14:textId="77777777" w:rsidR="004D59D4" w:rsidRDefault="00023FAF" w:rsidP="00025AAC">
            <w:pPr>
              <w:pStyle w:val="TableText1"/>
              <w:jc w:val="center"/>
            </w:pPr>
            <w:r>
              <w:t>55 (83.3)</w:t>
            </w:r>
          </w:p>
        </w:tc>
        <w:tc>
          <w:tcPr>
            <w:tcW w:w="1874" w:type="dxa"/>
            <w:shd w:val="clear" w:color="auto" w:fill="B8CCE4" w:themeFill="accent1" w:themeFillTint="66"/>
            <w:vAlign w:val="center"/>
          </w:tcPr>
          <w:p w14:paraId="582011A9" w14:textId="77777777" w:rsidR="004D59D4" w:rsidRDefault="00023FAF" w:rsidP="00025AAC">
            <w:pPr>
              <w:pStyle w:val="TableText1"/>
              <w:jc w:val="center"/>
            </w:pPr>
            <w:r>
              <w:t>27 (93.1)</w:t>
            </w:r>
          </w:p>
        </w:tc>
        <w:tc>
          <w:tcPr>
            <w:tcW w:w="1872" w:type="dxa"/>
            <w:shd w:val="clear" w:color="auto" w:fill="B8CCE4" w:themeFill="accent1" w:themeFillTint="66"/>
            <w:vAlign w:val="center"/>
          </w:tcPr>
          <w:p w14:paraId="615253F0" w14:textId="77777777" w:rsidR="004D59D4" w:rsidRDefault="00023FAF" w:rsidP="00025AAC">
            <w:pPr>
              <w:pStyle w:val="TableText1"/>
              <w:jc w:val="center"/>
            </w:pPr>
            <w:r>
              <w:t>-0.10 (-0.23, 0.03)</w:t>
            </w:r>
          </w:p>
        </w:tc>
      </w:tr>
      <w:tr w:rsidR="004D59D4" w14:paraId="648B8B21" w14:textId="77777777">
        <w:trPr>
          <w:trHeight w:val="227"/>
        </w:trPr>
        <w:tc>
          <w:tcPr>
            <w:tcW w:w="3406" w:type="dxa"/>
            <w:shd w:val="clear" w:color="auto" w:fill="B8CCE4" w:themeFill="accent1" w:themeFillTint="66"/>
            <w:vAlign w:val="center"/>
          </w:tcPr>
          <w:p w14:paraId="5BC4F32B" w14:textId="77777777" w:rsidR="004D59D4" w:rsidRDefault="00023FAF" w:rsidP="00025AAC">
            <w:pPr>
              <w:pStyle w:val="TableText1"/>
            </w:pPr>
            <w:r>
              <w:t xml:space="preserve">Drug-related AEs </w:t>
            </w:r>
          </w:p>
        </w:tc>
        <w:tc>
          <w:tcPr>
            <w:tcW w:w="1874" w:type="dxa"/>
            <w:shd w:val="clear" w:color="auto" w:fill="B8CCE4" w:themeFill="accent1" w:themeFillTint="66"/>
            <w:vAlign w:val="center"/>
          </w:tcPr>
          <w:p w14:paraId="2DB18DBE" w14:textId="77777777" w:rsidR="004D59D4" w:rsidRDefault="00023FAF" w:rsidP="00025AAC">
            <w:pPr>
              <w:pStyle w:val="TableText1"/>
              <w:jc w:val="center"/>
            </w:pPr>
            <w:r>
              <w:t>44 (66.7)</w:t>
            </w:r>
          </w:p>
        </w:tc>
        <w:tc>
          <w:tcPr>
            <w:tcW w:w="1874" w:type="dxa"/>
            <w:shd w:val="clear" w:color="auto" w:fill="B8CCE4" w:themeFill="accent1" w:themeFillTint="66"/>
            <w:vAlign w:val="center"/>
          </w:tcPr>
          <w:p w14:paraId="0F9772B1" w14:textId="77777777" w:rsidR="004D59D4" w:rsidRDefault="00023FAF" w:rsidP="00025AAC">
            <w:pPr>
              <w:pStyle w:val="TableText1"/>
              <w:jc w:val="center"/>
            </w:pPr>
            <w:r>
              <w:t>16 (55.2)</w:t>
            </w:r>
          </w:p>
        </w:tc>
        <w:tc>
          <w:tcPr>
            <w:tcW w:w="1872" w:type="dxa"/>
            <w:shd w:val="clear" w:color="auto" w:fill="B8CCE4" w:themeFill="accent1" w:themeFillTint="66"/>
            <w:vAlign w:val="center"/>
          </w:tcPr>
          <w:p w14:paraId="40179A69" w14:textId="77777777" w:rsidR="004D59D4" w:rsidRDefault="00023FAF" w:rsidP="00025AAC">
            <w:pPr>
              <w:pStyle w:val="TableText1"/>
              <w:jc w:val="center"/>
            </w:pPr>
            <w:r>
              <w:t>0.12 (-0.10, 0.33)</w:t>
            </w:r>
          </w:p>
        </w:tc>
      </w:tr>
      <w:tr w:rsidR="004D59D4" w14:paraId="3474E360" w14:textId="77777777">
        <w:trPr>
          <w:trHeight w:val="227"/>
        </w:trPr>
        <w:tc>
          <w:tcPr>
            <w:tcW w:w="3406" w:type="dxa"/>
            <w:shd w:val="clear" w:color="auto" w:fill="B8CCE4" w:themeFill="accent1" w:themeFillTint="66"/>
            <w:vAlign w:val="center"/>
          </w:tcPr>
          <w:p w14:paraId="58655AC9" w14:textId="77777777" w:rsidR="004D59D4" w:rsidRDefault="00023FAF" w:rsidP="00025AAC">
            <w:pPr>
              <w:pStyle w:val="TableText1"/>
            </w:pPr>
            <w:r>
              <w:t>AEs causing dose interruption or reduction</w:t>
            </w:r>
          </w:p>
        </w:tc>
        <w:tc>
          <w:tcPr>
            <w:tcW w:w="1874" w:type="dxa"/>
            <w:shd w:val="clear" w:color="auto" w:fill="B8CCE4" w:themeFill="accent1" w:themeFillTint="66"/>
            <w:vAlign w:val="center"/>
          </w:tcPr>
          <w:p w14:paraId="4358BD24" w14:textId="77777777" w:rsidR="004D59D4" w:rsidRDefault="00023FAF" w:rsidP="00025AAC">
            <w:pPr>
              <w:pStyle w:val="TableText1"/>
              <w:jc w:val="center"/>
            </w:pPr>
            <w:r>
              <w:t>1 (1.5)</w:t>
            </w:r>
          </w:p>
        </w:tc>
        <w:tc>
          <w:tcPr>
            <w:tcW w:w="1874" w:type="dxa"/>
            <w:shd w:val="clear" w:color="auto" w:fill="B8CCE4" w:themeFill="accent1" w:themeFillTint="66"/>
            <w:vAlign w:val="center"/>
          </w:tcPr>
          <w:p w14:paraId="3E5CEC0A" w14:textId="77777777" w:rsidR="004D59D4" w:rsidRDefault="00023FAF" w:rsidP="00025AAC">
            <w:pPr>
              <w:pStyle w:val="TableText1"/>
              <w:jc w:val="center"/>
            </w:pPr>
            <w:r>
              <w:t>1 (3.4)</w:t>
            </w:r>
          </w:p>
        </w:tc>
        <w:tc>
          <w:tcPr>
            <w:tcW w:w="1872" w:type="dxa"/>
            <w:shd w:val="clear" w:color="auto" w:fill="B8CCE4" w:themeFill="accent1" w:themeFillTint="66"/>
            <w:vAlign w:val="center"/>
          </w:tcPr>
          <w:p w14:paraId="0DD80CEF" w14:textId="77777777" w:rsidR="004D59D4" w:rsidRDefault="00023FAF" w:rsidP="00025AAC">
            <w:pPr>
              <w:pStyle w:val="TableText1"/>
              <w:jc w:val="center"/>
            </w:pPr>
            <w:r>
              <w:t>-0.02 (-0.09, 0.05)</w:t>
            </w:r>
          </w:p>
        </w:tc>
      </w:tr>
      <w:tr w:rsidR="004D59D4" w14:paraId="52EB77D9" w14:textId="77777777">
        <w:trPr>
          <w:trHeight w:val="227"/>
        </w:trPr>
        <w:tc>
          <w:tcPr>
            <w:tcW w:w="9026" w:type="dxa"/>
            <w:gridSpan w:val="4"/>
            <w:shd w:val="clear" w:color="auto" w:fill="B8CCE4" w:themeFill="accent1" w:themeFillTint="66"/>
            <w:vAlign w:val="center"/>
          </w:tcPr>
          <w:p w14:paraId="03439659" w14:textId="77777777" w:rsidR="004D59D4" w:rsidRDefault="00023FAF" w:rsidP="00025AAC">
            <w:pPr>
              <w:pStyle w:val="TableText1"/>
            </w:pPr>
            <w:r>
              <w:t>SAEs</w:t>
            </w:r>
          </w:p>
        </w:tc>
      </w:tr>
      <w:tr w:rsidR="004D59D4" w14:paraId="2E4536D2" w14:textId="77777777">
        <w:trPr>
          <w:trHeight w:val="227"/>
        </w:trPr>
        <w:tc>
          <w:tcPr>
            <w:tcW w:w="3406" w:type="dxa"/>
            <w:shd w:val="clear" w:color="auto" w:fill="B8CCE4" w:themeFill="accent1" w:themeFillTint="66"/>
            <w:vAlign w:val="center"/>
          </w:tcPr>
          <w:p w14:paraId="2E619D6C" w14:textId="77777777" w:rsidR="004D59D4" w:rsidRDefault="00023FAF" w:rsidP="00025AAC">
            <w:pPr>
              <w:pStyle w:val="TableText1"/>
              <w:rPr>
                <w:vertAlign w:val="superscript"/>
              </w:rPr>
            </w:pPr>
            <w:r>
              <w:t xml:space="preserve">Any SAEs </w:t>
            </w:r>
            <w:r>
              <w:rPr>
                <w:vertAlign w:val="superscript"/>
              </w:rPr>
              <w:t>b</w:t>
            </w:r>
          </w:p>
        </w:tc>
        <w:tc>
          <w:tcPr>
            <w:tcW w:w="1874" w:type="dxa"/>
            <w:shd w:val="clear" w:color="auto" w:fill="B8CCE4" w:themeFill="accent1" w:themeFillTint="66"/>
            <w:vAlign w:val="center"/>
          </w:tcPr>
          <w:p w14:paraId="71E0FDB1" w14:textId="77777777" w:rsidR="004D59D4" w:rsidRDefault="00023FAF" w:rsidP="00025AAC">
            <w:pPr>
              <w:pStyle w:val="TableText1"/>
              <w:jc w:val="center"/>
            </w:pPr>
            <w:r>
              <w:t>2 (3.0)</w:t>
            </w:r>
          </w:p>
        </w:tc>
        <w:tc>
          <w:tcPr>
            <w:tcW w:w="1874" w:type="dxa"/>
            <w:shd w:val="clear" w:color="auto" w:fill="B8CCE4" w:themeFill="accent1" w:themeFillTint="66"/>
            <w:vAlign w:val="center"/>
          </w:tcPr>
          <w:p w14:paraId="5F7157C0" w14:textId="77777777" w:rsidR="004D59D4" w:rsidRDefault="00023FAF" w:rsidP="00025AAC">
            <w:pPr>
              <w:pStyle w:val="TableText1"/>
              <w:jc w:val="center"/>
            </w:pPr>
            <w:r>
              <w:t>1 (3.4)</w:t>
            </w:r>
          </w:p>
        </w:tc>
        <w:tc>
          <w:tcPr>
            <w:tcW w:w="1872" w:type="dxa"/>
            <w:shd w:val="clear" w:color="auto" w:fill="B8CCE4" w:themeFill="accent1" w:themeFillTint="66"/>
            <w:vAlign w:val="center"/>
          </w:tcPr>
          <w:p w14:paraId="1A404289" w14:textId="77777777" w:rsidR="004D59D4" w:rsidRDefault="00023FAF" w:rsidP="00025AAC">
            <w:pPr>
              <w:pStyle w:val="TableText1"/>
              <w:jc w:val="center"/>
            </w:pPr>
            <w:r>
              <w:t>-0.00 (-0.08, 0.07)</w:t>
            </w:r>
          </w:p>
        </w:tc>
      </w:tr>
      <w:tr w:rsidR="004D59D4" w14:paraId="26BE015E" w14:textId="77777777">
        <w:trPr>
          <w:trHeight w:val="227"/>
        </w:trPr>
        <w:tc>
          <w:tcPr>
            <w:tcW w:w="3406" w:type="dxa"/>
            <w:shd w:val="clear" w:color="auto" w:fill="B8CCE4" w:themeFill="accent1" w:themeFillTint="66"/>
            <w:vAlign w:val="center"/>
          </w:tcPr>
          <w:p w14:paraId="3054E0D8" w14:textId="77777777" w:rsidR="004D59D4" w:rsidRDefault="00023FAF" w:rsidP="00025AAC">
            <w:pPr>
              <w:pStyle w:val="TableText1"/>
            </w:pPr>
            <w:r>
              <w:t>Drug-related SAEs</w:t>
            </w:r>
          </w:p>
        </w:tc>
        <w:tc>
          <w:tcPr>
            <w:tcW w:w="1874" w:type="dxa"/>
            <w:shd w:val="clear" w:color="auto" w:fill="B8CCE4" w:themeFill="accent1" w:themeFillTint="66"/>
            <w:vAlign w:val="center"/>
          </w:tcPr>
          <w:p w14:paraId="43428E0B" w14:textId="77777777" w:rsidR="004D59D4" w:rsidRDefault="00023FAF" w:rsidP="00025AAC">
            <w:pPr>
              <w:pStyle w:val="TableText1"/>
              <w:jc w:val="center"/>
            </w:pPr>
            <w:r>
              <w:t>2 (3.0)</w:t>
            </w:r>
          </w:p>
        </w:tc>
        <w:tc>
          <w:tcPr>
            <w:tcW w:w="1874" w:type="dxa"/>
            <w:shd w:val="clear" w:color="auto" w:fill="B8CCE4" w:themeFill="accent1" w:themeFillTint="66"/>
            <w:vAlign w:val="center"/>
          </w:tcPr>
          <w:p w14:paraId="6B501216" w14:textId="77777777" w:rsidR="004D59D4" w:rsidRDefault="00023FAF" w:rsidP="00025AAC">
            <w:pPr>
              <w:pStyle w:val="TableText1"/>
              <w:jc w:val="center"/>
            </w:pPr>
            <w:r>
              <w:t>0</w:t>
            </w:r>
          </w:p>
        </w:tc>
        <w:tc>
          <w:tcPr>
            <w:tcW w:w="1872" w:type="dxa"/>
            <w:shd w:val="clear" w:color="auto" w:fill="B8CCE4" w:themeFill="accent1" w:themeFillTint="66"/>
            <w:vAlign w:val="center"/>
          </w:tcPr>
          <w:p w14:paraId="79D2CAE1" w14:textId="77777777" w:rsidR="004D59D4" w:rsidRDefault="00023FAF" w:rsidP="00025AAC">
            <w:pPr>
              <w:pStyle w:val="TableText1"/>
              <w:jc w:val="center"/>
            </w:pPr>
            <w:r>
              <w:t>0.03 (-0.01, 0.07)</w:t>
            </w:r>
          </w:p>
        </w:tc>
      </w:tr>
      <w:tr w:rsidR="004D59D4" w14:paraId="5FD80BD4" w14:textId="77777777">
        <w:trPr>
          <w:trHeight w:val="227"/>
        </w:trPr>
        <w:tc>
          <w:tcPr>
            <w:tcW w:w="9026" w:type="dxa"/>
            <w:gridSpan w:val="4"/>
            <w:shd w:val="clear" w:color="auto" w:fill="B8CCE4" w:themeFill="accent1" w:themeFillTint="66"/>
            <w:vAlign w:val="center"/>
          </w:tcPr>
          <w:p w14:paraId="62472EB7" w14:textId="77777777" w:rsidR="004D59D4" w:rsidRDefault="00023FAF" w:rsidP="00025AAC">
            <w:pPr>
              <w:pStyle w:val="TableText1"/>
            </w:pPr>
            <w:r>
              <w:t>Adverse events of Special Interest</w:t>
            </w:r>
          </w:p>
        </w:tc>
      </w:tr>
      <w:tr w:rsidR="004D59D4" w14:paraId="1208DE8E" w14:textId="77777777">
        <w:trPr>
          <w:trHeight w:val="227"/>
        </w:trPr>
        <w:tc>
          <w:tcPr>
            <w:tcW w:w="3406" w:type="dxa"/>
            <w:shd w:val="clear" w:color="auto" w:fill="B8CCE4" w:themeFill="accent1" w:themeFillTint="66"/>
            <w:vAlign w:val="center"/>
          </w:tcPr>
          <w:p w14:paraId="7E4AACB0" w14:textId="77777777" w:rsidR="004D59D4" w:rsidRDefault="00023FAF" w:rsidP="00025AAC">
            <w:pPr>
              <w:pStyle w:val="TableText1"/>
            </w:pPr>
            <w:r>
              <w:t>Anaphylaxis (per NIAID/ FAAN Criteria)</w:t>
            </w:r>
          </w:p>
        </w:tc>
        <w:tc>
          <w:tcPr>
            <w:tcW w:w="1874" w:type="dxa"/>
            <w:shd w:val="clear" w:color="auto" w:fill="B8CCE4" w:themeFill="accent1" w:themeFillTint="66"/>
            <w:vAlign w:val="center"/>
          </w:tcPr>
          <w:p w14:paraId="11CFD2A1" w14:textId="77777777" w:rsidR="004D59D4" w:rsidRDefault="00023FAF" w:rsidP="00025AAC">
            <w:pPr>
              <w:pStyle w:val="TableText1"/>
              <w:jc w:val="center"/>
            </w:pPr>
            <w:r>
              <w:t>0</w:t>
            </w:r>
          </w:p>
        </w:tc>
        <w:tc>
          <w:tcPr>
            <w:tcW w:w="1874" w:type="dxa"/>
            <w:shd w:val="clear" w:color="auto" w:fill="B8CCE4" w:themeFill="accent1" w:themeFillTint="66"/>
            <w:vAlign w:val="center"/>
          </w:tcPr>
          <w:p w14:paraId="6CD0132C" w14:textId="77777777" w:rsidR="004D59D4" w:rsidRDefault="00023FAF" w:rsidP="00025AAC">
            <w:pPr>
              <w:pStyle w:val="TableText1"/>
              <w:jc w:val="center"/>
            </w:pPr>
            <w:r>
              <w:t>0</w:t>
            </w:r>
          </w:p>
        </w:tc>
        <w:tc>
          <w:tcPr>
            <w:tcW w:w="1872" w:type="dxa"/>
            <w:shd w:val="clear" w:color="auto" w:fill="B8CCE4" w:themeFill="accent1" w:themeFillTint="66"/>
            <w:vAlign w:val="center"/>
          </w:tcPr>
          <w:p w14:paraId="057C7107" w14:textId="77777777" w:rsidR="004D59D4" w:rsidRDefault="00023FAF" w:rsidP="00025AAC">
            <w:pPr>
              <w:pStyle w:val="TableText1"/>
              <w:jc w:val="center"/>
            </w:pPr>
            <w:r>
              <w:t>0</w:t>
            </w:r>
          </w:p>
        </w:tc>
      </w:tr>
      <w:tr w:rsidR="004D59D4" w14:paraId="403700A2" w14:textId="77777777">
        <w:trPr>
          <w:trHeight w:val="227"/>
        </w:trPr>
        <w:tc>
          <w:tcPr>
            <w:tcW w:w="3406" w:type="dxa"/>
            <w:shd w:val="clear" w:color="auto" w:fill="B8CCE4" w:themeFill="accent1" w:themeFillTint="66"/>
            <w:vAlign w:val="center"/>
          </w:tcPr>
          <w:p w14:paraId="794EAC39" w14:textId="77777777" w:rsidR="004D59D4" w:rsidRDefault="00023FAF" w:rsidP="00025AAC">
            <w:pPr>
              <w:pStyle w:val="TableText1"/>
            </w:pPr>
            <w:r>
              <w:t>Anaphylaxis (per Brown's severe criteria)</w:t>
            </w:r>
          </w:p>
        </w:tc>
        <w:tc>
          <w:tcPr>
            <w:tcW w:w="1874" w:type="dxa"/>
            <w:shd w:val="clear" w:color="auto" w:fill="B8CCE4" w:themeFill="accent1" w:themeFillTint="66"/>
            <w:vAlign w:val="center"/>
          </w:tcPr>
          <w:p w14:paraId="5A320137" w14:textId="77777777" w:rsidR="004D59D4" w:rsidRDefault="00023FAF" w:rsidP="00025AAC">
            <w:pPr>
              <w:pStyle w:val="TableText1"/>
              <w:jc w:val="center"/>
            </w:pPr>
            <w:r>
              <w:t>0</w:t>
            </w:r>
          </w:p>
        </w:tc>
        <w:tc>
          <w:tcPr>
            <w:tcW w:w="1874" w:type="dxa"/>
            <w:shd w:val="clear" w:color="auto" w:fill="B8CCE4" w:themeFill="accent1" w:themeFillTint="66"/>
            <w:vAlign w:val="center"/>
          </w:tcPr>
          <w:p w14:paraId="4B657438" w14:textId="77777777" w:rsidR="004D59D4" w:rsidRDefault="00023FAF" w:rsidP="00025AAC">
            <w:pPr>
              <w:pStyle w:val="TableText1"/>
              <w:jc w:val="center"/>
            </w:pPr>
            <w:r>
              <w:t>0</w:t>
            </w:r>
          </w:p>
        </w:tc>
        <w:tc>
          <w:tcPr>
            <w:tcW w:w="1872" w:type="dxa"/>
            <w:shd w:val="clear" w:color="auto" w:fill="B8CCE4" w:themeFill="accent1" w:themeFillTint="66"/>
            <w:vAlign w:val="center"/>
          </w:tcPr>
          <w:p w14:paraId="0E286F00" w14:textId="77777777" w:rsidR="004D59D4" w:rsidRDefault="00023FAF" w:rsidP="00025AAC">
            <w:pPr>
              <w:pStyle w:val="TableText1"/>
              <w:jc w:val="center"/>
            </w:pPr>
            <w:r>
              <w:t>0</w:t>
            </w:r>
          </w:p>
        </w:tc>
      </w:tr>
      <w:tr w:rsidR="004D59D4" w14:paraId="7E627130" w14:textId="77777777">
        <w:trPr>
          <w:trHeight w:val="227"/>
        </w:trPr>
        <w:tc>
          <w:tcPr>
            <w:tcW w:w="9026" w:type="dxa"/>
            <w:gridSpan w:val="4"/>
            <w:shd w:val="clear" w:color="auto" w:fill="B8CCE4" w:themeFill="accent1" w:themeFillTint="66"/>
            <w:vAlign w:val="center"/>
          </w:tcPr>
          <w:p w14:paraId="19201215" w14:textId="77777777" w:rsidR="004D59D4" w:rsidRDefault="00023FAF" w:rsidP="00025AAC">
            <w:pPr>
              <w:pStyle w:val="TableText1"/>
            </w:pPr>
            <w:r>
              <w:t>Adverse events of significance</w:t>
            </w:r>
          </w:p>
        </w:tc>
      </w:tr>
      <w:tr w:rsidR="004D59D4" w14:paraId="01ACAB6A" w14:textId="77777777">
        <w:trPr>
          <w:trHeight w:val="227"/>
        </w:trPr>
        <w:tc>
          <w:tcPr>
            <w:tcW w:w="3406" w:type="dxa"/>
            <w:shd w:val="clear" w:color="auto" w:fill="B8CCE4" w:themeFill="accent1" w:themeFillTint="66"/>
            <w:vAlign w:val="center"/>
          </w:tcPr>
          <w:p w14:paraId="219D3C2B" w14:textId="77777777" w:rsidR="004D59D4" w:rsidRDefault="00023FAF" w:rsidP="00025AAC">
            <w:pPr>
              <w:pStyle w:val="TableText1"/>
            </w:pPr>
            <w:r>
              <w:t>Hypersensitivity AEs</w:t>
            </w:r>
          </w:p>
        </w:tc>
        <w:tc>
          <w:tcPr>
            <w:tcW w:w="1874" w:type="dxa"/>
            <w:shd w:val="clear" w:color="auto" w:fill="B8CCE4" w:themeFill="accent1" w:themeFillTint="66"/>
            <w:vAlign w:val="center"/>
          </w:tcPr>
          <w:p w14:paraId="281A0F85" w14:textId="77777777" w:rsidR="004D59D4" w:rsidRDefault="00023FAF" w:rsidP="00025AAC">
            <w:pPr>
              <w:pStyle w:val="TableText1"/>
              <w:jc w:val="center"/>
            </w:pPr>
            <w:r>
              <w:t>26 (39.4)</w:t>
            </w:r>
          </w:p>
        </w:tc>
        <w:tc>
          <w:tcPr>
            <w:tcW w:w="1874" w:type="dxa"/>
            <w:shd w:val="clear" w:color="auto" w:fill="B8CCE4" w:themeFill="accent1" w:themeFillTint="66"/>
            <w:vAlign w:val="center"/>
          </w:tcPr>
          <w:p w14:paraId="0AD22940" w14:textId="77777777" w:rsidR="004D59D4" w:rsidRDefault="00023FAF" w:rsidP="00025AAC">
            <w:pPr>
              <w:pStyle w:val="TableText1"/>
              <w:jc w:val="center"/>
            </w:pPr>
            <w:r>
              <w:t>4 (13.8)</w:t>
            </w:r>
          </w:p>
        </w:tc>
        <w:tc>
          <w:tcPr>
            <w:tcW w:w="1872" w:type="dxa"/>
            <w:shd w:val="clear" w:color="auto" w:fill="B8CCE4" w:themeFill="accent1" w:themeFillTint="66"/>
            <w:vAlign w:val="center"/>
          </w:tcPr>
          <w:p w14:paraId="3B853E1D" w14:textId="77777777" w:rsidR="004D59D4" w:rsidRDefault="00023FAF" w:rsidP="00025AAC">
            <w:pPr>
              <w:pStyle w:val="TableText1"/>
              <w:jc w:val="center"/>
              <w:rPr>
                <w:b/>
                <w:bCs w:val="0"/>
              </w:rPr>
            </w:pPr>
            <w:r>
              <w:rPr>
                <w:b/>
                <w:bCs w:val="0"/>
              </w:rPr>
              <w:t>0.26 (0.08, 0.43)</w:t>
            </w:r>
          </w:p>
        </w:tc>
      </w:tr>
      <w:tr w:rsidR="004D59D4" w14:paraId="443EEB80" w14:textId="77777777">
        <w:trPr>
          <w:trHeight w:val="227"/>
        </w:trPr>
        <w:tc>
          <w:tcPr>
            <w:tcW w:w="3406" w:type="dxa"/>
            <w:shd w:val="clear" w:color="auto" w:fill="B8CCE4" w:themeFill="accent1" w:themeFillTint="66"/>
            <w:vAlign w:val="center"/>
          </w:tcPr>
          <w:p w14:paraId="5838C2EB" w14:textId="77777777" w:rsidR="004D59D4" w:rsidRDefault="00023FAF" w:rsidP="00025AAC">
            <w:pPr>
              <w:pStyle w:val="TableText1"/>
            </w:pPr>
            <w:r>
              <w:t>Generalised skin reaction ≥ 14 days</w:t>
            </w:r>
          </w:p>
        </w:tc>
        <w:tc>
          <w:tcPr>
            <w:tcW w:w="1874" w:type="dxa"/>
            <w:shd w:val="clear" w:color="auto" w:fill="B8CCE4" w:themeFill="accent1" w:themeFillTint="66"/>
            <w:vAlign w:val="center"/>
          </w:tcPr>
          <w:p w14:paraId="149AA12B" w14:textId="77777777" w:rsidR="004D59D4" w:rsidRDefault="00023FAF" w:rsidP="00025AAC">
            <w:pPr>
              <w:pStyle w:val="TableText1"/>
              <w:jc w:val="center"/>
            </w:pPr>
            <w:r>
              <w:t>7 (10.6)</w:t>
            </w:r>
          </w:p>
        </w:tc>
        <w:tc>
          <w:tcPr>
            <w:tcW w:w="1874" w:type="dxa"/>
            <w:shd w:val="clear" w:color="auto" w:fill="B8CCE4" w:themeFill="accent1" w:themeFillTint="66"/>
            <w:vAlign w:val="center"/>
          </w:tcPr>
          <w:p w14:paraId="0B25B967" w14:textId="77777777" w:rsidR="004D59D4" w:rsidRDefault="00023FAF" w:rsidP="00025AAC">
            <w:pPr>
              <w:pStyle w:val="TableText1"/>
              <w:jc w:val="center"/>
            </w:pPr>
            <w:r>
              <w:t>0</w:t>
            </w:r>
          </w:p>
        </w:tc>
        <w:tc>
          <w:tcPr>
            <w:tcW w:w="1872" w:type="dxa"/>
            <w:shd w:val="clear" w:color="auto" w:fill="B8CCE4" w:themeFill="accent1" w:themeFillTint="66"/>
            <w:vAlign w:val="center"/>
          </w:tcPr>
          <w:p w14:paraId="41466289" w14:textId="77777777" w:rsidR="004D59D4" w:rsidRDefault="00023FAF" w:rsidP="00025AAC">
            <w:pPr>
              <w:pStyle w:val="TableText1"/>
              <w:jc w:val="center"/>
              <w:rPr>
                <w:b/>
                <w:bCs w:val="0"/>
              </w:rPr>
            </w:pPr>
            <w:r>
              <w:rPr>
                <w:b/>
                <w:bCs w:val="0"/>
              </w:rPr>
              <w:t>0.11 (0.03, 0.19)</w:t>
            </w:r>
          </w:p>
        </w:tc>
      </w:tr>
      <w:tr w:rsidR="004D59D4" w14:paraId="1E97438B" w14:textId="77777777">
        <w:trPr>
          <w:trHeight w:val="227"/>
        </w:trPr>
        <w:tc>
          <w:tcPr>
            <w:tcW w:w="3406" w:type="dxa"/>
            <w:shd w:val="clear" w:color="auto" w:fill="B8CCE4" w:themeFill="accent1" w:themeFillTint="66"/>
            <w:vAlign w:val="center"/>
          </w:tcPr>
          <w:p w14:paraId="3CDD5D26" w14:textId="77777777" w:rsidR="004D59D4" w:rsidRDefault="00023FAF" w:rsidP="00025AAC">
            <w:pPr>
              <w:pStyle w:val="TableText1"/>
            </w:pPr>
            <w:r>
              <w:t>Injection-site skin reaction ≥ 14 days</w:t>
            </w:r>
          </w:p>
        </w:tc>
        <w:tc>
          <w:tcPr>
            <w:tcW w:w="1874" w:type="dxa"/>
            <w:shd w:val="clear" w:color="auto" w:fill="B8CCE4" w:themeFill="accent1" w:themeFillTint="66"/>
            <w:vAlign w:val="center"/>
          </w:tcPr>
          <w:p w14:paraId="134B57DE" w14:textId="77777777" w:rsidR="004D59D4" w:rsidRDefault="00023FAF" w:rsidP="00025AAC">
            <w:pPr>
              <w:pStyle w:val="TableText1"/>
              <w:jc w:val="center"/>
            </w:pPr>
            <w:r>
              <w:t>5 (7.6)</w:t>
            </w:r>
          </w:p>
        </w:tc>
        <w:tc>
          <w:tcPr>
            <w:tcW w:w="1874" w:type="dxa"/>
            <w:shd w:val="clear" w:color="auto" w:fill="B8CCE4" w:themeFill="accent1" w:themeFillTint="66"/>
            <w:vAlign w:val="center"/>
          </w:tcPr>
          <w:p w14:paraId="4C76AA0D" w14:textId="77777777" w:rsidR="004D59D4" w:rsidRDefault="00023FAF" w:rsidP="00025AAC">
            <w:pPr>
              <w:pStyle w:val="TableText1"/>
              <w:jc w:val="center"/>
            </w:pPr>
            <w:r>
              <w:t>1 (3.4)</w:t>
            </w:r>
          </w:p>
        </w:tc>
        <w:tc>
          <w:tcPr>
            <w:tcW w:w="1872" w:type="dxa"/>
            <w:shd w:val="clear" w:color="auto" w:fill="B8CCE4" w:themeFill="accent1" w:themeFillTint="66"/>
            <w:vAlign w:val="center"/>
          </w:tcPr>
          <w:p w14:paraId="7F669CB8" w14:textId="77777777" w:rsidR="004D59D4" w:rsidRDefault="00023FAF" w:rsidP="00025AAC">
            <w:pPr>
              <w:pStyle w:val="TableText1"/>
              <w:jc w:val="center"/>
            </w:pPr>
            <w:r>
              <w:t>0.04 (-0.05, 0.13)</w:t>
            </w:r>
          </w:p>
        </w:tc>
      </w:tr>
      <w:tr w:rsidR="004D59D4" w14:paraId="266EA8DF" w14:textId="77777777">
        <w:trPr>
          <w:trHeight w:val="227"/>
        </w:trPr>
        <w:tc>
          <w:tcPr>
            <w:tcW w:w="3406" w:type="dxa"/>
            <w:shd w:val="clear" w:color="auto" w:fill="B8CCE4" w:themeFill="accent1" w:themeFillTint="66"/>
            <w:vAlign w:val="center"/>
          </w:tcPr>
          <w:p w14:paraId="2C06F959" w14:textId="77777777" w:rsidR="004D59D4" w:rsidRDefault="00023FAF" w:rsidP="00025AAC">
            <w:pPr>
              <w:pStyle w:val="TableText1"/>
            </w:pPr>
            <w:r>
              <w:t>Arthralgia</w:t>
            </w:r>
          </w:p>
        </w:tc>
        <w:tc>
          <w:tcPr>
            <w:tcW w:w="1874" w:type="dxa"/>
            <w:shd w:val="clear" w:color="auto" w:fill="B8CCE4" w:themeFill="accent1" w:themeFillTint="66"/>
            <w:vAlign w:val="center"/>
          </w:tcPr>
          <w:p w14:paraId="22989A9C" w14:textId="77777777" w:rsidR="004D59D4" w:rsidRDefault="00023FAF" w:rsidP="00025AAC">
            <w:pPr>
              <w:pStyle w:val="TableText1"/>
              <w:jc w:val="center"/>
            </w:pPr>
            <w:r>
              <w:t>9 (13.6)</w:t>
            </w:r>
          </w:p>
        </w:tc>
        <w:tc>
          <w:tcPr>
            <w:tcW w:w="1874" w:type="dxa"/>
            <w:shd w:val="clear" w:color="auto" w:fill="B8CCE4" w:themeFill="accent1" w:themeFillTint="66"/>
            <w:vAlign w:val="center"/>
          </w:tcPr>
          <w:p w14:paraId="53700CE4" w14:textId="77777777" w:rsidR="004D59D4" w:rsidRDefault="00023FAF" w:rsidP="00025AAC">
            <w:pPr>
              <w:pStyle w:val="TableText1"/>
              <w:jc w:val="center"/>
            </w:pPr>
            <w:r>
              <w:t>3 (10.3)</w:t>
            </w:r>
          </w:p>
        </w:tc>
        <w:tc>
          <w:tcPr>
            <w:tcW w:w="1872" w:type="dxa"/>
            <w:shd w:val="clear" w:color="auto" w:fill="B8CCE4" w:themeFill="accent1" w:themeFillTint="66"/>
            <w:vAlign w:val="center"/>
          </w:tcPr>
          <w:p w14:paraId="0CAB65D7" w14:textId="77777777" w:rsidR="004D59D4" w:rsidRDefault="00023FAF" w:rsidP="00025AAC">
            <w:pPr>
              <w:pStyle w:val="TableText1"/>
              <w:jc w:val="center"/>
            </w:pPr>
            <w:r>
              <w:t>0.03 (-0.10, 0.17)</w:t>
            </w:r>
          </w:p>
        </w:tc>
      </w:tr>
      <w:tr w:rsidR="004D59D4" w14:paraId="3ECF9D7E" w14:textId="77777777">
        <w:trPr>
          <w:trHeight w:val="227"/>
        </w:trPr>
        <w:tc>
          <w:tcPr>
            <w:tcW w:w="3406" w:type="dxa"/>
            <w:shd w:val="clear" w:color="auto" w:fill="B8CCE4" w:themeFill="accent1" w:themeFillTint="66"/>
            <w:vAlign w:val="center"/>
          </w:tcPr>
          <w:p w14:paraId="7E513C96" w14:textId="77777777" w:rsidR="004D59D4" w:rsidRDefault="00023FAF" w:rsidP="00025AAC">
            <w:pPr>
              <w:pStyle w:val="TableText1"/>
            </w:pPr>
            <w:r>
              <w:t>Injection-site reaction</w:t>
            </w:r>
          </w:p>
        </w:tc>
        <w:tc>
          <w:tcPr>
            <w:tcW w:w="1874" w:type="dxa"/>
            <w:shd w:val="clear" w:color="auto" w:fill="B8CCE4" w:themeFill="accent1" w:themeFillTint="66"/>
            <w:vAlign w:val="center"/>
          </w:tcPr>
          <w:p w14:paraId="0D8E54EF" w14:textId="77777777" w:rsidR="004D59D4" w:rsidRDefault="00023FAF" w:rsidP="00025AAC">
            <w:pPr>
              <w:pStyle w:val="TableText1"/>
              <w:jc w:val="center"/>
            </w:pPr>
            <w:r>
              <w:t>16 (24.2)</w:t>
            </w:r>
          </w:p>
        </w:tc>
        <w:tc>
          <w:tcPr>
            <w:tcW w:w="1874" w:type="dxa"/>
            <w:shd w:val="clear" w:color="auto" w:fill="B8CCE4" w:themeFill="accent1" w:themeFillTint="66"/>
            <w:vAlign w:val="center"/>
          </w:tcPr>
          <w:p w14:paraId="285D13D7" w14:textId="77777777" w:rsidR="004D59D4" w:rsidRDefault="00023FAF" w:rsidP="00025AAC">
            <w:pPr>
              <w:pStyle w:val="TableText1"/>
              <w:jc w:val="center"/>
            </w:pPr>
            <w:r>
              <w:t>7 (24.1)</w:t>
            </w:r>
          </w:p>
        </w:tc>
        <w:tc>
          <w:tcPr>
            <w:tcW w:w="1872" w:type="dxa"/>
            <w:shd w:val="clear" w:color="auto" w:fill="B8CCE4" w:themeFill="accent1" w:themeFillTint="66"/>
            <w:vAlign w:val="center"/>
          </w:tcPr>
          <w:p w14:paraId="15CEEFBB" w14:textId="77777777" w:rsidR="004D59D4" w:rsidRDefault="00023FAF" w:rsidP="00025AAC">
            <w:pPr>
              <w:pStyle w:val="TableText1"/>
              <w:jc w:val="center"/>
            </w:pPr>
            <w:r>
              <w:t>0.00 (-0.19, 0.19)</w:t>
            </w:r>
          </w:p>
        </w:tc>
      </w:tr>
    </w:tbl>
    <w:p w14:paraId="3DD9CC55" w14:textId="77777777" w:rsidR="004D59D4" w:rsidRDefault="00023FAF" w:rsidP="00025AAC">
      <w:pPr>
        <w:pStyle w:val="TableFigureFooter"/>
        <w:jc w:val="both"/>
      </w:pPr>
      <w:r>
        <w:t>Note: This data has previously been reviewed by the PBAC.</w:t>
      </w:r>
    </w:p>
    <w:p w14:paraId="67809F62" w14:textId="77777777" w:rsidR="004D59D4" w:rsidRDefault="00023FAF" w:rsidP="00025AAC">
      <w:pPr>
        <w:pStyle w:val="TableFigureFooter"/>
        <w:jc w:val="both"/>
      </w:pPr>
      <w:r>
        <w:t xml:space="preserve">Source: Table 2.5-14, p145-146 of the resubmission; Table 11, </w:t>
      </w:r>
      <w:proofErr w:type="spellStart"/>
      <w:r>
        <w:t>pegvaliase</w:t>
      </w:r>
      <w:proofErr w:type="spellEnd"/>
      <w:r>
        <w:t xml:space="preserve"> PSD, July 2022.</w:t>
      </w:r>
    </w:p>
    <w:p w14:paraId="4C6F6FE2" w14:textId="28F91B7D" w:rsidR="004D59D4" w:rsidRDefault="00023FAF" w:rsidP="00025AAC">
      <w:pPr>
        <w:pStyle w:val="TableFigureFooter"/>
        <w:jc w:val="both"/>
      </w:pPr>
      <w:r>
        <w:t xml:space="preserve">AE = adverse event; AESI = adverse event of special interest; CI = confidence interval; FAAN = food allergy and anaphylaxis network; NIAID = National Institute of Allergy and Infectious Diseases; SAE = serious adverse </w:t>
      </w:r>
      <w:r w:rsidR="00875106">
        <w:t>event</w:t>
      </w:r>
      <w:r>
        <w:t>; SD = standard deviation</w:t>
      </w:r>
    </w:p>
    <w:p w14:paraId="6A23FF8D" w14:textId="77777777" w:rsidR="004D59D4" w:rsidRDefault="00023FAF" w:rsidP="00025AAC">
      <w:pPr>
        <w:pStyle w:val="TableFigureFooter"/>
        <w:jc w:val="both"/>
      </w:pPr>
      <w:r>
        <w:rPr>
          <w:vertAlign w:val="superscript"/>
        </w:rPr>
        <w:t>a</w:t>
      </w:r>
      <w:r>
        <w:t xml:space="preserve"> Patients in Part 2 placebo group received 4.4 person-years of exposure to placebo</w:t>
      </w:r>
    </w:p>
    <w:p w14:paraId="020FA4E2" w14:textId="77777777" w:rsidR="004D59D4" w:rsidRDefault="00023FAF" w:rsidP="00025AAC">
      <w:pPr>
        <w:pStyle w:val="TableFigureFooter"/>
        <w:jc w:val="both"/>
      </w:pPr>
      <w:r>
        <w:rPr>
          <w:vertAlign w:val="superscript"/>
        </w:rPr>
        <w:t>b</w:t>
      </w:r>
      <w:r>
        <w:t xml:space="preserve"> Additional AEs (8 events for 4 patients) were upgraded by the sponsor to SAEs and were not factored into the incidence or event rates of the summary tables.</w:t>
      </w:r>
    </w:p>
    <w:p w14:paraId="2D3531B8" w14:textId="77777777" w:rsidR="004D59D4" w:rsidRDefault="00023FAF" w:rsidP="00025AAC">
      <w:pPr>
        <w:pStyle w:val="3-BodyText"/>
        <w:numPr>
          <w:ilvl w:val="1"/>
          <w:numId w:val="1"/>
        </w:numPr>
        <w:spacing w:before="160" w:after="160"/>
      </w:pPr>
      <w:r>
        <w:t xml:space="preserve">For the previous submission, the PBAC noted that the results from PRISM 2 Part 2 indicate that patients treated with </w:t>
      </w:r>
      <w:proofErr w:type="spellStart"/>
      <w:r>
        <w:t>pegvaliase</w:t>
      </w:r>
      <w:proofErr w:type="spellEnd"/>
      <w:r>
        <w:t xml:space="preserve"> had a higher incidence of hypersensitivity (risk difference [RD] = 0.26, 95% confidence interval [CI] 0.09, 0.43) and generalised skin reactions lasting longer than 14 days (RD = 0.11, 95%CI 0.03, 0.19), and that in clinical practice, patients would not receive placebo injections and therefore it is expected that injection site reactions would be more frequent with </w:t>
      </w:r>
      <w:proofErr w:type="spellStart"/>
      <w:r>
        <w:t>pegvaliase</w:t>
      </w:r>
      <w:proofErr w:type="spellEnd"/>
      <w:r>
        <w:t xml:space="preserve">. The PBAC also noted that as PRISM 2 Part 2 only treated patients for eight weeks, the comparative safety over a longer treatment period was unknown (paragraph 6.45, </w:t>
      </w:r>
      <w:proofErr w:type="spellStart"/>
      <w:r>
        <w:t>pegvaliase</w:t>
      </w:r>
      <w:proofErr w:type="spellEnd"/>
      <w:r>
        <w:t xml:space="preserve"> PSD, July 2022 PBAC meeting).</w:t>
      </w:r>
    </w:p>
    <w:p w14:paraId="6CC11B7D" w14:textId="21AE51E8" w:rsidR="004D59D4" w:rsidRDefault="00023FAF" w:rsidP="00025AAC">
      <w:pPr>
        <w:pStyle w:val="3-BodyText"/>
        <w:numPr>
          <w:ilvl w:val="1"/>
          <w:numId w:val="1"/>
        </w:numPr>
        <w:spacing w:before="160" w:after="160"/>
      </w:pPr>
      <w:r>
        <w:t>Hypersensitivity reactions were very common, although most of these were mild</w:t>
      </w:r>
      <w:r w:rsidR="0085407C">
        <w:t xml:space="preserve"> to</w:t>
      </w:r>
      <w:r>
        <w:t xml:space="preserve"> moderate. The </w:t>
      </w:r>
      <w:proofErr w:type="spellStart"/>
      <w:r>
        <w:t>pegvaliase</w:t>
      </w:r>
      <w:proofErr w:type="spellEnd"/>
      <w:r>
        <w:t xml:space="preserve"> PI states that acute systemic hypersensitivity reaction has been reported after administration of </w:t>
      </w:r>
      <w:proofErr w:type="spellStart"/>
      <w:r>
        <w:t>pegvaliase</w:t>
      </w:r>
      <w:proofErr w:type="spellEnd"/>
      <w:r>
        <w:t xml:space="preserve"> and may occur at any stage during treatment. The PBAC </w:t>
      </w:r>
      <w:r w:rsidR="00586B51">
        <w:t xml:space="preserve">previously </w:t>
      </w:r>
      <w:r>
        <w:t xml:space="preserve">noted that patients who discontinued </w:t>
      </w:r>
      <w:proofErr w:type="spellStart"/>
      <w:r>
        <w:t>pegvaliase</w:t>
      </w:r>
      <w:proofErr w:type="spellEnd"/>
      <w:r>
        <w:t xml:space="preserve"> due to intolerance of therapy in PRISM 1 or PRISM 2 Part 1 were not included in PRISM 2 Part 2 and therefore the adverse event (AE) </w:t>
      </w:r>
      <w:r w:rsidRPr="00F5171F">
        <w:t xml:space="preserve">rates in </w:t>
      </w:r>
      <w:r w:rsidRPr="00F5171F">
        <w:fldChar w:fldCharType="begin"/>
      </w:r>
      <w:r w:rsidRPr="00F5171F">
        <w:instrText xml:space="preserve"> REF _Ref109987916 \h </w:instrText>
      </w:r>
      <w:r w:rsidR="00F5171F" w:rsidRPr="00F5171F">
        <w:instrText xml:space="preserve"> \* MERGEFORMAT </w:instrText>
      </w:r>
      <w:r w:rsidRPr="00F5171F">
        <w:fldChar w:fldCharType="separate"/>
      </w:r>
      <w:r w:rsidR="00E24060" w:rsidRPr="00F5171F">
        <w:t>Table 9</w:t>
      </w:r>
      <w:r w:rsidRPr="00F5171F">
        <w:fldChar w:fldCharType="end"/>
      </w:r>
      <w:r w:rsidRPr="00F5171F">
        <w:t>, particularly</w:t>
      </w:r>
      <w:r>
        <w:t xml:space="preserve"> hypersensitivity AE and generalised skin reaction, are likely to underestimate the true burden of AEs for </w:t>
      </w:r>
      <w:proofErr w:type="spellStart"/>
      <w:r>
        <w:t>pegvaliase</w:t>
      </w:r>
      <w:proofErr w:type="spellEnd"/>
      <w:r>
        <w:t xml:space="preserve"> (paragraph 6.46, </w:t>
      </w:r>
      <w:proofErr w:type="spellStart"/>
      <w:r>
        <w:t>pegvaliase</w:t>
      </w:r>
      <w:proofErr w:type="spellEnd"/>
      <w:r>
        <w:t xml:space="preserve"> PSD, July 2022 PBAC meeting).</w:t>
      </w:r>
    </w:p>
    <w:p w14:paraId="47486B5E" w14:textId="77777777" w:rsidR="004D59D4" w:rsidRDefault="00023FAF" w:rsidP="00025AAC">
      <w:pPr>
        <w:pStyle w:val="4-SubsectionHeading"/>
        <w:spacing w:before="160" w:after="160"/>
      </w:pPr>
      <w:bookmarkStart w:id="66" w:name="_Toc219799687"/>
      <w:bookmarkStart w:id="67" w:name="_Toc22897643"/>
      <w:r>
        <w:lastRenderedPageBreak/>
        <w:t>Benefits/harms</w:t>
      </w:r>
      <w:bookmarkEnd w:id="66"/>
      <w:bookmarkEnd w:id="67"/>
    </w:p>
    <w:p w14:paraId="404BD0A3" w14:textId="77777777" w:rsidR="004D59D4" w:rsidRDefault="00023FAF" w:rsidP="00025AAC">
      <w:pPr>
        <w:pStyle w:val="3-BodyText"/>
        <w:numPr>
          <w:ilvl w:val="1"/>
          <w:numId w:val="1"/>
        </w:numPr>
        <w:spacing w:before="160" w:after="160"/>
      </w:pPr>
      <w:r>
        <w:t xml:space="preserve">As the efficacy and safety data for PRISM 2 Part 2 remained the same as in the previous submission and no additional randomised controlled trial data were presented in the resubmission, the benefits/harms of </w:t>
      </w:r>
      <w:proofErr w:type="spellStart"/>
      <w:r>
        <w:t>pegvaliase</w:t>
      </w:r>
      <w:proofErr w:type="spellEnd"/>
      <w:r>
        <w:t xml:space="preserve"> were unchanged. </w:t>
      </w:r>
      <w:proofErr w:type="gramStart"/>
      <w:r>
        <w:t>On the basis of</w:t>
      </w:r>
      <w:proofErr w:type="gramEnd"/>
      <w:r>
        <w:t xml:space="preserve"> direct evidence presented by the resubmission, for every 100 patients treated with </w:t>
      </w:r>
      <w:proofErr w:type="spellStart"/>
      <w:r>
        <w:t>pegvaliase</w:t>
      </w:r>
      <w:proofErr w:type="spellEnd"/>
      <w:r>
        <w:t xml:space="preserve"> plus </w:t>
      </w:r>
      <w:proofErr w:type="spellStart"/>
      <w:r>
        <w:t>Phe</w:t>
      </w:r>
      <w:proofErr w:type="spellEnd"/>
      <w:r>
        <w:t xml:space="preserve">-restricted diet in comparison with </w:t>
      </w:r>
      <w:proofErr w:type="spellStart"/>
      <w:r>
        <w:t>Phe</w:t>
      </w:r>
      <w:proofErr w:type="spellEnd"/>
      <w:r>
        <w:t>-restricted diet:</w:t>
      </w:r>
    </w:p>
    <w:p w14:paraId="378FCEBD" w14:textId="77777777" w:rsidR="004D59D4" w:rsidRDefault="00023FAF" w:rsidP="00025AAC">
      <w:pPr>
        <w:pStyle w:val="ListBullet"/>
        <w:numPr>
          <w:ilvl w:val="0"/>
          <w:numId w:val="6"/>
        </w:numPr>
        <w:spacing w:before="160" w:after="160"/>
        <w:ind w:left="1134" w:hanging="425"/>
        <w:contextualSpacing w:val="0"/>
      </w:pPr>
      <w:r>
        <w:t>Approximately 51 additional patients achieve a blood-</w:t>
      </w:r>
      <w:proofErr w:type="spellStart"/>
      <w:r>
        <w:t>Phe</w:t>
      </w:r>
      <w:proofErr w:type="spellEnd"/>
      <w:r>
        <w:t xml:space="preserve"> level of ≤ 360 µmol/L after eight weeks.</w:t>
      </w:r>
    </w:p>
    <w:p w14:paraId="22FAF41D" w14:textId="77777777" w:rsidR="004D59D4" w:rsidRDefault="00023FAF" w:rsidP="00025AAC">
      <w:pPr>
        <w:pStyle w:val="ListBullet"/>
        <w:numPr>
          <w:ilvl w:val="0"/>
          <w:numId w:val="6"/>
        </w:numPr>
        <w:spacing w:before="160" w:after="160"/>
        <w:ind w:left="1134" w:hanging="425"/>
        <w:contextualSpacing w:val="0"/>
      </w:pPr>
      <w:r>
        <w:t>Approximately 26 more patients would have a hypersensitivity adverse event.</w:t>
      </w:r>
    </w:p>
    <w:p w14:paraId="1073D301" w14:textId="69389995" w:rsidR="004D59D4" w:rsidRDefault="00023FAF" w:rsidP="00025AAC">
      <w:pPr>
        <w:pStyle w:val="ListBullet"/>
        <w:numPr>
          <w:ilvl w:val="0"/>
          <w:numId w:val="6"/>
        </w:numPr>
        <w:spacing w:before="160" w:after="160"/>
        <w:ind w:left="1134" w:hanging="425"/>
        <w:contextualSpacing w:val="0"/>
      </w:pPr>
      <w:r>
        <w:t>Approximately 11 more patients would have a generalised skin reaction lasting 14</w:t>
      </w:r>
      <w:r w:rsidR="001C4DDF">
        <w:t xml:space="preserve"> or more</w:t>
      </w:r>
      <w:r>
        <w:t xml:space="preserve"> days.</w:t>
      </w:r>
    </w:p>
    <w:p w14:paraId="4672985E" w14:textId="77777777" w:rsidR="004D59D4" w:rsidRDefault="00023FAF" w:rsidP="00025AAC">
      <w:pPr>
        <w:pStyle w:val="3-BodyText"/>
        <w:numPr>
          <w:ilvl w:val="1"/>
          <w:numId w:val="1"/>
        </w:numPr>
        <w:spacing w:before="160" w:after="160"/>
        <w:rPr>
          <w:rFonts w:cstheme="minorHAnsi"/>
        </w:rPr>
      </w:pPr>
      <w:r>
        <w:rPr>
          <w:rFonts w:cstheme="minorHAnsi"/>
        </w:rPr>
        <w:t>As noted above, the PBAC considered that the true rate of hypersensitivity AEs and generalised skin reactions are likely to be substantially higher than the above values, which were based on PRISM 2 Part 2.</w:t>
      </w:r>
    </w:p>
    <w:p w14:paraId="354C212C" w14:textId="77777777" w:rsidR="004D59D4" w:rsidRDefault="00023FAF" w:rsidP="00025AAC">
      <w:pPr>
        <w:pStyle w:val="4-SubsectionHeading"/>
        <w:spacing w:before="160" w:after="160"/>
        <w:rPr>
          <w:rFonts w:cstheme="minorHAnsi"/>
        </w:rPr>
      </w:pPr>
      <w:bookmarkStart w:id="68" w:name="_Toc219799688"/>
      <w:bookmarkStart w:id="69" w:name="_Toc22897644"/>
      <w:r>
        <w:rPr>
          <w:rFonts w:cstheme="minorHAnsi"/>
        </w:rPr>
        <w:t>Clinical claim</w:t>
      </w:r>
      <w:bookmarkEnd w:id="68"/>
      <w:bookmarkEnd w:id="69"/>
    </w:p>
    <w:p w14:paraId="44A1525A" w14:textId="596FCED6" w:rsidR="004D59D4" w:rsidRDefault="00023FAF" w:rsidP="00025AAC">
      <w:pPr>
        <w:pStyle w:val="3-BodyText"/>
        <w:numPr>
          <w:ilvl w:val="1"/>
          <w:numId w:val="1"/>
        </w:numPr>
        <w:spacing w:before="160" w:after="160"/>
        <w:rPr>
          <w:rFonts w:cstheme="minorHAnsi"/>
        </w:rPr>
      </w:pPr>
      <w:r>
        <w:rPr>
          <w:rFonts w:cstheme="minorHAnsi"/>
        </w:rPr>
        <w:t xml:space="preserve">The </w:t>
      </w:r>
      <w:r w:rsidR="00DB2B00">
        <w:rPr>
          <w:rFonts w:cstheme="minorHAnsi"/>
        </w:rPr>
        <w:t xml:space="preserve">evaluation considered that the </w:t>
      </w:r>
      <w:r>
        <w:rPr>
          <w:rFonts w:cstheme="minorHAnsi"/>
        </w:rPr>
        <w:t>following key issues, which were raised for the previous submission, remain applicable to the resubmission:</w:t>
      </w:r>
    </w:p>
    <w:p w14:paraId="7BE11777" w14:textId="77777777" w:rsidR="004D59D4" w:rsidRDefault="00023FAF" w:rsidP="00025AAC">
      <w:pPr>
        <w:pStyle w:val="ListBullet"/>
        <w:numPr>
          <w:ilvl w:val="0"/>
          <w:numId w:val="6"/>
        </w:numPr>
        <w:spacing w:before="160" w:after="160"/>
        <w:ind w:left="1134" w:hanging="425"/>
        <w:contextualSpacing w:val="0"/>
        <w:rPr>
          <w:rFonts w:asciiTheme="minorHAnsi" w:hAnsiTheme="minorHAnsi" w:cstheme="minorHAnsi"/>
        </w:rPr>
      </w:pPr>
      <w:r>
        <w:rPr>
          <w:rFonts w:cstheme="minorHAnsi"/>
        </w:rPr>
        <w:t>The ESC previously considered that it was not possible to quantify the magnitude of the incremental benefit based on the evidence provided given the limitations in</w:t>
      </w:r>
      <w:r>
        <w:t xml:space="preserve"> </w:t>
      </w:r>
      <w:r>
        <w:rPr>
          <w:rFonts w:cstheme="minorHAnsi"/>
        </w:rPr>
        <w:t xml:space="preserve">the methodology of both comparisons and the poor quality of the evidence underpinning these comparisons (e.g., the high risk of bias in the studies and the lack of detailed information about the flow of patients through PKUDOS). (paragraph 6.52, </w:t>
      </w:r>
      <w:proofErr w:type="spellStart"/>
      <w:r>
        <w:rPr>
          <w:rFonts w:cstheme="minorHAnsi"/>
        </w:rPr>
        <w:t>pegvaliase</w:t>
      </w:r>
      <w:proofErr w:type="spellEnd"/>
      <w:r>
        <w:rPr>
          <w:rFonts w:cstheme="minorHAnsi"/>
        </w:rPr>
        <w:t xml:space="preserve"> PSD, July 2022 PBAC meeting). The additional comparison provided in the resubmission (Burton 2024) had similar limitations in methodology as it also compared treatment with </w:t>
      </w:r>
      <w:proofErr w:type="spellStart"/>
      <w:r>
        <w:rPr>
          <w:rFonts w:cstheme="minorHAnsi"/>
        </w:rPr>
        <w:t>pegvaliase</w:t>
      </w:r>
      <w:proofErr w:type="spellEnd"/>
      <w:r>
        <w:rPr>
          <w:rFonts w:cstheme="minorHAnsi"/>
        </w:rPr>
        <w:t xml:space="preserve"> using data from PRISM versus a </w:t>
      </w:r>
      <w:proofErr w:type="spellStart"/>
      <w:r>
        <w:rPr>
          <w:rFonts w:cstheme="minorHAnsi"/>
        </w:rPr>
        <w:t>Phe</w:t>
      </w:r>
      <w:proofErr w:type="spellEnd"/>
      <w:r>
        <w:rPr>
          <w:rFonts w:cstheme="minorHAnsi"/>
        </w:rPr>
        <w:t>-restricted diet using data from PKUDOS, without a common comparator arm.</w:t>
      </w:r>
    </w:p>
    <w:p w14:paraId="054E2918" w14:textId="7E7C83E6" w:rsidR="004D59D4" w:rsidRDefault="00023FAF" w:rsidP="00025AAC">
      <w:pPr>
        <w:pStyle w:val="ListBullet"/>
        <w:numPr>
          <w:ilvl w:val="0"/>
          <w:numId w:val="6"/>
        </w:numPr>
        <w:spacing w:before="160" w:after="160"/>
        <w:ind w:left="1134" w:hanging="425"/>
        <w:contextualSpacing w:val="0"/>
        <w:rPr>
          <w:rFonts w:asciiTheme="minorHAnsi" w:hAnsiTheme="minorHAnsi" w:cstheme="minorHAnsi"/>
        </w:rPr>
      </w:pPr>
      <w:bookmarkStart w:id="70" w:name="_Hlk215352364"/>
      <w:r>
        <w:rPr>
          <w:rFonts w:cstheme="minorHAnsi"/>
        </w:rPr>
        <w:t xml:space="preserve">The PBAC previously noted that the submission presented an eight-week randomised trial (PRISM 2 Part 2) comparing </w:t>
      </w:r>
      <w:proofErr w:type="spellStart"/>
      <w:r>
        <w:rPr>
          <w:rFonts w:cstheme="minorHAnsi"/>
        </w:rPr>
        <w:t>pegvaliase</w:t>
      </w:r>
      <w:proofErr w:type="spellEnd"/>
      <w:r>
        <w:rPr>
          <w:rFonts w:cstheme="minorHAnsi"/>
        </w:rPr>
        <w:t xml:space="preserve"> to placebo. The other clinical evidence presented consisted of single-arm open label </w:t>
      </w:r>
      <w:proofErr w:type="spellStart"/>
      <w:r>
        <w:rPr>
          <w:rFonts w:cstheme="minorHAnsi"/>
        </w:rPr>
        <w:t>pegvaliase</w:t>
      </w:r>
      <w:proofErr w:type="spellEnd"/>
      <w:r>
        <w:rPr>
          <w:rFonts w:cstheme="minorHAnsi"/>
        </w:rPr>
        <w:t xml:space="preserve"> studies, a matched-cohort analysis without a common comparator arm, and a naïve indirect comparison. The PBAC </w:t>
      </w:r>
      <w:r w:rsidR="00984AD7">
        <w:rPr>
          <w:rFonts w:cstheme="minorHAnsi"/>
        </w:rPr>
        <w:t xml:space="preserve">previously </w:t>
      </w:r>
      <w:r>
        <w:rPr>
          <w:rFonts w:cstheme="minorHAnsi"/>
        </w:rPr>
        <w:t xml:space="preserve">considered there was a very high level of uncertainty in the clinical evidence and comparative effectiveness estimates, and that the submission had likely overestimated the benefit and underestimated the comparative harms of </w:t>
      </w:r>
      <w:proofErr w:type="spellStart"/>
      <w:r>
        <w:rPr>
          <w:rFonts w:cstheme="minorHAnsi"/>
        </w:rPr>
        <w:t>pegvaliase</w:t>
      </w:r>
      <w:proofErr w:type="spellEnd"/>
      <w:r>
        <w:rPr>
          <w:rFonts w:cstheme="minorHAnsi"/>
        </w:rPr>
        <w:t xml:space="preserve"> because: 1) there was a high rate of attrition in the PRISM trials; and 2) PRISM 2 Part 2 only included patients who had received </w:t>
      </w:r>
      <w:proofErr w:type="spellStart"/>
      <w:r>
        <w:rPr>
          <w:rFonts w:cstheme="minorHAnsi"/>
        </w:rPr>
        <w:t>pegvaliase</w:t>
      </w:r>
      <w:proofErr w:type="spellEnd"/>
      <w:r>
        <w:rPr>
          <w:rFonts w:cstheme="minorHAnsi"/>
        </w:rPr>
        <w:t xml:space="preserve"> for a significant period of time and had achieved ≥ 20% reduction in blood-</w:t>
      </w:r>
      <w:proofErr w:type="spellStart"/>
      <w:r>
        <w:rPr>
          <w:rFonts w:cstheme="minorHAnsi"/>
        </w:rPr>
        <w:t>Phe</w:t>
      </w:r>
      <w:proofErr w:type="spellEnd"/>
      <w:r>
        <w:rPr>
          <w:rFonts w:cstheme="minorHAnsi"/>
        </w:rPr>
        <w:t xml:space="preserve">. As such the clinical data reflected patients who already had a degree </w:t>
      </w:r>
      <w:r>
        <w:rPr>
          <w:rFonts w:cstheme="minorHAnsi"/>
        </w:rPr>
        <w:lastRenderedPageBreak/>
        <w:t xml:space="preserve">of responsiveness and tolerability to </w:t>
      </w:r>
      <w:proofErr w:type="spellStart"/>
      <w:r>
        <w:rPr>
          <w:rFonts w:cstheme="minorHAnsi"/>
        </w:rPr>
        <w:t>pegvaliase</w:t>
      </w:r>
      <w:proofErr w:type="spellEnd"/>
      <w:r>
        <w:rPr>
          <w:rFonts w:cstheme="minorHAnsi"/>
        </w:rPr>
        <w:t xml:space="preserve"> (paragraph 7.7, </w:t>
      </w:r>
      <w:proofErr w:type="spellStart"/>
      <w:r>
        <w:rPr>
          <w:rFonts w:cstheme="minorHAnsi"/>
        </w:rPr>
        <w:t>pegvaliase</w:t>
      </w:r>
      <w:proofErr w:type="spellEnd"/>
      <w:r>
        <w:rPr>
          <w:rFonts w:cstheme="minorHAnsi"/>
        </w:rPr>
        <w:t xml:space="preserve"> PSD, July 2022 PBAC meeting).</w:t>
      </w:r>
      <w:bookmarkEnd w:id="70"/>
    </w:p>
    <w:p w14:paraId="228B30BF" w14:textId="77777777" w:rsidR="004D59D4" w:rsidRDefault="00023FAF" w:rsidP="00025AAC">
      <w:pPr>
        <w:pStyle w:val="ListBullet"/>
        <w:numPr>
          <w:ilvl w:val="0"/>
          <w:numId w:val="6"/>
        </w:numPr>
        <w:spacing w:before="160" w:after="160"/>
        <w:ind w:left="1134" w:hanging="425"/>
        <w:contextualSpacing w:val="0"/>
        <w:rPr>
          <w:rFonts w:asciiTheme="minorHAnsi" w:eastAsia="Calibri" w:hAnsiTheme="minorHAnsi" w:cstheme="minorHAnsi"/>
        </w:rPr>
      </w:pPr>
      <w:r>
        <w:rPr>
          <w:rFonts w:cstheme="minorHAnsi"/>
        </w:rPr>
        <w:t xml:space="preserve">The PBAC previously considered that while </w:t>
      </w:r>
      <w:proofErr w:type="spellStart"/>
      <w:r>
        <w:rPr>
          <w:rFonts w:cstheme="minorHAnsi"/>
        </w:rPr>
        <w:t>pegvaliase</w:t>
      </w:r>
      <w:proofErr w:type="spellEnd"/>
      <w:r>
        <w:rPr>
          <w:rFonts w:cstheme="minorHAnsi"/>
        </w:rPr>
        <w:t xml:space="preserve"> appears to be effective at reducing blood </w:t>
      </w:r>
      <w:proofErr w:type="spellStart"/>
      <w:r>
        <w:rPr>
          <w:rFonts w:cstheme="minorHAnsi"/>
        </w:rPr>
        <w:t>Phe</w:t>
      </w:r>
      <w:proofErr w:type="spellEnd"/>
      <w:r>
        <w:rPr>
          <w:rFonts w:cstheme="minorHAnsi"/>
        </w:rPr>
        <w:t xml:space="preserve"> levels, the magnitude of the incremental benefit could not be reliably estimated and was likely overestimated by the submission due to the poor quality and methodological limitations of the clinical evidence (paragraph 7.8, </w:t>
      </w:r>
      <w:proofErr w:type="spellStart"/>
      <w:r>
        <w:rPr>
          <w:rFonts w:cstheme="minorHAnsi"/>
        </w:rPr>
        <w:t>pegvaliase</w:t>
      </w:r>
      <w:proofErr w:type="spellEnd"/>
      <w:r>
        <w:rPr>
          <w:rFonts w:cstheme="minorHAnsi"/>
        </w:rPr>
        <w:t xml:space="preserve"> PSD, July 2022 PBAC meeting).</w:t>
      </w:r>
    </w:p>
    <w:p w14:paraId="50D9DD9C" w14:textId="77777777" w:rsidR="004D59D4" w:rsidRDefault="00023FAF" w:rsidP="00025AAC">
      <w:pPr>
        <w:pStyle w:val="3-BodyText"/>
        <w:numPr>
          <w:ilvl w:val="1"/>
          <w:numId w:val="1"/>
        </w:numPr>
        <w:spacing w:before="160" w:after="160"/>
        <w:rPr>
          <w:rFonts w:cstheme="minorHAnsi"/>
        </w:rPr>
      </w:pPr>
      <w:r>
        <w:rPr>
          <w:rFonts w:cstheme="minorHAnsi"/>
        </w:rPr>
        <w:t xml:space="preserve">The approach taken in the resubmission to support the clinical claim was the same as in the July 2022 submission with the addition of Burton 2024. The resubmission described </w:t>
      </w:r>
      <w:proofErr w:type="spellStart"/>
      <w:r>
        <w:rPr>
          <w:rFonts w:cstheme="minorHAnsi"/>
        </w:rPr>
        <w:t>pegvaliase</w:t>
      </w:r>
      <w:proofErr w:type="spellEnd"/>
      <w:r>
        <w:rPr>
          <w:rFonts w:cstheme="minorHAnsi"/>
        </w:rPr>
        <w:t xml:space="preserve"> as superior in terms of effectiveness compared to a </w:t>
      </w:r>
      <w:proofErr w:type="spellStart"/>
      <w:r>
        <w:rPr>
          <w:rFonts w:cstheme="minorHAnsi"/>
        </w:rPr>
        <w:t>Phe</w:t>
      </w:r>
      <w:proofErr w:type="spellEnd"/>
      <w:r>
        <w:rPr>
          <w:rFonts w:cstheme="minorHAnsi"/>
        </w:rPr>
        <w:t>-restricted diet. While this claim may be adequately supported, the magnitude of the effect remained uncertain as Burton 2024 did not provide any data to allow the determination of the magnitude of the incremental benefit.</w:t>
      </w:r>
    </w:p>
    <w:p w14:paraId="51179BC9" w14:textId="78ECDB65" w:rsidR="004D59D4" w:rsidRDefault="00804038" w:rsidP="00025AAC">
      <w:pPr>
        <w:pStyle w:val="3-BodyText"/>
        <w:numPr>
          <w:ilvl w:val="1"/>
          <w:numId w:val="1"/>
        </w:numPr>
        <w:spacing w:before="160" w:after="160"/>
      </w:pPr>
      <w:bookmarkStart w:id="71" w:name="_Ref225418321"/>
      <w:r>
        <w:rPr>
          <w:rFonts w:cstheme="minorHAnsi"/>
        </w:rPr>
        <w:t>T</w:t>
      </w:r>
      <w:r w:rsidR="00023FAF">
        <w:rPr>
          <w:rFonts w:cstheme="minorHAnsi"/>
        </w:rPr>
        <w:t xml:space="preserve">he PBAC </w:t>
      </w:r>
      <w:r w:rsidR="00E5076F">
        <w:rPr>
          <w:rFonts w:cstheme="minorHAnsi"/>
        </w:rPr>
        <w:t xml:space="preserve">previously </w:t>
      </w:r>
      <w:r w:rsidR="00023FAF">
        <w:rPr>
          <w:rFonts w:cstheme="minorHAnsi"/>
        </w:rPr>
        <w:t xml:space="preserve">advised that any resubmission should not restrict access based on prior response to </w:t>
      </w:r>
      <w:proofErr w:type="spellStart"/>
      <w:r w:rsidR="00023FAF">
        <w:rPr>
          <w:rFonts w:cstheme="minorHAnsi"/>
        </w:rPr>
        <w:t>sapropterin</w:t>
      </w:r>
      <w:proofErr w:type="spellEnd"/>
      <w:r w:rsidR="00023FAF">
        <w:rPr>
          <w:rFonts w:cstheme="minorHAnsi"/>
        </w:rPr>
        <w:t xml:space="preserve">. Although this advice was partially adopted in the resubmission (i.e. inclusion of patients meeting the PBS responsiveness criteria, but with a protein tolerance of less than 15 grams per day), the resubmission did not follow the PBAC’s advice that </w:t>
      </w:r>
      <w:proofErr w:type="spellStart"/>
      <w:r w:rsidR="00023FAF">
        <w:rPr>
          <w:rFonts w:cstheme="minorHAnsi"/>
        </w:rPr>
        <w:t>sapropterin</w:t>
      </w:r>
      <w:proofErr w:type="spellEnd"/>
      <w:r w:rsidR="00023FAF">
        <w:rPr>
          <w:rFonts w:cstheme="minorHAnsi"/>
        </w:rPr>
        <w:t xml:space="preserve"> should be included as a comparator in any resubmission (paragraph 7.14, </w:t>
      </w:r>
      <w:proofErr w:type="spellStart"/>
      <w:r w:rsidR="00023FAF">
        <w:rPr>
          <w:rFonts w:cstheme="minorHAnsi"/>
        </w:rPr>
        <w:t>pegvaliase</w:t>
      </w:r>
      <w:proofErr w:type="spellEnd"/>
      <w:r w:rsidR="00023FAF">
        <w:rPr>
          <w:rFonts w:cstheme="minorHAnsi"/>
        </w:rPr>
        <w:t xml:space="preserve"> PSD, July 2022 PBAC meeting).</w:t>
      </w:r>
      <w:r w:rsidR="00023FAF">
        <w:t xml:space="preserve"> Consequently, while </w:t>
      </w:r>
      <w:proofErr w:type="spellStart"/>
      <w:r w:rsidR="00023FAF">
        <w:t>pegvaliase</w:t>
      </w:r>
      <w:proofErr w:type="spellEnd"/>
      <w:r w:rsidR="00023FAF">
        <w:t xml:space="preserve"> appears to be effective at reducing blood </w:t>
      </w:r>
      <w:proofErr w:type="spellStart"/>
      <w:r w:rsidR="00023FAF">
        <w:t>Phe</w:t>
      </w:r>
      <w:proofErr w:type="spellEnd"/>
      <w:r w:rsidR="00023FAF">
        <w:t xml:space="preserve"> levels when compared to a </w:t>
      </w:r>
      <w:proofErr w:type="spellStart"/>
      <w:r w:rsidR="00023FAF">
        <w:t>Phe</w:t>
      </w:r>
      <w:proofErr w:type="spellEnd"/>
      <w:r w:rsidR="00023FAF">
        <w:t xml:space="preserve">-restricted diet, the effectiveness versus </w:t>
      </w:r>
      <w:proofErr w:type="spellStart"/>
      <w:r w:rsidR="00023FAF">
        <w:t>sapropterin</w:t>
      </w:r>
      <w:proofErr w:type="spellEnd"/>
      <w:r w:rsidR="00023FAF">
        <w:t xml:space="preserve"> remains unclear. </w:t>
      </w:r>
      <w:r w:rsidR="00B22A0F">
        <w:t xml:space="preserve">The evaluation considered that </w:t>
      </w:r>
      <w:proofErr w:type="spellStart"/>
      <w:r w:rsidR="00B22A0F">
        <w:t>s</w:t>
      </w:r>
      <w:r w:rsidR="00023FAF">
        <w:t>apropterin</w:t>
      </w:r>
      <w:proofErr w:type="spellEnd"/>
      <w:r w:rsidR="00023FAF">
        <w:t xml:space="preserve"> may be a particularly relevant comparator for the additional proposed population of </w:t>
      </w:r>
      <w:proofErr w:type="spellStart"/>
      <w:r w:rsidR="00023FAF">
        <w:t>sapropterin</w:t>
      </w:r>
      <w:proofErr w:type="spellEnd"/>
      <w:r w:rsidR="00023FAF">
        <w:t xml:space="preserve"> responders (protein intake ≤ 15 g/day), as these patients would likely discontinue </w:t>
      </w:r>
      <w:proofErr w:type="spellStart"/>
      <w:r w:rsidR="00023FAF">
        <w:t>sapropterin</w:t>
      </w:r>
      <w:proofErr w:type="spellEnd"/>
      <w:r w:rsidR="00023FAF">
        <w:t xml:space="preserve"> to initiate </w:t>
      </w:r>
      <w:proofErr w:type="spellStart"/>
      <w:r w:rsidR="00023FAF">
        <w:t>pegvaliase</w:t>
      </w:r>
      <w:proofErr w:type="spellEnd"/>
      <w:r w:rsidR="00023FAF">
        <w:t>.</w:t>
      </w:r>
      <w:bookmarkEnd w:id="71"/>
    </w:p>
    <w:p w14:paraId="11C0605D" w14:textId="77777777" w:rsidR="004D59D4" w:rsidRDefault="00023FAF" w:rsidP="00025AAC">
      <w:pPr>
        <w:pStyle w:val="3-BodyText"/>
        <w:numPr>
          <w:ilvl w:val="1"/>
          <w:numId w:val="1"/>
        </w:numPr>
        <w:spacing w:before="160" w:after="120"/>
      </w:pPr>
      <w:r>
        <w:t xml:space="preserve">As in the previous submission, the resubmission described </w:t>
      </w:r>
      <w:proofErr w:type="spellStart"/>
      <w:r>
        <w:t>pegvaliase</w:t>
      </w:r>
      <w:proofErr w:type="spellEnd"/>
      <w:r>
        <w:t xml:space="preserve"> as inferior in terms of safety compared to a </w:t>
      </w:r>
      <w:proofErr w:type="spellStart"/>
      <w:r>
        <w:t>Phe</w:t>
      </w:r>
      <w:proofErr w:type="spellEnd"/>
      <w:r>
        <w:t xml:space="preserve">-restricted diet. This claim was adequately supported. The PBAC previously considered the claim of inferior safety compared with a </w:t>
      </w:r>
      <w:proofErr w:type="spellStart"/>
      <w:r>
        <w:t>Phe</w:t>
      </w:r>
      <w:proofErr w:type="spellEnd"/>
      <w:r>
        <w:t xml:space="preserve">-restricted diet alone was supported, however given the lack of longer-term comparative data the magnitude of the difference over a longer treatment period was uncertain (paragraph 7.10, </w:t>
      </w:r>
      <w:proofErr w:type="spellStart"/>
      <w:r>
        <w:t>pegvaliase</w:t>
      </w:r>
      <w:proofErr w:type="spellEnd"/>
      <w:r>
        <w:t xml:space="preserve"> PSD, July 2022 PBAC meeting).</w:t>
      </w:r>
    </w:p>
    <w:p w14:paraId="1C3D8A4F" w14:textId="29909060" w:rsidR="004D59D4" w:rsidRDefault="00023FAF" w:rsidP="00025AAC">
      <w:pPr>
        <w:pStyle w:val="3-BodyText"/>
        <w:numPr>
          <w:ilvl w:val="1"/>
          <w:numId w:val="1"/>
        </w:numPr>
        <w:spacing w:before="160" w:after="120"/>
      </w:pPr>
      <w:r>
        <w:t xml:space="preserve">As for the efficacy outcomes, it remains unknown whether </w:t>
      </w:r>
      <w:proofErr w:type="spellStart"/>
      <w:r>
        <w:t>pegvaliase</w:t>
      </w:r>
      <w:proofErr w:type="spellEnd"/>
      <w:r>
        <w:t xml:space="preserve"> would have superior, inferior or non-inferior safety compared to </w:t>
      </w:r>
      <w:proofErr w:type="spellStart"/>
      <w:r>
        <w:t>sapropterin</w:t>
      </w:r>
      <w:proofErr w:type="spellEnd"/>
      <w:r>
        <w:t xml:space="preserve"> in the proposed patient population.</w:t>
      </w:r>
    </w:p>
    <w:p w14:paraId="36FA6599" w14:textId="20C0C872" w:rsidR="003A3391" w:rsidRDefault="003A3391" w:rsidP="00025AAC">
      <w:pPr>
        <w:pStyle w:val="3-BodyText"/>
        <w:numPr>
          <w:ilvl w:val="1"/>
          <w:numId w:val="1"/>
        </w:numPr>
        <w:spacing w:before="160" w:after="120"/>
      </w:pPr>
      <w:r>
        <w:t xml:space="preserve">The PBAC considered that the claim of superior comparative effectiveness </w:t>
      </w:r>
      <w:r w:rsidR="0060699E">
        <w:t>versus</w:t>
      </w:r>
      <w:r>
        <w:t xml:space="preserve"> a </w:t>
      </w:r>
      <w:proofErr w:type="spellStart"/>
      <w:r>
        <w:t>Phe</w:t>
      </w:r>
      <w:proofErr w:type="spellEnd"/>
      <w:r>
        <w:t>-restricted diet alone was reasonable, in terms of blood-</w:t>
      </w:r>
      <w:proofErr w:type="spellStart"/>
      <w:r>
        <w:t>Phe</w:t>
      </w:r>
      <w:proofErr w:type="spellEnd"/>
      <w:r>
        <w:t xml:space="preserve"> reduction. </w:t>
      </w:r>
    </w:p>
    <w:p w14:paraId="735B3FD3" w14:textId="6065860A" w:rsidR="005E5D32" w:rsidRDefault="003A3391" w:rsidP="00025AAC">
      <w:pPr>
        <w:pStyle w:val="3-BodyText"/>
        <w:numPr>
          <w:ilvl w:val="1"/>
          <w:numId w:val="1"/>
        </w:numPr>
        <w:spacing w:before="160" w:after="120"/>
      </w:pPr>
      <w:r>
        <w:t xml:space="preserve">The PBAC considered that the claim of inferior comparative safety </w:t>
      </w:r>
      <w:r w:rsidR="007D5593">
        <w:t>versus</w:t>
      </w:r>
      <w:r>
        <w:t xml:space="preserve"> a </w:t>
      </w:r>
      <w:proofErr w:type="spellStart"/>
      <w:r>
        <w:t>Phe</w:t>
      </w:r>
      <w:proofErr w:type="spellEnd"/>
      <w:r>
        <w:t xml:space="preserve">-restricted diet alone was reasonable. </w:t>
      </w:r>
    </w:p>
    <w:p w14:paraId="7FEFA6DA" w14:textId="77777777" w:rsidR="004D59D4" w:rsidRDefault="00023FAF" w:rsidP="00025AAC">
      <w:pPr>
        <w:pStyle w:val="4-SubsectionHeading"/>
        <w:spacing w:before="160"/>
      </w:pPr>
      <w:bookmarkStart w:id="72" w:name="_Toc219799689"/>
      <w:r>
        <w:lastRenderedPageBreak/>
        <w:t>Economic analysis</w:t>
      </w:r>
      <w:bookmarkEnd w:id="72"/>
    </w:p>
    <w:p w14:paraId="27E0F534" w14:textId="34ED06FB" w:rsidR="004D59D4" w:rsidRDefault="00023FAF" w:rsidP="00025AAC">
      <w:pPr>
        <w:pStyle w:val="3-BodyText"/>
        <w:numPr>
          <w:ilvl w:val="1"/>
          <w:numId w:val="39"/>
        </w:numPr>
        <w:spacing w:before="160"/>
        <w:rPr>
          <w:b/>
          <w:bCs/>
        </w:rPr>
      </w:pPr>
      <w:bookmarkStart w:id="73" w:name="_Ref216722622"/>
      <w:r>
        <w:t xml:space="preserve">The resubmission presented a stepped cost-utility analysis using a micro-simulation model to compare </w:t>
      </w:r>
      <w:proofErr w:type="spellStart"/>
      <w:r>
        <w:t>pegvaliase</w:t>
      </w:r>
      <w:proofErr w:type="spellEnd"/>
      <w:r>
        <w:t xml:space="preserve"> with a </w:t>
      </w:r>
      <w:proofErr w:type="spellStart"/>
      <w:r>
        <w:t>Phe</w:t>
      </w:r>
      <w:proofErr w:type="spellEnd"/>
      <w:r>
        <w:t xml:space="preserve"> restricted diet versus a </w:t>
      </w:r>
      <w:proofErr w:type="spellStart"/>
      <w:r>
        <w:t>Phe</w:t>
      </w:r>
      <w:proofErr w:type="spellEnd"/>
      <w:r>
        <w:t xml:space="preserve">-restricted diet. While this was consistent with the clinical claim, the model did not incorporate the proposed population of patients with PKU aged 16 years and over who are responders to </w:t>
      </w:r>
      <w:proofErr w:type="spellStart"/>
      <w:r>
        <w:t>sapropterin</w:t>
      </w:r>
      <w:proofErr w:type="spellEnd"/>
      <w:r>
        <w:t xml:space="preserve"> and have a daily protein tolerance of less than 15 grams. Additionally, the economic evaluation did not allow any comparison of </w:t>
      </w:r>
      <w:proofErr w:type="spellStart"/>
      <w:r>
        <w:t>pegvaliase</w:t>
      </w:r>
      <w:proofErr w:type="spellEnd"/>
      <w:r>
        <w:t xml:space="preserve"> versus </w:t>
      </w:r>
      <w:proofErr w:type="spellStart"/>
      <w:r>
        <w:t>sapropterin</w:t>
      </w:r>
      <w:proofErr w:type="spellEnd"/>
      <w:r>
        <w:t xml:space="preserve">, which </w:t>
      </w:r>
      <w:r w:rsidR="00430E6A">
        <w:t xml:space="preserve">the evaluation considered </w:t>
      </w:r>
      <w:r>
        <w:t xml:space="preserve">may be a relevant comparison in this proposed patient population of </w:t>
      </w:r>
      <w:proofErr w:type="spellStart"/>
      <w:r>
        <w:t>sapropterin</w:t>
      </w:r>
      <w:proofErr w:type="spellEnd"/>
      <w:r>
        <w:t xml:space="preserve"> responders.</w:t>
      </w:r>
      <w:bookmarkEnd w:id="73"/>
    </w:p>
    <w:p w14:paraId="7C2B970A" w14:textId="77777777" w:rsidR="004D59D4" w:rsidRDefault="00023FAF" w:rsidP="00025AAC">
      <w:pPr>
        <w:pStyle w:val="3-BodyText"/>
        <w:numPr>
          <w:ilvl w:val="1"/>
          <w:numId w:val="40"/>
        </w:numPr>
        <w:spacing w:before="160"/>
      </w:pPr>
      <w:r>
        <w:t xml:space="preserve">The evidence informing effectiveness in the economic evaluation was based on two sequential Phase 3 trials (PRISM 1 and 2) to inform the </w:t>
      </w:r>
      <w:proofErr w:type="spellStart"/>
      <w:r>
        <w:t>pegvaliase</w:t>
      </w:r>
      <w:proofErr w:type="spellEnd"/>
      <w:r>
        <w:t xml:space="preserve"> intervention arm and based on assumptions and on a longitudinal registry dataset (PKUDOS) to inform the </w:t>
      </w:r>
      <w:proofErr w:type="spellStart"/>
      <w:r>
        <w:t>Phe</w:t>
      </w:r>
      <w:proofErr w:type="spellEnd"/>
      <w:r>
        <w:t xml:space="preserve">-diet alone comparator arm. As in the 2022 </w:t>
      </w:r>
      <w:proofErr w:type="spellStart"/>
      <w:r>
        <w:t>pegvaliase</w:t>
      </w:r>
      <w:proofErr w:type="spellEnd"/>
      <w:r>
        <w:t xml:space="preserve"> submission, no direct comparative clinical data between the two treatment arms were used to inform the economic evaluation and this was a key source of uncertainty in the economic model.</w:t>
      </w:r>
    </w:p>
    <w:p w14:paraId="2F4E61F4" w14:textId="47382005" w:rsidR="004D59D4" w:rsidRDefault="00023FAF" w:rsidP="00025AAC">
      <w:pPr>
        <w:pStyle w:val="3-BodyText"/>
        <w:numPr>
          <w:ilvl w:val="1"/>
          <w:numId w:val="41"/>
        </w:numPr>
        <w:spacing w:before="160" w:after="120"/>
        <w:rPr>
          <w:b/>
          <w:bCs/>
        </w:rPr>
      </w:pPr>
      <w:r>
        <w:t xml:space="preserve">The model structure, key inputs and rationale are described in </w:t>
      </w:r>
      <w:r>
        <w:fldChar w:fldCharType="begin"/>
      </w:r>
      <w:r>
        <w:instrText xml:space="preserve"> REF _Ref215954158 \h </w:instrText>
      </w:r>
      <w:r>
        <w:fldChar w:fldCharType="separate"/>
      </w:r>
      <w:r w:rsidR="00E24060">
        <w:t xml:space="preserve">Table </w:t>
      </w:r>
      <w:r w:rsidR="00E24060">
        <w:rPr>
          <w:noProof/>
        </w:rPr>
        <w:t>10</w:t>
      </w:r>
      <w:r>
        <w:fldChar w:fldCharType="end"/>
      </w:r>
      <w:r>
        <w:t xml:space="preserve">. </w:t>
      </w:r>
      <w:proofErr w:type="gramStart"/>
      <w:r>
        <w:t>With the exception of</w:t>
      </w:r>
      <w:proofErr w:type="gramEnd"/>
      <w:r>
        <w:t xml:space="preserve"> the change to the assumed </w:t>
      </w:r>
      <w:proofErr w:type="spellStart"/>
      <w:r>
        <w:t>pegvaliase</w:t>
      </w:r>
      <w:proofErr w:type="spellEnd"/>
      <w:r>
        <w:t xml:space="preserve"> cost and some minor changes to the model inputs, the economic evaluation structure and inputs remained largely unchanged versus the July 2022 </w:t>
      </w:r>
      <w:proofErr w:type="spellStart"/>
      <w:r>
        <w:t>pegvaliase</w:t>
      </w:r>
      <w:proofErr w:type="spellEnd"/>
      <w:r>
        <w:t xml:space="preserve"> submission.</w:t>
      </w:r>
    </w:p>
    <w:p w14:paraId="6D10A920" w14:textId="414447CA" w:rsidR="004D59D4" w:rsidRDefault="00023FAF" w:rsidP="00025AAC">
      <w:pPr>
        <w:pStyle w:val="Caption"/>
        <w:spacing w:before="160"/>
        <w:jc w:val="left"/>
        <w:rPr>
          <w:rStyle w:val="CommentReference"/>
          <w:b/>
          <w:szCs w:val="24"/>
        </w:rPr>
      </w:pPr>
      <w:bookmarkStart w:id="74" w:name="_Ref215954158"/>
      <w:r>
        <w:t xml:space="preserve">Table </w:t>
      </w:r>
      <w:fldSimple w:instr=" SEQ Table \* ARABIC ">
        <w:r w:rsidR="00E24060">
          <w:rPr>
            <w:noProof/>
          </w:rPr>
          <w:t>10</w:t>
        </w:r>
      </w:fldSimple>
      <w:bookmarkEnd w:id="74"/>
      <w:r>
        <w:t>:</w:t>
      </w:r>
      <w:r>
        <w:rPr>
          <w:rStyle w:val="CommentReference"/>
          <w:b/>
          <w:szCs w:val="24"/>
        </w:rPr>
        <w:t xml:space="preserve"> Summary of model structure, key inputs and rationale</w:t>
      </w:r>
    </w:p>
    <w:tbl>
      <w:tblPr>
        <w:tblW w:w="5000" w:type="pct"/>
        <w:tblLayout w:type="fixed"/>
        <w:tblCellMar>
          <w:left w:w="28" w:type="dxa"/>
          <w:right w:w="28" w:type="dxa"/>
        </w:tblCellMar>
        <w:tblLook w:val="01E0" w:firstRow="1" w:lastRow="1" w:firstColumn="1" w:lastColumn="1" w:noHBand="0" w:noVBand="0"/>
        <w:tblCaption w:val="Table 10: Summary of model structure, key inputs and rationale"/>
      </w:tblPr>
      <w:tblGrid>
        <w:gridCol w:w="1206"/>
        <w:gridCol w:w="3903"/>
        <w:gridCol w:w="3907"/>
      </w:tblGrid>
      <w:tr w:rsidR="004D59D4" w14:paraId="2502093C" w14:textId="77777777" w:rsidTr="00A050FA">
        <w:trPr>
          <w:cantSplit/>
          <w:tblHeader/>
        </w:trPr>
        <w:tc>
          <w:tcPr>
            <w:tcW w:w="1208" w:type="dxa"/>
            <w:tcBorders>
              <w:top w:val="single" w:sz="4" w:space="0" w:color="000000"/>
              <w:left w:val="single" w:sz="4" w:space="0" w:color="000000"/>
              <w:bottom w:val="single" w:sz="4" w:space="0" w:color="000000"/>
              <w:right w:val="single" w:sz="4" w:space="0" w:color="000000"/>
            </w:tcBorders>
          </w:tcPr>
          <w:p w14:paraId="33352883" w14:textId="77777777" w:rsidR="004D59D4" w:rsidRDefault="00023FAF" w:rsidP="00025AAC">
            <w:pPr>
              <w:pStyle w:val="In-tableHeading"/>
            </w:pPr>
            <w:r>
              <w:t>Component</w:t>
            </w:r>
          </w:p>
        </w:tc>
        <w:tc>
          <w:tcPr>
            <w:tcW w:w="3907" w:type="dxa"/>
            <w:tcBorders>
              <w:top w:val="single" w:sz="4" w:space="0" w:color="000000"/>
              <w:left w:val="single" w:sz="4" w:space="0" w:color="000000"/>
              <w:bottom w:val="single" w:sz="4" w:space="0" w:color="000000"/>
              <w:right w:val="single" w:sz="4" w:space="0" w:color="000000"/>
            </w:tcBorders>
          </w:tcPr>
          <w:p w14:paraId="195FF50C" w14:textId="77777777" w:rsidR="004D59D4" w:rsidRDefault="00023FAF" w:rsidP="00025AAC">
            <w:pPr>
              <w:pStyle w:val="In-tableHeading"/>
              <w:jc w:val="center"/>
            </w:pPr>
            <w:r>
              <w:t>Summary</w:t>
            </w:r>
          </w:p>
        </w:tc>
        <w:tc>
          <w:tcPr>
            <w:tcW w:w="3911" w:type="dxa"/>
            <w:tcBorders>
              <w:top w:val="single" w:sz="4" w:space="0" w:color="000000"/>
              <w:left w:val="single" w:sz="4" w:space="0" w:color="000000"/>
              <w:bottom w:val="single" w:sz="4" w:space="0" w:color="000000"/>
              <w:right w:val="single" w:sz="4" w:space="0" w:color="000000"/>
            </w:tcBorders>
          </w:tcPr>
          <w:p w14:paraId="11487D77" w14:textId="77777777" w:rsidR="004D59D4" w:rsidRDefault="00023FAF" w:rsidP="00025AAC">
            <w:pPr>
              <w:pStyle w:val="In-tableHeading"/>
              <w:jc w:val="center"/>
            </w:pPr>
            <w:r>
              <w:t>Comments</w:t>
            </w:r>
          </w:p>
        </w:tc>
      </w:tr>
      <w:tr w:rsidR="004D59D4" w14:paraId="4992A055"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5A2915D1" w14:textId="77777777" w:rsidR="004D59D4" w:rsidRDefault="00023FAF" w:rsidP="00025AAC">
            <w:pPr>
              <w:pStyle w:val="TableText1"/>
              <w:keepNext w:val="0"/>
              <w:keepLines w:val="0"/>
            </w:pPr>
            <w:r>
              <w:t>Treatments</w:t>
            </w:r>
          </w:p>
        </w:tc>
        <w:tc>
          <w:tcPr>
            <w:tcW w:w="3907" w:type="dxa"/>
            <w:tcBorders>
              <w:top w:val="single" w:sz="4" w:space="0" w:color="000000"/>
              <w:left w:val="single" w:sz="4" w:space="0" w:color="000000"/>
              <w:bottom w:val="single" w:sz="4" w:space="0" w:color="000000"/>
              <w:right w:val="single" w:sz="4" w:space="0" w:color="000000"/>
            </w:tcBorders>
          </w:tcPr>
          <w:p w14:paraId="7536D6A7" w14:textId="77777777" w:rsidR="004D59D4" w:rsidRDefault="00023FAF" w:rsidP="00025AAC">
            <w:pPr>
              <w:pStyle w:val="TableText1"/>
              <w:keepNext w:val="0"/>
              <w:keepLines w:val="0"/>
            </w:pPr>
            <w:proofErr w:type="spellStart"/>
            <w:r>
              <w:t>Pegvaliase</w:t>
            </w:r>
            <w:proofErr w:type="spellEnd"/>
            <w:r>
              <w:t xml:space="preserve"> plus a </w:t>
            </w:r>
            <w:proofErr w:type="spellStart"/>
            <w:r>
              <w:t>Phe</w:t>
            </w:r>
            <w:proofErr w:type="spellEnd"/>
            <w:r>
              <w:t xml:space="preserve">-restricted diet vs a </w:t>
            </w:r>
            <w:proofErr w:type="spellStart"/>
            <w:r>
              <w:t>Phe</w:t>
            </w:r>
            <w:proofErr w:type="spellEnd"/>
            <w:r>
              <w:t>-restricted diet alone</w:t>
            </w:r>
          </w:p>
        </w:tc>
        <w:tc>
          <w:tcPr>
            <w:tcW w:w="3911" w:type="dxa"/>
            <w:tcBorders>
              <w:top w:val="single" w:sz="4" w:space="0" w:color="000000"/>
              <w:left w:val="single" w:sz="4" w:space="0" w:color="000000"/>
              <w:bottom w:val="single" w:sz="4" w:space="0" w:color="000000"/>
              <w:right w:val="single" w:sz="4" w:space="0" w:color="000000"/>
            </w:tcBorders>
          </w:tcPr>
          <w:p w14:paraId="53D5BBCE" w14:textId="77777777" w:rsidR="004D59D4" w:rsidRDefault="00023FAF" w:rsidP="00025AAC">
            <w:pPr>
              <w:pStyle w:val="TableText1"/>
              <w:keepNext w:val="0"/>
              <w:keepLines w:val="0"/>
            </w:pPr>
            <w:r>
              <w:t xml:space="preserve">Unchanged. While this was consistent with the 2022 model it did not incorporate the proposed population of patients with PKU aged 16 years and over who are responders to </w:t>
            </w:r>
            <w:proofErr w:type="spellStart"/>
            <w:r>
              <w:t>sapropterin</w:t>
            </w:r>
            <w:proofErr w:type="spellEnd"/>
            <w:r>
              <w:t xml:space="preserve"> and have a daily protein tolerance of less than 15 grams and it did not include </w:t>
            </w:r>
            <w:proofErr w:type="spellStart"/>
            <w:r>
              <w:t>sapropterin</w:t>
            </w:r>
            <w:proofErr w:type="spellEnd"/>
            <w:r>
              <w:t xml:space="preserve"> as a comparator.</w:t>
            </w:r>
          </w:p>
        </w:tc>
      </w:tr>
      <w:tr w:rsidR="004D59D4" w14:paraId="2D135BC7"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191DB632" w14:textId="77777777" w:rsidR="004D59D4" w:rsidRDefault="00023FAF" w:rsidP="00025AAC">
            <w:pPr>
              <w:pStyle w:val="TableText1"/>
              <w:keepNext w:val="0"/>
              <w:keepLines w:val="0"/>
            </w:pPr>
            <w:r>
              <w:t>Type of analysis</w:t>
            </w:r>
          </w:p>
        </w:tc>
        <w:tc>
          <w:tcPr>
            <w:tcW w:w="3907" w:type="dxa"/>
            <w:tcBorders>
              <w:top w:val="single" w:sz="4" w:space="0" w:color="000000"/>
              <w:left w:val="single" w:sz="4" w:space="0" w:color="000000"/>
              <w:bottom w:val="single" w:sz="4" w:space="0" w:color="000000"/>
              <w:right w:val="single" w:sz="4" w:space="0" w:color="000000"/>
            </w:tcBorders>
          </w:tcPr>
          <w:p w14:paraId="23E3636C" w14:textId="77777777" w:rsidR="004D59D4" w:rsidRDefault="00023FAF" w:rsidP="00025AAC">
            <w:pPr>
              <w:pStyle w:val="TableText1"/>
              <w:keepNext w:val="0"/>
              <w:keepLines w:val="0"/>
            </w:pPr>
            <w:r>
              <w:t>Cost-utility analysis</w:t>
            </w:r>
          </w:p>
        </w:tc>
        <w:tc>
          <w:tcPr>
            <w:tcW w:w="3911" w:type="dxa"/>
            <w:tcBorders>
              <w:top w:val="single" w:sz="4" w:space="0" w:color="000000"/>
              <w:left w:val="single" w:sz="4" w:space="0" w:color="000000"/>
              <w:bottom w:val="single" w:sz="4" w:space="0" w:color="000000"/>
              <w:right w:val="single" w:sz="4" w:space="0" w:color="000000"/>
            </w:tcBorders>
          </w:tcPr>
          <w:p w14:paraId="6569F61B" w14:textId="77777777" w:rsidR="004D59D4" w:rsidRDefault="00023FAF" w:rsidP="00025AAC">
            <w:pPr>
              <w:pStyle w:val="TableText1"/>
              <w:keepNext w:val="0"/>
              <w:keepLines w:val="0"/>
            </w:pPr>
            <w:r>
              <w:t>Unchanged. Reasonable.</w:t>
            </w:r>
          </w:p>
        </w:tc>
      </w:tr>
      <w:tr w:rsidR="004D59D4" w14:paraId="5B553809"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5AB49F55" w14:textId="77777777" w:rsidR="004D59D4" w:rsidRDefault="00023FAF" w:rsidP="00025AAC">
            <w:pPr>
              <w:pStyle w:val="TableText1"/>
              <w:keepNext w:val="0"/>
              <w:keepLines w:val="0"/>
            </w:pPr>
            <w:r>
              <w:t>Outcomes</w:t>
            </w:r>
          </w:p>
        </w:tc>
        <w:tc>
          <w:tcPr>
            <w:tcW w:w="3907" w:type="dxa"/>
            <w:tcBorders>
              <w:top w:val="single" w:sz="4" w:space="0" w:color="000000"/>
              <w:left w:val="single" w:sz="4" w:space="0" w:color="000000"/>
              <w:bottom w:val="single" w:sz="4" w:space="0" w:color="000000"/>
              <w:right w:val="single" w:sz="4" w:space="0" w:color="000000"/>
            </w:tcBorders>
          </w:tcPr>
          <w:p w14:paraId="5E516900" w14:textId="77777777" w:rsidR="004D59D4" w:rsidRDefault="00023FAF" w:rsidP="00025AAC">
            <w:pPr>
              <w:pStyle w:val="TableText1"/>
              <w:keepNext w:val="0"/>
              <w:keepLines w:val="0"/>
            </w:pPr>
            <w:r>
              <w:t>Responders and quality adjusted life years gained</w:t>
            </w:r>
          </w:p>
        </w:tc>
        <w:tc>
          <w:tcPr>
            <w:tcW w:w="3911" w:type="dxa"/>
            <w:tcBorders>
              <w:top w:val="single" w:sz="4" w:space="0" w:color="000000"/>
              <w:left w:val="single" w:sz="4" w:space="0" w:color="000000"/>
              <w:bottom w:val="single" w:sz="4" w:space="0" w:color="000000"/>
              <w:right w:val="single" w:sz="4" w:space="0" w:color="000000"/>
            </w:tcBorders>
          </w:tcPr>
          <w:p w14:paraId="74361F21" w14:textId="77777777" w:rsidR="004D59D4" w:rsidRDefault="00023FAF" w:rsidP="00025AAC">
            <w:pPr>
              <w:pStyle w:val="TableText1"/>
              <w:keepNext w:val="0"/>
              <w:keepLines w:val="0"/>
            </w:pPr>
            <w:r>
              <w:t>Unchanged. Reasonable.</w:t>
            </w:r>
          </w:p>
        </w:tc>
      </w:tr>
      <w:tr w:rsidR="004D59D4" w14:paraId="4F17BB00"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6F53A5A1" w14:textId="77777777" w:rsidR="004D59D4" w:rsidRDefault="00023FAF" w:rsidP="00025AAC">
            <w:pPr>
              <w:pStyle w:val="TableText1"/>
              <w:keepNext w:val="0"/>
              <w:keepLines w:val="0"/>
            </w:pPr>
            <w:r>
              <w:t>Methods used to generate results</w:t>
            </w:r>
          </w:p>
        </w:tc>
        <w:tc>
          <w:tcPr>
            <w:tcW w:w="3907" w:type="dxa"/>
            <w:tcBorders>
              <w:top w:val="single" w:sz="4" w:space="0" w:color="000000"/>
              <w:left w:val="single" w:sz="4" w:space="0" w:color="000000"/>
              <w:bottom w:val="single" w:sz="4" w:space="0" w:color="000000"/>
              <w:right w:val="single" w:sz="4" w:space="0" w:color="000000"/>
            </w:tcBorders>
          </w:tcPr>
          <w:p w14:paraId="7706150F" w14:textId="77777777" w:rsidR="004D59D4" w:rsidRDefault="00023FAF" w:rsidP="00025AAC">
            <w:pPr>
              <w:pStyle w:val="TableText1"/>
              <w:keepNext w:val="0"/>
              <w:keepLines w:val="0"/>
            </w:pPr>
            <w:r>
              <w:t xml:space="preserve">Microsimulation model using @Risk and Microsoft Excel. Microsimulation was used to determine gender (which affects background mortality based on Australian life tables), baseline </w:t>
            </w:r>
            <w:proofErr w:type="spellStart"/>
            <w:r>
              <w:t>Phe</w:t>
            </w:r>
            <w:proofErr w:type="spellEnd"/>
            <w:r>
              <w:t xml:space="preserve">, age at treatment initiation and death, responder status and time of </w:t>
            </w:r>
            <w:proofErr w:type="spellStart"/>
            <w:r>
              <w:t>pegvaliase</w:t>
            </w:r>
            <w:proofErr w:type="spellEnd"/>
            <w:r>
              <w:t xml:space="preserve"> discontinuation.</w:t>
            </w:r>
          </w:p>
        </w:tc>
        <w:tc>
          <w:tcPr>
            <w:tcW w:w="3911" w:type="dxa"/>
            <w:tcBorders>
              <w:top w:val="single" w:sz="4" w:space="0" w:color="000000"/>
              <w:left w:val="single" w:sz="4" w:space="0" w:color="000000"/>
              <w:bottom w:val="single" w:sz="4" w:space="0" w:color="000000"/>
              <w:right w:val="single" w:sz="4" w:space="0" w:color="000000"/>
            </w:tcBorders>
          </w:tcPr>
          <w:p w14:paraId="3F62DF27" w14:textId="77777777" w:rsidR="004D59D4" w:rsidRDefault="00023FAF" w:rsidP="00025AAC">
            <w:pPr>
              <w:pStyle w:val="TableText1"/>
              <w:keepNext w:val="0"/>
              <w:keepLines w:val="0"/>
            </w:pPr>
            <w:r>
              <w:t xml:space="preserve">Unchanged. For the 2022 model, the ESC considered there was a lack of clinical data available to support the microsimulation approach undertaken. The use of a microsimulation model resulted in an unnecessarily complicated model, which required significant time to compute (paragraph 6.61, </w:t>
            </w:r>
            <w:proofErr w:type="spellStart"/>
            <w:r>
              <w:t>pegvaliase</w:t>
            </w:r>
            <w:proofErr w:type="spellEnd"/>
            <w:r>
              <w:t xml:space="preserve"> PSD, July 2022 PBAC meeting). While the PSCR for the July 2022 submission reiterated that a Markov model would be problematic, the ESC considered this justification was inadequate (paragraph 6.62, </w:t>
            </w:r>
            <w:proofErr w:type="spellStart"/>
            <w:r>
              <w:t>pegvaliase</w:t>
            </w:r>
            <w:proofErr w:type="spellEnd"/>
            <w:r>
              <w:t xml:space="preserve"> PSD, July 2022 PBAC meeting).</w:t>
            </w:r>
          </w:p>
        </w:tc>
      </w:tr>
      <w:tr w:rsidR="004D59D4" w14:paraId="200630DA"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5C6DD50D" w14:textId="77777777" w:rsidR="004D59D4" w:rsidRDefault="00023FAF" w:rsidP="00025AAC">
            <w:pPr>
              <w:pStyle w:val="TableText1"/>
              <w:keepNext w:val="0"/>
              <w:keepLines w:val="0"/>
            </w:pPr>
            <w:r>
              <w:t>Time horizon</w:t>
            </w:r>
          </w:p>
        </w:tc>
        <w:tc>
          <w:tcPr>
            <w:tcW w:w="3907" w:type="dxa"/>
            <w:tcBorders>
              <w:top w:val="single" w:sz="4" w:space="0" w:color="000000"/>
              <w:left w:val="single" w:sz="4" w:space="0" w:color="000000"/>
              <w:bottom w:val="single" w:sz="4" w:space="0" w:color="000000"/>
              <w:right w:val="single" w:sz="4" w:space="0" w:color="000000"/>
            </w:tcBorders>
          </w:tcPr>
          <w:p w14:paraId="7C933CB2" w14:textId="77777777" w:rsidR="004D59D4" w:rsidRDefault="00023FAF" w:rsidP="00025AAC">
            <w:pPr>
              <w:pStyle w:val="TableText1"/>
              <w:keepNext w:val="0"/>
              <w:keepLines w:val="0"/>
            </w:pPr>
            <w:r>
              <w:t>Lifetime (up to 100 years of age) in the model base-case vs 5 years in the key clinical studies</w:t>
            </w:r>
          </w:p>
        </w:tc>
        <w:tc>
          <w:tcPr>
            <w:tcW w:w="3911" w:type="dxa"/>
            <w:tcBorders>
              <w:top w:val="single" w:sz="4" w:space="0" w:color="000000"/>
              <w:left w:val="single" w:sz="4" w:space="0" w:color="000000"/>
              <w:bottom w:val="single" w:sz="4" w:space="0" w:color="000000"/>
              <w:right w:val="single" w:sz="4" w:space="0" w:color="000000"/>
            </w:tcBorders>
          </w:tcPr>
          <w:p w14:paraId="378C64DD" w14:textId="77777777" w:rsidR="004D59D4" w:rsidRDefault="00023FAF" w:rsidP="00025AAC">
            <w:pPr>
              <w:pStyle w:val="TableText1"/>
              <w:keepNext w:val="0"/>
              <w:keepLines w:val="0"/>
            </w:pPr>
            <w:r>
              <w:t>Unchanged. For the 2022 model, the ESC considered that the complex approach, extrapolated over a 100-year time horizon, meant the limitations of the clinical data (e.g., the low sample sizes and wide variances) were magnified.</w:t>
            </w:r>
          </w:p>
        </w:tc>
      </w:tr>
      <w:tr w:rsidR="004D59D4" w14:paraId="75671A81"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288CE860" w14:textId="77777777" w:rsidR="004D59D4" w:rsidRDefault="00023FAF" w:rsidP="00025AAC">
            <w:pPr>
              <w:pStyle w:val="TableText1"/>
              <w:keepNext w:val="0"/>
              <w:keepLines w:val="0"/>
            </w:pPr>
            <w:r>
              <w:lastRenderedPageBreak/>
              <w:t>Cycle length</w:t>
            </w:r>
          </w:p>
        </w:tc>
        <w:tc>
          <w:tcPr>
            <w:tcW w:w="3907" w:type="dxa"/>
            <w:tcBorders>
              <w:top w:val="single" w:sz="4" w:space="0" w:color="000000"/>
              <w:left w:val="single" w:sz="4" w:space="0" w:color="000000"/>
              <w:bottom w:val="single" w:sz="4" w:space="0" w:color="000000"/>
              <w:right w:val="single" w:sz="4" w:space="0" w:color="000000"/>
            </w:tcBorders>
          </w:tcPr>
          <w:p w14:paraId="40BB61CC" w14:textId="77777777" w:rsidR="004D59D4" w:rsidRDefault="00023FAF" w:rsidP="00025AAC">
            <w:pPr>
              <w:pStyle w:val="TableText1"/>
              <w:keepNext w:val="0"/>
              <w:keepLines w:val="0"/>
            </w:pPr>
            <w:r>
              <w:t>1 week</w:t>
            </w:r>
          </w:p>
        </w:tc>
        <w:tc>
          <w:tcPr>
            <w:tcW w:w="3911" w:type="dxa"/>
            <w:tcBorders>
              <w:top w:val="single" w:sz="4" w:space="0" w:color="000000"/>
              <w:left w:val="single" w:sz="4" w:space="0" w:color="000000"/>
              <w:bottom w:val="single" w:sz="4" w:space="0" w:color="000000"/>
              <w:right w:val="single" w:sz="4" w:space="0" w:color="000000"/>
            </w:tcBorders>
          </w:tcPr>
          <w:p w14:paraId="6FA3AE6A" w14:textId="77777777" w:rsidR="004D59D4" w:rsidRDefault="00023FAF" w:rsidP="00025AAC">
            <w:pPr>
              <w:pStyle w:val="TableText1"/>
              <w:keepNext w:val="0"/>
              <w:keepLines w:val="0"/>
            </w:pPr>
            <w:r>
              <w:t>Unchanged. This increases the computation complexity of the microsimulation with a life-time horizon.</w:t>
            </w:r>
          </w:p>
        </w:tc>
      </w:tr>
      <w:tr w:rsidR="004D59D4" w14:paraId="06D7A03D"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0F70CCC3" w14:textId="77777777" w:rsidR="004D59D4" w:rsidRDefault="00023FAF" w:rsidP="00025AAC">
            <w:pPr>
              <w:pStyle w:val="TableText1"/>
              <w:keepNext w:val="0"/>
              <w:keepLines w:val="0"/>
            </w:pPr>
            <w:r>
              <w:t>Health states</w:t>
            </w:r>
          </w:p>
        </w:tc>
        <w:tc>
          <w:tcPr>
            <w:tcW w:w="3907" w:type="dxa"/>
            <w:tcBorders>
              <w:top w:val="single" w:sz="4" w:space="0" w:color="000000"/>
              <w:left w:val="single" w:sz="4" w:space="0" w:color="000000"/>
              <w:bottom w:val="single" w:sz="4" w:space="0" w:color="000000"/>
              <w:right w:val="single" w:sz="4" w:space="0" w:color="000000"/>
            </w:tcBorders>
          </w:tcPr>
          <w:p w14:paraId="756C1F17" w14:textId="77777777" w:rsidR="004D59D4" w:rsidRDefault="00023FAF" w:rsidP="00025AAC">
            <w:pPr>
              <w:pStyle w:val="TableText1"/>
              <w:keepNext w:val="0"/>
              <w:keepLines w:val="0"/>
            </w:pPr>
            <w:r>
              <w:t>‘Responder’, ‘non-responder’, ‘</w:t>
            </w:r>
            <w:proofErr w:type="spellStart"/>
            <w:r>
              <w:t>Phe</w:t>
            </w:r>
            <w:proofErr w:type="spellEnd"/>
            <w:r>
              <w:t xml:space="preserve">-restricted diet’ and ‘dead’. A responder was defined as achieving either blood </w:t>
            </w:r>
            <w:proofErr w:type="spellStart"/>
            <w:r>
              <w:t>Phe</w:t>
            </w:r>
            <w:proofErr w:type="spellEnd"/>
            <w:r>
              <w:t xml:space="preserve"> ≤ 360 µmol/L or ADHD-RS inattention subscale reduction of ≥ 5 from baseline by 2 years</w:t>
            </w:r>
          </w:p>
        </w:tc>
        <w:tc>
          <w:tcPr>
            <w:tcW w:w="3911" w:type="dxa"/>
            <w:tcBorders>
              <w:top w:val="single" w:sz="4" w:space="0" w:color="000000"/>
              <w:left w:val="single" w:sz="4" w:space="0" w:color="000000"/>
              <w:bottom w:val="single" w:sz="4" w:space="0" w:color="000000"/>
              <w:right w:val="single" w:sz="4" w:space="0" w:color="000000"/>
            </w:tcBorders>
          </w:tcPr>
          <w:p w14:paraId="4FF1B5C8" w14:textId="77777777" w:rsidR="004D59D4" w:rsidRDefault="00023FAF" w:rsidP="00025AAC">
            <w:pPr>
              <w:pStyle w:val="TableText1"/>
              <w:keepNext w:val="0"/>
              <w:keepLines w:val="0"/>
            </w:pPr>
            <w:r>
              <w:t>Unchanged.</w:t>
            </w:r>
          </w:p>
        </w:tc>
      </w:tr>
      <w:tr w:rsidR="004D59D4" w14:paraId="4FF1DE82"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192AEAD3" w14:textId="77777777" w:rsidR="004D59D4" w:rsidRDefault="00023FAF" w:rsidP="00025AAC">
            <w:pPr>
              <w:pStyle w:val="TableText1"/>
              <w:keepNext w:val="0"/>
              <w:keepLines w:val="0"/>
            </w:pPr>
            <w:r>
              <w:t>Transition probabilities</w:t>
            </w:r>
          </w:p>
        </w:tc>
        <w:tc>
          <w:tcPr>
            <w:tcW w:w="3907" w:type="dxa"/>
            <w:tcBorders>
              <w:top w:val="single" w:sz="4" w:space="0" w:color="000000"/>
              <w:left w:val="single" w:sz="4" w:space="0" w:color="000000"/>
              <w:bottom w:val="single" w:sz="4" w:space="0" w:color="000000"/>
              <w:right w:val="single" w:sz="4" w:space="0" w:color="000000"/>
            </w:tcBorders>
          </w:tcPr>
          <w:p w14:paraId="1E7F7001" w14:textId="77777777" w:rsidR="004D59D4" w:rsidRDefault="00023FAF" w:rsidP="00025AAC">
            <w:pPr>
              <w:pStyle w:val="TableText1"/>
              <w:keepNext w:val="0"/>
              <w:keepLines w:val="0"/>
            </w:pPr>
            <w:proofErr w:type="spellStart"/>
            <w:r>
              <w:rPr>
                <w:b/>
                <w:bCs w:val="0"/>
              </w:rPr>
              <w:t>Pegvaliase</w:t>
            </w:r>
            <w:proofErr w:type="spellEnd"/>
            <w:r>
              <w:rPr>
                <w:b/>
                <w:bCs w:val="0"/>
              </w:rPr>
              <w:t xml:space="preserve"> response rate</w:t>
            </w:r>
            <w:r>
              <w:t xml:space="preserve">: Calculated from an analysis of February 2019 PRISM trial data-cut including patients with ≥ 2 years of </w:t>
            </w:r>
            <w:proofErr w:type="spellStart"/>
            <w:r>
              <w:t>pegvaliase</w:t>
            </w:r>
            <w:proofErr w:type="spellEnd"/>
            <w:r>
              <w:t xml:space="preserve"> treatment who achieved either ≤ 360 µmol/L (81.8%) or ADHD-RS inattention subscale reduction of ≥ 5 from baseline (8.5%).</w:t>
            </w:r>
          </w:p>
          <w:p w14:paraId="19F8978E" w14:textId="77777777" w:rsidR="004D59D4" w:rsidRDefault="00023FAF" w:rsidP="00025AAC">
            <w:pPr>
              <w:pStyle w:val="TableText1"/>
              <w:keepNext w:val="0"/>
              <w:keepLines w:val="0"/>
            </w:pPr>
            <w:proofErr w:type="spellStart"/>
            <w:r>
              <w:rPr>
                <w:b/>
                <w:bCs w:val="0"/>
              </w:rPr>
              <w:t>Phe</w:t>
            </w:r>
            <w:proofErr w:type="spellEnd"/>
            <w:r>
              <w:rPr>
                <w:b/>
                <w:bCs w:val="0"/>
              </w:rPr>
              <w:t xml:space="preserve">-diet alone response rate: </w:t>
            </w:r>
            <w:r>
              <w:t>Assumed to be 0%.</w:t>
            </w:r>
          </w:p>
          <w:p w14:paraId="70DAD71C" w14:textId="77777777" w:rsidR="004D59D4" w:rsidRDefault="004D59D4" w:rsidP="00025AAC">
            <w:pPr>
              <w:pStyle w:val="TableText1"/>
              <w:keepNext w:val="0"/>
              <w:keepLines w:val="0"/>
            </w:pPr>
          </w:p>
          <w:p w14:paraId="167B33AD" w14:textId="77777777" w:rsidR="004D59D4" w:rsidRDefault="004D59D4" w:rsidP="00025AAC">
            <w:pPr>
              <w:pStyle w:val="TableText1"/>
              <w:keepNext w:val="0"/>
              <w:keepLines w:val="0"/>
              <w:rPr>
                <w:b/>
                <w:bCs w:val="0"/>
              </w:rPr>
            </w:pPr>
          </w:p>
          <w:p w14:paraId="0F7A39E9" w14:textId="77777777" w:rsidR="004D59D4" w:rsidRDefault="004D59D4" w:rsidP="00025AAC">
            <w:pPr>
              <w:pStyle w:val="TableText1"/>
              <w:keepNext w:val="0"/>
              <w:keepLines w:val="0"/>
              <w:rPr>
                <w:b/>
                <w:bCs w:val="0"/>
              </w:rPr>
            </w:pPr>
          </w:p>
          <w:p w14:paraId="5F0C4CC0" w14:textId="77777777" w:rsidR="004D59D4" w:rsidRDefault="004D59D4" w:rsidP="00025AAC">
            <w:pPr>
              <w:pStyle w:val="TableText1"/>
              <w:keepNext w:val="0"/>
              <w:keepLines w:val="0"/>
              <w:rPr>
                <w:b/>
                <w:bCs w:val="0"/>
              </w:rPr>
            </w:pPr>
          </w:p>
          <w:p w14:paraId="75E948EC" w14:textId="77777777" w:rsidR="004D59D4" w:rsidRDefault="004D59D4" w:rsidP="00025AAC">
            <w:pPr>
              <w:pStyle w:val="TableText1"/>
              <w:keepNext w:val="0"/>
              <w:keepLines w:val="0"/>
              <w:rPr>
                <w:b/>
                <w:bCs w:val="0"/>
              </w:rPr>
            </w:pPr>
          </w:p>
          <w:p w14:paraId="119F8A83" w14:textId="77777777" w:rsidR="004D59D4" w:rsidRDefault="004D59D4" w:rsidP="00025AAC">
            <w:pPr>
              <w:pStyle w:val="TableText1"/>
              <w:keepNext w:val="0"/>
              <w:keepLines w:val="0"/>
              <w:rPr>
                <w:b/>
                <w:bCs w:val="0"/>
              </w:rPr>
            </w:pPr>
          </w:p>
          <w:p w14:paraId="309171F9" w14:textId="77777777" w:rsidR="004D59D4" w:rsidRDefault="00023FAF" w:rsidP="00025AAC">
            <w:pPr>
              <w:pStyle w:val="TableText1"/>
              <w:keepNext w:val="0"/>
              <w:keepLines w:val="0"/>
            </w:pPr>
            <w:proofErr w:type="spellStart"/>
            <w:r>
              <w:rPr>
                <w:b/>
                <w:bCs w:val="0"/>
              </w:rPr>
              <w:t>Pegvaliase</w:t>
            </w:r>
            <w:proofErr w:type="spellEnd"/>
            <w:r>
              <w:rPr>
                <w:b/>
                <w:bCs w:val="0"/>
              </w:rPr>
              <w:t xml:space="preserve"> blood-</w:t>
            </w:r>
            <w:proofErr w:type="spellStart"/>
            <w:r>
              <w:rPr>
                <w:b/>
                <w:bCs w:val="0"/>
              </w:rPr>
              <w:t>Phe</w:t>
            </w:r>
            <w:proofErr w:type="spellEnd"/>
            <w:r>
              <w:rPr>
                <w:b/>
                <w:bCs w:val="0"/>
              </w:rPr>
              <w:t xml:space="preserve"> level over time</w:t>
            </w:r>
            <w:r>
              <w:t xml:space="preserve">: Estimated using an exponential regression with plateaus at </w:t>
            </w:r>
            <w:proofErr w:type="gramStart"/>
            <w:r>
              <w:t>particular time-points</w:t>
            </w:r>
            <w:proofErr w:type="gramEnd"/>
            <w:r>
              <w:t xml:space="preserve"> (for blood-</w:t>
            </w:r>
            <w:proofErr w:type="spellStart"/>
            <w:r>
              <w:t>Phe</w:t>
            </w:r>
            <w:proofErr w:type="spellEnd"/>
            <w:r>
              <w:t xml:space="preserve"> responders and for non-responders on </w:t>
            </w:r>
            <w:proofErr w:type="spellStart"/>
            <w:r>
              <w:t>pegvaliase</w:t>
            </w:r>
            <w:proofErr w:type="spellEnd"/>
            <w:r>
              <w:t>) and linear regression (for ADHD responders) from the above PRISM data-cut.</w:t>
            </w:r>
          </w:p>
          <w:p w14:paraId="56CE21A4" w14:textId="77777777" w:rsidR="004D59D4" w:rsidRDefault="00023FAF" w:rsidP="00025AAC">
            <w:pPr>
              <w:pStyle w:val="TableText1"/>
              <w:keepNext w:val="0"/>
              <w:keepLines w:val="0"/>
            </w:pPr>
            <w:proofErr w:type="spellStart"/>
            <w:r>
              <w:rPr>
                <w:b/>
                <w:bCs w:val="0"/>
              </w:rPr>
              <w:t>Phe</w:t>
            </w:r>
            <w:proofErr w:type="spellEnd"/>
            <w:r>
              <w:rPr>
                <w:b/>
                <w:bCs w:val="0"/>
              </w:rPr>
              <w:t>-diet alone blood-</w:t>
            </w:r>
            <w:proofErr w:type="spellStart"/>
            <w:r>
              <w:rPr>
                <w:b/>
                <w:bCs w:val="0"/>
              </w:rPr>
              <w:t>Phe</w:t>
            </w:r>
            <w:proofErr w:type="spellEnd"/>
            <w:r>
              <w:rPr>
                <w:b/>
                <w:bCs w:val="0"/>
              </w:rPr>
              <w:t xml:space="preserve"> level over time</w:t>
            </w:r>
            <w:r>
              <w:t>: Estimated from an additional analysis of the PKUDOS registry dataset and applied as a 108 µmol/L reduction from baseline and assumed as constant thereafter.</w:t>
            </w:r>
          </w:p>
          <w:p w14:paraId="3CED75A8" w14:textId="77777777" w:rsidR="004D59D4" w:rsidRDefault="004D59D4" w:rsidP="00025AAC">
            <w:pPr>
              <w:pStyle w:val="TableText1"/>
              <w:keepNext w:val="0"/>
              <w:keepLines w:val="0"/>
            </w:pPr>
          </w:p>
          <w:p w14:paraId="7CC78924" w14:textId="77777777" w:rsidR="004D59D4" w:rsidRDefault="00023FAF" w:rsidP="00025AAC">
            <w:pPr>
              <w:pStyle w:val="TableText1"/>
              <w:keepNext w:val="0"/>
              <w:keepLines w:val="0"/>
            </w:pPr>
            <w:proofErr w:type="spellStart"/>
            <w:r>
              <w:rPr>
                <w:b/>
                <w:bCs w:val="0"/>
              </w:rPr>
              <w:t>Pegvaliase</w:t>
            </w:r>
            <w:proofErr w:type="spellEnd"/>
            <w:r>
              <w:rPr>
                <w:b/>
                <w:bCs w:val="0"/>
              </w:rPr>
              <w:t xml:space="preserve"> discontinuation rate</w:t>
            </w:r>
            <w:r>
              <w:t>: Calculated as time-dependent discontinuation rates up to 5 years from the above PRISM data-cut with no discontinuation from Year 5 onwards.</w:t>
            </w:r>
          </w:p>
          <w:p w14:paraId="0DE5257D" w14:textId="77777777" w:rsidR="004D59D4" w:rsidRDefault="00023FAF" w:rsidP="00025AAC">
            <w:pPr>
              <w:pStyle w:val="TableText1"/>
              <w:keepNext w:val="0"/>
              <w:keepLines w:val="0"/>
            </w:pPr>
            <w:proofErr w:type="spellStart"/>
            <w:r>
              <w:rPr>
                <w:b/>
                <w:bCs w:val="0"/>
              </w:rPr>
              <w:t>Phe</w:t>
            </w:r>
            <w:proofErr w:type="spellEnd"/>
            <w:r>
              <w:rPr>
                <w:b/>
                <w:bCs w:val="0"/>
              </w:rPr>
              <w:t>-diet alone discontinuation rate</w:t>
            </w:r>
            <w:r>
              <w:t>: Assumed to be 0%.</w:t>
            </w:r>
          </w:p>
          <w:p w14:paraId="2ADBE62E" w14:textId="77777777" w:rsidR="004D59D4" w:rsidRDefault="004D59D4" w:rsidP="00025AAC">
            <w:pPr>
              <w:pStyle w:val="TableText1"/>
              <w:keepNext w:val="0"/>
              <w:keepLines w:val="0"/>
            </w:pPr>
          </w:p>
          <w:p w14:paraId="511A4E46" w14:textId="77777777" w:rsidR="004D59D4" w:rsidRDefault="00023FAF" w:rsidP="00025AAC">
            <w:pPr>
              <w:pStyle w:val="TableText1"/>
              <w:keepNext w:val="0"/>
              <w:keepLines w:val="0"/>
            </w:pPr>
            <w:r>
              <w:rPr>
                <w:b/>
                <w:bCs w:val="0"/>
              </w:rPr>
              <w:t>Overall survival</w:t>
            </w:r>
            <w:r>
              <w:t xml:space="preserve">: Gender and age adjusted general population mortality. </w:t>
            </w:r>
          </w:p>
        </w:tc>
        <w:tc>
          <w:tcPr>
            <w:tcW w:w="3911" w:type="dxa"/>
            <w:tcBorders>
              <w:top w:val="single" w:sz="4" w:space="0" w:color="000000"/>
              <w:left w:val="single" w:sz="4" w:space="0" w:color="000000"/>
              <w:bottom w:val="single" w:sz="4" w:space="0" w:color="000000"/>
              <w:right w:val="single" w:sz="4" w:space="0" w:color="000000"/>
            </w:tcBorders>
          </w:tcPr>
          <w:p w14:paraId="7939ABEB" w14:textId="77777777" w:rsidR="004D59D4" w:rsidRDefault="00023FAF" w:rsidP="00025AAC">
            <w:pPr>
              <w:pStyle w:val="TableText1"/>
              <w:keepNext w:val="0"/>
              <w:keepLines w:val="0"/>
            </w:pPr>
            <w:r>
              <w:t xml:space="preserve">As the </w:t>
            </w:r>
            <w:proofErr w:type="spellStart"/>
            <w:r>
              <w:t>pegvaliase</w:t>
            </w:r>
            <w:proofErr w:type="spellEnd"/>
            <w:r>
              <w:t xml:space="preserve"> response rate was based on the subset of patients who remained on </w:t>
            </w:r>
            <w:proofErr w:type="spellStart"/>
            <w:r>
              <w:t>pegvaliase</w:t>
            </w:r>
            <w:proofErr w:type="spellEnd"/>
            <w:r>
              <w:t xml:space="preserve"> for at least two years, a higher proportion of </w:t>
            </w:r>
            <w:proofErr w:type="spellStart"/>
            <w:r>
              <w:t>pegvaliase</w:t>
            </w:r>
            <w:proofErr w:type="spellEnd"/>
            <w:r>
              <w:t xml:space="preserve"> responders is likely to have been captured as non-responders were less likely to continue with treatment. As observed for the 2022 model, a 0% response rate was assumed in the model for </w:t>
            </w:r>
            <w:proofErr w:type="spellStart"/>
            <w:r>
              <w:t>Phe</w:t>
            </w:r>
            <w:proofErr w:type="spellEnd"/>
            <w:r>
              <w:t xml:space="preserve"> restricted diet only patients, which was not supported by the data which reported an up to 16% blood-</w:t>
            </w:r>
            <w:proofErr w:type="spellStart"/>
            <w:r>
              <w:t>Phe</w:t>
            </w:r>
            <w:proofErr w:type="spellEnd"/>
            <w:r>
              <w:t xml:space="preserve"> response rate at 6 months. This favoured </w:t>
            </w:r>
            <w:proofErr w:type="spellStart"/>
            <w:r>
              <w:t>pegvaliase</w:t>
            </w:r>
            <w:proofErr w:type="spellEnd"/>
            <w:r>
              <w:t xml:space="preserve"> in the economic model (paragraph 6.35, </w:t>
            </w:r>
            <w:proofErr w:type="spellStart"/>
            <w:r>
              <w:t>pegvaliase</w:t>
            </w:r>
            <w:proofErr w:type="spellEnd"/>
            <w:r>
              <w:t xml:space="preserve"> PSD, July 2-022 PBAC meeting).</w:t>
            </w:r>
          </w:p>
          <w:p w14:paraId="34854411" w14:textId="77777777" w:rsidR="004D59D4" w:rsidRDefault="004D59D4" w:rsidP="00025AAC">
            <w:pPr>
              <w:pStyle w:val="TableText1"/>
              <w:keepNext w:val="0"/>
              <w:keepLines w:val="0"/>
            </w:pPr>
          </w:p>
          <w:p w14:paraId="77911704" w14:textId="77777777" w:rsidR="004D59D4" w:rsidRDefault="00023FAF" w:rsidP="00025AAC">
            <w:pPr>
              <w:pStyle w:val="TableText1"/>
              <w:keepNext w:val="0"/>
              <w:keepLines w:val="0"/>
            </w:pPr>
            <w:r>
              <w:t>Blood-</w:t>
            </w:r>
            <w:proofErr w:type="spellStart"/>
            <w:r>
              <w:t>Phe</w:t>
            </w:r>
            <w:proofErr w:type="spellEnd"/>
            <w:r>
              <w:t xml:space="preserve"> levels for patients can reduce within health states over time, with larger reductions for responders. This incorporates effectiveness in the model as utility values are mapped to blood-</w:t>
            </w:r>
            <w:proofErr w:type="spellStart"/>
            <w:r>
              <w:t>Phe</w:t>
            </w:r>
            <w:proofErr w:type="spellEnd"/>
            <w:r>
              <w:t xml:space="preserve"> level.</w:t>
            </w:r>
          </w:p>
          <w:p w14:paraId="142CE24D" w14:textId="77777777" w:rsidR="004D59D4" w:rsidRDefault="004D59D4" w:rsidP="00025AAC">
            <w:pPr>
              <w:pStyle w:val="TableText1"/>
              <w:keepNext w:val="0"/>
              <w:keepLines w:val="0"/>
            </w:pPr>
          </w:p>
          <w:p w14:paraId="18F26264" w14:textId="77777777" w:rsidR="004D59D4" w:rsidRDefault="004D59D4" w:rsidP="00025AAC">
            <w:pPr>
              <w:pStyle w:val="TableText1"/>
              <w:keepNext w:val="0"/>
              <w:keepLines w:val="0"/>
            </w:pPr>
          </w:p>
          <w:p w14:paraId="25B55592" w14:textId="77777777" w:rsidR="004D59D4" w:rsidRDefault="004D59D4" w:rsidP="00025AAC">
            <w:pPr>
              <w:pStyle w:val="TableText1"/>
              <w:keepNext w:val="0"/>
              <w:keepLines w:val="0"/>
            </w:pPr>
          </w:p>
          <w:p w14:paraId="38A08134" w14:textId="77777777" w:rsidR="004D59D4" w:rsidRDefault="004D59D4" w:rsidP="00025AAC">
            <w:pPr>
              <w:pStyle w:val="TableText1"/>
              <w:keepNext w:val="0"/>
              <w:keepLines w:val="0"/>
            </w:pPr>
          </w:p>
          <w:p w14:paraId="00898674" w14:textId="77777777" w:rsidR="004D59D4" w:rsidRDefault="004D59D4" w:rsidP="00025AAC">
            <w:pPr>
              <w:pStyle w:val="TableText1"/>
              <w:keepNext w:val="0"/>
              <w:keepLines w:val="0"/>
            </w:pPr>
          </w:p>
          <w:p w14:paraId="36F7CC75" w14:textId="77777777" w:rsidR="004D59D4" w:rsidRDefault="004D59D4" w:rsidP="00025AAC">
            <w:pPr>
              <w:pStyle w:val="TableText1"/>
              <w:keepNext w:val="0"/>
              <w:keepLines w:val="0"/>
            </w:pPr>
          </w:p>
          <w:p w14:paraId="5B6B86CF" w14:textId="77777777" w:rsidR="004D59D4" w:rsidRDefault="004D59D4" w:rsidP="00025AAC">
            <w:pPr>
              <w:pStyle w:val="TableText1"/>
              <w:keepNext w:val="0"/>
              <w:keepLines w:val="0"/>
            </w:pPr>
          </w:p>
          <w:p w14:paraId="471FA47E" w14:textId="77777777" w:rsidR="004D59D4" w:rsidRDefault="004D59D4" w:rsidP="00025AAC">
            <w:pPr>
              <w:pStyle w:val="TableText1"/>
              <w:keepNext w:val="0"/>
              <w:keepLines w:val="0"/>
            </w:pPr>
          </w:p>
          <w:p w14:paraId="23F641D4" w14:textId="77777777" w:rsidR="004D59D4" w:rsidRDefault="004D59D4" w:rsidP="00025AAC">
            <w:pPr>
              <w:pStyle w:val="TableText1"/>
              <w:keepNext w:val="0"/>
              <w:keepLines w:val="0"/>
            </w:pPr>
          </w:p>
          <w:p w14:paraId="39482381" w14:textId="77777777" w:rsidR="004D59D4" w:rsidRDefault="004D59D4" w:rsidP="00025AAC">
            <w:pPr>
              <w:pStyle w:val="TableText1"/>
              <w:keepNext w:val="0"/>
              <w:keepLines w:val="0"/>
            </w:pPr>
          </w:p>
          <w:p w14:paraId="1F86DC43" w14:textId="77777777" w:rsidR="004D59D4" w:rsidRDefault="004D59D4" w:rsidP="00025AAC">
            <w:pPr>
              <w:pStyle w:val="TableText1"/>
              <w:keepNext w:val="0"/>
              <w:keepLines w:val="0"/>
            </w:pPr>
          </w:p>
          <w:p w14:paraId="13BCCC5C" w14:textId="77777777" w:rsidR="004D59D4" w:rsidRDefault="004D59D4" w:rsidP="00025AAC">
            <w:pPr>
              <w:pStyle w:val="TableText1"/>
              <w:keepNext w:val="0"/>
              <w:keepLines w:val="0"/>
            </w:pPr>
          </w:p>
          <w:p w14:paraId="4CF8ACFA" w14:textId="77777777" w:rsidR="004D59D4" w:rsidRDefault="004D59D4" w:rsidP="00025AAC">
            <w:pPr>
              <w:pStyle w:val="TableText1"/>
              <w:keepNext w:val="0"/>
              <w:keepLines w:val="0"/>
            </w:pPr>
          </w:p>
          <w:p w14:paraId="7B10DE90" w14:textId="77777777" w:rsidR="004D59D4" w:rsidRDefault="004D59D4" w:rsidP="00025AAC">
            <w:pPr>
              <w:pStyle w:val="TableText1"/>
              <w:keepNext w:val="0"/>
              <w:keepLines w:val="0"/>
            </w:pPr>
          </w:p>
          <w:p w14:paraId="51374228" w14:textId="77777777" w:rsidR="004D59D4" w:rsidRDefault="00023FAF" w:rsidP="00025AAC">
            <w:pPr>
              <w:pStyle w:val="TableText1"/>
              <w:keepNext w:val="0"/>
              <w:keepLines w:val="0"/>
            </w:pPr>
            <w:r>
              <w:t>Overall survival was updated to reflect more recently available ABS lifetables.</w:t>
            </w:r>
          </w:p>
        </w:tc>
      </w:tr>
      <w:tr w:rsidR="004D59D4" w14:paraId="6F1D2DBD"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0CF2033C" w14:textId="77777777" w:rsidR="004D59D4" w:rsidRDefault="00023FAF" w:rsidP="00025AAC">
            <w:pPr>
              <w:pStyle w:val="TableText1"/>
              <w:keepNext w:val="0"/>
              <w:keepLines w:val="0"/>
            </w:pPr>
            <w:r>
              <w:t>Adverse events</w:t>
            </w:r>
          </w:p>
        </w:tc>
        <w:tc>
          <w:tcPr>
            <w:tcW w:w="3907" w:type="dxa"/>
            <w:tcBorders>
              <w:top w:val="single" w:sz="4" w:space="0" w:color="000000"/>
              <w:left w:val="single" w:sz="4" w:space="0" w:color="000000"/>
              <w:bottom w:val="single" w:sz="4" w:space="0" w:color="000000"/>
              <w:right w:val="single" w:sz="4" w:space="0" w:color="000000"/>
            </w:tcBorders>
          </w:tcPr>
          <w:p w14:paraId="3B72DEC0" w14:textId="77777777" w:rsidR="004D59D4" w:rsidRDefault="00023FAF" w:rsidP="00025AAC">
            <w:pPr>
              <w:pStyle w:val="TableText1"/>
              <w:keepNext w:val="0"/>
              <w:keepLines w:val="0"/>
            </w:pPr>
            <w:proofErr w:type="spellStart"/>
            <w:r>
              <w:rPr>
                <w:b/>
                <w:bCs w:val="0"/>
              </w:rPr>
              <w:t>Pegvaliase</w:t>
            </w:r>
            <w:proofErr w:type="spellEnd"/>
            <w:r>
              <w:rPr>
                <w:b/>
                <w:bCs w:val="0"/>
              </w:rPr>
              <w:t xml:space="preserve"> AEs</w:t>
            </w:r>
            <w:r>
              <w:t xml:space="preserve">: Calculated from the incidence of AEs ≥ Grade 3 that occurred in ≥ 1% of patients in PRISM 1 and applied it on cycle 1 of the model. </w:t>
            </w:r>
          </w:p>
          <w:p w14:paraId="40D8504E" w14:textId="77777777" w:rsidR="004D59D4" w:rsidRDefault="00023FAF" w:rsidP="00025AAC">
            <w:pPr>
              <w:pStyle w:val="TableText1"/>
              <w:keepNext w:val="0"/>
              <w:keepLines w:val="0"/>
            </w:pPr>
            <w:r>
              <w:t>The resubmission stated that the approach to estimating the incidence of AEs of grade ≥ 3 was revised for the resubmission because the risk of events declines as the duration of treatment increases.</w:t>
            </w:r>
          </w:p>
          <w:p w14:paraId="458D9109" w14:textId="77777777" w:rsidR="004D59D4" w:rsidRDefault="00023FAF" w:rsidP="00025AAC">
            <w:pPr>
              <w:pStyle w:val="TableText1"/>
              <w:keepNext w:val="0"/>
              <w:keepLines w:val="0"/>
            </w:pPr>
            <w:proofErr w:type="spellStart"/>
            <w:r>
              <w:rPr>
                <w:b/>
                <w:bCs w:val="0"/>
              </w:rPr>
              <w:t>Phe</w:t>
            </w:r>
            <w:proofErr w:type="spellEnd"/>
            <w:r>
              <w:rPr>
                <w:b/>
                <w:bCs w:val="0"/>
              </w:rPr>
              <w:t>-diet alone AEs</w:t>
            </w:r>
            <w:r>
              <w:t>: Assumed to be 0%.</w:t>
            </w:r>
          </w:p>
        </w:tc>
        <w:tc>
          <w:tcPr>
            <w:tcW w:w="3911" w:type="dxa"/>
            <w:tcBorders>
              <w:top w:val="single" w:sz="4" w:space="0" w:color="000000"/>
              <w:left w:val="single" w:sz="4" w:space="0" w:color="000000"/>
              <w:bottom w:val="single" w:sz="4" w:space="0" w:color="000000"/>
              <w:right w:val="single" w:sz="4" w:space="0" w:color="000000"/>
            </w:tcBorders>
          </w:tcPr>
          <w:p w14:paraId="6301D1CC" w14:textId="77777777" w:rsidR="004D59D4" w:rsidRDefault="00023FAF" w:rsidP="00025AAC">
            <w:pPr>
              <w:pStyle w:val="TableText1"/>
              <w:keepNext w:val="0"/>
              <w:keepLines w:val="0"/>
            </w:pPr>
            <w:r>
              <w:t xml:space="preserve">The same AE data from PRISM-1 was used in the model, but the method used to apply this data was updated in the resubmission. </w:t>
            </w:r>
          </w:p>
          <w:p w14:paraId="57DA5C8B" w14:textId="77777777" w:rsidR="004D59D4" w:rsidRDefault="00023FAF" w:rsidP="00025AAC">
            <w:pPr>
              <w:pStyle w:val="TableText1"/>
              <w:keepNext w:val="0"/>
              <w:keepLines w:val="0"/>
            </w:pPr>
            <w:r>
              <w:t xml:space="preserve">The 2022 model AE calculations included a cycle risk calculated from the incidence of AEs ≥ Grade 3 that occurred in ≥ 1% of patients in PRISM 1. The PBAC considered that these AE rates are likely to underestimate the true burden of AEs for </w:t>
            </w:r>
            <w:proofErr w:type="spellStart"/>
            <w:r>
              <w:t>pegvaliase</w:t>
            </w:r>
            <w:proofErr w:type="spellEnd"/>
            <w:r>
              <w:t xml:space="preserve"> (paragraph 7.10, </w:t>
            </w:r>
            <w:proofErr w:type="spellStart"/>
            <w:r>
              <w:t>pegvaliase</w:t>
            </w:r>
            <w:proofErr w:type="spellEnd"/>
            <w:r>
              <w:t xml:space="preserve"> PSD, July 2-022 PBAC meeting). As the same data was used, AEs were likely to continue to be underestimated, thereby favouring </w:t>
            </w:r>
            <w:proofErr w:type="spellStart"/>
            <w:r>
              <w:t>pegvaliase</w:t>
            </w:r>
            <w:proofErr w:type="spellEnd"/>
            <w:r>
              <w:t>.</w:t>
            </w:r>
          </w:p>
        </w:tc>
      </w:tr>
      <w:tr w:rsidR="004D59D4" w14:paraId="356FB75F"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4D70A56B" w14:textId="77777777" w:rsidR="004D59D4" w:rsidRDefault="00023FAF" w:rsidP="00025AAC">
            <w:pPr>
              <w:pStyle w:val="TableText1"/>
              <w:keepNext w:val="0"/>
              <w:keepLines w:val="0"/>
            </w:pPr>
            <w:r>
              <w:lastRenderedPageBreak/>
              <w:t>Health related quality of life</w:t>
            </w:r>
          </w:p>
        </w:tc>
        <w:tc>
          <w:tcPr>
            <w:tcW w:w="3907" w:type="dxa"/>
            <w:tcBorders>
              <w:top w:val="single" w:sz="4" w:space="0" w:color="000000"/>
              <w:left w:val="single" w:sz="4" w:space="0" w:color="000000"/>
              <w:bottom w:val="single" w:sz="4" w:space="0" w:color="000000"/>
              <w:right w:val="single" w:sz="4" w:space="0" w:color="000000"/>
            </w:tcBorders>
          </w:tcPr>
          <w:p w14:paraId="7586DA27" w14:textId="77777777" w:rsidR="004D59D4" w:rsidRDefault="00023FAF" w:rsidP="00025AAC">
            <w:pPr>
              <w:pStyle w:val="TableText1"/>
              <w:keepNext w:val="0"/>
              <w:keepLines w:val="0"/>
            </w:pPr>
            <w:r>
              <w:t>TTO direct elicitation with Swedish general population preference weights. Utility values for health states from the utility study were applied to blood-</w:t>
            </w:r>
            <w:proofErr w:type="spellStart"/>
            <w:r>
              <w:t>Phe</w:t>
            </w:r>
            <w:proofErr w:type="spellEnd"/>
            <w:r>
              <w:t xml:space="preserve"> categories assumed by the resubmission to correspond to the given health states.</w:t>
            </w:r>
          </w:p>
        </w:tc>
        <w:tc>
          <w:tcPr>
            <w:tcW w:w="3911" w:type="dxa"/>
            <w:tcBorders>
              <w:top w:val="single" w:sz="4" w:space="0" w:color="000000"/>
              <w:left w:val="single" w:sz="4" w:space="0" w:color="000000"/>
              <w:bottom w:val="single" w:sz="4" w:space="0" w:color="000000"/>
              <w:right w:val="single" w:sz="4" w:space="0" w:color="000000"/>
            </w:tcBorders>
          </w:tcPr>
          <w:p w14:paraId="516BF3AB" w14:textId="77777777" w:rsidR="004D59D4" w:rsidRDefault="00023FAF" w:rsidP="00025AAC">
            <w:pPr>
              <w:pStyle w:val="TableText1"/>
              <w:keepNext w:val="0"/>
              <w:keepLines w:val="0"/>
            </w:pPr>
            <w:r>
              <w:t xml:space="preserve">Unchanged. Previously, the PBAC noted that utility values applied in the submission were less conservative than in the March 2018 </w:t>
            </w:r>
            <w:proofErr w:type="spellStart"/>
            <w:r>
              <w:t>sapropterin</w:t>
            </w:r>
            <w:proofErr w:type="spellEnd"/>
            <w:r>
              <w:t xml:space="preserve"> submission, however the PBAC also noted that consumer input emphasised the high disutility experienced by patients both for severe symptoms and from highly restricted diet and the requirement for food supplements (paragraph 6.71, </w:t>
            </w:r>
            <w:proofErr w:type="spellStart"/>
            <w:r>
              <w:t>pegvaliase</w:t>
            </w:r>
            <w:proofErr w:type="spellEnd"/>
            <w:r>
              <w:t xml:space="preserve"> PSD, July 2022 PBAC meeting).</w:t>
            </w:r>
          </w:p>
        </w:tc>
      </w:tr>
      <w:tr w:rsidR="004D59D4" w14:paraId="1088224E"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19DA7F98" w14:textId="77777777" w:rsidR="004D59D4" w:rsidRDefault="00023FAF" w:rsidP="00025AAC">
            <w:pPr>
              <w:pStyle w:val="TableText1"/>
              <w:keepNext w:val="0"/>
              <w:keepLines w:val="0"/>
            </w:pPr>
            <w:proofErr w:type="spellStart"/>
            <w:r>
              <w:t>Pegvaliase</w:t>
            </w:r>
            <w:proofErr w:type="spellEnd"/>
            <w:r>
              <w:t xml:space="preserve"> use and cost</w:t>
            </w:r>
          </w:p>
        </w:tc>
        <w:tc>
          <w:tcPr>
            <w:tcW w:w="3907" w:type="dxa"/>
            <w:tcBorders>
              <w:top w:val="single" w:sz="4" w:space="0" w:color="000000"/>
              <w:left w:val="single" w:sz="4" w:space="0" w:color="000000"/>
              <w:bottom w:val="single" w:sz="4" w:space="0" w:color="000000"/>
              <w:right w:val="single" w:sz="4" w:space="0" w:color="000000"/>
            </w:tcBorders>
          </w:tcPr>
          <w:p w14:paraId="6E5DBA04" w14:textId="77777777" w:rsidR="004D59D4" w:rsidRDefault="00023FAF" w:rsidP="00025AAC">
            <w:pPr>
              <w:pStyle w:val="TableText1"/>
              <w:keepNext w:val="0"/>
              <w:keepLines w:val="0"/>
            </w:pPr>
            <w:r>
              <w:t xml:space="preserve">Mean </w:t>
            </w:r>
            <w:proofErr w:type="spellStart"/>
            <w:r>
              <w:t>pegvaliase</w:t>
            </w:r>
            <w:proofErr w:type="spellEnd"/>
            <w:r>
              <w:t xml:space="preserve"> dose assumed to be 24.5 mg/day estimated from an analysis of the sponsor’s database associated with the </w:t>
            </w:r>
            <w:proofErr w:type="spellStart"/>
            <w:r>
              <w:t>pegvaliase</w:t>
            </w:r>
            <w:proofErr w:type="spellEnd"/>
            <w:r>
              <w:t xml:space="preserve"> Risk Evaluation and Mitigation Strategy program.</w:t>
            </w:r>
          </w:p>
        </w:tc>
        <w:tc>
          <w:tcPr>
            <w:tcW w:w="3911" w:type="dxa"/>
            <w:tcBorders>
              <w:top w:val="single" w:sz="4" w:space="0" w:color="000000"/>
              <w:left w:val="single" w:sz="4" w:space="0" w:color="000000"/>
              <w:bottom w:val="single" w:sz="4" w:space="0" w:color="000000"/>
              <w:right w:val="single" w:sz="4" w:space="0" w:color="000000"/>
            </w:tcBorders>
          </w:tcPr>
          <w:p w14:paraId="1CB61674" w14:textId="77777777" w:rsidR="004D59D4" w:rsidRDefault="00023FAF" w:rsidP="00025AAC">
            <w:pPr>
              <w:pStyle w:val="TableText1"/>
              <w:keepNext w:val="0"/>
              <w:keepLines w:val="0"/>
            </w:pPr>
            <w:r>
              <w:t xml:space="preserve">The 2022 model used a mean </w:t>
            </w:r>
            <w:proofErr w:type="spellStart"/>
            <w:r>
              <w:t>pegvaliase</w:t>
            </w:r>
            <w:proofErr w:type="spellEnd"/>
            <w:r>
              <w:t xml:space="preserve"> dose of 30.5 mg/day based on PRISM data. The PBAC noted this was underestimated compared with clinical practice (paragraph 7.11, </w:t>
            </w:r>
            <w:proofErr w:type="spellStart"/>
            <w:r>
              <w:t>pegvaliase</w:t>
            </w:r>
            <w:proofErr w:type="spellEnd"/>
            <w:r>
              <w:t xml:space="preserve"> PSD, July 2022 PBAC meeting).</w:t>
            </w:r>
          </w:p>
        </w:tc>
      </w:tr>
      <w:tr w:rsidR="004D59D4" w14:paraId="0535C904"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5198CCB9" w14:textId="77777777" w:rsidR="004D59D4" w:rsidRDefault="00023FAF" w:rsidP="00025AAC">
            <w:pPr>
              <w:pStyle w:val="TableText1"/>
              <w:keepNext w:val="0"/>
              <w:keepLines w:val="0"/>
            </w:pPr>
            <w:proofErr w:type="spellStart"/>
            <w:r>
              <w:t>Pegvaliase</w:t>
            </w:r>
            <w:proofErr w:type="spellEnd"/>
            <w:r>
              <w:t xml:space="preserve"> cost</w:t>
            </w:r>
          </w:p>
        </w:tc>
        <w:tc>
          <w:tcPr>
            <w:tcW w:w="3907" w:type="dxa"/>
            <w:tcBorders>
              <w:top w:val="single" w:sz="4" w:space="0" w:color="000000"/>
              <w:left w:val="single" w:sz="4" w:space="0" w:color="000000"/>
              <w:bottom w:val="single" w:sz="4" w:space="0" w:color="000000"/>
              <w:right w:val="single" w:sz="4" w:space="0" w:color="000000"/>
            </w:tcBorders>
          </w:tcPr>
          <w:p w14:paraId="6DF2AC7F" w14:textId="41213D33" w:rsidR="004D59D4" w:rsidRDefault="00023FAF" w:rsidP="00025AAC">
            <w:pPr>
              <w:pStyle w:val="TableText1"/>
              <w:keepNext w:val="0"/>
              <w:keepLines w:val="0"/>
            </w:pPr>
            <w:r>
              <w:t>Assumed cost = $</w:t>
            </w:r>
            <w:r w:rsidR="002615A2" w:rsidRPr="002615A2">
              <w:rPr>
                <w:sz w:val="2"/>
                <w:highlight w:val="black"/>
              </w:rPr>
              <w:t>redacted content</w:t>
            </w:r>
            <w:r>
              <w:t xml:space="preserve"> per syringe.</w:t>
            </w:r>
          </w:p>
        </w:tc>
        <w:tc>
          <w:tcPr>
            <w:tcW w:w="3911" w:type="dxa"/>
            <w:tcBorders>
              <w:top w:val="single" w:sz="4" w:space="0" w:color="000000"/>
              <w:left w:val="single" w:sz="4" w:space="0" w:color="000000"/>
              <w:bottom w:val="single" w:sz="4" w:space="0" w:color="000000"/>
              <w:right w:val="single" w:sz="4" w:space="0" w:color="000000"/>
            </w:tcBorders>
          </w:tcPr>
          <w:p w14:paraId="11D0756E" w14:textId="410928BA" w:rsidR="004D59D4" w:rsidRDefault="00023FAF" w:rsidP="00025AAC">
            <w:pPr>
              <w:pStyle w:val="TableText1"/>
              <w:keepNext w:val="0"/>
              <w:keepLines w:val="0"/>
            </w:pPr>
            <w:r>
              <w:t xml:space="preserve">The resubmission’s base case model included the assumed </w:t>
            </w:r>
            <w:proofErr w:type="spellStart"/>
            <w:r>
              <w:t>pegvaliase</w:t>
            </w:r>
            <w:proofErr w:type="spellEnd"/>
            <w:r>
              <w:t xml:space="preserve"> cost based on the proposed RSA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Pr="002409A2">
              <w:t xml:space="preserve">Commonwealth expenditure caps.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t xml:space="preserve"> </w:t>
            </w:r>
            <w:proofErr w:type="gramStart"/>
            <w:r>
              <w:t>The</w:t>
            </w:r>
            <w:proofErr w:type="gramEnd"/>
            <w:r>
              <w:t xml:space="preserve"> proposed AEMP was $</w:t>
            </w:r>
            <w:r w:rsidR="002615A2" w:rsidRPr="002615A2">
              <w:rPr>
                <w:sz w:val="2"/>
                <w:highlight w:val="black"/>
              </w:rPr>
              <w:t>redacted content</w:t>
            </w:r>
            <w:r>
              <w:t xml:space="preserve"> in the previous submission.</w:t>
            </w:r>
          </w:p>
        </w:tc>
      </w:tr>
      <w:tr w:rsidR="004D59D4" w14:paraId="3F3D3B09" w14:textId="77777777" w:rsidTr="00A050FA">
        <w:trPr>
          <w:cantSplit/>
        </w:trPr>
        <w:tc>
          <w:tcPr>
            <w:tcW w:w="1208" w:type="dxa"/>
            <w:tcBorders>
              <w:top w:val="single" w:sz="4" w:space="0" w:color="000000"/>
              <w:left w:val="single" w:sz="4" w:space="0" w:color="000000"/>
              <w:bottom w:val="single" w:sz="4" w:space="0" w:color="000000"/>
              <w:right w:val="single" w:sz="4" w:space="0" w:color="000000"/>
            </w:tcBorders>
          </w:tcPr>
          <w:p w14:paraId="7B6D5FF0" w14:textId="77777777" w:rsidR="004D59D4" w:rsidRDefault="00023FAF" w:rsidP="00025AAC">
            <w:pPr>
              <w:pStyle w:val="TableText1"/>
              <w:keepNext w:val="0"/>
              <w:keepLines w:val="0"/>
            </w:pPr>
            <w:r>
              <w:t>Other resource use and costs</w:t>
            </w:r>
          </w:p>
        </w:tc>
        <w:tc>
          <w:tcPr>
            <w:tcW w:w="3907" w:type="dxa"/>
            <w:tcBorders>
              <w:top w:val="single" w:sz="4" w:space="0" w:color="000000"/>
              <w:left w:val="single" w:sz="4" w:space="0" w:color="000000"/>
              <w:bottom w:val="single" w:sz="4" w:space="0" w:color="000000"/>
              <w:right w:val="single" w:sz="4" w:space="0" w:color="000000"/>
            </w:tcBorders>
          </w:tcPr>
          <w:p w14:paraId="2E0670F3" w14:textId="77777777" w:rsidR="004D59D4" w:rsidRDefault="00023FAF" w:rsidP="00025AAC">
            <w:pPr>
              <w:pStyle w:val="TableText1"/>
              <w:keepNext w:val="0"/>
              <w:keepLines w:val="0"/>
            </w:pPr>
            <w:r>
              <w:t>All PBS, MBS and NHCDC AR-DRG costs were updated to include current values as of October 2025.</w:t>
            </w:r>
          </w:p>
        </w:tc>
        <w:tc>
          <w:tcPr>
            <w:tcW w:w="3911" w:type="dxa"/>
            <w:tcBorders>
              <w:top w:val="single" w:sz="4" w:space="0" w:color="000000"/>
              <w:left w:val="single" w:sz="4" w:space="0" w:color="000000"/>
              <w:bottom w:val="single" w:sz="4" w:space="0" w:color="000000"/>
              <w:right w:val="single" w:sz="4" w:space="0" w:color="000000"/>
            </w:tcBorders>
          </w:tcPr>
          <w:p w14:paraId="4827F05F" w14:textId="77777777" w:rsidR="004D59D4" w:rsidRDefault="00023FAF" w:rsidP="00025AAC">
            <w:pPr>
              <w:pStyle w:val="TableText1"/>
              <w:keepNext w:val="0"/>
              <w:keepLines w:val="0"/>
            </w:pPr>
            <w:r>
              <w:t xml:space="preserve">Generally reasonable. However, it was unclear why some MBS items fees were used with a 75% benefit (specialist and blood </w:t>
            </w:r>
            <w:proofErr w:type="spellStart"/>
            <w:r>
              <w:t>Phe</w:t>
            </w:r>
            <w:proofErr w:type="spellEnd"/>
            <w:r>
              <w:t xml:space="preserve"> testing) and an 85% benefit was used for dietician visits, which was inconsistent with the financial estimates where an 80% MBS rebate was applied. However, using an 80% rebate for all items had no impact on the ICER.</w:t>
            </w:r>
          </w:p>
        </w:tc>
      </w:tr>
    </w:tbl>
    <w:p w14:paraId="2B0EAFE6" w14:textId="77777777" w:rsidR="004D59D4" w:rsidRDefault="00023FAF" w:rsidP="00025AAC">
      <w:pPr>
        <w:pStyle w:val="TableFigureFooter"/>
        <w:jc w:val="both"/>
      </w:pPr>
      <w:r>
        <w:t>Source: Table 3.1-1, pp 208-210 of the resubmission.</w:t>
      </w:r>
    </w:p>
    <w:p w14:paraId="6D7EC60C" w14:textId="77777777" w:rsidR="004D59D4" w:rsidRDefault="00023FAF" w:rsidP="00025AAC">
      <w:pPr>
        <w:pStyle w:val="TableFigureFooter"/>
        <w:spacing w:before="160" w:after="160"/>
        <w:jc w:val="both"/>
      </w:pPr>
      <w:r>
        <w:t xml:space="preserve">ABS = Australian Bureau of Statistics; ADHD-RS = Attention-deficit hyperactivity disorder; ADHD-RS = Attention-deficit hyperactivity disorder rating scale; AE = adverse event; AEMP = Approved Ex-Manufacturer Price; NHCDC AR-DRG = National Hospital Cost Data Collection Australian Refined Diagnostic Related Groups; </w:t>
      </w:r>
      <w:proofErr w:type="spellStart"/>
      <w:r>
        <w:t>Phe</w:t>
      </w:r>
      <w:proofErr w:type="spellEnd"/>
      <w:r>
        <w:t xml:space="preserve"> = phenylalanine; PKU = phenylketonuria; TTO = time trade off</w:t>
      </w:r>
    </w:p>
    <w:p w14:paraId="33809CBE" w14:textId="78FFFD3A" w:rsidR="004D59D4" w:rsidRDefault="00023FAF" w:rsidP="00025AAC">
      <w:pPr>
        <w:pStyle w:val="ListParagraph"/>
        <w:numPr>
          <w:ilvl w:val="1"/>
          <w:numId w:val="42"/>
        </w:numPr>
        <w:spacing w:before="160" w:after="160"/>
        <w:jc w:val="both"/>
        <w:rPr>
          <w:rFonts w:eastAsiaTheme="minorHAnsi" w:cstheme="minorBidi"/>
          <w:szCs w:val="22"/>
        </w:rPr>
      </w:pPr>
      <w:r>
        <w:rPr>
          <w:rFonts w:eastAsiaTheme="minorHAnsi" w:cstheme="minorBidi"/>
          <w:szCs w:val="22"/>
        </w:rPr>
        <w:fldChar w:fldCharType="begin"/>
      </w:r>
      <w:r>
        <w:rPr>
          <w:rFonts w:eastAsia="Calibri"/>
          <w:szCs w:val="22"/>
        </w:rPr>
        <w:instrText xml:space="preserve"> REF _Ref216021829 \h </w:instrText>
      </w:r>
      <w:r>
        <w:rPr>
          <w:rFonts w:eastAsiaTheme="minorHAnsi" w:cstheme="minorBidi"/>
          <w:szCs w:val="22"/>
        </w:rPr>
      </w:r>
      <w:r>
        <w:rPr>
          <w:rFonts w:eastAsia="Calibri"/>
          <w:szCs w:val="22"/>
        </w:rPr>
        <w:fldChar w:fldCharType="separate"/>
      </w:r>
      <w:r w:rsidR="00E24060">
        <w:t xml:space="preserve">Figure </w:t>
      </w:r>
      <w:r w:rsidR="00E24060">
        <w:rPr>
          <w:noProof/>
        </w:rPr>
        <w:t>3</w:t>
      </w:r>
      <w:r>
        <w:rPr>
          <w:rFonts w:eastAsia="Calibri"/>
          <w:szCs w:val="22"/>
        </w:rPr>
        <w:fldChar w:fldCharType="end"/>
      </w:r>
      <w:r>
        <w:rPr>
          <w:rFonts w:eastAsiaTheme="minorHAnsi" w:cstheme="minorBidi"/>
          <w:szCs w:val="22"/>
        </w:rPr>
        <w:t xml:space="preserve"> presents the model structure used in the economic analysis.</w:t>
      </w:r>
      <w:r>
        <w:rPr>
          <w:rFonts w:eastAsiaTheme="minorHAnsi" w:cstheme="minorBidi"/>
          <w:i/>
          <w:iCs/>
          <w:szCs w:val="22"/>
        </w:rPr>
        <w:t xml:space="preserve"> </w:t>
      </w:r>
      <w:r>
        <w:rPr>
          <w:rFonts w:eastAsiaTheme="minorHAnsi" w:cstheme="minorBidi"/>
          <w:szCs w:val="22"/>
        </w:rPr>
        <w:t xml:space="preserve">The resubmission stated that the cohort simulation model as well as the approach to modelling changes in blood </w:t>
      </w:r>
      <w:proofErr w:type="spellStart"/>
      <w:r>
        <w:rPr>
          <w:rFonts w:eastAsiaTheme="minorHAnsi" w:cstheme="minorBidi"/>
          <w:szCs w:val="22"/>
        </w:rPr>
        <w:t>Phe</w:t>
      </w:r>
      <w:proofErr w:type="spellEnd"/>
      <w:r>
        <w:rPr>
          <w:rFonts w:eastAsiaTheme="minorHAnsi" w:cstheme="minorBidi"/>
          <w:szCs w:val="22"/>
        </w:rPr>
        <w:t xml:space="preserve"> over time and the associated quality of life (QoL) and cost impacts remain unchanged in the resubmission.</w:t>
      </w:r>
    </w:p>
    <w:p w14:paraId="6809EB87" w14:textId="26FC12F1" w:rsidR="004D59D4" w:rsidRDefault="00023FAF" w:rsidP="00025AAC">
      <w:pPr>
        <w:pStyle w:val="Caption"/>
        <w:spacing w:before="160"/>
        <w:rPr>
          <w:rStyle w:val="CommentReference"/>
          <w:b/>
          <w:szCs w:val="24"/>
        </w:rPr>
      </w:pPr>
      <w:bookmarkStart w:id="75" w:name="_Ref216021829"/>
      <w:r>
        <w:lastRenderedPageBreak/>
        <w:t xml:space="preserve">Figure </w:t>
      </w:r>
      <w:fldSimple w:instr=" SEQ Figure \* ARABIC ">
        <w:r w:rsidR="00E24060">
          <w:rPr>
            <w:noProof/>
          </w:rPr>
          <w:t>3</w:t>
        </w:r>
      </w:fldSimple>
      <w:bookmarkEnd w:id="75"/>
      <w:r>
        <w:rPr>
          <w:rStyle w:val="CommentReference"/>
          <w:b/>
          <w:szCs w:val="24"/>
        </w:rPr>
        <w:t>: Structure of the modelled microsimulation analysis</w:t>
      </w:r>
    </w:p>
    <w:p w14:paraId="5F9D9752" w14:textId="77777777" w:rsidR="004D59D4" w:rsidRDefault="00023FAF" w:rsidP="00025AAC">
      <w:pPr>
        <w:rPr>
          <w:rFonts w:eastAsiaTheme="minorHAnsi" w:cstheme="minorBidi"/>
          <w:i/>
          <w:iCs/>
          <w:szCs w:val="22"/>
        </w:rPr>
      </w:pPr>
      <w:r>
        <w:rPr>
          <w:noProof/>
        </w:rPr>
        <w:drawing>
          <wp:inline distT="0" distB="0" distL="0" distR="0" wp14:anchorId="5B1BF144" wp14:editId="06536663">
            <wp:extent cx="5814060" cy="3190875"/>
            <wp:effectExtent l="0" t="0" r="0" b="0"/>
            <wp:docPr id="3" name="Picture 2" descr="Figure 3: Structure of the modelled microsimulation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Figure 3: Structure of the modelled microsimulation analysis"/>
                    <pic:cNvPicPr>
                      <a:picLocks noChangeAspect="1" noChangeArrowheads="1"/>
                    </pic:cNvPicPr>
                  </pic:nvPicPr>
                  <pic:blipFill>
                    <a:blip r:embed="rId13"/>
                    <a:stretch>
                      <a:fillRect/>
                    </a:stretch>
                  </pic:blipFill>
                  <pic:spPr bwMode="auto">
                    <a:xfrm>
                      <a:off x="0" y="0"/>
                      <a:ext cx="5814060" cy="3190875"/>
                    </a:xfrm>
                    <a:prstGeom prst="rect">
                      <a:avLst/>
                    </a:prstGeom>
                    <a:noFill/>
                  </pic:spPr>
                </pic:pic>
              </a:graphicData>
            </a:graphic>
          </wp:inline>
        </w:drawing>
      </w:r>
    </w:p>
    <w:p w14:paraId="3BC3199A" w14:textId="77777777" w:rsidR="004D59D4" w:rsidRDefault="00023FAF" w:rsidP="00025AAC">
      <w:pPr>
        <w:pStyle w:val="TableFigureFooter"/>
        <w:jc w:val="both"/>
      </w:pPr>
      <w:r>
        <w:t>Source: Figure 3.2-3, p230 of the resubmission</w:t>
      </w:r>
    </w:p>
    <w:p w14:paraId="46BA099A" w14:textId="77777777" w:rsidR="004D59D4" w:rsidRDefault="00023FAF" w:rsidP="00025AAC">
      <w:pPr>
        <w:pStyle w:val="TableFigureFooter"/>
        <w:jc w:val="both"/>
      </w:pPr>
      <w:r>
        <w:t>t = time; QALYs = quality adjusted life years</w:t>
      </w:r>
    </w:p>
    <w:p w14:paraId="6A0F3EEC" w14:textId="77777777" w:rsidR="004D59D4" w:rsidRDefault="00023FAF" w:rsidP="00025AAC">
      <w:pPr>
        <w:pStyle w:val="TableFigureFooter"/>
        <w:spacing w:before="160" w:after="160"/>
        <w:jc w:val="both"/>
      </w:pPr>
      <w:r>
        <w:t xml:space="preserve">^ Patients treated with a </w:t>
      </w:r>
      <w:proofErr w:type="spellStart"/>
      <w:r>
        <w:t>Phe</w:t>
      </w:r>
      <w:proofErr w:type="spellEnd"/>
      <w:r>
        <w:t xml:space="preserve"> restricted diet were assumed to undergo a one-off reduction in blood </w:t>
      </w:r>
      <w:proofErr w:type="spellStart"/>
      <w:r>
        <w:t>Phe</w:t>
      </w:r>
      <w:proofErr w:type="spellEnd"/>
      <w:r>
        <w:t xml:space="preserve"> of 108 µmol/L at the end of the first model cycle with no further changes in subsequent cycles. The blood </w:t>
      </w:r>
      <w:proofErr w:type="spellStart"/>
      <w:r>
        <w:t>Phe</w:t>
      </w:r>
      <w:proofErr w:type="spellEnd"/>
      <w:r>
        <w:t xml:space="preserve"> level for patients who discontinue treatment with </w:t>
      </w:r>
      <w:proofErr w:type="spellStart"/>
      <w:r>
        <w:t>pegvaliase</w:t>
      </w:r>
      <w:proofErr w:type="spellEnd"/>
      <w:r>
        <w:t xml:space="preserve"> returns to baseline minus 108 µmol/L representing the impact of </w:t>
      </w:r>
      <w:proofErr w:type="spellStart"/>
      <w:r>
        <w:t>Phe</w:t>
      </w:r>
      <w:proofErr w:type="spellEnd"/>
      <w:r>
        <w:t xml:space="preserve"> restricted diet alone in the cycle after treatment discontinuation.</w:t>
      </w:r>
    </w:p>
    <w:p w14:paraId="65EDC5BD" w14:textId="77777777" w:rsidR="004D59D4" w:rsidRDefault="00023FAF" w:rsidP="00025AAC">
      <w:pPr>
        <w:pStyle w:val="ListParagraph"/>
        <w:numPr>
          <w:ilvl w:val="1"/>
          <w:numId w:val="43"/>
        </w:numPr>
        <w:spacing w:before="160" w:after="160"/>
        <w:jc w:val="both"/>
        <w:rPr>
          <w:rFonts w:eastAsiaTheme="minorHAnsi" w:cstheme="minorBidi"/>
          <w:szCs w:val="22"/>
        </w:rPr>
      </w:pPr>
      <w:r>
        <w:t xml:space="preserve">The model did not include any consideration of the additional patient population proposed in the resubmission (patients who are </w:t>
      </w:r>
      <w:proofErr w:type="spellStart"/>
      <w:r>
        <w:t>sapropterin</w:t>
      </w:r>
      <w:proofErr w:type="spellEnd"/>
      <w:r>
        <w:t xml:space="preserve"> responders having a protein tolerance of less than 15 g per day). The resubmission claimed that “Most patients in this additional cohort are expected to be eligible for </w:t>
      </w:r>
      <w:proofErr w:type="spellStart"/>
      <w:r>
        <w:t>pegvaliase</w:t>
      </w:r>
      <w:proofErr w:type="spellEnd"/>
      <w:r>
        <w:t xml:space="preserve"> under the proposed restriction as </w:t>
      </w:r>
      <w:proofErr w:type="spellStart"/>
      <w:r>
        <w:t>sapropterin</w:t>
      </w:r>
      <w:proofErr w:type="spellEnd"/>
      <w:r>
        <w:t xml:space="preserve"> non-responders but a small number of patients may only qualify as having a protein tolerance of less than 15 g per day. In this context it may be reasonable for the cost-effectiveness of </w:t>
      </w:r>
      <w:proofErr w:type="spellStart"/>
      <w:r>
        <w:t>pegvaliase</w:t>
      </w:r>
      <w:proofErr w:type="spellEnd"/>
      <w:r>
        <w:t xml:space="preserve"> in the proposed population to serve as a proxy of that in the additional cohort.” </w:t>
      </w:r>
      <w:r>
        <w:rPr>
          <w:rFonts w:eastAsiaTheme="minorHAnsi" w:cstheme="minorBidi"/>
          <w:szCs w:val="22"/>
        </w:rPr>
        <w:t xml:space="preserve">The evaluation considered that this was not reasonable. While the PBAC previously acknowledged that limited exploratory subgroup analyses suggested that </w:t>
      </w:r>
      <w:proofErr w:type="spellStart"/>
      <w:r>
        <w:rPr>
          <w:rFonts w:eastAsiaTheme="minorHAnsi" w:cstheme="minorBidi"/>
          <w:szCs w:val="22"/>
        </w:rPr>
        <w:t>sapropterin</w:t>
      </w:r>
      <w:proofErr w:type="spellEnd"/>
      <w:r>
        <w:rPr>
          <w:rFonts w:eastAsiaTheme="minorHAnsi" w:cstheme="minorBidi"/>
          <w:szCs w:val="22"/>
        </w:rPr>
        <w:t xml:space="preserve">-responder status was not a treatment effect modifier (paragraph 7.4, </w:t>
      </w:r>
      <w:proofErr w:type="spellStart"/>
      <w:r>
        <w:rPr>
          <w:rFonts w:eastAsiaTheme="minorHAnsi" w:cstheme="minorBidi"/>
          <w:szCs w:val="22"/>
        </w:rPr>
        <w:t>pegvaliase</w:t>
      </w:r>
      <w:proofErr w:type="spellEnd"/>
      <w:r>
        <w:rPr>
          <w:rFonts w:eastAsiaTheme="minorHAnsi" w:cstheme="minorBidi"/>
          <w:szCs w:val="22"/>
        </w:rPr>
        <w:t xml:space="preserve"> PSD, July 2022 PBAC meeting), patients who respond to </w:t>
      </w:r>
      <w:proofErr w:type="spellStart"/>
      <w:r>
        <w:rPr>
          <w:rFonts w:eastAsiaTheme="minorHAnsi" w:cstheme="minorBidi"/>
          <w:szCs w:val="22"/>
        </w:rPr>
        <w:t>sapropterin</w:t>
      </w:r>
      <w:proofErr w:type="spellEnd"/>
      <w:r>
        <w:rPr>
          <w:rFonts w:eastAsiaTheme="minorHAnsi" w:cstheme="minorBidi"/>
          <w:szCs w:val="22"/>
        </w:rPr>
        <w:t xml:space="preserve">, despite the low protein tolerance, should have better health outcomes (i.e. </w:t>
      </w:r>
      <w:proofErr w:type="spellStart"/>
      <w:r>
        <w:rPr>
          <w:rFonts w:eastAsiaTheme="minorHAnsi" w:cstheme="minorBidi"/>
          <w:szCs w:val="22"/>
        </w:rPr>
        <w:t>Phe</w:t>
      </w:r>
      <w:proofErr w:type="spellEnd"/>
      <w:r>
        <w:rPr>
          <w:rFonts w:eastAsiaTheme="minorHAnsi" w:cstheme="minorBidi"/>
          <w:szCs w:val="22"/>
        </w:rPr>
        <w:t xml:space="preserve">-levels, liver outcomes and survival) than patients who do not respond, and potentially better utility. As such, the incremental benefit of </w:t>
      </w:r>
      <w:proofErr w:type="spellStart"/>
      <w:r>
        <w:rPr>
          <w:rFonts w:eastAsiaTheme="minorHAnsi" w:cstheme="minorBidi"/>
          <w:szCs w:val="22"/>
        </w:rPr>
        <w:t>pegvaliase</w:t>
      </w:r>
      <w:proofErr w:type="spellEnd"/>
      <w:r>
        <w:rPr>
          <w:rFonts w:eastAsiaTheme="minorHAnsi" w:cstheme="minorBidi"/>
          <w:szCs w:val="22"/>
        </w:rPr>
        <w:t xml:space="preserve"> compared to patients who did not respond to </w:t>
      </w:r>
      <w:proofErr w:type="spellStart"/>
      <w:r>
        <w:rPr>
          <w:rFonts w:eastAsiaTheme="minorHAnsi" w:cstheme="minorBidi"/>
          <w:szCs w:val="22"/>
        </w:rPr>
        <w:t>sapropterin</w:t>
      </w:r>
      <w:proofErr w:type="spellEnd"/>
      <w:r>
        <w:rPr>
          <w:rFonts w:eastAsiaTheme="minorHAnsi" w:cstheme="minorBidi"/>
          <w:szCs w:val="22"/>
        </w:rPr>
        <w:t xml:space="preserve"> was likely to be greater than when compared to patients who responded to </w:t>
      </w:r>
      <w:proofErr w:type="spellStart"/>
      <w:r>
        <w:rPr>
          <w:rFonts w:eastAsiaTheme="minorHAnsi" w:cstheme="minorBidi"/>
          <w:szCs w:val="22"/>
        </w:rPr>
        <w:t>sapropterin</w:t>
      </w:r>
      <w:proofErr w:type="spellEnd"/>
      <w:r>
        <w:rPr>
          <w:rFonts w:eastAsiaTheme="minorHAnsi" w:cstheme="minorBidi"/>
          <w:szCs w:val="22"/>
        </w:rPr>
        <w:t xml:space="preserve"> but have a protein tolerance less than 15 g/day.</w:t>
      </w:r>
    </w:p>
    <w:p w14:paraId="6DC7D3FA" w14:textId="1B08928C" w:rsidR="004D59D4" w:rsidRDefault="00023FAF" w:rsidP="00025AAC">
      <w:pPr>
        <w:pStyle w:val="ListParagraph"/>
        <w:numPr>
          <w:ilvl w:val="1"/>
          <w:numId w:val="44"/>
        </w:numPr>
        <w:spacing w:before="160" w:after="160"/>
        <w:jc w:val="both"/>
        <w:rPr>
          <w:rFonts w:eastAsiaTheme="minorHAnsi" w:cstheme="minorBidi"/>
          <w:szCs w:val="22"/>
        </w:rPr>
      </w:pPr>
      <w:r>
        <w:rPr>
          <w:rFonts w:eastAsiaTheme="minorHAnsi" w:cstheme="minorBidi"/>
          <w:szCs w:val="22"/>
        </w:rPr>
        <w:t xml:space="preserve">Unchanged from the previous submission, a microsimulation approach was used to determine the gender (which affects background mortality based on Australian life tables), baseline </w:t>
      </w:r>
      <w:proofErr w:type="spellStart"/>
      <w:r>
        <w:rPr>
          <w:rFonts w:eastAsiaTheme="minorHAnsi" w:cstheme="minorBidi"/>
          <w:szCs w:val="22"/>
        </w:rPr>
        <w:t>Phe</w:t>
      </w:r>
      <w:proofErr w:type="spellEnd"/>
      <w:r>
        <w:rPr>
          <w:rFonts w:eastAsiaTheme="minorHAnsi" w:cstheme="minorBidi"/>
          <w:szCs w:val="22"/>
        </w:rPr>
        <w:t xml:space="preserve">, age at treatment initiation and death, responder status and time of </w:t>
      </w:r>
      <w:proofErr w:type="spellStart"/>
      <w:r>
        <w:rPr>
          <w:rFonts w:eastAsiaTheme="minorHAnsi" w:cstheme="minorBidi"/>
          <w:szCs w:val="22"/>
        </w:rPr>
        <w:t>pegvaliase</w:t>
      </w:r>
      <w:proofErr w:type="spellEnd"/>
      <w:r>
        <w:rPr>
          <w:rFonts w:eastAsiaTheme="minorHAnsi" w:cstheme="minorBidi"/>
          <w:szCs w:val="22"/>
        </w:rPr>
        <w:t xml:space="preserve"> discontinuation. Previously, “(t)he ESC considered that there was a lack </w:t>
      </w:r>
      <w:r>
        <w:rPr>
          <w:rFonts w:eastAsiaTheme="minorHAnsi" w:cstheme="minorBidi"/>
          <w:szCs w:val="22"/>
        </w:rPr>
        <w:lastRenderedPageBreak/>
        <w:t>of clinical data available to support the microsimulation approach undertaken. While the resubmission claimed that a microsimulation approach was justified as blood-</w:t>
      </w:r>
      <w:proofErr w:type="spellStart"/>
      <w:r>
        <w:rPr>
          <w:rFonts w:eastAsiaTheme="minorHAnsi" w:cstheme="minorBidi"/>
          <w:szCs w:val="22"/>
        </w:rPr>
        <w:t>Phe</w:t>
      </w:r>
      <w:proofErr w:type="spellEnd"/>
      <w:r>
        <w:rPr>
          <w:rFonts w:eastAsiaTheme="minorHAnsi" w:cstheme="minorBidi"/>
          <w:szCs w:val="22"/>
        </w:rPr>
        <w:t xml:space="preserve"> levels and quality of life are continuous variables, transitions in blood-</w:t>
      </w:r>
      <w:proofErr w:type="spellStart"/>
      <w:r>
        <w:rPr>
          <w:rFonts w:eastAsiaTheme="minorHAnsi" w:cstheme="minorBidi"/>
          <w:szCs w:val="22"/>
        </w:rPr>
        <w:t>Phe</w:t>
      </w:r>
      <w:proofErr w:type="spellEnd"/>
      <w:r>
        <w:rPr>
          <w:rFonts w:eastAsiaTheme="minorHAnsi" w:cstheme="minorBidi"/>
          <w:szCs w:val="22"/>
        </w:rPr>
        <w:t xml:space="preserve"> level could have been modelled using a cohort model (as was presented for previous </w:t>
      </w:r>
      <w:proofErr w:type="spellStart"/>
      <w:r>
        <w:rPr>
          <w:rFonts w:eastAsiaTheme="minorHAnsi" w:cstheme="minorBidi"/>
          <w:szCs w:val="22"/>
        </w:rPr>
        <w:t>sapropterin</w:t>
      </w:r>
      <w:proofErr w:type="spellEnd"/>
      <w:r>
        <w:rPr>
          <w:rFonts w:eastAsiaTheme="minorHAnsi" w:cstheme="minorBidi"/>
          <w:szCs w:val="22"/>
        </w:rPr>
        <w:t xml:space="preserve"> submissions in PKU), and quality of life was derived from mapping categorical variables based on time trade off results to assumed blood </w:t>
      </w:r>
      <w:proofErr w:type="spellStart"/>
      <w:r>
        <w:rPr>
          <w:rFonts w:eastAsiaTheme="minorHAnsi" w:cstheme="minorBidi"/>
          <w:szCs w:val="22"/>
        </w:rPr>
        <w:t>Phe</w:t>
      </w:r>
      <w:proofErr w:type="spellEnd"/>
      <w:r>
        <w:rPr>
          <w:rFonts w:eastAsiaTheme="minorHAnsi" w:cstheme="minorBidi"/>
          <w:szCs w:val="22"/>
        </w:rPr>
        <w:t xml:space="preserve"> levels. The use of a microsimulation model resulted in unnecessarily complicated model, which required significant time to compute” (paragraph 6.61, </w:t>
      </w:r>
      <w:proofErr w:type="spellStart"/>
      <w:r>
        <w:rPr>
          <w:rFonts w:eastAsiaTheme="minorHAnsi" w:cstheme="minorBidi"/>
          <w:szCs w:val="22"/>
        </w:rPr>
        <w:t>pegvaliase</w:t>
      </w:r>
      <w:proofErr w:type="spellEnd"/>
      <w:r>
        <w:rPr>
          <w:rFonts w:eastAsiaTheme="minorHAnsi" w:cstheme="minorBidi"/>
          <w:szCs w:val="22"/>
        </w:rPr>
        <w:t xml:space="preserve"> PSD, July 2022 PBAC meeting). While the PSCR reiterated that a Markov model would be problematic in this circumstance as the health states are based on the continuous outcome of blood </w:t>
      </w:r>
      <w:proofErr w:type="spellStart"/>
      <w:r>
        <w:rPr>
          <w:rFonts w:eastAsiaTheme="minorHAnsi" w:cstheme="minorBidi"/>
          <w:szCs w:val="22"/>
        </w:rPr>
        <w:t>Phe</w:t>
      </w:r>
      <w:proofErr w:type="spellEnd"/>
      <w:r>
        <w:rPr>
          <w:rFonts w:eastAsiaTheme="minorHAnsi" w:cstheme="minorBidi"/>
          <w:szCs w:val="22"/>
        </w:rPr>
        <w:t xml:space="preserve"> for which there are no established thresholds at which a sudden marked change in functioning and quality of life are observed, the ESC considered this justification was inadequate (paragraph 6.62, </w:t>
      </w:r>
      <w:proofErr w:type="spellStart"/>
      <w:r>
        <w:rPr>
          <w:rFonts w:eastAsiaTheme="minorHAnsi" w:cstheme="minorBidi"/>
          <w:szCs w:val="22"/>
        </w:rPr>
        <w:t>pegvaliase</w:t>
      </w:r>
      <w:proofErr w:type="spellEnd"/>
      <w:r>
        <w:rPr>
          <w:rFonts w:eastAsiaTheme="minorHAnsi" w:cstheme="minorBidi"/>
          <w:szCs w:val="22"/>
        </w:rPr>
        <w:t xml:space="preserve"> PSD, July 2022 PBAC meeting).</w:t>
      </w:r>
    </w:p>
    <w:p w14:paraId="261C0260" w14:textId="77777777" w:rsidR="004D59D4" w:rsidRDefault="00023FAF" w:rsidP="00025AAC">
      <w:pPr>
        <w:pStyle w:val="ListParagraph"/>
        <w:numPr>
          <w:ilvl w:val="1"/>
          <w:numId w:val="45"/>
        </w:numPr>
        <w:spacing w:before="160" w:after="160"/>
        <w:jc w:val="both"/>
        <w:rPr>
          <w:rFonts w:eastAsiaTheme="minorHAnsi" w:cstheme="minorBidi"/>
          <w:szCs w:val="22"/>
        </w:rPr>
      </w:pPr>
      <w:bookmarkStart w:id="76" w:name="_Ref216094378"/>
      <w:r>
        <w:rPr>
          <w:rFonts w:eastAsiaTheme="minorHAnsi" w:cstheme="minorBidi"/>
          <w:szCs w:val="22"/>
        </w:rPr>
        <w:t>The resubmission noted that the clinical evidence and other input parameters that inform the economic analysis remained largely unchanged from the previous submission. The PBAC previously noted the following points that remain applicable to the model in the resubmission:</w:t>
      </w:r>
      <w:bookmarkEnd w:id="76"/>
    </w:p>
    <w:p w14:paraId="1B93ED93" w14:textId="77777777" w:rsidR="004D59D4" w:rsidRDefault="00023FAF" w:rsidP="00025AAC">
      <w:pPr>
        <w:pStyle w:val="ListParagraph"/>
        <w:numPr>
          <w:ilvl w:val="0"/>
          <w:numId w:val="74"/>
        </w:numPr>
        <w:spacing w:before="160" w:after="160"/>
        <w:ind w:left="993"/>
        <w:jc w:val="both"/>
        <w:rPr>
          <w:rFonts w:eastAsiaTheme="minorHAnsi"/>
        </w:rPr>
      </w:pPr>
      <w:proofErr w:type="spellStart"/>
      <w:r>
        <w:rPr>
          <w:rFonts w:eastAsiaTheme="minorHAnsi"/>
        </w:rPr>
        <w:t>Pegvaliase</w:t>
      </w:r>
      <w:proofErr w:type="spellEnd"/>
      <w:r>
        <w:rPr>
          <w:rFonts w:eastAsiaTheme="minorHAnsi"/>
        </w:rPr>
        <w:t xml:space="preserve"> patients who respond in the model can respond either by achieving a blood-</w:t>
      </w:r>
      <w:proofErr w:type="spellStart"/>
      <w:r>
        <w:rPr>
          <w:rFonts w:eastAsiaTheme="minorHAnsi"/>
        </w:rPr>
        <w:t>Phe</w:t>
      </w:r>
      <w:proofErr w:type="spellEnd"/>
      <w:r>
        <w:rPr>
          <w:rFonts w:eastAsiaTheme="minorHAnsi"/>
        </w:rPr>
        <w:t xml:space="preserve"> &lt; 360 µmol/L or an ADHD-RS inattention subscale score change ≥ 5 from baseline (response rates of 90.3% in the </w:t>
      </w:r>
      <w:proofErr w:type="spellStart"/>
      <w:r>
        <w:rPr>
          <w:rFonts w:eastAsiaTheme="minorHAnsi"/>
        </w:rPr>
        <w:t>pegvaliase</w:t>
      </w:r>
      <w:proofErr w:type="spellEnd"/>
      <w:r>
        <w:rPr>
          <w:rFonts w:eastAsiaTheme="minorHAnsi"/>
        </w:rPr>
        <w:t xml:space="preserve"> arm, and 0% in the </w:t>
      </w:r>
      <w:proofErr w:type="spellStart"/>
      <w:r>
        <w:rPr>
          <w:rFonts w:eastAsiaTheme="minorHAnsi"/>
        </w:rPr>
        <w:t>Phe</w:t>
      </w:r>
      <w:proofErr w:type="spellEnd"/>
      <w:r>
        <w:rPr>
          <w:rFonts w:eastAsiaTheme="minorHAnsi"/>
        </w:rPr>
        <w:t xml:space="preserve">-diet alone arm were used). Non-responders remain on treatment until two years in the model then switch to a </w:t>
      </w:r>
      <w:proofErr w:type="spellStart"/>
      <w:r>
        <w:rPr>
          <w:rFonts w:eastAsiaTheme="minorHAnsi"/>
        </w:rPr>
        <w:t>Phe</w:t>
      </w:r>
      <w:proofErr w:type="spellEnd"/>
      <w:r>
        <w:rPr>
          <w:rFonts w:eastAsiaTheme="minorHAnsi"/>
        </w:rPr>
        <w:t xml:space="preserve">-restricted diet </w:t>
      </w:r>
      <w:r>
        <w:rPr>
          <w:rFonts w:eastAsiaTheme="minorHAnsi" w:cstheme="minorBidi"/>
          <w:szCs w:val="22"/>
        </w:rPr>
        <w:t xml:space="preserve">(paragraph 6.63, </w:t>
      </w:r>
      <w:proofErr w:type="spellStart"/>
      <w:r>
        <w:rPr>
          <w:rFonts w:eastAsiaTheme="minorHAnsi" w:cstheme="minorBidi"/>
          <w:szCs w:val="22"/>
        </w:rPr>
        <w:t>pegvaliase</w:t>
      </w:r>
      <w:proofErr w:type="spellEnd"/>
      <w:r>
        <w:rPr>
          <w:rFonts w:eastAsiaTheme="minorHAnsi" w:cstheme="minorBidi"/>
          <w:szCs w:val="22"/>
        </w:rPr>
        <w:t xml:space="preserve"> PSD, July 2022 PBAC meeting)</w:t>
      </w:r>
      <w:r>
        <w:rPr>
          <w:rFonts w:eastAsiaTheme="minorHAnsi"/>
        </w:rPr>
        <w:t xml:space="preserve">. The resubmission </w:t>
      </w:r>
      <w:r>
        <w:rPr>
          <w:rFonts w:cstheme="minorHAnsi"/>
        </w:rPr>
        <w:t xml:space="preserve">reiterated that the </w:t>
      </w:r>
      <w:proofErr w:type="spellStart"/>
      <w:r>
        <w:rPr>
          <w:rFonts w:cstheme="minorHAnsi"/>
        </w:rPr>
        <w:t>pegvaliase</w:t>
      </w:r>
      <w:proofErr w:type="spellEnd"/>
      <w:r>
        <w:rPr>
          <w:rFonts w:cstheme="minorHAnsi"/>
        </w:rPr>
        <w:t xml:space="preserve"> response rates are based on patients who received at least two years of treatment and therefore excluded patients who discontinued treatment as well as those with a treatment duration of less than two years. However, this likely resulted in the response rate being overestimated as patients experiencing a lack of clinical benefit or intolerance would be less likely to continue with treatment. </w:t>
      </w:r>
    </w:p>
    <w:p w14:paraId="150DEBEF" w14:textId="77777777" w:rsidR="004D59D4" w:rsidRDefault="00023FAF" w:rsidP="00025AAC">
      <w:pPr>
        <w:pStyle w:val="ListParagraph"/>
        <w:numPr>
          <w:ilvl w:val="0"/>
          <w:numId w:val="74"/>
        </w:numPr>
        <w:spacing w:before="160" w:after="160"/>
        <w:ind w:left="993"/>
        <w:jc w:val="both"/>
        <w:rPr>
          <w:rFonts w:eastAsiaTheme="minorHAnsi"/>
        </w:rPr>
      </w:pPr>
      <w:proofErr w:type="spellStart"/>
      <w:r>
        <w:rPr>
          <w:rFonts w:eastAsiaTheme="minorHAnsi"/>
        </w:rPr>
        <w:t>Pegvaliase</w:t>
      </w:r>
      <w:proofErr w:type="spellEnd"/>
      <w:r>
        <w:rPr>
          <w:rFonts w:eastAsiaTheme="minorHAnsi"/>
        </w:rPr>
        <w:t xml:space="preserve"> patients are assumed to experience a decrease in blood-</w:t>
      </w:r>
      <w:proofErr w:type="spellStart"/>
      <w:r>
        <w:rPr>
          <w:rFonts w:eastAsiaTheme="minorHAnsi"/>
        </w:rPr>
        <w:t>Phe</w:t>
      </w:r>
      <w:proofErr w:type="spellEnd"/>
      <w:r>
        <w:rPr>
          <w:rFonts w:eastAsiaTheme="minorHAnsi"/>
        </w:rPr>
        <w:t xml:space="preserve"> each cycle they remain on treatment until they reach a plateau of 261 µmol/L, unless they discontinue treatment and transition to a </w:t>
      </w:r>
      <w:proofErr w:type="spellStart"/>
      <w:r>
        <w:rPr>
          <w:rFonts w:eastAsiaTheme="minorHAnsi"/>
        </w:rPr>
        <w:t>Phe</w:t>
      </w:r>
      <w:proofErr w:type="spellEnd"/>
      <w:r>
        <w:rPr>
          <w:rFonts w:eastAsiaTheme="minorHAnsi"/>
        </w:rPr>
        <w:t xml:space="preserve">-restricted diet. Patients treated with a </w:t>
      </w:r>
      <w:proofErr w:type="spellStart"/>
      <w:r>
        <w:rPr>
          <w:rFonts w:eastAsiaTheme="minorHAnsi"/>
        </w:rPr>
        <w:t>Phe</w:t>
      </w:r>
      <w:proofErr w:type="spellEnd"/>
      <w:r>
        <w:rPr>
          <w:rFonts w:eastAsiaTheme="minorHAnsi"/>
        </w:rPr>
        <w:t>-restricted diet alone were assigned a once off improvement in blood-</w:t>
      </w:r>
      <w:proofErr w:type="spellStart"/>
      <w:r>
        <w:rPr>
          <w:rFonts w:eastAsiaTheme="minorHAnsi"/>
        </w:rPr>
        <w:t>Phe</w:t>
      </w:r>
      <w:proofErr w:type="spellEnd"/>
      <w:r>
        <w:rPr>
          <w:rFonts w:eastAsiaTheme="minorHAnsi"/>
        </w:rPr>
        <w:t xml:space="preserve"> of 108 µmol/L at the first cycle </w:t>
      </w:r>
      <w:r>
        <w:rPr>
          <w:rFonts w:eastAsiaTheme="minorHAnsi" w:cstheme="minorBidi"/>
          <w:szCs w:val="22"/>
        </w:rPr>
        <w:t xml:space="preserve">(paragraph 6.64, </w:t>
      </w:r>
      <w:proofErr w:type="spellStart"/>
      <w:r>
        <w:rPr>
          <w:rFonts w:eastAsiaTheme="minorHAnsi" w:cstheme="minorBidi"/>
          <w:szCs w:val="22"/>
        </w:rPr>
        <w:t>pegvaliase</w:t>
      </w:r>
      <w:proofErr w:type="spellEnd"/>
      <w:r>
        <w:rPr>
          <w:rFonts w:eastAsiaTheme="minorHAnsi" w:cstheme="minorBidi"/>
          <w:szCs w:val="22"/>
        </w:rPr>
        <w:t xml:space="preserve"> PSD, July 2022 PBAC meeting)</w:t>
      </w:r>
      <w:r>
        <w:rPr>
          <w:rFonts w:eastAsiaTheme="minorHAnsi"/>
        </w:rPr>
        <w:t>.</w:t>
      </w:r>
    </w:p>
    <w:p w14:paraId="2E5C9EF8" w14:textId="0EDED1B5" w:rsidR="00203D0D" w:rsidRDefault="00203D0D" w:rsidP="00025AAC">
      <w:pPr>
        <w:pStyle w:val="ListParagraph"/>
        <w:numPr>
          <w:ilvl w:val="0"/>
          <w:numId w:val="74"/>
        </w:numPr>
        <w:spacing w:before="160" w:after="160"/>
        <w:ind w:left="993"/>
        <w:jc w:val="both"/>
        <w:rPr>
          <w:rFonts w:eastAsiaTheme="minorHAnsi"/>
        </w:rPr>
      </w:pPr>
      <w:r>
        <w:rPr>
          <w:rFonts w:eastAsiaTheme="minorHAnsi" w:cstheme="minorBidi"/>
          <w:szCs w:val="22"/>
        </w:rPr>
        <w:t xml:space="preserve">For the model in the previous submission, the evaluation and the ESC considered that it was unclear if the health states from the TTO study adequately aligned with the specific </w:t>
      </w:r>
      <w:proofErr w:type="spellStart"/>
      <w:r>
        <w:rPr>
          <w:rFonts w:eastAsiaTheme="minorHAnsi" w:cstheme="minorBidi"/>
          <w:szCs w:val="22"/>
        </w:rPr>
        <w:t>Phe</w:t>
      </w:r>
      <w:proofErr w:type="spellEnd"/>
      <w:r>
        <w:rPr>
          <w:rFonts w:eastAsiaTheme="minorHAnsi" w:cstheme="minorBidi"/>
          <w:szCs w:val="22"/>
        </w:rPr>
        <w:t xml:space="preserve"> values used in the model given the lack of clinical data to support this assumption. It was also unreasonable to assume that a change of just 1 µmol/L in blood-</w:t>
      </w:r>
      <w:proofErr w:type="spellStart"/>
      <w:r>
        <w:rPr>
          <w:rFonts w:eastAsiaTheme="minorHAnsi" w:cstheme="minorBidi"/>
          <w:szCs w:val="22"/>
        </w:rPr>
        <w:t>Phe</w:t>
      </w:r>
      <w:proofErr w:type="spellEnd"/>
      <w:r>
        <w:rPr>
          <w:rFonts w:eastAsiaTheme="minorHAnsi" w:cstheme="minorBidi"/>
          <w:szCs w:val="22"/>
        </w:rPr>
        <w:t xml:space="preserve"> level would lead to a change in patient utility (paragraph 6.69, </w:t>
      </w:r>
      <w:proofErr w:type="spellStart"/>
      <w:r>
        <w:rPr>
          <w:rFonts w:eastAsiaTheme="minorHAnsi" w:cstheme="minorBidi"/>
          <w:szCs w:val="22"/>
        </w:rPr>
        <w:t>pegvaliase</w:t>
      </w:r>
      <w:proofErr w:type="spellEnd"/>
      <w:r>
        <w:rPr>
          <w:rFonts w:eastAsiaTheme="minorHAnsi" w:cstheme="minorBidi"/>
          <w:szCs w:val="22"/>
        </w:rPr>
        <w:t xml:space="preserve"> PSD, July 2022 PBAC meeting). The resubmission stated that the analysis </w:t>
      </w:r>
      <w:r>
        <w:rPr>
          <w:rFonts w:eastAsiaTheme="minorHAnsi" w:cstheme="minorBidi"/>
          <w:szCs w:val="22"/>
        </w:rPr>
        <w:lastRenderedPageBreak/>
        <w:t>attempts to reflect the patient experience where small continuous changes in utility are accumulated to become clinically meaningful over time.</w:t>
      </w:r>
    </w:p>
    <w:p w14:paraId="5220E6E5" w14:textId="77777777" w:rsidR="004D59D4" w:rsidRDefault="00023FAF" w:rsidP="00025AAC">
      <w:pPr>
        <w:pStyle w:val="ListParagraph"/>
        <w:numPr>
          <w:ilvl w:val="0"/>
          <w:numId w:val="74"/>
        </w:numPr>
        <w:spacing w:before="160" w:after="160"/>
        <w:ind w:left="993"/>
        <w:jc w:val="both"/>
        <w:rPr>
          <w:rFonts w:eastAsiaTheme="minorHAnsi"/>
        </w:rPr>
      </w:pPr>
      <w:r>
        <w:rPr>
          <w:rFonts w:eastAsiaTheme="minorHAnsi"/>
        </w:rPr>
        <w:t xml:space="preserve">In the </w:t>
      </w:r>
      <w:proofErr w:type="spellStart"/>
      <w:r>
        <w:rPr>
          <w:rFonts w:eastAsiaTheme="minorHAnsi"/>
        </w:rPr>
        <w:t>pegvaliase</w:t>
      </w:r>
      <w:proofErr w:type="spellEnd"/>
      <w:r>
        <w:rPr>
          <w:rFonts w:eastAsiaTheme="minorHAnsi"/>
        </w:rPr>
        <w:t xml:space="preserve"> arm of the model, the equations for estimating blood-</w:t>
      </w:r>
      <w:proofErr w:type="spellStart"/>
      <w:r>
        <w:rPr>
          <w:rFonts w:eastAsiaTheme="minorHAnsi"/>
        </w:rPr>
        <w:t>Phe</w:t>
      </w:r>
      <w:proofErr w:type="spellEnd"/>
      <w:r>
        <w:rPr>
          <w:rFonts w:eastAsiaTheme="minorHAnsi"/>
        </w:rPr>
        <w:t xml:space="preserve"> levels each cycle were based on the same data used to inform the naïve indirect comparison. As such, the ESC noted the economic evaluation was subject to the limitations of this data including the high risk of bias of the included studies. Overall, the ESC considered there was limited testing for goodness of fit and a large amount of variance in the underpinning data </w:t>
      </w:r>
      <w:r>
        <w:rPr>
          <w:rFonts w:eastAsiaTheme="minorHAnsi" w:cstheme="minorBidi"/>
          <w:szCs w:val="22"/>
        </w:rPr>
        <w:t xml:space="preserve">(paragraph 6.65, </w:t>
      </w:r>
      <w:proofErr w:type="spellStart"/>
      <w:r>
        <w:rPr>
          <w:rFonts w:eastAsiaTheme="minorHAnsi" w:cstheme="minorBidi"/>
          <w:szCs w:val="22"/>
        </w:rPr>
        <w:t>pegvaliase</w:t>
      </w:r>
      <w:proofErr w:type="spellEnd"/>
      <w:r>
        <w:rPr>
          <w:rFonts w:eastAsiaTheme="minorHAnsi" w:cstheme="minorBidi"/>
          <w:szCs w:val="22"/>
        </w:rPr>
        <w:t xml:space="preserve"> PSD, July 2022 PBAC meeting)</w:t>
      </w:r>
      <w:r>
        <w:rPr>
          <w:rFonts w:eastAsiaTheme="minorHAnsi"/>
        </w:rPr>
        <w:t xml:space="preserve">. The resubmission stated that “During the evaluation of the previous submission, the Commentary, ESC and the PBAC highlighted several uncertainties with the additional analyses of PRISM and PKUDOS (e.g., blood </w:t>
      </w:r>
      <w:proofErr w:type="spellStart"/>
      <w:r>
        <w:rPr>
          <w:rFonts w:eastAsiaTheme="minorHAnsi"/>
        </w:rPr>
        <w:t>Phe</w:t>
      </w:r>
      <w:proofErr w:type="spellEnd"/>
      <w:r>
        <w:rPr>
          <w:rFonts w:eastAsiaTheme="minorHAnsi"/>
        </w:rPr>
        <w:t xml:space="preserve"> regression equations, goodness of fit statistics, etc). While acknowledged, no further analyses are available that allow for these issues to be addressed in this resubmission”.</w:t>
      </w:r>
    </w:p>
    <w:p w14:paraId="5346CC70" w14:textId="269300F6" w:rsidR="004D59D4" w:rsidRDefault="00023FAF" w:rsidP="00025AAC">
      <w:pPr>
        <w:pStyle w:val="ListParagraph"/>
        <w:numPr>
          <w:ilvl w:val="0"/>
          <w:numId w:val="74"/>
        </w:numPr>
        <w:spacing w:before="160" w:after="160"/>
        <w:ind w:left="993"/>
        <w:jc w:val="both"/>
        <w:rPr>
          <w:rFonts w:eastAsiaTheme="minorHAnsi"/>
        </w:rPr>
      </w:pPr>
      <w:r>
        <w:rPr>
          <w:rFonts w:eastAsiaTheme="minorHAnsi"/>
        </w:rPr>
        <w:t xml:space="preserve">The model assumed that </w:t>
      </w:r>
      <w:proofErr w:type="spellStart"/>
      <w:r>
        <w:rPr>
          <w:rFonts w:eastAsiaTheme="minorHAnsi"/>
        </w:rPr>
        <w:t>Phe</w:t>
      </w:r>
      <w:proofErr w:type="spellEnd"/>
      <w:r>
        <w:rPr>
          <w:rFonts w:eastAsiaTheme="minorHAnsi"/>
        </w:rPr>
        <w:t>-restricted diet patients were unable to achieve a response, which contradicts the clinical evidence presented in the indirect naïve comparison</w:t>
      </w:r>
      <w:r>
        <w:rPr>
          <w:rFonts w:eastAsiaTheme="minorHAnsi" w:cstheme="minorBidi"/>
          <w:szCs w:val="22"/>
        </w:rPr>
        <w:t xml:space="preserve"> The resubmission stated that due to the microsimulation approach (i.e. based on the measures of central tendency and spread of blood </w:t>
      </w:r>
      <w:proofErr w:type="spellStart"/>
      <w:r>
        <w:rPr>
          <w:rFonts w:eastAsiaTheme="minorHAnsi" w:cstheme="minorBidi"/>
          <w:szCs w:val="22"/>
        </w:rPr>
        <w:t>Phe</w:t>
      </w:r>
      <w:proofErr w:type="spellEnd"/>
      <w:r>
        <w:rPr>
          <w:rFonts w:eastAsiaTheme="minorHAnsi" w:cstheme="minorBidi"/>
          <w:szCs w:val="22"/>
        </w:rPr>
        <w:t xml:space="preserve"> at baseline), a small proportion of patients (&lt; 1%) can be expected to achieve a blood </w:t>
      </w:r>
      <w:proofErr w:type="spellStart"/>
      <w:r>
        <w:rPr>
          <w:rFonts w:eastAsiaTheme="minorHAnsi" w:cstheme="minorBidi"/>
          <w:szCs w:val="22"/>
        </w:rPr>
        <w:t>Phe</w:t>
      </w:r>
      <w:proofErr w:type="spellEnd"/>
      <w:r>
        <w:rPr>
          <w:rFonts w:eastAsiaTheme="minorHAnsi" w:cstheme="minorBidi"/>
          <w:szCs w:val="22"/>
        </w:rPr>
        <w:t xml:space="preserve"> response. However, this was a much smaller proportion than was observed to respond based on data from PKUDOS i.e., </w:t>
      </w:r>
      <w:r>
        <w:t xml:space="preserve">12% at six months. </w:t>
      </w:r>
    </w:p>
    <w:p w14:paraId="5E1DB815" w14:textId="77777777" w:rsidR="004D59D4" w:rsidRDefault="00023FAF" w:rsidP="00025AAC">
      <w:pPr>
        <w:pStyle w:val="ListParagraph"/>
        <w:numPr>
          <w:ilvl w:val="0"/>
          <w:numId w:val="74"/>
        </w:numPr>
        <w:spacing w:before="160" w:after="160"/>
        <w:ind w:left="993"/>
        <w:jc w:val="both"/>
        <w:rPr>
          <w:rFonts w:eastAsiaTheme="minorHAnsi"/>
        </w:rPr>
      </w:pPr>
      <w:r>
        <w:rPr>
          <w:rFonts w:eastAsiaTheme="minorHAnsi"/>
        </w:rPr>
        <w:t>The utility values were based on a sponsor commissioned utility study which included a time trade off (TTO) (n=1,106) and discrete choice experiment (n=1,117) component, from a mix of PKU experienced people (n=17) and adults from the general Swedish population. Utility values for discrete health states (no symptoms, mild, moderate or severe symptoms, and no diet or partial diet restrictions) were correlated to blood-</w:t>
      </w:r>
      <w:proofErr w:type="spellStart"/>
      <w:r>
        <w:rPr>
          <w:rFonts w:eastAsiaTheme="minorHAnsi"/>
        </w:rPr>
        <w:t>Phe</w:t>
      </w:r>
      <w:proofErr w:type="spellEnd"/>
      <w:r>
        <w:rPr>
          <w:rFonts w:eastAsiaTheme="minorHAnsi"/>
        </w:rPr>
        <w:t xml:space="preserve"> categories assumed by the submission to correspond to the given health states </w:t>
      </w:r>
      <w:r>
        <w:rPr>
          <w:rFonts w:eastAsiaTheme="minorHAnsi" w:cstheme="minorBidi"/>
          <w:szCs w:val="22"/>
        </w:rPr>
        <w:t xml:space="preserve">(paragraph 6.68, </w:t>
      </w:r>
      <w:proofErr w:type="spellStart"/>
      <w:r>
        <w:rPr>
          <w:rFonts w:eastAsiaTheme="minorHAnsi" w:cstheme="minorBidi"/>
          <w:szCs w:val="22"/>
        </w:rPr>
        <w:t>pegvaliase</w:t>
      </w:r>
      <w:proofErr w:type="spellEnd"/>
      <w:r>
        <w:rPr>
          <w:rFonts w:eastAsiaTheme="minorHAnsi" w:cstheme="minorBidi"/>
          <w:szCs w:val="22"/>
        </w:rPr>
        <w:t xml:space="preserve"> PSD, July 2022 PBAC meeting)</w:t>
      </w:r>
      <w:r>
        <w:rPr>
          <w:rFonts w:eastAsiaTheme="minorHAnsi"/>
        </w:rPr>
        <w:t xml:space="preserve">. Based on previous submissions to the PBAC for </w:t>
      </w:r>
      <w:proofErr w:type="spellStart"/>
      <w:r>
        <w:rPr>
          <w:rFonts w:eastAsiaTheme="minorHAnsi"/>
        </w:rPr>
        <w:t>sapropterin</w:t>
      </w:r>
      <w:proofErr w:type="spellEnd"/>
      <w:r>
        <w:rPr>
          <w:rFonts w:eastAsiaTheme="minorHAnsi"/>
        </w:rPr>
        <w:t xml:space="preserve"> it was observed that the utility of uncontrolled PKU was underestimated, which favours </w:t>
      </w:r>
      <w:proofErr w:type="spellStart"/>
      <w:r>
        <w:rPr>
          <w:rFonts w:eastAsiaTheme="minorHAnsi"/>
        </w:rPr>
        <w:t>pegvaliase</w:t>
      </w:r>
      <w:proofErr w:type="spellEnd"/>
      <w:r>
        <w:rPr>
          <w:rFonts w:eastAsiaTheme="minorHAnsi"/>
        </w:rPr>
        <w:t xml:space="preserve"> </w:t>
      </w:r>
      <w:r>
        <w:rPr>
          <w:rFonts w:eastAsiaTheme="minorHAnsi" w:cstheme="minorBidi"/>
          <w:szCs w:val="22"/>
        </w:rPr>
        <w:t xml:space="preserve">(paragraph 6.70, </w:t>
      </w:r>
      <w:proofErr w:type="spellStart"/>
      <w:r>
        <w:rPr>
          <w:rFonts w:eastAsiaTheme="minorHAnsi" w:cstheme="minorBidi"/>
          <w:szCs w:val="22"/>
        </w:rPr>
        <w:t>pegvaliase</w:t>
      </w:r>
      <w:proofErr w:type="spellEnd"/>
      <w:r>
        <w:rPr>
          <w:rFonts w:eastAsiaTheme="minorHAnsi" w:cstheme="minorBidi"/>
          <w:szCs w:val="22"/>
        </w:rPr>
        <w:t xml:space="preserve"> PSD, July 2022 PBAC meeting)</w:t>
      </w:r>
      <w:r>
        <w:rPr>
          <w:rFonts w:eastAsiaTheme="minorHAnsi"/>
        </w:rPr>
        <w:t>.</w:t>
      </w:r>
    </w:p>
    <w:p w14:paraId="6EEA3D45" w14:textId="19AD2F84" w:rsidR="004D59D4" w:rsidRDefault="00023FAF" w:rsidP="00025AAC">
      <w:pPr>
        <w:pStyle w:val="ListParagraph"/>
        <w:numPr>
          <w:ilvl w:val="1"/>
          <w:numId w:val="46"/>
        </w:numPr>
        <w:spacing w:before="160" w:after="160"/>
        <w:jc w:val="both"/>
        <w:rPr>
          <w:rFonts w:eastAsiaTheme="minorHAnsi" w:cstheme="minorBidi"/>
          <w:szCs w:val="22"/>
        </w:rPr>
      </w:pPr>
      <w:r>
        <w:rPr>
          <w:rFonts w:eastAsiaTheme="minorHAnsi" w:cstheme="minorBidi"/>
          <w:szCs w:val="22"/>
        </w:rPr>
        <w:t xml:space="preserve">For the previous </w:t>
      </w:r>
      <w:proofErr w:type="spellStart"/>
      <w:r>
        <w:rPr>
          <w:rFonts w:eastAsiaTheme="minorHAnsi" w:cstheme="minorBidi"/>
          <w:szCs w:val="22"/>
        </w:rPr>
        <w:t>pegvaliase</w:t>
      </w:r>
      <w:proofErr w:type="spellEnd"/>
      <w:r>
        <w:rPr>
          <w:rFonts w:eastAsiaTheme="minorHAnsi" w:cstheme="minorBidi"/>
          <w:szCs w:val="22"/>
        </w:rPr>
        <w:t xml:space="preserve"> submission, the PBAC noted that the ESC considered the economic model was highly uncertain and not informative for decision-making purposes. The ESC considered that the complex approach, extrapolated over a 100-year time horizon, meant the limitations of the clinical data (e.g., the low sample sizes and wide variances) were magnified. The PBAC also noted the ESC’s advice that there were </w:t>
      </w:r>
      <w:proofErr w:type="gramStart"/>
      <w:r>
        <w:rPr>
          <w:rFonts w:eastAsiaTheme="minorHAnsi" w:cstheme="minorBidi"/>
          <w:szCs w:val="22"/>
        </w:rPr>
        <w:t>a number of</w:t>
      </w:r>
      <w:proofErr w:type="gramEnd"/>
      <w:r>
        <w:rPr>
          <w:rFonts w:eastAsiaTheme="minorHAnsi" w:cstheme="minorBidi"/>
          <w:szCs w:val="22"/>
        </w:rPr>
        <w:t xml:space="preserve"> other areas of the model that increased uncertainty and appeared to overestimate the ICER </w:t>
      </w:r>
      <w:r>
        <w:t xml:space="preserve">(paragraph 7.11, </w:t>
      </w:r>
      <w:proofErr w:type="spellStart"/>
      <w:r>
        <w:t>pegvaliase</w:t>
      </w:r>
      <w:proofErr w:type="spellEnd"/>
      <w:r>
        <w:t xml:space="preserve"> PSD, July 2022 PBAC meeting)</w:t>
      </w:r>
      <w:r>
        <w:rPr>
          <w:rFonts w:eastAsiaTheme="minorHAnsi" w:cstheme="minorBidi"/>
          <w:szCs w:val="22"/>
        </w:rPr>
        <w:t>:</w:t>
      </w:r>
    </w:p>
    <w:p w14:paraId="2B3D7ACD" w14:textId="77777777" w:rsidR="004D59D4" w:rsidRDefault="00023FAF" w:rsidP="00025AAC">
      <w:pPr>
        <w:pStyle w:val="ListParagraph"/>
        <w:numPr>
          <w:ilvl w:val="0"/>
          <w:numId w:val="75"/>
        </w:numPr>
        <w:spacing w:before="160" w:after="160"/>
        <w:jc w:val="both"/>
      </w:pPr>
      <w:r>
        <w:t>The regression equations used to estimate blood-</w:t>
      </w:r>
      <w:proofErr w:type="spellStart"/>
      <w:r>
        <w:t>Phe</w:t>
      </w:r>
      <w:proofErr w:type="spellEnd"/>
      <w:r>
        <w:t xml:space="preserve"> levels over time in the </w:t>
      </w:r>
      <w:proofErr w:type="spellStart"/>
      <w:r>
        <w:t>pegvaliase</w:t>
      </w:r>
      <w:proofErr w:type="spellEnd"/>
      <w:r>
        <w:t xml:space="preserve"> arm had poor model fit and were not well-justified.</w:t>
      </w:r>
    </w:p>
    <w:p w14:paraId="709CD22D" w14:textId="77777777" w:rsidR="004D59D4" w:rsidRDefault="00023FAF" w:rsidP="00025AAC">
      <w:pPr>
        <w:pStyle w:val="ListParagraph"/>
        <w:numPr>
          <w:ilvl w:val="0"/>
          <w:numId w:val="75"/>
        </w:numPr>
        <w:spacing w:before="160" w:after="160"/>
        <w:jc w:val="both"/>
      </w:pPr>
      <w:r>
        <w:lastRenderedPageBreak/>
        <w:t xml:space="preserve">The model assumed patients treated with a </w:t>
      </w:r>
      <w:proofErr w:type="spellStart"/>
      <w:r>
        <w:t>Phe</w:t>
      </w:r>
      <w:proofErr w:type="spellEnd"/>
      <w:r>
        <w:t>-restricted diet were unable to achieve a response, which was inconsistent with the clinical evidence provided.</w:t>
      </w:r>
    </w:p>
    <w:p w14:paraId="4B380208" w14:textId="77777777" w:rsidR="004D59D4" w:rsidRDefault="00023FAF" w:rsidP="00025AAC">
      <w:pPr>
        <w:pStyle w:val="ListParagraph"/>
        <w:numPr>
          <w:ilvl w:val="0"/>
          <w:numId w:val="75"/>
        </w:numPr>
        <w:spacing w:before="160" w:after="160"/>
        <w:jc w:val="both"/>
      </w:pPr>
      <w:r>
        <w:t xml:space="preserve">Utilities were less conservative than those applied in the March 2018 </w:t>
      </w:r>
      <w:proofErr w:type="spellStart"/>
      <w:r>
        <w:t>sapropterin</w:t>
      </w:r>
      <w:proofErr w:type="spellEnd"/>
      <w:r>
        <w:t xml:space="preserve"> submission, which favoured </w:t>
      </w:r>
      <w:proofErr w:type="spellStart"/>
      <w:r>
        <w:t>pegvaliase</w:t>
      </w:r>
      <w:proofErr w:type="spellEnd"/>
      <w:r>
        <w:t xml:space="preserve">. Further, it was unclear if the health states from the TTO study adequately aligned with the specific </w:t>
      </w:r>
      <w:proofErr w:type="spellStart"/>
      <w:r>
        <w:t>Phe</w:t>
      </w:r>
      <w:proofErr w:type="spellEnd"/>
      <w:r>
        <w:t xml:space="preserve"> values used in the model.</w:t>
      </w:r>
    </w:p>
    <w:p w14:paraId="3EB2C625" w14:textId="29ED1943" w:rsidR="004D59D4" w:rsidRDefault="00023FAF" w:rsidP="00025AAC">
      <w:pPr>
        <w:pStyle w:val="ListParagraph"/>
        <w:numPr>
          <w:ilvl w:val="0"/>
          <w:numId w:val="75"/>
        </w:numPr>
        <w:spacing w:before="160" w:after="160"/>
        <w:jc w:val="both"/>
      </w:pPr>
      <w:r>
        <w:t xml:space="preserve">The </w:t>
      </w:r>
      <w:proofErr w:type="spellStart"/>
      <w:r>
        <w:t>pegvaliase</w:t>
      </w:r>
      <w:proofErr w:type="spellEnd"/>
      <w:r>
        <w:t xml:space="preserve"> dose was underestimated compared with clinical practice (due to the use of study data that included a titration period, which was extrapolated over a lifetime). Despite this, the resubmission reduced the dose of </w:t>
      </w:r>
      <w:proofErr w:type="spellStart"/>
      <w:r>
        <w:t>pegvaliase</w:t>
      </w:r>
      <w:proofErr w:type="spellEnd"/>
      <w:r>
        <w:t xml:space="preserve"> (refer to paragraph </w:t>
      </w:r>
      <w:r>
        <w:fldChar w:fldCharType="begin"/>
      </w:r>
      <w:r>
        <w:instrText xml:space="preserve"> REF _Ref217309541 \r \r \h </w:instrText>
      </w:r>
      <w:r>
        <w:fldChar w:fldCharType="separate"/>
      </w:r>
      <w:r w:rsidR="00675925">
        <w:t>6.54</w:t>
      </w:r>
      <w:r>
        <w:fldChar w:fldCharType="end"/>
      </w:r>
      <w:r>
        <w:t>).</w:t>
      </w:r>
    </w:p>
    <w:p w14:paraId="6B686017" w14:textId="111AD889" w:rsidR="004D59D4" w:rsidRDefault="00023FAF" w:rsidP="00025AAC">
      <w:pPr>
        <w:pStyle w:val="ListParagraph"/>
        <w:numPr>
          <w:ilvl w:val="1"/>
          <w:numId w:val="47"/>
        </w:numPr>
        <w:spacing w:before="160" w:after="160"/>
        <w:jc w:val="both"/>
        <w:rPr>
          <w:rFonts w:eastAsiaTheme="minorHAnsi" w:cstheme="minorBidi"/>
          <w:szCs w:val="22"/>
        </w:rPr>
      </w:pPr>
      <w:r>
        <w:rPr>
          <w:rFonts w:eastAsiaTheme="minorHAnsi" w:cstheme="minorBidi"/>
          <w:szCs w:val="22"/>
        </w:rPr>
        <w:t xml:space="preserve">The most notable change to the model since the previous submission was the </w:t>
      </w:r>
      <w:proofErr w:type="spellStart"/>
      <w:r>
        <w:rPr>
          <w:rFonts w:eastAsiaTheme="minorHAnsi" w:cstheme="minorBidi"/>
          <w:szCs w:val="22"/>
        </w:rPr>
        <w:t>pegvaliase</w:t>
      </w:r>
      <w:proofErr w:type="spellEnd"/>
      <w:r>
        <w:rPr>
          <w:rFonts w:eastAsiaTheme="minorHAnsi" w:cstheme="minorBidi"/>
          <w:szCs w:val="22"/>
        </w:rPr>
        <w:t xml:space="preserve"> cost per </w:t>
      </w:r>
      <w:r>
        <w:t>syringe</w:t>
      </w:r>
      <w:r>
        <w:rPr>
          <w:rFonts w:eastAsiaTheme="minorHAnsi" w:cstheme="minorBidi"/>
          <w:szCs w:val="22"/>
        </w:rPr>
        <w:t xml:space="preserve"> (base case $</w:t>
      </w:r>
      <w:r w:rsidR="002615A2" w:rsidRPr="002615A2">
        <w:rPr>
          <w:rFonts w:eastAsiaTheme="minorHAnsi" w:cstheme="minorBidi"/>
          <w:sz w:val="2"/>
          <w:szCs w:val="22"/>
          <w:highlight w:val="black"/>
        </w:rPr>
        <w:t>redacted content</w:t>
      </w:r>
      <w:r w:rsidR="00153C7D">
        <w:rPr>
          <w:rFonts w:eastAsiaTheme="minorHAnsi" w:cstheme="minorBidi"/>
          <w:szCs w:val="22"/>
        </w:rPr>
        <w:t xml:space="preserve"> </w:t>
      </w:r>
      <w:r>
        <w:rPr>
          <w:rFonts w:eastAsiaTheme="minorHAnsi" w:cstheme="minorBidi"/>
          <w:szCs w:val="22"/>
        </w:rPr>
        <w:t>in the July 2022 submission compared with $</w:t>
      </w:r>
      <w:r w:rsidR="002615A2" w:rsidRPr="002615A2">
        <w:rPr>
          <w:rFonts w:eastAsiaTheme="minorHAnsi" w:cstheme="minorBidi"/>
          <w:sz w:val="2"/>
          <w:szCs w:val="22"/>
          <w:highlight w:val="black"/>
        </w:rPr>
        <w:t>redacted content</w:t>
      </w:r>
      <w:r>
        <w:rPr>
          <w:rFonts w:eastAsiaTheme="minorHAnsi" w:cstheme="minorBidi"/>
          <w:szCs w:val="22"/>
        </w:rPr>
        <w:t xml:space="preserve"> in the resubmission</w:t>
      </w:r>
      <w:r w:rsidRPr="002409A2">
        <w:rPr>
          <w:rFonts w:eastAsiaTheme="minorHAnsi" w:cstheme="minorBidi"/>
          <w:szCs w:val="22"/>
        </w:rPr>
        <w:t xml:space="preserve">). As discussed in paragraph </w:t>
      </w:r>
      <w:r w:rsidRPr="002409A2">
        <w:rPr>
          <w:rFonts w:eastAsiaTheme="minorHAnsi" w:cstheme="minorBidi"/>
          <w:szCs w:val="22"/>
        </w:rPr>
        <w:fldChar w:fldCharType="begin"/>
      </w:r>
      <w:r w:rsidRPr="002409A2">
        <w:rPr>
          <w:rFonts w:eastAsia="Calibri"/>
          <w:szCs w:val="22"/>
        </w:rPr>
        <w:instrText xml:space="preserve"> REF _Ref217396906 \r \r \h </w:instrText>
      </w:r>
      <w:r w:rsidR="00CB28D5" w:rsidRPr="00BC79FC">
        <w:rPr>
          <w:rFonts w:eastAsiaTheme="minorHAnsi" w:cstheme="minorBidi"/>
          <w:szCs w:val="22"/>
        </w:rPr>
        <w:instrText xml:space="preserve"> \* MERGEFORMAT </w:instrText>
      </w:r>
      <w:r w:rsidRPr="002409A2">
        <w:rPr>
          <w:rFonts w:eastAsiaTheme="minorHAnsi" w:cstheme="minorBidi"/>
          <w:szCs w:val="22"/>
        </w:rPr>
      </w:r>
      <w:r w:rsidRPr="002409A2">
        <w:rPr>
          <w:rFonts w:eastAsia="Calibri"/>
          <w:szCs w:val="22"/>
        </w:rPr>
        <w:fldChar w:fldCharType="separate"/>
      </w:r>
      <w:r w:rsidR="00E24060" w:rsidRPr="002409A2">
        <w:rPr>
          <w:rFonts w:eastAsia="Calibri"/>
          <w:szCs w:val="22"/>
        </w:rPr>
        <w:t>3.2</w:t>
      </w:r>
      <w:r w:rsidRPr="002409A2">
        <w:rPr>
          <w:rFonts w:eastAsia="Calibri"/>
          <w:szCs w:val="22"/>
        </w:rPr>
        <w:fldChar w:fldCharType="end"/>
      </w:r>
      <w:r w:rsidRPr="002409A2">
        <w:rPr>
          <w:rFonts w:eastAsiaTheme="minorHAnsi" w:cstheme="minorBidi"/>
          <w:szCs w:val="22"/>
        </w:rPr>
        <w:t>,</w:t>
      </w:r>
      <w:r>
        <w:rPr>
          <w:rFonts w:eastAsiaTheme="minorHAnsi" w:cstheme="minorBidi"/>
          <w:szCs w:val="22"/>
        </w:rPr>
        <w:t xml:space="preserve"> </w:t>
      </w:r>
      <w:r w:rsidRPr="00F348E3">
        <w:rPr>
          <w:rFonts w:eastAsiaTheme="minorHAnsi" w:cstheme="minorBidi"/>
          <w:szCs w:val="22"/>
        </w:rPr>
        <w:t xml:space="preserve">the </w:t>
      </w:r>
      <w:proofErr w:type="spellStart"/>
      <w:r w:rsidRPr="00F348E3">
        <w:rPr>
          <w:rFonts w:eastAsiaTheme="minorHAnsi" w:cstheme="minorBidi"/>
          <w:szCs w:val="22"/>
        </w:rPr>
        <w:t>pegvaliase</w:t>
      </w:r>
      <w:proofErr w:type="spellEnd"/>
      <w:r w:rsidRPr="00F348E3">
        <w:rPr>
          <w:rFonts w:eastAsiaTheme="minorHAnsi" w:cstheme="minorBidi"/>
          <w:szCs w:val="22"/>
        </w:rPr>
        <w:t xml:space="preserve"> cost included the</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Pr="000916EE">
        <w:rPr>
          <w:rFonts w:eastAsiaTheme="minorHAnsi" w:cstheme="minorBidi"/>
          <w:szCs w:val="22"/>
        </w:rPr>
        <w:t xml:space="preserve">the RSA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Pr>
          <w:rFonts w:eastAsiaTheme="minorHAnsi" w:cstheme="minorBidi"/>
          <w:szCs w:val="22"/>
        </w:rPr>
        <w:t xml:space="preserve"> </w:t>
      </w:r>
    </w:p>
    <w:p w14:paraId="1E3B4CB7" w14:textId="4D8FFCE2" w:rsidR="004D59D4" w:rsidRDefault="00023FAF" w:rsidP="00025AAC">
      <w:pPr>
        <w:pStyle w:val="ListParagraph"/>
        <w:numPr>
          <w:ilvl w:val="1"/>
          <w:numId w:val="48"/>
        </w:numPr>
        <w:spacing w:before="160" w:after="160"/>
        <w:jc w:val="both"/>
        <w:rPr>
          <w:rFonts w:eastAsiaTheme="minorHAnsi" w:cstheme="minorBidi"/>
          <w:szCs w:val="22"/>
        </w:rPr>
      </w:pPr>
      <w:r>
        <w:rPr>
          <w:rFonts w:eastAsiaTheme="minorHAnsi" w:cstheme="minorBidi"/>
          <w:szCs w:val="22"/>
        </w:rPr>
        <w:t xml:space="preserve">In the model, the implementation of the incidence of </w:t>
      </w:r>
      <w:proofErr w:type="spellStart"/>
      <w:r>
        <w:rPr>
          <w:rFonts w:eastAsiaTheme="minorHAnsi" w:cstheme="minorBidi"/>
          <w:szCs w:val="22"/>
        </w:rPr>
        <w:t>pegvaliase</w:t>
      </w:r>
      <w:proofErr w:type="spellEnd"/>
      <w:r>
        <w:rPr>
          <w:rFonts w:eastAsiaTheme="minorHAnsi" w:cstheme="minorBidi"/>
          <w:szCs w:val="22"/>
        </w:rPr>
        <w:t xml:space="preserve"> AEs was revised to consider only the incidence of patients who experienced an AE of grade ≥ 3 which was applied in cycle one only. This has been modified since the previous submission where a probability was applied for each cycle for as long as the patient remained on treatment. The resubmission claimed that since the risk of events declines as treatment duration increases, the approach used in the previous submission overestimated the number of AEs of grade ≥ 3 experienced by patients treated with </w:t>
      </w:r>
      <w:proofErr w:type="spellStart"/>
      <w:r>
        <w:rPr>
          <w:rFonts w:eastAsiaTheme="minorHAnsi" w:cstheme="minorBidi"/>
          <w:szCs w:val="22"/>
        </w:rPr>
        <w:t>pegvaliase</w:t>
      </w:r>
      <w:proofErr w:type="spellEnd"/>
      <w:r>
        <w:rPr>
          <w:rFonts w:eastAsiaTheme="minorHAnsi" w:cstheme="minorBidi"/>
          <w:szCs w:val="22"/>
        </w:rPr>
        <w:t xml:space="preserve">. Previously, the PBAC noted that patients who discontinued </w:t>
      </w:r>
      <w:proofErr w:type="spellStart"/>
      <w:r>
        <w:rPr>
          <w:rFonts w:eastAsiaTheme="minorHAnsi" w:cstheme="minorBidi"/>
          <w:szCs w:val="22"/>
        </w:rPr>
        <w:t>pegvaliase</w:t>
      </w:r>
      <w:proofErr w:type="spellEnd"/>
      <w:r>
        <w:rPr>
          <w:rFonts w:eastAsiaTheme="minorHAnsi" w:cstheme="minorBidi"/>
          <w:szCs w:val="22"/>
        </w:rPr>
        <w:t xml:space="preserve"> due to intolerance to therapy in PRISM 1 or PRISM 2 Part 1 were not included in PRISM 2 Part 2 and therefore the AE rates presented in the submission, particularly those relating to its immunogenicity (e.g., anaphylaxis, hypersensitivity, generalised skin reaction) are likely to underestimate the true burden of AEs for </w:t>
      </w:r>
      <w:proofErr w:type="spellStart"/>
      <w:r>
        <w:rPr>
          <w:rFonts w:eastAsiaTheme="minorHAnsi" w:cstheme="minorBidi"/>
          <w:szCs w:val="22"/>
        </w:rPr>
        <w:t>pegvaliase</w:t>
      </w:r>
      <w:proofErr w:type="spellEnd"/>
      <w:r>
        <w:rPr>
          <w:rFonts w:eastAsiaTheme="minorHAnsi" w:cstheme="minorBidi"/>
          <w:szCs w:val="22"/>
        </w:rPr>
        <w:t xml:space="preserve"> (paragraph 7.10, </w:t>
      </w:r>
      <w:proofErr w:type="spellStart"/>
      <w:r>
        <w:rPr>
          <w:rFonts w:eastAsiaTheme="minorHAnsi" w:cstheme="minorBidi"/>
          <w:szCs w:val="22"/>
        </w:rPr>
        <w:t>pegvaliase</w:t>
      </w:r>
      <w:proofErr w:type="spellEnd"/>
      <w:r>
        <w:rPr>
          <w:rFonts w:eastAsiaTheme="minorHAnsi" w:cstheme="minorBidi"/>
          <w:szCs w:val="22"/>
        </w:rPr>
        <w:t xml:space="preserve"> PSD, July 2-022 PBAC meeting). This issue remained in the current model and AE rates continued to be underestimated. Overall, the model was not particularly sensitive to the change made to AEs, reducing the ICER by </w:t>
      </w:r>
      <w:r w:rsidR="002615A2" w:rsidRPr="002615A2">
        <w:rPr>
          <w:rFonts w:eastAsiaTheme="minorHAnsi" w:cstheme="minorBidi"/>
          <w:sz w:val="2"/>
          <w:szCs w:val="22"/>
          <w:highlight w:val="black"/>
        </w:rPr>
        <w:t>redacted content</w:t>
      </w:r>
      <w:r>
        <w:rPr>
          <w:rFonts w:eastAsiaTheme="minorHAnsi" w:cstheme="minorBidi"/>
          <w:szCs w:val="22"/>
        </w:rPr>
        <w:t xml:space="preserve">%. The </w:t>
      </w:r>
      <w:proofErr w:type="spellStart"/>
      <w:r>
        <w:rPr>
          <w:rFonts w:eastAsiaTheme="minorHAnsi" w:cstheme="minorBidi"/>
          <w:szCs w:val="22"/>
        </w:rPr>
        <w:t>pegvaliase</w:t>
      </w:r>
      <w:proofErr w:type="spellEnd"/>
      <w:r>
        <w:rPr>
          <w:rFonts w:eastAsiaTheme="minorHAnsi" w:cstheme="minorBidi"/>
          <w:szCs w:val="22"/>
        </w:rPr>
        <w:t xml:space="preserve"> AEs were not associated with a disutility, which may not be reasonable given the resubmission’s clinical claim proposed that </w:t>
      </w:r>
      <w:proofErr w:type="spellStart"/>
      <w:r>
        <w:rPr>
          <w:rFonts w:eastAsiaTheme="minorHAnsi" w:cstheme="minorBidi"/>
          <w:szCs w:val="22"/>
        </w:rPr>
        <w:t>pegvaliase</w:t>
      </w:r>
      <w:proofErr w:type="spellEnd"/>
      <w:r>
        <w:rPr>
          <w:rFonts w:eastAsiaTheme="minorHAnsi" w:cstheme="minorBidi"/>
          <w:szCs w:val="22"/>
        </w:rPr>
        <w:t xml:space="preserve"> has inferior safety outcomes compared with a </w:t>
      </w:r>
      <w:proofErr w:type="spellStart"/>
      <w:r>
        <w:rPr>
          <w:rFonts w:eastAsiaTheme="minorHAnsi" w:cstheme="minorBidi"/>
          <w:szCs w:val="22"/>
        </w:rPr>
        <w:t>Phe</w:t>
      </w:r>
      <w:proofErr w:type="spellEnd"/>
      <w:r>
        <w:rPr>
          <w:rFonts w:eastAsiaTheme="minorHAnsi" w:cstheme="minorBidi"/>
          <w:szCs w:val="22"/>
        </w:rPr>
        <w:t>-restricted diet.</w:t>
      </w:r>
    </w:p>
    <w:p w14:paraId="63FAD3C8" w14:textId="7567308E" w:rsidR="004D59D4" w:rsidRPr="007B7FA2" w:rsidRDefault="00023FAF" w:rsidP="00025AAC">
      <w:pPr>
        <w:pStyle w:val="ListParagraph"/>
        <w:numPr>
          <w:ilvl w:val="1"/>
          <w:numId w:val="49"/>
        </w:numPr>
        <w:spacing w:before="160" w:after="160"/>
        <w:jc w:val="both"/>
        <w:rPr>
          <w:rFonts w:eastAsiaTheme="minorHAnsi" w:cstheme="minorBidi"/>
          <w:szCs w:val="22"/>
        </w:rPr>
      </w:pPr>
      <w:bookmarkStart w:id="77" w:name="_Ref217309541"/>
      <w:r>
        <w:rPr>
          <w:rFonts w:eastAsiaTheme="minorHAnsi" w:cstheme="minorBidi"/>
          <w:szCs w:val="22"/>
        </w:rPr>
        <w:t xml:space="preserve">While the previous submission assumed a </w:t>
      </w:r>
      <w:proofErr w:type="spellStart"/>
      <w:r>
        <w:rPr>
          <w:rFonts w:eastAsiaTheme="minorHAnsi" w:cstheme="minorBidi"/>
          <w:szCs w:val="22"/>
        </w:rPr>
        <w:t>pegvaliase</w:t>
      </w:r>
      <w:proofErr w:type="spellEnd"/>
      <w:r>
        <w:rPr>
          <w:rFonts w:eastAsiaTheme="minorHAnsi" w:cstheme="minorBidi"/>
          <w:szCs w:val="22"/>
        </w:rPr>
        <w:t xml:space="preserve"> mean dose of 30.5 mg/day based on data from PRISM 1 and 2, the resubmission’s model assumed a mean dose of 24.5 mg based on the sponsor’s database associated with the REMS program for patients who had been treated for at least 36 months. The resubmission claimed that the mean dose stabilises at around 24.5 mg/day after a follow-up time of least 36 months. It may not have been appropriate to use the mean dose for patients who had received three years of </w:t>
      </w:r>
      <w:proofErr w:type="spellStart"/>
      <w:r>
        <w:rPr>
          <w:rFonts w:eastAsiaTheme="minorHAnsi" w:cstheme="minorBidi"/>
          <w:szCs w:val="22"/>
        </w:rPr>
        <w:t>pegvaliase</w:t>
      </w:r>
      <w:proofErr w:type="spellEnd"/>
      <w:r>
        <w:rPr>
          <w:rFonts w:eastAsiaTheme="minorHAnsi" w:cstheme="minorBidi"/>
          <w:szCs w:val="22"/>
        </w:rPr>
        <w:t xml:space="preserve"> treatment. These data included treatment days in the </w:t>
      </w:r>
      <w:r>
        <w:rPr>
          <w:rFonts w:eastAsiaTheme="minorHAnsi" w:cstheme="minorBidi"/>
          <w:szCs w:val="22"/>
        </w:rPr>
        <w:lastRenderedPageBreak/>
        <w:t xml:space="preserve">titration period, which is likely to underestimate the long-term average dose, particularly given the long titration period for </w:t>
      </w:r>
      <w:proofErr w:type="spellStart"/>
      <w:r>
        <w:rPr>
          <w:rFonts w:eastAsiaTheme="minorHAnsi" w:cstheme="minorBidi"/>
          <w:szCs w:val="22"/>
        </w:rPr>
        <w:t>pegvaliase</w:t>
      </w:r>
      <w:proofErr w:type="spellEnd"/>
      <w:r>
        <w:rPr>
          <w:rFonts w:eastAsiaTheme="minorHAnsi" w:cstheme="minorBidi"/>
          <w:szCs w:val="22"/>
        </w:rPr>
        <w:t xml:space="preserve"> </w:t>
      </w:r>
      <w:r>
        <w:t>(Lah 2022 reported that the mean time to maximum dose was 31.8 weeks</w:t>
      </w:r>
      <w:r>
        <w:rPr>
          <w:rFonts w:eastAsiaTheme="minorHAnsi" w:cstheme="minorBidi"/>
          <w:szCs w:val="22"/>
        </w:rPr>
        <w:t xml:space="preserve">). As observed above, the PBAC previously noted that the </w:t>
      </w:r>
      <w:proofErr w:type="spellStart"/>
      <w:r>
        <w:rPr>
          <w:rFonts w:eastAsiaTheme="minorHAnsi" w:cstheme="minorBidi"/>
          <w:szCs w:val="22"/>
        </w:rPr>
        <w:t>pegvaliase</w:t>
      </w:r>
      <w:proofErr w:type="spellEnd"/>
      <w:r>
        <w:rPr>
          <w:rFonts w:eastAsiaTheme="minorHAnsi" w:cstheme="minorBidi"/>
          <w:szCs w:val="22"/>
        </w:rPr>
        <w:t xml:space="preserve"> dose (30.5 mg) was underestimated compared with clinical practice (paragraph 7.11, </w:t>
      </w:r>
      <w:proofErr w:type="spellStart"/>
      <w:r>
        <w:rPr>
          <w:rFonts w:eastAsiaTheme="minorHAnsi" w:cstheme="minorBidi"/>
          <w:szCs w:val="22"/>
        </w:rPr>
        <w:t>pegvaliase</w:t>
      </w:r>
      <w:proofErr w:type="spellEnd"/>
      <w:r>
        <w:rPr>
          <w:rFonts w:eastAsiaTheme="minorHAnsi" w:cstheme="minorBidi"/>
          <w:szCs w:val="22"/>
        </w:rPr>
        <w:t xml:space="preserve"> PSD, July 2022 PBAC meeting). Consequently, the mean dose </w:t>
      </w:r>
      <w:r w:rsidRPr="007B7FA2">
        <w:rPr>
          <w:rFonts w:eastAsiaTheme="minorHAnsi" w:cstheme="minorBidi"/>
          <w:szCs w:val="22"/>
        </w:rPr>
        <w:t xml:space="preserve">used in the resubmission is likely to be further underestimated. However, sensitivity analyses found the model was not particularly sensitive to this change (- 2.7%). Because the resubmission proposed the same price per syringe regardless of dose, the model was sensitive to the number of syringes per patient per day rather than the average dose per patient (refer to paragraph </w:t>
      </w:r>
      <w:bookmarkEnd w:id="77"/>
      <w:r w:rsidRPr="007B7FA2">
        <w:rPr>
          <w:rFonts w:eastAsiaTheme="minorHAnsi" w:cstheme="minorBidi"/>
          <w:szCs w:val="22"/>
        </w:rPr>
        <w:fldChar w:fldCharType="begin"/>
      </w:r>
      <w:r w:rsidRPr="007B7FA2">
        <w:rPr>
          <w:rFonts w:eastAsia="Calibri"/>
          <w:szCs w:val="22"/>
        </w:rPr>
        <w:instrText xml:space="preserve"> REF _Ref221805278 \r \r \h </w:instrText>
      </w:r>
      <w:r w:rsidR="007B7FA2" w:rsidRPr="007B7FA2">
        <w:rPr>
          <w:rFonts w:eastAsiaTheme="minorHAnsi" w:cstheme="minorBidi"/>
          <w:szCs w:val="22"/>
        </w:rPr>
        <w:instrText xml:space="preserve"> \* MERGEFORMAT </w:instrText>
      </w:r>
      <w:r w:rsidRPr="007B7FA2">
        <w:rPr>
          <w:rFonts w:eastAsiaTheme="minorHAnsi" w:cstheme="minorBidi"/>
          <w:szCs w:val="22"/>
        </w:rPr>
      </w:r>
      <w:r w:rsidRPr="007B7FA2">
        <w:rPr>
          <w:rFonts w:eastAsia="Calibri"/>
          <w:szCs w:val="22"/>
        </w:rPr>
        <w:fldChar w:fldCharType="separate"/>
      </w:r>
      <w:r w:rsidR="00675925">
        <w:rPr>
          <w:rFonts w:eastAsia="Calibri"/>
          <w:szCs w:val="22"/>
        </w:rPr>
        <w:t>6.74</w:t>
      </w:r>
      <w:r w:rsidRPr="007B7FA2">
        <w:rPr>
          <w:rFonts w:eastAsia="Calibri"/>
          <w:szCs w:val="22"/>
        </w:rPr>
        <w:fldChar w:fldCharType="end"/>
      </w:r>
      <w:r w:rsidRPr="007B7FA2">
        <w:rPr>
          <w:rFonts w:eastAsiaTheme="minorHAnsi" w:cstheme="minorBidi"/>
          <w:szCs w:val="22"/>
        </w:rPr>
        <w:t xml:space="preserve">). </w:t>
      </w:r>
    </w:p>
    <w:p w14:paraId="289B8E8D" w14:textId="5F2C5C31" w:rsidR="004D59D4" w:rsidRPr="007B7FA2" w:rsidRDefault="00023FAF" w:rsidP="00025AAC">
      <w:pPr>
        <w:pStyle w:val="3-BodyText"/>
        <w:numPr>
          <w:ilvl w:val="1"/>
          <w:numId w:val="50"/>
        </w:numPr>
        <w:spacing w:before="160" w:after="160"/>
      </w:pPr>
      <w:r w:rsidRPr="007B7FA2">
        <w:fldChar w:fldCharType="begin"/>
      </w:r>
      <w:r w:rsidRPr="007B7FA2">
        <w:instrText xml:space="preserve"> REF _Ref102422988 \h </w:instrText>
      </w:r>
      <w:r w:rsidR="007B7FA2" w:rsidRPr="007B7FA2">
        <w:instrText xml:space="preserve"> \* MERGEFORMAT </w:instrText>
      </w:r>
      <w:r w:rsidRPr="007B7FA2">
        <w:fldChar w:fldCharType="separate"/>
      </w:r>
      <w:r w:rsidR="006216EF" w:rsidRPr="006216EF">
        <w:t>Table 11</w:t>
      </w:r>
      <w:r w:rsidRPr="007B7FA2">
        <w:fldChar w:fldCharType="end"/>
      </w:r>
      <w:r w:rsidRPr="007B7FA2">
        <w:t xml:space="preserve"> provides a summary of the key drivers of the model. The economic model was most sensitive to the </w:t>
      </w:r>
      <w:proofErr w:type="spellStart"/>
      <w:r w:rsidRPr="007B7FA2">
        <w:t>pegvaliase</w:t>
      </w:r>
      <w:proofErr w:type="spellEnd"/>
      <w:r w:rsidRPr="007B7FA2">
        <w:t xml:space="preserve"> cost, the maintenance dose of </w:t>
      </w:r>
      <w:proofErr w:type="spellStart"/>
      <w:r w:rsidRPr="007B7FA2">
        <w:t>pegvaliase</w:t>
      </w:r>
      <w:proofErr w:type="spellEnd"/>
      <w:r w:rsidRPr="007B7FA2">
        <w:t xml:space="preserve"> and the utility values used in the model.</w:t>
      </w:r>
    </w:p>
    <w:p w14:paraId="72B88A77" w14:textId="3610D1EB" w:rsidR="004D59D4" w:rsidRDefault="00023FAF" w:rsidP="002359DE">
      <w:pPr>
        <w:pStyle w:val="TableFigureHeading"/>
        <w:rPr>
          <w:rStyle w:val="CommentReference"/>
          <w:b/>
          <w:szCs w:val="24"/>
        </w:rPr>
      </w:pPr>
      <w:bookmarkStart w:id="78" w:name="_Ref102422988"/>
      <w:r>
        <w:rPr>
          <w:rStyle w:val="CommentReference"/>
          <w:b/>
          <w:szCs w:val="24"/>
        </w:rPr>
        <w:t xml:space="preserve">Table </w:t>
      </w:r>
      <w:r>
        <w:rPr>
          <w:rStyle w:val="CommentReference"/>
          <w:b/>
          <w:szCs w:val="24"/>
        </w:rPr>
        <w:fldChar w:fldCharType="begin"/>
      </w:r>
      <w:r>
        <w:rPr>
          <w:rStyle w:val="CommentReference"/>
          <w:b/>
          <w:szCs w:val="24"/>
        </w:rPr>
        <w:instrText xml:space="preserve"> SEQ Table \* ARABIC </w:instrText>
      </w:r>
      <w:r>
        <w:rPr>
          <w:rStyle w:val="CommentReference"/>
          <w:b/>
          <w:szCs w:val="24"/>
        </w:rPr>
        <w:fldChar w:fldCharType="separate"/>
      </w:r>
      <w:r w:rsidR="00E24060">
        <w:rPr>
          <w:rStyle w:val="CommentReference"/>
          <w:b/>
          <w:noProof/>
          <w:szCs w:val="24"/>
        </w:rPr>
        <w:t>11</w:t>
      </w:r>
      <w:r>
        <w:rPr>
          <w:rStyle w:val="CommentReference"/>
          <w:b/>
          <w:szCs w:val="24"/>
        </w:rPr>
        <w:fldChar w:fldCharType="end"/>
      </w:r>
      <w:bookmarkEnd w:id="78"/>
      <w:r>
        <w:rPr>
          <w:rStyle w:val="CommentReference"/>
          <w:b/>
          <w:szCs w:val="24"/>
        </w:rPr>
        <w:t>: Key drivers of the model</w:t>
      </w:r>
    </w:p>
    <w:tbl>
      <w:tblPr>
        <w:tblW w:w="5000" w:type="pct"/>
        <w:tblLayout w:type="fixed"/>
        <w:tblCellMar>
          <w:left w:w="28" w:type="dxa"/>
          <w:right w:w="28" w:type="dxa"/>
        </w:tblCellMar>
        <w:tblLook w:val="04A0" w:firstRow="1" w:lastRow="0" w:firstColumn="1" w:lastColumn="0" w:noHBand="0" w:noVBand="1"/>
        <w:tblCaption w:val="Table 11: Key drivers of the model"/>
      </w:tblPr>
      <w:tblGrid>
        <w:gridCol w:w="1128"/>
        <w:gridCol w:w="4395"/>
        <w:gridCol w:w="3493"/>
      </w:tblGrid>
      <w:tr w:rsidR="004D59D4" w14:paraId="627B0120" w14:textId="77777777" w:rsidTr="002359DE">
        <w:trPr>
          <w:cantSplit/>
          <w:tblHeader/>
        </w:trPr>
        <w:tc>
          <w:tcPr>
            <w:tcW w:w="1129" w:type="dxa"/>
            <w:tcBorders>
              <w:top w:val="single" w:sz="4" w:space="0" w:color="000000"/>
              <w:left w:val="single" w:sz="4" w:space="0" w:color="000000"/>
              <w:bottom w:val="single" w:sz="4" w:space="0" w:color="000000"/>
              <w:right w:val="single" w:sz="4" w:space="0" w:color="000000"/>
            </w:tcBorders>
            <w:vAlign w:val="center"/>
          </w:tcPr>
          <w:p w14:paraId="2CA4EFDE" w14:textId="77777777" w:rsidR="004D59D4" w:rsidRDefault="00023FAF" w:rsidP="002359DE">
            <w:pPr>
              <w:pStyle w:val="In-tableHeading"/>
              <w:keepLines w:val="0"/>
              <w:rPr>
                <w:lang w:val="en-AU"/>
              </w:rPr>
            </w:pPr>
            <w:r>
              <w:rPr>
                <w:lang w:val="en-AU"/>
              </w:rPr>
              <w:t>Description</w:t>
            </w:r>
          </w:p>
        </w:tc>
        <w:tc>
          <w:tcPr>
            <w:tcW w:w="4400" w:type="dxa"/>
            <w:tcBorders>
              <w:top w:val="single" w:sz="4" w:space="0" w:color="000000"/>
              <w:left w:val="single" w:sz="4" w:space="0" w:color="000000"/>
              <w:bottom w:val="single" w:sz="4" w:space="0" w:color="000000"/>
              <w:right w:val="single" w:sz="4" w:space="0" w:color="000000"/>
            </w:tcBorders>
            <w:vAlign w:val="center"/>
          </w:tcPr>
          <w:p w14:paraId="4E92DC0F" w14:textId="77777777" w:rsidR="004D59D4" w:rsidRDefault="00023FAF" w:rsidP="002359DE">
            <w:pPr>
              <w:pStyle w:val="In-tableHeading"/>
              <w:keepLines w:val="0"/>
              <w:jc w:val="center"/>
              <w:rPr>
                <w:lang w:val="en-AU"/>
              </w:rPr>
            </w:pPr>
            <w:r>
              <w:rPr>
                <w:lang w:val="en-AU"/>
              </w:rPr>
              <w:t>Method/Value</w:t>
            </w:r>
          </w:p>
        </w:tc>
        <w:tc>
          <w:tcPr>
            <w:tcW w:w="3497" w:type="dxa"/>
            <w:tcBorders>
              <w:top w:val="single" w:sz="4" w:space="0" w:color="000000"/>
              <w:left w:val="single" w:sz="4" w:space="0" w:color="000000"/>
              <w:bottom w:val="single" w:sz="4" w:space="0" w:color="000000"/>
              <w:right w:val="single" w:sz="4" w:space="0" w:color="000000"/>
            </w:tcBorders>
            <w:vAlign w:val="center"/>
          </w:tcPr>
          <w:p w14:paraId="7310FF11" w14:textId="77777777" w:rsidR="004D59D4" w:rsidRDefault="00023FAF" w:rsidP="002359DE">
            <w:pPr>
              <w:pStyle w:val="In-tableHeading"/>
              <w:keepLines w:val="0"/>
              <w:jc w:val="center"/>
              <w:rPr>
                <w:lang w:val="en-AU"/>
              </w:rPr>
            </w:pPr>
            <w:r>
              <w:rPr>
                <w:lang w:val="en-AU"/>
              </w:rPr>
              <w:t>Impact</w:t>
            </w:r>
          </w:p>
          <w:p w14:paraId="6E162449" w14:textId="2412A7B4" w:rsidR="004D59D4" w:rsidRDefault="00023FAF" w:rsidP="002359DE">
            <w:pPr>
              <w:pStyle w:val="In-tableHeading"/>
              <w:keepLines w:val="0"/>
              <w:jc w:val="center"/>
              <w:rPr>
                <w:lang w:val="en-AU"/>
              </w:rPr>
            </w:pPr>
            <w:r>
              <w:rPr>
                <w:lang w:val="en-AU"/>
              </w:rPr>
              <w:t>Base case $</w:t>
            </w:r>
            <w:r w:rsidR="002615A2" w:rsidRPr="002615A2">
              <w:rPr>
                <w:sz w:val="2"/>
                <w:highlight w:val="black"/>
                <w:lang w:val="en-AU"/>
              </w:rPr>
              <w:t>redacted content</w:t>
            </w:r>
            <w:r w:rsidR="00E56777">
              <w:rPr>
                <w:vertAlign w:val="superscript"/>
                <w:lang w:val="en-AU"/>
              </w:rPr>
              <w:t>1</w:t>
            </w:r>
            <w:r>
              <w:rPr>
                <w:lang w:val="en-AU"/>
              </w:rPr>
              <w:t>/QALY</w:t>
            </w:r>
          </w:p>
        </w:tc>
      </w:tr>
      <w:tr w:rsidR="004D59D4" w14:paraId="166D874D" w14:textId="77777777" w:rsidTr="002359DE">
        <w:trPr>
          <w:cantSplit/>
          <w:tblHeader/>
        </w:trPr>
        <w:tc>
          <w:tcPr>
            <w:tcW w:w="1129" w:type="dxa"/>
            <w:tcBorders>
              <w:top w:val="single" w:sz="4" w:space="0" w:color="000000"/>
              <w:left w:val="single" w:sz="4" w:space="0" w:color="000000"/>
              <w:bottom w:val="single" w:sz="4" w:space="0" w:color="000000"/>
              <w:right w:val="single" w:sz="4" w:space="0" w:color="000000"/>
            </w:tcBorders>
          </w:tcPr>
          <w:p w14:paraId="23E7052A" w14:textId="77777777" w:rsidR="004D59D4" w:rsidRDefault="00023FAF" w:rsidP="002359DE">
            <w:pPr>
              <w:pStyle w:val="In-tableHeading"/>
              <w:keepLines w:val="0"/>
              <w:rPr>
                <w:b w:val="0"/>
                <w:bCs/>
                <w:lang w:val="en-AU"/>
              </w:rPr>
            </w:pPr>
            <w:proofErr w:type="spellStart"/>
            <w:r>
              <w:rPr>
                <w:b w:val="0"/>
                <w:bCs/>
                <w:lang w:val="en-AU"/>
              </w:rPr>
              <w:t>Pegvaliase</w:t>
            </w:r>
            <w:proofErr w:type="spellEnd"/>
            <w:r>
              <w:rPr>
                <w:b w:val="0"/>
                <w:bCs/>
                <w:lang w:val="en-AU"/>
              </w:rPr>
              <w:t xml:space="preserve"> price</w:t>
            </w:r>
          </w:p>
        </w:tc>
        <w:tc>
          <w:tcPr>
            <w:tcW w:w="4400" w:type="dxa"/>
            <w:tcBorders>
              <w:top w:val="single" w:sz="4" w:space="0" w:color="000000"/>
              <w:left w:val="single" w:sz="4" w:space="0" w:color="000000"/>
              <w:bottom w:val="single" w:sz="4" w:space="0" w:color="000000"/>
              <w:right w:val="single" w:sz="4" w:space="0" w:color="000000"/>
            </w:tcBorders>
          </w:tcPr>
          <w:p w14:paraId="70BDDC3E" w14:textId="488979DB" w:rsidR="004D59D4" w:rsidRDefault="00023FAF" w:rsidP="002359DE">
            <w:pPr>
              <w:pStyle w:val="In-tableHeading"/>
              <w:keepLines w:val="0"/>
              <w:rPr>
                <w:b w:val="0"/>
                <w:bCs/>
                <w:lang w:val="en-AU"/>
              </w:rPr>
            </w:pPr>
            <w:r>
              <w:rPr>
                <w:b w:val="0"/>
                <w:bCs/>
                <w:lang w:val="en-AU"/>
              </w:rPr>
              <w:t>While the model presented in the resubmission used a cost of $</w:t>
            </w:r>
            <w:r w:rsidR="002615A2" w:rsidRPr="002615A2">
              <w:rPr>
                <w:b w:val="0"/>
                <w:bCs/>
                <w:sz w:val="2"/>
                <w:highlight w:val="black"/>
                <w:lang w:val="en-AU"/>
              </w:rPr>
              <w:t>redacted content</w:t>
            </w:r>
            <w:r w:rsidRPr="007277BC">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p>
        </w:tc>
        <w:tc>
          <w:tcPr>
            <w:tcW w:w="3497" w:type="dxa"/>
            <w:tcBorders>
              <w:top w:val="single" w:sz="4" w:space="0" w:color="000000"/>
              <w:left w:val="single" w:sz="4" w:space="0" w:color="000000"/>
              <w:bottom w:val="single" w:sz="4" w:space="0" w:color="000000"/>
              <w:right w:val="single" w:sz="4" w:space="0" w:color="000000"/>
            </w:tcBorders>
          </w:tcPr>
          <w:p w14:paraId="3EB73B5F" w14:textId="7456496D" w:rsidR="004D59D4" w:rsidRDefault="00023FAF" w:rsidP="002359DE">
            <w:pPr>
              <w:pStyle w:val="In-tableHeading"/>
              <w:keepLines w:val="0"/>
              <w:rPr>
                <w:b w:val="0"/>
                <w:bCs/>
                <w:lang w:val="en-AU"/>
              </w:rPr>
            </w:pPr>
            <w:r>
              <w:rPr>
                <w:b w:val="0"/>
                <w:bCs/>
                <w:lang w:val="en-AU"/>
              </w:rPr>
              <w:t>High</w:t>
            </w:r>
            <w:r w:rsidRPr="00372590">
              <w:rPr>
                <w:b w:val="0"/>
                <w:bCs/>
                <w:lang w:val="en-AU"/>
              </w:rPr>
              <w: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Pr>
                <w:b w:val="0"/>
                <w:bCs/>
                <w:lang w:val="en-AU"/>
              </w:rPr>
              <w:t xml:space="preserve"> then the price would </w:t>
            </w:r>
            <w:r w:rsidRPr="009F5A8D">
              <w:rPr>
                <w:b w:val="0"/>
                <w:bCs/>
                <w:lang w:val="en-AU"/>
              </w:rPr>
              <w:t>be $510</w:t>
            </w:r>
            <w:r>
              <w:rPr>
                <w:b w:val="0"/>
                <w:bCs/>
                <w:lang w:val="en-AU"/>
              </w:rPr>
              <w:t xml:space="preserve"> and the ICER would increase to $</w:t>
            </w:r>
            <w:r w:rsidR="002615A2" w:rsidRPr="002615A2">
              <w:rPr>
                <w:b w:val="0"/>
                <w:bCs/>
                <w:sz w:val="2"/>
                <w:highlight w:val="black"/>
                <w:lang w:val="en-AU"/>
              </w:rPr>
              <w:t>redacted content</w:t>
            </w:r>
            <w:r w:rsidR="00B92B3B" w:rsidRPr="00B92B3B">
              <w:rPr>
                <w:b w:val="0"/>
                <w:bCs/>
                <w:lang w:val="en-AU"/>
              </w:rPr>
              <w:t xml:space="preserve"> </w:t>
            </w:r>
            <w:r w:rsidR="002615A2" w:rsidRPr="002615A2">
              <w:rPr>
                <w:b w:val="0"/>
                <w:bCs/>
                <w:sz w:val="2"/>
                <w:highlight w:val="black"/>
                <w:lang w:val="en-AU"/>
              </w:rPr>
              <w:t>redacted content</w:t>
            </w:r>
            <w:r>
              <w:rPr>
                <w:b w:val="0"/>
                <w:bCs/>
                <w:lang w:val="en-AU"/>
              </w:rPr>
              <w:t>/QALY (+</w:t>
            </w:r>
            <w:r w:rsidR="002615A2" w:rsidRPr="002615A2">
              <w:rPr>
                <w:b w:val="0"/>
                <w:bCs/>
                <w:sz w:val="2"/>
                <w:highlight w:val="black"/>
                <w:lang w:val="en-AU"/>
              </w:rPr>
              <w:t>redacted content</w:t>
            </w:r>
            <w:r>
              <w:rPr>
                <w:b w:val="0"/>
                <w:bCs/>
                <w:lang w:val="en-AU"/>
              </w:rPr>
              <w:t>%).</w:t>
            </w:r>
          </w:p>
        </w:tc>
      </w:tr>
      <w:tr w:rsidR="004D59D4" w14:paraId="74FB59C5" w14:textId="77777777" w:rsidTr="002359DE">
        <w:trPr>
          <w:cantSplit/>
          <w:tblHeader/>
        </w:trPr>
        <w:tc>
          <w:tcPr>
            <w:tcW w:w="1129" w:type="dxa"/>
            <w:tcBorders>
              <w:top w:val="single" w:sz="4" w:space="0" w:color="000000"/>
              <w:left w:val="single" w:sz="4" w:space="0" w:color="000000"/>
              <w:bottom w:val="single" w:sz="4" w:space="0" w:color="000000"/>
              <w:right w:val="single" w:sz="4" w:space="0" w:color="000000"/>
            </w:tcBorders>
          </w:tcPr>
          <w:p w14:paraId="02EC5C02" w14:textId="77777777" w:rsidR="004D59D4" w:rsidRPr="00B508B4" w:rsidRDefault="00023FAF" w:rsidP="009B5B4F">
            <w:pPr>
              <w:pStyle w:val="TableText1"/>
              <w:rPr>
                <w:iCs w:val="0"/>
              </w:rPr>
            </w:pPr>
            <w:r w:rsidRPr="00B508B4">
              <w:rPr>
                <w:iCs w:val="0"/>
              </w:rPr>
              <w:t xml:space="preserve">Number of </w:t>
            </w:r>
            <w:proofErr w:type="spellStart"/>
            <w:r w:rsidRPr="00B508B4">
              <w:rPr>
                <w:iCs w:val="0"/>
              </w:rPr>
              <w:t>pegvaliase</w:t>
            </w:r>
            <w:proofErr w:type="spellEnd"/>
            <w:r w:rsidRPr="00B508B4">
              <w:rPr>
                <w:iCs w:val="0"/>
              </w:rPr>
              <w:t xml:space="preserve"> syringes per day</w:t>
            </w:r>
          </w:p>
        </w:tc>
        <w:tc>
          <w:tcPr>
            <w:tcW w:w="4400" w:type="dxa"/>
            <w:tcBorders>
              <w:top w:val="single" w:sz="4" w:space="0" w:color="000000"/>
              <w:left w:val="single" w:sz="4" w:space="0" w:color="000000"/>
              <w:bottom w:val="single" w:sz="4" w:space="0" w:color="000000"/>
              <w:right w:val="single" w:sz="4" w:space="0" w:color="000000"/>
            </w:tcBorders>
          </w:tcPr>
          <w:p w14:paraId="409273B2" w14:textId="792B6564" w:rsidR="004D59D4" w:rsidRPr="00B508B4" w:rsidRDefault="00023FAF" w:rsidP="009B5B4F">
            <w:pPr>
              <w:pStyle w:val="TableText1"/>
              <w:rPr>
                <w:iCs w:val="0"/>
              </w:rPr>
            </w:pPr>
            <w:r w:rsidRPr="00B508B4">
              <w:rPr>
                <w:iCs w:val="0"/>
              </w:rPr>
              <w:t xml:space="preserve">The maintenance dose was assumed to be 24.5 mg/day based on sponsor data from the REMS program for patients who have a follow-up time of at least 36 months. However, as these data included the titration period, the long-term average dose was likely underestimated. However, the mean dose was similar with longer follow-up periods, which may reduce the risk that the method underestimates doses extrapolated over a longer treatment period (paragraph </w:t>
            </w:r>
            <w:r w:rsidRPr="00B508B4">
              <w:rPr>
                <w:iCs w:val="0"/>
              </w:rPr>
              <w:fldChar w:fldCharType="begin"/>
            </w:r>
            <w:r w:rsidRPr="00B508B4">
              <w:rPr>
                <w:iCs w:val="0"/>
              </w:rPr>
              <w:instrText xml:space="preserve"> REF _Ref221811925 \r \r \h </w:instrText>
            </w:r>
            <w:r w:rsidR="00B508B4">
              <w:rPr>
                <w:iCs w:val="0"/>
              </w:rPr>
              <w:instrText xml:space="preserve"> \* MERGEFORMAT </w:instrText>
            </w:r>
            <w:r w:rsidRPr="00B508B4">
              <w:rPr>
                <w:iCs w:val="0"/>
              </w:rPr>
            </w:r>
            <w:r w:rsidRPr="00B508B4">
              <w:rPr>
                <w:iCs w:val="0"/>
              </w:rPr>
              <w:fldChar w:fldCharType="separate"/>
            </w:r>
            <w:r w:rsidR="00E24060" w:rsidRPr="00B508B4">
              <w:rPr>
                <w:iCs w:val="0"/>
              </w:rPr>
              <w:t>6.74</w:t>
            </w:r>
            <w:r w:rsidRPr="00B508B4">
              <w:rPr>
                <w:iCs w:val="0"/>
              </w:rPr>
              <w:fldChar w:fldCharType="end"/>
            </w:r>
            <w:r w:rsidRPr="00B508B4">
              <w:rPr>
                <w:iCs w:val="0"/>
              </w:rPr>
              <w:t xml:space="preserve">), albeit the </w:t>
            </w:r>
            <w:proofErr w:type="gramStart"/>
            <w:r w:rsidRPr="00B508B4">
              <w:rPr>
                <w:iCs w:val="0"/>
              </w:rPr>
              <w:t>100 year</w:t>
            </w:r>
            <w:proofErr w:type="gramEnd"/>
            <w:r w:rsidRPr="00B508B4">
              <w:rPr>
                <w:iCs w:val="0"/>
              </w:rPr>
              <w:t xml:space="preserve"> time horizon applied in the economic model increases this uncertainty.</w:t>
            </w:r>
          </w:p>
        </w:tc>
        <w:tc>
          <w:tcPr>
            <w:tcW w:w="3497" w:type="dxa"/>
            <w:tcBorders>
              <w:top w:val="single" w:sz="4" w:space="0" w:color="000000"/>
              <w:left w:val="single" w:sz="4" w:space="0" w:color="000000"/>
              <w:bottom w:val="single" w:sz="4" w:space="0" w:color="000000"/>
              <w:right w:val="single" w:sz="4" w:space="0" w:color="000000"/>
            </w:tcBorders>
          </w:tcPr>
          <w:p w14:paraId="4D6D4BA2" w14:textId="074126E4" w:rsidR="004D59D4" w:rsidRPr="00B508B4" w:rsidRDefault="00023FAF" w:rsidP="009B5B4F">
            <w:pPr>
              <w:pStyle w:val="TableText1"/>
              <w:rPr>
                <w:iCs w:val="0"/>
              </w:rPr>
            </w:pPr>
            <w:r w:rsidRPr="00B508B4">
              <w:rPr>
                <w:iCs w:val="0"/>
              </w:rPr>
              <w:t>High. Assuming a maintenance dose of 60 mg/day increased the ICER to $</w:t>
            </w:r>
            <w:r w:rsidR="002615A2" w:rsidRPr="002615A2">
              <w:rPr>
                <w:iCs w:val="0"/>
                <w:sz w:val="2"/>
                <w:highlight w:val="black"/>
              </w:rPr>
              <w:t>redacted content</w:t>
            </w:r>
            <w:r w:rsidR="000E3677">
              <w:rPr>
                <w:iCs w:val="0"/>
                <w:vertAlign w:val="superscript"/>
              </w:rPr>
              <w:t>2</w:t>
            </w:r>
            <w:r w:rsidRPr="00B508B4">
              <w:rPr>
                <w:iCs w:val="0"/>
              </w:rPr>
              <w:t xml:space="preserve">/QALY, an increase of </w:t>
            </w:r>
            <w:r w:rsidR="002615A2" w:rsidRPr="002615A2">
              <w:rPr>
                <w:iCs w:val="0"/>
                <w:sz w:val="2"/>
                <w:highlight w:val="black"/>
              </w:rPr>
              <w:t>redacted content</w:t>
            </w:r>
            <w:r w:rsidRPr="00B508B4">
              <w:rPr>
                <w:iCs w:val="0"/>
              </w:rPr>
              <w:t xml:space="preserve">%. </w:t>
            </w:r>
          </w:p>
        </w:tc>
      </w:tr>
      <w:tr w:rsidR="004D59D4" w14:paraId="0E5198F2" w14:textId="77777777" w:rsidTr="002359DE">
        <w:trPr>
          <w:cantSplit/>
          <w:tblHeader/>
        </w:trPr>
        <w:tc>
          <w:tcPr>
            <w:tcW w:w="1129" w:type="dxa"/>
            <w:tcBorders>
              <w:top w:val="single" w:sz="4" w:space="0" w:color="000000"/>
              <w:left w:val="single" w:sz="4" w:space="0" w:color="000000"/>
              <w:bottom w:val="single" w:sz="4" w:space="0" w:color="000000"/>
              <w:right w:val="single" w:sz="4" w:space="0" w:color="000000"/>
            </w:tcBorders>
          </w:tcPr>
          <w:p w14:paraId="69AFC530" w14:textId="77777777" w:rsidR="004D59D4" w:rsidRDefault="00023FAF" w:rsidP="009B5B4F">
            <w:pPr>
              <w:pStyle w:val="TableText1"/>
              <w:rPr>
                <w:iCs w:val="0"/>
              </w:rPr>
            </w:pPr>
            <w:r>
              <w:rPr>
                <w:iCs w:val="0"/>
              </w:rPr>
              <w:t>Utility assumption</w:t>
            </w:r>
          </w:p>
        </w:tc>
        <w:tc>
          <w:tcPr>
            <w:tcW w:w="4400" w:type="dxa"/>
            <w:tcBorders>
              <w:top w:val="single" w:sz="4" w:space="0" w:color="000000"/>
              <w:left w:val="single" w:sz="4" w:space="0" w:color="000000"/>
              <w:bottom w:val="single" w:sz="4" w:space="0" w:color="000000"/>
              <w:right w:val="single" w:sz="4" w:space="0" w:color="000000"/>
            </w:tcBorders>
          </w:tcPr>
          <w:p w14:paraId="172CAE90" w14:textId="77777777" w:rsidR="004D59D4" w:rsidRDefault="00023FAF" w:rsidP="009B5B4F">
            <w:pPr>
              <w:pStyle w:val="TableText1"/>
              <w:rPr>
                <w:iCs w:val="0"/>
              </w:rPr>
            </w:pPr>
            <w:r>
              <w:rPr>
                <w:iCs w:val="0"/>
              </w:rPr>
              <w:t>Based on mapping from TTO, the resubmission used a higher utility for the best responder health state (120-360 µmol/L, 0.775) and lower utility for uncontrolled blood-</w:t>
            </w:r>
            <w:proofErr w:type="spellStart"/>
            <w:r>
              <w:rPr>
                <w:iCs w:val="0"/>
              </w:rPr>
              <w:t>Phe</w:t>
            </w:r>
            <w:proofErr w:type="spellEnd"/>
            <w:r>
              <w:rPr>
                <w:iCs w:val="0"/>
              </w:rPr>
              <w:t xml:space="preserve"> (&gt;1,201 µmol/L, 0.321) compared to previous </w:t>
            </w:r>
            <w:proofErr w:type="spellStart"/>
            <w:r>
              <w:rPr>
                <w:iCs w:val="0"/>
              </w:rPr>
              <w:t>sapropterin</w:t>
            </w:r>
            <w:proofErr w:type="spellEnd"/>
            <w:r>
              <w:rPr>
                <w:iCs w:val="0"/>
              </w:rPr>
              <w:t xml:space="preserve"> submission in March 2018 (0.71 and 0.37, respectively)</w:t>
            </w:r>
          </w:p>
        </w:tc>
        <w:tc>
          <w:tcPr>
            <w:tcW w:w="3497" w:type="dxa"/>
            <w:tcBorders>
              <w:top w:val="single" w:sz="4" w:space="0" w:color="000000"/>
              <w:left w:val="single" w:sz="4" w:space="0" w:color="000000"/>
              <w:bottom w:val="single" w:sz="4" w:space="0" w:color="000000"/>
              <w:right w:val="single" w:sz="4" w:space="0" w:color="000000"/>
            </w:tcBorders>
          </w:tcPr>
          <w:p w14:paraId="283181E9" w14:textId="2ECA884C" w:rsidR="004D59D4" w:rsidRDefault="00023FAF" w:rsidP="009B5B4F">
            <w:pPr>
              <w:pStyle w:val="TableText1"/>
              <w:rPr>
                <w:iCs w:val="0"/>
              </w:rPr>
            </w:pPr>
            <w:r>
              <w:rPr>
                <w:iCs w:val="0"/>
              </w:rPr>
              <w:t>Moderate. Using utility values from March 2018 for the best (120-360 µmol/L, 0.71) and worst blood-</w:t>
            </w:r>
            <w:proofErr w:type="spellStart"/>
            <w:r>
              <w:rPr>
                <w:iCs w:val="0"/>
              </w:rPr>
              <w:t>Phe</w:t>
            </w:r>
            <w:proofErr w:type="spellEnd"/>
            <w:r>
              <w:rPr>
                <w:iCs w:val="0"/>
              </w:rPr>
              <w:t xml:space="preserve"> (&gt;1,200 µmol/L, 0.37) categories increased the ICER to $</w:t>
            </w:r>
            <w:r w:rsidR="002615A2" w:rsidRPr="002615A2">
              <w:rPr>
                <w:iCs w:val="0"/>
                <w:sz w:val="2"/>
                <w:highlight w:val="black"/>
              </w:rPr>
              <w:t>redacted content</w:t>
            </w:r>
            <w:r w:rsidR="000E3677">
              <w:rPr>
                <w:iCs w:val="0"/>
                <w:vertAlign w:val="superscript"/>
              </w:rPr>
              <w:t>3</w:t>
            </w:r>
            <w:r>
              <w:rPr>
                <w:iCs w:val="0"/>
              </w:rPr>
              <w:t xml:space="preserve">, a </w:t>
            </w:r>
            <w:r w:rsidR="002615A2" w:rsidRPr="002615A2">
              <w:rPr>
                <w:iCs w:val="0"/>
                <w:sz w:val="2"/>
                <w:highlight w:val="black"/>
              </w:rPr>
              <w:t>redacted content</w:t>
            </w:r>
            <w:r>
              <w:rPr>
                <w:iCs w:val="0"/>
              </w:rPr>
              <w:t>% increase.</w:t>
            </w:r>
          </w:p>
        </w:tc>
      </w:tr>
    </w:tbl>
    <w:p w14:paraId="6B653276" w14:textId="77777777" w:rsidR="004D59D4" w:rsidRDefault="00023FAF" w:rsidP="009B5B4F">
      <w:pPr>
        <w:pStyle w:val="TableFigureFooter"/>
        <w:keepNext/>
      </w:pPr>
      <w:r>
        <w:t xml:space="preserve">Source: Constructed during the evaluation. </w:t>
      </w:r>
    </w:p>
    <w:p w14:paraId="24313435" w14:textId="77777777" w:rsidR="000E3677" w:rsidRDefault="00023FAF" w:rsidP="009B5B4F">
      <w:pPr>
        <w:pStyle w:val="TableFigureFooter"/>
        <w:keepNext/>
        <w:spacing w:before="160"/>
        <w:rPr>
          <w:i/>
          <w:iCs w:val="0"/>
        </w:rPr>
      </w:pPr>
      <w:r>
        <w:t xml:space="preserve">ICER = incremental cost effectiveness ratio; </w:t>
      </w:r>
      <w:proofErr w:type="spellStart"/>
      <w:r>
        <w:t>Phe</w:t>
      </w:r>
      <w:proofErr w:type="spellEnd"/>
      <w:r>
        <w:t xml:space="preserve"> = phenylalanine; QALY = quality adjusted life year gained; REMS = Risk Evaluation and Mitigation Strategy</w:t>
      </w:r>
      <w:r w:rsidR="001909B6">
        <w:br/>
      </w:r>
      <w:r w:rsidR="001909B6">
        <w:rPr>
          <w:i/>
          <w:iCs w:val="0"/>
        </w:rPr>
        <w:t>The redacted values correspond to the following ranges:</w:t>
      </w:r>
      <w:r w:rsidR="001909B6">
        <w:rPr>
          <w:i/>
          <w:iCs w:val="0"/>
        </w:rPr>
        <w:br/>
      </w:r>
      <w:r w:rsidR="001909B6">
        <w:rPr>
          <w:i/>
          <w:iCs w:val="0"/>
          <w:vertAlign w:val="superscript"/>
        </w:rPr>
        <w:t>1</w:t>
      </w:r>
      <w:r w:rsidR="001909B6">
        <w:rPr>
          <w:i/>
          <w:iCs w:val="0"/>
        </w:rPr>
        <w:t xml:space="preserve"> </w:t>
      </w:r>
      <w:r w:rsidR="00337CA0">
        <w:rPr>
          <w:i/>
          <w:iCs w:val="0"/>
        </w:rPr>
        <w:t>$255,000 to &lt; $355,000</w:t>
      </w:r>
      <w:r w:rsidR="000E3677">
        <w:rPr>
          <w:i/>
          <w:iCs w:val="0"/>
        </w:rPr>
        <w:t>2</w:t>
      </w:r>
    </w:p>
    <w:p w14:paraId="113C7588" w14:textId="627065E9" w:rsidR="001909B6" w:rsidRPr="000E3677" w:rsidRDefault="000E3677" w:rsidP="009B5B4F">
      <w:pPr>
        <w:pStyle w:val="TableFigureFooter"/>
        <w:keepNext/>
        <w:spacing w:before="160"/>
        <w:rPr>
          <w:i/>
          <w:iCs w:val="0"/>
        </w:rPr>
      </w:pPr>
      <w:r>
        <w:rPr>
          <w:i/>
          <w:iCs w:val="0"/>
          <w:vertAlign w:val="superscript"/>
        </w:rPr>
        <w:t>2</w:t>
      </w:r>
      <w:r w:rsidR="00B92B3B">
        <w:rPr>
          <w:i/>
          <w:iCs w:val="0"/>
          <w:vertAlign w:val="superscript"/>
        </w:rPr>
        <w:t xml:space="preserve"> </w:t>
      </w:r>
      <w:r w:rsidR="00337CA0">
        <w:rPr>
          <w:i/>
          <w:iCs w:val="0"/>
        </w:rPr>
        <w:t>$</w:t>
      </w:r>
      <w:r w:rsidR="00337CA0" w:rsidRPr="00337CA0">
        <w:rPr>
          <w:i/>
          <w:iCs w:val="0"/>
        </w:rPr>
        <w:t>455</w:t>
      </w:r>
      <w:r w:rsidR="00337CA0">
        <w:rPr>
          <w:i/>
          <w:iCs w:val="0"/>
        </w:rPr>
        <w:t>,000 to &lt; $555,000</w:t>
      </w:r>
      <w:r w:rsidR="00230F4E">
        <w:rPr>
          <w:i/>
          <w:iCs w:val="0"/>
        </w:rPr>
        <w:br/>
      </w:r>
      <w:r>
        <w:rPr>
          <w:i/>
          <w:iCs w:val="0"/>
          <w:vertAlign w:val="superscript"/>
        </w:rPr>
        <w:t>3</w:t>
      </w:r>
      <w:r w:rsidR="00230F4E">
        <w:rPr>
          <w:i/>
          <w:iCs w:val="0"/>
        </w:rPr>
        <w:t xml:space="preserve"> $355,000 to &lt; $455,000</w:t>
      </w:r>
      <w:r w:rsidR="00230F4E">
        <w:rPr>
          <w:i/>
          <w:iCs w:val="0"/>
        </w:rPr>
        <w:br/>
      </w:r>
    </w:p>
    <w:p w14:paraId="1026A648" w14:textId="589E9DB1" w:rsidR="00A15489" w:rsidRPr="00230F4E" w:rsidRDefault="00023FAF" w:rsidP="00267EF5">
      <w:pPr>
        <w:pStyle w:val="3-BodyText"/>
        <w:numPr>
          <w:ilvl w:val="1"/>
          <w:numId w:val="51"/>
        </w:numPr>
        <w:spacing w:before="160"/>
      </w:pPr>
      <w:r>
        <w:t xml:space="preserve">The results of the stepped evaluation in the resubmission which are based on the means for the incremental cost and outcomes from 5,000 iterations are provided in </w:t>
      </w:r>
      <w:r>
        <w:fldChar w:fldCharType="begin"/>
      </w:r>
      <w:r>
        <w:instrText xml:space="preserve"> REF _Ref216363822 \h </w:instrText>
      </w:r>
      <w:r>
        <w:fldChar w:fldCharType="separate"/>
      </w:r>
      <w:r w:rsidR="00E24060">
        <w:t xml:space="preserve">Table </w:t>
      </w:r>
      <w:r w:rsidR="00E24060">
        <w:rPr>
          <w:noProof/>
        </w:rPr>
        <w:t>12</w:t>
      </w:r>
      <w:r>
        <w:fldChar w:fldCharType="end"/>
      </w:r>
      <w:r>
        <w:t>.</w:t>
      </w:r>
    </w:p>
    <w:p w14:paraId="42D500BD" w14:textId="431A0FFB" w:rsidR="004D59D4" w:rsidRDefault="00023FAF" w:rsidP="00025AAC">
      <w:pPr>
        <w:pStyle w:val="Caption"/>
        <w:spacing w:before="160"/>
        <w:rPr>
          <w:rStyle w:val="CommentReference"/>
          <w:b/>
          <w:szCs w:val="24"/>
        </w:rPr>
      </w:pPr>
      <w:bookmarkStart w:id="79" w:name="_Ref216363822"/>
      <w:r>
        <w:lastRenderedPageBreak/>
        <w:t xml:space="preserve">Table </w:t>
      </w:r>
      <w:fldSimple w:instr=" SEQ Table \* ARABIC ">
        <w:r w:rsidR="00E24060">
          <w:rPr>
            <w:noProof/>
          </w:rPr>
          <w:t>12</w:t>
        </w:r>
      </w:fldSimple>
      <w:bookmarkEnd w:id="79"/>
      <w:r>
        <w:t>:</w:t>
      </w:r>
      <w:r>
        <w:rPr>
          <w:rStyle w:val="CommentReference"/>
          <w:b/>
          <w:szCs w:val="24"/>
        </w:rPr>
        <w:t xml:space="preserve"> Results of the stepped economic evaluation (</w:t>
      </w:r>
      <w:proofErr w:type="spellStart"/>
      <w:r>
        <w:rPr>
          <w:rStyle w:val="CommentReference"/>
          <w:b/>
          <w:szCs w:val="24"/>
        </w:rPr>
        <w:t>pegvaliase</w:t>
      </w:r>
      <w:proofErr w:type="spellEnd"/>
      <w:r>
        <w:rPr>
          <w:rStyle w:val="CommentReference"/>
          <w:b/>
          <w:szCs w:val="24"/>
        </w:rPr>
        <w:t xml:space="preserve"> price = $</w:t>
      </w:r>
      <w:r w:rsidR="002615A2" w:rsidRPr="002615A2">
        <w:rPr>
          <w:rStyle w:val="CommentReference"/>
          <w:b/>
          <w:sz w:val="2"/>
          <w:szCs w:val="24"/>
          <w:highlight w:val="black"/>
        </w:rPr>
        <w:t>redacted content</w:t>
      </w:r>
      <w:r>
        <w:rPr>
          <w:rStyle w:val="CommentReference"/>
          <w:b/>
          <w:szCs w:val="24"/>
        </w:rPr>
        <w:t>)</w:t>
      </w:r>
    </w:p>
    <w:tbl>
      <w:tblPr>
        <w:tblStyle w:val="TableGrid"/>
        <w:tblW w:w="5000" w:type="pct"/>
        <w:tblLayout w:type="fixed"/>
        <w:tblLook w:val="04A0" w:firstRow="1" w:lastRow="0" w:firstColumn="1" w:lastColumn="0" w:noHBand="0" w:noVBand="1"/>
        <w:tblCaption w:val="Table 12: Results of the stepped economic evaluation (pegvaliase price = $redacted content)"/>
      </w:tblPr>
      <w:tblGrid>
        <w:gridCol w:w="1535"/>
        <w:gridCol w:w="1123"/>
        <w:gridCol w:w="981"/>
        <w:gridCol w:w="1124"/>
        <w:gridCol w:w="1154"/>
        <w:gridCol w:w="987"/>
        <w:gridCol w:w="845"/>
        <w:gridCol w:w="1267"/>
      </w:tblGrid>
      <w:tr w:rsidR="004D59D4" w14:paraId="521B4C78" w14:textId="77777777">
        <w:trPr>
          <w:trHeight w:val="152"/>
        </w:trPr>
        <w:tc>
          <w:tcPr>
            <w:tcW w:w="1538" w:type="dxa"/>
            <w:vMerge w:val="restart"/>
            <w:vAlign w:val="center"/>
          </w:tcPr>
          <w:p w14:paraId="008A235D" w14:textId="77777777" w:rsidR="004D59D4" w:rsidRDefault="00023FAF" w:rsidP="00025AAC">
            <w:pPr>
              <w:pStyle w:val="In-tableHeading"/>
              <w:rPr>
                <w:bCs/>
              </w:rPr>
            </w:pPr>
            <w:r>
              <w:rPr>
                <w:bCs/>
              </w:rPr>
              <w:t>Data</w:t>
            </w:r>
          </w:p>
        </w:tc>
        <w:tc>
          <w:tcPr>
            <w:tcW w:w="3231" w:type="dxa"/>
            <w:gridSpan w:val="3"/>
            <w:vAlign w:val="center"/>
          </w:tcPr>
          <w:p w14:paraId="4E7B4BF3" w14:textId="77777777" w:rsidR="004D59D4" w:rsidRDefault="00023FAF" w:rsidP="00025AAC">
            <w:pPr>
              <w:pStyle w:val="In-tableHeading"/>
              <w:jc w:val="center"/>
              <w:rPr>
                <w:bCs/>
              </w:rPr>
            </w:pPr>
            <w:r>
              <w:rPr>
                <w:bCs/>
              </w:rPr>
              <w:t>Costs</w:t>
            </w:r>
          </w:p>
        </w:tc>
        <w:tc>
          <w:tcPr>
            <w:tcW w:w="2989" w:type="dxa"/>
            <w:gridSpan w:val="3"/>
            <w:vAlign w:val="center"/>
          </w:tcPr>
          <w:p w14:paraId="6B1D86B6" w14:textId="77777777" w:rsidR="004D59D4" w:rsidRDefault="00023FAF" w:rsidP="00025AAC">
            <w:pPr>
              <w:pStyle w:val="In-tableHeading"/>
              <w:jc w:val="center"/>
              <w:rPr>
                <w:bCs/>
              </w:rPr>
            </w:pPr>
            <w:r>
              <w:rPr>
                <w:bCs/>
              </w:rPr>
              <w:t>Outcomes</w:t>
            </w:r>
          </w:p>
        </w:tc>
        <w:tc>
          <w:tcPr>
            <w:tcW w:w="1268" w:type="dxa"/>
            <w:vMerge w:val="restart"/>
            <w:vAlign w:val="center"/>
          </w:tcPr>
          <w:p w14:paraId="66C5ECD3" w14:textId="77777777" w:rsidR="004D59D4" w:rsidRDefault="00023FAF" w:rsidP="00025AAC">
            <w:pPr>
              <w:pStyle w:val="In-tableHeading"/>
              <w:jc w:val="center"/>
              <w:rPr>
                <w:bCs/>
              </w:rPr>
            </w:pPr>
            <w:r>
              <w:rPr>
                <w:bCs/>
              </w:rPr>
              <w:t>ICER</w:t>
            </w:r>
          </w:p>
        </w:tc>
      </w:tr>
      <w:tr w:rsidR="004D59D4" w14:paraId="387AB107" w14:textId="77777777">
        <w:tc>
          <w:tcPr>
            <w:tcW w:w="1538" w:type="dxa"/>
            <w:vMerge/>
            <w:shd w:val="clear" w:color="auto" w:fill="F2F2F2" w:themeFill="background1" w:themeFillShade="F2"/>
            <w:vAlign w:val="center"/>
          </w:tcPr>
          <w:p w14:paraId="7C516E0F" w14:textId="77777777" w:rsidR="004D59D4" w:rsidRDefault="004D59D4" w:rsidP="00025AAC">
            <w:pPr>
              <w:pStyle w:val="TableText1"/>
            </w:pPr>
          </w:p>
        </w:tc>
        <w:tc>
          <w:tcPr>
            <w:tcW w:w="1124" w:type="dxa"/>
            <w:vAlign w:val="center"/>
          </w:tcPr>
          <w:p w14:paraId="5AF826D0" w14:textId="77777777" w:rsidR="004D59D4" w:rsidRDefault="00023FAF" w:rsidP="00025AAC">
            <w:pPr>
              <w:pStyle w:val="In-tableHeading"/>
              <w:jc w:val="center"/>
            </w:pPr>
            <w:proofErr w:type="spellStart"/>
            <w:r>
              <w:t>Pegvaliase</w:t>
            </w:r>
            <w:proofErr w:type="spellEnd"/>
          </w:p>
        </w:tc>
        <w:tc>
          <w:tcPr>
            <w:tcW w:w="982" w:type="dxa"/>
            <w:vAlign w:val="center"/>
          </w:tcPr>
          <w:p w14:paraId="7CF5F305" w14:textId="77777777" w:rsidR="004D59D4" w:rsidRDefault="00023FAF" w:rsidP="00025AAC">
            <w:pPr>
              <w:pStyle w:val="In-tableHeading"/>
              <w:jc w:val="center"/>
            </w:pPr>
            <w:proofErr w:type="spellStart"/>
            <w:r>
              <w:t>Phe</w:t>
            </w:r>
            <w:proofErr w:type="spellEnd"/>
            <w:r>
              <w:t xml:space="preserve"> restricted diet alone</w:t>
            </w:r>
          </w:p>
        </w:tc>
        <w:tc>
          <w:tcPr>
            <w:tcW w:w="1125" w:type="dxa"/>
            <w:vAlign w:val="center"/>
          </w:tcPr>
          <w:p w14:paraId="0278F185" w14:textId="77777777" w:rsidR="004D59D4" w:rsidRDefault="00023FAF" w:rsidP="00025AAC">
            <w:pPr>
              <w:pStyle w:val="In-tableHeading"/>
              <w:jc w:val="center"/>
            </w:pPr>
            <w:proofErr w:type="spellStart"/>
            <w:r>
              <w:t>Incr</w:t>
            </w:r>
            <w:proofErr w:type="spellEnd"/>
          </w:p>
        </w:tc>
        <w:tc>
          <w:tcPr>
            <w:tcW w:w="1155" w:type="dxa"/>
            <w:vAlign w:val="center"/>
          </w:tcPr>
          <w:p w14:paraId="74D6219A" w14:textId="77777777" w:rsidR="004D59D4" w:rsidRDefault="00023FAF" w:rsidP="00025AAC">
            <w:pPr>
              <w:pStyle w:val="In-tableHeading"/>
              <w:jc w:val="center"/>
            </w:pPr>
            <w:proofErr w:type="spellStart"/>
            <w:r>
              <w:t>Pegvaliase</w:t>
            </w:r>
            <w:proofErr w:type="spellEnd"/>
          </w:p>
        </w:tc>
        <w:tc>
          <w:tcPr>
            <w:tcW w:w="988" w:type="dxa"/>
            <w:vAlign w:val="center"/>
          </w:tcPr>
          <w:p w14:paraId="55D40A2E" w14:textId="77777777" w:rsidR="004D59D4" w:rsidRDefault="00023FAF" w:rsidP="00025AAC">
            <w:pPr>
              <w:pStyle w:val="In-tableHeading"/>
              <w:jc w:val="center"/>
            </w:pPr>
            <w:proofErr w:type="spellStart"/>
            <w:r>
              <w:t>Phe</w:t>
            </w:r>
            <w:proofErr w:type="spellEnd"/>
            <w:r>
              <w:t xml:space="preserve"> restricted diet alone</w:t>
            </w:r>
          </w:p>
        </w:tc>
        <w:tc>
          <w:tcPr>
            <w:tcW w:w="846" w:type="dxa"/>
            <w:vAlign w:val="center"/>
          </w:tcPr>
          <w:p w14:paraId="4297736F" w14:textId="77777777" w:rsidR="004D59D4" w:rsidRDefault="00023FAF" w:rsidP="00025AAC">
            <w:pPr>
              <w:pStyle w:val="In-tableHeading"/>
              <w:jc w:val="center"/>
            </w:pPr>
            <w:proofErr w:type="spellStart"/>
            <w:r>
              <w:t>Incr</w:t>
            </w:r>
            <w:proofErr w:type="spellEnd"/>
          </w:p>
        </w:tc>
        <w:tc>
          <w:tcPr>
            <w:tcW w:w="1268" w:type="dxa"/>
            <w:vMerge/>
            <w:shd w:val="clear" w:color="auto" w:fill="F2F2F2" w:themeFill="background1" w:themeFillShade="F2"/>
            <w:vAlign w:val="center"/>
          </w:tcPr>
          <w:p w14:paraId="4734324E" w14:textId="77777777" w:rsidR="004D59D4" w:rsidRDefault="004D59D4" w:rsidP="00025AAC">
            <w:pPr>
              <w:pStyle w:val="TableText1"/>
            </w:pPr>
          </w:p>
        </w:tc>
      </w:tr>
      <w:tr w:rsidR="004D59D4" w14:paraId="1FA27AAF" w14:textId="77777777">
        <w:tc>
          <w:tcPr>
            <w:tcW w:w="1538" w:type="dxa"/>
            <w:vAlign w:val="center"/>
          </w:tcPr>
          <w:p w14:paraId="55E63973" w14:textId="77777777" w:rsidR="004D59D4" w:rsidRDefault="00023FAF" w:rsidP="00025AAC">
            <w:pPr>
              <w:pStyle w:val="TableText1"/>
            </w:pPr>
            <w:r>
              <w:t>Step 1: Response rate with time horizon of 2 years</w:t>
            </w:r>
          </w:p>
        </w:tc>
        <w:tc>
          <w:tcPr>
            <w:tcW w:w="1124" w:type="dxa"/>
            <w:vAlign w:val="center"/>
          </w:tcPr>
          <w:p w14:paraId="7C36DDCB" w14:textId="18565130" w:rsidR="004D59D4" w:rsidRDefault="00023FAF" w:rsidP="00025AAC">
            <w:pPr>
              <w:pStyle w:val="TableText1"/>
              <w:jc w:val="center"/>
            </w:pPr>
            <w:r>
              <w:rPr>
                <w:rFonts w:cs="Calibri"/>
              </w:rPr>
              <w:t>$</w:t>
            </w:r>
            <w:r w:rsidR="002615A2" w:rsidRPr="002615A2">
              <w:rPr>
                <w:rFonts w:cs="Calibri"/>
                <w:sz w:val="2"/>
                <w:highlight w:val="black"/>
              </w:rPr>
              <w:t>redacted content</w:t>
            </w:r>
          </w:p>
        </w:tc>
        <w:tc>
          <w:tcPr>
            <w:tcW w:w="982" w:type="dxa"/>
            <w:vAlign w:val="center"/>
          </w:tcPr>
          <w:p w14:paraId="5FE7BFF6" w14:textId="77777777" w:rsidR="004D59D4" w:rsidRDefault="00023FAF" w:rsidP="00025AAC">
            <w:pPr>
              <w:pStyle w:val="TableText1"/>
              <w:jc w:val="center"/>
            </w:pPr>
            <w:r>
              <w:rPr>
                <w:rFonts w:cs="Calibri"/>
              </w:rPr>
              <w:t>$21,602</w:t>
            </w:r>
          </w:p>
        </w:tc>
        <w:tc>
          <w:tcPr>
            <w:tcW w:w="1125" w:type="dxa"/>
            <w:vAlign w:val="center"/>
          </w:tcPr>
          <w:p w14:paraId="58BC2CF0" w14:textId="2E607B4E" w:rsidR="004D59D4" w:rsidRDefault="00023FAF" w:rsidP="00025AAC">
            <w:pPr>
              <w:pStyle w:val="TableText1"/>
              <w:jc w:val="center"/>
            </w:pPr>
            <w:r>
              <w:rPr>
                <w:rFonts w:cs="Calibri"/>
              </w:rPr>
              <w:t>$</w:t>
            </w:r>
            <w:r w:rsidR="002615A2" w:rsidRPr="002615A2">
              <w:rPr>
                <w:rFonts w:cs="Calibri"/>
                <w:sz w:val="2"/>
                <w:highlight w:val="black"/>
              </w:rPr>
              <w:t>redacted content</w:t>
            </w:r>
          </w:p>
        </w:tc>
        <w:tc>
          <w:tcPr>
            <w:tcW w:w="1155" w:type="dxa"/>
            <w:vAlign w:val="center"/>
          </w:tcPr>
          <w:p w14:paraId="4614D498" w14:textId="77777777" w:rsidR="004D59D4" w:rsidRDefault="00023FAF" w:rsidP="00025AAC">
            <w:pPr>
              <w:pStyle w:val="TableText1"/>
              <w:jc w:val="center"/>
            </w:pPr>
            <w:r>
              <w:rPr>
                <w:rFonts w:cs="Calibri"/>
              </w:rPr>
              <w:t>90.30%</w:t>
            </w:r>
          </w:p>
        </w:tc>
        <w:tc>
          <w:tcPr>
            <w:tcW w:w="988" w:type="dxa"/>
            <w:vAlign w:val="center"/>
          </w:tcPr>
          <w:p w14:paraId="282CAA28" w14:textId="77777777" w:rsidR="004D59D4" w:rsidRDefault="00023FAF" w:rsidP="00025AAC">
            <w:pPr>
              <w:pStyle w:val="TableText1"/>
              <w:jc w:val="center"/>
            </w:pPr>
            <w:r>
              <w:rPr>
                <w:rFonts w:cs="Calibri"/>
              </w:rPr>
              <w:t>0.12%</w:t>
            </w:r>
          </w:p>
        </w:tc>
        <w:tc>
          <w:tcPr>
            <w:tcW w:w="846" w:type="dxa"/>
            <w:vAlign w:val="center"/>
          </w:tcPr>
          <w:p w14:paraId="54887953" w14:textId="77777777" w:rsidR="004D59D4" w:rsidRDefault="00023FAF" w:rsidP="00025AAC">
            <w:pPr>
              <w:pStyle w:val="TableText1"/>
              <w:jc w:val="center"/>
            </w:pPr>
            <w:r>
              <w:rPr>
                <w:rFonts w:cs="Calibri"/>
              </w:rPr>
              <w:t>90.18%</w:t>
            </w:r>
          </w:p>
        </w:tc>
        <w:tc>
          <w:tcPr>
            <w:tcW w:w="1268" w:type="dxa"/>
            <w:vAlign w:val="center"/>
          </w:tcPr>
          <w:p w14:paraId="12A35938" w14:textId="7E0F874A" w:rsidR="004D59D4" w:rsidRDefault="00023FAF" w:rsidP="00025AAC">
            <w:pPr>
              <w:pStyle w:val="TableText1"/>
              <w:jc w:val="center"/>
            </w:pPr>
            <w:r>
              <w:rPr>
                <w:rFonts w:cs="Calibri"/>
              </w:rPr>
              <w:t>$</w:t>
            </w:r>
            <w:r w:rsidR="002615A2" w:rsidRPr="002615A2">
              <w:rPr>
                <w:rFonts w:cs="Calibri"/>
                <w:sz w:val="2"/>
                <w:highlight w:val="black"/>
              </w:rPr>
              <w:t>redacted content</w:t>
            </w:r>
            <w:r w:rsidR="00B7178F">
              <w:rPr>
                <w:rFonts w:cs="Calibri"/>
                <w:vertAlign w:val="superscript"/>
              </w:rPr>
              <w:t>1</w:t>
            </w:r>
            <w:r>
              <w:rPr>
                <w:rFonts w:cs="Calibri"/>
              </w:rPr>
              <w:t xml:space="preserve"> per responder</w:t>
            </w:r>
          </w:p>
        </w:tc>
      </w:tr>
      <w:tr w:rsidR="004D59D4" w14:paraId="0766EB2B" w14:textId="77777777">
        <w:tc>
          <w:tcPr>
            <w:tcW w:w="1538" w:type="dxa"/>
            <w:vAlign w:val="center"/>
          </w:tcPr>
          <w:p w14:paraId="37494E09" w14:textId="77777777" w:rsidR="004D59D4" w:rsidRDefault="00023FAF" w:rsidP="00025AAC">
            <w:pPr>
              <w:pStyle w:val="TableText1"/>
            </w:pPr>
            <w:r>
              <w:t>Step 2: Step 1 + extrapolation, background mortality, treatment discontinuation, transformation to QALYs</w:t>
            </w:r>
          </w:p>
        </w:tc>
        <w:tc>
          <w:tcPr>
            <w:tcW w:w="1124" w:type="dxa"/>
            <w:vAlign w:val="center"/>
          </w:tcPr>
          <w:p w14:paraId="12438D88" w14:textId="2CF47BBF" w:rsidR="004D59D4" w:rsidRDefault="00023FAF" w:rsidP="00267EF5">
            <w:pPr>
              <w:pStyle w:val="TableText1"/>
            </w:pPr>
            <w:r>
              <w:rPr>
                <w:rFonts w:cs="Calibri"/>
              </w:rPr>
              <w:t>$</w:t>
            </w:r>
            <w:r w:rsidR="002615A2" w:rsidRPr="002615A2">
              <w:rPr>
                <w:rFonts w:cs="Calibri"/>
                <w:sz w:val="2"/>
                <w:highlight w:val="black"/>
              </w:rPr>
              <w:t>redacted content</w:t>
            </w:r>
          </w:p>
        </w:tc>
        <w:tc>
          <w:tcPr>
            <w:tcW w:w="982" w:type="dxa"/>
            <w:vAlign w:val="center"/>
          </w:tcPr>
          <w:p w14:paraId="44996137" w14:textId="77777777" w:rsidR="004D59D4" w:rsidRDefault="00023FAF" w:rsidP="00025AAC">
            <w:pPr>
              <w:pStyle w:val="TableText1"/>
              <w:jc w:val="center"/>
            </w:pPr>
            <w:r>
              <w:rPr>
                <w:rFonts w:cs="Calibri"/>
              </w:rPr>
              <w:t>$210,226</w:t>
            </w:r>
          </w:p>
        </w:tc>
        <w:tc>
          <w:tcPr>
            <w:tcW w:w="1125" w:type="dxa"/>
            <w:vAlign w:val="center"/>
          </w:tcPr>
          <w:p w14:paraId="4B334768" w14:textId="30A3AD76" w:rsidR="004D59D4" w:rsidRDefault="00023FAF" w:rsidP="00025AAC">
            <w:pPr>
              <w:pStyle w:val="TableText1"/>
              <w:jc w:val="center"/>
            </w:pPr>
            <w:r>
              <w:rPr>
                <w:rFonts w:cs="Calibri"/>
              </w:rPr>
              <w:t>$</w:t>
            </w:r>
            <w:r w:rsidR="002615A2" w:rsidRPr="002615A2">
              <w:rPr>
                <w:rFonts w:cs="Calibri"/>
                <w:sz w:val="2"/>
                <w:highlight w:val="black"/>
              </w:rPr>
              <w:t>redacted content</w:t>
            </w:r>
          </w:p>
        </w:tc>
        <w:tc>
          <w:tcPr>
            <w:tcW w:w="1155" w:type="dxa"/>
            <w:vAlign w:val="center"/>
          </w:tcPr>
          <w:p w14:paraId="0947451D" w14:textId="77777777" w:rsidR="004D59D4" w:rsidRDefault="00023FAF" w:rsidP="00025AAC">
            <w:pPr>
              <w:pStyle w:val="TableText1"/>
              <w:jc w:val="center"/>
            </w:pPr>
            <w:r>
              <w:rPr>
                <w:rFonts w:cs="Calibri"/>
              </w:rPr>
              <w:t>12.22</w:t>
            </w:r>
          </w:p>
        </w:tc>
        <w:tc>
          <w:tcPr>
            <w:tcW w:w="988" w:type="dxa"/>
            <w:vAlign w:val="center"/>
          </w:tcPr>
          <w:p w14:paraId="0E332555" w14:textId="77777777" w:rsidR="004D59D4" w:rsidRDefault="00023FAF" w:rsidP="00025AAC">
            <w:pPr>
              <w:pStyle w:val="TableText1"/>
              <w:jc w:val="center"/>
            </w:pPr>
            <w:r>
              <w:rPr>
                <w:rFonts w:cs="Calibri"/>
              </w:rPr>
              <w:t>8.76</w:t>
            </w:r>
          </w:p>
        </w:tc>
        <w:tc>
          <w:tcPr>
            <w:tcW w:w="846" w:type="dxa"/>
            <w:vAlign w:val="center"/>
          </w:tcPr>
          <w:p w14:paraId="5B2BDF68" w14:textId="77777777" w:rsidR="004D59D4" w:rsidRDefault="00023FAF" w:rsidP="00025AAC">
            <w:pPr>
              <w:pStyle w:val="TableText1"/>
              <w:jc w:val="center"/>
            </w:pPr>
            <w:r>
              <w:rPr>
                <w:rFonts w:cs="Calibri"/>
              </w:rPr>
              <w:t>3.46</w:t>
            </w:r>
          </w:p>
        </w:tc>
        <w:tc>
          <w:tcPr>
            <w:tcW w:w="1268" w:type="dxa"/>
            <w:vAlign w:val="center"/>
          </w:tcPr>
          <w:p w14:paraId="3D267518" w14:textId="1352C07A" w:rsidR="004D59D4" w:rsidRDefault="00023FAF" w:rsidP="00025AAC">
            <w:pPr>
              <w:pStyle w:val="TableText1"/>
              <w:jc w:val="center"/>
            </w:pPr>
            <w:r>
              <w:rPr>
                <w:rFonts w:cs="Calibri"/>
              </w:rPr>
              <w:t>$</w:t>
            </w:r>
            <w:r w:rsidR="002615A2" w:rsidRPr="002615A2">
              <w:rPr>
                <w:rFonts w:cs="Calibri"/>
                <w:sz w:val="2"/>
                <w:highlight w:val="black"/>
              </w:rPr>
              <w:t>redacted content</w:t>
            </w:r>
            <w:r w:rsidR="00B7178F">
              <w:rPr>
                <w:rFonts w:cs="Calibri"/>
                <w:vertAlign w:val="superscript"/>
              </w:rPr>
              <w:t>2</w:t>
            </w:r>
            <w:r>
              <w:rPr>
                <w:rFonts w:cs="Calibri"/>
              </w:rPr>
              <w:t xml:space="preserve"> per QALY</w:t>
            </w:r>
          </w:p>
        </w:tc>
      </w:tr>
      <w:tr w:rsidR="004D59D4" w14:paraId="3BDC8BA0" w14:textId="77777777">
        <w:tc>
          <w:tcPr>
            <w:tcW w:w="1538" w:type="dxa"/>
            <w:vAlign w:val="center"/>
          </w:tcPr>
          <w:p w14:paraId="1258951C" w14:textId="77777777" w:rsidR="004D59D4" w:rsidRDefault="00023FAF" w:rsidP="00025AAC">
            <w:pPr>
              <w:pStyle w:val="TableText1"/>
            </w:pPr>
            <w:r>
              <w:t>Step 3: Step 2 + continuing treatment criteria</w:t>
            </w:r>
          </w:p>
        </w:tc>
        <w:tc>
          <w:tcPr>
            <w:tcW w:w="1124" w:type="dxa"/>
            <w:vAlign w:val="center"/>
          </w:tcPr>
          <w:p w14:paraId="6B5D0765" w14:textId="15A04DAB" w:rsidR="004D59D4" w:rsidRDefault="00023FAF" w:rsidP="00025AAC">
            <w:pPr>
              <w:pStyle w:val="TableText1"/>
              <w:jc w:val="center"/>
            </w:pPr>
            <w:r>
              <w:rPr>
                <w:rFonts w:cs="Calibri"/>
              </w:rPr>
              <w:t>$</w:t>
            </w:r>
            <w:r w:rsidR="002615A2" w:rsidRPr="002615A2">
              <w:rPr>
                <w:rFonts w:cs="Calibri"/>
                <w:sz w:val="2"/>
                <w:highlight w:val="black"/>
              </w:rPr>
              <w:t>redacted content</w:t>
            </w:r>
          </w:p>
        </w:tc>
        <w:tc>
          <w:tcPr>
            <w:tcW w:w="982" w:type="dxa"/>
            <w:vAlign w:val="center"/>
          </w:tcPr>
          <w:p w14:paraId="6AF19EAE" w14:textId="77777777" w:rsidR="004D59D4" w:rsidRDefault="00023FAF" w:rsidP="00025AAC">
            <w:pPr>
              <w:pStyle w:val="TableText1"/>
              <w:jc w:val="center"/>
            </w:pPr>
            <w:r>
              <w:rPr>
                <w:rFonts w:cs="Calibri"/>
              </w:rPr>
              <w:t>$210,226</w:t>
            </w:r>
          </w:p>
        </w:tc>
        <w:tc>
          <w:tcPr>
            <w:tcW w:w="1125" w:type="dxa"/>
            <w:vAlign w:val="center"/>
          </w:tcPr>
          <w:p w14:paraId="5261761E" w14:textId="700030C7" w:rsidR="004D59D4" w:rsidRDefault="00023FAF" w:rsidP="00025AAC">
            <w:pPr>
              <w:pStyle w:val="TableText1"/>
              <w:jc w:val="center"/>
            </w:pPr>
            <w:r>
              <w:rPr>
                <w:rFonts w:cs="Calibri"/>
              </w:rPr>
              <w:t>$</w:t>
            </w:r>
            <w:r w:rsidR="002615A2" w:rsidRPr="002615A2">
              <w:rPr>
                <w:rFonts w:cs="Calibri"/>
                <w:sz w:val="2"/>
                <w:highlight w:val="black"/>
              </w:rPr>
              <w:t>redacted content</w:t>
            </w:r>
          </w:p>
        </w:tc>
        <w:tc>
          <w:tcPr>
            <w:tcW w:w="1155" w:type="dxa"/>
            <w:vAlign w:val="center"/>
          </w:tcPr>
          <w:p w14:paraId="7FFD2EF1" w14:textId="77777777" w:rsidR="004D59D4" w:rsidRDefault="00023FAF" w:rsidP="00025AAC">
            <w:pPr>
              <w:pStyle w:val="TableText1"/>
              <w:jc w:val="center"/>
            </w:pPr>
            <w:r>
              <w:rPr>
                <w:rFonts w:cs="Calibri"/>
              </w:rPr>
              <w:t>12.02</w:t>
            </w:r>
          </w:p>
        </w:tc>
        <w:tc>
          <w:tcPr>
            <w:tcW w:w="988" w:type="dxa"/>
            <w:vAlign w:val="center"/>
          </w:tcPr>
          <w:p w14:paraId="2EFECFC9" w14:textId="77777777" w:rsidR="004D59D4" w:rsidRDefault="00023FAF" w:rsidP="00025AAC">
            <w:pPr>
              <w:pStyle w:val="TableText1"/>
              <w:jc w:val="center"/>
            </w:pPr>
            <w:r>
              <w:rPr>
                <w:rFonts w:cs="Calibri"/>
              </w:rPr>
              <w:t>8.76</w:t>
            </w:r>
          </w:p>
        </w:tc>
        <w:tc>
          <w:tcPr>
            <w:tcW w:w="846" w:type="dxa"/>
            <w:vAlign w:val="center"/>
          </w:tcPr>
          <w:p w14:paraId="00760BA5" w14:textId="77777777" w:rsidR="004D59D4" w:rsidRDefault="00023FAF" w:rsidP="00025AAC">
            <w:pPr>
              <w:pStyle w:val="TableText1"/>
              <w:jc w:val="center"/>
            </w:pPr>
            <w:r>
              <w:rPr>
                <w:rFonts w:cs="Calibri"/>
              </w:rPr>
              <w:t>3.25</w:t>
            </w:r>
          </w:p>
        </w:tc>
        <w:tc>
          <w:tcPr>
            <w:tcW w:w="1268" w:type="dxa"/>
            <w:vAlign w:val="center"/>
          </w:tcPr>
          <w:p w14:paraId="4BA96034" w14:textId="3456A32A" w:rsidR="004D59D4" w:rsidRDefault="00023FAF" w:rsidP="00025AAC">
            <w:pPr>
              <w:pStyle w:val="TableText1"/>
              <w:jc w:val="center"/>
            </w:pPr>
            <w:r>
              <w:rPr>
                <w:rFonts w:cs="Calibri"/>
              </w:rPr>
              <w:t>$</w:t>
            </w:r>
            <w:r w:rsidR="002615A2" w:rsidRPr="002615A2">
              <w:rPr>
                <w:rFonts w:cs="Calibri"/>
                <w:sz w:val="2"/>
                <w:highlight w:val="black"/>
              </w:rPr>
              <w:t>redacted content</w:t>
            </w:r>
            <w:r w:rsidR="00D978D1">
              <w:rPr>
                <w:rFonts w:cs="Calibri"/>
                <w:vertAlign w:val="superscript"/>
              </w:rPr>
              <w:t>2</w:t>
            </w:r>
            <w:r>
              <w:rPr>
                <w:rFonts w:cs="Calibri"/>
              </w:rPr>
              <w:t xml:space="preserve"> per QALY</w:t>
            </w:r>
          </w:p>
        </w:tc>
      </w:tr>
      <w:tr w:rsidR="004D59D4" w14:paraId="75CC41B2" w14:textId="77777777">
        <w:tc>
          <w:tcPr>
            <w:tcW w:w="1538" w:type="dxa"/>
            <w:vAlign w:val="center"/>
          </w:tcPr>
          <w:p w14:paraId="16E54B2D" w14:textId="77777777" w:rsidR="004D59D4" w:rsidRDefault="00023FAF" w:rsidP="00025AAC">
            <w:pPr>
              <w:pStyle w:val="TableText1"/>
            </w:pPr>
            <w:r>
              <w:t>Step 4: Step 3 + all resource use</w:t>
            </w:r>
          </w:p>
        </w:tc>
        <w:tc>
          <w:tcPr>
            <w:tcW w:w="1124" w:type="dxa"/>
            <w:vAlign w:val="center"/>
          </w:tcPr>
          <w:p w14:paraId="7581ACD9" w14:textId="715939D9" w:rsidR="004D59D4" w:rsidRDefault="00023FAF" w:rsidP="00025AAC">
            <w:pPr>
              <w:pStyle w:val="TableText1"/>
              <w:jc w:val="center"/>
            </w:pPr>
            <w:r>
              <w:rPr>
                <w:rFonts w:cs="Calibri"/>
              </w:rPr>
              <w:t>$</w:t>
            </w:r>
            <w:r w:rsidR="002615A2" w:rsidRPr="002615A2">
              <w:rPr>
                <w:rFonts w:cs="Calibri"/>
                <w:sz w:val="2"/>
                <w:highlight w:val="black"/>
              </w:rPr>
              <w:t>redacted content</w:t>
            </w:r>
          </w:p>
        </w:tc>
        <w:tc>
          <w:tcPr>
            <w:tcW w:w="982" w:type="dxa"/>
            <w:vAlign w:val="center"/>
          </w:tcPr>
          <w:p w14:paraId="0AD1072F" w14:textId="77777777" w:rsidR="004D59D4" w:rsidRDefault="00023FAF" w:rsidP="00025AAC">
            <w:pPr>
              <w:pStyle w:val="TableText1"/>
              <w:jc w:val="center"/>
            </w:pPr>
            <w:r>
              <w:rPr>
                <w:rFonts w:cs="Calibri"/>
              </w:rPr>
              <w:t>$240,710</w:t>
            </w:r>
          </w:p>
        </w:tc>
        <w:tc>
          <w:tcPr>
            <w:tcW w:w="1125" w:type="dxa"/>
            <w:vAlign w:val="center"/>
          </w:tcPr>
          <w:p w14:paraId="100D3D6A" w14:textId="2263F26A" w:rsidR="004D59D4" w:rsidRDefault="00023FAF" w:rsidP="00025AAC">
            <w:pPr>
              <w:pStyle w:val="TableText1"/>
              <w:jc w:val="center"/>
            </w:pPr>
            <w:r>
              <w:rPr>
                <w:rFonts w:cs="Calibri"/>
              </w:rPr>
              <w:t>$</w:t>
            </w:r>
            <w:r w:rsidR="002615A2" w:rsidRPr="002615A2">
              <w:rPr>
                <w:rFonts w:cs="Calibri"/>
                <w:sz w:val="2"/>
                <w:highlight w:val="black"/>
              </w:rPr>
              <w:t>redacted content</w:t>
            </w:r>
          </w:p>
        </w:tc>
        <w:tc>
          <w:tcPr>
            <w:tcW w:w="1155" w:type="dxa"/>
            <w:vAlign w:val="center"/>
          </w:tcPr>
          <w:p w14:paraId="66F9CCD8" w14:textId="77777777" w:rsidR="004D59D4" w:rsidRDefault="00023FAF" w:rsidP="00025AAC">
            <w:pPr>
              <w:pStyle w:val="TableText1"/>
              <w:jc w:val="center"/>
            </w:pPr>
            <w:r>
              <w:rPr>
                <w:rFonts w:cs="Calibri"/>
              </w:rPr>
              <w:t>12.02</w:t>
            </w:r>
          </w:p>
        </w:tc>
        <w:tc>
          <w:tcPr>
            <w:tcW w:w="988" w:type="dxa"/>
            <w:vAlign w:val="center"/>
          </w:tcPr>
          <w:p w14:paraId="1834634C" w14:textId="77777777" w:rsidR="004D59D4" w:rsidRDefault="00023FAF" w:rsidP="00025AAC">
            <w:pPr>
              <w:pStyle w:val="TableText1"/>
              <w:jc w:val="center"/>
            </w:pPr>
            <w:r>
              <w:rPr>
                <w:rFonts w:cs="Calibri"/>
              </w:rPr>
              <w:t>8.76</w:t>
            </w:r>
          </w:p>
        </w:tc>
        <w:tc>
          <w:tcPr>
            <w:tcW w:w="846" w:type="dxa"/>
            <w:vAlign w:val="center"/>
          </w:tcPr>
          <w:p w14:paraId="2CD21282" w14:textId="77777777" w:rsidR="004D59D4" w:rsidRDefault="00023FAF" w:rsidP="00025AAC">
            <w:pPr>
              <w:pStyle w:val="TableText1"/>
              <w:jc w:val="center"/>
            </w:pPr>
            <w:r>
              <w:rPr>
                <w:rFonts w:cs="Calibri"/>
              </w:rPr>
              <w:t>3.25</w:t>
            </w:r>
          </w:p>
        </w:tc>
        <w:tc>
          <w:tcPr>
            <w:tcW w:w="1268" w:type="dxa"/>
            <w:vAlign w:val="center"/>
          </w:tcPr>
          <w:p w14:paraId="121CCC09" w14:textId="0CE9804C" w:rsidR="004D59D4" w:rsidRDefault="00023FAF" w:rsidP="00025AAC">
            <w:pPr>
              <w:pStyle w:val="TableText1"/>
              <w:jc w:val="center"/>
              <w:rPr>
                <w:b/>
                <w:bCs w:val="0"/>
              </w:rPr>
            </w:pPr>
            <w:r>
              <w:rPr>
                <w:rFonts w:cs="Calibri"/>
                <w:b/>
                <w:bCs w:val="0"/>
              </w:rPr>
              <w:t>$</w:t>
            </w:r>
            <w:r w:rsidR="002615A2" w:rsidRPr="002615A2">
              <w:rPr>
                <w:rFonts w:cs="Calibri"/>
                <w:b/>
                <w:bCs w:val="0"/>
                <w:sz w:val="2"/>
                <w:highlight w:val="black"/>
              </w:rPr>
              <w:t>redacted content</w:t>
            </w:r>
            <w:r w:rsidR="00D978D1">
              <w:rPr>
                <w:rFonts w:cs="Calibri"/>
                <w:b/>
                <w:bCs w:val="0"/>
                <w:vertAlign w:val="superscript"/>
              </w:rPr>
              <w:t>2</w:t>
            </w:r>
            <w:r>
              <w:rPr>
                <w:rFonts w:cs="Calibri"/>
                <w:b/>
                <w:bCs w:val="0"/>
              </w:rPr>
              <w:t xml:space="preserve"> per QALY</w:t>
            </w:r>
          </w:p>
        </w:tc>
      </w:tr>
    </w:tbl>
    <w:p w14:paraId="38012DFE" w14:textId="77777777" w:rsidR="004D59D4" w:rsidRDefault="00023FAF" w:rsidP="00025AAC">
      <w:pPr>
        <w:pStyle w:val="TableFigureFooter"/>
      </w:pPr>
      <w:r>
        <w:t>Source: Table 3.8-2, p260 of the resubmission</w:t>
      </w:r>
    </w:p>
    <w:p w14:paraId="6D32369B" w14:textId="0F0F17C9" w:rsidR="00903EAB" w:rsidRPr="00434E3A" w:rsidRDefault="00023FAF" w:rsidP="00434E3A">
      <w:pPr>
        <w:pStyle w:val="TableFigureFooter"/>
        <w:rPr>
          <w:i/>
          <w:iCs w:val="0"/>
        </w:rPr>
      </w:pPr>
      <w:r>
        <w:t xml:space="preserve">ICER = incremental cost effectiveness ratio; </w:t>
      </w:r>
      <w:proofErr w:type="spellStart"/>
      <w:r>
        <w:t>Incr</w:t>
      </w:r>
      <w:proofErr w:type="spellEnd"/>
      <w:r>
        <w:t xml:space="preserve"> = incremental; Peg = </w:t>
      </w:r>
      <w:proofErr w:type="spellStart"/>
      <w:r>
        <w:t>pegvaliase</w:t>
      </w:r>
      <w:proofErr w:type="spellEnd"/>
      <w:r>
        <w:t xml:space="preserve">; </w:t>
      </w:r>
      <w:proofErr w:type="spellStart"/>
      <w:r>
        <w:t>Phe</w:t>
      </w:r>
      <w:proofErr w:type="spellEnd"/>
      <w:r>
        <w:t xml:space="preserve"> = phenylalanine; QALY = quality adjusted life year gained</w:t>
      </w:r>
      <w:r w:rsidR="00D978D1">
        <w:br/>
      </w:r>
      <w:r w:rsidR="00D978D1">
        <w:rPr>
          <w:i/>
          <w:iCs w:val="0"/>
        </w:rPr>
        <w:t xml:space="preserve">The redacted </w:t>
      </w:r>
      <w:r w:rsidR="00A7750C">
        <w:rPr>
          <w:i/>
          <w:iCs w:val="0"/>
        </w:rPr>
        <w:t xml:space="preserve">values </w:t>
      </w:r>
      <w:r w:rsidR="00D978D1">
        <w:rPr>
          <w:i/>
          <w:iCs w:val="0"/>
        </w:rPr>
        <w:t>correspond to the following ranges:</w:t>
      </w:r>
      <w:r w:rsidR="00FB5ED2">
        <w:rPr>
          <w:i/>
          <w:iCs w:val="0"/>
        </w:rPr>
        <w:br/>
      </w:r>
      <w:r w:rsidR="00903EAB">
        <w:rPr>
          <w:i/>
          <w:iCs w:val="0"/>
          <w:vertAlign w:val="superscript"/>
        </w:rPr>
        <w:t>1</w:t>
      </w:r>
      <w:r w:rsidR="00903EAB">
        <w:rPr>
          <w:i/>
          <w:iCs w:val="0"/>
        </w:rPr>
        <w:t xml:space="preserve"> $155,000 to &lt; $255,000</w:t>
      </w:r>
      <w:r w:rsidR="00903EAB">
        <w:rPr>
          <w:i/>
          <w:iCs w:val="0"/>
        </w:rPr>
        <w:br/>
      </w:r>
      <w:r w:rsidR="00903EAB">
        <w:rPr>
          <w:i/>
          <w:iCs w:val="0"/>
          <w:vertAlign w:val="superscript"/>
        </w:rPr>
        <w:t>2</w:t>
      </w:r>
      <w:r w:rsidR="00903EAB">
        <w:rPr>
          <w:i/>
          <w:iCs w:val="0"/>
        </w:rPr>
        <w:t xml:space="preserve"> $255,000 to &lt; $355,000</w:t>
      </w:r>
    </w:p>
    <w:p w14:paraId="76B372B8" w14:textId="77777777" w:rsidR="004D59D4" w:rsidRDefault="00023FAF" w:rsidP="00025AAC">
      <w:pPr>
        <w:pStyle w:val="3-BodyText"/>
        <w:numPr>
          <w:ilvl w:val="1"/>
          <w:numId w:val="52"/>
        </w:numPr>
        <w:spacing w:before="160"/>
      </w:pPr>
      <w:r>
        <w:t xml:space="preserve">In the stepped economic evaluation, Step 1 included response rate with a time horizon of two years (to correspond to the timepoint at which patients are assessed for continued treatment with </w:t>
      </w:r>
      <w:proofErr w:type="spellStart"/>
      <w:r>
        <w:t>pegvaliase</w:t>
      </w:r>
      <w:proofErr w:type="spellEnd"/>
      <w:r>
        <w:t xml:space="preserve">). Step 2, where response was transformed to QALYs and extrapolation, treatment discontinuations and background mortality were incorporated, represents the biggest impact on both costs and QALYs incurred in the model. Whereas Step 3 (including the continuing treatment criteria) and Step 4 (including all other resource-use) had only minor impacts on the ICER. </w:t>
      </w:r>
    </w:p>
    <w:p w14:paraId="5D44FB65" w14:textId="5614F093" w:rsidR="004D59D4" w:rsidRDefault="00023FAF" w:rsidP="00025AAC">
      <w:pPr>
        <w:pStyle w:val="3-BodyText"/>
        <w:numPr>
          <w:ilvl w:val="1"/>
          <w:numId w:val="53"/>
        </w:numPr>
        <w:spacing w:before="160"/>
      </w:pPr>
      <w:r>
        <w:fldChar w:fldCharType="begin"/>
      </w:r>
      <w:r>
        <w:instrText xml:space="preserve"> REF _Ref216208100 \h </w:instrText>
      </w:r>
      <w:r>
        <w:fldChar w:fldCharType="separate"/>
      </w:r>
      <w:r w:rsidR="00E24060">
        <w:t xml:space="preserve">Table </w:t>
      </w:r>
      <w:r w:rsidR="00E24060">
        <w:rPr>
          <w:noProof/>
        </w:rPr>
        <w:t>13</w:t>
      </w:r>
      <w:r>
        <w:fldChar w:fldCharType="end"/>
      </w:r>
      <w:r>
        <w:t xml:space="preserve"> provides an overview of the results of the economic evaluation for the resubmission’s base case as well as alternative scenarios whereby the cost of </w:t>
      </w:r>
      <w:proofErr w:type="spellStart"/>
      <w:r>
        <w:t>pegvaliase</w:t>
      </w:r>
      <w:proofErr w:type="spellEnd"/>
      <w:r>
        <w:t xml:space="preserve"> is varied. </w:t>
      </w:r>
    </w:p>
    <w:p w14:paraId="3A6D49F4" w14:textId="3E529278" w:rsidR="004D59D4" w:rsidRDefault="00023FAF" w:rsidP="00025AAC">
      <w:pPr>
        <w:pStyle w:val="Caption"/>
        <w:spacing w:before="160"/>
        <w:rPr>
          <w:sz w:val="24"/>
          <w:szCs w:val="22"/>
        </w:rPr>
      </w:pPr>
      <w:bookmarkStart w:id="80" w:name="_Ref216208100"/>
      <w:r>
        <w:lastRenderedPageBreak/>
        <w:t xml:space="preserve">Table </w:t>
      </w:r>
      <w:fldSimple w:instr=" SEQ Table \* ARABIC ">
        <w:r w:rsidR="00E24060">
          <w:rPr>
            <w:noProof/>
          </w:rPr>
          <w:t>13</w:t>
        </w:r>
      </w:fldSimple>
      <w:bookmarkEnd w:id="80"/>
      <w:r>
        <w:t xml:space="preserve">: Results of economic evaluation for different </w:t>
      </w:r>
      <w:proofErr w:type="spellStart"/>
      <w:r>
        <w:t>pegvaliase</w:t>
      </w:r>
      <w:proofErr w:type="spellEnd"/>
      <w:r>
        <w:t xml:space="preserve"> costs per syringe</w:t>
      </w:r>
    </w:p>
    <w:tbl>
      <w:tblPr>
        <w:tblStyle w:val="TableGrid"/>
        <w:tblW w:w="5000" w:type="pct"/>
        <w:tblLayout w:type="fixed"/>
        <w:tblLook w:val="04A0" w:firstRow="1" w:lastRow="0" w:firstColumn="1" w:lastColumn="0" w:noHBand="0" w:noVBand="1"/>
        <w:tblCaption w:val="Table 13: Results of economic evaluation for different pegvaliase costs per syringe"/>
      </w:tblPr>
      <w:tblGrid>
        <w:gridCol w:w="2193"/>
        <w:gridCol w:w="2248"/>
        <w:gridCol w:w="2336"/>
        <w:gridCol w:w="2239"/>
      </w:tblGrid>
      <w:tr w:rsidR="004D59D4" w14:paraId="11033DEE" w14:textId="77777777">
        <w:tc>
          <w:tcPr>
            <w:tcW w:w="2196" w:type="dxa"/>
          </w:tcPr>
          <w:p w14:paraId="0DBADD93" w14:textId="77777777" w:rsidR="004D59D4" w:rsidRDefault="004D59D4" w:rsidP="00025AAC">
            <w:pPr>
              <w:pStyle w:val="TableText1"/>
            </w:pPr>
          </w:p>
        </w:tc>
        <w:tc>
          <w:tcPr>
            <w:tcW w:w="2250" w:type="dxa"/>
          </w:tcPr>
          <w:p w14:paraId="54D31243" w14:textId="77777777" w:rsidR="004D59D4" w:rsidRDefault="00023FAF" w:rsidP="00025AAC">
            <w:pPr>
              <w:pStyle w:val="In-tableHeading"/>
              <w:jc w:val="center"/>
            </w:pPr>
            <w:proofErr w:type="spellStart"/>
            <w:r>
              <w:t>Pegvaliase</w:t>
            </w:r>
            <w:proofErr w:type="spellEnd"/>
          </w:p>
        </w:tc>
        <w:tc>
          <w:tcPr>
            <w:tcW w:w="2339" w:type="dxa"/>
          </w:tcPr>
          <w:p w14:paraId="40708794" w14:textId="77777777" w:rsidR="004D59D4" w:rsidRDefault="00023FAF" w:rsidP="00025AAC">
            <w:pPr>
              <w:pStyle w:val="In-tableHeading"/>
              <w:jc w:val="center"/>
            </w:pPr>
            <w:proofErr w:type="spellStart"/>
            <w:r>
              <w:t>Phe</w:t>
            </w:r>
            <w:proofErr w:type="spellEnd"/>
            <w:r>
              <w:t>-restricted diet</w:t>
            </w:r>
          </w:p>
        </w:tc>
        <w:tc>
          <w:tcPr>
            <w:tcW w:w="2241" w:type="dxa"/>
          </w:tcPr>
          <w:p w14:paraId="380E208B" w14:textId="77777777" w:rsidR="004D59D4" w:rsidRDefault="00023FAF" w:rsidP="00025AAC">
            <w:pPr>
              <w:pStyle w:val="In-tableHeading"/>
              <w:jc w:val="center"/>
            </w:pPr>
            <w:r>
              <w:t>Incremental</w:t>
            </w:r>
          </w:p>
        </w:tc>
      </w:tr>
      <w:tr w:rsidR="004D59D4" w14:paraId="6C2FF657" w14:textId="77777777">
        <w:tc>
          <w:tcPr>
            <w:tcW w:w="9026" w:type="dxa"/>
            <w:gridSpan w:val="4"/>
          </w:tcPr>
          <w:p w14:paraId="446B873D" w14:textId="77777777" w:rsidR="004D59D4" w:rsidRDefault="00023FAF" w:rsidP="00025AAC">
            <w:pPr>
              <w:pStyle w:val="TableText1"/>
            </w:pPr>
            <w:r>
              <w:rPr>
                <w:b/>
              </w:rPr>
              <w:t>Outcomes</w:t>
            </w:r>
          </w:p>
        </w:tc>
      </w:tr>
      <w:tr w:rsidR="004D59D4" w14:paraId="02458682" w14:textId="77777777">
        <w:tc>
          <w:tcPr>
            <w:tcW w:w="2196" w:type="dxa"/>
          </w:tcPr>
          <w:p w14:paraId="070A56E1" w14:textId="77777777" w:rsidR="004D59D4" w:rsidRDefault="00023FAF" w:rsidP="00025AAC">
            <w:pPr>
              <w:pStyle w:val="TableText1"/>
              <w:rPr>
                <w:rFonts w:cs="Arial"/>
              </w:rPr>
            </w:pPr>
            <w:r>
              <w:rPr>
                <w:rFonts w:cs="Arial"/>
              </w:rPr>
              <w:t>LYs</w:t>
            </w:r>
          </w:p>
        </w:tc>
        <w:tc>
          <w:tcPr>
            <w:tcW w:w="2250" w:type="dxa"/>
          </w:tcPr>
          <w:p w14:paraId="32B39F2D" w14:textId="77777777" w:rsidR="004D59D4" w:rsidRDefault="00023FAF" w:rsidP="00025AAC">
            <w:pPr>
              <w:pStyle w:val="TableText1"/>
              <w:jc w:val="center"/>
              <w:rPr>
                <w:rFonts w:cs="Arial"/>
              </w:rPr>
            </w:pPr>
            <w:r>
              <w:rPr>
                <w:rFonts w:cs="Arial"/>
              </w:rPr>
              <w:t>19.02</w:t>
            </w:r>
          </w:p>
        </w:tc>
        <w:tc>
          <w:tcPr>
            <w:tcW w:w="2339" w:type="dxa"/>
          </w:tcPr>
          <w:p w14:paraId="2FEE45FC" w14:textId="77777777" w:rsidR="004D59D4" w:rsidRDefault="00023FAF" w:rsidP="00025AAC">
            <w:pPr>
              <w:pStyle w:val="TableText1"/>
              <w:jc w:val="center"/>
              <w:rPr>
                <w:rFonts w:cs="Arial"/>
              </w:rPr>
            </w:pPr>
            <w:r>
              <w:rPr>
                <w:rFonts w:cs="Arial"/>
              </w:rPr>
              <w:t>19.02</w:t>
            </w:r>
          </w:p>
        </w:tc>
        <w:tc>
          <w:tcPr>
            <w:tcW w:w="2241" w:type="dxa"/>
          </w:tcPr>
          <w:p w14:paraId="62FF96B5" w14:textId="77777777" w:rsidR="004D59D4" w:rsidRDefault="00023FAF" w:rsidP="00025AAC">
            <w:pPr>
              <w:pStyle w:val="TableText1"/>
              <w:jc w:val="center"/>
              <w:rPr>
                <w:rFonts w:cs="Arial"/>
              </w:rPr>
            </w:pPr>
            <w:r>
              <w:rPr>
                <w:rFonts w:cs="Arial"/>
              </w:rPr>
              <w:t>0</w:t>
            </w:r>
          </w:p>
        </w:tc>
      </w:tr>
      <w:tr w:rsidR="004D59D4" w14:paraId="62BE4B89" w14:textId="77777777">
        <w:tc>
          <w:tcPr>
            <w:tcW w:w="2196" w:type="dxa"/>
          </w:tcPr>
          <w:p w14:paraId="4045DA28" w14:textId="77777777" w:rsidR="004D59D4" w:rsidRDefault="00023FAF" w:rsidP="00025AAC">
            <w:pPr>
              <w:pStyle w:val="TableText1"/>
              <w:rPr>
                <w:rFonts w:cs="Arial"/>
              </w:rPr>
            </w:pPr>
            <w:r>
              <w:rPr>
                <w:rFonts w:cs="Arial"/>
              </w:rPr>
              <w:t>QALYs</w:t>
            </w:r>
          </w:p>
        </w:tc>
        <w:tc>
          <w:tcPr>
            <w:tcW w:w="2250" w:type="dxa"/>
          </w:tcPr>
          <w:p w14:paraId="52CEFB76" w14:textId="77777777" w:rsidR="004D59D4" w:rsidRDefault="00023FAF" w:rsidP="00025AAC">
            <w:pPr>
              <w:pStyle w:val="TableText1"/>
              <w:jc w:val="center"/>
              <w:rPr>
                <w:rFonts w:cs="Arial"/>
              </w:rPr>
            </w:pPr>
            <w:r>
              <w:t>12.02</w:t>
            </w:r>
          </w:p>
        </w:tc>
        <w:tc>
          <w:tcPr>
            <w:tcW w:w="2339" w:type="dxa"/>
          </w:tcPr>
          <w:p w14:paraId="6991C0EC" w14:textId="77777777" w:rsidR="004D59D4" w:rsidRDefault="00023FAF" w:rsidP="00025AAC">
            <w:pPr>
              <w:pStyle w:val="TableText1"/>
              <w:jc w:val="center"/>
              <w:rPr>
                <w:rFonts w:cs="Arial"/>
              </w:rPr>
            </w:pPr>
            <w:r>
              <w:t>8.76</w:t>
            </w:r>
          </w:p>
        </w:tc>
        <w:tc>
          <w:tcPr>
            <w:tcW w:w="2241" w:type="dxa"/>
          </w:tcPr>
          <w:p w14:paraId="17A2FC85" w14:textId="77777777" w:rsidR="004D59D4" w:rsidRDefault="00023FAF" w:rsidP="00025AAC">
            <w:pPr>
              <w:pStyle w:val="TableText1"/>
              <w:jc w:val="center"/>
              <w:rPr>
                <w:rFonts w:cs="Arial"/>
              </w:rPr>
            </w:pPr>
            <w:r>
              <w:t>3.25</w:t>
            </w:r>
          </w:p>
        </w:tc>
      </w:tr>
      <w:tr w:rsidR="004D59D4" w14:paraId="699C96DA" w14:textId="77777777">
        <w:tc>
          <w:tcPr>
            <w:tcW w:w="9026" w:type="dxa"/>
            <w:gridSpan w:val="4"/>
          </w:tcPr>
          <w:p w14:paraId="3964C314" w14:textId="77777777" w:rsidR="004D59D4" w:rsidRDefault="00023FAF" w:rsidP="00025AAC">
            <w:pPr>
              <w:pStyle w:val="TableText1"/>
              <w:rPr>
                <w:rFonts w:cstheme="minorBidi"/>
                <w:b/>
              </w:rPr>
            </w:pPr>
            <w:r>
              <w:rPr>
                <w:b/>
              </w:rPr>
              <w:t>ICERs</w:t>
            </w:r>
          </w:p>
        </w:tc>
      </w:tr>
      <w:tr w:rsidR="004D59D4" w14:paraId="30525BEC" w14:textId="77777777">
        <w:tc>
          <w:tcPr>
            <w:tcW w:w="9026" w:type="dxa"/>
            <w:gridSpan w:val="4"/>
          </w:tcPr>
          <w:p w14:paraId="37541910" w14:textId="63EF4B2A" w:rsidR="004D59D4" w:rsidRDefault="00023FAF" w:rsidP="00025AAC">
            <w:pPr>
              <w:pStyle w:val="TableText1"/>
            </w:pPr>
            <w:r>
              <w:rPr>
                <w:b/>
              </w:rPr>
              <w:t xml:space="preserve">Resubmission’s base case: </w:t>
            </w:r>
            <w:r w:rsidR="002615A2" w:rsidRPr="002615A2">
              <w:rPr>
                <w:b/>
                <w:sz w:val="2"/>
                <w:highlight w:val="black"/>
              </w:rPr>
              <w:t>redacted content</w:t>
            </w:r>
            <w:r w:rsidR="00B92B3B" w:rsidRPr="00B92B3B">
              <w:rPr>
                <w:b/>
              </w:rPr>
              <w:t xml:space="preserve"> </w:t>
            </w:r>
            <w:r w:rsidR="002615A2" w:rsidRPr="002615A2">
              <w:rPr>
                <w:b/>
                <w:sz w:val="2"/>
                <w:highlight w:val="black"/>
              </w:rPr>
              <w:t>redacted content</w:t>
            </w:r>
            <w:r>
              <w:rPr>
                <w:b/>
              </w:rPr>
              <w:t xml:space="preserve"> as assumed in resubmission (</w:t>
            </w:r>
            <w:proofErr w:type="spellStart"/>
            <w:r>
              <w:rPr>
                <w:b/>
              </w:rPr>
              <w:t>pegvaliase</w:t>
            </w:r>
            <w:proofErr w:type="spellEnd"/>
            <w:r>
              <w:rPr>
                <w:b/>
              </w:rPr>
              <w:t xml:space="preserve"> cost = $</w:t>
            </w:r>
            <w:r w:rsidR="002615A2" w:rsidRPr="002615A2">
              <w:rPr>
                <w:b/>
                <w:sz w:val="2"/>
                <w:highlight w:val="black"/>
              </w:rPr>
              <w:t>redacted content</w:t>
            </w:r>
            <w:r>
              <w:rPr>
                <w:b/>
              </w:rPr>
              <w:t>)</w:t>
            </w:r>
          </w:p>
        </w:tc>
      </w:tr>
      <w:tr w:rsidR="004D59D4" w14:paraId="6F005188" w14:textId="77777777">
        <w:tc>
          <w:tcPr>
            <w:tcW w:w="2196" w:type="dxa"/>
          </w:tcPr>
          <w:p w14:paraId="629D2FCB" w14:textId="77777777" w:rsidR="004D59D4" w:rsidRDefault="00023FAF" w:rsidP="00025AAC">
            <w:pPr>
              <w:pStyle w:val="TableText1"/>
            </w:pPr>
            <w:r>
              <w:t>Total costs</w:t>
            </w:r>
          </w:p>
        </w:tc>
        <w:tc>
          <w:tcPr>
            <w:tcW w:w="2250" w:type="dxa"/>
          </w:tcPr>
          <w:p w14:paraId="433F6E64" w14:textId="61CEE1B4" w:rsidR="004D59D4" w:rsidRDefault="00023FAF" w:rsidP="00025AAC">
            <w:pPr>
              <w:pStyle w:val="TableText1"/>
              <w:jc w:val="center"/>
            </w:pPr>
            <w:r>
              <w:t>$</w:t>
            </w:r>
            <w:r w:rsidR="002615A2" w:rsidRPr="002615A2">
              <w:rPr>
                <w:sz w:val="2"/>
                <w:highlight w:val="black"/>
              </w:rPr>
              <w:t>redacted content</w:t>
            </w:r>
          </w:p>
        </w:tc>
        <w:tc>
          <w:tcPr>
            <w:tcW w:w="2339" w:type="dxa"/>
          </w:tcPr>
          <w:p w14:paraId="737ABE87" w14:textId="77777777" w:rsidR="004D59D4" w:rsidRDefault="00023FAF" w:rsidP="00025AAC">
            <w:pPr>
              <w:pStyle w:val="TableText1"/>
              <w:jc w:val="center"/>
            </w:pPr>
            <w:r w:rsidRPr="003E2535">
              <w:t>$240,710</w:t>
            </w:r>
          </w:p>
        </w:tc>
        <w:tc>
          <w:tcPr>
            <w:tcW w:w="2241" w:type="dxa"/>
          </w:tcPr>
          <w:p w14:paraId="46EC36D5" w14:textId="4D787EE9" w:rsidR="004D59D4" w:rsidRDefault="00023FAF" w:rsidP="00025AAC">
            <w:pPr>
              <w:pStyle w:val="TableText1"/>
              <w:jc w:val="center"/>
            </w:pPr>
            <w:r>
              <w:t>$</w:t>
            </w:r>
            <w:r w:rsidR="002615A2" w:rsidRPr="002615A2">
              <w:rPr>
                <w:sz w:val="2"/>
                <w:highlight w:val="black"/>
              </w:rPr>
              <w:t>redacted content</w:t>
            </w:r>
          </w:p>
        </w:tc>
      </w:tr>
      <w:tr w:rsidR="004D59D4" w14:paraId="2B80FBEB" w14:textId="77777777">
        <w:tc>
          <w:tcPr>
            <w:tcW w:w="6785" w:type="dxa"/>
            <w:gridSpan w:val="3"/>
          </w:tcPr>
          <w:p w14:paraId="7A44CB89" w14:textId="77777777" w:rsidR="004D59D4" w:rsidRDefault="00023FAF" w:rsidP="00025AAC">
            <w:pPr>
              <w:pStyle w:val="TableText1"/>
            </w:pPr>
            <w:r>
              <w:t>ICER/QALY</w:t>
            </w:r>
          </w:p>
        </w:tc>
        <w:tc>
          <w:tcPr>
            <w:tcW w:w="2241" w:type="dxa"/>
          </w:tcPr>
          <w:p w14:paraId="3C412DA6" w14:textId="5B2D1FFF" w:rsidR="004D59D4" w:rsidRPr="00083A2F"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6160B7">
              <w:rPr>
                <w:b/>
                <w:bCs w:val="0"/>
                <w:vertAlign w:val="superscript"/>
              </w:rPr>
              <w:t>1</w:t>
            </w:r>
          </w:p>
        </w:tc>
      </w:tr>
      <w:tr w:rsidR="004D59D4" w14:paraId="41A5ABD2" w14:textId="77777777">
        <w:tc>
          <w:tcPr>
            <w:tcW w:w="9026" w:type="dxa"/>
            <w:gridSpan w:val="4"/>
          </w:tcPr>
          <w:p w14:paraId="0E4D2C35" w14:textId="568F376B" w:rsidR="004D59D4" w:rsidRDefault="00023FAF" w:rsidP="00025AAC">
            <w:pPr>
              <w:pStyle w:val="TableText1"/>
            </w:pPr>
            <w:r>
              <w:rPr>
                <w:b/>
              </w:rPr>
              <w:t xml:space="preserve">Scenario: </w:t>
            </w:r>
            <w:r w:rsidR="002615A2" w:rsidRPr="002615A2">
              <w:rPr>
                <w:b/>
                <w:sz w:val="2"/>
                <w:highlight w:val="black"/>
              </w:rPr>
              <w:t>redacted content</w:t>
            </w:r>
            <w:r w:rsidR="00B92B3B" w:rsidRPr="00B92B3B">
              <w:rPr>
                <w:b/>
              </w:rPr>
              <w:t xml:space="preserve"> </w:t>
            </w:r>
            <w:r w:rsidR="002615A2" w:rsidRPr="002615A2">
              <w:rPr>
                <w:b/>
                <w:sz w:val="2"/>
                <w:highlight w:val="black"/>
              </w:rPr>
              <w:t>redacted content</w:t>
            </w:r>
            <w:r>
              <w:rPr>
                <w:b/>
              </w:rPr>
              <w:t xml:space="preserve"> as calculated based on PBAC inputs for 2022 submission (</w:t>
            </w:r>
            <w:proofErr w:type="spellStart"/>
            <w:r>
              <w:rPr>
                <w:b/>
              </w:rPr>
              <w:t>pegvaliase</w:t>
            </w:r>
            <w:proofErr w:type="spellEnd"/>
            <w:r>
              <w:rPr>
                <w:b/>
              </w:rPr>
              <w:t xml:space="preserve"> cost = $</w:t>
            </w:r>
            <w:r w:rsidR="002615A2" w:rsidRPr="002615A2">
              <w:rPr>
                <w:b/>
                <w:sz w:val="2"/>
                <w:highlight w:val="black"/>
              </w:rPr>
              <w:t xml:space="preserve">redacted </w:t>
            </w:r>
            <w:proofErr w:type="spellStart"/>
            <w:r w:rsidR="002615A2" w:rsidRPr="002615A2">
              <w:rPr>
                <w:b/>
                <w:sz w:val="2"/>
                <w:highlight w:val="black"/>
              </w:rPr>
              <w:t>content</w:t>
            </w:r>
            <w:r>
              <w:rPr>
                <w:b/>
                <w:vertAlign w:val="superscript"/>
              </w:rPr>
              <w:t>a</w:t>
            </w:r>
            <w:proofErr w:type="spellEnd"/>
            <w:r>
              <w:rPr>
                <w:b/>
              </w:rPr>
              <w:t>)</w:t>
            </w:r>
          </w:p>
        </w:tc>
      </w:tr>
      <w:tr w:rsidR="004D59D4" w14:paraId="5AF3C447" w14:textId="77777777">
        <w:tc>
          <w:tcPr>
            <w:tcW w:w="2196" w:type="dxa"/>
          </w:tcPr>
          <w:p w14:paraId="0BBD6478" w14:textId="77777777" w:rsidR="004D59D4" w:rsidRPr="00A64E58" w:rsidRDefault="00023FAF" w:rsidP="00025AAC">
            <w:pPr>
              <w:pStyle w:val="TableText1"/>
            </w:pPr>
            <w:r w:rsidRPr="00A64E58">
              <w:t>Total costs</w:t>
            </w:r>
          </w:p>
        </w:tc>
        <w:tc>
          <w:tcPr>
            <w:tcW w:w="2250" w:type="dxa"/>
          </w:tcPr>
          <w:p w14:paraId="7BC40683" w14:textId="7AE8CDA5" w:rsidR="004D59D4" w:rsidRPr="00A64E58" w:rsidRDefault="00023FAF" w:rsidP="00025AAC">
            <w:pPr>
              <w:pStyle w:val="TableText1"/>
              <w:jc w:val="center"/>
            </w:pPr>
            <w:r w:rsidRPr="00A64E58">
              <w:t>$</w:t>
            </w:r>
            <w:r w:rsidR="002615A2" w:rsidRPr="002615A2">
              <w:rPr>
                <w:sz w:val="2"/>
                <w:highlight w:val="black"/>
              </w:rPr>
              <w:t>redacted content</w:t>
            </w:r>
          </w:p>
        </w:tc>
        <w:tc>
          <w:tcPr>
            <w:tcW w:w="2339" w:type="dxa"/>
          </w:tcPr>
          <w:p w14:paraId="2A3AD543" w14:textId="77777777" w:rsidR="004D59D4" w:rsidRPr="00A64E58" w:rsidRDefault="00023FAF" w:rsidP="00025AAC">
            <w:pPr>
              <w:pStyle w:val="TableText1"/>
              <w:jc w:val="center"/>
            </w:pPr>
            <w:r w:rsidRPr="003E2535">
              <w:t>$240,710</w:t>
            </w:r>
          </w:p>
        </w:tc>
        <w:tc>
          <w:tcPr>
            <w:tcW w:w="2241" w:type="dxa"/>
          </w:tcPr>
          <w:p w14:paraId="2E1446FB" w14:textId="65091E3D" w:rsidR="004D59D4" w:rsidRPr="00A64E58" w:rsidRDefault="00023FAF" w:rsidP="00025AAC">
            <w:pPr>
              <w:pStyle w:val="TableText1"/>
              <w:jc w:val="center"/>
            </w:pPr>
            <w:r w:rsidRPr="00A64E58">
              <w:t>$</w:t>
            </w:r>
            <w:r w:rsidR="002615A2" w:rsidRPr="002615A2">
              <w:rPr>
                <w:sz w:val="2"/>
                <w:highlight w:val="black"/>
              </w:rPr>
              <w:t>redacted content</w:t>
            </w:r>
          </w:p>
        </w:tc>
      </w:tr>
      <w:tr w:rsidR="004D59D4" w14:paraId="128A7C1D" w14:textId="77777777">
        <w:tc>
          <w:tcPr>
            <w:tcW w:w="6785" w:type="dxa"/>
            <w:gridSpan w:val="3"/>
          </w:tcPr>
          <w:p w14:paraId="54BDC15E" w14:textId="77777777" w:rsidR="004D59D4" w:rsidRPr="00A64E58" w:rsidRDefault="00023FAF" w:rsidP="00025AAC">
            <w:pPr>
              <w:pStyle w:val="TableText1"/>
            </w:pPr>
            <w:r w:rsidRPr="00A64E58">
              <w:t>ICER/QALY</w:t>
            </w:r>
          </w:p>
        </w:tc>
        <w:tc>
          <w:tcPr>
            <w:tcW w:w="2241" w:type="dxa"/>
          </w:tcPr>
          <w:p w14:paraId="0EB00A5E" w14:textId="285CF68B" w:rsidR="004D59D4" w:rsidRPr="00083A2F" w:rsidRDefault="00023FAF" w:rsidP="00025AAC">
            <w:pPr>
              <w:pStyle w:val="TableText1"/>
              <w:jc w:val="center"/>
              <w:rPr>
                <w:b/>
                <w:bCs w:val="0"/>
                <w:vertAlign w:val="superscript"/>
              </w:rPr>
            </w:pPr>
            <w:r w:rsidRPr="00A64E58">
              <w:rPr>
                <w:b/>
                <w:bCs w:val="0"/>
              </w:rPr>
              <w:t>$</w:t>
            </w:r>
            <w:r w:rsidR="002615A2" w:rsidRPr="002615A2">
              <w:rPr>
                <w:b/>
                <w:bCs w:val="0"/>
                <w:sz w:val="2"/>
                <w:highlight w:val="black"/>
              </w:rPr>
              <w:t>redacted content</w:t>
            </w:r>
            <w:r w:rsidR="006160B7">
              <w:rPr>
                <w:b/>
                <w:bCs w:val="0"/>
                <w:vertAlign w:val="superscript"/>
              </w:rPr>
              <w:t>2</w:t>
            </w:r>
          </w:p>
        </w:tc>
      </w:tr>
      <w:tr w:rsidR="004D59D4" w14:paraId="46DB2D72" w14:textId="77777777">
        <w:tc>
          <w:tcPr>
            <w:tcW w:w="9026" w:type="dxa"/>
            <w:gridSpan w:val="4"/>
          </w:tcPr>
          <w:p w14:paraId="65C80E58" w14:textId="5458C947" w:rsidR="004D59D4" w:rsidRPr="00A64E58" w:rsidRDefault="00023FAF" w:rsidP="00025AAC">
            <w:pPr>
              <w:pStyle w:val="TableText1"/>
            </w:pPr>
            <w:r w:rsidRPr="00A64E58">
              <w:rPr>
                <w:b/>
              </w:rPr>
              <w:t xml:space="preserve">Scenario: </w:t>
            </w:r>
            <w:r w:rsidR="002615A2" w:rsidRPr="002615A2">
              <w:rPr>
                <w:b/>
                <w:sz w:val="2"/>
                <w:highlight w:val="black"/>
              </w:rPr>
              <w:t>redacted content</w:t>
            </w:r>
            <w:r w:rsidR="00B92B3B" w:rsidRPr="00B92B3B">
              <w:rPr>
                <w:b/>
              </w:rPr>
              <w:t xml:space="preserve"> </w:t>
            </w:r>
            <w:r w:rsidR="002615A2" w:rsidRPr="002615A2">
              <w:rPr>
                <w:b/>
                <w:sz w:val="2"/>
                <w:highlight w:val="black"/>
              </w:rPr>
              <w:t>redacted content</w:t>
            </w:r>
            <w:r w:rsidR="00B92B3B" w:rsidRPr="00B92B3B">
              <w:rPr>
                <w:b/>
              </w:rPr>
              <w:t xml:space="preserve"> </w:t>
            </w:r>
            <w:r w:rsidR="002615A2" w:rsidRPr="002615A2">
              <w:rPr>
                <w:b/>
                <w:sz w:val="2"/>
                <w:highlight w:val="black"/>
              </w:rPr>
              <w:t>redacted content</w:t>
            </w:r>
            <w:r w:rsidRPr="00A64E58">
              <w:rPr>
                <w:b/>
              </w:rPr>
              <w:t xml:space="preserve"> achieved (</w:t>
            </w:r>
            <w:proofErr w:type="spellStart"/>
            <w:r w:rsidRPr="00A64E58">
              <w:rPr>
                <w:b/>
              </w:rPr>
              <w:t>pegvaliase</w:t>
            </w:r>
            <w:proofErr w:type="spellEnd"/>
            <w:r w:rsidRPr="00A64E58">
              <w:rPr>
                <w:b/>
              </w:rPr>
              <w:t xml:space="preserve"> cost = $510.00</w:t>
            </w:r>
            <w:r w:rsidRPr="00A64E58">
              <w:rPr>
                <w:b/>
                <w:vertAlign w:val="superscript"/>
              </w:rPr>
              <w:t>b</w:t>
            </w:r>
            <w:r w:rsidRPr="00A64E58">
              <w:rPr>
                <w:b/>
              </w:rPr>
              <w:t>)</w:t>
            </w:r>
          </w:p>
        </w:tc>
      </w:tr>
      <w:tr w:rsidR="004D59D4" w14:paraId="07F9FC9E" w14:textId="77777777">
        <w:tc>
          <w:tcPr>
            <w:tcW w:w="2196" w:type="dxa"/>
          </w:tcPr>
          <w:p w14:paraId="616B4255" w14:textId="77777777" w:rsidR="004D59D4" w:rsidRPr="00A64E58" w:rsidRDefault="00023FAF" w:rsidP="00025AAC">
            <w:pPr>
              <w:pStyle w:val="TableText1"/>
            </w:pPr>
            <w:r w:rsidRPr="00A64E58">
              <w:t>Total costs</w:t>
            </w:r>
          </w:p>
        </w:tc>
        <w:tc>
          <w:tcPr>
            <w:tcW w:w="2250" w:type="dxa"/>
          </w:tcPr>
          <w:p w14:paraId="6ADCA180" w14:textId="2FA92C3F" w:rsidR="004D59D4" w:rsidRPr="00A64E58" w:rsidRDefault="00023FAF" w:rsidP="00025AAC">
            <w:pPr>
              <w:pStyle w:val="TableText1"/>
              <w:jc w:val="center"/>
            </w:pPr>
            <w:r w:rsidRPr="00A64E58">
              <w:t>$</w:t>
            </w:r>
            <w:r w:rsidR="002615A2" w:rsidRPr="002615A2">
              <w:rPr>
                <w:sz w:val="2"/>
                <w:highlight w:val="black"/>
              </w:rPr>
              <w:t>redacted content</w:t>
            </w:r>
          </w:p>
        </w:tc>
        <w:tc>
          <w:tcPr>
            <w:tcW w:w="2339" w:type="dxa"/>
          </w:tcPr>
          <w:p w14:paraId="2D2C978C" w14:textId="77777777" w:rsidR="004D59D4" w:rsidRPr="00A64E58" w:rsidRDefault="00023FAF" w:rsidP="00025AAC">
            <w:pPr>
              <w:pStyle w:val="TableText1"/>
              <w:jc w:val="center"/>
            </w:pPr>
            <w:r w:rsidRPr="00A64E58">
              <w:t>$</w:t>
            </w:r>
            <w:r w:rsidRPr="003E2535">
              <w:t>240,710</w:t>
            </w:r>
          </w:p>
        </w:tc>
        <w:tc>
          <w:tcPr>
            <w:tcW w:w="2241" w:type="dxa"/>
          </w:tcPr>
          <w:p w14:paraId="22BEACDA" w14:textId="61ECD486" w:rsidR="004D59D4" w:rsidRPr="00A64E58" w:rsidRDefault="00023FAF" w:rsidP="00025AAC">
            <w:pPr>
              <w:pStyle w:val="TableText1"/>
              <w:jc w:val="center"/>
            </w:pPr>
            <w:r w:rsidRPr="00A64E58">
              <w:t>$</w:t>
            </w:r>
            <w:r w:rsidR="002615A2" w:rsidRPr="002615A2">
              <w:rPr>
                <w:sz w:val="2"/>
                <w:highlight w:val="black"/>
              </w:rPr>
              <w:t>redacted content</w:t>
            </w:r>
          </w:p>
        </w:tc>
      </w:tr>
      <w:tr w:rsidR="004D59D4" w14:paraId="52B2CCD0" w14:textId="77777777">
        <w:tc>
          <w:tcPr>
            <w:tcW w:w="6785" w:type="dxa"/>
            <w:gridSpan w:val="3"/>
          </w:tcPr>
          <w:p w14:paraId="1C5CEF93" w14:textId="77777777" w:rsidR="004D59D4" w:rsidRPr="00A64E58" w:rsidRDefault="00023FAF" w:rsidP="00025AAC">
            <w:pPr>
              <w:pStyle w:val="TableText1"/>
              <w:rPr>
                <w:bCs w:val="0"/>
              </w:rPr>
            </w:pPr>
            <w:r w:rsidRPr="00A64E58">
              <w:rPr>
                <w:bCs w:val="0"/>
              </w:rPr>
              <w:t>ICER/QALY</w:t>
            </w:r>
          </w:p>
        </w:tc>
        <w:tc>
          <w:tcPr>
            <w:tcW w:w="2241" w:type="dxa"/>
          </w:tcPr>
          <w:p w14:paraId="345F9A64" w14:textId="424BD9B2" w:rsidR="004D59D4" w:rsidRPr="006160B7" w:rsidRDefault="00023FAF" w:rsidP="00025AAC">
            <w:pPr>
              <w:pStyle w:val="TableText1"/>
              <w:jc w:val="center"/>
              <w:rPr>
                <w:b/>
                <w:bCs w:val="0"/>
                <w:vertAlign w:val="superscript"/>
              </w:rPr>
            </w:pPr>
            <w:r w:rsidRPr="00A64E58">
              <w:rPr>
                <w:b/>
                <w:bCs w:val="0"/>
              </w:rPr>
              <w:t>$</w:t>
            </w:r>
            <w:r w:rsidR="002615A2" w:rsidRPr="002615A2">
              <w:rPr>
                <w:b/>
                <w:bCs w:val="0"/>
                <w:sz w:val="2"/>
                <w:highlight w:val="black"/>
              </w:rPr>
              <w:t>redacted content</w:t>
            </w:r>
          </w:p>
        </w:tc>
      </w:tr>
      <w:tr w:rsidR="004D59D4" w14:paraId="6BF92902" w14:textId="77777777">
        <w:tc>
          <w:tcPr>
            <w:tcW w:w="6785" w:type="dxa"/>
            <w:gridSpan w:val="3"/>
            <w:shd w:val="clear" w:color="auto" w:fill="B8CCE4" w:themeFill="accent1" w:themeFillTint="66"/>
          </w:tcPr>
          <w:p w14:paraId="30682347" w14:textId="46FD59BF" w:rsidR="004D59D4" w:rsidRPr="00A64E58" w:rsidRDefault="00023FAF" w:rsidP="00025AAC">
            <w:pPr>
              <w:pStyle w:val="TableText1"/>
              <w:rPr>
                <w:bCs w:val="0"/>
              </w:rPr>
            </w:pPr>
            <w:r w:rsidRPr="00A64E58">
              <w:rPr>
                <w:bCs w:val="0"/>
              </w:rPr>
              <w:t>Previous submission ICER/QALY (</w:t>
            </w:r>
            <w:proofErr w:type="spellStart"/>
            <w:r w:rsidRPr="00A64E58">
              <w:rPr>
                <w:bCs w:val="0"/>
              </w:rPr>
              <w:t>pegvaliase</w:t>
            </w:r>
            <w:proofErr w:type="spellEnd"/>
            <w:r w:rsidRPr="00A64E58">
              <w:rPr>
                <w:bCs w:val="0"/>
              </w:rPr>
              <w:t xml:space="preserve"> AEMP = $</w:t>
            </w:r>
            <w:r w:rsidR="002615A2" w:rsidRPr="002615A2">
              <w:rPr>
                <w:bCs w:val="0"/>
                <w:sz w:val="2"/>
                <w:highlight w:val="black"/>
              </w:rPr>
              <w:t>redacted content</w:t>
            </w:r>
            <w:r w:rsidRPr="00A64E58">
              <w:rPr>
                <w:bCs w:val="0"/>
              </w:rPr>
              <w:t>)</w:t>
            </w:r>
          </w:p>
        </w:tc>
        <w:tc>
          <w:tcPr>
            <w:tcW w:w="2241" w:type="dxa"/>
            <w:shd w:val="clear" w:color="auto" w:fill="B8CCE4" w:themeFill="accent1" w:themeFillTint="66"/>
          </w:tcPr>
          <w:p w14:paraId="261E1ADC" w14:textId="5023D416" w:rsidR="004D59D4" w:rsidRPr="006160B7" w:rsidRDefault="00023FAF" w:rsidP="00025AAC">
            <w:pPr>
              <w:pStyle w:val="TableText1"/>
              <w:jc w:val="center"/>
              <w:rPr>
                <w:bCs w:val="0"/>
                <w:vertAlign w:val="superscript"/>
              </w:rPr>
            </w:pPr>
            <w:r w:rsidRPr="00A64E58">
              <w:rPr>
                <w:bCs w:val="0"/>
              </w:rPr>
              <w:t>$</w:t>
            </w:r>
            <w:r w:rsidR="002615A2" w:rsidRPr="002615A2">
              <w:rPr>
                <w:bCs w:val="0"/>
                <w:sz w:val="2"/>
                <w:highlight w:val="black"/>
              </w:rPr>
              <w:t>redacted content</w:t>
            </w:r>
            <w:r w:rsidR="00221D16">
              <w:rPr>
                <w:bCs w:val="0"/>
                <w:vertAlign w:val="superscript"/>
              </w:rPr>
              <w:t>3</w:t>
            </w:r>
          </w:p>
        </w:tc>
      </w:tr>
    </w:tbl>
    <w:p w14:paraId="50A72FAE" w14:textId="77777777" w:rsidR="004D59D4" w:rsidRPr="0035202E" w:rsidRDefault="00023FAF" w:rsidP="00025AAC">
      <w:pPr>
        <w:pStyle w:val="TableFigureFooter"/>
        <w:jc w:val="both"/>
      </w:pPr>
      <w:r w:rsidRPr="0035202E">
        <w:t>Note: Results based on model run with 5000 iterations. Italicised data calculated during the evaluation.</w:t>
      </w:r>
    </w:p>
    <w:p w14:paraId="38DD0D17" w14:textId="77777777" w:rsidR="004D59D4" w:rsidRPr="0035202E" w:rsidRDefault="00023FAF" w:rsidP="00025AAC">
      <w:pPr>
        <w:pStyle w:val="TableFigureFooter"/>
        <w:jc w:val="both"/>
      </w:pPr>
      <w:r w:rsidRPr="0035202E">
        <w:t>Source: Table 3.8-2, p260 of the resubmission. Additional data compiled during the evaluation using Palynziq (</w:t>
      </w:r>
      <w:proofErr w:type="spellStart"/>
      <w:r w:rsidRPr="0035202E">
        <w:t>pegvaliase</w:t>
      </w:r>
      <w:proofErr w:type="spellEnd"/>
      <w:r w:rsidRPr="0035202E">
        <w:t>) – CEA.xls</w:t>
      </w:r>
    </w:p>
    <w:p w14:paraId="134BEDE5" w14:textId="77777777" w:rsidR="004D59D4" w:rsidRPr="0035202E" w:rsidRDefault="00023FAF" w:rsidP="00025AAC">
      <w:pPr>
        <w:pStyle w:val="TableFigureFooter"/>
        <w:jc w:val="both"/>
        <w:rPr>
          <w:rStyle w:val="Strong"/>
          <w:rFonts w:ascii="Arial Narrow" w:hAnsi="Arial Narrow"/>
          <w:u w:val="none"/>
          <w:lang w:val="en-AU"/>
        </w:rPr>
      </w:pPr>
      <w:r w:rsidRPr="0035202E">
        <w:t>AEMP = Approved Ex-Manufacturer Price</w:t>
      </w:r>
      <w:r w:rsidRPr="00083A2F">
        <w:rPr>
          <w:rStyle w:val="Strong"/>
          <w:rFonts w:ascii="Arial Narrow" w:hAnsi="Arial Narrow"/>
          <w:u w:val="none"/>
          <w:lang w:val="en-AU"/>
        </w:rPr>
        <w:t xml:space="preserve">; DPMQ = dispensed price for the maximum quantity; ICER = incremental cost-effectiveness ratio; LY(G) = life year (gained); </w:t>
      </w:r>
      <w:r w:rsidRPr="0035202E">
        <w:t xml:space="preserve">NA = not applicable; </w:t>
      </w:r>
      <w:proofErr w:type="spellStart"/>
      <w:r w:rsidRPr="0035202E">
        <w:t>Phe</w:t>
      </w:r>
      <w:proofErr w:type="spellEnd"/>
      <w:r w:rsidRPr="0035202E">
        <w:t xml:space="preserve"> = phenylalanine; </w:t>
      </w:r>
      <w:r w:rsidRPr="00083A2F">
        <w:rPr>
          <w:rStyle w:val="Strong"/>
          <w:rFonts w:ascii="Arial Narrow" w:hAnsi="Arial Narrow"/>
          <w:u w:val="none"/>
          <w:lang w:val="en-AU"/>
        </w:rPr>
        <w:t>QALY = quality-adjusted life year; RSA = risk sharing arrangement</w:t>
      </w:r>
    </w:p>
    <w:p w14:paraId="62F2290E" w14:textId="42C28999" w:rsidR="004D59D4" w:rsidRDefault="00023FAF" w:rsidP="00025AAC">
      <w:pPr>
        <w:pStyle w:val="TableFigureFooter"/>
        <w:jc w:val="both"/>
      </w:pPr>
      <w:r w:rsidRPr="00BB6B64">
        <w:rPr>
          <w:rFonts w:eastAsiaTheme="minorHAnsi"/>
          <w:vertAlign w:val="superscript"/>
        </w:rPr>
        <w:t>a</w:t>
      </w:r>
      <w:r w:rsidRPr="00BB6B64">
        <w:rPr>
          <w:rFonts w:eastAsiaTheme="minorHAnsi"/>
        </w:rPr>
        <w:t xml:space="preserve"> AEMP calculated based on the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sidR="00B92B3B" w:rsidRPr="00B92B3B">
        <w:rPr>
          <w:rFonts w:eastAsiaTheme="minorHAnsi"/>
        </w:rPr>
        <w:t xml:space="preserve"> </w:t>
      </w:r>
      <w:r w:rsidR="002615A2" w:rsidRPr="002615A2">
        <w:rPr>
          <w:rFonts w:eastAsiaTheme="minorHAnsi"/>
          <w:sz w:val="2"/>
          <w:highlight w:val="black"/>
        </w:rPr>
        <w:t>redacted content</w:t>
      </w:r>
      <w:r>
        <w:rPr>
          <w:rFonts w:eastAsiaTheme="minorHAnsi"/>
        </w:rPr>
        <w:t xml:space="preserve"> where the p</w:t>
      </w:r>
      <w:r>
        <w:t xml:space="preserve">roportion of patients followed-up at a metabolic clinic is 55% and the uptake rate is assumed to be </w:t>
      </w:r>
      <w:r w:rsidR="002615A2" w:rsidRPr="002615A2">
        <w:rPr>
          <w:sz w:val="2"/>
          <w:highlight w:val="black"/>
        </w:rPr>
        <w:t>redacted content</w:t>
      </w:r>
      <w:r>
        <w:t>%).</w:t>
      </w:r>
    </w:p>
    <w:p w14:paraId="7F1DE722" w14:textId="58F17A81" w:rsidR="004D59D4" w:rsidRPr="009C69A4" w:rsidRDefault="00023FAF" w:rsidP="00083A2F">
      <w:pPr>
        <w:pStyle w:val="TableFigureFooter"/>
        <w:spacing w:before="160" w:after="160"/>
        <w:rPr>
          <w:rFonts w:eastAsiaTheme="minorHAnsi"/>
          <w:i/>
          <w:iCs w:val="0"/>
          <w:lang w:val="en-GB"/>
        </w:rPr>
      </w:pPr>
      <w:r>
        <w:rPr>
          <w:rFonts w:eastAsiaTheme="minorHAnsi"/>
          <w:vertAlign w:val="superscript"/>
          <w:lang w:val="en-GB"/>
        </w:rPr>
        <w:t>b</w:t>
      </w:r>
      <w:r>
        <w:rPr>
          <w:rFonts w:eastAsiaTheme="minorHAnsi"/>
          <w:lang w:val="en-GB"/>
        </w:rPr>
        <w:t xml:space="preserve"> </w:t>
      </w:r>
      <w:proofErr w:type="gramStart"/>
      <w:r>
        <w:rPr>
          <w:rFonts w:eastAsiaTheme="minorHAnsi"/>
          <w:lang w:val="en-GB"/>
        </w:rPr>
        <w:t>In</w:t>
      </w:r>
      <w:proofErr w:type="gramEnd"/>
      <w:r>
        <w:rPr>
          <w:rFonts w:eastAsiaTheme="minorHAnsi"/>
          <w:lang w:val="en-GB"/>
        </w:rPr>
        <w:t xml:space="preserve"> the scenario where </w:t>
      </w:r>
      <w:r w:rsidR="002615A2" w:rsidRPr="002615A2">
        <w:rPr>
          <w:rFonts w:eastAsiaTheme="minorHAnsi"/>
          <w:sz w:val="2"/>
          <w:highlight w:val="black"/>
          <w:lang w:val="en-GB"/>
        </w:rPr>
        <w:t>redacted content</w:t>
      </w:r>
      <w:r w:rsidR="00B92B3B" w:rsidRPr="00B92B3B">
        <w:rPr>
          <w:rFonts w:eastAsiaTheme="minorHAnsi"/>
          <w:lang w:val="en-GB"/>
        </w:rPr>
        <w:t xml:space="preserve"> </w:t>
      </w:r>
      <w:r w:rsidR="002615A2" w:rsidRPr="002615A2">
        <w:rPr>
          <w:rFonts w:eastAsiaTheme="minorHAnsi"/>
          <w:sz w:val="2"/>
          <w:highlight w:val="black"/>
          <w:lang w:val="en-GB"/>
        </w:rPr>
        <w:t>redacted content</w:t>
      </w:r>
      <w:r w:rsidR="00B92B3B" w:rsidRPr="00B92B3B">
        <w:rPr>
          <w:rFonts w:eastAsiaTheme="minorHAnsi"/>
          <w:lang w:val="en-GB"/>
        </w:rPr>
        <w:t xml:space="preserve"> </w:t>
      </w:r>
      <w:r w:rsidR="002615A2" w:rsidRPr="002615A2">
        <w:rPr>
          <w:rFonts w:eastAsiaTheme="minorHAnsi"/>
          <w:sz w:val="2"/>
          <w:highlight w:val="black"/>
          <w:lang w:val="en-GB"/>
        </w:rPr>
        <w:t>redacted content</w:t>
      </w:r>
      <w:r w:rsidR="00B92B3B" w:rsidRPr="00B92B3B">
        <w:rPr>
          <w:rFonts w:eastAsiaTheme="minorHAnsi"/>
          <w:lang w:val="en-GB"/>
        </w:rPr>
        <w:t xml:space="preserve"> </w:t>
      </w:r>
      <w:r w:rsidR="002615A2" w:rsidRPr="002615A2">
        <w:rPr>
          <w:rFonts w:eastAsiaTheme="minorHAnsi"/>
          <w:sz w:val="2"/>
          <w:highlight w:val="black"/>
          <w:lang w:val="en-GB"/>
        </w:rPr>
        <w:t>redacted content</w:t>
      </w:r>
      <w:r w:rsidR="00B92B3B" w:rsidRPr="00B92B3B">
        <w:rPr>
          <w:rFonts w:eastAsiaTheme="minorHAnsi"/>
          <w:lang w:val="en-GB"/>
        </w:rPr>
        <w:t xml:space="preserve"> </w:t>
      </w:r>
      <w:r w:rsidR="002615A2" w:rsidRPr="002615A2">
        <w:rPr>
          <w:rFonts w:eastAsiaTheme="minorHAnsi"/>
          <w:sz w:val="2"/>
          <w:highlight w:val="black"/>
          <w:lang w:val="en-GB"/>
        </w:rPr>
        <w:t>redacted content</w:t>
      </w:r>
      <w:r w:rsidR="00B92B3B" w:rsidRPr="00B92B3B">
        <w:rPr>
          <w:rFonts w:eastAsiaTheme="minorHAnsi"/>
          <w:lang w:val="en-GB"/>
        </w:rPr>
        <w:t xml:space="preserve"> </w:t>
      </w:r>
      <w:r w:rsidR="002615A2" w:rsidRPr="002615A2">
        <w:rPr>
          <w:rFonts w:eastAsiaTheme="minorHAnsi"/>
          <w:sz w:val="2"/>
          <w:highlight w:val="black"/>
          <w:lang w:val="en-GB"/>
        </w:rPr>
        <w:t>redacted content</w:t>
      </w:r>
      <w:r>
        <w:rPr>
          <w:rFonts w:eastAsiaTheme="minorHAnsi"/>
          <w:lang w:val="en-GB"/>
        </w:rPr>
        <w:t xml:space="preserve"> the </w:t>
      </w:r>
      <w:proofErr w:type="spellStart"/>
      <w:r>
        <w:rPr>
          <w:rFonts w:eastAsiaTheme="minorHAnsi"/>
          <w:lang w:val="en-GB"/>
        </w:rPr>
        <w:t>pegvaliase</w:t>
      </w:r>
      <w:proofErr w:type="spellEnd"/>
      <w:r>
        <w:rPr>
          <w:rFonts w:eastAsiaTheme="minorHAnsi"/>
          <w:lang w:val="en-GB"/>
        </w:rPr>
        <w:t xml:space="preserve"> AEMP was assumed to equal the proposed DPMQ.</w:t>
      </w:r>
      <w:r w:rsidR="006160B7">
        <w:rPr>
          <w:rFonts w:eastAsiaTheme="minorHAnsi"/>
          <w:lang w:val="en-GB"/>
        </w:rPr>
        <w:br/>
      </w:r>
      <w:r w:rsidR="006160B7">
        <w:rPr>
          <w:rFonts w:eastAsiaTheme="minorHAnsi"/>
          <w:i/>
          <w:iCs w:val="0"/>
          <w:lang w:val="en-GB"/>
        </w:rPr>
        <w:t>The redacted values correspond to the following ranges:</w:t>
      </w:r>
      <w:r w:rsidR="006160B7">
        <w:rPr>
          <w:rFonts w:eastAsiaTheme="minorHAnsi"/>
          <w:i/>
          <w:iCs w:val="0"/>
          <w:lang w:val="en-GB"/>
        </w:rPr>
        <w:br/>
      </w:r>
      <w:r w:rsidR="006160B7">
        <w:rPr>
          <w:rFonts w:eastAsiaTheme="minorHAnsi"/>
          <w:i/>
          <w:iCs w:val="0"/>
          <w:vertAlign w:val="superscript"/>
          <w:lang w:val="en-GB"/>
        </w:rPr>
        <w:t>1</w:t>
      </w:r>
      <w:r w:rsidR="006160B7">
        <w:rPr>
          <w:rFonts w:eastAsiaTheme="minorHAnsi"/>
          <w:i/>
          <w:iCs w:val="0"/>
          <w:lang w:val="en-GB"/>
        </w:rPr>
        <w:t xml:space="preserve"> $255,000 to &lt; $355,000</w:t>
      </w:r>
      <w:r w:rsidR="00F55C56">
        <w:rPr>
          <w:rFonts w:eastAsiaTheme="minorHAnsi"/>
          <w:i/>
          <w:iCs w:val="0"/>
          <w:lang w:val="en-GB"/>
        </w:rPr>
        <w:br/>
      </w:r>
      <w:r w:rsidR="00F55C56">
        <w:rPr>
          <w:rFonts w:eastAsiaTheme="minorHAnsi"/>
          <w:i/>
          <w:iCs w:val="0"/>
          <w:vertAlign w:val="superscript"/>
          <w:lang w:val="en-GB"/>
        </w:rPr>
        <w:t>2</w:t>
      </w:r>
      <w:r w:rsidR="00F55C56">
        <w:rPr>
          <w:rFonts w:eastAsiaTheme="minorHAnsi"/>
          <w:i/>
          <w:iCs w:val="0"/>
          <w:lang w:val="en-GB"/>
        </w:rPr>
        <w:t xml:space="preserve"> $355,000 to &lt; $455,000</w:t>
      </w:r>
      <w:r w:rsidR="00F55C56">
        <w:rPr>
          <w:rFonts w:eastAsiaTheme="minorHAnsi"/>
          <w:i/>
          <w:iCs w:val="0"/>
          <w:lang w:val="en-GB"/>
        </w:rPr>
        <w:br/>
      </w:r>
      <w:r w:rsidR="00221D16">
        <w:rPr>
          <w:rFonts w:eastAsiaTheme="minorHAnsi"/>
          <w:i/>
          <w:iCs w:val="0"/>
          <w:vertAlign w:val="superscript"/>
          <w:lang w:val="en-GB"/>
        </w:rPr>
        <w:t>3</w:t>
      </w:r>
      <w:r w:rsidR="00F55C56">
        <w:rPr>
          <w:rFonts w:eastAsiaTheme="minorHAnsi"/>
          <w:i/>
          <w:iCs w:val="0"/>
          <w:lang w:val="en-GB"/>
        </w:rPr>
        <w:t xml:space="preserve"> $655,000 to &lt; $755,000</w:t>
      </w:r>
    </w:p>
    <w:p w14:paraId="3938F684" w14:textId="017D2826" w:rsidR="004D59D4" w:rsidRDefault="00023FAF" w:rsidP="00025AAC">
      <w:pPr>
        <w:pStyle w:val="3-BodyText"/>
        <w:numPr>
          <w:ilvl w:val="1"/>
          <w:numId w:val="54"/>
        </w:numPr>
        <w:spacing w:before="160" w:after="160"/>
      </w:pPr>
      <w:r>
        <w:t>The resubmission stated that the ICER was $</w:t>
      </w:r>
      <w:r w:rsidR="004A4D9B">
        <w:t>255,000 to &lt; $355,000</w:t>
      </w:r>
      <w:r>
        <w:t xml:space="preserve"> per QALY, based on a cost of $</w:t>
      </w:r>
      <w:r w:rsidR="002615A2" w:rsidRPr="002615A2">
        <w:rPr>
          <w:sz w:val="2"/>
          <w:highlight w:val="black"/>
        </w:rPr>
        <w:t>redacted content</w:t>
      </w:r>
      <w:r>
        <w:t xml:space="preserve"> per syringe</w:t>
      </w:r>
      <w:r w:rsidRPr="007B7FA2">
        <w:t xml:space="preserve">. The ESC noted this was </w:t>
      </w:r>
      <w:r w:rsidR="002615A2" w:rsidRPr="002615A2">
        <w:rPr>
          <w:sz w:val="2"/>
          <w:highlight w:val="black"/>
        </w:rPr>
        <w:t>redacted content</w:t>
      </w:r>
      <w:r w:rsidRPr="007B7FA2">
        <w:t xml:space="preserve">% lower than the requested price (an ex-manufacturer price of </w:t>
      </w:r>
      <w:r w:rsidRPr="008317F3">
        <w:t>$</w:t>
      </w:r>
      <w:r w:rsidRPr="00AC5A39">
        <w:t>510 per syringe</w:t>
      </w:r>
      <w:r w:rsidRPr="00F57CC1">
        <w:t xml:space="preserve">) on the basis that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7B7FA2">
        <w:t xml:space="preserve">. However, the ESC considered the model should have been based on a price </w:t>
      </w:r>
      <w:r w:rsidRPr="008317F3">
        <w:t>of $510</w:t>
      </w:r>
      <w:r w:rsidRPr="007B7FA2">
        <w:t xml:space="preserve"> per </w:t>
      </w:r>
      <w:r w:rsidRPr="00FD4494">
        <w:t xml:space="preserve">syringe, resulting in an ICER of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FD4494">
        <w:t xml:space="preserve"> per QALY gained. The evaluation noted that a scenario</w:t>
      </w:r>
      <w:r w:rsidRPr="007B7FA2">
        <w:t xml:space="preserve"> based on an AEMP using inputs recommended by the PBAC ($</w:t>
      </w:r>
      <w:r w:rsidR="002615A2" w:rsidRPr="002615A2">
        <w:rPr>
          <w:sz w:val="2"/>
          <w:highlight w:val="black"/>
        </w:rPr>
        <w:t>redacted content</w:t>
      </w:r>
      <w:r w:rsidRPr="007B7FA2">
        <w:t>) resulted in an ICER of $</w:t>
      </w:r>
      <w:r w:rsidR="004A4D9B">
        <w:t xml:space="preserve">355,000 to &lt; $455,000 </w:t>
      </w:r>
      <w:r w:rsidRPr="007B7FA2">
        <w:t>per QALY. The ESC considered this was an informative sensitivity analysis.</w:t>
      </w:r>
      <w:r>
        <w:rPr>
          <w:i/>
          <w:iCs/>
        </w:rPr>
        <w:t xml:space="preserve"> </w:t>
      </w:r>
    </w:p>
    <w:p w14:paraId="595606D6" w14:textId="00AC912C" w:rsidR="004D59D4" w:rsidRDefault="00023FAF" w:rsidP="00025AAC">
      <w:pPr>
        <w:pStyle w:val="3-BodyText"/>
        <w:numPr>
          <w:ilvl w:val="1"/>
          <w:numId w:val="55"/>
        </w:numPr>
        <w:spacing w:before="160" w:after="160"/>
      </w:pPr>
      <w:r>
        <w:t xml:space="preserve">As observed for the 2022 </w:t>
      </w:r>
      <w:proofErr w:type="spellStart"/>
      <w:r>
        <w:t>pegvaliase</w:t>
      </w:r>
      <w:proofErr w:type="spellEnd"/>
      <w:r>
        <w:t xml:space="preserve"> model, the results in the resubmission were not technically the microsimulation results but were the ICER generated using the mean of the incremental QALY and incremental cost across all iterations, as opposed to probabilistically generating an ICER. During the evaluation the model was modified to produce the microsimulation results. </w:t>
      </w:r>
      <w:r>
        <w:fldChar w:fldCharType="begin"/>
      </w:r>
      <w:r>
        <w:instrText xml:space="preserve"> REF _Ref216757361 \h </w:instrText>
      </w:r>
      <w:r>
        <w:fldChar w:fldCharType="separate"/>
      </w:r>
      <w:r w:rsidR="00E24060">
        <w:t xml:space="preserve">Figure </w:t>
      </w:r>
      <w:r w:rsidR="00E24060">
        <w:rPr>
          <w:noProof/>
        </w:rPr>
        <w:t>4</w:t>
      </w:r>
      <w:r>
        <w:fldChar w:fldCharType="end"/>
      </w:r>
      <w:r>
        <w:t xml:space="preserve"> shows the ICER scatterplot of the model base case over 5000 iterations, with each data point representing the incremental cost and incremental QALY reported for one iteration (i.e. one patient). It shows that for the majority of patients, the incremental cost was above $</w:t>
      </w:r>
      <w:r w:rsidR="00C8223D">
        <w:t xml:space="preserve">955,000 to &lt; $1,055,000 </w:t>
      </w:r>
      <w:r>
        <w:t>as proposed in the resubmission’s base case, and that a substantial number of iterations had an ICER above the base case ICER as reflected by the number of data points to the left of the line set to represent the resubmission’s base case ICER of $</w:t>
      </w:r>
      <w:r w:rsidR="00C8223D">
        <w:t xml:space="preserve">255,000 to </w:t>
      </w:r>
      <w:r w:rsidR="00C8223D">
        <w:br/>
        <w:t>&lt; $355,000</w:t>
      </w:r>
      <w:r>
        <w:t xml:space="preserve">/QALY. The cluster of data points near the origin (0,0) indicated the proportion of non-responders in the model. </w:t>
      </w:r>
    </w:p>
    <w:p w14:paraId="54511443" w14:textId="1DA5BC0B" w:rsidR="004D59D4" w:rsidRDefault="00C8223D" w:rsidP="00025AAC">
      <w:pPr>
        <w:pStyle w:val="Caption"/>
        <w:spacing w:before="160"/>
        <w:rPr>
          <w:rStyle w:val="CommentReference"/>
          <w:b/>
          <w:bCs w:val="0"/>
          <w:szCs w:val="24"/>
        </w:rPr>
      </w:pPr>
      <w:bookmarkStart w:id="81" w:name="_Ref216757361"/>
      <w:r>
        <w:rPr>
          <w:noProof/>
        </w:rPr>
        <w:lastRenderedPageBreak/>
        <mc:AlternateContent>
          <mc:Choice Requires="wps">
            <w:drawing>
              <wp:anchor distT="0" distB="0" distL="114300" distR="114300" simplePos="0" relativeHeight="251658240" behindDoc="0" locked="0" layoutInCell="1" allowOverlap="1" wp14:anchorId="0EB8418C" wp14:editId="6CEA3695">
                <wp:simplePos x="0" y="0"/>
                <wp:positionH relativeFrom="margin">
                  <wp:align>left</wp:align>
                </wp:positionH>
                <wp:positionV relativeFrom="paragraph">
                  <wp:posOffset>234274</wp:posOffset>
                </wp:positionV>
                <wp:extent cx="5717894" cy="3020992"/>
                <wp:effectExtent l="0" t="0" r="0" b="8255"/>
                <wp:wrapSquare wrapText="bothSides"/>
                <wp:docPr id="735379135" name="Rectangle 1" descr="Figure 4: Scatter plot of incremental cost vs incremental QALY over 5,000 iterations"/>
                <wp:cNvGraphicFramePr/>
                <a:graphic xmlns:a="http://schemas.openxmlformats.org/drawingml/2006/main">
                  <a:graphicData uri="http://schemas.microsoft.com/office/word/2010/wordprocessingShape">
                    <wps:wsp>
                      <wps:cNvSpPr/>
                      <wps:spPr>
                        <a:xfrm>
                          <a:off x="0" y="0"/>
                          <a:ext cx="5717894" cy="3020992"/>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9CA992" id="Rectangle 1" o:spid="_x0000_s1026" alt="Figure 4: Scatter plot of incremental cost vs incremental QALY over 5,000 iterations" style="position:absolute;margin-left:0;margin-top:18.45pt;width:450.25pt;height:237.85pt;z-index:25165824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" fillcolor="black [3200]" stroked="f" strokeweight="2pt">
                <w10:wrap type="square" anchorx="margin"/>
              </v:rect>
            </w:pict>
          </mc:Fallback>
        </mc:AlternateContent>
      </w:r>
      <w:r w:rsidR="00023FAF">
        <w:t xml:space="preserve">Figure </w:t>
      </w:r>
      <w:fldSimple w:instr=" SEQ Figure \* ARABIC ">
        <w:r w:rsidR="00E24060">
          <w:rPr>
            <w:noProof/>
          </w:rPr>
          <w:t>4</w:t>
        </w:r>
      </w:fldSimple>
      <w:bookmarkEnd w:id="81"/>
      <w:r w:rsidR="00023FAF">
        <w:rPr>
          <w:rStyle w:val="CommentReference"/>
          <w:b/>
          <w:bCs w:val="0"/>
          <w:szCs w:val="24"/>
        </w:rPr>
        <w:t>: Scatter plot of incremental cost vs incremental QALY over 5,000 iterations</w:t>
      </w:r>
    </w:p>
    <w:p w14:paraId="530845A0" w14:textId="77777777" w:rsidR="004D59D4" w:rsidRDefault="00023FAF" w:rsidP="00025AAC">
      <w:pPr>
        <w:pStyle w:val="TableFigureFooter"/>
        <w:rPr>
          <w:szCs w:val="18"/>
        </w:rPr>
      </w:pPr>
      <w:r>
        <w:t>Each data point represents the incremental cost and incremental QALY reported for one iteration (i.e. one patient).</w:t>
      </w:r>
    </w:p>
    <w:p w14:paraId="7F63E51C" w14:textId="77777777" w:rsidR="004D59D4" w:rsidRDefault="00023FAF" w:rsidP="00025AAC">
      <w:pPr>
        <w:pStyle w:val="TableFigureFooter"/>
        <w:spacing w:before="160" w:after="160"/>
        <w:rPr>
          <w:szCs w:val="18"/>
        </w:rPr>
      </w:pPr>
      <w:r>
        <w:rPr>
          <w:szCs w:val="18"/>
        </w:rPr>
        <w:t xml:space="preserve">Source: constructed during evaluation. </w:t>
      </w:r>
    </w:p>
    <w:p w14:paraId="36596925" w14:textId="77777777" w:rsidR="004D59D4" w:rsidRDefault="00023FAF" w:rsidP="00025AAC">
      <w:pPr>
        <w:pStyle w:val="3-BodyText"/>
        <w:numPr>
          <w:ilvl w:val="1"/>
          <w:numId w:val="56"/>
        </w:numPr>
        <w:spacing w:before="160" w:after="160"/>
      </w:pPr>
      <w:r>
        <w:t xml:space="preserve">It was also noted that, as for the 2022 model, </w:t>
      </w:r>
      <w:proofErr w:type="gramStart"/>
      <w:r>
        <w:t>a number of</w:t>
      </w:r>
      <w:proofErr w:type="gramEnd"/>
      <w:r>
        <w:t xml:space="preserve"> the QALY results were negative – that is, patients treated with </w:t>
      </w:r>
      <w:proofErr w:type="spellStart"/>
      <w:r>
        <w:t>pegvaliase</w:t>
      </w:r>
      <w:proofErr w:type="spellEnd"/>
      <w:r>
        <w:t xml:space="preserve"> correlated with having worse outcomes. By relying on the mean of the incremental </w:t>
      </w:r>
      <w:proofErr w:type="gramStart"/>
      <w:r>
        <w:t>QALY</w:t>
      </w:r>
      <w:proofErr w:type="gramEnd"/>
      <w:r>
        <w:t xml:space="preserve"> it was assumed that QALYs gained by other patients would adequately compensate for </w:t>
      </w:r>
      <w:proofErr w:type="spellStart"/>
      <w:r>
        <w:t>disutilities</w:t>
      </w:r>
      <w:proofErr w:type="spellEnd"/>
      <w:r>
        <w:t xml:space="preserve"> experienced by some other patients, which may not be appropriate. As such, it may not be appropriate to use the mean of the incremental QALY in the estimation of the overall ICER without further justification. </w:t>
      </w:r>
    </w:p>
    <w:p w14:paraId="1F238197" w14:textId="77777777" w:rsidR="004D59D4" w:rsidRDefault="00023FAF" w:rsidP="00025AAC">
      <w:pPr>
        <w:pStyle w:val="ListParagraph"/>
        <w:numPr>
          <w:ilvl w:val="1"/>
          <w:numId w:val="57"/>
        </w:numPr>
        <w:spacing w:before="160" w:after="160"/>
        <w:jc w:val="both"/>
        <w:rPr>
          <w:rFonts w:eastAsiaTheme="minorHAnsi" w:cstheme="minorBidi"/>
          <w:szCs w:val="22"/>
        </w:rPr>
      </w:pPr>
      <w:r>
        <w:t xml:space="preserve">The resubmission claimed that, for </w:t>
      </w:r>
      <w:proofErr w:type="spellStart"/>
      <w:r>
        <w:t>sapropterin</w:t>
      </w:r>
      <w:proofErr w:type="spellEnd"/>
      <w:r>
        <w:t xml:space="preserve">, “despite the limitations of the cohort simulation model, the PBAC was sufficiently confident that the ICER based on this economic model would be in an acceptable range after reducing the proposed price by 50% to support a positive recommendation (paragraph 7.12, </w:t>
      </w:r>
      <w:proofErr w:type="spellStart"/>
      <w:r>
        <w:t>sapropterin</w:t>
      </w:r>
      <w:proofErr w:type="spellEnd"/>
      <w:r>
        <w:t xml:space="preserve"> PSD, July 2022 PBAC meeting). For this reason, the cohort simulation model as well as the approach to modelling changes in blood </w:t>
      </w:r>
      <w:proofErr w:type="spellStart"/>
      <w:r>
        <w:t>Phe</w:t>
      </w:r>
      <w:proofErr w:type="spellEnd"/>
      <w:r>
        <w:t xml:space="preserve"> over time and the associated QoL and cost impacts remain unchanged in this resubmission.” The evaluation noted that while the PBAC recommended </w:t>
      </w:r>
      <w:proofErr w:type="spellStart"/>
      <w:r>
        <w:t>sapropterin</w:t>
      </w:r>
      <w:proofErr w:type="spellEnd"/>
      <w:r>
        <w:t xml:space="preserve"> for use in adults with HPA due to PKU, this economic model was not specifically approved or recommended by the PBAC in July 2022. </w:t>
      </w:r>
      <w:r>
        <w:rPr>
          <w:rFonts w:eastAsiaTheme="minorHAnsi" w:cstheme="minorBidi"/>
          <w:szCs w:val="22"/>
        </w:rPr>
        <w:t xml:space="preserve">Overall, in July 2022 the PBAC considered there were substantial limitations with the model and that it was not reasonable for the cost per patient to be the same in an initiating adult patient as in the existing listing of </w:t>
      </w:r>
      <w:proofErr w:type="spellStart"/>
      <w:r>
        <w:rPr>
          <w:rFonts w:eastAsiaTheme="minorHAnsi" w:cstheme="minorBidi"/>
          <w:szCs w:val="22"/>
        </w:rPr>
        <w:t>sapropterin</w:t>
      </w:r>
      <w:proofErr w:type="spellEnd"/>
      <w:r>
        <w:rPr>
          <w:rFonts w:eastAsiaTheme="minorHAnsi" w:cstheme="minorBidi"/>
          <w:szCs w:val="22"/>
        </w:rPr>
        <w:t xml:space="preserve"> which included paediatric and maternal patients. In July 2022, the PBAC considered the ICER was very high at the price proposed by the sponsor and considered that a substantial price reduction would be required to achieve a cost-effective listing for adult patients. In this context, the PBAC considered that in patients commencing treatment as an adult, </w:t>
      </w:r>
      <w:r>
        <w:rPr>
          <w:rFonts w:eastAsiaTheme="minorHAnsi" w:cstheme="minorBidi"/>
          <w:szCs w:val="22"/>
        </w:rPr>
        <w:lastRenderedPageBreak/>
        <w:t xml:space="preserve">a 50% reduction in the price of </w:t>
      </w:r>
      <w:proofErr w:type="spellStart"/>
      <w:r>
        <w:rPr>
          <w:rFonts w:eastAsiaTheme="minorHAnsi" w:cstheme="minorBidi"/>
          <w:szCs w:val="22"/>
        </w:rPr>
        <w:t>sapropterin</w:t>
      </w:r>
      <w:proofErr w:type="spellEnd"/>
      <w:r>
        <w:rPr>
          <w:rFonts w:eastAsiaTheme="minorHAnsi" w:cstheme="minorBidi"/>
          <w:szCs w:val="22"/>
        </w:rPr>
        <w:t xml:space="preserve"> would be required. In July 2022, the PBAC noted this would reduce the ICER to $255,000 to &lt; $355,000/QALY using the model provided with the </w:t>
      </w:r>
      <w:proofErr w:type="spellStart"/>
      <w:r>
        <w:rPr>
          <w:rFonts w:eastAsiaTheme="minorHAnsi" w:cstheme="minorBidi"/>
          <w:szCs w:val="22"/>
        </w:rPr>
        <w:t>sapropterin</w:t>
      </w:r>
      <w:proofErr w:type="spellEnd"/>
      <w:r>
        <w:rPr>
          <w:rFonts w:eastAsiaTheme="minorHAnsi" w:cstheme="minorBidi"/>
          <w:szCs w:val="22"/>
        </w:rPr>
        <w:t xml:space="preserve"> submission. In July 2022, the PBAC considered that with this reduction in price, the ICER, though very high and uncertain, would be acceptable in the context of the high clinical need, high burden of disease and small patient population where equity of access is an additional consideration (paragraph 7.12, </w:t>
      </w:r>
      <w:proofErr w:type="spellStart"/>
      <w:r>
        <w:rPr>
          <w:rFonts w:eastAsiaTheme="minorHAnsi" w:cstheme="minorBidi"/>
          <w:szCs w:val="22"/>
        </w:rPr>
        <w:t>sapropterin</w:t>
      </w:r>
      <w:proofErr w:type="spellEnd"/>
      <w:r>
        <w:rPr>
          <w:rFonts w:eastAsiaTheme="minorHAnsi" w:cstheme="minorBidi"/>
          <w:szCs w:val="22"/>
        </w:rPr>
        <w:t xml:space="preserve"> PSD, July 2022 PBAC meeting).</w:t>
      </w:r>
    </w:p>
    <w:p w14:paraId="302F4CD5" w14:textId="16E53AF1" w:rsidR="004D59D4" w:rsidRDefault="00023FAF" w:rsidP="00025AAC">
      <w:pPr>
        <w:pStyle w:val="3-BodyText"/>
        <w:numPr>
          <w:ilvl w:val="1"/>
          <w:numId w:val="58"/>
        </w:numPr>
        <w:spacing w:before="160" w:after="160"/>
      </w:pPr>
      <w:r>
        <w:t xml:space="preserve">The results of key univariate sensitivity analyses are summarised in </w:t>
      </w:r>
      <w:r>
        <w:fldChar w:fldCharType="begin"/>
      </w:r>
      <w:r>
        <w:instrText xml:space="preserve"> REF _Ref216364315 \h </w:instrText>
      </w:r>
      <w:r>
        <w:fldChar w:fldCharType="separate"/>
      </w:r>
      <w:r w:rsidR="00E24060">
        <w:t xml:space="preserve">Table </w:t>
      </w:r>
      <w:r w:rsidR="00E24060">
        <w:rPr>
          <w:noProof/>
        </w:rPr>
        <w:t>14</w:t>
      </w:r>
      <w:r>
        <w:fldChar w:fldCharType="end"/>
      </w:r>
      <w:r>
        <w:t xml:space="preserve">. As previously noted, the use of a microsimulation model resulted in unnecessarily complicated model, which required significant time to compute” (paragraph 6.61, </w:t>
      </w:r>
      <w:proofErr w:type="spellStart"/>
      <w:r>
        <w:t>pegvaliase</w:t>
      </w:r>
      <w:proofErr w:type="spellEnd"/>
      <w:r>
        <w:t xml:space="preserve"> PSD, July 2022 PBAC meeting). For this reason, during the evaluation </w:t>
      </w:r>
      <w:proofErr w:type="gramStart"/>
      <w:r>
        <w:t>the majority of</w:t>
      </w:r>
      <w:proofErr w:type="gramEnd"/>
      <w:r>
        <w:t xml:space="preserve"> sensitivity analyses were conducted using only 100 iterations.</w:t>
      </w:r>
    </w:p>
    <w:p w14:paraId="21A34C17" w14:textId="03203D7A" w:rsidR="004D59D4" w:rsidRDefault="00023FAF" w:rsidP="00025AAC">
      <w:pPr>
        <w:pStyle w:val="Caption"/>
        <w:rPr>
          <w:rStyle w:val="CommentReference"/>
          <w:b/>
          <w:szCs w:val="24"/>
        </w:rPr>
      </w:pPr>
      <w:bookmarkStart w:id="82" w:name="_Ref216364315"/>
      <w:r>
        <w:lastRenderedPageBreak/>
        <w:t xml:space="preserve">Table </w:t>
      </w:r>
      <w:fldSimple w:instr=" SEQ Table \* ARABIC ">
        <w:r w:rsidR="00E24060">
          <w:rPr>
            <w:noProof/>
          </w:rPr>
          <w:t>14</w:t>
        </w:r>
      </w:fldSimple>
      <w:bookmarkEnd w:id="82"/>
      <w:r>
        <w:t>:</w:t>
      </w:r>
      <w:r>
        <w:rPr>
          <w:rStyle w:val="CommentReference"/>
          <w:b/>
          <w:szCs w:val="24"/>
        </w:rPr>
        <w:t xml:space="preserve"> Sensitivity analyses</w:t>
      </w:r>
    </w:p>
    <w:tbl>
      <w:tblPr>
        <w:tblW w:w="5000" w:type="pct"/>
        <w:tblLayout w:type="fixed"/>
        <w:tblLook w:val="04A0" w:firstRow="1" w:lastRow="0" w:firstColumn="1" w:lastColumn="0" w:noHBand="0" w:noVBand="1"/>
        <w:tblCaption w:val="Table 14: Sensitivity analyses"/>
      </w:tblPr>
      <w:tblGrid>
        <w:gridCol w:w="3532"/>
        <w:gridCol w:w="1369"/>
        <w:gridCol w:w="1371"/>
        <w:gridCol w:w="1371"/>
        <w:gridCol w:w="1373"/>
      </w:tblGrid>
      <w:tr w:rsidR="004D59D4" w14:paraId="41015B28" w14:textId="77777777">
        <w:trPr>
          <w:cantSplit/>
          <w:tblHeader/>
        </w:trPr>
        <w:tc>
          <w:tcPr>
            <w:tcW w:w="3537" w:type="dxa"/>
            <w:tcBorders>
              <w:top w:val="single" w:sz="4" w:space="0" w:color="000000"/>
              <w:left w:val="single" w:sz="4" w:space="0" w:color="000000"/>
              <w:bottom w:val="single" w:sz="4" w:space="0" w:color="000000"/>
              <w:right w:val="single" w:sz="4" w:space="0" w:color="000000"/>
            </w:tcBorders>
            <w:vAlign w:val="center"/>
          </w:tcPr>
          <w:p w14:paraId="10AAD77D" w14:textId="77777777" w:rsidR="004D59D4" w:rsidRDefault="00023FAF" w:rsidP="00025AAC">
            <w:pPr>
              <w:pStyle w:val="In-tableHeading"/>
            </w:pPr>
            <w:r>
              <w:t>Analyses</w:t>
            </w:r>
          </w:p>
        </w:tc>
        <w:tc>
          <w:tcPr>
            <w:tcW w:w="1371" w:type="dxa"/>
            <w:tcBorders>
              <w:top w:val="single" w:sz="4" w:space="0" w:color="000000"/>
              <w:left w:val="single" w:sz="4" w:space="0" w:color="000000"/>
              <w:bottom w:val="single" w:sz="4" w:space="0" w:color="000000"/>
              <w:right w:val="single" w:sz="4" w:space="0" w:color="000000"/>
            </w:tcBorders>
            <w:vAlign w:val="center"/>
          </w:tcPr>
          <w:p w14:paraId="051994AE" w14:textId="77777777" w:rsidR="004D59D4" w:rsidRDefault="00023FAF" w:rsidP="00025AAC">
            <w:pPr>
              <w:pStyle w:val="In-tableHeading"/>
              <w:jc w:val="center"/>
            </w:pPr>
            <w:r>
              <w:t>Incremental cost</w:t>
            </w:r>
          </w:p>
        </w:tc>
        <w:tc>
          <w:tcPr>
            <w:tcW w:w="1372" w:type="dxa"/>
            <w:tcBorders>
              <w:top w:val="single" w:sz="4" w:space="0" w:color="000000"/>
              <w:left w:val="single" w:sz="4" w:space="0" w:color="000000"/>
              <w:bottom w:val="single" w:sz="4" w:space="0" w:color="000000"/>
              <w:right w:val="single" w:sz="4" w:space="0" w:color="000000"/>
            </w:tcBorders>
            <w:vAlign w:val="center"/>
          </w:tcPr>
          <w:p w14:paraId="41698884" w14:textId="77777777" w:rsidR="004D59D4" w:rsidRDefault="00023FAF" w:rsidP="00025AAC">
            <w:pPr>
              <w:pStyle w:val="In-tableHeading"/>
              <w:jc w:val="center"/>
            </w:pPr>
            <w:r>
              <w:t>Incremental QALY</w:t>
            </w:r>
          </w:p>
        </w:tc>
        <w:tc>
          <w:tcPr>
            <w:tcW w:w="1372" w:type="dxa"/>
            <w:tcBorders>
              <w:top w:val="single" w:sz="4" w:space="0" w:color="000000"/>
              <w:left w:val="single" w:sz="4" w:space="0" w:color="000000"/>
              <w:bottom w:val="single" w:sz="4" w:space="0" w:color="000000"/>
              <w:right w:val="single" w:sz="4" w:space="0" w:color="000000"/>
            </w:tcBorders>
            <w:vAlign w:val="center"/>
          </w:tcPr>
          <w:p w14:paraId="08A6F75D" w14:textId="77777777" w:rsidR="004D59D4" w:rsidRDefault="00023FAF" w:rsidP="00025AAC">
            <w:pPr>
              <w:pStyle w:val="In-tableHeading"/>
              <w:jc w:val="center"/>
            </w:pPr>
            <w:r>
              <w:t>ICER</w:t>
            </w:r>
          </w:p>
        </w:tc>
        <w:tc>
          <w:tcPr>
            <w:tcW w:w="1374" w:type="dxa"/>
            <w:tcBorders>
              <w:top w:val="single" w:sz="4" w:space="0" w:color="000000"/>
              <w:left w:val="single" w:sz="4" w:space="0" w:color="000000"/>
              <w:bottom w:val="single" w:sz="4" w:space="0" w:color="000000"/>
              <w:right w:val="single" w:sz="4" w:space="0" w:color="000000"/>
            </w:tcBorders>
            <w:vAlign w:val="center"/>
          </w:tcPr>
          <w:p w14:paraId="086C623C" w14:textId="77777777" w:rsidR="004D59D4" w:rsidRDefault="00023FAF" w:rsidP="00025AAC">
            <w:pPr>
              <w:pStyle w:val="In-tableHeading"/>
              <w:jc w:val="center"/>
            </w:pPr>
            <w:r>
              <w:t>% change to ICER</w:t>
            </w:r>
          </w:p>
        </w:tc>
      </w:tr>
      <w:tr w:rsidR="004D59D4" w14:paraId="2DF505A8" w14:textId="77777777">
        <w:trPr>
          <w:cantSplit/>
        </w:trPr>
        <w:tc>
          <w:tcPr>
            <w:tcW w:w="9026" w:type="dxa"/>
            <w:gridSpan w:val="5"/>
            <w:tcBorders>
              <w:top w:val="single" w:sz="4" w:space="0" w:color="000000"/>
              <w:left w:val="single" w:sz="4" w:space="0" w:color="000000"/>
              <w:bottom w:val="single" w:sz="4" w:space="0" w:color="000000"/>
              <w:right w:val="single" w:sz="4" w:space="0" w:color="000000"/>
            </w:tcBorders>
            <w:vAlign w:val="center"/>
          </w:tcPr>
          <w:p w14:paraId="6C12F2AF" w14:textId="77777777" w:rsidR="004D59D4" w:rsidRDefault="00023FAF" w:rsidP="00025AAC">
            <w:pPr>
              <w:pStyle w:val="TableText1"/>
              <w:rPr>
                <w:b/>
                <w:bCs w:val="0"/>
                <w:iCs w:val="0"/>
              </w:rPr>
            </w:pPr>
            <w:r>
              <w:rPr>
                <w:b/>
                <w:bCs w:val="0"/>
                <w:iCs w:val="0"/>
              </w:rPr>
              <w:t xml:space="preserve">Sensitivity analyses presented in the resubmission (5000 </w:t>
            </w:r>
            <w:proofErr w:type="gramStart"/>
            <w:r>
              <w:rPr>
                <w:b/>
                <w:bCs w:val="0"/>
                <w:iCs w:val="0"/>
              </w:rPr>
              <w:t>iterations)</w:t>
            </w:r>
            <w:r>
              <w:rPr>
                <w:b/>
                <w:bCs w:val="0"/>
                <w:iCs w:val="0"/>
                <w:vertAlign w:val="superscript"/>
              </w:rPr>
              <w:t>a</w:t>
            </w:r>
            <w:proofErr w:type="gramEnd"/>
          </w:p>
        </w:tc>
      </w:tr>
      <w:tr w:rsidR="004D59D4" w14:paraId="0208BB7F" w14:textId="77777777">
        <w:trPr>
          <w:cantSplit/>
        </w:trPr>
        <w:tc>
          <w:tcPr>
            <w:tcW w:w="3537" w:type="dxa"/>
            <w:tcBorders>
              <w:top w:val="single" w:sz="4" w:space="0" w:color="000000"/>
              <w:left w:val="single" w:sz="4" w:space="0" w:color="000000"/>
              <w:bottom w:val="single" w:sz="4" w:space="0" w:color="000000"/>
              <w:right w:val="single" w:sz="4" w:space="0" w:color="000000"/>
            </w:tcBorders>
            <w:vAlign w:val="center"/>
          </w:tcPr>
          <w:p w14:paraId="2BE6CF08" w14:textId="77777777" w:rsidR="004D59D4" w:rsidRDefault="00023FAF" w:rsidP="00025AAC">
            <w:pPr>
              <w:pStyle w:val="TableText1"/>
              <w:rPr>
                <w:iCs w:val="0"/>
              </w:rPr>
            </w:pPr>
            <w:r>
              <w:rPr>
                <w:iCs w:val="0"/>
              </w:rPr>
              <w:t>Base case</w:t>
            </w:r>
          </w:p>
        </w:tc>
        <w:tc>
          <w:tcPr>
            <w:tcW w:w="1371" w:type="dxa"/>
            <w:tcBorders>
              <w:top w:val="single" w:sz="4" w:space="0" w:color="000000"/>
              <w:left w:val="single" w:sz="4" w:space="0" w:color="000000"/>
              <w:bottom w:val="single" w:sz="4" w:space="0" w:color="000000"/>
              <w:right w:val="single" w:sz="4" w:space="0" w:color="000000"/>
            </w:tcBorders>
            <w:vAlign w:val="center"/>
          </w:tcPr>
          <w:p w14:paraId="50A126F1" w14:textId="179D4D3B" w:rsidR="004D59D4" w:rsidRDefault="00023FAF" w:rsidP="00025AAC">
            <w:pPr>
              <w:pStyle w:val="TableText1"/>
              <w:jc w:val="center"/>
              <w:rPr>
                <w:iCs w:val="0"/>
              </w:rPr>
            </w:pPr>
            <w:r>
              <w:rPr>
                <w:rFonts w:cs="Calibri"/>
                <w:iCs w:val="0"/>
                <w:szCs w:val="20"/>
              </w:rPr>
              <w:t>$</w:t>
            </w:r>
            <w:r w:rsidR="002615A2" w:rsidRPr="002615A2">
              <w:rPr>
                <w:rFonts w:cs="Calibri"/>
                <w:iCs w:val="0"/>
                <w:sz w:val="2"/>
                <w:szCs w:val="20"/>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515FDEDD" w14:textId="77777777" w:rsidR="004D59D4" w:rsidRDefault="00023FAF" w:rsidP="00025AAC">
            <w:pPr>
              <w:pStyle w:val="TableText1"/>
              <w:jc w:val="center"/>
              <w:rPr>
                <w:iCs w:val="0"/>
              </w:rPr>
            </w:pPr>
            <w:r>
              <w:rPr>
                <w:rFonts w:cs="Calibri"/>
                <w:iCs w:val="0"/>
                <w:szCs w:val="20"/>
              </w:rPr>
              <w:t>3.25</w:t>
            </w:r>
          </w:p>
        </w:tc>
        <w:tc>
          <w:tcPr>
            <w:tcW w:w="1372" w:type="dxa"/>
            <w:tcBorders>
              <w:top w:val="single" w:sz="4" w:space="0" w:color="000000"/>
              <w:left w:val="single" w:sz="4" w:space="0" w:color="000000"/>
              <w:bottom w:val="single" w:sz="4" w:space="0" w:color="000000"/>
              <w:right w:val="single" w:sz="4" w:space="0" w:color="000000"/>
            </w:tcBorders>
            <w:vAlign w:val="center"/>
          </w:tcPr>
          <w:p w14:paraId="65F5B307" w14:textId="44E78729" w:rsidR="004D59D4" w:rsidRPr="00A7378E" w:rsidRDefault="00023FAF" w:rsidP="00025AAC">
            <w:pPr>
              <w:pStyle w:val="TableText1"/>
              <w:jc w:val="center"/>
              <w:rPr>
                <w:iCs w:val="0"/>
                <w:vertAlign w:val="superscript"/>
              </w:rPr>
            </w:pPr>
            <w:r>
              <w:rPr>
                <w:rFonts w:cs="Calibri"/>
                <w:iCs w:val="0"/>
                <w:szCs w:val="20"/>
              </w:rPr>
              <w:t>$</w:t>
            </w:r>
            <w:r w:rsidR="002615A2" w:rsidRPr="002615A2">
              <w:rPr>
                <w:rFonts w:cs="Calibri"/>
                <w:iCs w:val="0"/>
                <w:sz w:val="2"/>
                <w:szCs w:val="20"/>
                <w:highlight w:val="black"/>
              </w:rPr>
              <w:t>redacted content</w:t>
            </w:r>
            <w:r w:rsidR="0095291C">
              <w:rPr>
                <w:rFonts w:cs="Calibri"/>
                <w:iCs w:val="0"/>
                <w:szCs w:val="2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1DE1FF38" w14:textId="77777777" w:rsidR="004D59D4" w:rsidRDefault="00023FAF" w:rsidP="00025AAC">
            <w:pPr>
              <w:pStyle w:val="TableText1"/>
              <w:jc w:val="center"/>
              <w:rPr>
                <w:iCs w:val="0"/>
              </w:rPr>
            </w:pPr>
            <w:r>
              <w:rPr>
                <w:iCs w:val="0"/>
              </w:rPr>
              <w:t>-</w:t>
            </w:r>
          </w:p>
        </w:tc>
      </w:tr>
      <w:tr w:rsidR="004D59D4" w14:paraId="25D0D665"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240DBACD" w14:textId="77777777" w:rsidR="004D59D4" w:rsidRDefault="00023FAF" w:rsidP="00025AAC">
            <w:pPr>
              <w:pStyle w:val="TableText1"/>
              <w:rPr>
                <w:iCs w:val="0"/>
              </w:rPr>
            </w:pPr>
            <w:r>
              <w:rPr>
                <w:iCs w:val="0"/>
              </w:rPr>
              <w:t>MBS benefit only</w:t>
            </w:r>
          </w:p>
        </w:tc>
        <w:tc>
          <w:tcPr>
            <w:tcW w:w="1371" w:type="dxa"/>
            <w:tcBorders>
              <w:top w:val="single" w:sz="4" w:space="0" w:color="000000"/>
              <w:left w:val="single" w:sz="4" w:space="0" w:color="000000"/>
              <w:bottom w:val="single" w:sz="4" w:space="0" w:color="000000"/>
              <w:right w:val="single" w:sz="4" w:space="0" w:color="000000"/>
            </w:tcBorders>
            <w:vAlign w:val="center"/>
          </w:tcPr>
          <w:p w14:paraId="3DC3FEC7" w14:textId="03964A37"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2311DA88" w14:textId="77777777" w:rsidR="004D59D4" w:rsidRDefault="00023FAF" w:rsidP="00025AAC">
            <w:pPr>
              <w:pStyle w:val="TableText1"/>
              <w:jc w:val="center"/>
              <w:rPr>
                <w:iCs w:val="0"/>
              </w:rPr>
            </w:pPr>
            <w:r>
              <w:rPr>
                <w:iCs w:val="0"/>
              </w:rPr>
              <w:t>3.25</w:t>
            </w:r>
          </w:p>
        </w:tc>
        <w:tc>
          <w:tcPr>
            <w:tcW w:w="1372" w:type="dxa"/>
            <w:tcBorders>
              <w:top w:val="single" w:sz="4" w:space="0" w:color="000000"/>
              <w:left w:val="single" w:sz="4" w:space="0" w:color="000000"/>
              <w:bottom w:val="single" w:sz="4" w:space="0" w:color="000000"/>
              <w:right w:val="single" w:sz="4" w:space="0" w:color="000000"/>
            </w:tcBorders>
            <w:vAlign w:val="center"/>
          </w:tcPr>
          <w:p w14:paraId="7EF95CC2" w14:textId="0927CC6B"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95291C">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3F687803" w14:textId="7E0E62D8"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69272585"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57BDA939" w14:textId="77777777" w:rsidR="004D59D4" w:rsidRDefault="00023FAF" w:rsidP="00025AAC">
            <w:pPr>
              <w:pStyle w:val="TableText1"/>
              <w:rPr>
                <w:iCs w:val="0"/>
              </w:rPr>
            </w:pPr>
            <w:r>
              <w:rPr>
                <w:iCs w:val="0"/>
              </w:rPr>
              <w:t xml:space="preserve">Treat to max. </w:t>
            </w:r>
            <w:proofErr w:type="spellStart"/>
            <w:r>
              <w:rPr>
                <w:iCs w:val="0"/>
              </w:rPr>
              <w:t>pegvaliase</w:t>
            </w:r>
            <w:proofErr w:type="spellEnd"/>
            <w:r>
              <w:rPr>
                <w:iCs w:val="0"/>
              </w:rPr>
              <w:t xml:space="preserve"> dose (60 mg/day) (base case 24.5mg/day)</w:t>
            </w:r>
          </w:p>
        </w:tc>
        <w:tc>
          <w:tcPr>
            <w:tcW w:w="1371" w:type="dxa"/>
            <w:tcBorders>
              <w:top w:val="single" w:sz="4" w:space="0" w:color="000000"/>
              <w:left w:val="single" w:sz="4" w:space="0" w:color="000000"/>
              <w:bottom w:val="single" w:sz="4" w:space="0" w:color="000000"/>
              <w:right w:val="single" w:sz="4" w:space="0" w:color="000000"/>
            </w:tcBorders>
            <w:vAlign w:val="center"/>
          </w:tcPr>
          <w:p w14:paraId="2211C2F4" w14:textId="6E4018F3"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1E70DCEA" w14:textId="77777777" w:rsidR="004D59D4" w:rsidRDefault="00023FAF" w:rsidP="00025AAC">
            <w:pPr>
              <w:pStyle w:val="TableText1"/>
              <w:jc w:val="center"/>
              <w:rPr>
                <w:iCs w:val="0"/>
              </w:rPr>
            </w:pPr>
            <w:r>
              <w:rPr>
                <w:iCs w:val="0"/>
              </w:rPr>
              <w:t>3.25</w:t>
            </w:r>
          </w:p>
        </w:tc>
        <w:tc>
          <w:tcPr>
            <w:tcW w:w="1372" w:type="dxa"/>
            <w:tcBorders>
              <w:top w:val="single" w:sz="4" w:space="0" w:color="000000"/>
              <w:left w:val="single" w:sz="4" w:space="0" w:color="000000"/>
              <w:bottom w:val="single" w:sz="4" w:space="0" w:color="000000"/>
              <w:right w:val="single" w:sz="4" w:space="0" w:color="000000"/>
            </w:tcBorders>
            <w:vAlign w:val="center"/>
          </w:tcPr>
          <w:p w14:paraId="6AD7C16A" w14:textId="1AE54580"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95291C">
              <w:rPr>
                <w:iCs w:val="0"/>
                <w:vertAlign w:val="superscript"/>
              </w:rPr>
              <w:t>2</w:t>
            </w:r>
          </w:p>
        </w:tc>
        <w:tc>
          <w:tcPr>
            <w:tcW w:w="1374" w:type="dxa"/>
            <w:tcBorders>
              <w:top w:val="single" w:sz="4" w:space="0" w:color="000000"/>
              <w:left w:val="single" w:sz="4" w:space="0" w:color="000000"/>
              <w:bottom w:val="single" w:sz="4" w:space="0" w:color="000000"/>
              <w:right w:val="single" w:sz="4" w:space="0" w:color="000000"/>
            </w:tcBorders>
            <w:vAlign w:val="center"/>
          </w:tcPr>
          <w:p w14:paraId="7223F97D" w14:textId="10E7328D"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461E83A0"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1DD75BED" w14:textId="77777777" w:rsidR="004D59D4" w:rsidRDefault="00023FAF" w:rsidP="00025AAC">
            <w:pPr>
              <w:pStyle w:val="TableText1"/>
              <w:rPr>
                <w:iCs w:val="0"/>
              </w:rPr>
            </w:pPr>
            <w:r>
              <w:rPr>
                <w:iCs w:val="0"/>
              </w:rPr>
              <w:t>Discontinuations – old protocol</w:t>
            </w:r>
          </w:p>
        </w:tc>
        <w:tc>
          <w:tcPr>
            <w:tcW w:w="1371" w:type="dxa"/>
            <w:tcBorders>
              <w:top w:val="single" w:sz="4" w:space="0" w:color="000000"/>
              <w:left w:val="single" w:sz="4" w:space="0" w:color="000000"/>
              <w:bottom w:val="single" w:sz="4" w:space="0" w:color="000000"/>
              <w:right w:val="single" w:sz="4" w:space="0" w:color="000000"/>
            </w:tcBorders>
            <w:vAlign w:val="center"/>
          </w:tcPr>
          <w:p w14:paraId="69EE4932" w14:textId="41F7AC91"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757AE28B" w14:textId="77777777" w:rsidR="004D59D4" w:rsidRDefault="00023FAF" w:rsidP="00025AAC">
            <w:pPr>
              <w:pStyle w:val="TableText1"/>
              <w:jc w:val="center"/>
              <w:rPr>
                <w:iCs w:val="0"/>
              </w:rPr>
            </w:pPr>
            <w:r>
              <w:rPr>
                <w:iCs w:val="0"/>
              </w:rPr>
              <w:t>2.83</w:t>
            </w:r>
          </w:p>
        </w:tc>
        <w:tc>
          <w:tcPr>
            <w:tcW w:w="1372" w:type="dxa"/>
            <w:tcBorders>
              <w:top w:val="single" w:sz="4" w:space="0" w:color="000000"/>
              <w:left w:val="single" w:sz="4" w:space="0" w:color="000000"/>
              <w:bottom w:val="single" w:sz="4" w:space="0" w:color="000000"/>
              <w:right w:val="single" w:sz="4" w:space="0" w:color="000000"/>
            </w:tcBorders>
            <w:vAlign w:val="center"/>
          </w:tcPr>
          <w:p w14:paraId="0651F778" w14:textId="11DE0C58"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95291C">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118F6B92" w14:textId="36D219EC"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54A8F158"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1BAC64D3" w14:textId="77777777" w:rsidR="004D59D4" w:rsidRDefault="00023FAF" w:rsidP="00025AAC">
            <w:pPr>
              <w:pStyle w:val="TableText1"/>
              <w:rPr>
                <w:iCs w:val="0"/>
              </w:rPr>
            </w:pPr>
            <w:r>
              <w:rPr>
                <w:iCs w:val="0"/>
              </w:rPr>
              <w:t>Discontinuations – new protocol</w:t>
            </w:r>
          </w:p>
        </w:tc>
        <w:tc>
          <w:tcPr>
            <w:tcW w:w="1371" w:type="dxa"/>
            <w:tcBorders>
              <w:top w:val="single" w:sz="4" w:space="0" w:color="000000"/>
              <w:left w:val="single" w:sz="4" w:space="0" w:color="000000"/>
              <w:bottom w:val="single" w:sz="4" w:space="0" w:color="000000"/>
              <w:right w:val="single" w:sz="4" w:space="0" w:color="000000"/>
            </w:tcBorders>
            <w:vAlign w:val="center"/>
          </w:tcPr>
          <w:p w14:paraId="3FA4A202" w14:textId="6FB4B22B"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29E7F8C6" w14:textId="77777777" w:rsidR="004D59D4" w:rsidRDefault="00023FAF" w:rsidP="00025AAC">
            <w:pPr>
              <w:pStyle w:val="TableText1"/>
              <w:jc w:val="center"/>
              <w:rPr>
                <w:iCs w:val="0"/>
              </w:rPr>
            </w:pPr>
            <w:r>
              <w:rPr>
                <w:iCs w:val="0"/>
              </w:rPr>
              <w:t>3.74</w:t>
            </w:r>
          </w:p>
        </w:tc>
        <w:tc>
          <w:tcPr>
            <w:tcW w:w="1372" w:type="dxa"/>
            <w:tcBorders>
              <w:top w:val="single" w:sz="4" w:space="0" w:color="000000"/>
              <w:left w:val="single" w:sz="4" w:space="0" w:color="000000"/>
              <w:bottom w:val="single" w:sz="4" w:space="0" w:color="000000"/>
              <w:right w:val="single" w:sz="4" w:space="0" w:color="000000"/>
            </w:tcBorders>
            <w:vAlign w:val="center"/>
          </w:tcPr>
          <w:p w14:paraId="433F99CC" w14:textId="3F3514D9"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95291C">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79FC0717" w14:textId="74AD1625"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0F6CA20A" w14:textId="77777777">
        <w:trPr>
          <w:cantSplit/>
          <w:trHeight w:val="150"/>
        </w:trPr>
        <w:tc>
          <w:tcPr>
            <w:tcW w:w="3537" w:type="dxa"/>
            <w:tcBorders>
              <w:top w:val="single" w:sz="4" w:space="0" w:color="000000"/>
              <w:left w:val="single" w:sz="4" w:space="0" w:color="000000"/>
              <w:bottom w:val="single" w:sz="4" w:space="0" w:color="000000"/>
              <w:right w:val="single" w:sz="4" w:space="0" w:color="000000"/>
            </w:tcBorders>
          </w:tcPr>
          <w:p w14:paraId="703F9DB3" w14:textId="77777777" w:rsidR="004D59D4" w:rsidRDefault="00023FAF" w:rsidP="00025AAC">
            <w:pPr>
              <w:pStyle w:val="TableText1"/>
              <w:rPr>
                <w:iCs w:val="0"/>
              </w:rPr>
            </w:pPr>
            <w:r>
              <w:rPr>
                <w:iCs w:val="0"/>
              </w:rPr>
              <w:t>Discount rate: 0% (base case 5%)</w:t>
            </w:r>
          </w:p>
        </w:tc>
        <w:tc>
          <w:tcPr>
            <w:tcW w:w="1371" w:type="dxa"/>
            <w:tcBorders>
              <w:top w:val="single" w:sz="4" w:space="0" w:color="000000"/>
              <w:left w:val="single" w:sz="4" w:space="0" w:color="000000"/>
              <w:bottom w:val="single" w:sz="4" w:space="0" w:color="000000"/>
              <w:right w:val="single" w:sz="4" w:space="0" w:color="000000"/>
            </w:tcBorders>
            <w:vAlign w:val="center"/>
          </w:tcPr>
          <w:p w14:paraId="5391C8F9" w14:textId="006ED347"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1AD7D658" w14:textId="77777777" w:rsidR="004D59D4" w:rsidRDefault="00023FAF" w:rsidP="00025AAC">
            <w:pPr>
              <w:pStyle w:val="TableText1"/>
              <w:jc w:val="center"/>
              <w:rPr>
                <w:iCs w:val="0"/>
              </w:rPr>
            </w:pPr>
            <w:r>
              <w:rPr>
                <w:iCs w:val="0"/>
              </w:rPr>
              <w:t>9.61</w:t>
            </w:r>
          </w:p>
        </w:tc>
        <w:tc>
          <w:tcPr>
            <w:tcW w:w="1372" w:type="dxa"/>
            <w:tcBorders>
              <w:top w:val="single" w:sz="4" w:space="0" w:color="000000"/>
              <w:left w:val="single" w:sz="4" w:space="0" w:color="000000"/>
              <w:bottom w:val="single" w:sz="4" w:space="0" w:color="000000"/>
              <w:right w:val="single" w:sz="4" w:space="0" w:color="000000"/>
            </w:tcBorders>
            <w:vAlign w:val="center"/>
          </w:tcPr>
          <w:p w14:paraId="6546B84C" w14:textId="011AF9AA"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95291C">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65191CA4" w14:textId="305CF837"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2CFE4575"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559100AB" w14:textId="77777777" w:rsidR="004D59D4" w:rsidRDefault="00023FAF" w:rsidP="00025AAC">
            <w:pPr>
              <w:pStyle w:val="TableText1"/>
              <w:rPr>
                <w:iCs w:val="0"/>
              </w:rPr>
            </w:pPr>
            <w:r>
              <w:rPr>
                <w:iCs w:val="0"/>
              </w:rPr>
              <w:t>Discount rate: 3.5% (base case 5%)</w:t>
            </w:r>
          </w:p>
        </w:tc>
        <w:tc>
          <w:tcPr>
            <w:tcW w:w="1371" w:type="dxa"/>
            <w:tcBorders>
              <w:top w:val="single" w:sz="4" w:space="0" w:color="000000"/>
              <w:left w:val="single" w:sz="4" w:space="0" w:color="000000"/>
              <w:bottom w:val="single" w:sz="4" w:space="0" w:color="000000"/>
              <w:right w:val="single" w:sz="4" w:space="0" w:color="000000"/>
            </w:tcBorders>
            <w:vAlign w:val="center"/>
          </w:tcPr>
          <w:p w14:paraId="36D39250" w14:textId="34A8B4CE"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6DA0DA01" w14:textId="77777777" w:rsidR="004D59D4" w:rsidRDefault="00023FAF" w:rsidP="00025AAC">
            <w:pPr>
              <w:pStyle w:val="TableText1"/>
              <w:jc w:val="center"/>
              <w:rPr>
                <w:iCs w:val="0"/>
              </w:rPr>
            </w:pPr>
            <w:r>
              <w:rPr>
                <w:iCs w:val="0"/>
              </w:rPr>
              <w:t>4.20</w:t>
            </w:r>
          </w:p>
        </w:tc>
        <w:tc>
          <w:tcPr>
            <w:tcW w:w="1372" w:type="dxa"/>
            <w:tcBorders>
              <w:top w:val="single" w:sz="4" w:space="0" w:color="000000"/>
              <w:left w:val="single" w:sz="4" w:space="0" w:color="000000"/>
              <w:bottom w:val="single" w:sz="4" w:space="0" w:color="000000"/>
              <w:right w:val="single" w:sz="4" w:space="0" w:color="000000"/>
            </w:tcBorders>
            <w:vAlign w:val="center"/>
          </w:tcPr>
          <w:p w14:paraId="4ED85B7D" w14:textId="24F1D5B7"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076CA2">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5D3A9F4D" w14:textId="697C4F41"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0CAB3BA0" w14:textId="77777777">
        <w:trPr>
          <w:cantSplit/>
          <w:trHeight w:val="43"/>
        </w:trPr>
        <w:tc>
          <w:tcPr>
            <w:tcW w:w="3537" w:type="dxa"/>
            <w:tcBorders>
              <w:top w:val="single" w:sz="4" w:space="0" w:color="000000"/>
              <w:left w:val="single" w:sz="4" w:space="0" w:color="000000"/>
              <w:bottom w:val="single" w:sz="4" w:space="0" w:color="000000"/>
              <w:right w:val="single" w:sz="4" w:space="0" w:color="000000"/>
            </w:tcBorders>
          </w:tcPr>
          <w:p w14:paraId="31BB7657" w14:textId="77777777" w:rsidR="004D59D4" w:rsidRDefault="00023FAF" w:rsidP="00025AAC">
            <w:pPr>
              <w:pStyle w:val="TableText1"/>
              <w:rPr>
                <w:iCs w:val="0"/>
              </w:rPr>
            </w:pPr>
            <w:r>
              <w:rPr>
                <w:iCs w:val="0"/>
              </w:rPr>
              <w:t>Time horizon 30 years (base case 100)</w:t>
            </w:r>
          </w:p>
        </w:tc>
        <w:tc>
          <w:tcPr>
            <w:tcW w:w="1371" w:type="dxa"/>
            <w:tcBorders>
              <w:top w:val="single" w:sz="4" w:space="0" w:color="000000"/>
              <w:left w:val="single" w:sz="4" w:space="0" w:color="000000"/>
              <w:bottom w:val="single" w:sz="4" w:space="0" w:color="000000"/>
              <w:right w:val="single" w:sz="4" w:space="0" w:color="000000"/>
            </w:tcBorders>
            <w:vAlign w:val="center"/>
          </w:tcPr>
          <w:p w14:paraId="7FB7C377" w14:textId="585F0227"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47D2A098" w14:textId="77777777" w:rsidR="004D59D4" w:rsidRDefault="00023FAF" w:rsidP="00025AAC">
            <w:pPr>
              <w:pStyle w:val="TableText1"/>
              <w:jc w:val="center"/>
              <w:rPr>
                <w:iCs w:val="0"/>
              </w:rPr>
            </w:pPr>
            <w:r>
              <w:rPr>
                <w:iCs w:val="0"/>
              </w:rPr>
              <w:t>2.69</w:t>
            </w:r>
          </w:p>
        </w:tc>
        <w:tc>
          <w:tcPr>
            <w:tcW w:w="1372" w:type="dxa"/>
            <w:tcBorders>
              <w:top w:val="single" w:sz="4" w:space="0" w:color="000000"/>
              <w:left w:val="single" w:sz="4" w:space="0" w:color="000000"/>
              <w:bottom w:val="single" w:sz="4" w:space="0" w:color="000000"/>
              <w:right w:val="single" w:sz="4" w:space="0" w:color="000000"/>
            </w:tcBorders>
            <w:vAlign w:val="center"/>
          </w:tcPr>
          <w:p w14:paraId="7667C480" w14:textId="4021EEB0"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076CA2">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05EA682D" w14:textId="4262CC2D"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4018218F" w14:textId="77777777">
        <w:trPr>
          <w:cantSplit/>
          <w:trHeight w:val="43"/>
        </w:trPr>
        <w:tc>
          <w:tcPr>
            <w:tcW w:w="3537" w:type="dxa"/>
            <w:tcBorders>
              <w:top w:val="single" w:sz="4" w:space="0" w:color="000000"/>
              <w:left w:val="single" w:sz="4" w:space="0" w:color="000000"/>
              <w:bottom w:val="single" w:sz="4" w:space="0" w:color="000000"/>
              <w:right w:val="single" w:sz="4" w:space="0" w:color="000000"/>
            </w:tcBorders>
          </w:tcPr>
          <w:p w14:paraId="201B2239" w14:textId="77777777" w:rsidR="004D59D4" w:rsidRDefault="00023FAF" w:rsidP="00025AAC">
            <w:pPr>
              <w:pStyle w:val="TableText1"/>
              <w:rPr>
                <w:iCs w:val="0"/>
              </w:rPr>
            </w:pPr>
            <w:r>
              <w:rPr>
                <w:iCs w:val="0"/>
              </w:rPr>
              <w:t>Time horizon 40 years (base case 100)</w:t>
            </w:r>
          </w:p>
        </w:tc>
        <w:tc>
          <w:tcPr>
            <w:tcW w:w="1371" w:type="dxa"/>
            <w:tcBorders>
              <w:top w:val="single" w:sz="4" w:space="0" w:color="000000"/>
              <w:left w:val="single" w:sz="4" w:space="0" w:color="000000"/>
              <w:bottom w:val="single" w:sz="4" w:space="0" w:color="000000"/>
              <w:right w:val="single" w:sz="4" w:space="0" w:color="000000"/>
            </w:tcBorders>
            <w:vAlign w:val="center"/>
          </w:tcPr>
          <w:p w14:paraId="4BFCA7EB" w14:textId="1BB180FA"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36C2B997" w14:textId="77777777" w:rsidR="004D59D4" w:rsidRDefault="00023FAF" w:rsidP="00025AAC">
            <w:pPr>
              <w:pStyle w:val="TableText1"/>
              <w:jc w:val="center"/>
              <w:rPr>
                <w:iCs w:val="0"/>
              </w:rPr>
            </w:pPr>
            <w:r>
              <w:rPr>
                <w:iCs w:val="0"/>
              </w:rPr>
              <w:t>2.99</w:t>
            </w:r>
          </w:p>
        </w:tc>
        <w:tc>
          <w:tcPr>
            <w:tcW w:w="1372" w:type="dxa"/>
            <w:tcBorders>
              <w:top w:val="single" w:sz="4" w:space="0" w:color="000000"/>
              <w:left w:val="single" w:sz="4" w:space="0" w:color="000000"/>
              <w:bottom w:val="single" w:sz="4" w:space="0" w:color="000000"/>
              <w:right w:val="single" w:sz="4" w:space="0" w:color="000000"/>
            </w:tcBorders>
            <w:vAlign w:val="center"/>
          </w:tcPr>
          <w:p w14:paraId="675699D0" w14:textId="3B2297FC"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076CA2">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0057B71A" w14:textId="2064C028"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4E94C3A8" w14:textId="77777777">
        <w:trPr>
          <w:cantSplit/>
        </w:trPr>
        <w:tc>
          <w:tcPr>
            <w:tcW w:w="9026" w:type="dxa"/>
            <w:gridSpan w:val="5"/>
            <w:tcBorders>
              <w:top w:val="single" w:sz="4" w:space="0" w:color="000000"/>
              <w:left w:val="single" w:sz="4" w:space="0" w:color="000000"/>
              <w:bottom w:val="single" w:sz="4" w:space="0" w:color="000000"/>
              <w:right w:val="single" w:sz="4" w:space="0" w:color="000000"/>
            </w:tcBorders>
          </w:tcPr>
          <w:p w14:paraId="78CC3EDE" w14:textId="77777777" w:rsidR="004D59D4" w:rsidRDefault="00023FAF" w:rsidP="00025AAC">
            <w:pPr>
              <w:pStyle w:val="TableText1"/>
              <w:rPr>
                <w:b/>
                <w:bCs w:val="0"/>
                <w:iCs w:val="0"/>
              </w:rPr>
            </w:pPr>
            <w:r>
              <w:rPr>
                <w:b/>
                <w:bCs w:val="0"/>
                <w:iCs w:val="0"/>
              </w:rPr>
              <w:t>Sensitivity analyses conducted during the evaluation (5000 iterations)</w:t>
            </w:r>
          </w:p>
        </w:tc>
      </w:tr>
      <w:tr w:rsidR="004D59D4" w14:paraId="790C2B9C"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3C22EB5C" w14:textId="058E1109" w:rsidR="004D59D4" w:rsidRDefault="00023FAF" w:rsidP="00025AAC">
            <w:pPr>
              <w:pStyle w:val="TableText1"/>
              <w:rPr>
                <w:iCs w:val="0"/>
              </w:rPr>
            </w:pPr>
            <w:proofErr w:type="spellStart"/>
            <w:r>
              <w:rPr>
                <w:iCs w:val="0"/>
              </w:rPr>
              <w:t>Pegvaliase</w:t>
            </w:r>
            <w:proofErr w:type="spellEnd"/>
            <w:r>
              <w:rPr>
                <w:iCs w:val="0"/>
              </w:rPr>
              <w:t xml:space="preserve"> cost $</w:t>
            </w:r>
            <w:r w:rsidR="002615A2" w:rsidRPr="002615A2">
              <w:rPr>
                <w:iCs w:val="0"/>
                <w:sz w:val="2"/>
                <w:highlight w:val="black"/>
              </w:rPr>
              <w:t>redacted content</w:t>
            </w:r>
            <w:r>
              <w:rPr>
                <w:iCs w:val="0"/>
              </w:rPr>
              <w:t xml:space="preserve"> (base case $</w:t>
            </w:r>
            <w:r w:rsidR="002615A2" w:rsidRPr="002615A2">
              <w:rPr>
                <w:iCs w:val="0"/>
                <w:sz w:val="2"/>
                <w:highlight w:val="black"/>
              </w:rPr>
              <w:t>redacted content</w:t>
            </w:r>
            <w:r>
              <w:rPr>
                <w:iCs w:val="0"/>
              </w:rPr>
              <w:t>)</w:t>
            </w:r>
          </w:p>
        </w:tc>
        <w:tc>
          <w:tcPr>
            <w:tcW w:w="1371" w:type="dxa"/>
            <w:tcBorders>
              <w:top w:val="single" w:sz="4" w:space="0" w:color="000000"/>
              <w:left w:val="single" w:sz="4" w:space="0" w:color="000000"/>
              <w:bottom w:val="single" w:sz="4" w:space="0" w:color="000000"/>
              <w:right w:val="single" w:sz="4" w:space="0" w:color="000000"/>
            </w:tcBorders>
            <w:vAlign w:val="center"/>
          </w:tcPr>
          <w:p w14:paraId="22ABEE68" w14:textId="7312E6D5"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38E5D849" w14:textId="77777777" w:rsidR="004D59D4" w:rsidRDefault="00023FAF" w:rsidP="00025AAC">
            <w:pPr>
              <w:pStyle w:val="TableText1"/>
              <w:jc w:val="center"/>
              <w:rPr>
                <w:iCs w:val="0"/>
              </w:rPr>
            </w:pPr>
            <w:r>
              <w:rPr>
                <w:iCs w:val="0"/>
              </w:rPr>
              <w:t>3.25</w:t>
            </w:r>
          </w:p>
        </w:tc>
        <w:tc>
          <w:tcPr>
            <w:tcW w:w="1372" w:type="dxa"/>
            <w:tcBorders>
              <w:top w:val="single" w:sz="4" w:space="0" w:color="000000"/>
              <w:left w:val="single" w:sz="4" w:space="0" w:color="000000"/>
              <w:bottom w:val="single" w:sz="4" w:space="0" w:color="000000"/>
              <w:right w:val="single" w:sz="4" w:space="0" w:color="000000"/>
            </w:tcBorders>
            <w:vAlign w:val="center"/>
          </w:tcPr>
          <w:p w14:paraId="64A72D74" w14:textId="0ADEB331"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076CA2">
              <w:rPr>
                <w:iCs w:val="0"/>
                <w:vertAlign w:val="superscript"/>
              </w:rPr>
              <w:t>3</w:t>
            </w:r>
          </w:p>
        </w:tc>
        <w:tc>
          <w:tcPr>
            <w:tcW w:w="1374" w:type="dxa"/>
            <w:tcBorders>
              <w:top w:val="single" w:sz="4" w:space="0" w:color="000000"/>
              <w:left w:val="single" w:sz="4" w:space="0" w:color="000000"/>
              <w:bottom w:val="single" w:sz="4" w:space="0" w:color="000000"/>
              <w:right w:val="single" w:sz="4" w:space="0" w:color="000000"/>
            </w:tcBorders>
            <w:vAlign w:val="center"/>
          </w:tcPr>
          <w:p w14:paraId="7C87992C" w14:textId="6D1C8747"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0A9A6602"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62F1FED3" w14:textId="3B59C41C" w:rsidR="004D59D4" w:rsidRDefault="00023FAF" w:rsidP="00025AAC">
            <w:pPr>
              <w:pStyle w:val="TableText1"/>
              <w:rPr>
                <w:iCs w:val="0"/>
              </w:rPr>
            </w:pPr>
            <w:proofErr w:type="spellStart"/>
            <w:r>
              <w:rPr>
                <w:iCs w:val="0"/>
              </w:rPr>
              <w:t>Pegvaliase</w:t>
            </w:r>
            <w:proofErr w:type="spellEnd"/>
            <w:r>
              <w:rPr>
                <w:iCs w:val="0"/>
              </w:rPr>
              <w:t xml:space="preserve"> cost $</w:t>
            </w:r>
            <w:r w:rsidR="002615A2" w:rsidRPr="002615A2">
              <w:rPr>
                <w:iCs w:val="0"/>
                <w:sz w:val="2"/>
                <w:highlight w:val="black"/>
              </w:rPr>
              <w:t>redacted content</w:t>
            </w:r>
            <w:r>
              <w:rPr>
                <w:iCs w:val="0"/>
              </w:rPr>
              <w:t xml:space="preserve"> (base case $</w:t>
            </w:r>
            <w:r w:rsidR="002615A2" w:rsidRPr="002615A2">
              <w:rPr>
                <w:iCs w:val="0"/>
                <w:sz w:val="2"/>
                <w:highlight w:val="black"/>
              </w:rPr>
              <w:t>redacted content</w:t>
            </w:r>
            <w:r>
              <w:rPr>
                <w:iCs w:val="0"/>
              </w:rPr>
              <w:t>)</w:t>
            </w:r>
          </w:p>
        </w:tc>
        <w:tc>
          <w:tcPr>
            <w:tcW w:w="1371" w:type="dxa"/>
            <w:tcBorders>
              <w:top w:val="single" w:sz="4" w:space="0" w:color="000000"/>
              <w:left w:val="single" w:sz="4" w:space="0" w:color="000000"/>
              <w:bottom w:val="single" w:sz="4" w:space="0" w:color="000000"/>
              <w:right w:val="single" w:sz="4" w:space="0" w:color="000000"/>
            </w:tcBorders>
            <w:vAlign w:val="center"/>
          </w:tcPr>
          <w:p w14:paraId="78C9C7EE" w14:textId="1466370E"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7007E926" w14:textId="77777777" w:rsidR="004D59D4" w:rsidRDefault="00023FAF" w:rsidP="00025AAC">
            <w:pPr>
              <w:pStyle w:val="TableText1"/>
              <w:jc w:val="center"/>
              <w:rPr>
                <w:iCs w:val="0"/>
              </w:rPr>
            </w:pPr>
            <w:r>
              <w:rPr>
                <w:iCs w:val="0"/>
              </w:rPr>
              <w:t>3.25</w:t>
            </w:r>
          </w:p>
        </w:tc>
        <w:tc>
          <w:tcPr>
            <w:tcW w:w="1372" w:type="dxa"/>
            <w:tcBorders>
              <w:top w:val="single" w:sz="4" w:space="0" w:color="000000"/>
              <w:left w:val="single" w:sz="4" w:space="0" w:color="000000"/>
              <w:bottom w:val="single" w:sz="4" w:space="0" w:color="000000"/>
              <w:right w:val="single" w:sz="4" w:space="0" w:color="000000"/>
            </w:tcBorders>
            <w:vAlign w:val="center"/>
          </w:tcPr>
          <w:p w14:paraId="7A884206" w14:textId="291C0927"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751B36">
              <w:rPr>
                <w:iCs w:val="0"/>
                <w:vertAlign w:val="superscript"/>
              </w:rPr>
              <w:t>4</w:t>
            </w:r>
          </w:p>
        </w:tc>
        <w:tc>
          <w:tcPr>
            <w:tcW w:w="1374" w:type="dxa"/>
            <w:tcBorders>
              <w:top w:val="single" w:sz="4" w:space="0" w:color="000000"/>
              <w:left w:val="single" w:sz="4" w:space="0" w:color="000000"/>
              <w:bottom w:val="single" w:sz="4" w:space="0" w:color="000000"/>
              <w:right w:val="single" w:sz="4" w:space="0" w:color="000000"/>
            </w:tcBorders>
            <w:vAlign w:val="center"/>
          </w:tcPr>
          <w:p w14:paraId="5859DDAF" w14:textId="675C1FDD"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2571223E"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60480FA0" w14:textId="1ADCF481" w:rsidR="004D59D4" w:rsidRDefault="00023FAF" w:rsidP="00025AAC">
            <w:pPr>
              <w:pStyle w:val="TableText1"/>
              <w:rPr>
                <w:iCs w:val="0"/>
              </w:rPr>
            </w:pPr>
            <w:proofErr w:type="spellStart"/>
            <w:r>
              <w:rPr>
                <w:iCs w:val="0"/>
              </w:rPr>
              <w:t>Pegvaliase</w:t>
            </w:r>
            <w:proofErr w:type="spellEnd"/>
            <w:r>
              <w:rPr>
                <w:iCs w:val="0"/>
              </w:rPr>
              <w:t xml:space="preserve"> cost </w:t>
            </w:r>
            <w:r w:rsidRPr="002F0EBD">
              <w:rPr>
                <w:iCs w:val="0"/>
              </w:rPr>
              <w:t>$510.00 (base</w:t>
            </w:r>
            <w:r>
              <w:rPr>
                <w:iCs w:val="0"/>
              </w:rPr>
              <w:t xml:space="preserve"> case $</w:t>
            </w:r>
            <w:r w:rsidR="002615A2" w:rsidRPr="002615A2">
              <w:rPr>
                <w:iCs w:val="0"/>
                <w:sz w:val="2"/>
                <w:highlight w:val="black"/>
              </w:rPr>
              <w:t>redacted content</w:t>
            </w:r>
            <w:r>
              <w:rPr>
                <w:iCs w:val="0"/>
              </w:rPr>
              <w:t>)</w:t>
            </w:r>
          </w:p>
        </w:tc>
        <w:tc>
          <w:tcPr>
            <w:tcW w:w="1371" w:type="dxa"/>
            <w:tcBorders>
              <w:top w:val="single" w:sz="4" w:space="0" w:color="000000"/>
              <w:left w:val="single" w:sz="4" w:space="0" w:color="000000"/>
              <w:bottom w:val="single" w:sz="4" w:space="0" w:color="000000"/>
              <w:right w:val="single" w:sz="4" w:space="0" w:color="000000"/>
            </w:tcBorders>
            <w:vAlign w:val="center"/>
          </w:tcPr>
          <w:p w14:paraId="478C501B" w14:textId="7BD40888"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6CE9F39F" w14:textId="77777777" w:rsidR="004D59D4" w:rsidRDefault="00023FAF" w:rsidP="00025AAC">
            <w:pPr>
              <w:pStyle w:val="TableText1"/>
              <w:jc w:val="center"/>
              <w:rPr>
                <w:iCs w:val="0"/>
              </w:rPr>
            </w:pPr>
            <w:r>
              <w:rPr>
                <w:iCs w:val="0"/>
              </w:rPr>
              <w:t>3.25</w:t>
            </w:r>
          </w:p>
        </w:tc>
        <w:tc>
          <w:tcPr>
            <w:tcW w:w="1372" w:type="dxa"/>
            <w:tcBorders>
              <w:top w:val="single" w:sz="4" w:space="0" w:color="000000"/>
              <w:left w:val="single" w:sz="4" w:space="0" w:color="000000"/>
              <w:bottom w:val="single" w:sz="4" w:space="0" w:color="000000"/>
              <w:right w:val="single" w:sz="4" w:space="0" w:color="000000"/>
            </w:tcBorders>
            <w:vAlign w:val="center"/>
          </w:tcPr>
          <w:p w14:paraId="66341677" w14:textId="2491487E"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p>
        </w:tc>
        <w:tc>
          <w:tcPr>
            <w:tcW w:w="1374" w:type="dxa"/>
            <w:tcBorders>
              <w:top w:val="single" w:sz="4" w:space="0" w:color="000000"/>
              <w:left w:val="single" w:sz="4" w:space="0" w:color="000000"/>
              <w:bottom w:val="single" w:sz="4" w:space="0" w:color="000000"/>
              <w:right w:val="single" w:sz="4" w:space="0" w:color="000000"/>
            </w:tcBorders>
            <w:vAlign w:val="center"/>
          </w:tcPr>
          <w:p w14:paraId="774ECF3C" w14:textId="57E99AC5"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7FB18969" w14:textId="77777777">
        <w:trPr>
          <w:cantSplit/>
        </w:trPr>
        <w:tc>
          <w:tcPr>
            <w:tcW w:w="9026" w:type="dxa"/>
            <w:gridSpan w:val="5"/>
            <w:tcBorders>
              <w:top w:val="single" w:sz="4" w:space="0" w:color="000000"/>
              <w:left w:val="single" w:sz="4" w:space="0" w:color="000000"/>
              <w:bottom w:val="single" w:sz="4" w:space="0" w:color="000000"/>
              <w:right w:val="single" w:sz="4" w:space="0" w:color="000000"/>
            </w:tcBorders>
          </w:tcPr>
          <w:p w14:paraId="003B5827" w14:textId="77777777" w:rsidR="004D59D4" w:rsidRDefault="00023FAF" w:rsidP="00025AAC">
            <w:pPr>
              <w:pStyle w:val="TableText1"/>
              <w:rPr>
                <w:b/>
                <w:bCs w:val="0"/>
                <w:iCs w:val="0"/>
              </w:rPr>
            </w:pPr>
            <w:r>
              <w:rPr>
                <w:b/>
                <w:bCs w:val="0"/>
                <w:iCs w:val="0"/>
              </w:rPr>
              <w:t>Sensitivity analyses conducted during the evaluation (100 iterations)</w:t>
            </w:r>
          </w:p>
        </w:tc>
      </w:tr>
      <w:tr w:rsidR="004D59D4" w14:paraId="37166EBB"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58F178A8" w14:textId="77777777" w:rsidR="004D59D4" w:rsidRDefault="00023FAF" w:rsidP="00025AAC">
            <w:pPr>
              <w:pStyle w:val="TableText1"/>
              <w:rPr>
                <w:iCs w:val="0"/>
              </w:rPr>
            </w:pPr>
            <w:r>
              <w:rPr>
                <w:iCs w:val="0"/>
              </w:rPr>
              <w:t>Base case (100 iterations)</w:t>
            </w:r>
          </w:p>
        </w:tc>
        <w:tc>
          <w:tcPr>
            <w:tcW w:w="1371" w:type="dxa"/>
            <w:tcBorders>
              <w:top w:val="single" w:sz="4" w:space="0" w:color="000000"/>
              <w:left w:val="single" w:sz="4" w:space="0" w:color="000000"/>
              <w:bottom w:val="single" w:sz="4" w:space="0" w:color="000000"/>
              <w:right w:val="single" w:sz="4" w:space="0" w:color="000000"/>
            </w:tcBorders>
            <w:vAlign w:val="center"/>
          </w:tcPr>
          <w:p w14:paraId="42AEA251" w14:textId="2B17E205" w:rsidR="004D59D4" w:rsidRDefault="00023FAF" w:rsidP="00025AAC">
            <w:pPr>
              <w:pStyle w:val="TableText1"/>
              <w:jc w:val="center"/>
              <w:rPr>
                <w:iCs w:val="0"/>
                <w:highlight w:val="black"/>
              </w:rPr>
            </w:pPr>
            <w:r>
              <w:rPr>
                <w:rFonts w:cs="Calibri"/>
                <w:iCs w:val="0"/>
                <w:szCs w:val="20"/>
              </w:rPr>
              <w:t>$</w:t>
            </w:r>
            <w:r w:rsidR="002615A2" w:rsidRPr="002615A2">
              <w:rPr>
                <w:rFonts w:cs="Calibri"/>
                <w:iCs w:val="0"/>
                <w:sz w:val="2"/>
                <w:szCs w:val="20"/>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4095DCBC" w14:textId="77777777" w:rsidR="004D59D4" w:rsidRDefault="00023FAF" w:rsidP="00025AAC">
            <w:pPr>
              <w:pStyle w:val="TableText1"/>
              <w:jc w:val="center"/>
              <w:rPr>
                <w:iCs w:val="0"/>
              </w:rPr>
            </w:pPr>
            <w:r>
              <w:rPr>
                <w:rFonts w:cs="Calibri"/>
                <w:iCs w:val="0"/>
                <w:szCs w:val="20"/>
              </w:rPr>
              <w:t>3.09</w:t>
            </w:r>
          </w:p>
        </w:tc>
        <w:tc>
          <w:tcPr>
            <w:tcW w:w="1372" w:type="dxa"/>
            <w:tcBorders>
              <w:top w:val="single" w:sz="4" w:space="0" w:color="000000"/>
              <w:left w:val="single" w:sz="4" w:space="0" w:color="000000"/>
              <w:bottom w:val="single" w:sz="4" w:space="0" w:color="000000"/>
              <w:right w:val="single" w:sz="4" w:space="0" w:color="000000"/>
            </w:tcBorders>
            <w:vAlign w:val="center"/>
          </w:tcPr>
          <w:p w14:paraId="5041F3EF" w14:textId="043141B7" w:rsidR="004D59D4" w:rsidRPr="00A7378E" w:rsidRDefault="00023FAF" w:rsidP="00025AAC">
            <w:pPr>
              <w:pStyle w:val="TableText1"/>
              <w:jc w:val="center"/>
              <w:rPr>
                <w:iCs w:val="0"/>
                <w:highlight w:val="black"/>
                <w:vertAlign w:val="superscript"/>
              </w:rPr>
            </w:pPr>
            <w:r>
              <w:rPr>
                <w:rFonts w:cs="Calibri"/>
                <w:iCs w:val="0"/>
                <w:szCs w:val="20"/>
              </w:rPr>
              <w:t>$</w:t>
            </w:r>
            <w:r w:rsidR="002615A2" w:rsidRPr="002615A2">
              <w:rPr>
                <w:rFonts w:cs="Calibri"/>
                <w:iCs w:val="0"/>
                <w:sz w:val="2"/>
                <w:szCs w:val="20"/>
                <w:highlight w:val="black"/>
              </w:rPr>
              <w:t>redacted content</w:t>
            </w:r>
            <w:r w:rsidR="00751B36" w:rsidRPr="00A7378E">
              <w:rPr>
                <w:rFonts w:cs="Calibri"/>
                <w:iCs w:val="0"/>
                <w:szCs w:val="2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0D37F749" w14:textId="77777777" w:rsidR="004D59D4" w:rsidRDefault="00023FAF" w:rsidP="00025AAC">
            <w:pPr>
              <w:pStyle w:val="TableText1"/>
              <w:jc w:val="center"/>
              <w:rPr>
                <w:iCs w:val="0"/>
              </w:rPr>
            </w:pPr>
            <w:r>
              <w:rPr>
                <w:iCs w:val="0"/>
              </w:rPr>
              <w:t>-</w:t>
            </w:r>
          </w:p>
        </w:tc>
      </w:tr>
      <w:tr w:rsidR="004D59D4" w14:paraId="3144D9AE"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72A2D326" w14:textId="77777777" w:rsidR="004D59D4" w:rsidRDefault="00023FAF" w:rsidP="00025AAC">
            <w:pPr>
              <w:pStyle w:val="TableText1"/>
              <w:rPr>
                <w:iCs w:val="0"/>
              </w:rPr>
            </w:pPr>
            <w:r>
              <w:rPr>
                <w:iCs w:val="0"/>
              </w:rPr>
              <w:t xml:space="preserve">Time to </w:t>
            </w:r>
            <w:proofErr w:type="spellStart"/>
            <w:r>
              <w:rPr>
                <w:iCs w:val="0"/>
              </w:rPr>
              <w:t>pegvaliase</w:t>
            </w:r>
            <w:proofErr w:type="spellEnd"/>
            <w:r>
              <w:rPr>
                <w:iCs w:val="0"/>
              </w:rPr>
              <w:t xml:space="preserve"> response = 18 months (base case 24 months)</w:t>
            </w:r>
          </w:p>
        </w:tc>
        <w:tc>
          <w:tcPr>
            <w:tcW w:w="1371" w:type="dxa"/>
            <w:tcBorders>
              <w:top w:val="single" w:sz="4" w:space="0" w:color="000000"/>
              <w:left w:val="single" w:sz="4" w:space="0" w:color="000000"/>
              <w:bottom w:val="single" w:sz="4" w:space="0" w:color="000000"/>
              <w:right w:val="single" w:sz="4" w:space="0" w:color="000000"/>
            </w:tcBorders>
            <w:vAlign w:val="center"/>
          </w:tcPr>
          <w:p w14:paraId="6B8B4320" w14:textId="13109FCD" w:rsidR="004D59D4" w:rsidRDefault="00023FAF" w:rsidP="00025AAC">
            <w:pPr>
              <w:pStyle w:val="TableText1"/>
              <w:jc w:val="center"/>
              <w:rPr>
                <w:iCs w:val="0"/>
                <w:highlight w:val="black"/>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589B193C" w14:textId="77777777" w:rsidR="004D59D4" w:rsidRDefault="00023FAF" w:rsidP="00025AAC">
            <w:pPr>
              <w:pStyle w:val="TableText1"/>
              <w:jc w:val="center"/>
              <w:rPr>
                <w:iCs w:val="0"/>
              </w:rPr>
            </w:pPr>
            <w:r>
              <w:rPr>
                <w:iCs w:val="0"/>
              </w:rPr>
              <w:t>3.09</w:t>
            </w:r>
          </w:p>
        </w:tc>
        <w:tc>
          <w:tcPr>
            <w:tcW w:w="1372" w:type="dxa"/>
            <w:tcBorders>
              <w:top w:val="single" w:sz="4" w:space="0" w:color="000000"/>
              <w:left w:val="single" w:sz="4" w:space="0" w:color="000000"/>
              <w:bottom w:val="single" w:sz="4" w:space="0" w:color="000000"/>
              <w:right w:val="single" w:sz="4" w:space="0" w:color="000000"/>
            </w:tcBorders>
            <w:vAlign w:val="center"/>
          </w:tcPr>
          <w:p w14:paraId="51240151" w14:textId="4B9662F2" w:rsidR="004D59D4" w:rsidRPr="00A7378E" w:rsidRDefault="00023FAF" w:rsidP="00025AAC">
            <w:pPr>
              <w:pStyle w:val="TableText1"/>
              <w:jc w:val="center"/>
              <w:rPr>
                <w:iCs w:val="0"/>
                <w:highlight w:val="black"/>
                <w:vertAlign w:val="superscript"/>
              </w:rPr>
            </w:pPr>
            <w:r>
              <w:rPr>
                <w:iCs w:val="0"/>
              </w:rPr>
              <w:t>$</w:t>
            </w:r>
            <w:r w:rsidR="002615A2" w:rsidRPr="002615A2">
              <w:rPr>
                <w:iCs w:val="0"/>
                <w:sz w:val="2"/>
                <w:highlight w:val="black"/>
              </w:rPr>
              <w:t>redacted content</w:t>
            </w:r>
            <w:r w:rsidR="00751B36" w:rsidRPr="00A7378E">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6D535731" w14:textId="46CA159C"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5385220B" w14:textId="77777777">
        <w:trPr>
          <w:cantSplit/>
          <w:trHeight w:val="43"/>
        </w:trPr>
        <w:tc>
          <w:tcPr>
            <w:tcW w:w="3537" w:type="dxa"/>
            <w:tcBorders>
              <w:top w:val="single" w:sz="4" w:space="0" w:color="000000"/>
              <w:left w:val="single" w:sz="4" w:space="0" w:color="000000"/>
              <w:bottom w:val="single" w:sz="4" w:space="0" w:color="000000"/>
              <w:right w:val="single" w:sz="4" w:space="0" w:color="000000"/>
            </w:tcBorders>
          </w:tcPr>
          <w:p w14:paraId="395FAAD3" w14:textId="77777777" w:rsidR="004D59D4" w:rsidRDefault="00023FAF" w:rsidP="00025AAC">
            <w:pPr>
              <w:pStyle w:val="TableText1"/>
              <w:rPr>
                <w:iCs w:val="0"/>
              </w:rPr>
            </w:pPr>
            <w:r>
              <w:rPr>
                <w:iCs w:val="0"/>
              </w:rPr>
              <w:t>Time horizon = 5 years (base case 100)</w:t>
            </w:r>
          </w:p>
        </w:tc>
        <w:tc>
          <w:tcPr>
            <w:tcW w:w="1371" w:type="dxa"/>
            <w:tcBorders>
              <w:top w:val="single" w:sz="4" w:space="0" w:color="000000"/>
              <w:left w:val="single" w:sz="4" w:space="0" w:color="000000"/>
              <w:bottom w:val="single" w:sz="4" w:space="0" w:color="000000"/>
              <w:right w:val="single" w:sz="4" w:space="0" w:color="000000"/>
            </w:tcBorders>
            <w:vAlign w:val="center"/>
          </w:tcPr>
          <w:p w14:paraId="2629267D" w14:textId="47BDD186" w:rsidR="004D59D4" w:rsidRDefault="00023FAF" w:rsidP="00025AAC">
            <w:pPr>
              <w:pStyle w:val="TableText1"/>
              <w:jc w:val="center"/>
              <w:rPr>
                <w:iCs w:val="0"/>
                <w:highlight w:val="black"/>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13B647FA" w14:textId="77777777" w:rsidR="004D59D4" w:rsidRDefault="00023FAF" w:rsidP="00025AAC">
            <w:pPr>
              <w:pStyle w:val="TableText1"/>
              <w:jc w:val="center"/>
              <w:rPr>
                <w:iCs w:val="0"/>
              </w:rPr>
            </w:pPr>
            <w:r>
              <w:rPr>
                <w:iCs w:val="0"/>
              </w:rPr>
              <w:t>0.69</w:t>
            </w:r>
          </w:p>
        </w:tc>
        <w:tc>
          <w:tcPr>
            <w:tcW w:w="1372" w:type="dxa"/>
            <w:tcBorders>
              <w:top w:val="single" w:sz="4" w:space="0" w:color="000000"/>
              <w:left w:val="single" w:sz="4" w:space="0" w:color="000000"/>
              <w:bottom w:val="single" w:sz="4" w:space="0" w:color="000000"/>
              <w:right w:val="single" w:sz="4" w:space="0" w:color="000000"/>
            </w:tcBorders>
            <w:vAlign w:val="center"/>
          </w:tcPr>
          <w:p w14:paraId="52F40EFF" w14:textId="3DD2E53C" w:rsidR="004D59D4" w:rsidRPr="00A7378E" w:rsidRDefault="00023FAF" w:rsidP="00025AAC">
            <w:pPr>
              <w:pStyle w:val="TableText1"/>
              <w:jc w:val="center"/>
              <w:rPr>
                <w:iCs w:val="0"/>
                <w:highlight w:val="black"/>
                <w:vertAlign w:val="superscript"/>
              </w:rPr>
            </w:pPr>
            <w:r>
              <w:rPr>
                <w:iCs w:val="0"/>
              </w:rPr>
              <w:t>$</w:t>
            </w:r>
            <w:r w:rsidR="002615A2" w:rsidRPr="002615A2">
              <w:rPr>
                <w:iCs w:val="0"/>
                <w:sz w:val="2"/>
                <w:highlight w:val="black"/>
              </w:rPr>
              <w:t>redacted content</w:t>
            </w:r>
            <w:r w:rsidR="00751B36" w:rsidRPr="00A7378E">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77F029EB" w14:textId="45918A52"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10540DE1" w14:textId="77777777">
        <w:trPr>
          <w:cantSplit/>
          <w:trHeight w:val="43"/>
        </w:trPr>
        <w:tc>
          <w:tcPr>
            <w:tcW w:w="3537" w:type="dxa"/>
            <w:tcBorders>
              <w:top w:val="single" w:sz="4" w:space="0" w:color="000000"/>
              <w:left w:val="single" w:sz="4" w:space="0" w:color="000000"/>
              <w:bottom w:val="single" w:sz="4" w:space="0" w:color="000000"/>
              <w:right w:val="single" w:sz="4" w:space="0" w:color="000000"/>
            </w:tcBorders>
          </w:tcPr>
          <w:p w14:paraId="3577DBA2" w14:textId="77777777" w:rsidR="004D59D4" w:rsidRDefault="00023FAF" w:rsidP="00025AAC">
            <w:pPr>
              <w:pStyle w:val="TableText1"/>
              <w:rPr>
                <w:iCs w:val="0"/>
              </w:rPr>
            </w:pPr>
            <w:r>
              <w:rPr>
                <w:iCs w:val="0"/>
              </w:rPr>
              <w:t>Time horizon = 10 years (base case 100)</w:t>
            </w:r>
          </w:p>
        </w:tc>
        <w:tc>
          <w:tcPr>
            <w:tcW w:w="1371" w:type="dxa"/>
            <w:tcBorders>
              <w:top w:val="single" w:sz="4" w:space="0" w:color="000000"/>
              <w:left w:val="single" w:sz="4" w:space="0" w:color="000000"/>
              <w:bottom w:val="single" w:sz="4" w:space="0" w:color="000000"/>
              <w:right w:val="single" w:sz="4" w:space="0" w:color="000000"/>
            </w:tcBorders>
            <w:vAlign w:val="center"/>
          </w:tcPr>
          <w:p w14:paraId="5231B54F" w14:textId="390CE73A" w:rsidR="004D59D4" w:rsidRDefault="00023FAF" w:rsidP="00025AAC">
            <w:pPr>
              <w:pStyle w:val="TableText1"/>
              <w:jc w:val="center"/>
              <w:rPr>
                <w:iCs w:val="0"/>
                <w:highlight w:val="black"/>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58058146" w14:textId="77777777" w:rsidR="004D59D4" w:rsidRDefault="00023FAF" w:rsidP="00025AAC">
            <w:pPr>
              <w:pStyle w:val="TableText1"/>
              <w:jc w:val="center"/>
              <w:rPr>
                <w:iCs w:val="0"/>
              </w:rPr>
            </w:pPr>
            <w:r>
              <w:rPr>
                <w:iCs w:val="0"/>
              </w:rPr>
              <w:t>1.30</w:t>
            </w:r>
          </w:p>
        </w:tc>
        <w:tc>
          <w:tcPr>
            <w:tcW w:w="1372" w:type="dxa"/>
            <w:tcBorders>
              <w:top w:val="single" w:sz="4" w:space="0" w:color="000000"/>
              <w:left w:val="single" w:sz="4" w:space="0" w:color="000000"/>
              <w:bottom w:val="single" w:sz="4" w:space="0" w:color="000000"/>
              <w:right w:val="single" w:sz="4" w:space="0" w:color="000000"/>
            </w:tcBorders>
            <w:vAlign w:val="center"/>
          </w:tcPr>
          <w:p w14:paraId="663D31A5" w14:textId="4DF4CB48" w:rsidR="004D59D4" w:rsidRPr="00A7378E" w:rsidRDefault="00023FAF" w:rsidP="00025AAC">
            <w:pPr>
              <w:pStyle w:val="TableText1"/>
              <w:jc w:val="center"/>
              <w:rPr>
                <w:iCs w:val="0"/>
                <w:highlight w:val="black"/>
                <w:vertAlign w:val="superscript"/>
              </w:rPr>
            </w:pPr>
            <w:r>
              <w:rPr>
                <w:iCs w:val="0"/>
              </w:rPr>
              <w:t>$</w:t>
            </w:r>
            <w:r w:rsidR="002615A2" w:rsidRPr="002615A2">
              <w:rPr>
                <w:iCs w:val="0"/>
                <w:sz w:val="2"/>
                <w:highlight w:val="black"/>
              </w:rPr>
              <w:t>redacted content</w:t>
            </w:r>
            <w:r w:rsidR="00751B36" w:rsidRPr="00A7378E">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54A67144" w14:textId="5C71BB40"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7F32DAC8" w14:textId="77777777">
        <w:trPr>
          <w:cantSplit/>
          <w:trHeight w:val="283"/>
        </w:trPr>
        <w:tc>
          <w:tcPr>
            <w:tcW w:w="3537" w:type="dxa"/>
            <w:tcBorders>
              <w:top w:val="single" w:sz="4" w:space="0" w:color="000000"/>
              <w:left w:val="single" w:sz="4" w:space="0" w:color="000000"/>
              <w:bottom w:val="single" w:sz="4" w:space="0" w:color="000000"/>
              <w:right w:val="single" w:sz="4" w:space="0" w:color="000000"/>
            </w:tcBorders>
          </w:tcPr>
          <w:p w14:paraId="03A531DB" w14:textId="77777777" w:rsidR="004D59D4" w:rsidRDefault="00023FAF" w:rsidP="00025AAC">
            <w:pPr>
              <w:pStyle w:val="TableText1"/>
              <w:rPr>
                <w:iCs w:val="0"/>
                <w:highlight w:val="green"/>
              </w:rPr>
            </w:pPr>
            <w:r>
              <w:rPr>
                <w:iCs w:val="0"/>
                <w:szCs w:val="20"/>
              </w:rPr>
              <w:t>Blood-</w:t>
            </w:r>
            <w:proofErr w:type="spellStart"/>
            <w:r>
              <w:rPr>
                <w:iCs w:val="0"/>
                <w:szCs w:val="20"/>
              </w:rPr>
              <w:t>Phe</w:t>
            </w:r>
            <w:proofErr w:type="spellEnd"/>
            <w:r>
              <w:rPr>
                <w:iCs w:val="0"/>
                <w:szCs w:val="20"/>
              </w:rPr>
              <w:t xml:space="preserve"> response rate = 51.7% for </w:t>
            </w:r>
            <w:proofErr w:type="spellStart"/>
            <w:r>
              <w:rPr>
                <w:iCs w:val="0"/>
                <w:szCs w:val="20"/>
              </w:rPr>
              <w:t>pegvaliase</w:t>
            </w:r>
            <w:proofErr w:type="spellEnd"/>
            <w:r>
              <w:rPr>
                <w:iCs w:val="0"/>
                <w:szCs w:val="20"/>
              </w:rPr>
              <w:t xml:space="preserve"> (base case 81.8</w:t>
            </w:r>
            <w:proofErr w:type="gramStart"/>
            <w:r>
              <w:rPr>
                <w:iCs w:val="0"/>
                <w:szCs w:val="20"/>
              </w:rPr>
              <w:t>%)</w:t>
            </w:r>
            <w:r>
              <w:rPr>
                <w:iCs w:val="0"/>
                <w:szCs w:val="20"/>
                <w:vertAlign w:val="superscript"/>
              </w:rPr>
              <w:t>b</w:t>
            </w:r>
            <w:proofErr w:type="gramEnd"/>
          </w:p>
        </w:tc>
        <w:tc>
          <w:tcPr>
            <w:tcW w:w="1371" w:type="dxa"/>
            <w:tcBorders>
              <w:top w:val="single" w:sz="4" w:space="0" w:color="000000"/>
              <w:left w:val="single" w:sz="4" w:space="0" w:color="000000"/>
              <w:bottom w:val="single" w:sz="4" w:space="0" w:color="000000"/>
              <w:right w:val="single" w:sz="4" w:space="0" w:color="000000"/>
            </w:tcBorders>
            <w:vAlign w:val="center"/>
          </w:tcPr>
          <w:p w14:paraId="73764C1D" w14:textId="5B7CFFD1"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1C52DF29" w14:textId="77777777" w:rsidR="004D59D4" w:rsidRDefault="00023FAF" w:rsidP="00025AAC">
            <w:pPr>
              <w:pStyle w:val="TableText1"/>
              <w:jc w:val="center"/>
              <w:rPr>
                <w:iCs w:val="0"/>
              </w:rPr>
            </w:pPr>
            <w:r>
              <w:rPr>
                <w:iCs w:val="0"/>
              </w:rPr>
              <w:t>1.99</w:t>
            </w:r>
          </w:p>
        </w:tc>
        <w:tc>
          <w:tcPr>
            <w:tcW w:w="1372" w:type="dxa"/>
            <w:tcBorders>
              <w:top w:val="single" w:sz="4" w:space="0" w:color="000000"/>
              <w:left w:val="single" w:sz="4" w:space="0" w:color="000000"/>
              <w:bottom w:val="single" w:sz="4" w:space="0" w:color="000000"/>
              <w:right w:val="single" w:sz="4" w:space="0" w:color="000000"/>
            </w:tcBorders>
            <w:vAlign w:val="center"/>
          </w:tcPr>
          <w:p w14:paraId="3247EDA7" w14:textId="667ACCD2"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F929A8">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0C74FDA2" w14:textId="66B5FC19"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2BE5E9D8"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5D002DEE" w14:textId="77777777" w:rsidR="004D59D4" w:rsidRDefault="00023FAF" w:rsidP="00025AAC">
            <w:pPr>
              <w:pStyle w:val="TableText1"/>
              <w:rPr>
                <w:iCs w:val="0"/>
              </w:rPr>
            </w:pPr>
            <w:proofErr w:type="spellStart"/>
            <w:r>
              <w:rPr>
                <w:iCs w:val="0"/>
                <w:szCs w:val="20"/>
              </w:rPr>
              <w:t>Pegvaliase</w:t>
            </w:r>
            <w:proofErr w:type="spellEnd"/>
            <w:r>
              <w:rPr>
                <w:iCs w:val="0"/>
                <w:szCs w:val="20"/>
              </w:rPr>
              <w:t xml:space="preserve"> responder minimum blood </w:t>
            </w:r>
            <w:proofErr w:type="spellStart"/>
            <w:r>
              <w:rPr>
                <w:iCs w:val="0"/>
                <w:szCs w:val="20"/>
              </w:rPr>
              <w:t>Phe</w:t>
            </w:r>
            <w:proofErr w:type="spellEnd"/>
            <w:r>
              <w:rPr>
                <w:iCs w:val="0"/>
                <w:szCs w:val="20"/>
              </w:rPr>
              <w:t xml:space="preserve"> = 360 µmol/L (base case 261 </w:t>
            </w:r>
            <w:r>
              <w:rPr>
                <w:rFonts w:cstheme="minorBidi"/>
                <w:iCs w:val="0"/>
                <w:szCs w:val="20"/>
              </w:rPr>
              <w:t>µmol/L)</w:t>
            </w:r>
          </w:p>
        </w:tc>
        <w:tc>
          <w:tcPr>
            <w:tcW w:w="1371" w:type="dxa"/>
            <w:tcBorders>
              <w:top w:val="single" w:sz="4" w:space="0" w:color="000000"/>
              <w:left w:val="single" w:sz="4" w:space="0" w:color="000000"/>
              <w:bottom w:val="single" w:sz="4" w:space="0" w:color="000000"/>
              <w:right w:val="single" w:sz="4" w:space="0" w:color="000000"/>
            </w:tcBorders>
            <w:vAlign w:val="center"/>
          </w:tcPr>
          <w:p w14:paraId="6AEEE64A" w14:textId="6FA14AC2"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6A059520" w14:textId="77777777" w:rsidR="004D59D4" w:rsidRDefault="00023FAF" w:rsidP="00025AAC">
            <w:pPr>
              <w:pStyle w:val="TableText1"/>
              <w:jc w:val="center"/>
              <w:rPr>
                <w:iCs w:val="0"/>
              </w:rPr>
            </w:pPr>
            <w:r>
              <w:rPr>
                <w:iCs w:val="0"/>
              </w:rPr>
              <w:t>2.65</w:t>
            </w:r>
          </w:p>
        </w:tc>
        <w:tc>
          <w:tcPr>
            <w:tcW w:w="1372" w:type="dxa"/>
            <w:tcBorders>
              <w:top w:val="single" w:sz="4" w:space="0" w:color="000000"/>
              <w:left w:val="single" w:sz="4" w:space="0" w:color="000000"/>
              <w:bottom w:val="single" w:sz="4" w:space="0" w:color="000000"/>
              <w:right w:val="single" w:sz="4" w:space="0" w:color="000000"/>
            </w:tcBorders>
            <w:vAlign w:val="center"/>
          </w:tcPr>
          <w:p w14:paraId="7336CA35" w14:textId="27048D19"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F929A8">
              <w:rPr>
                <w:iCs w:val="0"/>
                <w:vertAlign w:val="superscript"/>
              </w:rPr>
              <w:t>3</w:t>
            </w:r>
          </w:p>
        </w:tc>
        <w:tc>
          <w:tcPr>
            <w:tcW w:w="1374" w:type="dxa"/>
            <w:tcBorders>
              <w:top w:val="single" w:sz="4" w:space="0" w:color="000000"/>
              <w:left w:val="single" w:sz="4" w:space="0" w:color="000000"/>
              <w:bottom w:val="single" w:sz="4" w:space="0" w:color="000000"/>
              <w:right w:val="single" w:sz="4" w:space="0" w:color="000000"/>
            </w:tcBorders>
            <w:vAlign w:val="center"/>
          </w:tcPr>
          <w:p w14:paraId="17F84E70" w14:textId="16315667"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4575EA9F" w14:textId="77777777">
        <w:trPr>
          <w:cantSplit/>
          <w:trHeight w:val="150"/>
        </w:trPr>
        <w:tc>
          <w:tcPr>
            <w:tcW w:w="3537" w:type="dxa"/>
            <w:tcBorders>
              <w:top w:val="single" w:sz="4" w:space="0" w:color="000000"/>
              <w:left w:val="single" w:sz="4" w:space="0" w:color="000000"/>
              <w:bottom w:val="single" w:sz="4" w:space="0" w:color="000000"/>
              <w:right w:val="single" w:sz="4" w:space="0" w:color="000000"/>
            </w:tcBorders>
          </w:tcPr>
          <w:p w14:paraId="2E48BE10" w14:textId="77777777" w:rsidR="004D59D4" w:rsidRDefault="00023FAF" w:rsidP="00025AAC">
            <w:pPr>
              <w:pStyle w:val="TableText1"/>
              <w:rPr>
                <w:iCs w:val="0"/>
              </w:rPr>
            </w:pPr>
            <w:r>
              <w:rPr>
                <w:iCs w:val="0"/>
                <w:szCs w:val="20"/>
              </w:rPr>
              <w:t xml:space="preserve">Use utilities from March 2018 submission - 0.71 for responder and 0.37 for uncontrolled (0.775 and 0.321 in base case, </w:t>
            </w:r>
            <w:proofErr w:type="gramStart"/>
            <w:r>
              <w:rPr>
                <w:iCs w:val="0"/>
                <w:szCs w:val="20"/>
              </w:rPr>
              <w:t>respectively)</w:t>
            </w:r>
            <w:r>
              <w:rPr>
                <w:iCs w:val="0"/>
                <w:szCs w:val="20"/>
                <w:vertAlign w:val="superscript"/>
              </w:rPr>
              <w:t>c</w:t>
            </w:r>
            <w:proofErr w:type="gramEnd"/>
          </w:p>
        </w:tc>
        <w:tc>
          <w:tcPr>
            <w:tcW w:w="1371" w:type="dxa"/>
            <w:tcBorders>
              <w:top w:val="single" w:sz="4" w:space="0" w:color="000000"/>
              <w:left w:val="single" w:sz="4" w:space="0" w:color="000000"/>
              <w:bottom w:val="single" w:sz="4" w:space="0" w:color="000000"/>
              <w:right w:val="single" w:sz="4" w:space="0" w:color="000000"/>
            </w:tcBorders>
            <w:vAlign w:val="center"/>
          </w:tcPr>
          <w:p w14:paraId="37B0474D" w14:textId="28069C53"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00AC2680" w14:textId="77777777" w:rsidR="004D59D4" w:rsidRDefault="00023FAF" w:rsidP="00025AAC">
            <w:pPr>
              <w:pStyle w:val="TableText1"/>
              <w:jc w:val="center"/>
              <w:rPr>
                <w:iCs w:val="0"/>
              </w:rPr>
            </w:pPr>
            <w:r>
              <w:rPr>
                <w:iCs w:val="0"/>
              </w:rPr>
              <w:t>2.25</w:t>
            </w:r>
          </w:p>
        </w:tc>
        <w:tc>
          <w:tcPr>
            <w:tcW w:w="1372" w:type="dxa"/>
            <w:tcBorders>
              <w:top w:val="single" w:sz="4" w:space="0" w:color="000000"/>
              <w:left w:val="single" w:sz="4" w:space="0" w:color="000000"/>
              <w:bottom w:val="single" w:sz="4" w:space="0" w:color="000000"/>
              <w:right w:val="single" w:sz="4" w:space="0" w:color="000000"/>
            </w:tcBorders>
            <w:vAlign w:val="center"/>
          </w:tcPr>
          <w:p w14:paraId="674DA196" w14:textId="6672647F"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F929A8">
              <w:rPr>
                <w:iCs w:val="0"/>
                <w:vertAlign w:val="superscript"/>
              </w:rPr>
              <w:t>3</w:t>
            </w:r>
          </w:p>
        </w:tc>
        <w:tc>
          <w:tcPr>
            <w:tcW w:w="1374" w:type="dxa"/>
            <w:tcBorders>
              <w:top w:val="single" w:sz="4" w:space="0" w:color="000000"/>
              <w:left w:val="single" w:sz="4" w:space="0" w:color="000000"/>
              <w:bottom w:val="single" w:sz="4" w:space="0" w:color="000000"/>
              <w:right w:val="single" w:sz="4" w:space="0" w:color="000000"/>
            </w:tcBorders>
            <w:vAlign w:val="center"/>
          </w:tcPr>
          <w:p w14:paraId="283CF453" w14:textId="3269B721"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3005DF1A" w14:textId="77777777">
        <w:trPr>
          <w:cantSplit/>
          <w:trHeight w:val="43"/>
        </w:trPr>
        <w:tc>
          <w:tcPr>
            <w:tcW w:w="3537" w:type="dxa"/>
            <w:tcBorders>
              <w:top w:val="single" w:sz="4" w:space="0" w:color="000000"/>
              <w:left w:val="single" w:sz="4" w:space="0" w:color="000000"/>
              <w:bottom w:val="single" w:sz="4" w:space="0" w:color="000000"/>
              <w:right w:val="single" w:sz="4" w:space="0" w:color="000000"/>
            </w:tcBorders>
          </w:tcPr>
          <w:p w14:paraId="57B6A0C4" w14:textId="77777777" w:rsidR="004D59D4" w:rsidRDefault="00023FAF" w:rsidP="00025AAC">
            <w:pPr>
              <w:pStyle w:val="TableText1"/>
              <w:rPr>
                <w:iCs w:val="0"/>
              </w:rPr>
            </w:pPr>
            <w:r>
              <w:rPr>
                <w:iCs w:val="0"/>
              </w:rPr>
              <w:t xml:space="preserve">AEs incorporated as in 2022 </w:t>
            </w:r>
            <w:proofErr w:type="spellStart"/>
            <w:r>
              <w:rPr>
                <w:iCs w:val="0"/>
              </w:rPr>
              <w:t>model</w:t>
            </w:r>
            <w:r>
              <w:rPr>
                <w:iCs w:val="0"/>
                <w:vertAlign w:val="superscript"/>
              </w:rPr>
              <w:t>d</w:t>
            </w:r>
            <w:proofErr w:type="spellEnd"/>
          </w:p>
        </w:tc>
        <w:tc>
          <w:tcPr>
            <w:tcW w:w="1371" w:type="dxa"/>
            <w:tcBorders>
              <w:top w:val="single" w:sz="4" w:space="0" w:color="000000"/>
              <w:left w:val="single" w:sz="4" w:space="0" w:color="000000"/>
              <w:bottom w:val="single" w:sz="4" w:space="0" w:color="000000"/>
              <w:right w:val="single" w:sz="4" w:space="0" w:color="000000"/>
            </w:tcBorders>
            <w:vAlign w:val="center"/>
          </w:tcPr>
          <w:p w14:paraId="1442523A" w14:textId="3D5A1647"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4F593870" w14:textId="77777777" w:rsidR="004D59D4" w:rsidRDefault="00023FAF" w:rsidP="00025AAC">
            <w:pPr>
              <w:pStyle w:val="TableText1"/>
              <w:jc w:val="center"/>
              <w:rPr>
                <w:iCs w:val="0"/>
              </w:rPr>
            </w:pPr>
            <w:r>
              <w:rPr>
                <w:iCs w:val="0"/>
              </w:rPr>
              <w:t>3.22</w:t>
            </w:r>
          </w:p>
        </w:tc>
        <w:tc>
          <w:tcPr>
            <w:tcW w:w="1372" w:type="dxa"/>
            <w:tcBorders>
              <w:top w:val="single" w:sz="4" w:space="0" w:color="000000"/>
              <w:left w:val="single" w:sz="4" w:space="0" w:color="000000"/>
              <w:bottom w:val="single" w:sz="4" w:space="0" w:color="000000"/>
              <w:right w:val="single" w:sz="4" w:space="0" w:color="000000"/>
            </w:tcBorders>
            <w:vAlign w:val="center"/>
          </w:tcPr>
          <w:p w14:paraId="2CD6F176" w14:textId="04E4A22B"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F929A8">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4CFA0E5D" w14:textId="4A4CABFE"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72A69DC9" w14:textId="77777777">
        <w:trPr>
          <w:cantSplit/>
        </w:trPr>
        <w:tc>
          <w:tcPr>
            <w:tcW w:w="3537" w:type="dxa"/>
            <w:tcBorders>
              <w:top w:val="single" w:sz="4" w:space="0" w:color="000000"/>
              <w:left w:val="single" w:sz="4" w:space="0" w:color="000000"/>
              <w:bottom w:val="single" w:sz="4" w:space="0" w:color="000000"/>
              <w:right w:val="single" w:sz="4" w:space="0" w:color="000000"/>
            </w:tcBorders>
          </w:tcPr>
          <w:p w14:paraId="6C4CAFB3" w14:textId="77777777" w:rsidR="004D59D4" w:rsidRDefault="00023FAF" w:rsidP="00025AAC">
            <w:pPr>
              <w:pStyle w:val="TableText1"/>
              <w:rPr>
                <w:iCs w:val="0"/>
              </w:rPr>
            </w:pPr>
            <w:r>
              <w:rPr>
                <w:iCs w:val="0"/>
              </w:rPr>
              <w:t xml:space="preserve">Treat to max. </w:t>
            </w:r>
            <w:proofErr w:type="spellStart"/>
            <w:r>
              <w:rPr>
                <w:iCs w:val="0"/>
              </w:rPr>
              <w:t>pegvaliase</w:t>
            </w:r>
            <w:proofErr w:type="spellEnd"/>
            <w:r>
              <w:rPr>
                <w:iCs w:val="0"/>
              </w:rPr>
              <w:t xml:space="preserve"> dose (40 mg/day)</w:t>
            </w:r>
          </w:p>
        </w:tc>
        <w:tc>
          <w:tcPr>
            <w:tcW w:w="1371" w:type="dxa"/>
            <w:tcBorders>
              <w:top w:val="single" w:sz="4" w:space="0" w:color="000000"/>
              <w:left w:val="single" w:sz="4" w:space="0" w:color="000000"/>
              <w:bottom w:val="single" w:sz="4" w:space="0" w:color="000000"/>
              <w:right w:val="single" w:sz="4" w:space="0" w:color="000000"/>
            </w:tcBorders>
            <w:vAlign w:val="center"/>
          </w:tcPr>
          <w:p w14:paraId="54FD5C43" w14:textId="13DC8B42"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16C9684F" w14:textId="77777777" w:rsidR="004D59D4" w:rsidRDefault="00023FAF" w:rsidP="00025AAC">
            <w:pPr>
              <w:pStyle w:val="TableText1"/>
              <w:jc w:val="center"/>
              <w:rPr>
                <w:iCs w:val="0"/>
              </w:rPr>
            </w:pPr>
            <w:r>
              <w:rPr>
                <w:iCs w:val="0"/>
              </w:rPr>
              <w:t>3.09</w:t>
            </w:r>
          </w:p>
        </w:tc>
        <w:tc>
          <w:tcPr>
            <w:tcW w:w="1372" w:type="dxa"/>
            <w:tcBorders>
              <w:top w:val="single" w:sz="4" w:space="0" w:color="000000"/>
              <w:left w:val="single" w:sz="4" w:space="0" w:color="000000"/>
              <w:bottom w:val="single" w:sz="4" w:space="0" w:color="000000"/>
              <w:right w:val="single" w:sz="4" w:space="0" w:color="000000"/>
            </w:tcBorders>
            <w:vAlign w:val="center"/>
          </w:tcPr>
          <w:p w14:paraId="47B35CBD" w14:textId="6D3D2988"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F929A8">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46F9A7C9" w14:textId="6E9B58EA" w:rsidR="004D59D4" w:rsidRDefault="002615A2" w:rsidP="00025AAC">
            <w:pPr>
              <w:pStyle w:val="TableText1"/>
              <w:jc w:val="center"/>
              <w:rPr>
                <w:iCs w:val="0"/>
              </w:rPr>
            </w:pPr>
            <w:r w:rsidRPr="002615A2">
              <w:rPr>
                <w:iCs w:val="0"/>
                <w:sz w:val="2"/>
                <w:highlight w:val="black"/>
              </w:rPr>
              <w:t>redacted content</w:t>
            </w:r>
            <w:r w:rsidR="00023FAF">
              <w:rPr>
                <w:iCs w:val="0"/>
              </w:rPr>
              <w:t>%</w:t>
            </w:r>
          </w:p>
        </w:tc>
      </w:tr>
      <w:tr w:rsidR="004D59D4" w14:paraId="4CE423CA" w14:textId="77777777">
        <w:trPr>
          <w:cantSplit/>
          <w:trHeight w:val="283"/>
        </w:trPr>
        <w:tc>
          <w:tcPr>
            <w:tcW w:w="3537" w:type="dxa"/>
            <w:tcBorders>
              <w:top w:val="single" w:sz="4" w:space="0" w:color="000000"/>
              <w:left w:val="single" w:sz="4" w:space="0" w:color="000000"/>
              <w:bottom w:val="single" w:sz="4" w:space="0" w:color="000000"/>
              <w:right w:val="single" w:sz="4" w:space="0" w:color="000000"/>
            </w:tcBorders>
          </w:tcPr>
          <w:p w14:paraId="7D002B11" w14:textId="77777777" w:rsidR="004D59D4" w:rsidRDefault="00023FAF" w:rsidP="00025AAC">
            <w:pPr>
              <w:pStyle w:val="TableText1"/>
              <w:rPr>
                <w:iCs w:val="0"/>
              </w:rPr>
            </w:pPr>
            <w:proofErr w:type="spellStart"/>
            <w:r>
              <w:rPr>
                <w:iCs w:val="0"/>
              </w:rPr>
              <w:t>Pegvaliase</w:t>
            </w:r>
            <w:proofErr w:type="spellEnd"/>
            <w:r>
              <w:rPr>
                <w:iCs w:val="0"/>
              </w:rPr>
              <w:t xml:space="preserve"> mean dose 30.5 mg/day used in 2022 model (base case 24.5mg/</w:t>
            </w:r>
            <w:proofErr w:type="gramStart"/>
            <w:r>
              <w:rPr>
                <w:iCs w:val="0"/>
              </w:rPr>
              <w:t>day)</w:t>
            </w:r>
            <w:r>
              <w:rPr>
                <w:iCs w:val="0"/>
                <w:vertAlign w:val="superscript"/>
              </w:rPr>
              <w:t>e</w:t>
            </w:r>
            <w:proofErr w:type="gramEnd"/>
          </w:p>
        </w:tc>
        <w:tc>
          <w:tcPr>
            <w:tcW w:w="1371" w:type="dxa"/>
            <w:tcBorders>
              <w:top w:val="single" w:sz="4" w:space="0" w:color="000000"/>
              <w:left w:val="single" w:sz="4" w:space="0" w:color="000000"/>
              <w:bottom w:val="single" w:sz="4" w:space="0" w:color="000000"/>
              <w:right w:val="single" w:sz="4" w:space="0" w:color="000000"/>
            </w:tcBorders>
            <w:vAlign w:val="center"/>
          </w:tcPr>
          <w:p w14:paraId="0A811F8B" w14:textId="4DA8124C"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16A3CE6C" w14:textId="77777777" w:rsidR="004D59D4" w:rsidRDefault="00023FAF" w:rsidP="00025AAC">
            <w:pPr>
              <w:pStyle w:val="TableText1"/>
              <w:jc w:val="center"/>
              <w:rPr>
                <w:iCs w:val="0"/>
              </w:rPr>
            </w:pPr>
            <w:r>
              <w:rPr>
                <w:iCs w:val="0"/>
              </w:rPr>
              <w:t>3.22</w:t>
            </w:r>
          </w:p>
        </w:tc>
        <w:tc>
          <w:tcPr>
            <w:tcW w:w="1372" w:type="dxa"/>
            <w:tcBorders>
              <w:top w:val="single" w:sz="4" w:space="0" w:color="000000"/>
              <w:left w:val="single" w:sz="4" w:space="0" w:color="000000"/>
              <w:bottom w:val="single" w:sz="4" w:space="0" w:color="000000"/>
              <w:right w:val="single" w:sz="4" w:space="0" w:color="000000"/>
            </w:tcBorders>
            <w:vAlign w:val="center"/>
          </w:tcPr>
          <w:p w14:paraId="2532BE2F" w14:textId="0A0EE35F"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F929A8">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26B6C65A" w14:textId="367D09E6"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r w:rsidR="004D59D4" w14:paraId="528E0620" w14:textId="77777777">
        <w:trPr>
          <w:cantSplit/>
          <w:trHeight w:val="283"/>
        </w:trPr>
        <w:tc>
          <w:tcPr>
            <w:tcW w:w="3537" w:type="dxa"/>
            <w:tcBorders>
              <w:top w:val="single" w:sz="4" w:space="0" w:color="000000"/>
              <w:left w:val="single" w:sz="4" w:space="0" w:color="000000"/>
              <w:bottom w:val="single" w:sz="4" w:space="0" w:color="000000"/>
              <w:right w:val="single" w:sz="4" w:space="0" w:color="000000"/>
            </w:tcBorders>
          </w:tcPr>
          <w:p w14:paraId="673DE5F4" w14:textId="77777777" w:rsidR="004D59D4" w:rsidRDefault="00023FAF" w:rsidP="00025AAC">
            <w:pPr>
              <w:pStyle w:val="TableText1"/>
              <w:rPr>
                <w:iCs w:val="0"/>
              </w:rPr>
            </w:pPr>
            <w:r>
              <w:rPr>
                <w:iCs w:val="0"/>
              </w:rPr>
              <w:t>Patient body weight = 60.1 kg used in 2022 model (base case males 86.9 kg, females 72.9 kg)</w:t>
            </w:r>
          </w:p>
        </w:tc>
        <w:tc>
          <w:tcPr>
            <w:tcW w:w="1371" w:type="dxa"/>
            <w:tcBorders>
              <w:top w:val="single" w:sz="4" w:space="0" w:color="000000"/>
              <w:left w:val="single" w:sz="4" w:space="0" w:color="000000"/>
              <w:bottom w:val="single" w:sz="4" w:space="0" w:color="000000"/>
              <w:right w:val="single" w:sz="4" w:space="0" w:color="000000"/>
            </w:tcBorders>
            <w:vAlign w:val="center"/>
          </w:tcPr>
          <w:p w14:paraId="4CABBF38" w14:textId="4E408817" w:rsidR="004D59D4" w:rsidRDefault="00023FAF" w:rsidP="00025AAC">
            <w:pPr>
              <w:pStyle w:val="TableText1"/>
              <w:jc w:val="center"/>
              <w:rPr>
                <w:iCs w:val="0"/>
              </w:rPr>
            </w:pPr>
            <w:r>
              <w:rPr>
                <w:iCs w:val="0"/>
              </w:rPr>
              <w:t>$</w:t>
            </w:r>
            <w:r w:rsidR="002615A2" w:rsidRPr="002615A2">
              <w:rPr>
                <w:iCs w:val="0"/>
                <w:sz w:val="2"/>
                <w:highlight w:val="black"/>
              </w:rPr>
              <w:t>redacted content</w:t>
            </w:r>
          </w:p>
        </w:tc>
        <w:tc>
          <w:tcPr>
            <w:tcW w:w="1372" w:type="dxa"/>
            <w:tcBorders>
              <w:top w:val="single" w:sz="4" w:space="0" w:color="000000"/>
              <w:left w:val="single" w:sz="4" w:space="0" w:color="000000"/>
              <w:bottom w:val="single" w:sz="4" w:space="0" w:color="000000"/>
              <w:right w:val="single" w:sz="4" w:space="0" w:color="000000"/>
            </w:tcBorders>
            <w:vAlign w:val="center"/>
          </w:tcPr>
          <w:p w14:paraId="73D3B1AA" w14:textId="77777777" w:rsidR="004D59D4" w:rsidRDefault="00023FAF" w:rsidP="00025AAC">
            <w:pPr>
              <w:pStyle w:val="TableText1"/>
              <w:jc w:val="center"/>
              <w:rPr>
                <w:iCs w:val="0"/>
              </w:rPr>
            </w:pPr>
            <w:r>
              <w:rPr>
                <w:iCs w:val="0"/>
              </w:rPr>
              <w:t>3.09</w:t>
            </w:r>
          </w:p>
        </w:tc>
        <w:tc>
          <w:tcPr>
            <w:tcW w:w="1372" w:type="dxa"/>
            <w:tcBorders>
              <w:top w:val="single" w:sz="4" w:space="0" w:color="000000"/>
              <w:left w:val="single" w:sz="4" w:space="0" w:color="000000"/>
              <w:bottom w:val="single" w:sz="4" w:space="0" w:color="000000"/>
              <w:right w:val="single" w:sz="4" w:space="0" w:color="000000"/>
            </w:tcBorders>
            <w:vAlign w:val="center"/>
          </w:tcPr>
          <w:p w14:paraId="1B53BD4C" w14:textId="6894313F" w:rsidR="004D59D4" w:rsidRPr="00A7378E" w:rsidRDefault="00023FAF" w:rsidP="00025AAC">
            <w:pPr>
              <w:pStyle w:val="TableText1"/>
              <w:jc w:val="center"/>
              <w:rPr>
                <w:iCs w:val="0"/>
                <w:vertAlign w:val="superscript"/>
              </w:rPr>
            </w:pPr>
            <w:r>
              <w:rPr>
                <w:iCs w:val="0"/>
              </w:rPr>
              <w:t>$</w:t>
            </w:r>
            <w:r w:rsidR="002615A2" w:rsidRPr="002615A2">
              <w:rPr>
                <w:iCs w:val="0"/>
                <w:sz w:val="2"/>
                <w:highlight w:val="black"/>
              </w:rPr>
              <w:t>redacted content</w:t>
            </w:r>
            <w:r w:rsidR="00F929A8">
              <w:rPr>
                <w:iCs w:val="0"/>
                <w:vertAlign w:val="superscript"/>
              </w:rPr>
              <w:t>1</w:t>
            </w:r>
          </w:p>
        </w:tc>
        <w:tc>
          <w:tcPr>
            <w:tcW w:w="1374" w:type="dxa"/>
            <w:tcBorders>
              <w:top w:val="single" w:sz="4" w:space="0" w:color="000000"/>
              <w:left w:val="single" w:sz="4" w:space="0" w:color="000000"/>
              <w:bottom w:val="single" w:sz="4" w:space="0" w:color="000000"/>
              <w:right w:val="single" w:sz="4" w:space="0" w:color="000000"/>
            </w:tcBorders>
            <w:vAlign w:val="center"/>
          </w:tcPr>
          <w:p w14:paraId="7691CDB8" w14:textId="599914A1" w:rsidR="004D59D4" w:rsidRDefault="00023FAF" w:rsidP="00025AAC">
            <w:pPr>
              <w:pStyle w:val="TableText1"/>
              <w:jc w:val="center"/>
              <w:rPr>
                <w:iCs w:val="0"/>
              </w:rPr>
            </w:pPr>
            <w:r>
              <w:rPr>
                <w:iCs w:val="0"/>
              </w:rPr>
              <w:t>+</w:t>
            </w:r>
            <w:r w:rsidR="002615A2" w:rsidRPr="002615A2">
              <w:rPr>
                <w:iCs w:val="0"/>
                <w:sz w:val="2"/>
                <w:highlight w:val="black"/>
              </w:rPr>
              <w:t>redacted content</w:t>
            </w:r>
            <w:r>
              <w:rPr>
                <w:iCs w:val="0"/>
              </w:rPr>
              <w:t>%</w:t>
            </w:r>
          </w:p>
        </w:tc>
      </w:tr>
    </w:tbl>
    <w:p w14:paraId="2D8DE440" w14:textId="77777777" w:rsidR="004D59D4" w:rsidRDefault="00023FAF" w:rsidP="00025AAC">
      <w:pPr>
        <w:pStyle w:val="TableFigureFooter"/>
        <w:jc w:val="both"/>
        <w:rPr>
          <w:iCs w:val="0"/>
        </w:rPr>
      </w:pPr>
      <w:r>
        <w:rPr>
          <w:iCs w:val="0"/>
        </w:rPr>
        <w:t>Source: Table 3.8-2, p260 of the resubmission. Additional data compiled during the evaluation using Palynziq (</w:t>
      </w:r>
      <w:proofErr w:type="spellStart"/>
      <w:r>
        <w:rPr>
          <w:iCs w:val="0"/>
        </w:rPr>
        <w:t>pegvaliase</w:t>
      </w:r>
      <w:proofErr w:type="spellEnd"/>
      <w:r>
        <w:rPr>
          <w:iCs w:val="0"/>
        </w:rPr>
        <w:t>) – CEA.xls</w:t>
      </w:r>
    </w:p>
    <w:p w14:paraId="377A30EF" w14:textId="77777777" w:rsidR="004D59D4" w:rsidRDefault="00023FAF" w:rsidP="00025AAC">
      <w:pPr>
        <w:pStyle w:val="TableFigureFooter"/>
        <w:jc w:val="both"/>
        <w:rPr>
          <w:rFonts w:eastAsia="Calibri"/>
          <w:iCs w:val="0"/>
          <w:szCs w:val="20"/>
        </w:rPr>
      </w:pPr>
      <w:r>
        <w:rPr>
          <w:rFonts w:eastAsia="Calibri"/>
          <w:iCs w:val="0"/>
          <w:szCs w:val="20"/>
        </w:rPr>
        <w:t xml:space="preserve">AEMP = Approved Ex-Manufacturer Price; ICER = incremental cost-effectiveness ratio; </w:t>
      </w:r>
      <w:proofErr w:type="spellStart"/>
      <w:r>
        <w:rPr>
          <w:rFonts w:eastAsia="Calibri"/>
          <w:iCs w:val="0"/>
          <w:szCs w:val="20"/>
        </w:rPr>
        <w:t>Phe</w:t>
      </w:r>
      <w:proofErr w:type="spellEnd"/>
      <w:r>
        <w:rPr>
          <w:rFonts w:eastAsia="Calibri"/>
          <w:iCs w:val="0"/>
          <w:szCs w:val="20"/>
        </w:rPr>
        <w:t xml:space="preserve"> = phenylalanine; QALY = quality-adjusted life year</w:t>
      </w:r>
    </w:p>
    <w:p w14:paraId="65B417D0" w14:textId="77777777" w:rsidR="004D59D4" w:rsidRDefault="00023FAF" w:rsidP="00025AAC">
      <w:pPr>
        <w:pStyle w:val="TableFigureFooter"/>
        <w:jc w:val="both"/>
        <w:rPr>
          <w:rFonts w:eastAsia="Calibri"/>
          <w:iCs w:val="0"/>
          <w:szCs w:val="20"/>
        </w:rPr>
      </w:pPr>
      <w:proofErr w:type="spellStart"/>
      <w:r>
        <w:rPr>
          <w:rFonts w:eastAsia="Calibri"/>
          <w:iCs w:val="0"/>
          <w:szCs w:val="20"/>
          <w:vertAlign w:val="superscript"/>
        </w:rPr>
        <w:t>a</w:t>
      </w:r>
      <w:proofErr w:type="spellEnd"/>
      <w:r>
        <w:rPr>
          <w:rFonts w:eastAsia="Calibri"/>
          <w:iCs w:val="0"/>
          <w:szCs w:val="20"/>
        </w:rPr>
        <w:t xml:space="preserve"> </w:t>
      </w:r>
      <w:proofErr w:type="gramStart"/>
      <w:r>
        <w:rPr>
          <w:rFonts w:eastAsia="Calibri"/>
          <w:iCs w:val="0"/>
          <w:szCs w:val="20"/>
        </w:rPr>
        <w:t>The</w:t>
      </w:r>
      <w:proofErr w:type="gramEnd"/>
      <w:r>
        <w:rPr>
          <w:rFonts w:eastAsia="Calibri"/>
          <w:iCs w:val="0"/>
          <w:szCs w:val="20"/>
        </w:rPr>
        <w:t xml:space="preserve"> sensitivity analyses presented in the resubmission were verified during the evaluation using 100 iterations. Consequently, the exact figures were not independently verified.</w:t>
      </w:r>
    </w:p>
    <w:p w14:paraId="49028258" w14:textId="77777777" w:rsidR="004D59D4" w:rsidRDefault="00023FAF" w:rsidP="00025AAC">
      <w:pPr>
        <w:pStyle w:val="TableFigureFooter"/>
        <w:jc w:val="both"/>
        <w:rPr>
          <w:rFonts w:eastAsia="Calibri"/>
          <w:iCs w:val="0"/>
          <w:szCs w:val="20"/>
        </w:rPr>
      </w:pPr>
      <w:r>
        <w:rPr>
          <w:rFonts w:eastAsia="Calibri"/>
          <w:iCs w:val="0"/>
          <w:szCs w:val="20"/>
          <w:vertAlign w:val="superscript"/>
        </w:rPr>
        <w:t>b</w:t>
      </w:r>
      <w:r>
        <w:rPr>
          <w:rFonts w:eastAsia="Calibri"/>
          <w:iCs w:val="0"/>
          <w:szCs w:val="20"/>
        </w:rPr>
        <w:t xml:space="preserve"> Responders calculated using all patients used as the denominator (51.7% = 135/261), instead of the number of patients at risk.</w:t>
      </w:r>
    </w:p>
    <w:p w14:paraId="004F4682" w14:textId="77777777" w:rsidR="004D59D4" w:rsidRDefault="00023FAF" w:rsidP="00025AAC">
      <w:pPr>
        <w:pStyle w:val="TableFigureFooter"/>
        <w:jc w:val="both"/>
        <w:rPr>
          <w:rFonts w:eastAsia="Calibri"/>
          <w:iCs w:val="0"/>
          <w:szCs w:val="20"/>
        </w:rPr>
      </w:pPr>
      <w:r>
        <w:rPr>
          <w:rFonts w:eastAsia="Calibri"/>
          <w:iCs w:val="0"/>
          <w:szCs w:val="20"/>
          <w:vertAlign w:val="superscript"/>
        </w:rPr>
        <w:t>c</w:t>
      </w:r>
      <w:r>
        <w:rPr>
          <w:rFonts w:eastAsia="Calibri"/>
          <w:iCs w:val="0"/>
          <w:szCs w:val="20"/>
        </w:rPr>
        <w:t xml:space="preserve"> </w:t>
      </w:r>
      <w:proofErr w:type="gramStart"/>
      <w:r>
        <w:rPr>
          <w:rFonts w:eastAsia="Calibri"/>
          <w:iCs w:val="0"/>
          <w:szCs w:val="20"/>
        </w:rPr>
        <w:t>In</w:t>
      </w:r>
      <w:proofErr w:type="gramEnd"/>
      <w:r>
        <w:rPr>
          <w:rFonts w:eastAsia="Calibri"/>
          <w:iCs w:val="0"/>
          <w:szCs w:val="20"/>
        </w:rPr>
        <w:t xml:space="preserve"> sensitivity analyses, 0.71 utility for responder applied for blood </w:t>
      </w:r>
      <w:proofErr w:type="spellStart"/>
      <w:r>
        <w:rPr>
          <w:rFonts w:eastAsia="Calibri"/>
          <w:iCs w:val="0"/>
          <w:szCs w:val="20"/>
        </w:rPr>
        <w:t>Phe</w:t>
      </w:r>
      <w:proofErr w:type="spellEnd"/>
      <w:r>
        <w:rPr>
          <w:rFonts w:eastAsia="Calibri"/>
          <w:iCs w:val="0"/>
          <w:szCs w:val="20"/>
        </w:rPr>
        <w:t xml:space="preserve"> 120-360 µmol/L, and 0.37 utility for uncontrolled applied for blood </w:t>
      </w:r>
      <w:proofErr w:type="spellStart"/>
      <w:r>
        <w:rPr>
          <w:rFonts w:eastAsia="Calibri"/>
          <w:iCs w:val="0"/>
          <w:szCs w:val="20"/>
        </w:rPr>
        <w:t>Phe</w:t>
      </w:r>
      <w:proofErr w:type="spellEnd"/>
      <w:r>
        <w:rPr>
          <w:rFonts w:eastAsia="Calibri"/>
          <w:iCs w:val="0"/>
          <w:szCs w:val="20"/>
        </w:rPr>
        <w:t xml:space="preserve"> &gt;1,200 µmol/L.</w:t>
      </w:r>
    </w:p>
    <w:p w14:paraId="7C50A936" w14:textId="77777777" w:rsidR="004D59D4" w:rsidRDefault="00023FAF" w:rsidP="00025AAC">
      <w:pPr>
        <w:pStyle w:val="TableFigureFooter"/>
        <w:jc w:val="both"/>
        <w:rPr>
          <w:iCs w:val="0"/>
        </w:rPr>
      </w:pPr>
      <w:r>
        <w:rPr>
          <w:rFonts w:eastAsia="Calibri"/>
          <w:iCs w:val="0"/>
          <w:szCs w:val="20"/>
          <w:vertAlign w:val="superscript"/>
        </w:rPr>
        <w:t>d</w:t>
      </w:r>
      <w:r>
        <w:rPr>
          <w:rFonts w:eastAsia="Calibri"/>
          <w:iCs w:val="0"/>
          <w:vertAlign w:val="superscript"/>
        </w:rPr>
        <w:t xml:space="preserve"> </w:t>
      </w:r>
      <w:r>
        <w:rPr>
          <w:rFonts w:eastAsia="Calibri"/>
          <w:iCs w:val="0"/>
        </w:rPr>
        <w:t xml:space="preserve">Rows AD to AG of Sheet ‘Trace </w:t>
      </w:r>
      <w:r>
        <w:rPr>
          <w:iCs w:val="0"/>
        </w:rPr>
        <w:t>– Int’, Palynziq (</w:t>
      </w:r>
      <w:proofErr w:type="spellStart"/>
      <w:r>
        <w:rPr>
          <w:iCs w:val="0"/>
        </w:rPr>
        <w:t>pegvaliase</w:t>
      </w:r>
      <w:proofErr w:type="spellEnd"/>
      <w:r>
        <w:rPr>
          <w:iCs w:val="0"/>
        </w:rPr>
        <w:t xml:space="preserve">) – CEA.xls modified to be the same as the respective rows in the model from the 2022 </w:t>
      </w:r>
      <w:proofErr w:type="spellStart"/>
      <w:r>
        <w:rPr>
          <w:iCs w:val="0"/>
        </w:rPr>
        <w:t>pegvaliase</w:t>
      </w:r>
      <w:proofErr w:type="spellEnd"/>
      <w:r>
        <w:rPr>
          <w:iCs w:val="0"/>
        </w:rPr>
        <w:t xml:space="preserve"> submission.</w:t>
      </w:r>
    </w:p>
    <w:p w14:paraId="1BE28A89" w14:textId="749B78AC" w:rsidR="004938A4" w:rsidRPr="00CB28D5" w:rsidRDefault="00023FAF" w:rsidP="00F929A8">
      <w:pPr>
        <w:pStyle w:val="TableFigureFooter"/>
        <w:spacing w:before="160" w:after="160"/>
        <w:rPr>
          <w:i/>
        </w:rPr>
      </w:pPr>
      <w:r>
        <w:rPr>
          <w:rFonts w:eastAsia="Calibri"/>
          <w:iCs w:val="0"/>
          <w:szCs w:val="20"/>
          <w:vertAlign w:val="superscript"/>
        </w:rPr>
        <w:t xml:space="preserve">e </w:t>
      </w:r>
      <w:r>
        <w:rPr>
          <w:rFonts w:eastAsia="Calibri"/>
          <w:iCs w:val="0"/>
        </w:rPr>
        <w:t>F42:I48 of Sheet ‘Resource Use - Meds</w:t>
      </w:r>
      <w:r>
        <w:rPr>
          <w:iCs w:val="0"/>
        </w:rPr>
        <w:t>, Palynziq (</w:t>
      </w:r>
      <w:proofErr w:type="spellStart"/>
      <w:r>
        <w:rPr>
          <w:iCs w:val="0"/>
        </w:rPr>
        <w:t>pegvaliase</w:t>
      </w:r>
      <w:proofErr w:type="spellEnd"/>
      <w:r>
        <w:rPr>
          <w:iCs w:val="0"/>
        </w:rPr>
        <w:t xml:space="preserve">) – CEA.xls modified to be the same as the respective rows in the model from the 2022 </w:t>
      </w:r>
      <w:proofErr w:type="spellStart"/>
      <w:r>
        <w:rPr>
          <w:iCs w:val="0"/>
        </w:rPr>
        <w:t>pegvaliase</w:t>
      </w:r>
      <w:proofErr w:type="spellEnd"/>
      <w:r>
        <w:rPr>
          <w:iCs w:val="0"/>
        </w:rPr>
        <w:t xml:space="preserve"> submission.</w:t>
      </w:r>
      <w:r w:rsidR="00F929A8">
        <w:rPr>
          <w:iCs w:val="0"/>
        </w:rPr>
        <w:br/>
      </w:r>
      <w:r w:rsidR="00F929A8" w:rsidRPr="00CB28D5">
        <w:rPr>
          <w:i/>
        </w:rPr>
        <w:t xml:space="preserve">The redacted values </w:t>
      </w:r>
      <w:r w:rsidR="007F43ED" w:rsidRPr="00CB28D5">
        <w:rPr>
          <w:i/>
        </w:rPr>
        <w:t>correspond to the following ranges:</w:t>
      </w:r>
      <w:r w:rsidR="007F43ED" w:rsidRPr="00CB28D5">
        <w:rPr>
          <w:i/>
        </w:rPr>
        <w:br/>
      </w:r>
      <w:r w:rsidR="007F43ED" w:rsidRPr="00CB28D5">
        <w:rPr>
          <w:i/>
          <w:vertAlign w:val="superscript"/>
        </w:rPr>
        <w:t>1</w:t>
      </w:r>
      <w:r w:rsidR="007F43ED" w:rsidRPr="00CB28D5">
        <w:rPr>
          <w:i/>
        </w:rPr>
        <w:t xml:space="preserve"> $255,000 to &lt; $355,000</w:t>
      </w:r>
      <w:r w:rsidR="007F43ED" w:rsidRPr="00CB28D5">
        <w:rPr>
          <w:i/>
        </w:rPr>
        <w:br/>
      </w:r>
      <w:r w:rsidR="007F43ED" w:rsidRPr="00CB28D5">
        <w:rPr>
          <w:i/>
          <w:vertAlign w:val="superscript"/>
        </w:rPr>
        <w:t>2</w:t>
      </w:r>
      <w:r w:rsidR="007F43ED" w:rsidRPr="00CB28D5">
        <w:rPr>
          <w:i/>
        </w:rPr>
        <w:t xml:space="preserve"> $455,000 to &lt; $555,000</w:t>
      </w:r>
      <w:r w:rsidR="00504D09" w:rsidRPr="00CB28D5">
        <w:rPr>
          <w:i/>
        </w:rPr>
        <w:br/>
      </w:r>
      <w:r w:rsidR="00504D09" w:rsidRPr="00CB28D5">
        <w:rPr>
          <w:i/>
          <w:vertAlign w:val="superscript"/>
        </w:rPr>
        <w:t>3</w:t>
      </w:r>
      <w:r w:rsidR="00504D09" w:rsidRPr="00CB28D5">
        <w:rPr>
          <w:i/>
        </w:rPr>
        <w:t xml:space="preserve"> $355,000 to &lt; $455,000</w:t>
      </w:r>
      <w:r w:rsidR="00504D09" w:rsidRPr="00CB28D5">
        <w:rPr>
          <w:i/>
        </w:rPr>
        <w:br/>
      </w:r>
      <w:r w:rsidR="00504D09" w:rsidRPr="00CB28D5">
        <w:rPr>
          <w:i/>
          <w:vertAlign w:val="superscript"/>
        </w:rPr>
        <w:t>4</w:t>
      </w:r>
      <w:r w:rsidR="00504D09" w:rsidRPr="00CB28D5">
        <w:rPr>
          <w:i/>
        </w:rPr>
        <w:t xml:space="preserve"> </w:t>
      </w:r>
      <w:r w:rsidR="00380DBC">
        <w:rPr>
          <w:i/>
        </w:rPr>
        <w:t>$</w:t>
      </w:r>
      <w:r w:rsidR="004938A4" w:rsidRPr="00CB28D5">
        <w:rPr>
          <w:i/>
        </w:rPr>
        <w:t>155,000 to &lt; $255,000</w:t>
      </w:r>
    </w:p>
    <w:p w14:paraId="3D788178" w14:textId="4112CE5F" w:rsidR="004D59D4" w:rsidRPr="00380DBC" w:rsidRDefault="004D59D4" w:rsidP="00380DBC">
      <w:pPr>
        <w:pStyle w:val="TableFigureFooter"/>
        <w:spacing w:before="160" w:after="160"/>
        <w:rPr>
          <w:rFonts w:eastAsia="Calibri"/>
          <w:i/>
        </w:rPr>
      </w:pPr>
    </w:p>
    <w:p w14:paraId="530B9C41" w14:textId="422DB96C" w:rsidR="004D59D4" w:rsidRDefault="00023FAF" w:rsidP="00025AAC">
      <w:pPr>
        <w:pStyle w:val="3-BodyText"/>
        <w:numPr>
          <w:ilvl w:val="1"/>
          <w:numId w:val="59"/>
        </w:numPr>
        <w:spacing w:before="160" w:after="160"/>
      </w:pPr>
      <w:bookmarkStart w:id="83" w:name="_Ref216722644"/>
      <w:r>
        <w:lastRenderedPageBreak/>
        <w:t>The proportion of patients who achieve a blood-</w:t>
      </w:r>
      <w:proofErr w:type="spellStart"/>
      <w:r>
        <w:t>Phe</w:t>
      </w:r>
      <w:proofErr w:type="spellEnd"/>
      <w:r>
        <w:t xml:space="preserve"> </w:t>
      </w:r>
      <w:r>
        <w:rPr>
          <w:rFonts w:cstheme="minorHAnsi"/>
        </w:rPr>
        <w:t>≤</w:t>
      </w:r>
      <w:r>
        <w:t xml:space="preserve"> 360 µmol/L with </w:t>
      </w:r>
      <w:proofErr w:type="spellStart"/>
      <w:r>
        <w:t>pegvaliase</w:t>
      </w:r>
      <w:proofErr w:type="spellEnd"/>
      <w:r>
        <w:t xml:space="preserve"> treatment was not a key driver of the model. Assuming a relative decrease in response rate to 51.7% (decreased from 81.8%,) only increased the ICER by </w:t>
      </w:r>
      <w:r w:rsidR="002615A2" w:rsidRPr="002615A2">
        <w:rPr>
          <w:sz w:val="2"/>
          <w:highlight w:val="black"/>
        </w:rPr>
        <w:t>redacted content</w:t>
      </w:r>
      <w:r>
        <w:t>%. Given that the proportion of patients who achieve a blood-</w:t>
      </w:r>
      <w:proofErr w:type="spellStart"/>
      <w:r>
        <w:t>Phe</w:t>
      </w:r>
      <w:proofErr w:type="spellEnd"/>
      <w:r>
        <w:t xml:space="preserve"> </w:t>
      </w:r>
      <w:r>
        <w:rPr>
          <w:rFonts w:cstheme="minorHAnsi"/>
        </w:rPr>
        <w:t>≤</w:t>
      </w:r>
      <w:r>
        <w:t xml:space="preserve"> 360 µmol/L was the key efficacy outcome upon which a clinical claim of superiority was made, the evaluation considered this result may reflect the inappropriateness of the assumptions underpinning the economic model.</w:t>
      </w:r>
      <w:bookmarkEnd w:id="83"/>
      <w:r>
        <w:t xml:space="preserve"> </w:t>
      </w:r>
    </w:p>
    <w:p w14:paraId="7F764446" w14:textId="77777777" w:rsidR="004D59D4" w:rsidRDefault="00023FAF" w:rsidP="00025AAC">
      <w:pPr>
        <w:pStyle w:val="4-SubsectionHeading"/>
        <w:spacing w:before="160"/>
      </w:pPr>
      <w:bookmarkStart w:id="84" w:name="_Hlk216259056"/>
      <w:bookmarkStart w:id="85" w:name="_Toc219799690"/>
      <w:bookmarkStart w:id="86" w:name="_Toc22897646"/>
      <w:bookmarkEnd w:id="84"/>
      <w:r>
        <w:t>Drug cost/patient/year</w:t>
      </w:r>
      <w:bookmarkEnd w:id="85"/>
      <w:bookmarkEnd w:id="86"/>
    </w:p>
    <w:p w14:paraId="77262963" w14:textId="45C75A5E" w:rsidR="004D59D4" w:rsidRDefault="00023FAF" w:rsidP="00025AAC">
      <w:pPr>
        <w:pStyle w:val="Caption"/>
        <w:spacing w:before="160"/>
        <w:rPr>
          <w:rStyle w:val="CommentReference"/>
          <w:b/>
          <w:szCs w:val="24"/>
        </w:rPr>
      </w:pPr>
      <w:bookmarkStart w:id="87" w:name="_Ref104805102"/>
      <w:r>
        <w:t xml:space="preserve">Table </w:t>
      </w:r>
      <w:fldSimple w:instr=" SEQ Table \* ARABIC ">
        <w:r w:rsidR="00E24060">
          <w:rPr>
            <w:noProof/>
          </w:rPr>
          <w:t>15</w:t>
        </w:r>
      </w:fldSimple>
      <w:bookmarkEnd w:id="87"/>
      <w:r>
        <w:t>:</w:t>
      </w:r>
      <w:r>
        <w:rPr>
          <w:rStyle w:val="CommentReference"/>
          <w:b/>
          <w:szCs w:val="24"/>
        </w:rPr>
        <w:t xml:space="preserve"> Drug cost (maintenance dose) per patient for </w:t>
      </w:r>
      <w:proofErr w:type="spellStart"/>
      <w:r>
        <w:rPr>
          <w:rStyle w:val="CommentReference"/>
          <w:b/>
          <w:szCs w:val="24"/>
        </w:rPr>
        <w:t>pegvaliase</w:t>
      </w:r>
      <w:proofErr w:type="spellEnd"/>
    </w:p>
    <w:tbl>
      <w:tblPr>
        <w:tblW w:w="4950" w:type="pct"/>
        <w:jc w:val="center"/>
        <w:tblLayout w:type="fixed"/>
        <w:tblCellMar>
          <w:left w:w="28" w:type="dxa"/>
          <w:right w:w="28" w:type="dxa"/>
        </w:tblCellMar>
        <w:tblLook w:val="04A0" w:firstRow="1" w:lastRow="0" w:firstColumn="1" w:lastColumn="0" w:noHBand="0" w:noVBand="1"/>
        <w:tblCaption w:val="Table 15: Drug cost (maintenance dose) per patient for pegvaliase"/>
      </w:tblPr>
      <w:tblGrid>
        <w:gridCol w:w="3394"/>
        <w:gridCol w:w="2125"/>
        <w:gridCol w:w="1698"/>
        <w:gridCol w:w="1709"/>
      </w:tblGrid>
      <w:tr w:rsidR="004D59D4" w14:paraId="044347D9" w14:textId="77777777">
        <w:trPr>
          <w:cantSplit/>
          <w:tblHeader/>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0E0EB3D4" w14:textId="77777777" w:rsidR="004D59D4" w:rsidRDefault="004D59D4" w:rsidP="00025AAC">
            <w:pPr>
              <w:pStyle w:val="In-tableHeading"/>
            </w:pPr>
          </w:p>
        </w:tc>
        <w:tc>
          <w:tcPr>
            <w:tcW w:w="2127" w:type="dxa"/>
            <w:tcBorders>
              <w:top w:val="single" w:sz="4" w:space="0" w:color="000000"/>
              <w:left w:val="single" w:sz="4" w:space="0" w:color="000000"/>
              <w:bottom w:val="single" w:sz="4" w:space="0" w:color="000000"/>
              <w:right w:val="single" w:sz="4" w:space="0" w:color="000000"/>
            </w:tcBorders>
            <w:vAlign w:val="center"/>
          </w:tcPr>
          <w:p w14:paraId="65157F0A" w14:textId="77777777" w:rsidR="004D59D4" w:rsidRDefault="00023FAF" w:rsidP="00025AAC">
            <w:pPr>
              <w:pStyle w:val="In-tableHeading"/>
              <w:jc w:val="center"/>
            </w:pPr>
            <w:r>
              <w:t>Trial dose and duration</w:t>
            </w:r>
          </w:p>
        </w:tc>
        <w:tc>
          <w:tcPr>
            <w:tcW w:w="1700" w:type="dxa"/>
            <w:tcBorders>
              <w:top w:val="single" w:sz="4" w:space="0" w:color="000000"/>
              <w:left w:val="single" w:sz="4" w:space="0" w:color="000000"/>
              <w:bottom w:val="single" w:sz="4" w:space="0" w:color="000000"/>
              <w:right w:val="single" w:sz="4" w:space="0" w:color="000000"/>
            </w:tcBorders>
            <w:vAlign w:val="center"/>
          </w:tcPr>
          <w:p w14:paraId="04B7973A" w14:textId="77777777" w:rsidR="004D59D4" w:rsidRDefault="00023FAF" w:rsidP="00025AAC">
            <w:pPr>
              <w:pStyle w:val="In-tableHeading"/>
              <w:jc w:val="center"/>
            </w:pPr>
            <w:r>
              <w:t>Model</w:t>
            </w:r>
          </w:p>
        </w:tc>
        <w:tc>
          <w:tcPr>
            <w:tcW w:w="1711" w:type="dxa"/>
            <w:tcBorders>
              <w:top w:val="single" w:sz="4" w:space="0" w:color="000000"/>
              <w:left w:val="single" w:sz="4" w:space="0" w:color="000000"/>
              <w:bottom w:val="single" w:sz="4" w:space="0" w:color="000000"/>
              <w:right w:val="single" w:sz="4" w:space="0" w:color="000000"/>
            </w:tcBorders>
            <w:vAlign w:val="center"/>
          </w:tcPr>
          <w:p w14:paraId="12313176" w14:textId="77777777" w:rsidR="004D59D4" w:rsidRDefault="00023FAF" w:rsidP="00025AAC">
            <w:pPr>
              <w:pStyle w:val="In-tableHeading"/>
              <w:jc w:val="center"/>
            </w:pPr>
            <w:r>
              <w:t>Financial estimates</w:t>
            </w:r>
          </w:p>
        </w:tc>
      </w:tr>
      <w:tr w:rsidR="004D59D4" w14:paraId="71AD7733"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24280A5A" w14:textId="77777777" w:rsidR="004D59D4" w:rsidRDefault="00023FAF" w:rsidP="00025AAC">
            <w:pPr>
              <w:pStyle w:val="TableText1"/>
            </w:pPr>
            <w:r>
              <w:t>Mean dose</w:t>
            </w:r>
          </w:p>
        </w:tc>
        <w:tc>
          <w:tcPr>
            <w:tcW w:w="2127" w:type="dxa"/>
            <w:tcBorders>
              <w:top w:val="single" w:sz="4" w:space="0" w:color="000000"/>
              <w:left w:val="single" w:sz="4" w:space="0" w:color="000000"/>
              <w:bottom w:val="single" w:sz="4" w:space="0" w:color="000000"/>
              <w:right w:val="single" w:sz="4" w:space="0" w:color="000000"/>
            </w:tcBorders>
            <w:vAlign w:val="center"/>
          </w:tcPr>
          <w:p w14:paraId="2F21F337" w14:textId="77777777" w:rsidR="004D59D4" w:rsidRDefault="00023FAF" w:rsidP="00025AAC">
            <w:pPr>
              <w:pStyle w:val="TableText1"/>
              <w:jc w:val="center"/>
            </w:pPr>
            <w:r>
              <w:t>31.8 mg/</w:t>
            </w:r>
            <w:proofErr w:type="spellStart"/>
            <w:r>
              <w:t>day</w:t>
            </w:r>
            <w:r>
              <w:rPr>
                <w:vertAlign w:val="superscript"/>
              </w:rPr>
              <w:t>a</w:t>
            </w:r>
            <w:proofErr w:type="spellEnd"/>
          </w:p>
        </w:tc>
        <w:tc>
          <w:tcPr>
            <w:tcW w:w="3411" w:type="dxa"/>
            <w:gridSpan w:val="2"/>
            <w:tcBorders>
              <w:top w:val="single" w:sz="4" w:space="0" w:color="000000"/>
              <w:left w:val="single" w:sz="4" w:space="0" w:color="000000"/>
              <w:bottom w:val="single" w:sz="4" w:space="0" w:color="000000"/>
              <w:right w:val="single" w:sz="4" w:space="0" w:color="000000"/>
            </w:tcBorders>
            <w:vAlign w:val="center"/>
          </w:tcPr>
          <w:p w14:paraId="447C5AA0" w14:textId="77777777" w:rsidR="004D59D4" w:rsidRDefault="00023FAF" w:rsidP="00025AAC">
            <w:pPr>
              <w:pStyle w:val="TableText1"/>
              <w:jc w:val="center"/>
            </w:pPr>
            <w:r>
              <w:t>24.5 mg/</w:t>
            </w:r>
            <w:proofErr w:type="spellStart"/>
            <w:r>
              <w:t>day</w:t>
            </w:r>
            <w:r>
              <w:rPr>
                <w:vertAlign w:val="superscript"/>
              </w:rPr>
              <w:t>b</w:t>
            </w:r>
            <w:proofErr w:type="spellEnd"/>
          </w:p>
        </w:tc>
      </w:tr>
      <w:tr w:rsidR="004D59D4" w14:paraId="1ADF324F"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26C2DFE2" w14:textId="77777777" w:rsidR="004D59D4" w:rsidRDefault="00023FAF" w:rsidP="00025AAC">
            <w:pPr>
              <w:pStyle w:val="TableText1"/>
            </w:pPr>
            <w:r>
              <w:t>Mean duration</w:t>
            </w:r>
          </w:p>
        </w:tc>
        <w:tc>
          <w:tcPr>
            <w:tcW w:w="2127" w:type="dxa"/>
            <w:tcBorders>
              <w:top w:val="single" w:sz="4" w:space="0" w:color="000000"/>
              <w:left w:val="single" w:sz="4" w:space="0" w:color="000000"/>
              <w:bottom w:val="single" w:sz="4" w:space="0" w:color="000000"/>
              <w:right w:val="single" w:sz="4" w:space="0" w:color="000000"/>
            </w:tcBorders>
            <w:vAlign w:val="center"/>
          </w:tcPr>
          <w:p w14:paraId="1D139A6D" w14:textId="77777777" w:rsidR="004D59D4" w:rsidRDefault="00023FAF" w:rsidP="00025AAC">
            <w:pPr>
              <w:pStyle w:val="TableText1"/>
              <w:jc w:val="center"/>
            </w:pPr>
            <w:r>
              <w:t>151.4 weeks (2.9 years)</w:t>
            </w:r>
            <w:r>
              <w:rPr>
                <w:vertAlign w:val="superscript"/>
              </w:rPr>
              <w:t xml:space="preserve"> a</w:t>
            </w:r>
          </w:p>
        </w:tc>
        <w:tc>
          <w:tcPr>
            <w:tcW w:w="1700" w:type="dxa"/>
            <w:tcBorders>
              <w:top w:val="single" w:sz="4" w:space="0" w:color="000000"/>
              <w:left w:val="single" w:sz="4" w:space="0" w:color="000000"/>
              <w:bottom w:val="single" w:sz="4" w:space="0" w:color="000000"/>
              <w:right w:val="single" w:sz="4" w:space="0" w:color="000000"/>
            </w:tcBorders>
            <w:vAlign w:val="center"/>
          </w:tcPr>
          <w:p w14:paraId="1417F95A" w14:textId="77777777" w:rsidR="004D59D4" w:rsidRDefault="00023FAF" w:rsidP="00025AAC">
            <w:pPr>
              <w:pStyle w:val="TableText1"/>
              <w:jc w:val="center"/>
            </w:pPr>
            <w:r>
              <w:t>NR</w:t>
            </w:r>
          </w:p>
        </w:tc>
        <w:tc>
          <w:tcPr>
            <w:tcW w:w="1711" w:type="dxa"/>
            <w:tcBorders>
              <w:top w:val="single" w:sz="4" w:space="0" w:color="000000"/>
              <w:left w:val="single" w:sz="4" w:space="0" w:color="000000"/>
              <w:bottom w:val="single" w:sz="4" w:space="0" w:color="000000"/>
              <w:right w:val="single" w:sz="4" w:space="0" w:color="000000"/>
            </w:tcBorders>
            <w:vAlign w:val="center"/>
          </w:tcPr>
          <w:p w14:paraId="76C5BC8C" w14:textId="77777777" w:rsidR="004D59D4" w:rsidRDefault="00023FAF" w:rsidP="00025AAC">
            <w:pPr>
              <w:pStyle w:val="TableText1"/>
              <w:jc w:val="center"/>
            </w:pPr>
            <w:r>
              <w:t>NR</w:t>
            </w:r>
          </w:p>
        </w:tc>
      </w:tr>
      <w:tr w:rsidR="004D59D4" w14:paraId="242BB98D"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F99C64E" w14:textId="6C7AC135" w:rsidR="004D59D4" w:rsidRDefault="00023FAF" w:rsidP="00025AAC">
            <w:pPr>
              <w:pStyle w:val="TableText1"/>
            </w:pPr>
            <w:r>
              <w:t>Cost/patient/month (cost = $</w:t>
            </w:r>
            <w:r w:rsidR="002615A2" w:rsidRPr="002615A2">
              <w:rPr>
                <w:sz w:val="2"/>
                <w:highlight w:val="black"/>
              </w:rPr>
              <w:t>redacted content</w:t>
            </w:r>
            <w:r>
              <w:t xml:space="preserve"> per syringe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 xml:space="preserve">redacted </w:t>
            </w:r>
            <w:proofErr w:type="gramStart"/>
            <w:r w:rsidR="002615A2" w:rsidRPr="002615A2">
              <w:rPr>
                <w:sz w:val="2"/>
                <w:highlight w:val="black"/>
              </w:rPr>
              <w:t>content</w:t>
            </w:r>
            <w:r>
              <w:t>)</w:t>
            </w:r>
            <w:r>
              <w:rPr>
                <w:vertAlign w:val="superscript"/>
              </w:rPr>
              <w:t>c</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14:paraId="495994B9" w14:textId="56817127" w:rsidR="004D59D4" w:rsidRDefault="00023FAF" w:rsidP="00025AAC">
            <w:pPr>
              <w:pStyle w:val="TableText1"/>
              <w:jc w:val="center"/>
            </w:pPr>
            <w:r>
              <w:t>$</w:t>
            </w:r>
            <w:r w:rsidR="002615A2" w:rsidRPr="002615A2">
              <w:rPr>
                <w:sz w:val="2"/>
                <w:highlight w:val="black"/>
              </w:rPr>
              <w:t>redacted content</w:t>
            </w:r>
          </w:p>
        </w:tc>
        <w:tc>
          <w:tcPr>
            <w:tcW w:w="3411" w:type="dxa"/>
            <w:gridSpan w:val="2"/>
            <w:tcBorders>
              <w:top w:val="single" w:sz="4" w:space="0" w:color="000000"/>
              <w:left w:val="single" w:sz="4" w:space="0" w:color="000000"/>
              <w:bottom w:val="single" w:sz="4" w:space="0" w:color="000000"/>
              <w:right w:val="single" w:sz="4" w:space="0" w:color="000000"/>
            </w:tcBorders>
            <w:vAlign w:val="center"/>
          </w:tcPr>
          <w:p w14:paraId="0CAB56C0" w14:textId="0483082F" w:rsidR="004D59D4" w:rsidRDefault="00023FAF" w:rsidP="00025AAC">
            <w:pPr>
              <w:pStyle w:val="TableText1"/>
              <w:jc w:val="center"/>
            </w:pPr>
            <w:r>
              <w:t>$</w:t>
            </w:r>
            <w:r w:rsidR="002615A2" w:rsidRPr="002615A2">
              <w:rPr>
                <w:sz w:val="2"/>
                <w:highlight w:val="black"/>
              </w:rPr>
              <w:t>redacted content</w:t>
            </w:r>
          </w:p>
        </w:tc>
      </w:tr>
      <w:tr w:rsidR="004D59D4" w14:paraId="00774F7E"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3C7A19BC" w14:textId="67AE7864" w:rsidR="004D59D4" w:rsidRDefault="00023FAF" w:rsidP="00025AAC">
            <w:pPr>
              <w:pStyle w:val="TableText1"/>
            </w:pPr>
            <w:r>
              <w:t>Cost/patient/year (cost = $</w:t>
            </w:r>
            <w:r w:rsidR="002615A2" w:rsidRPr="002615A2">
              <w:rPr>
                <w:sz w:val="2"/>
                <w:highlight w:val="black"/>
              </w:rPr>
              <w:t>redacted content</w:t>
            </w:r>
            <w:r>
              <w:t xml:space="preserve"> per </w:t>
            </w:r>
            <w:r w:rsidRPr="005B5724">
              <w:t xml:space="preserve">syringe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 xml:space="preserve">redacted </w:t>
            </w:r>
            <w:proofErr w:type="gramStart"/>
            <w:r w:rsidR="002615A2" w:rsidRPr="002615A2">
              <w:rPr>
                <w:sz w:val="2"/>
                <w:highlight w:val="black"/>
              </w:rPr>
              <w:t>content</w:t>
            </w:r>
            <w:r>
              <w:t>)</w:t>
            </w:r>
            <w:r>
              <w:rPr>
                <w:vertAlign w:val="superscript"/>
              </w:rPr>
              <w:t>c</w:t>
            </w:r>
            <w:proofErr w:type="gramEnd"/>
          </w:p>
        </w:tc>
        <w:tc>
          <w:tcPr>
            <w:tcW w:w="2127" w:type="dxa"/>
            <w:tcBorders>
              <w:top w:val="single" w:sz="4" w:space="0" w:color="000000"/>
              <w:left w:val="single" w:sz="4" w:space="0" w:color="000000"/>
              <w:bottom w:val="single" w:sz="4" w:space="0" w:color="000000"/>
              <w:right w:val="single" w:sz="4" w:space="0" w:color="000000"/>
            </w:tcBorders>
            <w:vAlign w:val="center"/>
          </w:tcPr>
          <w:p w14:paraId="333A0E06" w14:textId="56E0FE43" w:rsidR="004D59D4" w:rsidRDefault="00023FAF" w:rsidP="00025AAC">
            <w:pPr>
              <w:pStyle w:val="TableText1"/>
              <w:jc w:val="center"/>
            </w:pPr>
            <w:r>
              <w:t>$</w:t>
            </w:r>
            <w:r w:rsidR="002615A2" w:rsidRPr="002615A2">
              <w:rPr>
                <w:sz w:val="2"/>
                <w:highlight w:val="black"/>
              </w:rPr>
              <w:t>redacted content</w:t>
            </w:r>
          </w:p>
        </w:tc>
        <w:tc>
          <w:tcPr>
            <w:tcW w:w="3411" w:type="dxa"/>
            <w:gridSpan w:val="2"/>
            <w:tcBorders>
              <w:top w:val="single" w:sz="4" w:space="0" w:color="000000"/>
              <w:left w:val="single" w:sz="4" w:space="0" w:color="000000"/>
              <w:bottom w:val="single" w:sz="4" w:space="0" w:color="000000"/>
              <w:right w:val="single" w:sz="4" w:space="0" w:color="000000"/>
            </w:tcBorders>
            <w:vAlign w:val="center"/>
          </w:tcPr>
          <w:p w14:paraId="5538D605" w14:textId="2F8074D2" w:rsidR="004D59D4" w:rsidRDefault="00023FAF" w:rsidP="00025AAC">
            <w:pPr>
              <w:pStyle w:val="TableText1"/>
              <w:jc w:val="center"/>
            </w:pPr>
            <w:r>
              <w:t>$</w:t>
            </w:r>
            <w:r w:rsidR="002615A2" w:rsidRPr="002615A2">
              <w:rPr>
                <w:sz w:val="2"/>
                <w:highlight w:val="black"/>
              </w:rPr>
              <w:t>redacted content</w:t>
            </w:r>
          </w:p>
        </w:tc>
      </w:tr>
      <w:tr w:rsidR="004D59D4" w14:paraId="3E466FB8" w14:textId="77777777">
        <w:trPr>
          <w:cantSplit/>
          <w:jc w:val="center"/>
        </w:trPr>
        <w:tc>
          <w:tcPr>
            <w:tcW w:w="3397" w:type="dxa"/>
            <w:tcBorders>
              <w:top w:val="single" w:sz="4" w:space="0" w:color="000000"/>
              <w:left w:val="single" w:sz="4" w:space="0" w:color="000000"/>
              <w:bottom w:val="single" w:sz="4" w:space="0" w:color="000000"/>
              <w:right w:val="single" w:sz="4" w:space="0" w:color="000000"/>
            </w:tcBorders>
            <w:vAlign w:val="center"/>
          </w:tcPr>
          <w:p w14:paraId="7C3147CC" w14:textId="2D913D3F" w:rsidR="004D59D4" w:rsidRDefault="00023FAF" w:rsidP="00025AAC">
            <w:pPr>
              <w:pStyle w:val="TableText1"/>
            </w:pPr>
            <w:r>
              <w:t>Cost/patient/year (cost = $</w:t>
            </w:r>
            <w:r w:rsidR="002615A2" w:rsidRPr="002615A2">
              <w:rPr>
                <w:sz w:val="2"/>
                <w:highlight w:val="black"/>
              </w:rPr>
              <w:t>redacted content</w:t>
            </w:r>
            <w:r>
              <w:t xml:space="preserve"> per </w:t>
            </w:r>
            <w:r w:rsidRPr="005B5724">
              <w:t xml:space="preserve">syringe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p>
        </w:tc>
        <w:tc>
          <w:tcPr>
            <w:tcW w:w="2127" w:type="dxa"/>
            <w:tcBorders>
              <w:top w:val="single" w:sz="4" w:space="0" w:color="000000"/>
              <w:left w:val="single" w:sz="4" w:space="0" w:color="000000"/>
              <w:bottom w:val="single" w:sz="4" w:space="0" w:color="000000"/>
              <w:right w:val="single" w:sz="4" w:space="0" w:color="000000"/>
            </w:tcBorders>
            <w:vAlign w:val="center"/>
          </w:tcPr>
          <w:p w14:paraId="099C51B4" w14:textId="451BBA92" w:rsidR="004D59D4" w:rsidRDefault="00023FAF" w:rsidP="00025AAC">
            <w:pPr>
              <w:pStyle w:val="TableText1"/>
              <w:jc w:val="center"/>
            </w:pPr>
            <w:r>
              <w:t>$</w:t>
            </w:r>
            <w:r w:rsidR="002615A2" w:rsidRPr="002615A2">
              <w:rPr>
                <w:sz w:val="2"/>
                <w:highlight w:val="black"/>
              </w:rPr>
              <w:t>redacted content</w:t>
            </w:r>
          </w:p>
        </w:tc>
        <w:tc>
          <w:tcPr>
            <w:tcW w:w="3411" w:type="dxa"/>
            <w:gridSpan w:val="2"/>
            <w:tcBorders>
              <w:top w:val="single" w:sz="4" w:space="0" w:color="000000"/>
              <w:left w:val="single" w:sz="4" w:space="0" w:color="000000"/>
              <w:bottom w:val="single" w:sz="4" w:space="0" w:color="000000"/>
              <w:right w:val="single" w:sz="4" w:space="0" w:color="000000"/>
            </w:tcBorders>
            <w:vAlign w:val="center"/>
          </w:tcPr>
          <w:p w14:paraId="4CF71751" w14:textId="1F0C2A96" w:rsidR="004D59D4" w:rsidRDefault="00023FAF" w:rsidP="00025AAC">
            <w:pPr>
              <w:pStyle w:val="TableText1"/>
              <w:jc w:val="center"/>
            </w:pPr>
            <w:r>
              <w:t>$</w:t>
            </w:r>
            <w:r w:rsidR="002615A2" w:rsidRPr="002615A2">
              <w:rPr>
                <w:sz w:val="2"/>
                <w:highlight w:val="black"/>
              </w:rPr>
              <w:t>redacted content</w:t>
            </w:r>
          </w:p>
        </w:tc>
      </w:tr>
    </w:tbl>
    <w:p w14:paraId="2F38B1E6" w14:textId="77777777" w:rsidR="004D59D4" w:rsidRDefault="00023FAF" w:rsidP="00025AAC">
      <w:pPr>
        <w:pStyle w:val="TableFigureFooter"/>
        <w:jc w:val="both"/>
      </w:pPr>
      <w:r>
        <w:t>Source: Table 2.4-5, p 94of the resubmission</w:t>
      </w:r>
    </w:p>
    <w:p w14:paraId="2D0D860B" w14:textId="77777777" w:rsidR="004D59D4" w:rsidRDefault="00023FAF" w:rsidP="00025AAC">
      <w:pPr>
        <w:pStyle w:val="TableFigureFooter"/>
        <w:jc w:val="both"/>
      </w:pPr>
      <w:r>
        <w:t>NC = not calculable; NR = not reported</w:t>
      </w:r>
    </w:p>
    <w:p w14:paraId="7ADC2464" w14:textId="77777777" w:rsidR="004D59D4" w:rsidRDefault="00023FAF" w:rsidP="00025AAC">
      <w:pPr>
        <w:pStyle w:val="TableFigureFooter"/>
        <w:jc w:val="both"/>
      </w:pPr>
      <w:proofErr w:type="spellStart"/>
      <w:r>
        <w:rPr>
          <w:rFonts w:eastAsiaTheme="majorEastAsia" w:cstheme="majorBidi"/>
          <w:sz w:val="20"/>
          <w:szCs w:val="24"/>
          <w:vertAlign w:val="superscript"/>
        </w:rPr>
        <w:t>a</w:t>
      </w:r>
      <w:proofErr w:type="spellEnd"/>
      <w:r>
        <w:t xml:space="preserve"> </w:t>
      </w:r>
      <w:proofErr w:type="gramStart"/>
      <w:r>
        <w:t>The</w:t>
      </w:r>
      <w:proofErr w:type="gramEnd"/>
      <w:r>
        <w:t xml:space="preserve"> mean dose and mean duration for all of PRISM 2 were reported. In the trial, patients were restricted to either 20 mg or 40 mg of </w:t>
      </w:r>
      <w:proofErr w:type="spellStart"/>
      <w:r>
        <w:t>pegvaliase</w:t>
      </w:r>
      <w:proofErr w:type="spellEnd"/>
      <w:r>
        <w:t xml:space="preserve"> for PRISM Parts 1 to 3, and therefore the mean dose for PRISM 2 may not be representative of </w:t>
      </w:r>
      <w:proofErr w:type="spellStart"/>
      <w:r>
        <w:t>pegvaliase</w:t>
      </w:r>
      <w:proofErr w:type="spellEnd"/>
      <w:r>
        <w:t xml:space="preserve"> treatment outside of this trial.</w:t>
      </w:r>
    </w:p>
    <w:p w14:paraId="6A6D0CB5" w14:textId="77777777" w:rsidR="004D59D4" w:rsidRDefault="00023FAF" w:rsidP="00025AAC">
      <w:pPr>
        <w:pStyle w:val="TableFigureFooter"/>
        <w:jc w:val="both"/>
      </w:pPr>
      <w:r>
        <w:rPr>
          <w:rFonts w:eastAsiaTheme="majorEastAsia" w:cstheme="majorBidi"/>
          <w:sz w:val="20"/>
          <w:szCs w:val="24"/>
          <w:vertAlign w:val="superscript"/>
        </w:rPr>
        <w:t>b</w:t>
      </w:r>
      <w:r>
        <w:t xml:space="preserve"> </w:t>
      </w:r>
      <w:proofErr w:type="gramStart"/>
      <w:r>
        <w:t>The</w:t>
      </w:r>
      <w:proofErr w:type="gramEnd"/>
      <w:r>
        <w:t xml:space="preserve"> resubmission derived the maintenance dose from the distribution of doses from the sponsor database associated with the </w:t>
      </w:r>
      <w:proofErr w:type="spellStart"/>
      <w:r>
        <w:t>pegvaliase</w:t>
      </w:r>
      <w:proofErr w:type="spellEnd"/>
      <w:r>
        <w:t xml:space="preserve"> REMS program, based on the mean daily dose at ≥ 36 months of follow-up. The mean dose of 24.5 mg/day was notably lower than assumed in the previous resubmission (30.5 mg/day), which was based on the weighted dose of the number of treatment days at each dosage, including titration period over five years for PRISM 1 and PRISM 2.</w:t>
      </w:r>
    </w:p>
    <w:p w14:paraId="748D69AC" w14:textId="62D9FBE2" w:rsidR="004D59D4" w:rsidRDefault="00023FAF" w:rsidP="00025AAC">
      <w:pPr>
        <w:pStyle w:val="TableFigureFooter"/>
        <w:spacing w:before="160" w:after="160"/>
        <w:jc w:val="both"/>
      </w:pPr>
      <w:r>
        <w:rPr>
          <w:rFonts w:eastAsiaTheme="majorEastAsia" w:cstheme="majorBidi"/>
          <w:sz w:val="20"/>
          <w:szCs w:val="24"/>
          <w:vertAlign w:val="superscript"/>
        </w:rPr>
        <w:t>c</w:t>
      </w:r>
      <w:r>
        <w:t xml:space="preserve"> Costs calculated based on a cost of $</w:t>
      </w:r>
      <w:r w:rsidR="002615A2" w:rsidRPr="002615A2">
        <w:rPr>
          <w:sz w:val="2"/>
          <w:highlight w:val="black"/>
        </w:rPr>
        <w:t>redacted content</w:t>
      </w:r>
      <w:r>
        <w:t xml:space="preserve"> per syringe. As the PI states that each syringe of </w:t>
      </w:r>
      <w:proofErr w:type="spellStart"/>
      <w:r>
        <w:t>pegvaliase</w:t>
      </w:r>
      <w:proofErr w:type="spellEnd"/>
      <w:r>
        <w:t xml:space="preserve"> is for single use only and any residue should be discarded, it was assumed that a dose of 31.8 mg was comprised of 2 x 20 mg/day and a dose of 24.5 mg was comprised of 1 x 20 mg + 1 x 10 mg. As the different strengths were priced the same, the daily cost was the same for 31.8 mg or 24.5 mg.</w:t>
      </w:r>
    </w:p>
    <w:p w14:paraId="701BD73B" w14:textId="1E7C2CBA" w:rsidR="004D59D4" w:rsidRDefault="00023FAF" w:rsidP="00025AAC">
      <w:pPr>
        <w:pStyle w:val="3-BodyText"/>
        <w:numPr>
          <w:ilvl w:val="1"/>
          <w:numId w:val="60"/>
        </w:numPr>
        <w:spacing w:before="160" w:after="160"/>
      </w:pPr>
      <w:r>
        <w:t xml:space="preserve">The cost of </w:t>
      </w:r>
      <w:proofErr w:type="spellStart"/>
      <w:r>
        <w:t>pegvaliase</w:t>
      </w:r>
      <w:proofErr w:type="spellEnd"/>
      <w:r>
        <w:t xml:space="preserve"> per patient per year calculated in the resubmission was $</w:t>
      </w:r>
      <w:r w:rsidR="002615A2" w:rsidRPr="002615A2">
        <w:rPr>
          <w:sz w:val="2"/>
          <w:highlight w:val="black"/>
        </w:rPr>
        <w:t>redacted content</w:t>
      </w:r>
      <w:r>
        <w:t xml:space="preserve"> based on a cost of $</w:t>
      </w:r>
      <w:r w:rsidR="002615A2" w:rsidRPr="002615A2">
        <w:rPr>
          <w:sz w:val="2"/>
          <w:highlight w:val="black"/>
        </w:rPr>
        <w:t>redacted content</w:t>
      </w:r>
      <w:r>
        <w:t xml:space="preserve"> per syringe. However, as previously noted,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t xml:space="preserve"> </w:t>
      </w:r>
    </w:p>
    <w:p w14:paraId="771CD3EA" w14:textId="466877E3" w:rsidR="004D59D4" w:rsidRDefault="00023FAF" w:rsidP="00025AAC">
      <w:pPr>
        <w:pStyle w:val="3-BodyText"/>
        <w:numPr>
          <w:ilvl w:val="1"/>
          <w:numId w:val="61"/>
        </w:numPr>
        <w:spacing w:before="160" w:after="160"/>
      </w:pPr>
      <w:r>
        <w:t xml:space="preserve">In the 2022 </w:t>
      </w:r>
      <w:proofErr w:type="spellStart"/>
      <w:r>
        <w:t>pegvaliase</w:t>
      </w:r>
      <w:proofErr w:type="spellEnd"/>
      <w:r>
        <w:t xml:space="preserve"> submission, for the model and financial estimates the cost/patient/year was $</w:t>
      </w:r>
      <w:r w:rsidR="002615A2" w:rsidRPr="002615A2">
        <w:rPr>
          <w:sz w:val="2"/>
          <w:highlight w:val="black"/>
        </w:rPr>
        <w:t>redacted content</w:t>
      </w:r>
      <w:r>
        <w:t xml:space="preserve"> (cost/patient/week = $</w:t>
      </w:r>
      <w:r w:rsidR="002615A2" w:rsidRPr="002615A2">
        <w:rPr>
          <w:sz w:val="2"/>
          <w:highlight w:val="black"/>
        </w:rPr>
        <w:t>redacted content</w:t>
      </w:r>
      <w:r>
        <w:t xml:space="preserve">). This was considerably more than the current resubmission primarily due to the difference in assumed </w:t>
      </w:r>
      <w:proofErr w:type="spellStart"/>
      <w:r>
        <w:t>pegvaliase</w:t>
      </w:r>
      <w:proofErr w:type="spellEnd"/>
      <w:r>
        <w:t xml:space="preserve"> cost per syringe.</w:t>
      </w:r>
    </w:p>
    <w:p w14:paraId="27FA9DFD" w14:textId="77777777" w:rsidR="004D59D4" w:rsidRDefault="00023FAF" w:rsidP="00025AAC">
      <w:pPr>
        <w:pStyle w:val="4-SubsectionHeading"/>
        <w:spacing w:before="160" w:after="160"/>
      </w:pPr>
      <w:bookmarkStart w:id="88" w:name="_Hlk107307804"/>
      <w:bookmarkStart w:id="89" w:name="_Toc219799691"/>
      <w:bookmarkStart w:id="90" w:name="_Toc22897647"/>
      <w:bookmarkEnd w:id="88"/>
      <w:r>
        <w:t>Estimated PBS usage &amp; financial implications</w:t>
      </w:r>
      <w:bookmarkEnd w:id="89"/>
      <w:bookmarkEnd w:id="90"/>
    </w:p>
    <w:p w14:paraId="548BAEA1" w14:textId="77777777" w:rsidR="004D59D4" w:rsidRDefault="00023FAF" w:rsidP="00025AAC">
      <w:pPr>
        <w:pStyle w:val="3-BodyText"/>
        <w:numPr>
          <w:ilvl w:val="1"/>
          <w:numId w:val="62"/>
        </w:numPr>
        <w:spacing w:before="160" w:after="160"/>
      </w:pPr>
      <w:bookmarkStart w:id="91" w:name="_Ref104805262"/>
      <w:r>
        <w:t xml:space="preserve">This resubmission was not considered by DUSC, however DUSC did consider the July 2022 </w:t>
      </w:r>
      <w:proofErr w:type="spellStart"/>
      <w:r>
        <w:t>pegvaliase</w:t>
      </w:r>
      <w:proofErr w:type="spellEnd"/>
      <w:r>
        <w:t xml:space="preserve"> submission.</w:t>
      </w:r>
    </w:p>
    <w:p w14:paraId="0DB7276A" w14:textId="0DCAFC09" w:rsidR="004D59D4" w:rsidRDefault="00023FAF" w:rsidP="00025AAC">
      <w:pPr>
        <w:pStyle w:val="3-BodyText"/>
        <w:numPr>
          <w:ilvl w:val="1"/>
          <w:numId w:val="63"/>
        </w:numPr>
        <w:spacing w:before="160" w:after="160"/>
      </w:pPr>
      <w:bookmarkStart w:id="92" w:name="_Ref217375520"/>
      <w:r>
        <w:t xml:space="preserve">The key financial inputs for the financial estimates are presented in </w:t>
      </w:r>
      <w:r>
        <w:fldChar w:fldCharType="begin"/>
      </w:r>
      <w:r>
        <w:instrText xml:space="preserve"> REF _Ref214622105 \h </w:instrText>
      </w:r>
      <w:r>
        <w:fldChar w:fldCharType="separate"/>
      </w:r>
      <w:r w:rsidR="00E24060">
        <w:t xml:space="preserve">Table </w:t>
      </w:r>
      <w:r w:rsidR="00E24060">
        <w:rPr>
          <w:noProof/>
        </w:rPr>
        <w:t>16</w:t>
      </w:r>
      <w:r>
        <w:fldChar w:fldCharType="end"/>
      </w:r>
      <w:r>
        <w:t xml:space="preserve">. </w:t>
      </w:r>
      <w:bookmarkEnd w:id="92"/>
    </w:p>
    <w:p w14:paraId="466FC794" w14:textId="1DFE1747" w:rsidR="004D59D4" w:rsidRDefault="00023FAF" w:rsidP="00025AAC">
      <w:pPr>
        <w:pStyle w:val="Caption"/>
        <w:rPr>
          <w:rStyle w:val="CommentReference"/>
          <w:b/>
          <w:szCs w:val="24"/>
        </w:rPr>
      </w:pPr>
      <w:bookmarkStart w:id="93" w:name="_Ref214622105"/>
      <w:r>
        <w:lastRenderedPageBreak/>
        <w:t xml:space="preserve">Table </w:t>
      </w:r>
      <w:fldSimple w:instr=" SEQ Table \* ARABIC ">
        <w:r w:rsidR="00E24060">
          <w:rPr>
            <w:noProof/>
          </w:rPr>
          <w:t>16</w:t>
        </w:r>
      </w:fldSimple>
      <w:bookmarkEnd w:id="91"/>
      <w:bookmarkEnd w:id="93"/>
      <w:r>
        <w:t>:</w:t>
      </w:r>
      <w:r>
        <w:rPr>
          <w:rStyle w:val="CommentReference"/>
          <w:b/>
          <w:szCs w:val="24"/>
        </w:rPr>
        <w:t xml:space="preserve"> Key inputs for financial estimates</w:t>
      </w:r>
    </w:p>
    <w:tbl>
      <w:tblPr>
        <w:tblW w:w="5000" w:type="pct"/>
        <w:tblLayout w:type="fixed"/>
        <w:tblCellMar>
          <w:left w:w="28" w:type="dxa"/>
          <w:right w:w="28" w:type="dxa"/>
        </w:tblCellMar>
        <w:tblLook w:val="04A0" w:firstRow="1" w:lastRow="0" w:firstColumn="1" w:lastColumn="0" w:noHBand="0" w:noVBand="1"/>
        <w:tblCaption w:val="Table 16: Key inputs for financial estimates"/>
      </w:tblPr>
      <w:tblGrid>
        <w:gridCol w:w="2121"/>
        <w:gridCol w:w="2125"/>
        <w:gridCol w:w="4770"/>
      </w:tblGrid>
      <w:tr w:rsidR="004D59D4" w14:paraId="1D0048E8" w14:textId="77777777">
        <w:trPr>
          <w:cantSplit/>
          <w:tblHeader/>
        </w:trPr>
        <w:tc>
          <w:tcPr>
            <w:tcW w:w="2124" w:type="dxa"/>
            <w:tcBorders>
              <w:top w:val="single" w:sz="4" w:space="0" w:color="000000"/>
              <w:left w:val="single" w:sz="4" w:space="0" w:color="000000"/>
              <w:bottom w:val="single" w:sz="4" w:space="0" w:color="000000"/>
              <w:right w:val="single" w:sz="4" w:space="0" w:color="000000"/>
            </w:tcBorders>
          </w:tcPr>
          <w:p w14:paraId="494849D6" w14:textId="77777777" w:rsidR="004D59D4" w:rsidRDefault="00023FAF" w:rsidP="00025AAC">
            <w:pPr>
              <w:pStyle w:val="In-tableHeading"/>
            </w:pPr>
            <w:r>
              <w:t>Parameter</w:t>
            </w:r>
          </w:p>
        </w:tc>
        <w:tc>
          <w:tcPr>
            <w:tcW w:w="2127" w:type="dxa"/>
            <w:tcBorders>
              <w:top w:val="single" w:sz="4" w:space="0" w:color="000000"/>
              <w:left w:val="single" w:sz="4" w:space="0" w:color="000000"/>
              <w:bottom w:val="single" w:sz="4" w:space="0" w:color="000000"/>
              <w:right w:val="single" w:sz="4" w:space="0" w:color="000000"/>
            </w:tcBorders>
          </w:tcPr>
          <w:p w14:paraId="7545851C" w14:textId="77777777" w:rsidR="004D59D4" w:rsidRDefault="00023FAF" w:rsidP="00025AAC">
            <w:pPr>
              <w:pStyle w:val="In-tableHeading"/>
            </w:pPr>
            <w:r>
              <w:t>Value applied</w:t>
            </w:r>
          </w:p>
        </w:tc>
        <w:tc>
          <w:tcPr>
            <w:tcW w:w="4775" w:type="dxa"/>
            <w:tcBorders>
              <w:top w:val="single" w:sz="4" w:space="0" w:color="000000"/>
              <w:left w:val="single" w:sz="4" w:space="0" w:color="000000"/>
              <w:bottom w:val="single" w:sz="4" w:space="0" w:color="000000"/>
              <w:right w:val="single" w:sz="4" w:space="0" w:color="000000"/>
            </w:tcBorders>
          </w:tcPr>
          <w:p w14:paraId="0710725F" w14:textId="77777777" w:rsidR="004D59D4" w:rsidRDefault="00023FAF" w:rsidP="00025AAC">
            <w:pPr>
              <w:pStyle w:val="In-tableHeading"/>
            </w:pPr>
            <w:r>
              <w:t>Source/ Comment</w:t>
            </w:r>
          </w:p>
        </w:tc>
      </w:tr>
      <w:tr w:rsidR="004D59D4" w14:paraId="00B2C11F" w14:textId="77777777">
        <w:trPr>
          <w:cantSplit/>
        </w:trPr>
        <w:tc>
          <w:tcPr>
            <w:tcW w:w="2124" w:type="dxa"/>
            <w:tcBorders>
              <w:top w:val="single" w:sz="4" w:space="0" w:color="000000"/>
              <w:left w:val="single" w:sz="4" w:space="0" w:color="000000"/>
              <w:bottom w:val="single" w:sz="4" w:space="0" w:color="000000"/>
              <w:right w:val="single" w:sz="4" w:space="0" w:color="000000"/>
            </w:tcBorders>
          </w:tcPr>
          <w:p w14:paraId="2EF9AE12" w14:textId="77777777" w:rsidR="004D59D4" w:rsidRDefault="00023FAF" w:rsidP="00025AAC">
            <w:pPr>
              <w:pStyle w:val="TableText1"/>
              <w:keepLines w:val="0"/>
            </w:pPr>
            <w:r>
              <w:t>Prevalence of HPA</w:t>
            </w:r>
          </w:p>
        </w:tc>
        <w:tc>
          <w:tcPr>
            <w:tcW w:w="2127" w:type="dxa"/>
            <w:tcBorders>
              <w:top w:val="single" w:sz="4" w:space="0" w:color="000000"/>
              <w:left w:val="single" w:sz="4" w:space="0" w:color="000000"/>
              <w:bottom w:val="single" w:sz="4" w:space="0" w:color="000000"/>
              <w:right w:val="single" w:sz="4" w:space="0" w:color="000000"/>
            </w:tcBorders>
          </w:tcPr>
          <w:p w14:paraId="3B97AE73" w14:textId="77777777" w:rsidR="004D59D4" w:rsidRDefault="00023FAF" w:rsidP="00025AAC">
            <w:pPr>
              <w:pStyle w:val="TableText1"/>
              <w:keepLines w:val="0"/>
            </w:pPr>
            <w:r>
              <w:t>1 per 11,226</w:t>
            </w:r>
          </w:p>
        </w:tc>
        <w:tc>
          <w:tcPr>
            <w:tcW w:w="4775" w:type="dxa"/>
            <w:tcBorders>
              <w:top w:val="single" w:sz="4" w:space="0" w:color="000000"/>
              <w:left w:val="single" w:sz="4" w:space="0" w:color="000000"/>
              <w:bottom w:val="single" w:sz="4" w:space="0" w:color="000000"/>
              <w:right w:val="single" w:sz="4" w:space="0" w:color="000000"/>
            </w:tcBorders>
          </w:tcPr>
          <w:p w14:paraId="450C3750" w14:textId="3535BDC1" w:rsidR="004D59D4" w:rsidRDefault="00023FAF" w:rsidP="00025AAC">
            <w:pPr>
              <w:pStyle w:val="TableText1"/>
              <w:keepLines w:val="0"/>
              <w:rPr>
                <w:iCs w:val="0"/>
              </w:rPr>
            </w:pPr>
            <w:proofErr w:type="spellStart"/>
            <w:r>
              <w:rPr>
                <w:iCs w:val="0"/>
              </w:rPr>
              <w:t>Boneh</w:t>
            </w:r>
            <w:proofErr w:type="spellEnd"/>
            <w:r>
              <w:rPr>
                <w:iCs w:val="0"/>
              </w:rPr>
              <w:t xml:space="preserve"> 2006. </w:t>
            </w:r>
            <w:r w:rsidR="005C11F9">
              <w:rPr>
                <w:iCs w:val="0"/>
              </w:rPr>
              <w:t>The s</w:t>
            </w:r>
            <w:r w:rsidR="00D92306">
              <w:rPr>
                <w:iCs w:val="0"/>
              </w:rPr>
              <w:t xml:space="preserve">ubmission </w:t>
            </w:r>
            <w:r w:rsidR="003F3E5B">
              <w:rPr>
                <w:iCs w:val="0"/>
              </w:rPr>
              <w:t>applied an age eligib</w:t>
            </w:r>
            <w:r w:rsidR="00EE378D">
              <w:rPr>
                <w:iCs w:val="0"/>
              </w:rPr>
              <w:t xml:space="preserve">ility of age 16 and above </w:t>
            </w:r>
            <w:r w:rsidR="001F076B">
              <w:rPr>
                <w:iCs w:val="0"/>
              </w:rPr>
              <w:t>to derive</w:t>
            </w:r>
            <w:r w:rsidR="00EE378D">
              <w:rPr>
                <w:iCs w:val="0"/>
              </w:rPr>
              <w:t xml:space="preserve"> the eligible population. </w:t>
            </w:r>
            <w:r>
              <w:rPr>
                <w:iCs w:val="0"/>
              </w:rPr>
              <w:t>This was consistent with the 2022 submission.</w:t>
            </w:r>
            <w:r w:rsidR="00EE378D">
              <w:rPr>
                <w:iCs w:val="0"/>
              </w:rPr>
              <w:t xml:space="preserve"> </w:t>
            </w:r>
          </w:p>
        </w:tc>
      </w:tr>
      <w:tr w:rsidR="004D59D4" w14:paraId="3220F6D9" w14:textId="77777777">
        <w:trPr>
          <w:cantSplit/>
        </w:trPr>
        <w:tc>
          <w:tcPr>
            <w:tcW w:w="2124" w:type="dxa"/>
            <w:tcBorders>
              <w:top w:val="single" w:sz="4" w:space="0" w:color="000000"/>
              <w:left w:val="single" w:sz="4" w:space="0" w:color="000000"/>
              <w:bottom w:val="single" w:sz="4" w:space="0" w:color="000000"/>
              <w:right w:val="single" w:sz="4" w:space="0" w:color="000000"/>
            </w:tcBorders>
          </w:tcPr>
          <w:p w14:paraId="64A7798F" w14:textId="77777777" w:rsidR="004D59D4" w:rsidRDefault="00023FAF" w:rsidP="00025AAC">
            <w:pPr>
              <w:pStyle w:val="TableText1"/>
              <w:keepLines w:val="0"/>
            </w:pPr>
            <w:r>
              <w:t>PKU % of HPA</w:t>
            </w:r>
          </w:p>
        </w:tc>
        <w:tc>
          <w:tcPr>
            <w:tcW w:w="2127" w:type="dxa"/>
            <w:tcBorders>
              <w:top w:val="single" w:sz="4" w:space="0" w:color="000000"/>
              <w:left w:val="single" w:sz="4" w:space="0" w:color="000000"/>
              <w:bottom w:val="single" w:sz="4" w:space="0" w:color="000000"/>
              <w:right w:val="single" w:sz="4" w:space="0" w:color="000000"/>
            </w:tcBorders>
          </w:tcPr>
          <w:p w14:paraId="07EF3EBE" w14:textId="77777777" w:rsidR="004D59D4" w:rsidRDefault="00023FAF" w:rsidP="00025AAC">
            <w:pPr>
              <w:pStyle w:val="TableText1"/>
              <w:keepLines w:val="0"/>
            </w:pPr>
            <w:r>
              <w:t>98.8%</w:t>
            </w:r>
          </w:p>
        </w:tc>
        <w:tc>
          <w:tcPr>
            <w:tcW w:w="4775" w:type="dxa"/>
            <w:tcBorders>
              <w:top w:val="single" w:sz="4" w:space="0" w:color="000000"/>
              <w:left w:val="single" w:sz="4" w:space="0" w:color="000000"/>
              <w:bottom w:val="single" w:sz="4" w:space="0" w:color="000000"/>
              <w:right w:val="single" w:sz="4" w:space="0" w:color="000000"/>
            </w:tcBorders>
          </w:tcPr>
          <w:p w14:paraId="0046AB29" w14:textId="77777777" w:rsidR="004D59D4" w:rsidRDefault="00023FAF" w:rsidP="00025AAC">
            <w:pPr>
              <w:pStyle w:val="TableText1"/>
              <w:keepLines w:val="0"/>
              <w:rPr>
                <w:iCs w:val="0"/>
              </w:rPr>
            </w:pPr>
            <w:r>
              <w:rPr>
                <w:iCs w:val="0"/>
              </w:rPr>
              <w:t>Abadie 2001. This was consistent with the 2022 submission.</w:t>
            </w:r>
          </w:p>
        </w:tc>
      </w:tr>
      <w:tr w:rsidR="004D59D4" w14:paraId="5A8F03C1" w14:textId="77777777">
        <w:trPr>
          <w:cantSplit/>
        </w:trPr>
        <w:tc>
          <w:tcPr>
            <w:tcW w:w="2124" w:type="dxa"/>
            <w:tcBorders>
              <w:top w:val="single" w:sz="4" w:space="0" w:color="000000"/>
              <w:left w:val="single" w:sz="4" w:space="0" w:color="000000"/>
              <w:bottom w:val="single" w:sz="4" w:space="0" w:color="000000"/>
              <w:right w:val="single" w:sz="4" w:space="0" w:color="000000"/>
            </w:tcBorders>
          </w:tcPr>
          <w:p w14:paraId="35AAAA17" w14:textId="77777777" w:rsidR="004D59D4" w:rsidRDefault="00023FAF" w:rsidP="00025AAC">
            <w:pPr>
              <w:pStyle w:val="TableText1"/>
              <w:keepLines w:val="0"/>
            </w:pPr>
            <w:r>
              <w:t>Patients (%) under routine follow-up for PKU</w:t>
            </w:r>
          </w:p>
        </w:tc>
        <w:tc>
          <w:tcPr>
            <w:tcW w:w="2127" w:type="dxa"/>
            <w:tcBorders>
              <w:top w:val="single" w:sz="4" w:space="0" w:color="000000"/>
              <w:left w:val="single" w:sz="4" w:space="0" w:color="000000"/>
              <w:bottom w:val="single" w:sz="4" w:space="0" w:color="000000"/>
              <w:right w:val="single" w:sz="4" w:space="0" w:color="000000"/>
            </w:tcBorders>
          </w:tcPr>
          <w:p w14:paraId="6F4C129D" w14:textId="77777777" w:rsidR="004D59D4" w:rsidRDefault="00023FAF" w:rsidP="00025AAC">
            <w:pPr>
              <w:pStyle w:val="TableText1"/>
              <w:keepLines w:val="0"/>
            </w:pPr>
            <w:r>
              <w:t>70.0%</w:t>
            </w:r>
          </w:p>
        </w:tc>
        <w:tc>
          <w:tcPr>
            <w:tcW w:w="4775" w:type="dxa"/>
            <w:tcBorders>
              <w:top w:val="single" w:sz="4" w:space="0" w:color="000000"/>
              <w:left w:val="single" w:sz="4" w:space="0" w:color="000000"/>
              <w:bottom w:val="single" w:sz="4" w:space="0" w:color="000000"/>
              <w:right w:val="single" w:sz="4" w:space="0" w:color="000000"/>
            </w:tcBorders>
          </w:tcPr>
          <w:p w14:paraId="5472FE34" w14:textId="77777777" w:rsidR="004D59D4" w:rsidRDefault="00023FAF" w:rsidP="00025AAC">
            <w:pPr>
              <w:pStyle w:val="TableText1"/>
              <w:keepLines w:val="0"/>
              <w:rPr>
                <w:iCs w:val="0"/>
              </w:rPr>
            </w:pPr>
            <w:r>
              <w:rPr>
                <w:iCs w:val="0"/>
              </w:rPr>
              <w:t xml:space="preserve">Sponsor assumption. This was consistent with the 2022 submission; however as in the 2022 submission there was no justification provided for this assumption and the PBAC previously considered it may be an overestimate (paragraph 7.13, </w:t>
            </w:r>
            <w:proofErr w:type="spellStart"/>
            <w:r>
              <w:rPr>
                <w:iCs w:val="0"/>
              </w:rPr>
              <w:t>pegvaliase</w:t>
            </w:r>
            <w:proofErr w:type="spellEnd"/>
            <w:r>
              <w:rPr>
                <w:iCs w:val="0"/>
              </w:rPr>
              <w:t xml:space="preserve"> PDS, July 2022).</w:t>
            </w:r>
          </w:p>
        </w:tc>
      </w:tr>
      <w:tr w:rsidR="004D59D4" w14:paraId="2391E2E1" w14:textId="77777777">
        <w:trPr>
          <w:cantSplit/>
        </w:trPr>
        <w:tc>
          <w:tcPr>
            <w:tcW w:w="2124" w:type="dxa"/>
            <w:tcBorders>
              <w:top w:val="single" w:sz="4" w:space="0" w:color="000000"/>
              <w:left w:val="single" w:sz="4" w:space="0" w:color="000000"/>
              <w:bottom w:val="single" w:sz="4" w:space="0" w:color="000000"/>
              <w:right w:val="single" w:sz="4" w:space="0" w:color="000000"/>
            </w:tcBorders>
          </w:tcPr>
          <w:p w14:paraId="3B8FEE69" w14:textId="77777777" w:rsidR="004D59D4" w:rsidRDefault="00023FAF" w:rsidP="00025AAC">
            <w:pPr>
              <w:pStyle w:val="TableText1"/>
              <w:keepLines w:val="0"/>
            </w:pPr>
            <w:r>
              <w:t xml:space="preserve">Patients (%) with blood </w:t>
            </w:r>
            <w:proofErr w:type="spellStart"/>
            <w:r>
              <w:t>Phe</w:t>
            </w:r>
            <w:proofErr w:type="spellEnd"/>
            <w:r>
              <w:t xml:space="preserve"> levels &gt; 600 µmol/L</w:t>
            </w:r>
          </w:p>
        </w:tc>
        <w:tc>
          <w:tcPr>
            <w:tcW w:w="2127" w:type="dxa"/>
            <w:tcBorders>
              <w:top w:val="single" w:sz="4" w:space="0" w:color="000000"/>
              <w:left w:val="single" w:sz="4" w:space="0" w:color="000000"/>
              <w:bottom w:val="single" w:sz="4" w:space="0" w:color="000000"/>
              <w:right w:val="single" w:sz="4" w:space="0" w:color="000000"/>
            </w:tcBorders>
          </w:tcPr>
          <w:p w14:paraId="1BBA102F" w14:textId="77777777" w:rsidR="004D59D4" w:rsidRDefault="00023FAF" w:rsidP="00025AAC">
            <w:pPr>
              <w:pStyle w:val="TableText1"/>
              <w:keepLines w:val="0"/>
            </w:pPr>
            <w:r>
              <w:t>49.92%</w:t>
            </w:r>
          </w:p>
        </w:tc>
        <w:tc>
          <w:tcPr>
            <w:tcW w:w="4775" w:type="dxa"/>
            <w:tcBorders>
              <w:top w:val="single" w:sz="4" w:space="0" w:color="000000"/>
              <w:left w:val="single" w:sz="4" w:space="0" w:color="000000"/>
              <w:bottom w:val="single" w:sz="4" w:space="0" w:color="000000"/>
              <w:right w:val="single" w:sz="4" w:space="0" w:color="000000"/>
            </w:tcBorders>
          </w:tcPr>
          <w:p w14:paraId="4C0B8CFA" w14:textId="77777777" w:rsidR="004D59D4" w:rsidRDefault="00023FAF" w:rsidP="00025AAC">
            <w:pPr>
              <w:pStyle w:val="TableText1"/>
              <w:rPr>
                <w:iCs w:val="0"/>
              </w:rPr>
            </w:pPr>
            <w:r>
              <w:rPr>
                <w:iCs w:val="0"/>
              </w:rPr>
              <w:t xml:space="preserve">Based on 21 studies included in the resubmission’s literature search, where the average proportion of patients with blood </w:t>
            </w:r>
            <w:proofErr w:type="spellStart"/>
            <w:r>
              <w:rPr>
                <w:iCs w:val="0"/>
              </w:rPr>
              <w:t>Phe</w:t>
            </w:r>
            <w:proofErr w:type="spellEnd"/>
            <w:r>
              <w:rPr>
                <w:iCs w:val="0"/>
              </w:rPr>
              <w:t xml:space="preserve"> levels &gt; 600 µmol/L was 49.92% (range: 28% - 100%; median: 75%). </w:t>
            </w:r>
          </w:p>
          <w:p w14:paraId="722C2B9C" w14:textId="77777777" w:rsidR="004D59D4" w:rsidRDefault="00023FAF" w:rsidP="00025AAC">
            <w:pPr>
              <w:pStyle w:val="TableText1"/>
              <w:rPr>
                <w:iCs w:val="0"/>
              </w:rPr>
            </w:pPr>
            <w:r>
              <w:rPr>
                <w:iCs w:val="0"/>
              </w:rPr>
              <w:t xml:space="preserve">This was consistent with the 2022 submission. </w:t>
            </w:r>
          </w:p>
        </w:tc>
      </w:tr>
      <w:tr w:rsidR="004D59D4" w14:paraId="5B173296" w14:textId="77777777">
        <w:trPr>
          <w:cantSplit/>
        </w:trPr>
        <w:tc>
          <w:tcPr>
            <w:tcW w:w="2124" w:type="dxa"/>
            <w:tcBorders>
              <w:top w:val="single" w:sz="4" w:space="0" w:color="000000"/>
              <w:left w:val="single" w:sz="4" w:space="0" w:color="000000"/>
              <w:bottom w:val="single" w:sz="4" w:space="0" w:color="000000"/>
              <w:right w:val="single" w:sz="4" w:space="0" w:color="000000"/>
            </w:tcBorders>
          </w:tcPr>
          <w:p w14:paraId="2EB99819" w14:textId="77777777" w:rsidR="004D59D4" w:rsidRDefault="00023FAF" w:rsidP="00025AAC">
            <w:pPr>
              <w:pStyle w:val="TableText1"/>
              <w:keepLines w:val="0"/>
            </w:pPr>
            <w:r>
              <w:t xml:space="preserve">Patients (%) achieving response to </w:t>
            </w:r>
            <w:proofErr w:type="spellStart"/>
            <w:r>
              <w:t>sapropterin</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210CC010" w14:textId="77777777" w:rsidR="004D59D4" w:rsidRDefault="00023FAF" w:rsidP="00025AAC">
            <w:pPr>
              <w:pStyle w:val="TableText1"/>
              <w:keepLines w:val="0"/>
            </w:pPr>
            <w:r>
              <w:t>76.52% (1 minus 23.48% non-responders)</w:t>
            </w:r>
          </w:p>
        </w:tc>
        <w:tc>
          <w:tcPr>
            <w:tcW w:w="4775" w:type="dxa"/>
            <w:tcBorders>
              <w:top w:val="single" w:sz="4" w:space="0" w:color="000000"/>
              <w:left w:val="single" w:sz="4" w:space="0" w:color="000000"/>
              <w:bottom w:val="single" w:sz="4" w:space="0" w:color="000000"/>
              <w:right w:val="single" w:sz="4" w:space="0" w:color="000000"/>
            </w:tcBorders>
          </w:tcPr>
          <w:p w14:paraId="0130FC82" w14:textId="77777777" w:rsidR="004D59D4" w:rsidRDefault="00023FAF" w:rsidP="00025AAC">
            <w:pPr>
              <w:pStyle w:val="TableText1"/>
              <w:rPr>
                <w:iCs w:val="0"/>
              </w:rPr>
            </w:pPr>
            <w:r>
              <w:rPr>
                <w:iCs w:val="0"/>
              </w:rPr>
              <w:t xml:space="preserve">Additional analyses of PKUDOS based on response rate at 28 days. </w:t>
            </w:r>
          </w:p>
          <w:p w14:paraId="4F53C0C5" w14:textId="77777777" w:rsidR="004D59D4" w:rsidRDefault="00023FAF" w:rsidP="00025AAC">
            <w:pPr>
              <w:pStyle w:val="TableText1"/>
              <w:rPr>
                <w:iCs w:val="0"/>
              </w:rPr>
            </w:pPr>
            <w:r>
              <w:rPr>
                <w:iCs w:val="0"/>
              </w:rPr>
              <w:t>This was consistent with the 2022 submission.</w:t>
            </w:r>
          </w:p>
        </w:tc>
      </w:tr>
      <w:tr w:rsidR="004D59D4" w14:paraId="5DD83B3A" w14:textId="77777777">
        <w:trPr>
          <w:cantSplit/>
        </w:trPr>
        <w:tc>
          <w:tcPr>
            <w:tcW w:w="2124" w:type="dxa"/>
            <w:tcBorders>
              <w:top w:val="single" w:sz="4" w:space="0" w:color="000000"/>
              <w:left w:val="single" w:sz="4" w:space="0" w:color="000000"/>
              <w:bottom w:val="single" w:sz="4" w:space="0" w:color="000000"/>
              <w:right w:val="single" w:sz="4" w:space="0" w:color="000000"/>
            </w:tcBorders>
          </w:tcPr>
          <w:p w14:paraId="23FC94D0" w14:textId="77777777" w:rsidR="004D59D4" w:rsidRDefault="00023FAF" w:rsidP="00025AAC">
            <w:pPr>
              <w:pStyle w:val="TableText1"/>
              <w:keepLines w:val="0"/>
            </w:pPr>
            <w:r>
              <w:t>Uptake rates</w:t>
            </w:r>
          </w:p>
        </w:tc>
        <w:tc>
          <w:tcPr>
            <w:tcW w:w="2127" w:type="dxa"/>
            <w:tcBorders>
              <w:top w:val="single" w:sz="4" w:space="0" w:color="000000"/>
              <w:left w:val="single" w:sz="4" w:space="0" w:color="000000"/>
              <w:bottom w:val="single" w:sz="4" w:space="0" w:color="000000"/>
              <w:right w:val="single" w:sz="4" w:space="0" w:color="000000"/>
            </w:tcBorders>
          </w:tcPr>
          <w:p w14:paraId="2BE5ADC1" w14:textId="1F0DCCDE" w:rsidR="004D59D4" w:rsidRDefault="00023FAF" w:rsidP="00025AAC">
            <w:pPr>
              <w:pStyle w:val="TableText1"/>
              <w:keepLines w:val="0"/>
            </w:pPr>
            <w:r>
              <w:t>2026:</w:t>
            </w:r>
            <w:r w:rsidR="00025AAC">
              <w:t xml:space="preserve">  </w:t>
            </w:r>
            <w:r>
              <w:t xml:space="preserve"> </w:t>
            </w:r>
            <w:r w:rsidR="002615A2" w:rsidRPr="002615A2">
              <w:rPr>
                <w:sz w:val="2"/>
                <w:highlight w:val="black"/>
              </w:rPr>
              <w:t>redacted content</w:t>
            </w:r>
            <w:r>
              <w:t>%</w:t>
            </w:r>
          </w:p>
          <w:p w14:paraId="254795D0" w14:textId="13D7B7DC" w:rsidR="004D59D4" w:rsidRDefault="00023FAF" w:rsidP="00025AAC">
            <w:pPr>
              <w:pStyle w:val="TableText1"/>
              <w:keepLines w:val="0"/>
            </w:pPr>
            <w:r>
              <w:t>2027:</w:t>
            </w:r>
            <w:r w:rsidR="00025AAC">
              <w:t xml:space="preserve">  </w:t>
            </w:r>
            <w:r>
              <w:t xml:space="preserve"> </w:t>
            </w:r>
            <w:r w:rsidR="002615A2" w:rsidRPr="002615A2">
              <w:rPr>
                <w:sz w:val="2"/>
                <w:highlight w:val="black"/>
              </w:rPr>
              <w:t>redacted content</w:t>
            </w:r>
            <w:r>
              <w:t>%</w:t>
            </w:r>
          </w:p>
          <w:p w14:paraId="464B1817" w14:textId="22695EE6" w:rsidR="004D59D4" w:rsidRDefault="00023FAF" w:rsidP="00025AAC">
            <w:pPr>
              <w:pStyle w:val="TableText1"/>
              <w:keepLines w:val="0"/>
            </w:pPr>
            <w:r>
              <w:t>2028:</w:t>
            </w:r>
            <w:r w:rsidR="00025AAC">
              <w:t xml:space="preserve">  </w:t>
            </w:r>
            <w:r>
              <w:t xml:space="preserve"> </w:t>
            </w:r>
            <w:r w:rsidR="002615A2" w:rsidRPr="002615A2">
              <w:rPr>
                <w:sz w:val="2"/>
                <w:highlight w:val="black"/>
              </w:rPr>
              <w:t>redacted content</w:t>
            </w:r>
            <w:r>
              <w:t>%</w:t>
            </w:r>
          </w:p>
          <w:p w14:paraId="49E807CA" w14:textId="71707B00" w:rsidR="004D59D4" w:rsidRDefault="00023FAF" w:rsidP="00025AAC">
            <w:pPr>
              <w:pStyle w:val="TableText1"/>
              <w:keepLines w:val="0"/>
            </w:pPr>
            <w:r>
              <w:t>2029:</w:t>
            </w:r>
            <w:r w:rsidR="00025AAC">
              <w:t xml:space="preserve">  </w:t>
            </w:r>
            <w:r>
              <w:t xml:space="preserve"> </w:t>
            </w:r>
            <w:r w:rsidR="002615A2" w:rsidRPr="002615A2">
              <w:rPr>
                <w:sz w:val="2"/>
                <w:highlight w:val="black"/>
              </w:rPr>
              <w:t>redacted content</w:t>
            </w:r>
            <w:r>
              <w:t>%</w:t>
            </w:r>
          </w:p>
          <w:p w14:paraId="657FBDA0" w14:textId="3BF34666" w:rsidR="004D59D4" w:rsidRDefault="00023FAF" w:rsidP="00025AAC">
            <w:pPr>
              <w:pStyle w:val="TableText1"/>
              <w:keepLines w:val="0"/>
            </w:pPr>
            <w:r>
              <w:t>2030:</w:t>
            </w:r>
            <w:r w:rsidR="00025AAC">
              <w:t xml:space="preserve">  </w:t>
            </w:r>
            <w:r>
              <w:t xml:space="preserve"> </w:t>
            </w:r>
            <w:r w:rsidR="002615A2" w:rsidRPr="002615A2">
              <w:rPr>
                <w:sz w:val="2"/>
                <w:highlight w:val="black"/>
              </w:rPr>
              <w:t>redacted content</w:t>
            </w:r>
            <w:r>
              <w:t>%</w:t>
            </w:r>
          </w:p>
          <w:p w14:paraId="709A9CE1" w14:textId="0893A4D4" w:rsidR="004D59D4" w:rsidRDefault="00023FAF" w:rsidP="00025AAC">
            <w:pPr>
              <w:pStyle w:val="TableText1"/>
              <w:keepLines w:val="0"/>
            </w:pPr>
            <w:r>
              <w:t>2031:</w:t>
            </w:r>
            <w:r w:rsidR="00025AAC">
              <w:t xml:space="preserve">  </w:t>
            </w:r>
            <w:r>
              <w:t xml:space="preserve"> </w:t>
            </w:r>
            <w:r w:rsidR="002615A2" w:rsidRPr="002615A2">
              <w:rPr>
                <w:sz w:val="2"/>
                <w:highlight w:val="black"/>
              </w:rPr>
              <w:t>redacted content</w:t>
            </w:r>
            <w:r>
              <w:t>%</w:t>
            </w:r>
          </w:p>
        </w:tc>
        <w:tc>
          <w:tcPr>
            <w:tcW w:w="4775" w:type="dxa"/>
            <w:tcBorders>
              <w:top w:val="single" w:sz="4" w:space="0" w:color="000000"/>
              <w:left w:val="single" w:sz="4" w:space="0" w:color="000000"/>
              <w:bottom w:val="single" w:sz="4" w:space="0" w:color="000000"/>
              <w:right w:val="single" w:sz="4" w:space="0" w:color="000000"/>
            </w:tcBorders>
          </w:tcPr>
          <w:p w14:paraId="76816A4E" w14:textId="05863F94" w:rsidR="004D59D4" w:rsidRDefault="00023FAF" w:rsidP="00025AAC">
            <w:pPr>
              <w:pStyle w:val="TableText1"/>
              <w:rPr>
                <w:iCs w:val="0"/>
              </w:rPr>
            </w:pPr>
            <w:r>
              <w:rPr>
                <w:iCs w:val="0"/>
              </w:rPr>
              <w:t xml:space="preserve">Assumption. This was consistent with the 2022 submission, however the PBAC previously considered </w:t>
            </w:r>
            <w:proofErr w:type="gramStart"/>
            <w:r>
              <w:rPr>
                <w:iCs w:val="0"/>
              </w:rPr>
              <w:t>these uptake</w:t>
            </w:r>
            <w:proofErr w:type="gramEnd"/>
            <w:r>
              <w:rPr>
                <w:iCs w:val="0"/>
              </w:rPr>
              <w:t xml:space="preserve"> rates were uncertain and may have been overestimated and questioned whether uptake rates would continue to increase over time (paragraph 7.13, </w:t>
            </w:r>
            <w:proofErr w:type="spellStart"/>
            <w:r>
              <w:rPr>
                <w:iCs w:val="0"/>
              </w:rPr>
              <w:t>pegvaliase</w:t>
            </w:r>
            <w:proofErr w:type="spellEnd"/>
            <w:r>
              <w:rPr>
                <w:iCs w:val="0"/>
              </w:rPr>
              <w:t xml:space="preserve"> PS</w:t>
            </w:r>
            <w:r w:rsidR="00D469F8">
              <w:rPr>
                <w:iCs w:val="0"/>
              </w:rPr>
              <w:t>D</w:t>
            </w:r>
            <w:r>
              <w:rPr>
                <w:iCs w:val="0"/>
              </w:rPr>
              <w:t>, July 2022).</w:t>
            </w:r>
          </w:p>
        </w:tc>
      </w:tr>
      <w:tr w:rsidR="004D59D4" w14:paraId="0DFAAE87" w14:textId="77777777">
        <w:trPr>
          <w:cantSplit/>
        </w:trPr>
        <w:tc>
          <w:tcPr>
            <w:tcW w:w="2124" w:type="dxa"/>
            <w:tcBorders>
              <w:top w:val="single" w:sz="4" w:space="0" w:color="000000"/>
              <w:left w:val="single" w:sz="4" w:space="0" w:color="000000"/>
              <w:bottom w:val="single" w:sz="4" w:space="0" w:color="000000"/>
              <w:right w:val="single" w:sz="4" w:space="0" w:color="000000"/>
            </w:tcBorders>
          </w:tcPr>
          <w:p w14:paraId="4B651AE1" w14:textId="77777777" w:rsidR="004D59D4" w:rsidRDefault="00023FAF" w:rsidP="00025AAC">
            <w:pPr>
              <w:pStyle w:val="TableText1"/>
              <w:keepLines w:val="0"/>
            </w:pPr>
            <w:r>
              <w:t xml:space="preserve">Duration of treatment and persistence </w:t>
            </w:r>
          </w:p>
        </w:tc>
        <w:tc>
          <w:tcPr>
            <w:tcW w:w="2127" w:type="dxa"/>
            <w:tcBorders>
              <w:top w:val="single" w:sz="4" w:space="0" w:color="000000"/>
              <w:left w:val="single" w:sz="4" w:space="0" w:color="000000"/>
              <w:bottom w:val="single" w:sz="4" w:space="0" w:color="000000"/>
              <w:right w:val="single" w:sz="4" w:space="0" w:color="000000"/>
            </w:tcBorders>
          </w:tcPr>
          <w:p w14:paraId="00C4F86B" w14:textId="77777777" w:rsidR="004D59D4" w:rsidRDefault="00023FAF" w:rsidP="00025AAC">
            <w:pPr>
              <w:pStyle w:val="TableText1"/>
              <w:keepLines w:val="0"/>
            </w:pPr>
            <w:r>
              <w:t>Patients (%) with full year of treatment</w:t>
            </w:r>
          </w:p>
          <w:p w14:paraId="1F7AC9B6" w14:textId="1C0C1756" w:rsidR="004D59D4" w:rsidRDefault="00023FAF" w:rsidP="00025AAC">
            <w:pPr>
              <w:pStyle w:val="TableText1"/>
              <w:keepLines w:val="0"/>
            </w:pPr>
            <w:r>
              <w:t>Year 1:</w:t>
            </w:r>
            <w:r w:rsidR="00025AAC">
              <w:t xml:space="preserve">  </w:t>
            </w:r>
            <w:r>
              <w:t>84.99%</w:t>
            </w:r>
          </w:p>
          <w:p w14:paraId="4498FE5F" w14:textId="5B8FCD3F" w:rsidR="004D59D4" w:rsidRDefault="00023FAF" w:rsidP="00025AAC">
            <w:pPr>
              <w:pStyle w:val="TableText1"/>
              <w:keepLines w:val="0"/>
            </w:pPr>
            <w:r>
              <w:t>Year 2:</w:t>
            </w:r>
            <w:r w:rsidR="00025AAC">
              <w:t xml:space="preserve">  </w:t>
            </w:r>
            <w:r>
              <w:t>71.01%</w:t>
            </w:r>
          </w:p>
          <w:p w14:paraId="3C634AC8" w14:textId="450B0AE3" w:rsidR="004D59D4" w:rsidRDefault="00023FAF" w:rsidP="00025AAC">
            <w:pPr>
              <w:pStyle w:val="TableText1"/>
              <w:keepLines w:val="0"/>
            </w:pPr>
            <w:r>
              <w:t>Year 3:</w:t>
            </w:r>
            <w:r w:rsidR="00025AAC">
              <w:t xml:space="preserve">  </w:t>
            </w:r>
            <w:r>
              <w:t xml:space="preserve">59.26% </w:t>
            </w:r>
          </w:p>
          <w:p w14:paraId="4838A8BB" w14:textId="3FD87C43" w:rsidR="004D59D4" w:rsidRDefault="00023FAF" w:rsidP="00025AAC">
            <w:pPr>
              <w:pStyle w:val="TableText1"/>
              <w:keepLines w:val="0"/>
            </w:pPr>
            <w:r>
              <w:t>Year 4:</w:t>
            </w:r>
            <w:r w:rsidR="00025AAC">
              <w:t xml:space="preserve">  </w:t>
            </w:r>
            <w:r>
              <w:t>57.84%</w:t>
            </w:r>
          </w:p>
          <w:p w14:paraId="40ADF21D" w14:textId="4F9413F6" w:rsidR="004D59D4" w:rsidRDefault="00023FAF" w:rsidP="00025AAC">
            <w:pPr>
              <w:pStyle w:val="TableText1"/>
              <w:keepLines w:val="0"/>
            </w:pPr>
            <w:r>
              <w:t>Year 5:</w:t>
            </w:r>
            <w:r w:rsidR="00025AAC">
              <w:t xml:space="preserve">  </w:t>
            </w:r>
            <w:r>
              <w:t>57.81%</w:t>
            </w:r>
          </w:p>
          <w:p w14:paraId="6C2E16C1" w14:textId="5924D714" w:rsidR="004D59D4" w:rsidRDefault="00023FAF" w:rsidP="00025AAC">
            <w:pPr>
              <w:pStyle w:val="TableText1"/>
              <w:keepLines w:val="0"/>
            </w:pPr>
            <w:r>
              <w:t>Year 6:</w:t>
            </w:r>
            <w:r w:rsidR="00025AAC">
              <w:t xml:space="preserve">  </w:t>
            </w:r>
            <w:r>
              <w:t>57.78%</w:t>
            </w:r>
          </w:p>
        </w:tc>
        <w:tc>
          <w:tcPr>
            <w:tcW w:w="4775" w:type="dxa"/>
            <w:tcBorders>
              <w:top w:val="single" w:sz="4" w:space="0" w:color="000000"/>
              <w:left w:val="single" w:sz="4" w:space="0" w:color="000000"/>
              <w:bottom w:val="single" w:sz="4" w:space="0" w:color="000000"/>
              <w:right w:val="single" w:sz="4" w:space="0" w:color="000000"/>
            </w:tcBorders>
          </w:tcPr>
          <w:p w14:paraId="3F2BCA3F" w14:textId="77777777" w:rsidR="004D59D4" w:rsidRDefault="00023FAF" w:rsidP="00025AAC">
            <w:pPr>
              <w:pStyle w:val="TableText1"/>
              <w:rPr>
                <w:iCs w:val="0"/>
              </w:rPr>
            </w:pPr>
            <w:r>
              <w:rPr>
                <w:iCs w:val="0"/>
              </w:rPr>
              <w:t xml:space="preserve">Proportion of patients that remain on treatment in each year was derived from the economic model. These figures were similar but not identical to those in the 2022 submission. These values appear to visually align with the </w:t>
            </w:r>
            <w:proofErr w:type="spellStart"/>
            <w:r>
              <w:rPr>
                <w:iCs w:val="0"/>
              </w:rPr>
              <w:t>pegvaliase</w:t>
            </w:r>
            <w:proofErr w:type="spellEnd"/>
            <w:r>
              <w:rPr>
                <w:iCs w:val="0"/>
              </w:rPr>
              <w:t xml:space="preserve"> Markov trace in Figure 3.7-1 (p256) of the submission.</w:t>
            </w:r>
          </w:p>
        </w:tc>
      </w:tr>
      <w:tr w:rsidR="004D59D4" w14:paraId="5ED597D9" w14:textId="77777777">
        <w:trPr>
          <w:cantSplit/>
        </w:trPr>
        <w:tc>
          <w:tcPr>
            <w:tcW w:w="2124" w:type="dxa"/>
            <w:tcBorders>
              <w:top w:val="single" w:sz="4" w:space="0" w:color="000000"/>
              <w:left w:val="single" w:sz="4" w:space="0" w:color="000000"/>
              <w:bottom w:val="single" w:sz="4" w:space="0" w:color="000000"/>
              <w:right w:val="single" w:sz="4" w:space="0" w:color="000000"/>
            </w:tcBorders>
          </w:tcPr>
          <w:p w14:paraId="65062A23" w14:textId="77777777" w:rsidR="004D59D4" w:rsidRDefault="00023FAF" w:rsidP="00025AAC">
            <w:pPr>
              <w:pStyle w:val="TableText1"/>
              <w:keepLines w:val="0"/>
            </w:pPr>
            <w:r>
              <w:t xml:space="preserve">Distribution of </w:t>
            </w:r>
            <w:proofErr w:type="spellStart"/>
            <w:r>
              <w:t>pegvaliase</w:t>
            </w:r>
            <w:proofErr w:type="spellEnd"/>
            <w:r>
              <w:t xml:space="preserve"> strengths </w:t>
            </w:r>
          </w:p>
        </w:tc>
        <w:tc>
          <w:tcPr>
            <w:tcW w:w="2127" w:type="dxa"/>
            <w:tcBorders>
              <w:top w:val="single" w:sz="4" w:space="0" w:color="000000"/>
              <w:left w:val="single" w:sz="4" w:space="0" w:color="000000"/>
              <w:bottom w:val="single" w:sz="4" w:space="0" w:color="000000"/>
              <w:right w:val="single" w:sz="4" w:space="0" w:color="000000"/>
            </w:tcBorders>
          </w:tcPr>
          <w:p w14:paraId="388B6A4A" w14:textId="77777777" w:rsidR="004D59D4" w:rsidRDefault="00023FAF" w:rsidP="00025AAC">
            <w:pPr>
              <w:pStyle w:val="TableText1"/>
              <w:keepLines w:val="0"/>
            </w:pPr>
            <w:r>
              <w:t>Induction and titration: Based on TGA PI</w:t>
            </w:r>
          </w:p>
          <w:p w14:paraId="57797019" w14:textId="77777777" w:rsidR="004D59D4" w:rsidRDefault="00023FAF" w:rsidP="00025AAC">
            <w:pPr>
              <w:pStyle w:val="TableText1"/>
              <w:keepLines w:val="0"/>
            </w:pPr>
            <w:r>
              <w:t>Maintenance dosing:</w:t>
            </w:r>
          </w:p>
          <w:p w14:paraId="68CE5967" w14:textId="77777777" w:rsidR="004D59D4" w:rsidRDefault="00023FAF" w:rsidP="00025AAC">
            <w:pPr>
              <w:pStyle w:val="TableText1"/>
              <w:keepLines w:val="0"/>
            </w:pPr>
            <w:r>
              <w:t>2.5 mg: 11.72%</w:t>
            </w:r>
          </w:p>
          <w:p w14:paraId="4F48BAF4" w14:textId="77777777" w:rsidR="004D59D4" w:rsidRDefault="00023FAF" w:rsidP="00025AAC">
            <w:pPr>
              <w:pStyle w:val="TableText1"/>
              <w:keepLines w:val="0"/>
            </w:pPr>
            <w:r>
              <w:t>10 mg: 96.89%</w:t>
            </w:r>
          </w:p>
          <w:p w14:paraId="34390A1E" w14:textId="77777777" w:rsidR="004D59D4" w:rsidRDefault="00023FAF" w:rsidP="00025AAC">
            <w:pPr>
              <w:pStyle w:val="TableText1"/>
              <w:keepLines w:val="0"/>
            </w:pPr>
            <w:r>
              <w:t>20 mg: 45.88%</w:t>
            </w:r>
          </w:p>
          <w:p w14:paraId="0B45F4D2" w14:textId="77777777" w:rsidR="004D59D4" w:rsidRDefault="00023FAF" w:rsidP="00025AAC">
            <w:pPr>
              <w:pStyle w:val="TableText1"/>
              <w:keepLines w:val="0"/>
            </w:pPr>
            <w:r>
              <w:t>40 mg: 11.87%</w:t>
            </w:r>
          </w:p>
          <w:p w14:paraId="15CDE08D" w14:textId="77777777" w:rsidR="004D59D4" w:rsidRDefault="00023FAF" w:rsidP="00025AAC">
            <w:pPr>
              <w:pStyle w:val="TableText1"/>
              <w:keepLines w:val="0"/>
            </w:pPr>
            <w:r>
              <w:t>60 mg: 0.51%</w:t>
            </w:r>
          </w:p>
        </w:tc>
        <w:tc>
          <w:tcPr>
            <w:tcW w:w="4775" w:type="dxa"/>
            <w:tcBorders>
              <w:top w:val="single" w:sz="4" w:space="0" w:color="000000"/>
              <w:left w:val="single" w:sz="4" w:space="0" w:color="000000"/>
              <w:bottom w:val="single" w:sz="4" w:space="0" w:color="000000"/>
              <w:right w:val="single" w:sz="4" w:space="0" w:color="000000"/>
            </w:tcBorders>
          </w:tcPr>
          <w:p w14:paraId="162C46E9" w14:textId="77777777" w:rsidR="004D59D4" w:rsidRPr="006C4CF2" w:rsidRDefault="00023FAF" w:rsidP="00025AAC">
            <w:pPr>
              <w:pStyle w:val="TableText1"/>
              <w:rPr>
                <w:iCs w:val="0"/>
              </w:rPr>
            </w:pPr>
            <w:r>
              <w:rPr>
                <w:iCs w:val="0"/>
              </w:rPr>
              <w:t xml:space="preserve">The distribution of </w:t>
            </w:r>
            <w:proofErr w:type="spellStart"/>
            <w:r>
              <w:rPr>
                <w:iCs w:val="0"/>
              </w:rPr>
              <w:t>pegvaliase</w:t>
            </w:r>
            <w:proofErr w:type="spellEnd"/>
            <w:r>
              <w:rPr>
                <w:iCs w:val="0"/>
              </w:rPr>
              <w:t xml:space="preserve"> doses was based on data from the sponsor’s database associated with the </w:t>
            </w:r>
            <w:proofErr w:type="spellStart"/>
            <w:r>
              <w:rPr>
                <w:iCs w:val="0"/>
              </w:rPr>
              <w:t>pegvaliase</w:t>
            </w:r>
            <w:proofErr w:type="spellEnd"/>
            <w:r>
              <w:rPr>
                <w:iCs w:val="0"/>
              </w:rPr>
              <w:t xml:space="preserve"> REMS program for patients with at least 36 months of follow-up and resulted in a </w:t>
            </w:r>
            <w:r w:rsidRPr="006C4CF2">
              <w:rPr>
                <w:iCs w:val="0"/>
              </w:rPr>
              <w:t>mean dose of 24.5 mg/day.</w:t>
            </w:r>
          </w:p>
          <w:p w14:paraId="3BA90946" w14:textId="35818177" w:rsidR="004D59D4" w:rsidRDefault="00023FAF" w:rsidP="00025AAC">
            <w:pPr>
              <w:pStyle w:val="TableText1"/>
              <w:rPr>
                <w:i/>
              </w:rPr>
            </w:pPr>
            <w:r w:rsidRPr="006C4CF2">
              <w:rPr>
                <w:iCs w:val="0"/>
              </w:rPr>
              <w:t xml:space="preserve">In the July 2022 submission, the distribution of doses was based on data from PRISM that reported a mean dose of 30.5 mg. In July 2022, the PBAC considered this mean dose (30.5 mg) was underestimated due to the use of study data that included a titration period, which was extrapolated over a longer </w:t>
            </w:r>
            <w:proofErr w:type="gramStart"/>
            <w:r w:rsidRPr="006C4CF2">
              <w:rPr>
                <w:iCs w:val="0"/>
              </w:rPr>
              <w:t>period of time</w:t>
            </w:r>
            <w:proofErr w:type="gramEnd"/>
            <w:r w:rsidRPr="006C4CF2">
              <w:rPr>
                <w:iCs w:val="0"/>
              </w:rPr>
              <w:t xml:space="preserve"> (paragraph 7.11, </w:t>
            </w:r>
            <w:proofErr w:type="spellStart"/>
            <w:r w:rsidRPr="006C4CF2">
              <w:rPr>
                <w:iCs w:val="0"/>
              </w:rPr>
              <w:t>pegvaliase</w:t>
            </w:r>
            <w:proofErr w:type="spellEnd"/>
            <w:r w:rsidRPr="006C4CF2">
              <w:rPr>
                <w:iCs w:val="0"/>
              </w:rPr>
              <w:t xml:space="preserve"> PSD, July 2022 PBAC meeting). Refer to paragraph </w:t>
            </w:r>
            <w:r w:rsidRPr="006C4CF2">
              <w:rPr>
                <w:iCs w:val="0"/>
              </w:rPr>
              <w:fldChar w:fldCharType="begin"/>
            </w:r>
            <w:r w:rsidRPr="006C4CF2">
              <w:rPr>
                <w:iCs w:val="0"/>
              </w:rPr>
              <w:instrText xml:space="preserve"> REF _Ref221811925 \r \r \h </w:instrText>
            </w:r>
            <w:r w:rsidR="006C4CF2" w:rsidRPr="006C4CF2">
              <w:rPr>
                <w:iCs w:val="0"/>
              </w:rPr>
              <w:instrText xml:space="preserve"> \* MERGEFORMAT </w:instrText>
            </w:r>
            <w:r w:rsidRPr="006C4CF2">
              <w:rPr>
                <w:iCs w:val="0"/>
              </w:rPr>
            </w:r>
            <w:r w:rsidRPr="006C4CF2">
              <w:rPr>
                <w:iCs w:val="0"/>
              </w:rPr>
              <w:fldChar w:fldCharType="separate"/>
            </w:r>
            <w:r w:rsidR="00675925">
              <w:rPr>
                <w:iCs w:val="0"/>
              </w:rPr>
              <w:t>6.74</w:t>
            </w:r>
            <w:r w:rsidRPr="006C4CF2">
              <w:rPr>
                <w:iCs w:val="0"/>
              </w:rPr>
              <w:fldChar w:fldCharType="end"/>
            </w:r>
            <w:r w:rsidRPr="006C4CF2">
              <w:rPr>
                <w:iCs w:val="0"/>
              </w:rPr>
              <w:t>.</w:t>
            </w:r>
            <w:r>
              <w:rPr>
                <w:i/>
              </w:rPr>
              <w:t xml:space="preserve"> </w:t>
            </w:r>
          </w:p>
        </w:tc>
      </w:tr>
    </w:tbl>
    <w:p w14:paraId="432F3C5E" w14:textId="77777777" w:rsidR="004D59D4" w:rsidRDefault="00023FAF" w:rsidP="00025AAC">
      <w:pPr>
        <w:pStyle w:val="TableFigureFooter"/>
        <w:keepNext/>
        <w:jc w:val="both"/>
      </w:pPr>
      <w:r>
        <w:t xml:space="preserve">Source: Table 4.1-1, pp266-268-313 of the resubmission. </w:t>
      </w:r>
    </w:p>
    <w:p w14:paraId="062BC881" w14:textId="77777777" w:rsidR="004D59D4" w:rsidRDefault="00023FAF" w:rsidP="00025AAC">
      <w:pPr>
        <w:pStyle w:val="TableFigureFooter"/>
        <w:keepNext/>
        <w:jc w:val="both"/>
        <w:rPr>
          <w:rStyle w:val="Strong"/>
          <w:rFonts w:ascii="Arial Narrow" w:hAnsi="Arial Narrow"/>
          <w:u w:val="none"/>
          <w:lang w:val="en-AU"/>
        </w:rPr>
      </w:pPr>
      <w:r>
        <w:t>ABS = Australian Bureau of Statistics; AEMP = Approved Ex-Manufacturer Price</w:t>
      </w:r>
      <w:r>
        <w:rPr>
          <w:rStyle w:val="Strong"/>
          <w:u w:val="none"/>
          <w:lang w:val="en-AU"/>
        </w:rPr>
        <w:t>; DPMQ = dispensed price for the maximum quantity;</w:t>
      </w:r>
      <w:r>
        <w:t xml:space="preserve"> HPA = hyperphenylalaninemia; </w:t>
      </w:r>
      <w:proofErr w:type="spellStart"/>
      <w:r>
        <w:t>Phe</w:t>
      </w:r>
      <w:proofErr w:type="spellEnd"/>
      <w:r>
        <w:t xml:space="preserve"> = phenylalanine; PI = product information; PKU = phenylketonuria; PSD = public summary document; REMS = Risk Evaluation and Mitigation Strategy</w:t>
      </w:r>
    </w:p>
    <w:p w14:paraId="58B7B4FC" w14:textId="0CD5F8FF" w:rsidR="004D59D4" w:rsidRDefault="00023FAF" w:rsidP="00025AAC">
      <w:pPr>
        <w:pStyle w:val="3-BodyText"/>
        <w:numPr>
          <w:ilvl w:val="1"/>
          <w:numId w:val="1"/>
        </w:numPr>
        <w:spacing w:before="160" w:after="120"/>
      </w:pPr>
      <w:r w:rsidRPr="00C054AE">
        <w:fldChar w:fldCharType="begin"/>
      </w:r>
      <w:r w:rsidRPr="00C054AE">
        <w:instrText xml:space="preserve"> REF _Ref103058779 \h </w:instrText>
      </w:r>
      <w:r w:rsidR="00C054AE" w:rsidRPr="00C054AE">
        <w:instrText xml:space="preserve"> \* MERGEFORMAT </w:instrText>
      </w:r>
      <w:r w:rsidRPr="00C054AE">
        <w:fldChar w:fldCharType="separate"/>
      </w:r>
      <w:r w:rsidR="00E24060" w:rsidRPr="00C054AE">
        <w:t>Table 17</w:t>
      </w:r>
      <w:r w:rsidRPr="00C054AE">
        <w:fldChar w:fldCharType="end"/>
      </w:r>
      <w:r>
        <w:t xml:space="preserve"> presents the estimated use and financial implications for </w:t>
      </w:r>
      <w:proofErr w:type="spellStart"/>
      <w:r>
        <w:t>pegvaliase</w:t>
      </w:r>
      <w:proofErr w:type="spellEnd"/>
      <w:r>
        <w:t xml:space="preserve">. </w:t>
      </w:r>
    </w:p>
    <w:p w14:paraId="1AA70343" w14:textId="47321B09" w:rsidR="004D59D4" w:rsidRDefault="00023FAF" w:rsidP="00025AAC">
      <w:pPr>
        <w:pStyle w:val="TableFigureHeading"/>
        <w:spacing w:before="160"/>
        <w:rPr>
          <w:rStyle w:val="CommentReference"/>
          <w:b/>
          <w:bCs w:val="0"/>
          <w:szCs w:val="24"/>
        </w:rPr>
      </w:pPr>
      <w:bookmarkStart w:id="94" w:name="_Ref103058779"/>
      <w:r>
        <w:rPr>
          <w:rStyle w:val="CommentReference"/>
          <w:b/>
          <w:bCs w:val="0"/>
          <w:szCs w:val="24"/>
        </w:rPr>
        <w:lastRenderedPageBreak/>
        <w:t xml:space="preserve">Table </w:t>
      </w:r>
      <w:r>
        <w:rPr>
          <w:rStyle w:val="CommentReference"/>
          <w:b/>
          <w:bCs w:val="0"/>
          <w:szCs w:val="24"/>
        </w:rPr>
        <w:fldChar w:fldCharType="begin"/>
      </w:r>
      <w:r>
        <w:rPr>
          <w:rStyle w:val="CommentReference"/>
          <w:b/>
          <w:bCs w:val="0"/>
          <w:szCs w:val="24"/>
        </w:rPr>
        <w:instrText xml:space="preserve"> SEQ Table \* ARABIC </w:instrText>
      </w:r>
      <w:r>
        <w:rPr>
          <w:rStyle w:val="CommentReference"/>
          <w:b/>
          <w:bCs w:val="0"/>
          <w:szCs w:val="24"/>
        </w:rPr>
        <w:fldChar w:fldCharType="separate"/>
      </w:r>
      <w:r w:rsidR="00E24060">
        <w:rPr>
          <w:rStyle w:val="CommentReference"/>
          <w:b/>
          <w:bCs w:val="0"/>
          <w:noProof/>
          <w:szCs w:val="24"/>
        </w:rPr>
        <w:t>17</w:t>
      </w:r>
      <w:r>
        <w:rPr>
          <w:rStyle w:val="CommentReference"/>
          <w:b/>
          <w:bCs w:val="0"/>
          <w:szCs w:val="24"/>
        </w:rPr>
        <w:fldChar w:fldCharType="end"/>
      </w:r>
      <w:bookmarkEnd w:id="94"/>
      <w:r>
        <w:rPr>
          <w:rStyle w:val="CommentReference"/>
          <w:b/>
          <w:bCs w:val="0"/>
          <w:szCs w:val="24"/>
        </w:rPr>
        <w:t xml:space="preserve">: Estimated use and financial implications (total </w:t>
      </w:r>
      <w:proofErr w:type="spellStart"/>
      <w:r>
        <w:rPr>
          <w:rStyle w:val="CommentReference"/>
          <w:b/>
          <w:bCs w:val="0"/>
          <w:szCs w:val="24"/>
        </w:rPr>
        <w:t>pegvaliase</w:t>
      </w:r>
      <w:proofErr w:type="spellEnd"/>
      <w:r>
        <w:rPr>
          <w:rStyle w:val="CommentReference"/>
          <w:b/>
          <w:bCs w:val="0"/>
          <w:szCs w:val="24"/>
        </w:rPr>
        <w:t xml:space="preserve"> DPMQ minus copayments)</w:t>
      </w:r>
    </w:p>
    <w:tbl>
      <w:tblPr>
        <w:tblW w:w="5000" w:type="pct"/>
        <w:tblLayout w:type="fixed"/>
        <w:tblCellMar>
          <w:left w:w="28" w:type="dxa"/>
          <w:right w:w="28" w:type="dxa"/>
        </w:tblCellMar>
        <w:tblLook w:val="04A0" w:firstRow="1" w:lastRow="0" w:firstColumn="1" w:lastColumn="0" w:noHBand="0" w:noVBand="1"/>
        <w:tblCaption w:val="Table 17: Estimated use and financial implications (total pegvaliase DPMQ minus copayments)"/>
      </w:tblPr>
      <w:tblGrid>
        <w:gridCol w:w="2120"/>
        <w:gridCol w:w="1147"/>
        <w:gridCol w:w="1150"/>
        <w:gridCol w:w="1149"/>
        <w:gridCol w:w="1149"/>
        <w:gridCol w:w="1150"/>
        <w:gridCol w:w="1151"/>
      </w:tblGrid>
      <w:tr w:rsidR="004D59D4" w14:paraId="73BB9CA1" w14:textId="77777777">
        <w:trPr>
          <w:tblHeader/>
        </w:trPr>
        <w:tc>
          <w:tcPr>
            <w:tcW w:w="2123" w:type="dxa"/>
            <w:tcBorders>
              <w:top w:val="single" w:sz="4" w:space="0" w:color="000000"/>
              <w:left w:val="single" w:sz="4" w:space="0" w:color="000000"/>
              <w:bottom w:val="single" w:sz="4" w:space="0" w:color="000000"/>
              <w:right w:val="single" w:sz="4" w:space="0" w:color="000000"/>
            </w:tcBorders>
            <w:vAlign w:val="center"/>
          </w:tcPr>
          <w:p w14:paraId="1434E168" w14:textId="77777777" w:rsidR="004D59D4" w:rsidRDefault="004D59D4" w:rsidP="00025AAC">
            <w:pPr>
              <w:pStyle w:val="In-tableHeading"/>
            </w:pPr>
          </w:p>
        </w:tc>
        <w:tc>
          <w:tcPr>
            <w:tcW w:w="1149" w:type="dxa"/>
            <w:tcBorders>
              <w:top w:val="single" w:sz="4" w:space="0" w:color="000000"/>
              <w:left w:val="single" w:sz="4" w:space="0" w:color="000000"/>
              <w:bottom w:val="single" w:sz="4" w:space="0" w:color="000000"/>
              <w:right w:val="single" w:sz="4" w:space="0" w:color="000000"/>
            </w:tcBorders>
            <w:vAlign w:val="center"/>
          </w:tcPr>
          <w:p w14:paraId="4BB811DF" w14:textId="77777777" w:rsidR="004D59D4" w:rsidRDefault="00023FAF" w:rsidP="00025AAC">
            <w:pPr>
              <w:pStyle w:val="In-tableHeading"/>
              <w:jc w:val="center"/>
            </w:pPr>
            <w:r>
              <w:t>Year 1</w:t>
            </w:r>
          </w:p>
        </w:tc>
        <w:tc>
          <w:tcPr>
            <w:tcW w:w="1151" w:type="dxa"/>
            <w:tcBorders>
              <w:top w:val="single" w:sz="4" w:space="0" w:color="000000"/>
              <w:left w:val="single" w:sz="4" w:space="0" w:color="000000"/>
              <w:bottom w:val="single" w:sz="4" w:space="0" w:color="000000"/>
              <w:right w:val="single" w:sz="4" w:space="0" w:color="000000"/>
            </w:tcBorders>
            <w:vAlign w:val="center"/>
          </w:tcPr>
          <w:p w14:paraId="6F926F9A" w14:textId="77777777" w:rsidR="004D59D4" w:rsidRDefault="00023FAF" w:rsidP="00025AAC">
            <w:pPr>
              <w:pStyle w:val="In-tableHeading"/>
              <w:jc w:val="center"/>
            </w:pPr>
            <w:r>
              <w:t>Year 2</w:t>
            </w:r>
          </w:p>
        </w:tc>
        <w:tc>
          <w:tcPr>
            <w:tcW w:w="1150" w:type="dxa"/>
            <w:tcBorders>
              <w:top w:val="single" w:sz="4" w:space="0" w:color="000000"/>
              <w:left w:val="single" w:sz="4" w:space="0" w:color="000000"/>
              <w:bottom w:val="single" w:sz="4" w:space="0" w:color="000000"/>
              <w:right w:val="single" w:sz="4" w:space="0" w:color="000000"/>
            </w:tcBorders>
            <w:vAlign w:val="center"/>
          </w:tcPr>
          <w:p w14:paraId="5FD04DBF" w14:textId="77777777" w:rsidR="004D59D4" w:rsidRDefault="00023FAF" w:rsidP="00025AAC">
            <w:pPr>
              <w:pStyle w:val="In-tableHeading"/>
              <w:jc w:val="center"/>
            </w:pPr>
            <w:r>
              <w:t>Year 3</w:t>
            </w:r>
          </w:p>
        </w:tc>
        <w:tc>
          <w:tcPr>
            <w:tcW w:w="1150" w:type="dxa"/>
            <w:tcBorders>
              <w:top w:val="single" w:sz="4" w:space="0" w:color="000000"/>
              <w:left w:val="single" w:sz="4" w:space="0" w:color="000000"/>
              <w:bottom w:val="single" w:sz="4" w:space="0" w:color="000000"/>
              <w:right w:val="single" w:sz="4" w:space="0" w:color="000000"/>
            </w:tcBorders>
            <w:vAlign w:val="center"/>
          </w:tcPr>
          <w:p w14:paraId="55437A51" w14:textId="77777777" w:rsidR="004D59D4" w:rsidRDefault="00023FAF" w:rsidP="00025AAC">
            <w:pPr>
              <w:pStyle w:val="In-tableHeading"/>
              <w:jc w:val="center"/>
            </w:pPr>
            <w:r>
              <w:t>Year 4</w:t>
            </w:r>
          </w:p>
        </w:tc>
        <w:tc>
          <w:tcPr>
            <w:tcW w:w="1151" w:type="dxa"/>
            <w:tcBorders>
              <w:top w:val="single" w:sz="4" w:space="0" w:color="000000"/>
              <w:left w:val="single" w:sz="4" w:space="0" w:color="000000"/>
              <w:bottom w:val="single" w:sz="4" w:space="0" w:color="000000"/>
              <w:right w:val="single" w:sz="4" w:space="0" w:color="000000"/>
            </w:tcBorders>
            <w:vAlign w:val="center"/>
          </w:tcPr>
          <w:p w14:paraId="18B85EC7" w14:textId="77777777" w:rsidR="004D59D4" w:rsidRDefault="00023FAF" w:rsidP="00025AAC">
            <w:pPr>
              <w:pStyle w:val="In-tableHeading"/>
              <w:jc w:val="center"/>
            </w:pPr>
            <w:r>
              <w:t>Year 5</w:t>
            </w:r>
          </w:p>
        </w:tc>
        <w:tc>
          <w:tcPr>
            <w:tcW w:w="1152" w:type="dxa"/>
            <w:tcBorders>
              <w:top w:val="single" w:sz="4" w:space="0" w:color="000000"/>
              <w:left w:val="single" w:sz="4" w:space="0" w:color="000000"/>
              <w:bottom w:val="single" w:sz="4" w:space="0" w:color="000000"/>
              <w:right w:val="single" w:sz="4" w:space="0" w:color="000000"/>
            </w:tcBorders>
          </w:tcPr>
          <w:p w14:paraId="7418BA9A" w14:textId="77777777" w:rsidR="004D59D4" w:rsidRDefault="00023FAF" w:rsidP="00025AAC">
            <w:pPr>
              <w:pStyle w:val="In-tableHeading"/>
              <w:jc w:val="center"/>
            </w:pPr>
            <w:r>
              <w:t>Year 6</w:t>
            </w:r>
          </w:p>
        </w:tc>
      </w:tr>
      <w:tr w:rsidR="004D59D4" w14:paraId="3D3F86AC" w14:textId="77777777">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7F74C1E6" w14:textId="77777777" w:rsidR="004D59D4" w:rsidRDefault="00023FAF" w:rsidP="00025AAC">
            <w:pPr>
              <w:pStyle w:val="In-tableHeading"/>
            </w:pPr>
            <w:r>
              <w:t>Estimated extent of use</w:t>
            </w:r>
          </w:p>
        </w:tc>
      </w:tr>
      <w:tr w:rsidR="004D59D4" w14:paraId="34D3ED5D" w14:textId="77777777">
        <w:trPr>
          <w:trHeight w:val="133"/>
        </w:trPr>
        <w:tc>
          <w:tcPr>
            <w:tcW w:w="2123" w:type="dxa"/>
            <w:tcBorders>
              <w:top w:val="single" w:sz="4" w:space="0" w:color="000000"/>
              <w:left w:val="single" w:sz="4" w:space="0" w:color="000000"/>
              <w:bottom w:val="single" w:sz="4" w:space="0" w:color="000000"/>
              <w:right w:val="single" w:sz="4" w:space="0" w:color="000000"/>
            </w:tcBorders>
            <w:vAlign w:val="center"/>
          </w:tcPr>
          <w:p w14:paraId="491E4089" w14:textId="77777777" w:rsidR="004D59D4" w:rsidRDefault="00023FAF" w:rsidP="00025AAC">
            <w:pPr>
              <w:pStyle w:val="TableText1"/>
              <w:rPr>
                <w:rFonts w:ascii="Times" w:hAnsi="Times"/>
              </w:rPr>
            </w:pPr>
            <w:r>
              <w:t>Number of patients treated</w:t>
            </w:r>
          </w:p>
        </w:tc>
        <w:tc>
          <w:tcPr>
            <w:tcW w:w="1149" w:type="dxa"/>
            <w:tcBorders>
              <w:top w:val="single" w:sz="4" w:space="0" w:color="000000"/>
              <w:left w:val="single" w:sz="4" w:space="0" w:color="000000"/>
              <w:bottom w:val="single" w:sz="4" w:space="0" w:color="000000"/>
              <w:right w:val="single" w:sz="4" w:space="0" w:color="000000"/>
            </w:tcBorders>
            <w:vAlign w:val="center"/>
          </w:tcPr>
          <w:p w14:paraId="289EAF9F" w14:textId="29932C6A" w:rsidR="004D59D4" w:rsidRPr="001D4BD5" w:rsidRDefault="002615A2" w:rsidP="00025AAC">
            <w:pPr>
              <w:pStyle w:val="TableText1"/>
              <w:jc w:val="center"/>
              <w:rPr>
                <w:highlight w:val="darkGray"/>
                <w:vertAlign w:val="superscript"/>
              </w:rPr>
            </w:pPr>
            <w:r w:rsidRPr="002615A2">
              <w:rPr>
                <w:sz w:val="2"/>
                <w:highlight w:val="black"/>
              </w:rPr>
              <w:t>redacted content</w:t>
            </w:r>
            <w:r w:rsidR="00193DEB" w:rsidRPr="001D4BD5">
              <w:rPr>
                <w:vertAlign w:val="superscript"/>
              </w:rPr>
              <w:t>1</w:t>
            </w:r>
          </w:p>
        </w:tc>
        <w:tc>
          <w:tcPr>
            <w:tcW w:w="1151" w:type="dxa"/>
            <w:tcBorders>
              <w:top w:val="single" w:sz="4" w:space="0" w:color="000000"/>
              <w:left w:val="single" w:sz="4" w:space="0" w:color="000000"/>
              <w:bottom w:val="single" w:sz="4" w:space="0" w:color="000000"/>
              <w:right w:val="single" w:sz="4" w:space="0" w:color="000000"/>
            </w:tcBorders>
            <w:vAlign w:val="center"/>
          </w:tcPr>
          <w:p w14:paraId="6AC43728" w14:textId="58C6BCA4" w:rsidR="004D59D4" w:rsidRPr="001D4BD5" w:rsidRDefault="002615A2" w:rsidP="00025AAC">
            <w:pPr>
              <w:pStyle w:val="TableText1"/>
              <w:jc w:val="center"/>
              <w:rPr>
                <w:highlight w:val="darkGray"/>
              </w:rPr>
            </w:pPr>
            <w:r w:rsidRPr="002615A2">
              <w:rPr>
                <w:sz w:val="2"/>
                <w:highlight w:val="black"/>
              </w:rPr>
              <w:t>redacted content</w:t>
            </w:r>
            <w:r w:rsidR="00193DEB" w:rsidRPr="008E3971">
              <w:rPr>
                <w:vertAlign w:val="superscript"/>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0484F5EB" w14:textId="37D8829C" w:rsidR="004D59D4" w:rsidRPr="001D4BD5" w:rsidRDefault="002615A2" w:rsidP="00025AAC">
            <w:pPr>
              <w:pStyle w:val="TableText1"/>
              <w:jc w:val="center"/>
              <w:rPr>
                <w:highlight w:val="darkGray"/>
              </w:rPr>
            </w:pPr>
            <w:r w:rsidRPr="002615A2">
              <w:rPr>
                <w:sz w:val="2"/>
                <w:highlight w:val="black"/>
              </w:rPr>
              <w:t>redacted content</w:t>
            </w:r>
            <w:r w:rsidR="00193DEB" w:rsidRPr="008E3971">
              <w:rPr>
                <w:vertAlign w:val="superscript"/>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7BDAD990" w14:textId="0847C6F8" w:rsidR="004D59D4" w:rsidRPr="001D4BD5" w:rsidRDefault="002615A2" w:rsidP="00025AAC">
            <w:pPr>
              <w:pStyle w:val="TableText1"/>
              <w:jc w:val="center"/>
              <w:rPr>
                <w:highlight w:val="darkGray"/>
              </w:rPr>
            </w:pPr>
            <w:r w:rsidRPr="002615A2">
              <w:rPr>
                <w:sz w:val="2"/>
                <w:highlight w:val="black"/>
              </w:rPr>
              <w:t>redacted content</w:t>
            </w:r>
            <w:r w:rsidR="00193DEB" w:rsidRPr="008E3971">
              <w:rPr>
                <w:vertAlign w:val="superscript"/>
              </w:rPr>
              <w:t>1</w:t>
            </w:r>
          </w:p>
        </w:tc>
        <w:tc>
          <w:tcPr>
            <w:tcW w:w="1151" w:type="dxa"/>
            <w:tcBorders>
              <w:top w:val="single" w:sz="4" w:space="0" w:color="000000"/>
              <w:left w:val="single" w:sz="4" w:space="0" w:color="000000"/>
              <w:bottom w:val="single" w:sz="4" w:space="0" w:color="000000"/>
              <w:right w:val="single" w:sz="4" w:space="0" w:color="000000"/>
            </w:tcBorders>
            <w:vAlign w:val="center"/>
          </w:tcPr>
          <w:p w14:paraId="15D95510" w14:textId="1D3153B6" w:rsidR="004D59D4" w:rsidRPr="001D4BD5" w:rsidRDefault="002615A2" w:rsidP="00025AAC">
            <w:pPr>
              <w:pStyle w:val="TableText1"/>
              <w:jc w:val="center"/>
              <w:rPr>
                <w:highlight w:val="darkGray"/>
              </w:rPr>
            </w:pPr>
            <w:r w:rsidRPr="002615A2">
              <w:rPr>
                <w:sz w:val="2"/>
                <w:highlight w:val="black"/>
              </w:rPr>
              <w:t>redacted content</w:t>
            </w:r>
            <w:r w:rsidR="00193DEB" w:rsidRPr="008E3971">
              <w:rPr>
                <w:vertAlign w:val="superscript"/>
              </w:rPr>
              <w:t>1</w:t>
            </w:r>
          </w:p>
        </w:tc>
        <w:tc>
          <w:tcPr>
            <w:tcW w:w="1152" w:type="dxa"/>
            <w:tcBorders>
              <w:top w:val="single" w:sz="4" w:space="0" w:color="000000"/>
              <w:left w:val="single" w:sz="4" w:space="0" w:color="000000"/>
              <w:bottom w:val="single" w:sz="4" w:space="0" w:color="000000"/>
              <w:right w:val="single" w:sz="4" w:space="0" w:color="000000"/>
            </w:tcBorders>
            <w:vAlign w:val="center"/>
          </w:tcPr>
          <w:p w14:paraId="4DA101EE" w14:textId="2B01F47F" w:rsidR="004D59D4" w:rsidRPr="001D4BD5" w:rsidRDefault="002615A2" w:rsidP="00025AAC">
            <w:pPr>
              <w:pStyle w:val="TableText1"/>
              <w:jc w:val="center"/>
              <w:rPr>
                <w:highlight w:val="darkGray"/>
              </w:rPr>
            </w:pPr>
            <w:r w:rsidRPr="002615A2">
              <w:rPr>
                <w:sz w:val="2"/>
                <w:highlight w:val="black"/>
              </w:rPr>
              <w:t>redacted content</w:t>
            </w:r>
            <w:r w:rsidR="00193DEB" w:rsidRPr="008E3971">
              <w:rPr>
                <w:vertAlign w:val="superscript"/>
              </w:rPr>
              <w:t>1</w:t>
            </w:r>
          </w:p>
        </w:tc>
      </w:tr>
      <w:tr w:rsidR="004D59D4" w14:paraId="6695F34C"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4145E3D3" w14:textId="77777777" w:rsidR="004D59D4" w:rsidRDefault="00023FAF" w:rsidP="00025AAC">
            <w:pPr>
              <w:pStyle w:val="TableText1"/>
              <w:rPr>
                <w:rFonts w:ascii="Times" w:hAnsi="Times"/>
              </w:rPr>
            </w:pPr>
            <w:r>
              <w:t>Number of scripts dispensed</w:t>
            </w:r>
          </w:p>
        </w:tc>
        <w:tc>
          <w:tcPr>
            <w:tcW w:w="1149" w:type="dxa"/>
            <w:tcBorders>
              <w:top w:val="single" w:sz="4" w:space="0" w:color="000000"/>
              <w:left w:val="single" w:sz="4" w:space="0" w:color="000000"/>
              <w:bottom w:val="single" w:sz="4" w:space="0" w:color="000000"/>
              <w:right w:val="single" w:sz="4" w:space="0" w:color="000000"/>
            </w:tcBorders>
            <w:vAlign w:val="center"/>
          </w:tcPr>
          <w:p w14:paraId="3141E3BB" w14:textId="6F084576" w:rsidR="004D59D4" w:rsidRPr="001D4BD5" w:rsidRDefault="002615A2" w:rsidP="00025AAC">
            <w:pPr>
              <w:pStyle w:val="TableText1"/>
              <w:jc w:val="center"/>
              <w:rPr>
                <w:vertAlign w:val="superscript"/>
              </w:rPr>
            </w:pPr>
            <w:r w:rsidRPr="002615A2">
              <w:rPr>
                <w:sz w:val="2"/>
                <w:highlight w:val="black"/>
              </w:rPr>
              <w:t>redacted content</w:t>
            </w:r>
            <w:r w:rsidR="00193DEB">
              <w:rPr>
                <w:vertAlign w:val="superscript"/>
              </w:rPr>
              <w:t>2</w:t>
            </w:r>
          </w:p>
        </w:tc>
        <w:tc>
          <w:tcPr>
            <w:tcW w:w="1151" w:type="dxa"/>
            <w:tcBorders>
              <w:top w:val="single" w:sz="4" w:space="0" w:color="000000"/>
              <w:left w:val="single" w:sz="4" w:space="0" w:color="000000"/>
              <w:bottom w:val="single" w:sz="4" w:space="0" w:color="000000"/>
              <w:right w:val="single" w:sz="4" w:space="0" w:color="000000"/>
            </w:tcBorders>
            <w:vAlign w:val="center"/>
          </w:tcPr>
          <w:p w14:paraId="47CA3AC0" w14:textId="43CFA49E" w:rsidR="004D59D4" w:rsidRDefault="002615A2" w:rsidP="00025AAC">
            <w:pPr>
              <w:pStyle w:val="TableText1"/>
              <w:jc w:val="center"/>
            </w:pPr>
            <w:r w:rsidRPr="002615A2">
              <w:rPr>
                <w:sz w:val="2"/>
                <w:highlight w:val="black"/>
              </w:rPr>
              <w:t>redacted content</w:t>
            </w:r>
            <w:r w:rsidR="00193DEB" w:rsidRPr="008E3971">
              <w:rPr>
                <w:vertAlign w:val="superscript"/>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343CABF8" w14:textId="49A62327" w:rsidR="004D59D4" w:rsidRDefault="002615A2" w:rsidP="00025AAC">
            <w:pPr>
              <w:pStyle w:val="TableText1"/>
              <w:jc w:val="center"/>
            </w:pPr>
            <w:r w:rsidRPr="002615A2">
              <w:rPr>
                <w:sz w:val="2"/>
                <w:highlight w:val="black"/>
              </w:rPr>
              <w:t>redacted content</w:t>
            </w:r>
            <w:r w:rsidR="00193DEB" w:rsidRPr="008E3971">
              <w:rPr>
                <w:vertAlign w:val="superscript"/>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169E293B" w14:textId="4D337E6D" w:rsidR="004D59D4" w:rsidRDefault="002615A2" w:rsidP="00025AAC">
            <w:pPr>
              <w:pStyle w:val="TableText1"/>
              <w:jc w:val="center"/>
            </w:pPr>
            <w:r w:rsidRPr="002615A2">
              <w:rPr>
                <w:sz w:val="2"/>
                <w:highlight w:val="black"/>
              </w:rPr>
              <w:t>redacted content</w:t>
            </w:r>
            <w:r w:rsidR="00193DEB" w:rsidRPr="008E3971">
              <w:rPr>
                <w:vertAlign w:val="superscript"/>
              </w:rPr>
              <w:t>1</w:t>
            </w:r>
          </w:p>
        </w:tc>
        <w:tc>
          <w:tcPr>
            <w:tcW w:w="1151" w:type="dxa"/>
            <w:tcBorders>
              <w:top w:val="single" w:sz="4" w:space="0" w:color="000000"/>
              <w:left w:val="single" w:sz="4" w:space="0" w:color="000000"/>
              <w:bottom w:val="single" w:sz="4" w:space="0" w:color="000000"/>
              <w:right w:val="single" w:sz="4" w:space="0" w:color="000000"/>
            </w:tcBorders>
            <w:vAlign w:val="center"/>
          </w:tcPr>
          <w:p w14:paraId="4CA071A2" w14:textId="6FAC5E42" w:rsidR="004D59D4" w:rsidRPr="001D4BD5" w:rsidRDefault="002615A2" w:rsidP="00025AAC">
            <w:pPr>
              <w:pStyle w:val="TableText1"/>
              <w:jc w:val="center"/>
              <w:rPr>
                <w:vertAlign w:val="superscript"/>
              </w:rPr>
            </w:pPr>
            <w:r w:rsidRPr="002615A2">
              <w:rPr>
                <w:sz w:val="2"/>
                <w:highlight w:val="black"/>
              </w:rPr>
              <w:t>redacted content</w:t>
            </w:r>
            <w:r w:rsidR="00193DEB">
              <w:rPr>
                <w:vertAlign w:val="superscript"/>
              </w:rPr>
              <w:t>2</w:t>
            </w:r>
          </w:p>
        </w:tc>
        <w:tc>
          <w:tcPr>
            <w:tcW w:w="1152" w:type="dxa"/>
            <w:tcBorders>
              <w:top w:val="single" w:sz="4" w:space="0" w:color="000000"/>
              <w:left w:val="single" w:sz="4" w:space="0" w:color="000000"/>
              <w:bottom w:val="single" w:sz="4" w:space="0" w:color="000000"/>
              <w:right w:val="single" w:sz="4" w:space="0" w:color="000000"/>
            </w:tcBorders>
            <w:vAlign w:val="center"/>
          </w:tcPr>
          <w:p w14:paraId="42342C58" w14:textId="68ED048F" w:rsidR="004D59D4" w:rsidRPr="001D4BD5" w:rsidRDefault="002615A2" w:rsidP="00025AAC">
            <w:pPr>
              <w:pStyle w:val="TableText1"/>
              <w:jc w:val="center"/>
              <w:rPr>
                <w:vertAlign w:val="superscript"/>
              </w:rPr>
            </w:pPr>
            <w:r w:rsidRPr="002615A2">
              <w:rPr>
                <w:sz w:val="2"/>
                <w:highlight w:val="black"/>
              </w:rPr>
              <w:t>redacted content</w:t>
            </w:r>
            <w:r w:rsidR="00193DEB">
              <w:rPr>
                <w:vertAlign w:val="superscript"/>
              </w:rPr>
              <w:t>2</w:t>
            </w:r>
          </w:p>
        </w:tc>
      </w:tr>
      <w:tr w:rsidR="004D59D4" w14:paraId="1E69C469" w14:textId="77777777">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21A3A7D1" w14:textId="77777777" w:rsidR="004D59D4" w:rsidRDefault="00023FAF" w:rsidP="00025AAC">
            <w:pPr>
              <w:pStyle w:val="In-tableHeading"/>
            </w:pPr>
            <w:r>
              <w:t xml:space="preserve">Estimated financial implications of </w:t>
            </w:r>
            <w:proofErr w:type="spellStart"/>
            <w:r>
              <w:t>pegvaliase</w:t>
            </w:r>
            <w:proofErr w:type="spellEnd"/>
            <w:r>
              <w:t xml:space="preserve"> (published EMP = $</w:t>
            </w:r>
            <w:proofErr w:type="gramStart"/>
            <w:r>
              <w:t>510)</w:t>
            </w:r>
            <w:r>
              <w:rPr>
                <w:vertAlign w:val="superscript"/>
              </w:rPr>
              <w:t>a</w:t>
            </w:r>
            <w:proofErr w:type="gramEnd"/>
          </w:p>
        </w:tc>
      </w:tr>
      <w:tr w:rsidR="004D59D4" w14:paraId="710C4938"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5AA0AE8F" w14:textId="77777777" w:rsidR="004D59D4" w:rsidRDefault="00023FAF" w:rsidP="00025AAC">
            <w:pPr>
              <w:pStyle w:val="TableText1"/>
              <w:rPr>
                <w:sz w:val="19"/>
                <w:szCs w:val="19"/>
              </w:rPr>
            </w:pPr>
            <w:r>
              <w:rPr>
                <w:sz w:val="19"/>
                <w:szCs w:val="19"/>
              </w:rPr>
              <w:t>Cost to R/PBS</w:t>
            </w:r>
          </w:p>
        </w:tc>
        <w:tc>
          <w:tcPr>
            <w:tcW w:w="1149" w:type="dxa"/>
            <w:tcBorders>
              <w:top w:val="single" w:sz="4" w:space="0" w:color="000000"/>
              <w:left w:val="single" w:sz="4" w:space="0" w:color="000000"/>
              <w:bottom w:val="single" w:sz="4" w:space="0" w:color="000000"/>
              <w:right w:val="single" w:sz="4" w:space="0" w:color="000000"/>
            </w:tcBorders>
          </w:tcPr>
          <w:p w14:paraId="6155898D" w14:textId="692C0F6C" w:rsidR="004D59D4" w:rsidRPr="001D4BD5" w:rsidRDefault="00023FAF" w:rsidP="00025AAC">
            <w:pPr>
              <w:pStyle w:val="TableText1"/>
              <w:jc w:val="center"/>
              <w:rPr>
                <w:vertAlign w:val="superscript"/>
              </w:rPr>
            </w:pPr>
            <w:r>
              <w:t>$</w:t>
            </w:r>
            <w:r w:rsidR="002615A2" w:rsidRPr="002615A2">
              <w:rPr>
                <w:sz w:val="2"/>
                <w:highlight w:val="black"/>
              </w:rPr>
              <w:t>redacted content</w:t>
            </w:r>
            <w:r w:rsidR="00193DEB">
              <w:rPr>
                <w:vertAlign w:val="superscript"/>
              </w:rPr>
              <w:t>3</w:t>
            </w:r>
          </w:p>
        </w:tc>
        <w:tc>
          <w:tcPr>
            <w:tcW w:w="1151" w:type="dxa"/>
            <w:tcBorders>
              <w:top w:val="single" w:sz="4" w:space="0" w:color="000000"/>
              <w:left w:val="single" w:sz="4" w:space="0" w:color="000000"/>
              <w:bottom w:val="single" w:sz="4" w:space="0" w:color="000000"/>
              <w:right w:val="single" w:sz="4" w:space="0" w:color="000000"/>
            </w:tcBorders>
          </w:tcPr>
          <w:p w14:paraId="298ACBC1" w14:textId="10B38A08" w:rsidR="004D59D4" w:rsidRPr="001D4BD5" w:rsidRDefault="00023FAF" w:rsidP="00025AAC">
            <w:pPr>
              <w:pStyle w:val="TableText1"/>
              <w:jc w:val="center"/>
              <w:rPr>
                <w:vertAlign w:val="superscript"/>
              </w:rPr>
            </w:pPr>
            <w:r>
              <w:t>$</w:t>
            </w:r>
            <w:r w:rsidR="002615A2" w:rsidRPr="002615A2">
              <w:rPr>
                <w:sz w:val="2"/>
                <w:highlight w:val="black"/>
              </w:rPr>
              <w:t>redacted content</w:t>
            </w:r>
            <w:r w:rsidR="00193DEB">
              <w:rPr>
                <w:vertAlign w:val="superscript"/>
              </w:rPr>
              <w:t>4</w:t>
            </w:r>
          </w:p>
        </w:tc>
        <w:tc>
          <w:tcPr>
            <w:tcW w:w="1150" w:type="dxa"/>
            <w:tcBorders>
              <w:top w:val="single" w:sz="4" w:space="0" w:color="000000"/>
              <w:left w:val="single" w:sz="4" w:space="0" w:color="000000"/>
              <w:bottom w:val="single" w:sz="4" w:space="0" w:color="000000"/>
              <w:right w:val="single" w:sz="4" w:space="0" w:color="000000"/>
            </w:tcBorders>
          </w:tcPr>
          <w:p w14:paraId="4CB7634F" w14:textId="2269E3A4" w:rsidR="004D59D4" w:rsidRPr="001D4BD5" w:rsidRDefault="00023FAF" w:rsidP="00025AAC">
            <w:pPr>
              <w:pStyle w:val="TableText1"/>
              <w:jc w:val="center"/>
              <w:rPr>
                <w:vertAlign w:val="superscript"/>
              </w:rPr>
            </w:pPr>
            <w:r>
              <w:t>$</w:t>
            </w:r>
            <w:r w:rsidR="002615A2" w:rsidRPr="002615A2">
              <w:rPr>
                <w:sz w:val="2"/>
                <w:highlight w:val="black"/>
              </w:rPr>
              <w:t>redacted content</w:t>
            </w:r>
            <w:r w:rsidR="00193DEB">
              <w:rPr>
                <w:vertAlign w:val="superscript"/>
              </w:rPr>
              <w:t>4</w:t>
            </w:r>
          </w:p>
        </w:tc>
        <w:tc>
          <w:tcPr>
            <w:tcW w:w="1150" w:type="dxa"/>
            <w:tcBorders>
              <w:top w:val="single" w:sz="4" w:space="0" w:color="000000"/>
              <w:left w:val="single" w:sz="4" w:space="0" w:color="000000"/>
              <w:bottom w:val="single" w:sz="4" w:space="0" w:color="000000"/>
              <w:right w:val="single" w:sz="4" w:space="0" w:color="000000"/>
            </w:tcBorders>
          </w:tcPr>
          <w:p w14:paraId="3269B062" w14:textId="130E2086" w:rsidR="004D59D4" w:rsidRPr="001D4BD5" w:rsidRDefault="00023FAF" w:rsidP="00025AAC">
            <w:pPr>
              <w:pStyle w:val="TableText1"/>
              <w:jc w:val="center"/>
              <w:rPr>
                <w:vertAlign w:val="superscript"/>
              </w:rPr>
            </w:pPr>
            <w:r>
              <w:t>$</w:t>
            </w:r>
            <w:r w:rsidR="002615A2" w:rsidRPr="002615A2">
              <w:rPr>
                <w:sz w:val="2"/>
                <w:highlight w:val="black"/>
              </w:rPr>
              <w:t>redacted content</w:t>
            </w:r>
            <w:r w:rsidR="00193DEB">
              <w:rPr>
                <w:vertAlign w:val="superscript"/>
              </w:rPr>
              <w:t>5</w:t>
            </w:r>
          </w:p>
        </w:tc>
        <w:tc>
          <w:tcPr>
            <w:tcW w:w="1151" w:type="dxa"/>
            <w:tcBorders>
              <w:top w:val="single" w:sz="4" w:space="0" w:color="000000"/>
              <w:left w:val="single" w:sz="4" w:space="0" w:color="000000"/>
              <w:bottom w:val="single" w:sz="4" w:space="0" w:color="000000"/>
              <w:right w:val="single" w:sz="4" w:space="0" w:color="000000"/>
            </w:tcBorders>
          </w:tcPr>
          <w:p w14:paraId="1BA05B8C" w14:textId="16ECBD82" w:rsidR="004D59D4" w:rsidRPr="001D4BD5" w:rsidRDefault="00023FAF" w:rsidP="00025AAC">
            <w:pPr>
              <w:pStyle w:val="TableText1"/>
              <w:jc w:val="center"/>
              <w:rPr>
                <w:vertAlign w:val="superscript"/>
              </w:rPr>
            </w:pPr>
            <w:r>
              <w:t>$</w:t>
            </w:r>
            <w:r w:rsidR="002615A2" w:rsidRPr="002615A2">
              <w:rPr>
                <w:sz w:val="2"/>
                <w:highlight w:val="black"/>
              </w:rPr>
              <w:t>redacted content</w:t>
            </w:r>
            <w:r w:rsidR="00193DEB">
              <w:rPr>
                <w:vertAlign w:val="superscript"/>
              </w:rPr>
              <w:t>5</w:t>
            </w:r>
          </w:p>
        </w:tc>
        <w:tc>
          <w:tcPr>
            <w:tcW w:w="1152" w:type="dxa"/>
            <w:tcBorders>
              <w:top w:val="single" w:sz="4" w:space="0" w:color="000000"/>
              <w:left w:val="single" w:sz="4" w:space="0" w:color="000000"/>
              <w:bottom w:val="single" w:sz="4" w:space="0" w:color="000000"/>
              <w:right w:val="single" w:sz="4" w:space="0" w:color="000000"/>
            </w:tcBorders>
          </w:tcPr>
          <w:p w14:paraId="71E4C952" w14:textId="0957AC12" w:rsidR="004D59D4" w:rsidRPr="001D4BD5" w:rsidRDefault="00023FAF" w:rsidP="00025AAC">
            <w:pPr>
              <w:pStyle w:val="TableText1"/>
              <w:jc w:val="center"/>
              <w:rPr>
                <w:vertAlign w:val="superscript"/>
              </w:rPr>
            </w:pPr>
            <w:r>
              <w:t>$</w:t>
            </w:r>
            <w:r w:rsidR="002615A2" w:rsidRPr="002615A2">
              <w:rPr>
                <w:sz w:val="2"/>
                <w:highlight w:val="black"/>
              </w:rPr>
              <w:t>redacted content</w:t>
            </w:r>
            <w:r w:rsidR="00193DEB">
              <w:rPr>
                <w:vertAlign w:val="superscript"/>
              </w:rPr>
              <w:t>6</w:t>
            </w:r>
          </w:p>
        </w:tc>
      </w:tr>
      <w:tr w:rsidR="004D59D4" w14:paraId="7F8D10AF"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7F61E1E6" w14:textId="77777777" w:rsidR="004D59D4" w:rsidRDefault="00023FAF" w:rsidP="00025AAC">
            <w:pPr>
              <w:pStyle w:val="TableText1"/>
              <w:rPr>
                <w:sz w:val="19"/>
                <w:szCs w:val="19"/>
              </w:rPr>
            </w:pPr>
            <w:r>
              <w:rPr>
                <w:sz w:val="19"/>
                <w:szCs w:val="19"/>
              </w:rPr>
              <w:t>Cost of copayments</w:t>
            </w:r>
          </w:p>
        </w:tc>
        <w:tc>
          <w:tcPr>
            <w:tcW w:w="1149" w:type="dxa"/>
            <w:tcBorders>
              <w:top w:val="single" w:sz="4" w:space="0" w:color="000000"/>
              <w:left w:val="single" w:sz="4" w:space="0" w:color="000000"/>
              <w:bottom w:val="single" w:sz="4" w:space="0" w:color="000000"/>
              <w:right w:val="single" w:sz="4" w:space="0" w:color="000000"/>
            </w:tcBorders>
          </w:tcPr>
          <w:p w14:paraId="69243ECC" w14:textId="1EE30AE0" w:rsidR="004D59D4" w:rsidRPr="001D4BD5" w:rsidRDefault="00023FAF" w:rsidP="00025AAC">
            <w:pPr>
              <w:pStyle w:val="TableText1"/>
              <w:jc w:val="center"/>
              <w:rPr>
                <w:vertAlign w:val="superscript"/>
              </w:rPr>
            </w:pPr>
            <w:r>
              <w:t>-$</w:t>
            </w:r>
            <w:r w:rsidR="002615A2" w:rsidRPr="002615A2">
              <w:rPr>
                <w:sz w:val="2"/>
                <w:highlight w:val="black"/>
              </w:rPr>
              <w:t>redacted content</w:t>
            </w:r>
            <w:r w:rsidR="00BC53C4">
              <w:rPr>
                <w:vertAlign w:val="superscript"/>
              </w:rPr>
              <w:t>7</w:t>
            </w:r>
          </w:p>
        </w:tc>
        <w:tc>
          <w:tcPr>
            <w:tcW w:w="1151" w:type="dxa"/>
            <w:tcBorders>
              <w:top w:val="single" w:sz="4" w:space="0" w:color="000000"/>
              <w:left w:val="single" w:sz="4" w:space="0" w:color="000000"/>
              <w:bottom w:val="single" w:sz="4" w:space="0" w:color="000000"/>
              <w:right w:val="single" w:sz="4" w:space="0" w:color="000000"/>
            </w:tcBorders>
          </w:tcPr>
          <w:p w14:paraId="2E89F6E5" w14:textId="2EC45ED7" w:rsidR="004D59D4" w:rsidRPr="001D4BD5" w:rsidRDefault="00023FAF" w:rsidP="00025AAC">
            <w:pPr>
              <w:pStyle w:val="TableText1"/>
              <w:jc w:val="center"/>
              <w:rPr>
                <w:vertAlign w:val="superscript"/>
              </w:rPr>
            </w:pPr>
            <w:r>
              <w:t>-$</w:t>
            </w:r>
            <w:r w:rsidR="002615A2" w:rsidRPr="002615A2">
              <w:rPr>
                <w:sz w:val="2"/>
                <w:highlight w:val="black"/>
              </w:rPr>
              <w:t>redacted content</w:t>
            </w:r>
            <w:r w:rsidR="00BC53C4">
              <w:rPr>
                <w:vertAlign w:val="superscript"/>
              </w:rPr>
              <w:t>7</w:t>
            </w:r>
          </w:p>
        </w:tc>
        <w:tc>
          <w:tcPr>
            <w:tcW w:w="1150" w:type="dxa"/>
            <w:tcBorders>
              <w:top w:val="single" w:sz="4" w:space="0" w:color="000000"/>
              <w:left w:val="single" w:sz="4" w:space="0" w:color="000000"/>
              <w:bottom w:val="single" w:sz="4" w:space="0" w:color="000000"/>
              <w:right w:val="single" w:sz="4" w:space="0" w:color="000000"/>
            </w:tcBorders>
          </w:tcPr>
          <w:p w14:paraId="7DD18069" w14:textId="7EA730B6" w:rsidR="004D59D4" w:rsidRPr="001D4BD5" w:rsidRDefault="00023FAF" w:rsidP="00025AAC">
            <w:pPr>
              <w:pStyle w:val="TableText1"/>
              <w:jc w:val="center"/>
              <w:rPr>
                <w:vertAlign w:val="superscript"/>
              </w:rPr>
            </w:pPr>
            <w:r>
              <w:t>-$</w:t>
            </w:r>
            <w:r w:rsidR="002615A2" w:rsidRPr="002615A2">
              <w:rPr>
                <w:sz w:val="2"/>
                <w:highlight w:val="black"/>
              </w:rPr>
              <w:t>redacted content</w:t>
            </w:r>
            <w:r w:rsidR="00BC53C4">
              <w:rPr>
                <w:vertAlign w:val="superscript"/>
              </w:rPr>
              <w:t>7</w:t>
            </w:r>
          </w:p>
        </w:tc>
        <w:tc>
          <w:tcPr>
            <w:tcW w:w="1150" w:type="dxa"/>
            <w:tcBorders>
              <w:top w:val="single" w:sz="4" w:space="0" w:color="000000"/>
              <w:left w:val="single" w:sz="4" w:space="0" w:color="000000"/>
              <w:bottom w:val="single" w:sz="4" w:space="0" w:color="000000"/>
              <w:right w:val="single" w:sz="4" w:space="0" w:color="000000"/>
            </w:tcBorders>
          </w:tcPr>
          <w:p w14:paraId="69383873" w14:textId="23601320" w:rsidR="004D59D4" w:rsidRPr="001D4BD5" w:rsidRDefault="00023FAF" w:rsidP="00025AAC">
            <w:pPr>
              <w:pStyle w:val="TableText1"/>
              <w:jc w:val="center"/>
              <w:rPr>
                <w:vertAlign w:val="superscript"/>
              </w:rPr>
            </w:pPr>
            <w:r>
              <w:t>-$</w:t>
            </w:r>
            <w:r w:rsidR="002615A2" w:rsidRPr="002615A2">
              <w:rPr>
                <w:sz w:val="2"/>
                <w:highlight w:val="black"/>
              </w:rPr>
              <w:t>redacted content</w:t>
            </w:r>
            <w:r w:rsidR="00BC53C4">
              <w:rPr>
                <w:vertAlign w:val="superscript"/>
              </w:rPr>
              <w:t>7</w:t>
            </w:r>
          </w:p>
        </w:tc>
        <w:tc>
          <w:tcPr>
            <w:tcW w:w="1151" w:type="dxa"/>
            <w:tcBorders>
              <w:top w:val="single" w:sz="4" w:space="0" w:color="000000"/>
              <w:left w:val="single" w:sz="4" w:space="0" w:color="000000"/>
              <w:bottom w:val="single" w:sz="4" w:space="0" w:color="000000"/>
              <w:right w:val="single" w:sz="4" w:space="0" w:color="000000"/>
            </w:tcBorders>
          </w:tcPr>
          <w:p w14:paraId="2CDA7ACE" w14:textId="6EE91501" w:rsidR="004D59D4" w:rsidRPr="001D4BD5" w:rsidRDefault="00023FAF" w:rsidP="00025AAC">
            <w:pPr>
              <w:pStyle w:val="TableText1"/>
              <w:jc w:val="center"/>
              <w:rPr>
                <w:vertAlign w:val="superscript"/>
              </w:rPr>
            </w:pPr>
            <w:r>
              <w:t>-$</w:t>
            </w:r>
            <w:r w:rsidR="002615A2" w:rsidRPr="002615A2">
              <w:rPr>
                <w:sz w:val="2"/>
                <w:highlight w:val="black"/>
              </w:rPr>
              <w:t>redacted content</w:t>
            </w:r>
            <w:r w:rsidR="00BC53C4">
              <w:rPr>
                <w:vertAlign w:val="superscript"/>
              </w:rPr>
              <w:t>7</w:t>
            </w:r>
          </w:p>
        </w:tc>
        <w:tc>
          <w:tcPr>
            <w:tcW w:w="1152" w:type="dxa"/>
            <w:tcBorders>
              <w:top w:val="single" w:sz="4" w:space="0" w:color="000000"/>
              <w:left w:val="single" w:sz="4" w:space="0" w:color="000000"/>
              <w:bottom w:val="single" w:sz="4" w:space="0" w:color="000000"/>
              <w:right w:val="single" w:sz="4" w:space="0" w:color="000000"/>
            </w:tcBorders>
          </w:tcPr>
          <w:p w14:paraId="54A6014F" w14:textId="3738159D" w:rsidR="004D59D4" w:rsidRPr="001D4BD5" w:rsidRDefault="00023FAF" w:rsidP="00025AAC">
            <w:pPr>
              <w:pStyle w:val="TableText1"/>
              <w:jc w:val="center"/>
              <w:rPr>
                <w:vertAlign w:val="superscript"/>
              </w:rPr>
            </w:pPr>
            <w:r>
              <w:t>-$</w:t>
            </w:r>
            <w:r w:rsidR="002615A2" w:rsidRPr="002615A2">
              <w:rPr>
                <w:sz w:val="2"/>
                <w:highlight w:val="black"/>
              </w:rPr>
              <w:t>redacted content</w:t>
            </w:r>
            <w:r w:rsidR="00BC53C4">
              <w:rPr>
                <w:vertAlign w:val="superscript"/>
              </w:rPr>
              <w:t>7</w:t>
            </w:r>
          </w:p>
        </w:tc>
      </w:tr>
      <w:tr w:rsidR="004D59D4" w14:paraId="762F03DC" w14:textId="77777777" w:rsidTr="001D4BD5">
        <w:trPr>
          <w:trHeight w:val="438"/>
        </w:trPr>
        <w:tc>
          <w:tcPr>
            <w:tcW w:w="2123" w:type="dxa"/>
            <w:tcBorders>
              <w:top w:val="single" w:sz="4" w:space="0" w:color="000000"/>
              <w:left w:val="single" w:sz="4" w:space="0" w:color="000000"/>
              <w:bottom w:val="single" w:sz="4" w:space="0" w:color="000000"/>
              <w:right w:val="single" w:sz="4" w:space="0" w:color="000000"/>
            </w:tcBorders>
            <w:vAlign w:val="center"/>
          </w:tcPr>
          <w:p w14:paraId="61C5F35F" w14:textId="77777777" w:rsidR="004D59D4" w:rsidRDefault="00023FAF" w:rsidP="00025AAC">
            <w:pPr>
              <w:pStyle w:val="TableText1"/>
              <w:rPr>
                <w:b/>
                <w:bCs w:val="0"/>
                <w:sz w:val="19"/>
                <w:szCs w:val="19"/>
              </w:rPr>
            </w:pPr>
            <w:r>
              <w:rPr>
                <w:b/>
                <w:bCs w:val="0"/>
                <w:sz w:val="19"/>
                <w:szCs w:val="19"/>
              </w:rPr>
              <w:t>Cost to PBS less copayments</w:t>
            </w:r>
          </w:p>
        </w:tc>
        <w:tc>
          <w:tcPr>
            <w:tcW w:w="1149" w:type="dxa"/>
            <w:tcBorders>
              <w:top w:val="single" w:sz="4" w:space="0" w:color="000000"/>
              <w:left w:val="single" w:sz="4" w:space="0" w:color="000000"/>
              <w:bottom w:val="single" w:sz="4" w:space="0" w:color="000000"/>
              <w:right w:val="single" w:sz="4" w:space="0" w:color="000000"/>
            </w:tcBorders>
          </w:tcPr>
          <w:p w14:paraId="02166FA3" w14:textId="49461608"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1C050F">
              <w:rPr>
                <w:b/>
                <w:bCs w:val="0"/>
                <w:vertAlign w:val="superscript"/>
              </w:rPr>
              <w:t>3</w:t>
            </w:r>
          </w:p>
        </w:tc>
        <w:tc>
          <w:tcPr>
            <w:tcW w:w="1151" w:type="dxa"/>
            <w:tcBorders>
              <w:top w:val="single" w:sz="4" w:space="0" w:color="000000"/>
              <w:left w:val="single" w:sz="4" w:space="0" w:color="000000"/>
              <w:bottom w:val="single" w:sz="4" w:space="0" w:color="000000"/>
              <w:right w:val="single" w:sz="4" w:space="0" w:color="000000"/>
            </w:tcBorders>
          </w:tcPr>
          <w:p w14:paraId="31C577D0" w14:textId="36C10281"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1C050F">
              <w:rPr>
                <w:b/>
                <w:bCs w:val="0"/>
                <w:vertAlign w:val="superscript"/>
              </w:rPr>
              <w:t>4</w:t>
            </w:r>
          </w:p>
        </w:tc>
        <w:tc>
          <w:tcPr>
            <w:tcW w:w="1150" w:type="dxa"/>
            <w:tcBorders>
              <w:top w:val="single" w:sz="4" w:space="0" w:color="000000"/>
              <w:left w:val="single" w:sz="4" w:space="0" w:color="000000"/>
              <w:bottom w:val="single" w:sz="4" w:space="0" w:color="000000"/>
              <w:right w:val="single" w:sz="4" w:space="0" w:color="000000"/>
            </w:tcBorders>
          </w:tcPr>
          <w:p w14:paraId="7F9237DC" w14:textId="380FC349"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1C050F">
              <w:rPr>
                <w:b/>
                <w:bCs w:val="0"/>
                <w:vertAlign w:val="superscript"/>
              </w:rPr>
              <w:t>4</w:t>
            </w:r>
          </w:p>
        </w:tc>
        <w:tc>
          <w:tcPr>
            <w:tcW w:w="1150" w:type="dxa"/>
            <w:tcBorders>
              <w:top w:val="single" w:sz="4" w:space="0" w:color="000000"/>
              <w:left w:val="single" w:sz="4" w:space="0" w:color="000000"/>
              <w:bottom w:val="single" w:sz="4" w:space="0" w:color="000000"/>
              <w:right w:val="single" w:sz="4" w:space="0" w:color="000000"/>
            </w:tcBorders>
          </w:tcPr>
          <w:p w14:paraId="2775E6D6" w14:textId="1E659FDB"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1C050F">
              <w:rPr>
                <w:b/>
                <w:bCs w:val="0"/>
                <w:vertAlign w:val="superscript"/>
              </w:rPr>
              <w:t>5</w:t>
            </w:r>
          </w:p>
        </w:tc>
        <w:tc>
          <w:tcPr>
            <w:tcW w:w="1151" w:type="dxa"/>
            <w:tcBorders>
              <w:top w:val="single" w:sz="4" w:space="0" w:color="000000"/>
              <w:left w:val="single" w:sz="4" w:space="0" w:color="000000"/>
              <w:bottom w:val="single" w:sz="4" w:space="0" w:color="000000"/>
              <w:right w:val="single" w:sz="4" w:space="0" w:color="000000"/>
            </w:tcBorders>
          </w:tcPr>
          <w:p w14:paraId="71257994" w14:textId="4400763B"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1C050F">
              <w:rPr>
                <w:b/>
                <w:bCs w:val="0"/>
                <w:vertAlign w:val="superscript"/>
              </w:rPr>
              <w:t>5</w:t>
            </w:r>
          </w:p>
        </w:tc>
        <w:tc>
          <w:tcPr>
            <w:tcW w:w="1152" w:type="dxa"/>
            <w:tcBorders>
              <w:top w:val="single" w:sz="4" w:space="0" w:color="000000"/>
              <w:left w:val="single" w:sz="4" w:space="0" w:color="000000"/>
              <w:bottom w:val="single" w:sz="4" w:space="0" w:color="000000"/>
              <w:right w:val="single" w:sz="4" w:space="0" w:color="000000"/>
            </w:tcBorders>
          </w:tcPr>
          <w:p w14:paraId="45B61ACD" w14:textId="708838CA"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1C050F">
              <w:rPr>
                <w:b/>
                <w:bCs w:val="0"/>
                <w:vertAlign w:val="superscript"/>
              </w:rPr>
              <w:t>6</w:t>
            </w:r>
          </w:p>
        </w:tc>
      </w:tr>
      <w:tr w:rsidR="004D59D4" w14:paraId="0AE297F4" w14:textId="77777777">
        <w:tc>
          <w:tcPr>
            <w:tcW w:w="2123" w:type="dxa"/>
            <w:tcBorders>
              <w:top w:val="single" w:sz="4" w:space="0" w:color="000000"/>
              <w:left w:val="single" w:sz="4" w:space="0" w:color="000000"/>
              <w:bottom w:val="single" w:sz="4" w:space="0" w:color="000000"/>
              <w:right w:val="single" w:sz="4" w:space="0" w:color="000000"/>
            </w:tcBorders>
          </w:tcPr>
          <w:p w14:paraId="04B40384" w14:textId="77777777" w:rsidR="004D59D4" w:rsidRDefault="00023FAF" w:rsidP="00025AAC">
            <w:pPr>
              <w:pStyle w:val="TableText1"/>
              <w:rPr>
                <w:sz w:val="19"/>
                <w:szCs w:val="19"/>
              </w:rPr>
            </w:pPr>
            <w:r>
              <w:t>Rebate (RSA)</w:t>
            </w:r>
          </w:p>
        </w:tc>
        <w:tc>
          <w:tcPr>
            <w:tcW w:w="1149" w:type="dxa"/>
            <w:tcBorders>
              <w:top w:val="single" w:sz="4" w:space="0" w:color="000000"/>
              <w:left w:val="single" w:sz="4" w:space="0" w:color="000000"/>
              <w:bottom w:val="single" w:sz="4" w:space="0" w:color="000000"/>
              <w:right w:val="single" w:sz="4" w:space="0" w:color="000000"/>
            </w:tcBorders>
          </w:tcPr>
          <w:p w14:paraId="08F78459" w14:textId="161B46A5" w:rsidR="004D59D4" w:rsidRPr="001D4BD5" w:rsidRDefault="00023FAF" w:rsidP="00025AAC">
            <w:pPr>
              <w:pStyle w:val="TableText1"/>
              <w:jc w:val="center"/>
              <w:rPr>
                <w:vertAlign w:val="superscript"/>
              </w:rPr>
            </w:pPr>
            <w:r>
              <w:t>$</w:t>
            </w:r>
            <w:r w:rsidR="002615A2" w:rsidRPr="002615A2">
              <w:rPr>
                <w:sz w:val="2"/>
                <w:highlight w:val="black"/>
              </w:rPr>
              <w:t>redacted content</w:t>
            </w:r>
            <w:r w:rsidR="00DD1710">
              <w:rPr>
                <w:vertAlign w:val="superscript"/>
              </w:rPr>
              <w:t>8</w:t>
            </w:r>
          </w:p>
        </w:tc>
        <w:tc>
          <w:tcPr>
            <w:tcW w:w="1151" w:type="dxa"/>
            <w:tcBorders>
              <w:top w:val="single" w:sz="4" w:space="0" w:color="000000"/>
              <w:left w:val="single" w:sz="4" w:space="0" w:color="000000"/>
              <w:bottom w:val="single" w:sz="4" w:space="0" w:color="000000"/>
              <w:right w:val="single" w:sz="4" w:space="0" w:color="000000"/>
            </w:tcBorders>
          </w:tcPr>
          <w:p w14:paraId="1A9CEFF3" w14:textId="3F293BF7" w:rsidR="004D59D4" w:rsidRPr="001D4BD5" w:rsidRDefault="00023FAF" w:rsidP="00025AAC">
            <w:pPr>
              <w:pStyle w:val="TableText1"/>
              <w:jc w:val="center"/>
              <w:rPr>
                <w:vertAlign w:val="superscript"/>
              </w:rPr>
            </w:pPr>
            <w:r>
              <w:t>$</w:t>
            </w:r>
            <w:r w:rsidR="002615A2" w:rsidRPr="002615A2">
              <w:rPr>
                <w:sz w:val="2"/>
                <w:highlight w:val="black"/>
              </w:rPr>
              <w:t>redacted content</w:t>
            </w:r>
            <w:r w:rsidR="00DD1710">
              <w:rPr>
                <w:vertAlign w:val="superscript"/>
              </w:rPr>
              <w:t>9</w:t>
            </w:r>
          </w:p>
        </w:tc>
        <w:tc>
          <w:tcPr>
            <w:tcW w:w="1150" w:type="dxa"/>
            <w:tcBorders>
              <w:top w:val="single" w:sz="4" w:space="0" w:color="000000"/>
              <w:left w:val="single" w:sz="4" w:space="0" w:color="000000"/>
              <w:bottom w:val="single" w:sz="4" w:space="0" w:color="000000"/>
              <w:right w:val="single" w:sz="4" w:space="0" w:color="000000"/>
            </w:tcBorders>
          </w:tcPr>
          <w:p w14:paraId="11ADF7CD" w14:textId="6E5001FA" w:rsidR="004D59D4" w:rsidRPr="001D4BD5" w:rsidRDefault="00023FAF" w:rsidP="00025AAC">
            <w:pPr>
              <w:pStyle w:val="TableText1"/>
              <w:jc w:val="center"/>
              <w:rPr>
                <w:vertAlign w:val="superscript"/>
              </w:rPr>
            </w:pPr>
            <w:r>
              <w:t>$</w:t>
            </w:r>
            <w:r w:rsidR="002615A2" w:rsidRPr="002615A2">
              <w:rPr>
                <w:sz w:val="2"/>
                <w:highlight w:val="black"/>
              </w:rPr>
              <w:t>redacted content</w:t>
            </w:r>
            <w:r w:rsidR="00DD1710">
              <w:rPr>
                <w:vertAlign w:val="superscript"/>
              </w:rPr>
              <w:t>9</w:t>
            </w:r>
          </w:p>
        </w:tc>
        <w:tc>
          <w:tcPr>
            <w:tcW w:w="1150" w:type="dxa"/>
            <w:tcBorders>
              <w:top w:val="single" w:sz="4" w:space="0" w:color="000000"/>
              <w:left w:val="single" w:sz="4" w:space="0" w:color="000000"/>
              <w:bottom w:val="single" w:sz="4" w:space="0" w:color="000000"/>
              <w:right w:val="single" w:sz="4" w:space="0" w:color="000000"/>
            </w:tcBorders>
          </w:tcPr>
          <w:p w14:paraId="5A0821A1" w14:textId="66921C3D" w:rsidR="004D59D4" w:rsidRPr="001D4BD5" w:rsidRDefault="00023FAF" w:rsidP="00025AAC">
            <w:pPr>
              <w:pStyle w:val="TableText1"/>
              <w:jc w:val="center"/>
              <w:rPr>
                <w:vertAlign w:val="superscript"/>
              </w:rPr>
            </w:pPr>
            <w:r>
              <w:t>$</w:t>
            </w:r>
            <w:r w:rsidR="002615A2" w:rsidRPr="002615A2">
              <w:rPr>
                <w:sz w:val="2"/>
                <w:highlight w:val="black"/>
              </w:rPr>
              <w:t>redacted content</w:t>
            </w:r>
            <w:r w:rsidR="00B135E9">
              <w:rPr>
                <w:vertAlign w:val="superscript"/>
              </w:rPr>
              <w:t>3</w:t>
            </w:r>
          </w:p>
        </w:tc>
        <w:tc>
          <w:tcPr>
            <w:tcW w:w="1151" w:type="dxa"/>
            <w:tcBorders>
              <w:top w:val="single" w:sz="4" w:space="0" w:color="000000"/>
              <w:left w:val="single" w:sz="4" w:space="0" w:color="000000"/>
              <w:bottom w:val="single" w:sz="4" w:space="0" w:color="000000"/>
              <w:right w:val="single" w:sz="4" w:space="0" w:color="000000"/>
            </w:tcBorders>
          </w:tcPr>
          <w:p w14:paraId="04FEF323" w14:textId="02EB1F1D" w:rsidR="004D59D4" w:rsidRPr="001D4BD5" w:rsidRDefault="00023FAF" w:rsidP="00025AAC">
            <w:pPr>
              <w:pStyle w:val="TableText1"/>
              <w:jc w:val="center"/>
              <w:rPr>
                <w:vertAlign w:val="superscript"/>
              </w:rPr>
            </w:pPr>
            <w:r>
              <w:t>$</w:t>
            </w:r>
            <w:r w:rsidR="002615A2" w:rsidRPr="002615A2">
              <w:rPr>
                <w:sz w:val="2"/>
                <w:highlight w:val="black"/>
              </w:rPr>
              <w:t>redacted content</w:t>
            </w:r>
            <w:r w:rsidR="00B135E9">
              <w:rPr>
                <w:vertAlign w:val="superscript"/>
              </w:rPr>
              <w:t>3</w:t>
            </w:r>
          </w:p>
        </w:tc>
        <w:tc>
          <w:tcPr>
            <w:tcW w:w="1152" w:type="dxa"/>
            <w:tcBorders>
              <w:top w:val="single" w:sz="4" w:space="0" w:color="000000"/>
              <w:left w:val="single" w:sz="4" w:space="0" w:color="000000"/>
              <w:bottom w:val="single" w:sz="4" w:space="0" w:color="000000"/>
              <w:right w:val="single" w:sz="4" w:space="0" w:color="000000"/>
            </w:tcBorders>
          </w:tcPr>
          <w:p w14:paraId="43C22A6E" w14:textId="78FDDDD7" w:rsidR="004D59D4" w:rsidRPr="001D4BD5" w:rsidRDefault="00023FAF" w:rsidP="00025AAC">
            <w:pPr>
              <w:pStyle w:val="TableText1"/>
              <w:jc w:val="center"/>
              <w:rPr>
                <w:vertAlign w:val="superscript"/>
              </w:rPr>
            </w:pPr>
            <w:r>
              <w:t>$</w:t>
            </w:r>
            <w:r w:rsidR="002615A2" w:rsidRPr="002615A2">
              <w:rPr>
                <w:sz w:val="2"/>
                <w:highlight w:val="black"/>
              </w:rPr>
              <w:t>redacted content</w:t>
            </w:r>
            <w:r w:rsidR="00B135E9">
              <w:rPr>
                <w:vertAlign w:val="superscript"/>
              </w:rPr>
              <w:t>4</w:t>
            </w:r>
          </w:p>
        </w:tc>
      </w:tr>
      <w:tr w:rsidR="004D59D4" w14:paraId="409FFFF2" w14:textId="77777777">
        <w:tc>
          <w:tcPr>
            <w:tcW w:w="2123" w:type="dxa"/>
            <w:tcBorders>
              <w:top w:val="single" w:sz="4" w:space="0" w:color="000000"/>
              <w:left w:val="single" w:sz="4" w:space="0" w:color="000000"/>
              <w:bottom w:val="single" w:sz="4" w:space="0" w:color="000000"/>
              <w:right w:val="single" w:sz="4" w:space="0" w:color="000000"/>
            </w:tcBorders>
          </w:tcPr>
          <w:p w14:paraId="31EC24E3" w14:textId="77777777" w:rsidR="004D59D4" w:rsidRDefault="00023FAF" w:rsidP="00025AAC">
            <w:pPr>
              <w:pStyle w:val="TableText1"/>
              <w:rPr>
                <w:b/>
                <w:bCs w:val="0"/>
                <w:sz w:val="19"/>
                <w:szCs w:val="19"/>
              </w:rPr>
            </w:pPr>
            <w:r>
              <w:rPr>
                <w:b/>
                <w:bCs w:val="0"/>
              </w:rPr>
              <w:t>Net cost R/PBS (proposed cap)</w:t>
            </w:r>
          </w:p>
        </w:tc>
        <w:tc>
          <w:tcPr>
            <w:tcW w:w="1149" w:type="dxa"/>
            <w:tcBorders>
              <w:top w:val="single" w:sz="4" w:space="0" w:color="000000"/>
              <w:left w:val="single" w:sz="4" w:space="0" w:color="000000"/>
              <w:bottom w:val="single" w:sz="4" w:space="0" w:color="000000"/>
              <w:right w:val="single" w:sz="4" w:space="0" w:color="000000"/>
            </w:tcBorders>
          </w:tcPr>
          <w:p w14:paraId="4B4FE99D" w14:textId="7D3ADD7F" w:rsidR="004D59D4" w:rsidRDefault="00023FAF" w:rsidP="00025AAC">
            <w:pPr>
              <w:pStyle w:val="TableText1"/>
              <w:jc w:val="center"/>
              <w:rPr>
                <w:b/>
                <w:bCs w:val="0"/>
              </w:rPr>
            </w:pPr>
            <w:r>
              <w:rPr>
                <w:b/>
                <w:bCs w:val="0"/>
              </w:rPr>
              <w:t>$</w:t>
            </w:r>
            <w:r w:rsidR="002615A2" w:rsidRPr="002615A2">
              <w:rPr>
                <w:b/>
                <w:bCs w:val="0"/>
                <w:sz w:val="2"/>
                <w:highlight w:val="black"/>
              </w:rPr>
              <w:t>redacted content</w:t>
            </w:r>
            <w:r w:rsidR="00B135E9" w:rsidRPr="001D4BD5">
              <w:rPr>
                <w:b/>
                <w:b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53C1FB02" w14:textId="632A9E51"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B135E9">
              <w:rPr>
                <w:b/>
                <w:b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53C766CC" w14:textId="61F3E9E9"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B135E9">
              <w:rPr>
                <w:b/>
                <w:b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23BF8F9B" w14:textId="685A2636"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B135E9">
              <w:rPr>
                <w:b/>
                <w:b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06F4EB94" w14:textId="692405D2"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B135E9">
              <w:rPr>
                <w:b/>
                <w:bCs w:val="0"/>
                <w:vertAlign w:val="superscript"/>
              </w:rPr>
              <w:t>11</w:t>
            </w:r>
          </w:p>
        </w:tc>
        <w:tc>
          <w:tcPr>
            <w:tcW w:w="1152" w:type="dxa"/>
            <w:tcBorders>
              <w:top w:val="single" w:sz="4" w:space="0" w:color="000000"/>
              <w:left w:val="single" w:sz="4" w:space="0" w:color="000000"/>
              <w:bottom w:val="single" w:sz="4" w:space="0" w:color="000000"/>
              <w:right w:val="single" w:sz="4" w:space="0" w:color="000000"/>
            </w:tcBorders>
          </w:tcPr>
          <w:p w14:paraId="7CFE3E11" w14:textId="742177AB" w:rsidR="004D59D4" w:rsidRPr="001D4BD5" w:rsidRDefault="00023FAF" w:rsidP="00025AAC">
            <w:pPr>
              <w:pStyle w:val="TableText1"/>
              <w:jc w:val="center"/>
              <w:rPr>
                <w:b/>
                <w:bCs w:val="0"/>
                <w:vertAlign w:val="superscript"/>
              </w:rPr>
            </w:pPr>
            <w:r>
              <w:rPr>
                <w:b/>
                <w:bCs w:val="0"/>
              </w:rPr>
              <w:t>$</w:t>
            </w:r>
            <w:r w:rsidR="002615A2" w:rsidRPr="002615A2">
              <w:rPr>
                <w:b/>
                <w:bCs w:val="0"/>
                <w:sz w:val="2"/>
                <w:highlight w:val="black"/>
              </w:rPr>
              <w:t>redacted content</w:t>
            </w:r>
            <w:r w:rsidR="00B135E9">
              <w:rPr>
                <w:b/>
                <w:bCs w:val="0"/>
                <w:vertAlign w:val="superscript"/>
              </w:rPr>
              <w:t>11</w:t>
            </w:r>
          </w:p>
        </w:tc>
      </w:tr>
      <w:tr w:rsidR="004D59D4" w14:paraId="64CCB6CD" w14:textId="77777777">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552AC4CC" w14:textId="5C3CFC5A" w:rsidR="004D59D4" w:rsidRDefault="00023FAF" w:rsidP="00025AAC">
            <w:pPr>
              <w:pStyle w:val="In-tableHeading"/>
            </w:pPr>
            <w:r>
              <w:t xml:space="preserve">Estimated financial implications of </w:t>
            </w:r>
            <w:proofErr w:type="spellStart"/>
            <w:r>
              <w:t>pegvaliase</w:t>
            </w:r>
            <w:proofErr w:type="spellEnd"/>
            <w:r>
              <w:t xml:space="preserve"> (assumed effective cost = $</w:t>
            </w:r>
            <w:r w:rsidR="002615A2" w:rsidRPr="002615A2">
              <w:rPr>
                <w:sz w:val="2"/>
                <w:highlight w:val="black"/>
              </w:rPr>
              <w:t xml:space="preserve">redacted </w:t>
            </w:r>
            <w:proofErr w:type="gramStart"/>
            <w:r w:rsidR="002615A2" w:rsidRPr="002615A2">
              <w:rPr>
                <w:sz w:val="2"/>
                <w:highlight w:val="black"/>
              </w:rPr>
              <w:t>content</w:t>
            </w:r>
            <w:r>
              <w:t>)</w:t>
            </w:r>
            <w:r>
              <w:rPr>
                <w:vertAlign w:val="superscript"/>
              </w:rPr>
              <w:t>b</w:t>
            </w:r>
            <w:proofErr w:type="gramEnd"/>
            <w:r>
              <w:rPr>
                <w:vertAlign w:val="superscript"/>
              </w:rPr>
              <w:t xml:space="preserve"> </w:t>
            </w:r>
          </w:p>
        </w:tc>
      </w:tr>
      <w:tr w:rsidR="004D59D4" w14:paraId="08D92C97"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1C8DB782" w14:textId="77777777" w:rsidR="004D59D4" w:rsidRDefault="00023FAF" w:rsidP="00025AAC">
            <w:pPr>
              <w:pStyle w:val="TableText1"/>
              <w:rPr>
                <w:sz w:val="19"/>
                <w:szCs w:val="19"/>
              </w:rPr>
            </w:pPr>
            <w:r>
              <w:rPr>
                <w:sz w:val="19"/>
                <w:szCs w:val="19"/>
              </w:rPr>
              <w:t>Cost to R/PBS</w:t>
            </w:r>
          </w:p>
        </w:tc>
        <w:tc>
          <w:tcPr>
            <w:tcW w:w="1149" w:type="dxa"/>
            <w:tcBorders>
              <w:top w:val="single" w:sz="4" w:space="0" w:color="000000"/>
              <w:left w:val="single" w:sz="4" w:space="0" w:color="000000"/>
              <w:bottom w:val="single" w:sz="4" w:space="0" w:color="000000"/>
              <w:right w:val="single" w:sz="4" w:space="0" w:color="000000"/>
            </w:tcBorders>
          </w:tcPr>
          <w:p w14:paraId="03C5B253" w14:textId="53E881FB" w:rsidR="004D59D4" w:rsidRPr="001D4BD5" w:rsidRDefault="00023FAF" w:rsidP="00025AAC">
            <w:pPr>
              <w:pStyle w:val="TableText1"/>
              <w:jc w:val="center"/>
              <w:rPr>
                <w:vertAlign w:val="superscript"/>
              </w:rPr>
            </w:pPr>
            <w:r>
              <w:t>$</w:t>
            </w:r>
            <w:r w:rsidR="002615A2" w:rsidRPr="002615A2">
              <w:rPr>
                <w:sz w:val="2"/>
                <w:highlight w:val="black"/>
              </w:rPr>
              <w:t>redacted content</w:t>
            </w:r>
            <w:r w:rsidR="00B135E9">
              <w:rPr>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5256C130" w14:textId="44A2FBA6" w:rsidR="004D59D4" w:rsidRPr="001D4BD5" w:rsidRDefault="00023FAF" w:rsidP="00025AAC">
            <w:pPr>
              <w:pStyle w:val="TableText1"/>
              <w:jc w:val="center"/>
              <w:rPr>
                <w:vertAlign w:val="superscript"/>
              </w:rPr>
            </w:pPr>
            <w:r>
              <w:t>$</w:t>
            </w:r>
            <w:r w:rsidR="002615A2" w:rsidRPr="002615A2">
              <w:rPr>
                <w:sz w:val="2"/>
                <w:highlight w:val="black"/>
              </w:rPr>
              <w:t>redacted content</w:t>
            </w:r>
            <w:r w:rsidR="00B135E9">
              <w:rPr>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653E40A0" w14:textId="0F0A9236" w:rsidR="004D59D4" w:rsidRPr="001D4BD5" w:rsidRDefault="00023FAF" w:rsidP="00025AAC">
            <w:pPr>
              <w:pStyle w:val="TableText1"/>
              <w:jc w:val="center"/>
              <w:rPr>
                <w:vertAlign w:val="superscript"/>
              </w:rPr>
            </w:pPr>
            <w:r>
              <w:t>$</w:t>
            </w:r>
            <w:r w:rsidR="002615A2" w:rsidRPr="002615A2">
              <w:rPr>
                <w:sz w:val="2"/>
                <w:highlight w:val="black"/>
              </w:rPr>
              <w:t>redacted content</w:t>
            </w:r>
            <w:r w:rsidR="00B135E9">
              <w:rPr>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20423370" w14:textId="118C3A44" w:rsidR="004D59D4" w:rsidRPr="001D4BD5" w:rsidRDefault="00023FAF" w:rsidP="00025AAC">
            <w:pPr>
              <w:pStyle w:val="TableText1"/>
              <w:jc w:val="center"/>
              <w:rPr>
                <w:vertAlign w:val="superscript"/>
              </w:rPr>
            </w:pPr>
            <w:r>
              <w:t>$</w:t>
            </w:r>
            <w:r w:rsidR="002615A2" w:rsidRPr="002615A2">
              <w:rPr>
                <w:sz w:val="2"/>
                <w:highlight w:val="black"/>
              </w:rPr>
              <w:t>redacted content</w:t>
            </w:r>
            <w:r w:rsidR="00B135E9">
              <w:rPr>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26BC0616" w14:textId="6E1F1DC0" w:rsidR="004D59D4" w:rsidRPr="001D4BD5" w:rsidRDefault="00023FAF" w:rsidP="00025AAC">
            <w:pPr>
              <w:pStyle w:val="TableText1"/>
              <w:jc w:val="center"/>
              <w:rPr>
                <w:vertAlign w:val="superscript"/>
              </w:rPr>
            </w:pPr>
            <w:r>
              <w:t>$</w:t>
            </w:r>
            <w:r w:rsidR="002615A2" w:rsidRPr="002615A2">
              <w:rPr>
                <w:sz w:val="2"/>
                <w:highlight w:val="black"/>
              </w:rPr>
              <w:t>redacted content</w:t>
            </w:r>
            <w:r w:rsidR="00B135E9">
              <w:rPr>
                <w:vertAlign w:val="superscript"/>
              </w:rPr>
              <w:t>11</w:t>
            </w:r>
          </w:p>
        </w:tc>
        <w:tc>
          <w:tcPr>
            <w:tcW w:w="1152" w:type="dxa"/>
            <w:tcBorders>
              <w:top w:val="single" w:sz="4" w:space="0" w:color="000000"/>
              <w:left w:val="single" w:sz="4" w:space="0" w:color="000000"/>
              <w:bottom w:val="single" w:sz="4" w:space="0" w:color="000000"/>
              <w:right w:val="single" w:sz="4" w:space="0" w:color="000000"/>
            </w:tcBorders>
          </w:tcPr>
          <w:p w14:paraId="16424EE4" w14:textId="39C9CDFC" w:rsidR="004D59D4" w:rsidRPr="001D4BD5" w:rsidRDefault="00023FAF" w:rsidP="00025AAC">
            <w:pPr>
              <w:pStyle w:val="TableText1"/>
              <w:jc w:val="center"/>
              <w:rPr>
                <w:vertAlign w:val="superscript"/>
              </w:rPr>
            </w:pPr>
            <w:r>
              <w:t>$</w:t>
            </w:r>
            <w:r w:rsidR="002615A2" w:rsidRPr="002615A2">
              <w:rPr>
                <w:sz w:val="2"/>
                <w:highlight w:val="black"/>
              </w:rPr>
              <w:t>redacted content</w:t>
            </w:r>
            <w:r w:rsidR="00B135E9">
              <w:rPr>
                <w:vertAlign w:val="superscript"/>
              </w:rPr>
              <w:t>11</w:t>
            </w:r>
          </w:p>
        </w:tc>
      </w:tr>
      <w:tr w:rsidR="004D59D4" w14:paraId="1684044E"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0E905355" w14:textId="77777777" w:rsidR="004D59D4" w:rsidRDefault="00023FAF" w:rsidP="00025AAC">
            <w:pPr>
              <w:pStyle w:val="TableText1"/>
              <w:rPr>
                <w:sz w:val="19"/>
                <w:szCs w:val="19"/>
              </w:rPr>
            </w:pPr>
            <w:r>
              <w:rPr>
                <w:sz w:val="19"/>
                <w:szCs w:val="19"/>
              </w:rPr>
              <w:t>Cost of copayments</w:t>
            </w:r>
          </w:p>
        </w:tc>
        <w:tc>
          <w:tcPr>
            <w:tcW w:w="1149" w:type="dxa"/>
            <w:tcBorders>
              <w:top w:val="single" w:sz="4" w:space="0" w:color="000000"/>
              <w:left w:val="single" w:sz="4" w:space="0" w:color="000000"/>
              <w:bottom w:val="single" w:sz="4" w:space="0" w:color="000000"/>
              <w:right w:val="single" w:sz="4" w:space="0" w:color="000000"/>
            </w:tcBorders>
          </w:tcPr>
          <w:p w14:paraId="51D99960" w14:textId="4C1C6238"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7</w:t>
            </w:r>
          </w:p>
        </w:tc>
        <w:tc>
          <w:tcPr>
            <w:tcW w:w="1151" w:type="dxa"/>
            <w:tcBorders>
              <w:top w:val="single" w:sz="4" w:space="0" w:color="000000"/>
              <w:left w:val="single" w:sz="4" w:space="0" w:color="000000"/>
              <w:bottom w:val="single" w:sz="4" w:space="0" w:color="000000"/>
              <w:right w:val="single" w:sz="4" w:space="0" w:color="000000"/>
            </w:tcBorders>
          </w:tcPr>
          <w:p w14:paraId="23DDEC3E" w14:textId="6C12C6B8"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7</w:t>
            </w:r>
          </w:p>
        </w:tc>
        <w:tc>
          <w:tcPr>
            <w:tcW w:w="1150" w:type="dxa"/>
            <w:tcBorders>
              <w:top w:val="single" w:sz="4" w:space="0" w:color="000000"/>
              <w:left w:val="single" w:sz="4" w:space="0" w:color="000000"/>
              <w:bottom w:val="single" w:sz="4" w:space="0" w:color="000000"/>
              <w:right w:val="single" w:sz="4" w:space="0" w:color="000000"/>
            </w:tcBorders>
          </w:tcPr>
          <w:p w14:paraId="13BCBD60" w14:textId="6F168047"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7</w:t>
            </w:r>
          </w:p>
        </w:tc>
        <w:tc>
          <w:tcPr>
            <w:tcW w:w="1150" w:type="dxa"/>
            <w:tcBorders>
              <w:top w:val="single" w:sz="4" w:space="0" w:color="000000"/>
              <w:left w:val="single" w:sz="4" w:space="0" w:color="000000"/>
              <w:bottom w:val="single" w:sz="4" w:space="0" w:color="000000"/>
              <w:right w:val="single" w:sz="4" w:space="0" w:color="000000"/>
            </w:tcBorders>
          </w:tcPr>
          <w:p w14:paraId="4AB9BDDA" w14:textId="471502C4"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7</w:t>
            </w:r>
          </w:p>
        </w:tc>
        <w:tc>
          <w:tcPr>
            <w:tcW w:w="1151" w:type="dxa"/>
            <w:tcBorders>
              <w:top w:val="single" w:sz="4" w:space="0" w:color="000000"/>
              <w:left w:val="single" w:sz="4" w:space="0" w:color="000000"/>
              <w:bottom w:val="single" w:sz="4" w:space="0" w:color="000000"/>
              <w:right w:val="single" w:sz="4" w:space="0" w:color="000000"/>
            </w:tcBorders>
          </w:tcPr>
          <w:p w14:paraId="52B533F4" w14:textId="0BF97403"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7</w:t>
            </w:r>
          </w:p>
        </w:tc>
        <w:tc>
          <w:tcPr>
            <w:tcW w:w="1152" w:type="dxa"/>
            <w:tcBorders>
              <w:top w:val="single" w:sz="4" w:space="0" w:color="000000"/>
              <w:left w:val="single" w:sz="4" w:space="0" w:color="000000"/>
              <w:bottom w:val="single" w:sz="4" w:space="0" w:color="000000"/>
              <w:right w:val="single" w:sz="4" w:space="0" w:color="000000"/>
            </w:tcBorders>
          </w:tcPr>
          <w:p w14:paraId="0C96F6BA" w14:textId="7E66E15B"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7</w:t>
            </w:r>
          </w:p>
        </w:tc>
      </w:tr>
      <w:tr w:rsidR="004D59D4" w14:paraId="20D62F17"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61A5E9CB" w14:textId="77777777" w:rsidR="004D59D4" w:rsidRDefault="00023FAF" w:rsidP="00025AAC">
            <w:pPr>
              <w:pStyle w:val="TableText1"/>
              <w:rPr>
                <w:sz w:val="19"/>
                <w:szCs w:val="19"/>
              </w:rPr>
            </w:pPr>
            <w:r>
              <w:rPr>
                <w:sz w:val="19"/>
                <w:szCs w:val="19"/>
              </w:rPr>
              <w:t>Cost to R/PBS less copayments (</w:t>
            </w:r>
            <w:r>
              <w:rPr>
                <w:b/>
                <w:bCs w:val="0"/>
                <w:sz w:val="19"/>
                <w:szCs w:val="19"/>
              </w:rPr>
              <w:t xml:space="preserve">proposed </w:t>
            </w:r>
            <w:proofErr w:type="gramStart"/>
            <w:r>
              <w:rPr>
                <w:b/>
                <w:bCs w:val="0"/>
                <w:sz w:val="19"/>
                <w:szCs w:val="19"/>
              </w:rPr>
              <w:t>cap</w:t>
            </w:r>
            <w:r>
              <w:rPr>
                <w:sz w:val="19"/>
                <w:szCs w:val="19"/>
              </w:rPr>
              <w:t>)</w:t>
            </w:r>
            <w:r>
              <w:rPr>
                <w:vertAlign w:val="superscript"/>
              </w:rPr>
              <w:t>c</w:t>
            </w:r>
            <w:proofErr w:type="gramEnd"/>
          </w:p>
        </w:tc>
        <w:tc>
          <w:tcPr>
            <w:tcW w:w="1149" w:type="dxa"/>
            <w:tcBorders>
              <w:top w:val="single" w:sz="4" w:space="0" w:color="000000"/>
              <w:left w:val="single" w:sz="4" w:space="0" w:color="000000"/>
              <w:bottom w:val="single" w:sz="4" w:space="0" w:color="000000"/>
              <w:right w:val="single" w:sz="4" w:space="0" w:color="000000"/>
            </w:tcBorders>
            <w:vAlign w:val="center"/>
          </w:tcPr>
          <w:p w14:paraId="3506F932" w14:textId="7897CA91"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10</w:t>
            </w:r>
          </w:p>
        </w:tc>
        <w:tc>
          <w:tcPr>
            <w:tcW w:w="1151" w:type="dxa"/>
            <w:tcBorders>
              <w:top w:val="single" w:sz="4" w:space="0" w:color="000000"/>
              <w:left w:val="single" w:sz="4" w:space="0" w:color="000000"/>
              <w:bottom w:val="single" w:sz="4" w:space="0" w:color="000000"/>
              <w:right w:val="single" w:sz="4" w:space="0" w:color="000000"/>
            </w:tcBorders>
            <w:vAlign w:val="center"/>
          </w:tcPr>
          <w:p w14:paraId="6792D4F2" w14:textId="14DFC83E"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10</w:t>
            </w:r>
          </w:p>
        </w:tc>
        <w:tc>
          <w:tcPr>
            <w:tcW w:w="1150" w:type="dxa"/>
            <w:tcBorders>
              <w:top w:val="single" w:sz="4" w:space="0" w:color="000000"/>
              <w:left w:val="single" w:sz="4" w:space="0" w:color="000000"/>
              <w:bottom w:val="single" w:sz="4" w:space="0" w:color="000000"/>
              <w:right w:val="single" w:sz="4" w:space="0" w:color="000000"/>
            </w:tcBorders>
            <w:vAlign w:val="center"/>
          </w:tcPr>
          <w:p w14:paraId="07002355" w14:textId="09C38C89"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10</w:t>
            </w:r>
          </w:p>
        </w:tc>
        <w:tc>
          <w:tcPr>
            <w:tcW w:w="1150" w:type="dxa"/>
            <w:tcBorders>
              <w:top w:val="single" w:sz="4" w:space="0" w:color="000000"/>
              <w:left w:val="single" w:sz="4" w:space="0" w:color="000000"/>
              <w:bottom w:val="single" w:sz="4" w:space="0" w:color="000000"/>
              <w:right w:val="single" w:sz="4" w:space="0" w:color="000000"/>
            </w:tcBorders>
            <w:vAlign w:val="center"/>
          </w:tcPr>
          <w:p w14:paraId="2B581812" w14:textId="6253D79C"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10</w:t>
            </w:r>
          </w:p>
        </w:tc>
        <w:tc>
          <w:tcPr>
            <w:tcW w:w="1151" w:type="dxa"/>
            <w:tcBorders>
              <w:top w:val="single" w:sz="4" w:space="0" w:color="000000"/>
              <w:left w:val="single" w:sz="4" w:space="0" w:color="000000"/>
              <w:bottom w:val="single" w:sz="4" w:space="0" w:color="000000"/>
              <w:right w:val="single" w:sz="4" w:space="0" w:color="000000"/>
            </w:tcBorders>
            <w:vAlign w:val="center"/>
          </w:tcPr>
          <w:p w14:paraId="6DA03A1C" w14:textId="5AB95128"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11</w:t>
            </w:r>
          </w:p>
        </w:tc>
        <w:tc>
          <w:tcPr>
            <w:tcW w:w="1152" w:type="dxa"/>
            <w:tcBorders>
              <w:top w:val="single" w:sz="4" w:space="0" w:color="000000"/>
              <w:left w:val="single" w:sz="4" w:space="0" w:color="000000"/>
              <w:bottom w:val="single" w:sz="4" w:space="0" w:color="000000"/>
              <w:right w:val="single" w:sz="4" w:space="0" w:color="000000"/>
            </w:tcBorders>
            <w:vAlign w:val="center"/>
          </w:tcPr>
          <w:p w14:paraId="36E240A1" w14:textId="3AACC407" w:rsidR="004D59D4" w:rsidRPr="001D4BD5"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11</w:t>
            </w:r>
          </w:p>
        </w:tc>
      </w:tr>
      <w:tr w:rsidR="004D59D4" w14:paraId="060DFDC9"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53D94D96" w14:textId="77777777" w:rsidR="004D59D4" w:rsidRDefault="00023FAF" w:rsidP="00025AAC">
            <w:pPr>
              <w:pStyle w:val="TableText1"/>
              <w:rPr>
                <w:rFonts w:ascii="Times" w:hAnsi="Times"/>
              </w:rPr>
            </w:pPr>
            <w:r>
              <w:rPr>
                <w:sz w:val="19"/>
                <w:szCs w:val="19"/>
              </w:rPr>
              <w:t>Net cost of affected medicine</w:t>
            </w:r>
          </w:p>
        </w:tc>
        <w:tc>
          <w:tcPr>
            <w:tcW w:w="1149" w:type="dxa"/>
            <w:tcBorders>
              <w:top w:val="single" w:sz="4" w:space="0" w:color="000000"/>
              <w:left w:val="single" w:sz="4" w:space="0" w:color="000000"/>
              <w:bottom w:val="single" w:sz="4" w:space="0" w:color="000000"/>
              <w:right w:val="single" w:sz="4" w:space="0" w:color="000000"/>
            </w:tcBorders>
            <w:vAlign w:val="center"/>
          </w:tcPr>
          <w:p w14:paraId="5282513A" w14:textId="565E9909" w:rsidR="004D59D4" w:rsidRPr="001D4BD5" w:rsidRDefault="00023FAF" w:rsidP="00025AAC">
            <w:pPr>
              <w:pStyle w:val="TableText1"/>
              <w:jc w:val="center"/>
              <w:rPr>
                <w:vertAlign w:val="superscript"/>
              </w:rPr>
            </w:pPr>
            <w:r>
              <w:rPr>
                <w:rFonts w:cs="Calibri"/>
                <w:szCs w:val="20"/>
              </w:rPr>
              <w:t>-$</w:t>
            </w:r>
            <w:r w:rsidR="002615A2" w:rsidRPr="002615A2">
              <w:rPr>
                <w:rFonts w:cs="Calibri"/>
                <w:sz w:val="2"/>
                <w:szCs w:val="20"/>
                <w:highlight w:val="black"/>
              </w:rPr>
              <w:t>redacted content</w:t>
            </w:r>
            <w:r w:rsidR="000D5CF7">
              <w:rPr>
                <w:rFonts w:cs="Calibri"/>
                <w:szCs w:val="20"/>
                <w:vertAlign w:val="superscript"/>
              </w:rPr>
              <w:t>7</w:t>
            </w:r>
          </w:p>
        </w:tc>
        <w:tc>
          <w:tcPr>
            <w:tcW w:w="1151" w:type="dxa"/>
            <w:tcBorders>
              <w:top w:val="single" w:sz="4" w:space="0" w:color="000000"/>
              <w:left w:val="single" w:sz="4" w:space="0" w:color="000000"/>
              <w:bottom w:val="single" w:sz="4" w:space="0" w:color="000000"/>
              <w:right w:val="single" w:sz="4" w:space="0" w:color="000000"/>
            </w:tcBorders>
            <w:vAlign w:val="center"/>
          </w:tcPr>
          <w:p w14:paraId="6C7300D3" w14:textId="5B11D44E" w:rsidR="004D59D4" w:rsidRDefault="00023FAF" w:rsidP="00025AAC">
            <w:pPr>
              <w:pStyle w:val="TableText1"/>
              <w:jc w:val="center"/>
            </w:pPr>
            <w:r>
              <w:rPr>
                <w:rFonts w:cs="Calibri"/>
                <w:szCs w:val="20"/>
              </w:rPr>
              <w:t>-$</w:t>
            </w:r>
            <w:r w:rsidR="002615A2" w:rsidRPr="002615A2">
              <w:rPr>
                <w:rFonts w:cs="Calibri"/>
                <w:sz w:val="2"/>
                <w:szCs w:val="20"/>
                <w:highlight w:val="black"/>
              </w:rPr>
              <w:t>redacted content</w:t>
            </w:r>
            <w:r w:rsidR="000D5CF7">
              <w:rPr>
                <w:rFonts w:cs="Calibri"/>
                <w:szCs w:val="20"/>
                <w:vertAlign w:val="superscript"/>
              </w:rPr>
              <w:t>7</w:t>
            </w:r>
          </w:p>
        </w:tc>
        <w:tc>
          <w:tcPr>
            <w:tcW w:w="1150" w:type="dxa"/>
            <w:tcBorders>
              <w:top w:val="single" w:sz="4" w:space="0" w:color="000000"/>
              <w:left w:val="single" w:sz="4" w:space="0" w:color="000000"/>
              <w:bottom w:val="single" w:sz="4" w:space="0" w:color="000000"/>
              <w:right w:val="single" w:sz="4" w:space="0" w:color="000000"/>
            </w:tcBorders>
            <w:vAlign w:val="center"/>
          </w:tcPr>
          <w:p w14:paraId="12F387EE" w14:textId="7081090C" w:rsidR="004D59D4" w:rsidRDefault="00023FAF" w:rsidP="00025AAC">
            <w:pPr>
              <w:pStyle w:val="TableText1"/>
              <w:jc w:val="center"/>
            </w:pPr>
            <w:r>
              <w:rPr>
                <w:rFonts w:cs="Calibri"/>
                <w:szCs w:val="20"/>
              </w:rPr>
              <w:t>-$</w:t>
            </w:r>
            <w:r w:rsidR="002615A2" w:rsidRPr="002615A2">
              <w:rPr>
                <w:rFonts w:cs="Calibri"/>
                <w:sz w:val="2"/>
                <w:szCs w:val="20"/>
                <w:highlight w:val="black"/>
              </w:rPr>
              <w:t>redacted content</w:t>
            </w:r>
            <w:r w:rsidR="000D5CF7">
              <w:rPr>
                <w:rFonts w:cs="Calibri"/>
                <w:szCs w:val="20"/>
                <w:vertAlign w:val="superscript"/>
              </w:rPr>
              <w:t>7</w:t>
            </w:r>
          </w:p>
        </w:tc>
        <w:tc>
          <w:tcPr>
            <w:tcW w:w="1150" w:type="dxa"/>
            <w:tcBorders>
              <w:top w:val="single" w:sz="4" w:space="0" w:color="000000"/>
              <w:left w:val="single" w:sz="4" w:space="0" w:color="000000"/>
              <w:bottom w:val="single" w:sz="4" w:space="0" w:color="000000"/>
              <w:right w:val="single" w:sz="4" w:space="0" w:color="000000"/>
            </w:tcBorders>
            <w:vAlign w:val="center"/>
          </w:tcPr>
          <w:p w14:paraId="23B270E2" w14:textId="715257F9" w:rsidR="004D59D4" w:rsidRDefault="00023FAF" w:rsidP="00025AAC">
            <w:pPr>
              <w:pStyle w:val="TableText1"/>
              <w:jc w:val="center"/>
            </w:pPr>
            <w:r>
              <w:rPr>
                <w:rFonts w:cs="Calibri"/>
                <w:szCs w:val="20"/>
              </w:rPr>
              <w:t>-$</w:t>
            </w:r>
            <w:r w:rsidR="002615A2" w:rsidRPr="002615A2">
              <w:rPr>
                <w:rFonts w:cs="Calibri"/>
                <w:sz w:val="2"/>
                <w:szCs w:val="20"/>
                <w:highlight w:val="black"/>
              </w:rPr>
              <w:t>redacted content</w:t>
            </w:r>
            <w:r w:rsidR="000D5CF7">
              <w:rPr>
                <w:rFonts w:cs="Calibri"/>
                <w:szCs w:val="20"/>
                <w:vertAlign w:val="superscript"/>
              </w:rPr>
              <w:t>7</w:t>
            </w:r>
          </w:p>
        </w:tc>
        <w:tc>
          <w:tcPr>
            <w:tcW w:w="1151" w:type="dxa"/>
            <w:tcBorders>
              <w:top w:val="single" w:sz="4" w:space="0" w:color="000000"/>
              <w:left w:val="single" w:sz="4" w:space="0" w:color="000000"/>
              <w:bottom w:val="single" w:sz="4" w:space="0" w:color="000000"/>
              <w:right w:val="single" w:sz="4" w:space="0" w:color="000000"/>
            </w:tcBorders>
            <w:vAlign w:val="center"/>
          </w:tcPr>
          <w:p w14:paraId="0FA14327" w14:textId="1CE1959A" w:rsidR="004D59D4" w:rsidRDefault="00023FAF" w:rsidP="00025AAC">
            <w:pPr>
              <w:pStyle w:val="TableText1"/>
              <w:jc w:val="center"/>
            </w:pPr>
            <w:r>
              <w:rPr>
                <w:rFonts w:cs="Calibri"/>
                <w:szCs w:val="20"/>
              </w:rPr>
              <w:t>-$</w:t>
            </w:r>
            <w:r w:rsidR="002615A2" w:rsidRPr="002615A2">
              <w:rPr>
                <w:rFonts w:cs="Calibri"/>
                <w:sz w:val="2"/>
                <w:szCs w:val="20"/>
                <w:highlight w:val="black"/>
              </w:rPr>
              <w:t>redacted content</w:t>
            </w:r>
            <w:r w:rsidR="000D5CF7">
              <w:rPr>
                <w:rFonts w:cs="Calibri"/>
                <w:szCs w:val="20"/>
                <w:vertAlign w:val="superscript"/>
              </w:rPr>
              <w:t>7</w:t>
            </w:r>
          </w:p>
        </w:tc>
        <w:tc>
          <w:tcPr>
            <w:tcW w:w="1152" w:type="dxa"/>
            <w:tcBorders>
              <w:top w:val="single" w:sz="4" w:space="0" w:color="000000"/>
              <w:left w:val="single" w:sz="4" w:space="0" w:color="000000"/>
              <w:bottom w:val="single" w:sz="4" w:space="0" w:color="000000"/>
              <w:right w:val="single" w:sz="4" w:space="0" w:color="000000"/>
            </w:tcBorders>
            <w:vAlign w:val="center"/>
          </w:tcPr>
          <w:p w14:paraId="3899F9B9" w14:textId="2A88C01D" w:rsidR="004D59D4" w:rsidRDefault="00023FAF" w:rsidP="00025AAC">
            <w:pPr>
              <w:pStyle w:val="TableText1"/>
              <w:jc w:val="center"/>
            </w:pPr>
            <w:r>
              <w:rPr>
                <w:rFonts w:cs="Calibri"/>
                <w:szCs w:val="20"/>
              </w:rPr>
              <w:t>-$</w:t>
            </w:r>
            <w:r w:rsidR="002615A2" w:rsidRPr="002615A2">
              <w:rPr>
                <w:rFonts w:cs="Calibri"/>
                <w:sz w:val="2"/>
                <w:szCs w:val="20"/>
                <w:highlight w:val="black"/>
              </w:rPr>
              <w:t>redacted content</w:t>
            </w:r>
            <w:r w:rsidR="000D5CF7">
              <w:rPr>
                <w:rFonts w:cs="Calibri"/>
                <w:szCs w:val="20"/>
                <w:vertAlign w:val="superscript"/>
              </w:rPr>
              <w:t>7</w:t>
            </w:r>
          </w:p>
        </w:tc>
      </w:tr>
      <w:tr w:rsidR="004D59D4" w14:paraId="4A1CF9AB"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61CDB7BF" w14:textId="77777777" w:rsidR="004D59D4" w:rsidRDefault="00023FAF" w:rsidP="00025AAC">
            <w:pPr>
              <w:pStyle w:val="TableText1"/>
              <w:rPr>
                <w:sz w:val="19"/>
                <w:szCs w:val="19"/>
              </w:rPr>
            </w:pPr>
            <w:r>
              <w:rPr>
                <w:sz w:val="19"/>
                <w:szCs w:val="19"/>
              </w:rPr>
              <w:t>Net PBS cost (effective)</w:t>
            </w:r>
          </w:p>
        </w:tc>
        <w:tc>
          <w:tcPr>
            <w:tcW w:w="1149" w:type="dxa"/>
            <w:tcBorders>
              <w:top w:val="single" w:sz="4" w:space="0" w:color="000000"/>
              <w:left w:val="single" w:sz="4" w:space="0" w:color="000000"/>
              <w:bottom w:val="single" w:sz="4" w:space="0" w:color="000000"/>
              <w:right w:val="single" w:sz="4" w:space="0" w:color="000000"/>
            </w:tcBorders>
          </w:tcPr>
          <w:p w14:paraId="2C0F0F47" w14:textId="17137380" w:rsidR="004D59D4" w:rsidRPr="00A77FF8"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58C9D80E" w14:textId="7A9836A0" w:rsidR="004D59D4" w:rsidRDefault="00023FAF" w:rsidP="00025AAC">
            <w:pPr>
              <w:pStyle w:val="TableText1"/>
              <w:jc w:val="center"/>
            </w:pPr>
            <w:r>
              <w:t>$</w:t>
            </w:r>
            <w:r w:rsidR="002615A2" w:rsidRPr="002615A2">
              <w:rPr>
                <w:sz w:val="2"/>
                <w:highlight w:val="black"/>
              </w:rPr>
              <w:t>redacted content</w:t>
            </w:r>
            <w:r w:rsidR="000D5CF7">
              <w:rPr>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527272F1" w14:textId="5D2A811C" w:rsidR="004D59D4" w:rsidRDefault="00023FAF" w:rsidP="00025AAC">
            <w:pPr>
              <w:pStyle w:val="TableText1"/>
              <w:jc w:val="center"/>
            </w:pPr>
            <w:r>
              <w:t>$</w:t>
            </w:r>
            <w:r w:rsidR="002615A2" w:rsidRPr="002615A2">
              <w:rPr>
                <w:sz w:val="2"/>
                <w:highlight w:val="black"/>
              </w:rPr>
              <w:t>redacted content</w:t>
            </w:r>
            <w:r w:rsidR="000D5CF7">
              <w:rPr>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0BB069EF" w14:textId="4140ABA1" w:rsidR="004D59D4" w:rsidRDefault="00023FAF" w:rsidP="00025AAC">
            <w:pPr>
              <w:pStyle w:val="TableText1"/>
              <w:jc w:val="center"/>
            </w:pPr>
            <w:r>
              <w:t>$</w:t>
            </w:r>
            <w:r w:rsidR="002615A2" w:rsidRPr="002615A2">
              <w:rPr>
                <w:sz w:val="2"/>
                <w:highlight w:val="black"/>
              </w:rPr>
              <w:t>redacted content</w:t>
            </w:r>
            <w:r w:rsidR="000D5CF7">
              <w:rPr>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09DCBC43" w14:textId="036D1FE8" w:rsidR="004D59D4" w:rsidRDefault="00023FAF" w:rsidP="00025AAC">
            <w:pPr>
              <w:pStyle w:val="TableText1"/>
              <w:jc w:val="center"/>
            </w:pPr>
            <w:r>
              <w:t>$</w:t>
            </w:r>
            <w:r w:rsidR="002615A2" w:rsidRPr="002615A2">
              <w:rPr>
                <w:sz w:val="2"/>
                <w:highlight w:val="black"/>
              </w:rPr>
              <w:t>redacted content</w:t>
            </w:r>
            <w:r w:rsidR="000D5CF7">
              <w:rPr>
                <w:vertAlign w:val="superscript"/>
              </w:rPr>
              <w:t>10</w:t>
            </w:r>
          </w:p>
        </w:tc>
        <w:tc>
          <w:tcPr>
            <w:tcW w:w="1152" w:type="dxa"/>
            <w:tcBorders>
              <w:top w:val="single" w:sz="4" w:space="0" w:color="000000"/>
              <w:left w:val="single" w:sz="4" w:space="0" w:color="000000"/>
              <w:bottom w:val="single" w:sz="4" w:space="0" w:color="000000"/>
              <w:right w:val="single" w:sz="4" w:space="0" w:color="000000"/>
            </w:tcBorders>
          </w:tcPr>
          <w:p w14:paraId="742EFFEC" w14:textId="6A09C5FB" w:rsidR="004D59D4" w:rsidRPr="00A77FF8" w:rsidRDefault="00023FAF" w:rsidP="00025AAC">
            <w:pPr>
              <w:pStyle w:val="TableText1"/>
              <w:jc w:val="center"/>
              <w:rPr>
                <w:vertAlign w:val="superscript"/>
              </w:rPr>
            </w:pPr>
            <w:r>
              <w:t>$</w:t>
            </w:r>
            <w:r w:rsidR="002615A2" w:rsidRPr="002615A2">
              <w:rPr>
                <w:sz w:val="2"/>
                <w:highlight w:val="black"/>
              </w:rPr>
              <w:t>redacted content</w:t>
            </w:r>
            <w:r w:rsidR="000D5CF7">
              <w:rPr>
                <w:vertAlign w:val="superscript"/>
              </w:rPr>
              <w:t>11</w:t>
            </w:r>
          </w:p>
        </w:tc>
      </w:tr>
      <w:tr w:rsidR="004D59D4" w14:paraId="2B4FC8F9"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54A2F567" w14:textId="77777777" w:rsidR="004D59D4" w:rsidRDefault="00023FAF" w:rsidP="00025AAC">
            <w:pPr>
              <w:pStyle w:val="TableText1"/>
              <w:rPr>
                <w:sz w:val="19"/>
                <w:szCs w:val="19"/>
              </w:rPr>
            </w:pPr>
            <w:r>
              <w:rPr>
                <w:sz w:val="19"/>
                <w:szCs w:val="19"/>
              </w:rPr>
              <w:t>Net cost to MBS</w:t>
            </w:r>
          </w:p>
        </w:tc>
        <w:tc>
          <w:tcPr>
            <w:tcW w:w="1149" w:type="dxa"/>
            <w:tcBorders>
              <w:top w:val="single" w:sz="4" w:space="0" w:color="000000"/>
              <w:left w:val="single" w:sz="4" w:space="0" w:color="000000"/>
              <w:bottom w:val="single" w:sz="4" w:space="0" w:color="000000"/>
              <w:right w:val="single" w:sz="4" w:space="0" w:color="000000"/>
            </w:tcBorders>
          </w:tcPr>
          <w:p w14:paraId="0AAD59EC" w14:textId="70629ABB" w:rsidR="004D59D4" w:rsidRPr="00A77FF8" w:rsidRDefault="00023FAF" w:rsidP="00025AAC">
            <w:pPr>
              <w:pStyle w:val="TableText1"/>
              <w:jc w:val="center"/>
              <w:rPr>
                <w:rFonts w:cs="Calibri"/>
                <w:szCs w:val="20"/>
                <w:vertAlign w:val="superscript"/>
              </w:rPr>
            </w:pPr>
            <w:r>
              <w:t>$</w:t>
            </w:r>
            <w:r w:rsidR="002615A2" w:rsidRPr="002615A2">
              <w:rPr>
                <w:sz w:val="2"/>
                <w:highlight w:val="black"/>
              </w:rPr>
              <w:t>redacted content</w:t>
            </w:r>
            <w:r w:rsidR="00D312FF">
              <w:rPr>
                <w:vertAlign w:val="superscript"/>
              </w:rPr>
              <w:t>12</w:t>
            </w:r>
          </w:p>
        </w:tc>
        <w:tc>
          <w:tcPr>
            <w:tcW w:w="1151" w:type="dxa"/>
            <w:tcBorders>
              <w:top w:val="single" w:sz="4" w:space="0" w:color="000000"/>
              <w:left w:val="single" w:sz="4" w:space="0" w:color="000000"/>
              <w:bottom w:val="single" w:sz="4" w:space="0" w:color="000000"/>
              <w:right w:val="single" w:sz="4" w:space="0" w:color="000000"/>
            </w:tcBorders>
          </w:tcPr>
          <w:p w14:paraId="375F5C9F" w14:textId="7FE2FDE8" w:rsidR="004D59D4" w:rsidRDefault="00023FAF" w:rsidP="00025AAC">
            <w:pPr>
              <w:pStyle w:val="TableText1"/>
              <w:jc w:val="center"/>
              <w:rPr>
                <w:rFonts w:cs="Calibri"/>
                <w:szCs w:val="20"/>
              </w:rPr>
            </w:pPr>
            <w:r>
              <w:t>$</w:t>
            </w:r>
            <w:r w:rsidR="002615A2" w:rsidRPr="002615A2">
              <w:rPr>
                <w:sz w:val="2"/>
                <w:highlight w:val="black"/>
              </w:rPr>
              <w:t>redacted content</w:t>
            </w:r>
            <w:r w:rsidR="00D312FF">
              <w:rPr>
                <w:vertAlign w:val="superscript"/>
              </w:rPr>
              <w:t>12</w:t>
            </w:r>
          </w:p>
        </w:tc>
        <w:tc>
          <w:tcPr>
            <w:tcW w:w="1150" w:type="dxa"/>
            <w:tcBorders>
              <w:top w:val="single" w:sz="4" w:space="0" w:color="000000"/>
              <w:left w:val="single" w:sz="4" w:space="0" w:color="000000"/>
              <w:bottom w:val="single" w:sz="4" w:space="0" w:color="000000"/>
              <w:right w:val="single" w:sz="4" w:space="0" w:color="000000"/>
            </w:tcBorders>
          </w:tcPr>
          <w:p w14:paraId="607107D7" w14:textId="5539CCDB" w:rsidR="004D59D4" w:rsidRDefault="00023FAF" w:rsidP="00025AAC">
            <w:pPr>
              <w:pStyle w:val="TableText1"/>
              <w:jc w:val="center"/>
              <w:rPr>
                <w:rFonts w:cs="Calibri"/>
                <w:szCs w:val="20"/>
              </w:rPr>
            </w:pPr>
            <w:r>
              <w:t>$</w:t>
            </w:r>
            <w:r w:rsidR="002615A2" w:rsidRPr="002615A2">
              <w:rPr>
                <w:sz w:val="2"/>
                <w:highlight w:val="black"/>
              </w:rPr>
              <w:t>redacted content</w:t>
            </w:r>
            <w:r w:rsidR="00D312FF">
              <w:rPr>
                <w:vertAlign w:val="superscript"/>
              </w:rPr>
              <w:t>12</w:t>
            </w:r>
          </w:p>
        </w:tc>
        <w:tc>
          <w:tcPr>
            <w:tcW w:w="1150" w:type="dxa"/>
            <w:tcBorders>
              <w:top w:val="single" w:sz="4" w:space="0" w:color="000000"/>
              <w:left w:val="single" w:sz="4" w:space="0" w:color="000000"/>
              <w:bottom w:val="single" w:sz="4" w:space="0" w:color="000000"/>
              <w:right w:val="single" w:sz="4" w:space="0" w:color="000000"/>
            </w:tcBorders>
          </w:tcPr>
          <w:p w14:paraId="6B46B944" w14:textId="0F4B609D" w:rsidR="004D59D4" w:rsidRDefault="00023FAF" w:rsidP="00025AAC">
            <w:pPr>
              <w:pStyle w:val="TableText1"/>
              <w:jc w:val="center"/>
              <w:rPr>
                <w:rFonts w:cs="Calibri"/>
                <w:szCs w:val="20"/>
              </w:rPr>
            </w:pPr>
            <w:r>
              <w:t>$</w:t>
            </w:r>
            <w:r w:rsidR="002615A2" w:rsidRPr="002615A2">
              <w:rPr>
                <w:sz w:val="2"/>
                <w:highlight w:val="black"/>
              </w:rPr>
              <w:t>redacted content</w:t>
            </w:r>
            <w:r w:rsidR="00D312FF">
              <w:rPr>
                <w:vertAlign w:val="superscript"/>
              </w:rPr>
              <w:t>12</w:t>
            </w:r>
          </w:p>
        </w:tc>
        <w:tc>
          <w:tcPr>
            <w:tcW w:w="1151" w:type="dxa"/>
            <w:tcBorders>
              <w:top w:val="single" w:sz="4" w:space="0" w:color="000000"/>
              <w:left w:val="single" w:sz="4" w:space="0" w:color="000000"/>
              <w:bottom w:val="single" w:sz="4" w:space="0" w:color="000000"/>
              <w:right w:val="single" w:sz="4" w:space="0" w:color="000000"/>
            </w:tcBorders>
          </w:tcPr>
          <w:p w14:paraId="133E50B4" w14:textId="20DCBACA" w:rsidR="004D59D4" w:rsidRDefault="00023FAF" w:rsidP="00025AAC">
            <w:pPr>
              <w:pStyle w:val="TableText1"/>
              <w:jc w:val="center"/>
              <w:rPr>
                <w:rFonts w:cs="Calibri"/>
                <w:szCs w:val="20"/>
              </w:rPr>
            </w:pPr>
            <w:r>
              <w:t>$</w:t>
            </w:r>
            <w:r w:rsidR="002615A2" w:rsidRPr="002615A2">
              <w:rPr>
                <w:sz w:val="2"/>
                <w:highlight w:val="black"/>
              </w:rPr>
              <w:t>redacted content</w:t>
            </w:r>
            <w:r w:rsidR="00D312FF">
              <w:rPr>
                <w:vertAlign w:val="superscript"/>
              </w:rPr>
              <w:t>12</w:t>
            </w:r>
          </w:p>
        </w:tc>
        <w:tc>
          <w:tcPr>
            <w:tcW w:w="1152" w:type="dxa"/>
            <w:tcBorders>
              <w:top w:val="single" w:sz="4" w:space="0" w:color="000000"/>
              <w:left w:val="single" w:sz="4" w:space="0" w:color="000000"/>
              <w:bottom w:val="single" w:sz="4" w:space="0" w:color="000000"/>
              <w:right w:val="single" w:sz="4" w:space="0" w:color="000000"/>
            </w:tcBorders>
          </w:tcPr>
          <w:p w14:paraId="58AACB8D" w14:textId="64E07895" w:rsidR="004D59D4" w:rsidRDefault="00023FAF" w:rsidP="00025AAC">
            <w:pPr>
              <w:pStyle w:val="TableText1"/>
              <w:jc w:val="center"/>
              <w:rPr>
                <w:rFonts w:cs="Calibri"/>
                <w:szCs w:val="20"/>
              </w:rPr>
            </w:pPr>
            <w:r>
              <w:t>$</w:t>
            </w:r>
            <w:r w:rsidR="002615A2" w:rsidRPr="002615A2">
              <w:rPr>
                <w:sz w:val="2"/>
                <w:highlight w:val="black"/>
              </w:rPr>
              <w:t>redacted content</w:t>
            </w:r>
            <w:r w:rsidR="00D312FF">
              <w:rPr>
                <w:vertAlign w:val="superscript"/>
              </w:rPr>
              <w:t>12</w:t>
            </w:r>
          </w:p>
        </w:tc>
      </w:tr>
      <w:tr w:rsidR="004D59D4" w14:paraId="01AAB679"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2EDDCFC0" w14:textId="77777777" w:rsidR="004D59D4" w:rsidRDefault="00023FAF" w:rsidP="00025AAC">
            <w:pPr>
              <w:pStyle w:val="TableText1"/>
              <w:rPr>
                <w:b/>
                <w:bCs w:val="0"/>
                <w:sz w:val="19"/>
                <w:szCs w:val="19"/>
              </w:rPr>
            </w:pPr>
            <w:r>
              <w:rPr>
                <w:b/>
                <w:bCs w:val="0"/>
                <w:sz w:val="19"/>
                <w:szCs w:val="19"/>
              </w:rPr>
              <w:t>Net cost to Government</w:t>
            </w:r>
          </w:p>
        </w:tc>
        <w:tc>
          <w:tcPr>
            <w:tcW w:w="1149" w:type="dxa"/>
            <w:tcBorders>
              <w:top w:val="single" w:sz="4" w:space="0" w:color="000000"/>
              <w:left w:val="single" w:sz="4" w:space="0" w:color="000000"/>
              <w:bottom w:val="single" w:sz="4" w:space="0" w:color="000000"/>
              <w:right w:val="single" w:sz="4" w:space="0" w:color="000000"/>
            </w:tcBorders>
          </w:tcPr>
          <w:p w14:paraId="0E77C3AF" w14:textId="259FDFB5" w:rsidR="004D59D4" w:rsidRPr="00A77FF8" w:rsidRDefault="00023FAF" w:rsidP="00025AAC">
            <w:pPr>
              <w:pStyle w:val="TableText1"/>
              <w:jc w:val="center"/>
              <w:rPr>
                <w:rFonts w:cs="Calibri"/>
                <w:b/>
                <w:bCs w:val="0"/>
                <w:szCs w:val="20"/>
                <w:vertAlign w:val="superscript"/>
              </w:rPr>
            </w:pPr>
            <w:r>
              <w:rPr>
                <w:b/>
                <w:bCs w:val="0"/>
              </w:rPr>
              <w:t>$</w:t>
            </w:r>
            <w:r w:rsidR="002615A2" w:rsidRPr="002615A2">
              <w:rPr>
                <w:b/>
                <w:bCs w:val="0"/>
                <w:sz w:val="2"/>
                <w:highlight w:val="black"/>
              </w:rPr>
              <w:t>redacted content</w:t>
            </w:r>
            <w:r w:rsidR="00D312FF">
              <w:rPr>
                <w:b/>
                <w:b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239AB644" w14:textId="55D47DEC" w:rsidR="004D59D4" w:rsidRDefault="00023FAF" w:rsidP="00025AAC">
            <w:pPr>
              <w:pStyle w:val="TableText1"/>
              <w:jc w:val="center"/>
              <w:rPr>
                <w:rFonts w:cs="Calibri"/>
                <w:b/>
                <w:bCs w:val="0"/>
                <w:szCs w:val="20"/>
              </w:rPr>
            </w:pPr>
            <w:r>
              <w:rPr>
                <w:b/>
                <w:bCs w:val="0"/>
              </w:rPr>
              <w:t>$</w:t>
            </w:r>
            <w:r w:rsidR="002615A2" w:rsidRPr="002615A2">
              <w:rPr>
                <w:b/>
                <w:bCs w:val="0"/>
                <w:sz w:val="2"/>
                <w:highlight w:val="black"/>
              </w:rPr>
              <w:t>redacted content</w:t>
            </w:r>
            <w:r w:rsidR="00D312FF">
              <w:rPr>
                <w:b/>
                <w:b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014F1032" w14:textId="2D03CC9D" w:rsidR="004D59D4" w:rsidRDefault="00023FAF" w:rsidP="00025AAC">
            <w:pPr>
              <w:pStyle w:val="TableText1"/>
              <w:jc w:val="center"/>
              <w:rPr>
                <w:rFonts w:cs="Calibri"/>
                <w:b/>
                <w:bCs w:val="0"/>
                <w:szCs w:val="20"/>
              </w:rPr>
            </w:pPr>
            <w:r>
              <w:rPr>
                <w:b/>
                <w:bCs w:val="0"/>
              </w:rPr>
              <w:t>$</w:t>
            </w:r>
            <w:r w:rsidR="002615A2" w:rsidRPr="002615A2">
              <w:rPr>
                <w:b/>
                <w:bCs w:val="0"/>
                <w:sz w:val="2"/>
                <w:highlight w:val="black"/>
              </w:rPr>
              <w:t>redacted content</w:t>
            </w:r>
            <w:r w:rsidR="00D312FF">
              <w:rPr>
                <w:b/>
                <w:b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512CF833" w14:textId="36B27541" w:rsidR="004D59D4" w:rsidRDefault="00023FAF" w:rsidP="00025AAC">
            <w:pPr>
              <w:pStyle w:val="TableText1"/>
              <w:jc w:val="center"/>
              <w:rPr>
                <w:rFonts w:cs="Calibri"/>
                <w:b/>
                <w:bCs w:val="0"/>
                <w:szCs w:val="20"/>
              </w:rPr>
            </w:pPr>
            <w:r>
              <w:rPr>
                <w:b/>
                <w:bCs w:val="0"/>
              </w:rPr>
              <w:t>$</w:t>
            </w:r>
            <w:r w:rsidR="002615A2" w:rsidRPr="002615A2">
              <w:rPr>
                <w:b/>
                <w:bCs w:val="0"/>
                <w:sz w:val="2"/>
                <w:highlight w:val="black"/>
              </w:rPr>
              <w:t>redacted content</w:t>
            </w:r>
            <w:r w:rsidR="00D312FF">
              <w:rPr>
                <w:b/>
                <w:b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453A928C" w14:textId="4B10A23E" w:rsidR="004D59D4" w:rsidRPr="00A77FF8" w:rsidRDefault="00023FAF" w:rsidP="00025AAC">
            <w:pPr>
              <w:pStyle w:val="TableText1"/>
              <w:jc w:val="center"/>
              <w:rPr>
                <w:rFonts w:cs="Calibri"/>
                <w:b/>
                <w:bCs w:val="0"/>
                <w:szCs w:val="20"/>
                <w:vertAlign w:val="superscript"/>
              </w:rPr>
            </w:pPr>
            <w:r>
              <w:rPr>
                <w:b/>
                <w:bCs w:val="0"/>
              </w:rPr>
              <w:t>$</w:t>
            </w:r>
            <w:r w:rsidR="002615A2" w:rsidRPr="002615A2">
              <w:rPr>
                <w:b/>
                <w:bCs w:val="0"/>
                <w:sz w:val="2"/>
                <w:highlight w:val="black"/>
              </w:rPr>
              <w:t>redacted content</w:t>
            </w:r>
            <w:r w:rsidR="00D312FF">
              <w:rPr>
                <w:b/>
                <w:bCs w:val="0"/>
                <w:vertAlign w:val="superscript"/>
              </w:rPr>
              <w:t>11</w:t>
            </w:r>
          </w:p>
        </w:tc>
        <w:tc>
          <w:tcPr>
            <w:tcW w:w="1152" w:type="dxa"/>
            <w:tcBorders>
              <w:top w:val="single" w:sz="4" w:space="0" w:color="000000"/>
              <w:left w:val="single" w:sz="4" w:space="0" w:color="000000"/>
              <w:bottom w:val="single" w:sz="4" w:space="0" w:color="000000"/>
              <w:right w:val="single" w:sz="4" w:space="0" w:color="000000"/>
            </w:tcBorders>
          </w:tcPr>
          <w:p w14:paraId="7314D7E1" w14:textId="516084DF" w:rsidR="004D59D4" w:rsidRDefault="00023FAF" w:rsidP="00025AAC">
            <w:pPr>
              <w:pStyle w:val="TableText1"/>
              <w:jc w:val="center"/>
              <w:rPr>
                <w:rFonts w:cs="Calibri"/>
                <w:b/>
                <w:bCs w:val="0"/>
                <w:szCs w:val="20"/>
              </w:rPr>
            </w:pPr>
            <w:r>
              <w:rPr>
                <w:b/>
                <w:bCs w:val="0"/>
              </w:rPr>
              <w:t>$</w:t>
            </w:r>
            <w:r w:rsidR="002615A2" w:rsidRPr="002615A2">
              <w:rPr>
                <w:b/>
                <w:bCs w:val="0"/>
                <w:sz w:val="2"/>
                <w:highlight w:val="black"/>
              </w:rPr>
              <w:t>redacted content</w:t>
            </w:r>
            <w:r w:rsidR="00D312FF">
              <w:rPr>
                <w:b/>
                <w:bCs w:val="0"/>
                <w:vertAlign w:val="superscript"/>
              </w:rPr>
              <w:t>11</w:t>
            </w:r>
          </w:p>
        </w:tc>
      </w:tr>
    </w:tbl>
    <w:p w14:paraId="0D26EA72" w14:textId="27347D0F" w:rsidR="004D59D4" w:rsidRDefault="00023FAF" w:rsidP="00025AAC">
      <w:pPr>
        <w:pStyle w:val="TableFigureFooter"/>
        <w:jc w:val="both"/>
      </w:pPr>
      <w:r>
        <w:t xml:space="preserve">Source: Tables 4.2-2, 4.2-3, 4.2-4, 4.2-5, 4.2-6, 4.2-7, 4.5-3, pp281-283 and 286 of the </w:t>
      </w:r>
      <w:proofErr w:type="gramStart"/>
      <w:r>
        <w:t>resubmission</w:t>
      </w:r>
      <w:proofErr w:type="gramEnd"/>
      <w:r>
        <w:t xml:space="preserve">; paragraph 6.89, </w:t>
      </w:r>
      <w:proofErr w:type="spellStart"/>
      <w:r>
        <w:t>pegvaliase</w:t>
      </w:r>
      <w:proofErr w:type="spellEnd"/>
      <w:r>
        <w:t xml:space="preserve">, PBAC </w:t>
      </w:r>
      <w:r w:rsidR="00642D19">
        <w:t>Public Summary Document [PSD]</w:t>
      </w:r>
      <w:r>
        <w:t>, July 2022 PBAC meeting</w:t>
      </w:r>
    </w:p>
    <w:p w14:paraId="28FCCA85" w14:textId="77777777" w:rsidR="004D59D4" w:rsidRDefault="00023FAF" w:rsidP="00025AAC">
      <w:pPr>
        <w:pStyle w:val="TableFigureFooter"/>
        <w:jc w:val="both"/>
      </w:pPr>
      <w:r>
        <w:t>EMP = Ex-manufacturer price; RSA = Risk Sharing Arrangement</w:t>
      </w:r>
    </w:p>
    <w:p w14:paraId="04F21625" w14:textId="7CAC1499" w:rsidR="004D59D4" w:rsidRDefault="00522C48" w:rsidP="00025AAC">
      <w:pPr>
        <w:pStyle w:val="TableFigureFooter"/>
        <w:jc w:val="both"/>
      </w:pPr>
      <w:proofErr w:type="spellStart"/>
      <w:r>
        <w:rPr>
          <w:vertAlign w:val="superscript"/>
        </w:rPr>
        <w:t>a</w:t>
      </w:r>
      <w:proofErr w:type="spellEnd"/>
      <w:r w:rsidR="00023FAF">
        <w:t xml:space="preserve"> </w:t>
      </w:r>
      <w:r w:rsidR="00023FAF" w:rsidRPr="0052685C">
        <w:t xml:space="preserve">The proposed annual caps for </w:t>
      </w:r>
      <w:proofErr w:type="spellStart"/>
      <w:r w:rsidR="00023FAF" w:rsidRPr="0052685C">
        <w:t>pegvaliase</w:t>
      </w:r>
      <w:proofErr w:type="spellEnd"/>
      <w:r w:rsidR="00023FAF" w:rsidRPr="0052685C">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023FAF">
        <w:t xml:space="preserve"> published AEMP of $510 </w:t>
      </w:r>
      <w:r w:rsidR="00023FAF" w:rsidRPr="007945E9">
        <w:t>and an assumed</w:t>
      </w:r>
      <w:r w:rsidR="00023FAF" w:rsidRPr="00EC38C2">
        <w:t xml:space="preserve"> </w:t>
      </w:r>
      <w:r w:rsidR="00023FAF" w:rsidRPr="004B28F6">
        <w:t>effective cost of</w:t>
      </w:r>
      <w:r w:rsidR="00023FAF">
        <w:t xml:space="preserve"> $</w:t>
      </w:r>
      <w:r w:rsidR="002615A2" w:rsidRPr="002615A2">
        <w:rPr>
          <w:sz w:val="2"/>
          <w:highlight w:val="black"/>
        </w:rPr>
        <w:t>redacted content</w:t>
      </w:r>
      <w:r w:rsidR="00023FAF">
        <w:t>.</w:t>
      </w:r>
    </w:p>
    <w:p w14:paraId="07AD4166" w14:textId="3CEA0635" w:rsidR="00B92B3B" w:rsidRPr="00B92B3B" w:rsidRDefault="00023FAF" w:rsidP="00025AAC">
      <w:pPr>
        <w:pStyle w:val="TableFigureFooter"/>
        <w:jc w:val="both"/>
      </w:pPr>
      <w:r>
        <w:rPr>
          <w:vertAlign w:val="superscript"/>
        </w:rPr>
        <w:t>b</w:t>
      </w:r>
      <w:r>
        <w:t xml:space="preserve"> </w:t>
      </w:r>
      <w:r w:rsidRPr="0052685C">
        <w:t xml:space="preserve">Under the proposed RSA,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Pr="008E5370">
        <w:t>$</w:t>
      </w:r>
      <w:r w:rsidR="002615A2" w:rsidRPr="002615A2">
        <w:rPr>
          <w:sz w:val="2"/>
          <w:highlight w:val="black"/>
        </w:rPr>
        <w:t>redacted content</w:t>
      </w:r>
      <w:r w:rsidR="00B92B3B" w:rsidRPr="00B92B3B">
        <w:t xml:space="preserve"> </w:t>
      </w:r>
      <w:r w:rsidRPr="004B28F6">
        <w:t xml:space="preserve">per syringe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p>
    <w:p w14:paraId="18F3BB8A" w14:textId="0E5919E8" w:rsidR="00BC53C4" w:rsidRPr="00F27DEB" w:rsidRDefault="00023FAF" w:rsidP="00BC53C4">
      <w:pPr>
        <w:pStyle w:val="TableFigureFooter"/>
        <w:spacing w:before="160" w:after="160"/>
        <w:rPr>
          <w:i/>
          <w:iCs w:val="0"/>
        </w:rPr>
      </w:pPr>
      <w:r w:rsidRPr="001B3B31">
        <w:rPr>
          <w:vertAlign w:val="superscript"/>
        </w:rPr>
        <w:t>c</w:t>
      </w:r>
      <w:r w:rsidRPr="001B3B31">
        <w:t xml:space="preserve"> Calculations provided to demonstrate that the estimated financial implications using an assumed </w:t>
      </w:r>
      <w:proofErr w:type="spellStart"/>
      <w:r w:rsidRPr="001B3B31">
        <w:t>pegvaliase</w:t>
      </w:r>
      <w:proofErr w:type="spellEnd"/>
      <w:r w:rsidRPr="001B3B31">
        <w:t xml:space="preserve"> cost of </w:t>
      </w:r>
      <w:r w:rsidRPr="008E5370">
        <w:t>$</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C53C4">
        <w:br/>
      </w:r>
      <w:r w:rsidR="00BC53C4">
        <w:rPr>
          <w:i/>
          <w:iCs w:val="0"/>
        </w:rPr>
        <w:t>The redacted values correspond to the following ranges:</w:t>
      </w:r>
      <w:r w:rsidR="00BC53C4">
        <w:rPr>
          <w:i/>
          <w:iCs w:val="0"/>
        </w:rPr>
        <w:br/>
      </w:r>
      <w:r w:rsidR="00BC53C4">
        <w:rPr>
          <w:i/>
          <w:iCs w:val="0"/>
          <w:vertAlign w:val="superscript"/>
        </w:rPr>
        <w:t xml:space="preserve">1 </w:t>
      </w:r>
      <w:r w:rsidR="005D43D0">
        <w:rPr>
          <w:i/>
          <w:iCs w:val="0"/>
        </w:rPr>
        <w:t>50 to &lt; 500</w:t>
      </w:r>
      <w:r w:rsidR="005D43D0">
        <w:rPr>
          <w:i/>
          <w:iCs w:val="0"/>
        </w:rPr>
        <w:br/>
      </w:r>
      <w:r w:rsidR="005D43D0">
        <w:rPr>
          <w:i/>
          <w:iCs w:val="0"/>
          <w:vertAlign w:val="superscript"/>
        </w:rPr>
        <w:t>2</w:t>
      </w:r>
      <w:r w:rsidR="005D43D0">
        <w:rPr>
          <w:i/>
          <w:iCs w:val="0"/>
        </w:rPr>
        <w:t xml:space="preserve"> 5,000 to 10,000</w:t>
      </w:r>
      <w:r w:rsidR="005D43D0">
        <w:rPr>
          <w:i/>
          <w:iCs w:val="0"/>
        </w:rPr>
        <w:br/>
      </w:r>
      <w:r w:rsidR="005D43D0">
        <w:rPr>
          <w:i/>
          <w:iCs w:val="0"/>
          <w:vertAlign w:val="superscript"/>
        </w:rPr>
        <w:t>3</w:t>
      </w:r>
      <w:r w:rsidR="005D43D0">
        <w:rPr>
          <w:i/>
          <w:iCs w:val="0"/>
        </w:rPr>
        <w:t xml:space="preserve"> $60,000 to &lt; $70,000</w:t>
      </w:r>
      <w:r w:rsidR="001B667D">
        <w:rPr>
          <w:i/>
          <w:iCs w:val="0"/>
        </w:rPr>
        <w:br/>
      </w:r>
      <w:r w:rsidR="001B667D">
        <w:rPr>
          <w:i/>
          <w:iCs w:val="0"/>
          <w:vertAlign w:val="superscript"/>
        </w:rPr>
        <w:t>4</w:t>
      </w:r>
      <w:r w:rsidR="001B667D">
        <w:rPr>
          <w:i/>
          <w:iCs w:val="0"/>
        </w:rPr>
        <w:t xml:space="preserve"> $70,000 to &lt; $80,000</w:t>
      </w:r>
      <w:r w:rsidR="001B667D">
        <w:rPr>
          <w:i/>
          <w:iCs w:val="0"/>
        </w:rPr>
        <w:br/>
      </w:r>
      <w:r w:rsidR="001B667D">
        <w:rPr>
          <w:i/>
          <w:iCs w:val="0"/>
          <w:vertAlign w:val="superscript"/>
        </w:rPr>
        <w:t>5</w:t>
      </w:r>
      <w:r w:rsidR="001B667D">
        <w:rPr>
          <w:i/>
          <w:iCs w:val="0"/>
        </w:rPr>
        <w:t xml:space="preserve"> $</w:t>
      </w:r>
      <w:r w:rsidR="001C050F">
        <w:rPr>
          <w:i/>
          <w:iCs w:val="0"/>
        </w:rPr>
        <w:t>80,000 to &lt; $90,000</w:t>
      </w:r>
      <w:r w:rsidR="001C050F">
        <w:rPr>
          <w:i/>
          <w:iCs w:val="0"/>
        </w:rPr>
        <w:br/>
      </w:r>
      <w:r w:rsidR="001C050F">
        <w:rPr>
          <w:i/>
          <w:iCs w:val="0"/>
          <w:vertAlign w:val="superscript"/>
        </w:rPr>
        <w:t>6</w:t>
      </w:r>
      <w:r w:rsidR="001C050F">
        <w:rPr>
          <w:i/>
          <w:iCs w:val="0"/>
        </w:rPr>
        <w:t xml:space="preserve"> $90,000 to &lt; $100,000</w:t>
      </w:r>
      <w:r w:rsidR="001C050F">
        <w:rPr>
          <w:i/>
          <w:iCs w:val="0"/>
        </w:rPr>
        <w:br/>
      </w:r>
      <w:r w:rsidR="001C050F">
        <w:rPr>
          <w:i/>
          <w:iCs w:val="0"/>
          <w:vertAlign w:val="superscript"/>
        </w:rPr>
        <w:t>7</w:t>
      </w:r>
      <w:r w:rsidR="001C050F">
        <w:rPr>
          <w:i/>
          <w:iCs w:val="0"/>
        </w:rPr>
        <w:t xml:space="preserve"> net cost saving</w:t>
      </w:r>
      <w:r w:rsidR="001C050F">
        <w:rPr>
          <w:i/>
          <w:iCs w:val="0"/>
        </w:rPr>
        <w:br/>
      </w:r>
      <w:r w:rsidR="00DD70F9" w:rsidRPr="00CB28D5">
        <w:rPr>
          <w:i/>
          <w:iCs w:val="0"/>
          <w:vertAlign w:val="superscript"/>
        </w:rPr>
        <w:t>8</w:t>
      </w:r>
      <w:r w:rsidR="00DD70F9" w:rsidRPr="00CB28D5">
        <w:rPr>
          <w:i/>
          <w:iCs w:val="0"/>
        </w:rPr>
        <w:t xml:space="preserve"> </w:t>
      </w:r>
      <w:r w:rsidR="00D9404B" w:rsidRPr="00CB28D5">
        <w:rPr>
          <w:i/>
          <w:iCs w:val="0"/>
        </w:rPr>
        <w:t>$40 million to &lt; $50 million</w:t>
      </w:r>
      <w:r w:rsidR="00D9404B" w:rsidRPr="00CB28D5">
        <w:rPr>
          <w:i/>
          <w:iCs w:val="0"/>
        </w:rPr>
        <w:br/>
      </w:r>
      <w:r w:rsidR="00D9404B" w:rsidRPr="00CB28D5">
        <w:rPr>
          <w:i/>
          <w:iCs w:val="0"/>
          <w:vertAlign w:val="superscript"/>
        </w:rPr>
        <w:t>9</w:t>
      </w:r>
      <w:r w:rsidR="00D9404B" w:rsidRPr="00CB28D5">
        <w:rPr>
          <w:i/>
          <w:iCs w:val="0"/>
        </w:rPr>
        <w:t xml:space="preserve"> $50 million to &lt; $60 million</w:t>
      </w:r>
      <w:r w:rsidR="00D9404B" w:rsidRPr="00CB28D5">
        <w:rPr>
          <w:i/>
          <w:iCs w:val="0"/>
        </w:rPr>
        <w:br/>
      </w:r>
      <w:r w:rsidR="00D9404B" w:rsidRPr="00CB28D5">
        <w:rPr>
          <w:i/>
          <w:iCs w:val="0"/>
          <w:vertAlign w:val="superscript"/>
        </w:rPr>
        <w:t>10</w:t>
      </w:r>
      <w:r w:rsidR="00D9404B" w:rsidRPr="00CB28D5">
        <w:rPr>
          <w:i/>
          <w:iCs w:val="0"/>
        </w:rPr>
        <w:t xml:space="preserve"> $</w:t>
      </w:r>
      <w:r w:rsidR="000D5CF7" w:rsidRPr="00CB28D5">
        <w:rPr>
          <w:i/>
          <w:iCs w:val="0"/>
        </w:rPr>
        <w:t>10 million to &lt; $20 million</w:t>
      </w:r>
      <w:r w:rsidR="000D5CF7" w:rsidRPr="00CB28D5">
        <w:rPr>
          <w:i/>
          <w:iCs w:val="0"/>
        </w:rPr>
        <w:br/>
      </w:r>
      <w:r w:rsidR="000D5CF7" w:rsidRPr="00CB28D5">
        <w:rPr>
          <w:i/>
          <w:iCs w:val="0"/>
          <w:vertAlign w:val="superscript"/>
        </w:rPr>
        <w:t>11</w:t>
      </w:r>
      <w:r w:rsidR="000D5CF7" w:rsidRPr="00CB28D5">
        <w:rPr>
          <w:i/>
          <w:iCs w:val="0"/>
        </w:rPr>
        <w:t xml:space="preserve"> $20 million to &lt; $30 million</w:t>
      </w:r>
      <w:r w:rsidR="000D5CF7" w:rsidRPr="00CB28D5">
        <w:rPr>
          <w:i/>
          <w:iCs w:val="0"/>
        </w:rPr>
        <w:br/>
      </w:r>
      <w:r w:rsidR="000D5CF7">
        <w:rPr>
          <w:i/>
          <w:iCs w:val="0"/>
          <w:vertAlign w:val="superscript"/>
        </w:rPr>
        <w:t>12</w:t>
      </w:r>
      <w:r w:rsidR="000D5CF7">
        <w:rPr>
          <w:i/>
          <w:iCs w:val="0"/>
        </w:rPr>
        <w:t xml:space="preserve"> </w:t>
      </w:r>
      <w:r w:rsidR="00C725A8">
        <w:rPr>
          <w:i/>
          <w:iCs w:val="0"/>
        </w:rPr>
        <w:t>$0 to &lt; $10 million</w:t>
      </w:r>
    </w:p>
    <w:p w14:paraId="0B96EB7F" w14:textId="29C83C86" w:rsidR="004D59D4" w:rsidRDefault="00023FAF" w:rsidP="00025AAC">
      <w:pPr>
        <w:pStyle w:val="3-BodyText"/>
        <w:numPr>
          <w:ilvl w:val="1"/>
          <w:numId w:val="1"/>
        </w:numPr>
        <w:spacing w:before="160" w:after="160"/>
      </w:pPr>
      <w:r>
        <w:t xml:space="preserve">The resubmission estimated that the total cost to the PBS of listing </w:t>
      </w:r>
      <w:proofErr w:type="spellStart"/>
      <w:r w:rsidRPr="00F27DEB">
        <w:t>pegvaliase</w:t>
      </w:r>
      <w:proofErr w:type="spellEnd"/>
      <w:r w:rsidRPr="00F27DE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t xml:space="preserve"> would be $</w:t>
      </w:r>
      <w:r w:rsidR="00C725A8">
        <w:t>60 million to &lt; $70 million</w:t>
      </w:r>
      <w:r>
        <w:t xml:space="preserve"> in Year 1, increasing to $</w:t>
      </w:r>
      <w:r w:rsidR="00C725A8">
        <w:t>90 million to &lt; $100</w:t>
      </w:r>
      <w:r>
        <w:t xml:space="preserve"> million in Year 6. </w:t>
      </w:r>
    </w:p>
    <w:p w14:paraId="37D510DF" w14:textId="73C7E7EC" w:rsidR="004D59D4" w:rsidRDefault="00023FAF" w:rsidP="00025AAC">
      <w:pPr>
        <w:pStyle w:val="3-BodyText"/>
        <w:numPr>
          <w:ilvl w:val="1"/>
          <w:numId w:val="1"/>
        </w:numPr>
        <w:spacing w:before="160" w:after="160"/>
      </w:pPr>
      <w:r w:rsidRPr="001B3B31">
        <w:t xml:space="preserve">The resubmission proposed Commonwealth expenditure caps of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A0380A">
        <w:t xml:space="preserve"> </w:t>
      </w:r>
      <w:r w:rsidRPr="00A972F7">
        <w:t>in Year</w:t>
      </w:r>
      <w:r w:rsidR="00C642AB" w:rsidRPr="00A972F7">
        <w:t> </w:t>
      </w:r>
      <w:r w:rsidRPr="00A972F7">
        <w:t xml:space="preserve">1 increasing to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Pr="00A972F7">
        <w:t xml:space="preserve">in Year 6, with a total of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Pr="00A972F7">
        <w:t>in the first 6 years of listing</w:t>
      </w:r>
      <w:r w:rsidRPr="00DB3C47">
        <w:t xml:space="preserve">. </w:t>
      </w:r>
      <w:r w:rsidR="009E3618" w:rsidRPr="00DB3C47">
        <w:t>T</w:t>
      </w:r>
      <w:r w:rsidRPr="00DB3C47">
        <w:t xml:space="preserve">he resubmission proposed expenditure caps that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Pr="00760DC1">
        <w:t xml:space="preserve">with an estimated total rebate to the Commonwealth of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C725A8" w:rsidRPr="00A0380A">
        <w:t xml:space="preserve"> </w:t>
      </w:r>
      <w:r w:rsidRPr="00760DC1">
        <w:t xml:space="preserve">in Year 1 increasing to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C725A8" w:rsidRPr="00A0380A">
        <w:t xml:space="preserve"> </w:t>
      </w:r>
      <w:r w:rsidRPr="004B3B67">
        <w:t xml:space="preserve">in </w:t>
      </w:r>
      <w:r w:rsidRPr="00760DC1">
        <w:t>Year 6.</w:t>
      </w:r>
      <w:r>
        <w:t xml:space="preserve"> </w:t>
      </w:r>
    </w:p>
    <w:p w14:paraId="03F51B86" w14:textId="0B119B65" w:rsidR="004D59D4" w:rsidRPr="002763A9" w:rsidRDefault="00023FAF" w:rsidP="00025AAC">
      <w:pPr>
        <w:pStyle w:val="3-BodyText"/>
        <w:numPr>
          <w:ilvl w:val="1"/>
          <w:numId w:val="1"/>
        </w:numPr>
        <w:spacing w:before="160" w:after="160"/>
      </w:pPr>
      <w:r w:rsidRPr="002763A9">
        <w:lastRenderedPageBreak/>
        <w:t xml:space="preserve">Under the proposed RSA, the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2763A9">
        <w:t>.</w:t>
      </w:r>
    </w:p>
    <w:p w14:paraId="6D2D955B" w14:textId="77777777" w:rsidR="004D59D4" w:rsidRDefault="00023FAF" w:rsidP="00025AAC">
      <w:pPr>
        <w:pStyle w:val="3-BodyText"/>
        <w:numPr>
          <w:ilvl w:val="1"/>
          <w:numId w:val="1"/>
        </w:numPr>
        <w:spacing w:before="160" w:after="160"/>
      </w:pPr>
      <w:bookmarkStart w:id="95" w:name="_Ref222226694"/>
      <w:r>
        <w:t xml:space="preserve">The eligible population was calculated using the same methodology as used in the previous submission. The evaluation </w:t>
      </w:r>
      <w:r w:rsidRPr="002A72B1">
        <w:t>and the ESC</w:t>
      </w:r>
      <w:r>
        <w:t xml:space="preserve"> considered that two of the key issues raised by the PBAC in July 2022 had not been addressed:</w:t>
      </w:r>
      <w:bookmarkEnd w:id="95"/>
      <w:r>
        <w:t xml:space="preserve"> </w:t>
      </w:r>
    </w:p>
    <w:p w14:paraId="08C7AE50" w14:textId="77777777" w:rsidR="004D59D4" w:rsidRDefault="00023FAF" w:rsidP="00025AAC">
      <w:pPr>
        <w:pStyle w:val="ListParagraph"/>
        <w:numPr>
          <w:ilvl w:val="0"/>
          <w:numId w:val="76"/>
        </w:numPr>
        <w:jc w:val="both"/>
        <w:rPr>
          <w:rFonts w:eastAsiaTheme="minorHAnsi" w:cstheme="minorBidi"/>
          <w:szCs w:val="22"/>
        </w:rPr>
      </w:pPr>
      <w:r>
        <w:rPr>
          <w:rFonts w:eastAsiaTheme="minorHAnsi" w:cstheme="minorBidi"/>
          <w:szCs w:val="22"/>
        </w:rPr>
        <w:t xml:space="preserve">for the previous submission, the PBAC considered that the proportion of the adult PKU population who are under routine follow-up at metabolic clinics was likely overestimated and noted that for </w:t>
      </w:r>
      <w:proofErr w:type="spellStart"/>
      <w:r>
        <w:rPr>
          <w:rFonts w:eastAsiaTheme="minorHAnsi" w:cstheme="minorBidi"/>
          <w:szCs w:val="22"/>
        </w:rPr>
        <w:t>sapropterin</w:t>
      </w:r>
      <w:proofErr w:type="spellEnd"/>
      <w:r>
        <w:rPr>
          <w:rFonts w:eastAsiaTheme="minorHAnsi" w:cstheme="minorBidi"/>
          <w:szCs w:val="22"/>
        </w:rPr>
        <w:t xml:space="preserve"> it had considered that this proportion should be reduced from 70% to 55%. </w:t>
      </w:r>
      <w:r w:rsidRPr="00E845D3">
        <w:rPr>
          <w:rFonts w:eastAsiaTheme="minorHAnsi" w:cstheme="minorBidi"/>
          <w:szCs w:val="22"/>
        </w:rPr>
        <w:t xml:space="preserve">The PSCR justified maintaining this input at 70% by stating that the proportion has likely increased since the PBS-listing of </w:t>
      </w:r>
      <w:proofErr w:type="spellStart"/>
      <w:r w:rsidRPr="00E845D3">
        <w:rPr>
          <w:rFonts w:eastAsiaTheme="minorHAnsi" w:cstheme="minorBidi"/>
          <w:szCs w:val="22"/>
        </w:rPr>
        <w:t>sapropterin</w:t>
      </w:r>
      <w:proofErr w:type="spellEnd"/>
      <w:r w:rsidRPr="00E845D3">
        <w:rPr>
          <w:rFonts w:eastAsiaTheme="minorHAnsi" w:cstheme="minorBidi"/>
          <w:szCs w:val="22"/>
        </w:rPr>
        <w:t xml:space="preserve"> for adult patients. The ESC noted that no evidence was presented to justify this statement. </w:t>
      </w:r>
    </w:p>
    <w:p w14:paraId="6F76D5E7" w14:textId="77777777" w:rsidR="004D59D4" w:rsidRDefault="00023FAF" w:rsidP="00025AAC">
      <w:pPr>
        <w:pStyle w:val="ListParagraph"/>
        <w:numPr>
          <w:ilvl w:val="0"/>
          <w:numId w:val="77"/>
        </w:numPr>
        <w:jc w:val="both"/>
        <w:rPr>
          <w:rFonts w:eastAsiaTheme="minorHAnsi" w:cstheme="minorBidi"/>
          <w:szCs w:val="22"/>
        </w:rPr>
      </w:pPr>
      <w:r>
        <w:rPr>
          <w:rFonts w:eastAsiaTheme="minorHAnsi" w:cstheme="minorBidi"/>
          <w:szCs w:val="22"/>
        </w:rPr>
        <w:t xml:space="preserve">for the previous submission, the PBAC also considered that the uptake rates were uncertain and may have been overestimated given that access to </w:t>
      </w:r>
      <w:proofErr w:type="spellStart"/>
      <w:r>
        <w:rPr>
          <w:rFonts w:eastAsiaTheme="minorHAnsi" w:cstheme="minorBidi"/>
          <w:szCs w:val="22"/>
        </w:rPr>
        <w:t>pegvaliase</w:t>
      </w:r>
      <w:proofErr w:type="spellEnd"/>
      <w:r>
        <w:rPr>
          <w:rFonts w:eastAsiaTheme="minorHAnsi" w:cstheme="minorBidi"/>
          <w:szCs w:val="22"/>
        </w:rPr>
        <w:t xml:space="preserve"> may be constrained by the availability of metabolic clinics (paragraph 7.13, </w:t>
      </w:r>
      <w:proofErr w:type="spellStart"/>
      <w:r>
        <w:rPr>
          <w:rFonts w:eastAsiaTheme="minorHAnsi" w:cstheme="minorBidi"/>
          <w:szCs w:val="22"/>
        </w:rPr>
        <w:t>pegvaliase</w:t>
      </w:r>
      <w:proofErr w:type="spellEnd"/>
      <w:r>
        <w:rPr>
          <w:rFonts w:eastAsiaTheme="minorHAnsi" w:cstheme="minorBidi"/>
          <w:szCs w:val="22"/>
        </w:rPr>
        <w:t xml:space="preserve"> PSD, July 2022 PBAC meeting).</w:t>
      </w:r>
    </w:p>
    <w:p w14:paraId="3CF8EA84" w14:textId="75869AE6" w:rsidR="004D59D4" w:rsidRPr="00E845D3" w:rsidRDefault="00023FAF" w:rsidP="00025AAC">
      <w:pPr>
        <w:pStyle w:val="3-BodyText"/>
        <w:numPr>
          <w:ilvl w:val="1"/>
          <w:numId w:val="1"/>
        </w:numPr>
        <w:spacing w:before="160" w:after="160"/>
      </w:pPr>
      <w:bookmarkStart w:id="96" w:name="_Ref221805278"/>
      <w:bookmarkStart w:id="97" w:name="_Ref221811925"/>
      <w:r w:rsidRPr="00E845D3">
        <w:t xml:space="preserve">The resubmission estimated a mean dose of 24.5 mg per day in the maintenance phase, based on data from patients with at least 36 months of follow-up. Limited information was provided about the </w:t>
      </w:r>
      <w:proofErr w:type="gramStart"/>
      <w:r w:rsidRPr="00E845D3">
        <w:t>analysis</w:t>
      </w:r>
      <w:proofErr w:type="gramEnd"/>
      <w:r w:rsidRPr="00E845D3">
        <w:t xml:space="preserve"> and it was unclear whether the reported average dose included the titration period. However, the mean dose was similar with longer follow-up periods (i.e. patients with follow-up of at least 48, 60 and 72 months reported mean doses of 25.1 mg, 24.5 mg and 23.6 mg per day, respectively), which may reduce the risk that the method underestimates doses extrapolated over a longer treatment period. The ESC noted that the dose distribution from the previous submission would result in a lower net PBS cost despite the higher mean dose (refer to </w:t>
      </w:r>
      <w:r w:rsidRPr="00E845D3">
        <w:fldChar w:fldCharType="begin"/>
      </w:r>
      <w:r w:rsidRPr="00E845D3">
        <w:instrText xml:space="preserve"> REF _Ref219801713 \h </w:instrText>
      </w:r>
      <w:r w:rsidR="00E845D3">
        <w:instrText xml:space="preserve"> \* MERGEFORMAT </w:instrText>
      </w:r>
      <w:r w:rsidRPr="00E845D3">
        <w:fldChar w:fldCharType="separate"/>
      </w:r>
      <w:r w:rsidR="00E24060">
        <w:t>Table 18</w:t>
      </w:r>
      <w:r w:rsidRPr="00E845D3">
        <w:fldChar w:fldCharType="end"/>
      </w:r>
      <w:r w:rsidRPr="00E845D3">
        <w:t xml:space="preserve">). This appeared to be because different strengths were priced the same and thus the estimates were sensitive to the number of syringes per patient per day (rather than the mean dose). Further, there were differences in the methodology with the resubmission’s revised source not appearing to include any patients on a dose of 0 mg, while the previous submission assumed that 12% of doses were 0 mg (the previous submission’s approach may not have been appropriate </w:t>
      </w:r>
      <w:bookmarkEnd w:id="96"/>
      <w:r w:rsidRPr="00E845D3">
        <w:t>given the financial estimates also included continuation assumptions).</w:t>
      </w:r>
      <w:bookmarkEnd w:id="97"/>
      <w:r w:rsidRPr="00E845D3">
        <w:t xml:space="preserve"> </w:t>
      </w:r>
    </w:p>
    <w:p w14:paraId="34499D80" w14:textId="2BD4FEAD" w:rsidR="004D59D4" w:rsidRDefault="00023FAF" w:rsidP="00025AAC">
      <w:pPr>
        <w:pStyle w:val="3-BodyText"/>
        <w:numPr>
          <w:ilvl w:val="1"/>
          <w:numId w:val="1"/>
        </w:numPr>
        <w:spacing w:before="160" w:after="160"/>
      </w:pPr>
      <w:bookmarkStart w:id="98" w:name="_Ref221813757"/>
      <w:r>
        <w:t xml:space="preserve">A new issue to the resubmission was that the additional requested patient population of responders to </w:t>
      </w:r>
      <w:proofErr w:type="spellStart"/>
      <w:r>
        <w:t>sapropterin</w:t>
      </w:r>
      <w:proofErr w:type="spellEnd"/>
      <w:r>
        <w:t xml:space="preserve"> who have a protein tolerance &lt; 15 g/day was not included in the resubmission’s financial estimates. The resubmission claimed that “…clinicians have advised that most of these patients are likely to suffer from classical PKU and unlikely to achieve a response to </w:t>
      </w:r>
      <w:proofErr w:type="spellStart"/>
      <w:r>
        <w:t>sapropterin</w:t>
      </w:r>
      <w:proofErr w:type="spellEnd"/>
      <w:r>
        <w:t xml:space="preserve">. Most of the small number of patients with a protein tolerance of less than 15 g per day are therefore likely already captured and any uncertainty around the size of this population is mitigated through the proposed risk sharing arrangement (RSA)”. </w:t>
      </w:r>
      <w:bookmarkEnd w:id="98"/>
    </w:p>
    <w:p w14:paraId="7700AEF5" w14:textId="12C6016A" w:rsidR="006E7CCC" w:rsidRPr="006E7CCC" w:rsidRDefault="006E7CCC" w:rsidP="00025AAC">
      <w:pPr>
        <w:pStyle w:val="ListParagraph"/>
        <w:numPr>
          <w:ilvl w:val="1"/>
          <w:numId w:val="1"/>
        </w:numPr>
        <w:jc w:val="both"/>
        <w:rPr>
          <w:rFonts w:eastAsiaTheme="minorHAnsi" w:cstheme="minorBidi"/>
          <w:szCs w:val="22"/>
        </w:rPr>
      </w:pPr>
      <w:r w:rsidRPr="006E7CCC">
        <w:rPr>
          <w:rFonts w:eastAsiaTheme="minorHAnsi" w:cstheme="minorBidi"/>
          <w:szCs w:val="22"/>
        </w:rPr>
        <w:lastRenderedPageBreak/>
        <w:t>The PBAC considered that the inclusion of the new patient group was unlikely to impact the financial estimates (refer to paragraph</w:t>
      </w:r>
      <w:r w:rsidR="005F29BB">
        <w:rPr>
          <w:rFonts w:eastAsiaTheme="minorHAnsi" w:cstheme="minorBidi"/>
          <w:szCs w:val="22"/>
        </w:rPr>
        <w:t xml:space="preserve"> </w:t>
      </w:r>
      <w:r w:rsidR="005F29BB">
        <w:rPr>
          <w:rFonts w:eastAsiaTheme="minorHAnsi" w:cstheme="minorBidi"/>
          <w:szCs w:val="22"/>
        </w:rPr>
        <w:fldChar w:fldCharType="begin"/>
      </w:r>
      <w:r w:rsidR="005F29BB">
        <w:rPr>
          <w:rFonts w:eastAsiaTheme="minorHAnsi" w:cstheme="minorBidi"/>
          <w:szCs w:val="22"/>
        </w:rPr>
        <w:instrText xml:space="preserve"> REF _Ref225420172 \r \h </w:instrText>
      </w:r>
      <w:r w:rsidR="005F29BB">
        <w:rPr>
          <w:rFonts w:eastAsiaTheme="minorHAnsi" w:cstheme="minorBidi"/>
          <w:szCs w:val="22"/>
        </w:rPr>
      </w:r>
      <w:r w:rsidR="005F29BB">
        <w:rPr>
          <w:rFonts w:eastAsiaTheme="minorHAnsi" w:cstheme="minorBidi"/>
          <w:szCs w:val="22"/>
        </w:rPr>
        <w:fldChar w:fldCharType="separate"/>
      </w:r>
      <w:r w:rsidR="005F29BB">
        <w:rPr>
          <w:rFonts w:eastAsiaTheme="minorHAnsi" w:cstheme="minorBidi"/>
          <w:szCs w:val="22"/>
        </w:rPr>
        <w:t>6.4</w:t>
      </w:r>
      <w:r w:rsidR="005F29BB">
        <w:rPr>
          <w:rFonts w:eastAsiaTheme="minorHAnsi" w:cstheme="minorBidi"/>
          <w:szCs w:val="22"/>
        </w:rPr>
        <w:fldChar w:fldCharType="end"/>
      </w:r>
      <w:r w:rsidRPr="006E7CCC">
        <w:rPr>
          <w:rFonts w:eastAsiaTheme="minorHAnsi" w:cstheme="minorBidi"/>
          <w:szCs w:val="22"/>
        </w:rPr>
        <w:t>) and thus agreed with the resubmission’s assumption that inclusion of this group would not increase the patient numbers.</w:t>
      </w:r>
      <w:r w:rsidR="00025AAC">
        <w:rPr>
          <w:rFonts w:eastAsiaTheme="minorHAnsi" w:cstheme="minorBidi"/>
          <w:szCs w:val="22"/>
        </w:rPr>
        <w:t xml:space="preserve"> </w:t>
      </w:r>
    </w:p>
    <w:p w14:paraId="072BFF49" w14:textId="7BB621A8" w:rsidR="00A15489" w:rsidRPr="009B3809" w:rsidRDefault="00023FAF" w:rsidP="00025AAC">
      <w:pPr>
        <w:pStyle w:val="3-BodyText"/>
        <w:numPr>
          <w:ilvl w:val="1"/>
          <w:numId w:val="1"/>
        </w:numPr>
        <w:spacing w:before="160" w:after="160"/>
      </w:pPr>
      <w:bookmarkStart w:id="99" w:name="_Ref221813782"/>
      <w:r>
        <w:t xml:space="preserve">The resubmission presented sensitivity analyses based on total cost of listing </w:t>
      </w:r>
      <w:proofErr w:type="spellStart"/>
      <w:r>
        <w:t>pegvaliase</w:t>
      </w:r>
      <w:proofErr w:type="spellEnd"/>
      <w:r>
        <w:t xml:space="preserve">. </w:t>
      </w:r>
      <w:r w:rsidRPr="00E845D3">
        <w:t xml:space="preserve">These sensitivity analyses are presented in </w:t>
      </w:r>
      <w:r w:rsidRPr="00E845D3">
        <w:fldChar w:fldCharType="begin"/>
      </w:r>
      <w:r w:rsidRPr="00E845D3">
        <w:instrText xml:space="preserve"> REF _Ref219801713 \h </w:instrText>
      </w:r>
      <w:r w:rsidR="00E845D3" w:rsidRPr="00E845D3">
        <w:instrText xml:space="preserve"> \* MERGEFORMAT </w:instrText>
      </w:r>
      <w:r w:rsidRPr="00E845D3">
        <w:fldChar w:fldCharType="separate"/>
      </w:r>
      <w:r w:rsidR="00E24060">
        <w:t>Table 18</w:t>
      </w:r>
      <w:r w:rsidRPr="00E845D3">
        <w:fldChar w:fldCharType="end"/>
      </w:r>
      <w:r w:rsidRPr="00E845D3">
        <w:t xml:space="preserve"> and were </w:t>
      </w:r>
      <w:r w:rsidRPr="009B3809">
        <w:t xml:space="preserve">recalculated during the evaluation to only account for net costs to the PBS of listing </w:t>
      </w:r>
      <w:proofErr w:type="spellStart"/>
      <w:r w:rsidRPr="009B3809">
        <w:t>pegvaliase</w:t>
      </w:r>
      <w:proofErr w:type="spellEnd"/>
      <w:r w:rsidRPr="009B3809">
        <w:t xml:space="preserve"> and thus represent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9B3809">
        <w:t xml:space="preserve"> cost of </w:t>
      </w:r>
      <w:r w:rsidRPr="005C437D">
        <w:t>$</w:t>
      </w:r>
      <w:r w:rsidR="002615A2" w:rsidRPr="002615A2">
        <w:rPr>
          <w:sz w:val="2"/>
          <w:highlight w:val="black"/>
        </w:rPr>
        <w:t>redacted content</w:t>
      </w:r>
      <w:r w:rsidRPr="009B3809">
        <w:t xml:space="preserve"> per syringe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9B3809">
        <w:t xml:space="preserve"> </w:t>
      </w:r>
      <w:r w:rsidRPr="009A5F76">
        <w:t>the net cost of affected medicines (i.e.</w:t>
      </w:r>
      <w:r w:rsidR="007479E9" w:rsidRPr="009A5F76">
        <w:t>,</w:t>
      </w:r>
      <w:r w:rsidRPr="009A5F76">
        <w:t xml:space="preserve"> savings of up to around $</w:t>
      </w:r>
      <w:r w:rsidR="007479E9" w:rsidRPr="009A5F76">
        <w:t>0 to &lt; $10 million</w:t>
      </w:r>
      <w:r w:rsidRPr="009A5F76">
        <w:t xml:space="preserve"> a year for reduced use of </w:t>
      </w:r>
      <w:proofErr w:type="spellStart"/>
      <w:r w:rsidRPr="009A5F76">
        <w:t>Phe</w:t>
      </w:r>
      <w:proofErr w:type="spellEnd"/>
      <w:r w:rsidRPr="009A5F76">
        <w:t>-free supplements and other medicines).</w:t>
      </w:r>
      <w:r w:rsidRPr="009B3809">
        <w:t xml:space="preserve"> </w:t>
      </w:r>
      <w:bookmarkEnd w:id="99"/>
    </w:p>
    <w:p w14:paraId="6AD9C5D6" w14:textId="7D9B7553" w:rsidR="004D59D4" w:rsidRPr="00A15489" w:rsidRDefault="00A15489" w:rsidP="00025AAC">
      <w:pPr>
        <w:jc w:val="left"/>
        <w:rPr>
          <w:rFonts w:asciiTheme="minorHAnsi" w:eastAsiaTheme="minorHAnsi" w:hAnsiTheme="minorHAnsi" w:cstheme="minorBidi"/>
          <w:szCs w:val="22"/>
        </w:rPr>
      </w:pPr>
      <w:r>
        <w:br w:type="page"/>
      </w:r>
    </w:p>
    <w:p w14:paraId="3DED4772" w14:textId="305825AA" w:rsidR="004D59D4" w:rsidRPr="00A3075C" w:rsidRDefault="00023FAF" w:rsidP="00025AAC">
      <w:pPr>
        <w:pStyle w:val="Caption"/>
      </w:pPr>
      <w:bookmarkStart w:id="100" w:name="_Ref219801713"/>
      <w:bookmarkStart w:id="101" w:name="_Toc213245168"/>
      <w:bookmarkStart w:id="102" w:name="_Toc97708390"/>
      <w:bookmarkStart w:id="103" w:name="_Ref217319374"/>
      <w:r>
        <w:lastRenderedPageBreak/>
        <w:t xml:space="preserve">Table </w:t>
      </w:r>
      <w:fldSimple w:instr=" SEQ Table \* ARABIC ">
        <w:r w:rsidR="00E24060">
          <w:rPr>
            <w:noProof/>
          </w:rPr>
          <w:t>18</w:t>
        </w:r>
      </w:fldSimple>
      <w:bookmarkEnd w:id="100"/>
      <w:r>
        <w:t>: Sensitivity analyses</w:t>
      </w:r>
      <w:bookmarkEnd w:id="101"/>
      <w:bookmarkEnd w:id="102"/>
      <w:r>
        <w:t xml:space="preserve"> </w:t>
      </w:r>
      <w:r w:rsidRPr="00924868">
        <w:t>(</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924868">
        <w:t xml:space="preserve"> cost of $</w:t>
      </w:r>
      <w:r w:rsidR="002615A2" w:rsidRPr="002615A2">
        <w:rPr>
          <w:sz w:val="2"/>
          <w:highlight w:val="black"/>
        </w:rPr>
        <w:t>redacted content</w:t>
      </w:r>
      <w:r w:rsidRPr="00924868">
        <w:t xml:space="preserve"> per syringe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A3075C">
        <w:t>)</w:t>
      </w:r>
      <w:bookmarkEnd w:id="103"/>
    </w:p>
    <w:tbl>
      <w:tblPr>
        <w:tblStyle w:val="TableGrid"/>
        <w:tblW w:w="5000" w:type="pct"/>
        <w:tblLayout w:type="fixed"/>
        <w:tblLook w:val="04A0" w:firstRow="1" w:lastRow="0" w:firstColumn="1" w:lastColumn="0" w:noHBand="0" w:noVBand="1"/>
        <w:tblCaption w:val="Table 18: Sensitivity analyses (redacted content redacted content redacted content redacted content redacted content redacted content redacted content redacted content redacted content redacted content redacted content cost of $redacted content per syringe redacted content redacted content redacted content redacted content redacted content redacted content redacted content redacted content redacted content redacted content redacted content)"/>
      </w:tblPr>
      <w:tblGrid>
        <w:gridCol w:w="1725"/>
        <w:gridCol w:w="1213"/>
        <w:gridCol w:w="1214"/>
        <w:gridCol w:w="1214"/>
        <w:gridCol w:w="1214"/>
        <w:gridCol w:w="1214"/>
        <w:gridCol w:w="1222"/>
      </w:tblGrid>
      <w:tr w:rsidR="004D59D4" w:rsidRPr="00A3075C" w14:paraId="394C45DC" w14:textId="77777777">
        <w:trPr>
          <w:tblHeader/>
        </w:trPr>
        <w:tc>
          <w:tcPr>
            <w:tcW w:w="1728" w:type="dxa"/>
            <w:vAlign w:val="center"/>
          </w:tcPr>
          <w:p w14:paraId="52DAB588" w14:textId="77777777" w:rsidR="004D59D4" w:rsidRPr="00A3075C" w:rsidRDefault="004D59D4" w:rsidP="00025AAC">
            <w:pPr>
              <w:pStyle w:val="TableText1"/>
              <w:rPr>
                <w:iCs w:val="0"/>
              </w:rPr>
            </w:pPr>
          </w:p>
        </w:tc>
        <w:tc>
          <w:tcPr>
            <w:tcW w:w="1215" w:type="dxa"/>
            <w:vAlign w:val="center"/>
          </w:tcPr>
          <w:p w14:paraId="2B73096F" w14:textId="77777777" w:rsidR="004D59D4" w:rsidRPr="00A3075C" w:rsidRDefault="00023FAF" w:rsidP="00025AAC">
            <w:pPr>
              <w:pStyle w:val="In-tableHeading"/>
              <w:jc w:val="center"/>
            </w:pPr>
            <w:r w:rsidRPr="00A3075C">
              <w:t>Year 1</w:t>
            </w:r>
          </w:p>
        </w:tc>
        <w:tc>
          <w:tcPr>
            <w:tcW w:w="1215" w:type="dxa"/>
            <w:vAlign w:val="center"/>
          </w:tcPr>
          <w:p w14:paraId="773DB7CB" w14:textId="77777777" w:rsidR="004D59D4" w:rsidRPr="00A3075C" w:rsidRDefault="00023FAF" w:rsidP="00025AAC">
            <w:pPr>
              <w:pStyle w:val="In-tableHeading"/>
              <w:jc w:val="center"/>
            </w:pPr>
            <w:r w:rsidRPr="00A3075C">
              <w:t>Year 2</w:t>
            </w:r>
          </w:p>
        </w:tc>
        <w:tc>
          <w:tcPr>
            <w:tcW w:w="1215" w:type="dxa"/>
            <w:vAlign w:val="center"/>
          </w:tcPr>
          <w:p w14:paraId="15C0EA19" w14:textId="77777777" w:rsidR="004D59D4" w:rsidRPr="00A3075C" w:rsidRDefault="00023FAF" w:rsidP="00025AAC">
            <w:pPr>
              <w:pStyle w:val="In-tableHeading"/>
              <w:jc w:val="center"/>
            </w:pPr>
            <w:r w:rsidRPr="00A3075C">
              <w:t>Year 3</w:t>
            </w:r>
          </w:p>
        </w:tc>
        <w:tc>
          <w:tcPr>
            <w:tcW w:w="1215" w:type="dxa"/>
            <w:vAlign w:val="center"/>
          </w:tcPr>
          <w:p w14:paraId="24E18498" w14:textId="77777777" w:rsidR="004D59D4" w:rsidRPr="00A3075C" w:rsidRDefault="00023FAF" w:rsidP="00025AAC">
            <w:pPr>
              <w:pStyle w:val="In-tableHeading"/>
              <w:jc w:val="center"/>
            </w:pPr>
            <w:r w:rsidRPr="00A3075C">
              <w:t>Year 4</w:t>
            </w:r>
          </w:p>
        </w:tc>
        <w:tc>
          <w:tcPr>
            <w:tcW w:w="1215" w:type="dxa"/>
            <w:vAlign w:val="center"/>
          </w:tcPr>
          <w:p w14:paraId="7AA887F1" w14:textId="77777777" w:rsidR="004D59D4" w:rsidRPr="00A3075C" w:rsidRDefault="00023FAF" w:rsidP="00025AAC">
            <w:pPr>
              <w:pStyle w:val="In-tableHeading"/>
              <w:jc w:val="center"/>
            </w:pPr>
            <w:r w:rsidRPr="00A3075C">
              <w:t>Year 5</w:t>
            </w:r>
          </w:p>
        </w:tc>
        <w:tc>
          <w:tcPr>
            <w:tcW w:w="1223" w:type="dxa"/>
            <w:vAlign w:val="center"/>
          </w:tcPr>
          <w:p w14:paraId="2E7428C1" w14:textId="77777777" w:rsidR="004D59D4" w:rsidRPr="00A3075C" w:rsidRDefault="00023FAF" w:rsidP="00025AAC">
            <w:pPr>
              <w:pStyle w:val="In-tableHeading"/>
              <w:jc w:val="center"/>
            </w:pPr>
            <w:r w:rsidRPr="00A3075C">
              <w:t>Year 6</w:t>
            </w:r>
          </w:p>
        </w:tc>
      </w:tr>
      <w:tr w:rsidR="004D59D4" w:rsidRPr="00A3075C" w14:paraId="3770B8B6" w14:textId="77777777">
        <w:tc>
          <w:tcPr>
            <w:tcW w:w="1728" w:type="dxa"/>
            <w:vAlign w:val="bottom"/>
          </w:tcPr>
          <w:p w14:paraId="3E20E948" w14:textId="77777777" w:rsidR="004D59D4" w:rsidRPr="00A3075C" w:rsidRDefault="00023FAF" w:rsidP="00025AAC">
            <w:pPr>
              <w:pStyle w:val="TableText1"/>
              <w:rPr>
                <w:iCs w:val="0"/>
              </w:rPr>
            </w:pPr>
            <w:r w:rsidRPr="00A3075C">
              <w:rPr>
                <w:iCs w:val="0"/>
              </w:rPr>
              <w:t>Base case (</w:t>
            </w:r>
            <w:r w:rsidRPr="00A3075C">
              <w:rPr>
                <w:b/>
                <w:bCs w:val="0"/>
                <w:iCs w:val="0"/>
              </w:rPr>
              <w:t>Scenario A</w:t>
            </w:r>
            <w:r w:rsidRPr="00A3075C">
              <w:rPr>
                <w:iCs w:val="0"/>
              </w:rPr>
              <w:t>)</w:t>
            </w:r>
          </w:p>
        </w:tc>
        <w:tc>
          <w:tcPr>
            <w:tcW w:w="1215" w:type="dxa"/>
          </w:tcPr>
          <w:p w14:paraId="0FA23943" w14:textId="3C350FC6" w:rsidR="004D59D4" w:rsidRPr="008A3493" w:rsidRDefault="00023FAF" w:rsidP="00025AAC">
            <w:pPr>
              <w:pStyle w:val="TableText1"/>
              <w:rPr>
                <w:iCs w:val="0"/>
                <w:color w:val="000000"/>
                <w:vertAlign w:val="superscript"/>
              </w:rPr>
            </w:pPr>
            <w:r w:rsidRPr="00A3075C">
              <w:rPr>
                <w:iCs w:val="0"/>
              </w:rPr>
              <w:t>$</w:t>
            </w:r>
            <w:r w:rsidR="002615A2" w:rsidRPr="002615A2">
              <w:rPr>
                <w:iCs w:val="0"/>
                <w:sz w:val="2"/>
                <w:highlight w:val="black"/>
              </w:rPr>
              <w:t>redacted content</w:t>
            </w:r>
            <w:r w:rsidR="007479E9">
              <w:rPr>
                <w:iCs w:val="0"/>
                <w:vertAlign w:val="superscript"/>
              </w:rPr>
              <w:t>1</w:t>
            </w:r>
          </w:p>
        </w:tc>
        <w:tc>
          <w:tcPr>
            <w:tcW w:w="1215" w:type="dxa"/>
          </w:tcPr>
          <w:p w14:paraId="5D7B8B77" w14:textId="6C1C2EFA"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7479E9">
              <w:rPr>
                <w:iCs w:val="0"/>
                <w:vertAlign w:val="superscript"/>
              </w:rPr>
              <w:t>1</w:t>
            </w:r>
          </w:p>
        </w:tc>
        <w:tc>
          <w:tcPr>
            <w:tcW w:w="1215" w:type="dxa"/>
          </w:tcPr>
          <w:p w14:paraId="67A2430C" w14:textId="7AD59FED"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7479E9">
              <w:rPr>
                <w:iCs w:val="0"/>
                <w:vertAlign w:val="superscript"/>
              </w:rPr>
              <w:t>1</w:t>
            </w:r>
          </w:p>
        </w:tc>
        <w:tc>
          <w:tcPr>
            <w:tcW w:w="1215" w:type="dxa"/>
          </w:tcPr>
          <w:p w14:paraId="56F31600" w14:textId="764DDF3C"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7479E9">
              <w:rPr>
                <w:iCs w:val="0"/>
                <w:vertAlign w:val="superscript"/>
              </w:rPr>
              <w:t>1</w:t>
            </w:r>
          </w:p>
        </w:tc>
        <w:tc>
          <w:tcPr>
            <w:tcW w:w="1215" w:type="dxa"/>
          </w:tcPr>
          <w:p w14:paraId="469FD464" w14:textId="758B4581"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7479E9">
              <w:rPr>
                <w:iCs w:val="0"/>
                <w:vertAlign w:val="superscript"/>
              </w:rPr>
              <w:t>1</w:t>
            </w:r>
          </w:p>
        </w:tc>
        <w:tc>
          <w:tcPr>
            <w:tcW w:w="1223" w:type="dxa"/>
          </w:tcPr>
          <w:p w14:paraId="7CA3EAB9" w14:textId="5A2686F4" w:rsidR="004D59D4" w:rsidRPr="008A3493" w:rsidRDefault="00023FAF" w:rsidP="00025AAC">
            <w:pPr>
              <w:pStyle w:val="TableText1"/>
              <w:rPr>
                <w:iCs w:val="0"/>
                <w:color w:val="000000"/>
                <w:vertAlign w:val="superscript"/>
              </w:rPr>
            </w:pPr>
            <w:r w:rsidRPr="00A3075C">
              <w:rPr>
                <w:iCs w:val="0"/>
              </w:rPr>
              <w:t>$</w:t>
            </w:r>
            <w:r w:rsidR="002615A2" w:rsidRPr="002615A2">
              <w:rPr>
                <w:iCs w:val="0"/>
                <w:sz w:val="2"/>
                <w:highlight w:val="black"/>
              </w:rPr>
              <w:t>redacted content</w:t>
            </w:r>
            <w:r w:rsidR="007479E9">
              <w:rPr>
                <w:iCs w:val="0"/>
                <w:vertAlign w:val="superscript"/>
              </w:rPr>
              <w:t>2</w:t>
            </w:r>
          </w:p>
        </w:tc>
      </w:tr>
      <w:tr w:rsidR="004D59D4" w:rsidRPr="00A3075C" w14:paraId="7627331E" w14:textId="77777777">
        <w:tc>
          <w:tcPr>
            <w:tcW w:w="9026" w:type="dxa"/>
            <w:gridSpan w:val="7"/>
            <w:vAlign w:val="bottom"/>
          </w:tcPr>
          <w:p w14:paraId="7A6B018B" w14:textId="77777777" w:rsidR="004D59D4" w:rsidRPr="00A3075C" w:rsidRDefault="00023FAF" w:rsidP="00025AAC">
            <w:pPr>
              <w:pStyle w:val="TableText1"/>
              <w:rPr>
                <w:rFonts w:cs="Calibri"/>
                <w:iCs w:val="0"/>
              </w:rPr>
            </w:pPr>
            <w:r w:rsidRPr="00A3075C">
              <w:rPr>
                <w:iCs w:val="0"/>
              </w:rPr>
              <w:t>Patients under clinic follow up (base case: 70</w:t>
            </w:r>
            <w:proofErr w:type="gramStart"/>
            <w:r w:rsidRPr="00A3075C">
              <w:rPr>
                <w:iCs w:val="0"/>
              </w:rPr>
              <w:t>%)</w:t>
            </w:r>
            <w:r w:rsidRPr="00A3075C">
              <w:rPr>
                <w:iCs w:val="0"/>
                <w:vertAlign w:val="superscript"/>
              </w:rPr>
              <w:t>a</w:t>
            </w:r>
            <w:proofErr w:type="gramEnd"/>
          </w:p>
        </w:tc>
      </w:tr>
      <w:tr w:rsidR="004D59D4" w:rsidRPr="00A3075C" w14:paraId="0CD4DC51" w14:textId="77777777">
        <w:tc>
          <w:tcPr>
            <w:tcW w:w="1728" w:type="dxa"/>
            <w:vAlign w:val="bottom"/>
          </w:tcPr>
          <w:p w14:paraId="58E10F3E" w14:textId="77777777" w:rsidR="004D59D4" w:rsidRPr="00A3075C" w:rsidRDefault="00023FAF" w:rsidP="00025AAC">
            <w:pPr>
              <w:pStyle w:val="TableText1"/>
              <w:rPr>
                <w:iCs w:val="0"/>
              </w:rPr>
            </w:pPr>
            <w:r w:rsidRPr="00A3075C">
              <w:rPr>
                <w:iCs w:val="0"/>
              </w:rPr>
              <w:t>55%</w:t>
            </w:r>
          </w:p>
        </w:tc>
        <w:tc>
          <w:tcPr>
            <w:tcW w:w="1215" w:type="dxa"/>
          </w:tcPr>
          <w:p w14:paraId="4D12956A" w14:textId="05ED6D7F" w:rsidR="004D59D4" w:rsidRPr="008A3493" w:rsidRDefault="00023FAF" w:rsidP="00025AAC">
            <w:pPr>
              <w:pStyle w:val="TableText1"/>
              <w:rPr>
                <w:rFonts w:cs="Calibri"/>
                <w:iCs w:val="0"/>
                <w:vertAlign w:val="superscript"/>
              </w:rPr>
            </w:pPr>
            <w:r w:rsidRPr="00A3075C">
              <w:rPr>
                <w:iCs w:val="0"/>
              </w:rPr>
              <w:t>$</w:t>
            </w:r>
            <w:r w:rsidR="002615A2" w:rsidRPr="002615A2">
              <w:rPr>
                <w:iCs w:val="0"/>
                <w:sz w:val="2"/>
                <w:highlight w:val="black"/>
              </w:rPr>
              <w:t>redacted content</w:t>
            </w:r>
            <w:r w:rsidR="00742838">
              <w:rPr>
                <w:iCs w:val="0"/>
                <w:vertAlign w:val="superscript"/>
              </w:rPr>
              <w:t>1</w:t>
            </w:r>
          </w:p>
        </w:tc>
        <w:tc>
          <w:tcPr>
            <w:tcW w:w="1215" w:type="dxa"/>
          </w:tcPr>
          <w:p w14:paraId="5CFADFD1" w14:textId="6F1D1F08" w:rsidR="004D59D4" w:rsidRPr="008A3493" w:rsidRDefault="00023FAF" w:rsidP="00025AAC">
            <w:pPr>
              <w:pStyle w:val="TableText1"/>
              <w:rPr>
                <w:rFonts w:cs="Calibri"/>
                <w:iCs w:val="0"/>
                <w:vertAlign w:val="superscript"/>
              </w:rPr>
            </w:pPr>
            <w:r w:rsidRPr="00A3075C">
              <w:rPr>
                <w:iCs w:val="0"/>
              </w:rPr>
              <w:t>$</w:t>
            </w:r>
            <w:r w:rsidR="002615A2" w:rsidRPr="002615A2">
              <w:rPr>
                <w:iCs w:val="0"/>
                <w:sz w:val="2"/>
                <w:highlight w:val="black"/>
              </w:rPr>
              <w:t>redacted content</w:t>
            </w:r>
            <w:r w:rsidR="00D306F2">
              <w:rPr>
                <w:iCs w:val="0"/>
                <w:vertAlign w:val="superscript"/>
              </w:rPr>
              <w:t>1</w:t>
            </w:r>
          </w:p>
        </w:tc>
        <w:tc>
          <w:tcPr>
            <w:tcW w:w="1215" w:type="dxa"/>
          </w:tcPr>
          <w:p w14:paraId="1F694CBD" w14:textId="6918F2A1" w:rsidR="004D59D4" w:rsidRPr="008A3493" w:rsidRDefault="00023FAF" w:rsidP="00025AAC">
            <w:pPr>
              <w:pStyle w:val="TableText1"/>
              <w:rPr>
                <w:rFonts w:cs="Calibri"/>
                <w:iCs w:val="0"/>
                <w:vertAlign w:val="superscript"/>
              </w:rPr>
            </w:pPr>
            <w:r w:rsidRPr="00A3075C">
              <w:rPr>
                <w:iCs w:val="0"/>
              </w:rPr>
              <w:t>$</w:t>
            </w:r>
            <w:r w:rsidR="002615A2" w:rsidRPr="002615A2">
              <w:rPr>
                <w:iCs w:val="0"/>
                <w:sz w:val="2"/>
                <w:highlight w:val="black"/>
              </w:rPr>
              <w:t>redacted content</w:t>
            </w:r>
            <w:r w:rsidR="00D306F2">
              <w:rPr>
                <w:iCs w:val="0"/>
                <w:vertAlign w:val="superscript"/>
              </w:rPr>
              <w:t>1</w:t>
            </w:r>
          </w:p>
        </w:tc>
        <w:tc>
          <w:tcPr>
            <w:tcW w:w="1215" w:type="dxa"/>
          </w:tcPr>
          <w:p w14:paraId="25B1B326" w14:textId="746AFF16" w:rsidR="004D59D4" w:rsidRPr="008A3493" w:rsidRDefault="00023FAF" w:rsidP="00025AAC">
            <w:pPr>
              <w:pStyle w:val="TableText1"/>
              <w:rPr>
                <w:rFonts w:cs="Calibri"/>
                <w:iCs w:val="0"/>
                <w:vertAlign w:val="superscript"/>
              </w:rPr>
            </w:pPr>
            <w:r w:rsidRPr="00A3075C">
              <w:rPr>
                <w:iCs w:val="0"/>
              </w:rPr>
              <w:t>$</w:t>
            </w:r>
            <w:r w:rsidR="002615A2" w:rsidRPr="002615A2">
              <w:rPr>
                <w:iCs w:val="0"/>
                <w:sz w:val="2"/>
                <w:highlight w:val="black"/>
              </w:rPr>
              <w:t>redacted content</w:t>
            </w:r>
            <w:r w:rsidR="00D306F2">
              <w:rPr>
                <w:iCs w:val="0"/>
                <w:vertAlign w:val="superscript"/>
              </w:rPr>
              <w:t>1</w:t>
            </w:r>
          </w:p>
        </w:tc>
        <w:tc>
          <w:tcPr>
            <w:tcW w:w="1215" w:type="dxa"/>
          </w:tcPr>
          <w:p w14:paraId="2D326D08" w14:textId="0184AED0" w:rsidR="004D59D4" w:rsidRPr="00A3075C" w:rsidRDefault="00023FAF" w:rsidP="00025AAC">
            <w:pPr>
              <w:pStyle w:val="TableText1"/>
              <w:rPr>
                <w:rFonts w:cs="Calibri"/>
                <w:iCs w:val="0"/>
              </w:rPr>
            </w:pPr>
            <w:r w:rsidRPr="00A3075C">
              <w:rPr>
                <w:iCs w:val="0"/>
              </w:rPr>
              <w:t>$</w:t>
            </w:r>
            <w:r w:rsidR="002615A2" w:rsidRPr="002615A2">
              <w:rPr>
                <w:iCs w:val="0"/>
                <w:sz w:val="2"/>
                <w:highlight w:val="black"/>
              </w:rPr>
              <w:t>redacted content</w:t>
            </w:r>
            <w:r w:rsidR="00D306F2">
              <w:rPr>
                <w:iCs w:val="0"/>
                <w:vertAlign w:val="superscript"/>
              </w:rPr>
              <w:t>1</w:t>
            </w:r>
          </w:p>
        </w:tc>
        <w:tc>
          <w:tcPr>
            <w:tcW w:w="1223" w:type="dxa"/>
          </w:tcPr>
          <w:p w14:paraId="028D968A" w14:textId="75088ED0" w:rsidR="004D59D4" w:rsidRPr="00A3075C" w:rsidRDefault="00023FAF" w:rsidP="00025AAC">
            <w:pPr>
              <w:pStyle w:val="TableText1"/>
              <w:rPr>
                <w:rFonts w:cs="Calibri"/>
                <w:iCs w:val="0"/>
              </w:rPr>
            </w:pPr>
            <w:r w:rsidRPr="00A3075C">
              <w:rPr>
                <w:iCs w:val="0"/>
              </w:rPr>
              <w:t>$</w:t>
            </w:r>
            <w:r w:rsidR="002615A2" w:rsidRPr="002615A2">
              <w:rPr>
                <w:iCs w:val="0"/>
                <w:sz w:val="2"/>
                <w:highlight w:val="black"/>
              </w:rPr>
              <w:t>redacted content</w:t>
            </w:r>
            <w:r w:rsidR="00D306F2">
              <w:rPr>
                <w:iCs w:val="0"/>
                <w:vertAlign w:val="superscript"/>
              </w:rPr>
              <w:t>1</w:t>
            </w:r>
          </w:p>
        </w:tc>
      </w:tr>
      <w:tr w:rsidR="004D59D4" w:rsidRPr="00A3075C" w14:paraId="7F582E29" w14:textId="77777777">
        <w:tc>
          <w:tcPr>
            <w:tcW w:w="9026" w:type="dxa"/>
            <w:gridSpan w:val="7"/>
            <w:vAlign w:val="bottom"/>
          </w:tcPr>
          <w:p w14:paraId="5D14BB09" w14:textId="77777777" w:rsidR="004D59D4" w:rsidRPr="00A3075C" w:rsidRDefault="00023FAF" w:rsidP="00025AAC">
            <w:pPr>
              <w:pStyle w:val="TableText1"/>
              <w:rPr>
                <w:rFonts w:cs="Calibri"/>
                <w:iCs w:val="0"/>
              </w:rPr>
            </w:pPr>
            <w:proofErr w:type="spellStart"/>
            <w:r w:rsidRPr="00A3075C">
              <w:rPr>
                <w:iCs w:val="0"/>
              </w:rPr>
              <w:t>Phe</w:t>
            </w:r>
            <w:proofErr w:type="spellEnd"/>
            <w:r w:rsidRPr="00A3075C">
              <w:rPr>
                <w:iCs w:val="0"/>
              </w:rPr>
              <w:t xml:space="preserve"> &gt; 500 µmol/L (base case: 49.92%)</w:t>
            </w:r>
            <w:r w:rsidRPr="00A3075C">
              <w:rPr>
                <w:iCs w:val="0"/>
                <w:vertAlign w:val="superscript"/>
              </w:rPr>
              <w:t xml:space="preserve"> b</w:t>
            </w:r>
          </w:p>
        </w:tc>
      </w:tr>
      <w:tr w:rsidR="004D59D4" w:rsidRPr="00A3075C" w14:paraId="27B1E2FA" w14:textId="77777777">
        <w:tc>
          <w:tcPr>
            <w:tcW w:w="1728" w:type="dxa"/>
            <w:vAlign w:val="bottom"/>
          </w:tcPr>
          <w:p w14:paraId="74EFCD02" w14:textId="77777777" w:rsidR="004D59D4" w:rsidRPr="00A3075C" w:rsidRDefault="00023FAF" w:rsidP="00025AAC">
            <w:pPr>
              <w:pStyle w:val="TableText1"/>
              <w:rPr>
                <w:iCs w:val="0"/>
              </w:rPr>
            </w:pPr>
            <w:r w:rsidRPr="00A3075C">
              <w:rPr>
                <w:iCs w:val="0"/>
              </w:rPr>
              <w:t>75%</w:t>
            </w:r>
          </w:p>
        </w:tc>
        <w:tc>
          <w:tcPr>
            <w:tcW w:w="1215" w:type="dxa"/>
          </w:tcPr>
          <w:p w14:paraId="2E98B825" w14:textId="2B9EB68F" w:rsidR="004D59D4" w:rsidRPr="008A3493" w:rsidRDefault="00023FAF" w:rsidP="00025AAC">
            <w:pPr>
              <w:pStyle w:val="TableText1"/>
              <w:rPr>
                <w:iCs w:val="0"/>
                <w:color w:val="000000"/>
                <w:vertAlign w:val="superscript"/>
              </w:rPr>
            </w:pPr>
            <w:r w:rsidRPr="00A3075C">
              <w:rPr>
                <w:iCs w:val="0"/>
              </w:rPr>
              <w:t>$</w:t>
            </w:r>
            <w:r w:rsidR="002615A2" w:rsidRPr="002615A2">
              <w:rPr>
                <w:iCs w:val="0"/>
                <w:sz w:val="2"/>
                <w:highlight w:val="black"/>
              </w:rPr>
              <w:t>redacted content</w:t>
            </w:r>
            <w:r w:rsidR="007C1FAF">
              <w:rPr>
                <w:iCs w:val="0"/>
                <w:vertAlign w:val="superscript"/>
              </w:rPr>
              <w:t>2</w:t>
            </w:r>
          </w:p>
        </w:tc>
        <w:tc>
          <w:tcPr>
            <w:tcW w:w="1215" w:type="dxa"/>
          </w:tcPr>
          <w:p w14:paraId="33DD2501" w14:textId="42912EA7" w:rsidR="004D59D4" w:rsidRPr="008A3493" w:rsidRDefault="002615A2" w:rsidP="00025AAC">
            <w:pPr>
              <w:pStyle w:val="TableText1"/>
              <w:rPr>
                <w:iCs w:val="0"/>
                <w:color w:val="000000"/>
                <w:highlight w:val="darkGray"/>
                <w:vertAlign w:val="superscript"/>
              </w:rPr>
            </w:pPr>
            <w:r w:rsidRPr="002615A2">
              <w:rPr>
                <w:iCs w:val="0"/>
                <w:sz w:val="2"/>
                <w:highlight w:val="black"/>
              </w:rPr>
              <w:t>redacted content</w:t>
            </w:r>
            <w:r w:rsidR="00F2204C" w:rsidRPr="008A3493">
              <w:rPr>
                <w:iCs w:val="0"/>
                <w:vertAlign w:val="superscript"/>
              </w:rPr>
              <w:t>2</w:t>
            </w:r>
          </w:p>
        </w:tc>
        <w:tc>
          <w:tcPr>
            <w:tcW w:w="1215" w:type="dxa"/>
          </w:tcPr>
          <w:p w14:paraId="45E16EBB" w14:textId="59052535"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F2204C">
              <w:rPr>
                <w:iCs w:val="0"/>
                <w:vertAlign w:val="superscript"/>
              </w:rPr>
              <w:t>2</w:t>
            </w:r>
          </w:p>
        </w:tc>
        <w:tc>
          <w:tcPr>
            <w:tcW w:w="1215" w:type="dxa"/>
          </w:tcPr>
          <w:p w14:paraId="7461CDD4" w14:textId="548E3137"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F2204C">
              <w:rPr>
                <w:iCs w:val="0"/>
                <w:vertAlign w:val="superscript"/>
              </w:rPr>
              <w:t>2</w:t>
            </w:r>
          </w:p>
        </w:tc>
        <w:tc>
          <w:tcPr>
            <w:tcW w:w="1215" w:type="dxa"/>
          </w:tcPr>
          <w:p w14:paraId="67222C4F" w14:textId="040AB02F"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F2204C">
              <w:rPr>
                <w:iCs w:val="0"/>
                <w:vertAlign w:val="superscript"/>
              </w:rPr>
              <w:t>2</w:t>
            </w:r>
          </w:p>
        </w:tc>
        <w:tc>
          <w:tcPr>
            <w:tcW w:w="1223" w:type="dxa"/>
          </w:tcPr>
          <w:p w14:paraId="250ABAED" w14:textId="3F9CAB7B"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F2204C">
              <w:rPr>
                <w:iCs w:val="0"/>
                <w:vertAlign w:val="superscript"/>
              </w:rPr>
              <w:t>3</w:t>
            </w:r>
          </w:p>
        </w:tc>
      </w:tr>
      <w:tr w:rsidR="004D59D4" w:rsidRPr="00A3075C" w14:paraId="0B0DDF57" w14:textId="77777777">
        <w:tc>
          <w:tcPr>
            <w:tcW w:w="1728" w:type="dxa"/>
            <w:vAlign w:val="bottom"/>
          </w:tcPr>
          <w:p w14:paraId="6E5D523B" w14:textId="77777777" w:rsidR="004D59D4" w:rsidRPr="00A3075C" w:rsidRDefault="00023FAF" w:rsidP="00025AAC">
            <w:pPr>
              <w:pStyle w:val="TableText1"/>
              <w:rPr>
                <w:iCs w:val="0"/>
              </w:rPr>
            </w:pPr>
            <w:r w:rsidRPr="00A3075C">
              <w:rPr>
                <w:iCs w:val="0"/>
              </w:rPr>
              <w:t>40%</w:t>
            </w:r>
          </w:p>
        </w:tc>
        <w:tc>
          <w:tcPr>
            <w:tcW w:w="1215" w:type="dxa"/>
          </w:tcPr>
          <w:p w14:paraId="0D28913B" w14:textId="4C38884C" w:rsidR="004D59D4" w:rsidRPr="008A3493" w:rsidRDefault="00023FAF" w:rsidP="00025AAC">
            <w:pPr>
              <w:pStyle w:val="TableText1"/>
              <w:rPr>
                <w:iCs w:val="0"/>
                <w:color w:val="000000"/>
                <w:vertAlign w:val="superscript"/>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68583835" w14:textId="1B76DF6A"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1B7136CD" w14:textId="67DB7F82"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61501F60" w14:textId="1EFB4E05"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59D09BF6" w14:textId="7B635A62"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23" w:type="dxa"/>
          </w:tcPr>
          <w:p w14:paraId="32FC1066" w14:textId="6CF91800" w:rsidR="004D59D4" w:rsidRPr="00A3075C" w:rsidRDefault="00023FAF" w:rsidP="00025AAC">
            <w:pPr>
              <w:pStyle w:val="TableText1"/>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r>
      <w:tr w:rsidR="004D59D4" w:rsidRPr="00A3075C" w14:paraId="142C5E37" w14:textId="77777777">
        <w:tc>
          <w:tcPr>
            <w:tcW w:w="9026" w:type="dxa"/>
            <w:gridSpan w:val="7"/>
            <w:vAlign w:val="bottom"/>
          </w:tcPr>
          <w:p w14:paraId="2E3DCE9E" w14:textId="3F18BA8E" w:rsidR="004D59D4" w:rsidRPr="00A3075C" w:rsidRDefault="00023FAF" w:rsidP="00025AAC">
            <w:pPr>
              <w:pStyle w:val="TableText1"/>
              <w:rPr>
                <w:rFonts w:cs="Calibri"/>
                <w:iCs w:val="0"/>
              </w:rPr>
            </w:pPr>
            <w:r w:rsidRPr="00A3075C">
              <w:rPr>
                <w:iCs w:val="0"/>
              </w:rPr>
              <w:t xml:space="preserve">Cumulative uptake rate (base case: </w:t>
            </w:r>
            <w:r w:rsidR="002615A2" w:rsidRPr="002615A2">
              <w:rPr>
                <w:iCs w:val="0"/>
                <w:sz w:val="2"/>
                <w:highlight w:val="black"/>
              </w:rPr>
              <w:t>redacted content</w:t>
            </w:r>
            <w:r w:rsidRPr="00A3075C">
              <w:rPr>
                <w:iCs w:val="0"/>
              </w:rPr>
              <w:t xml:space="preserve">% in year 1, increasing by </w:t>
            </w:r>
            <w:r w:rsidR="002615A2" w:rsidRPr="002615A2">
              <w:rPr>
                <w:iCs w:val="0"/>
                <w:sz w:val="2"/>
                <w:highlight w:val="black"/>
              </w:rPr>
              <w:t>redacted content</w:t>
            </w:r>
            <w:r w:rsidRPr="00A3075C">
              <w:rPr>
                <w:iCs w:val="0"/>
              </w:rPr>
              <w:t>% annually</w:t>
            </w:r>
            <w:proofErr w:type="gramStart"/>
            <w:r w:rsidRPr="00A3075C">
              <w:rPr>
                <w:iCs w:val="0"/>
              </w:rPr>
              <w:t>%)</w:t>
            </w:r>
            <w:r w:rsidRPr="00A3075C">
              <w:rPr>
                <w:iCs w:val="0"/>
                <w:vertAlign w:val="superscript"/>
              </w:rPr>
              <w:t>c</w:t>
            </w:r>
            <w:proofErr w:type="gramEnd"/>
          </w:p>
        </w:tc>
      </w:tr>
      <w:tr w:rsidR="004D59D4" w:rsidRPr="00A3075C" w14:paraId="16898B3D" w14:textId="77777777">
        <w:tc>
          <w:tcPr>
            <w:tcW w:w="1728" w:type="dxa"/>
            <w:vAlign w:val="bottom"/>
          </w:tcPr>
          <w:p w14:paraId="05271D28" w14:textId="1BC220A4" w:rsidR="004D59D4" w:rsidRPr="002F4056" w:rsidRDefault="002615A2" w:rsidP="00025AAC">
            <w:pPr>
              <w:pStyle w:val="TableText1"/>
              <w:rPr>
                <w:iCs w:val="0"/>
              </w:rPr>
            </w:pPr>
            <w:r w:rsidRPr="002615A2">
              <w:rPr>
                <w:iCs w:val="0"/>
                <w:sz w:val="2"/>
                <w:highlight w:val="black"/>
              </w:rPr>
              <w:t>redacted content</w:t>
            </w:r>
            <w:r w:rsidR="00023FAF" w:rsidRPr="002F4056">
              <w:rPr>
                <w:iCs w:val="0"/>
              </w:rPr>
              <w:t xml:space="preserve">%, increasing by </w:t>
            </w:r>
            <w:r w:rsidRPr="002615A2">
              <w:rPr>
                <w:iCs w:val="0"/>
                <w:sz w:val="2"/>
                <w:highlight w:val="black"/>
              </w:rPr>
              <w:t>redacted content</w:t>
            </w:r>
            <w:r w:rsidR="00023FAF" w:rsidRPr="002F4056">
              <w:rPr>
                <w:iCs w:val="0"/>
              </w:rPr>
              <w:t>% per year</w:t>
            </w:r>
          </w:p>
        </w:tc>
        <w:tc>
          <w:tcPr>
            <w:tcW w:w="1215" w:type="dxa"/>
            <w:vAlign w:val="center"/>
          </w:tcPr>
          <w:p w14:paraId="48962B59" w14:textId="7D069791"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4409C86D" w14:textId="4C2457A6"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465AE84C" w14:textId="1790A4CC"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288E7843" w14:textId="0A9EAE1A"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7CA87535" w14:textId="34475741"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23" w:type="dxa"/>
            <w:vAlign w:val="center"/>
          </w:tcPr>
          <w:p w14:paraId="65A56E68" w14:textId="6BE76A3A"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r>
      <w:tr w:rsidR="004D59D4" w:rsidRPr="00A3075C" w14:paraId="63A373EE" w14:textId="77777777">
        <w:tc>
          <w:tcPr>
            <w:tcW w:w="1728" w:type="dxa"/>
            <w:vAlign w:val="bottom"/>
          </w:tcPr>
          <w:p w14:paraId="35AF5583" w14:textId="79EC2D44" w:rsidR="004D59D4" w:rsidRPr="002F4056" w:rsidRDefault="002615A2" w:rsidP="00025AAC">
            <w:pPr>
              <w:pStyle w:val="TableText1"/>
              <w:rPr>
                <w:iCs w:val="0"/>
              </w:rPr>
            </w:pPr>
            <w:r w:rsidRPr="002615A2">
              <w:rPr>
                <w:iCs w:val="0"/>
                <w:sz w:val="2"/>
                <w:highlight w:val="black"/>
              </w:rPr>
              <w:t>redacted content</w:t>
            </w:r>
            <w:r w:rsidR="00023FAF" w:rsidRPr="002F4056">
              <w:rPr>
                <w:iCs w:val="0"/>
              </w:rPr>
              <w:t xml:space="preserve">%, increasing by </w:t>
            </w:r>
            <w:r w:rsidRPr="002615A2">
              <w:rPr>
                <w:iCs w:val="0"/>
                <w:sz w:val="2"/>
                <w:highlight w:val="black"/>
              </w:rPr>
              <w:t>redacted content</w:t>
            </w:r>
            <w:r w:rsidR="00023FAF" w:rsidRPr="002F4056">
              <w:rPr>
                <w:iCs w:val="0"/>
              </w:rPr>
              <w:t>% per year</w:t>
            </w:r>
          </w:p>
        </w:tc>
        <w:tc>
          <w:tcPr>
            <w:tcW w:w="1215" w:type="dxa"/>
            <w:vAlign w:val="center"/>
          </w:tcPr>
          <w:p w14:paraId="22705ED4" w14:textId="0B8D1BD3"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4BF2B57E" w14:textId="751E9D7B"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392991BE" w14:textId="508CE079"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0AC9003E" w14:textId="6DC75CFF"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5C1AF24F" w14:textId="1839A6B8" w:rsidR="004D59D4" w:rsidRPr="00A3075C" w:rsidRDefault="00023FAF" w:rsidP="00F2204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c>
          <w:tcPr>
            <w:tcW w:w="1223" w:type="dxa"/>
            <w:vAlign w:val="center"/>
          </w:tcPr>
          <w:p w14:paraId="10CEABDA" w14:textId="635CEF09" w:rsidR="004D59D4" w:rsidRPr="00A3075C" w:rsidRDefault="00023FAF" w:rsidP="00025AAC">
            <w:pPr>
              <w:pStyle w:val="TableText1"/>
              <w:jc w:val="center"/>
              <w:rPr>
                <w:iCs w:val="0"/>
                <w:color w:val="000000"/>
              </w:rPr>
            </w:pPr>
            <w:r w:rsidRPr="00A3075C">
              <w:rPr>
                <w:iCs w:val="0"/>
              </w:rPr>
              <w:t>$</w:t>
            </w:r>
            <w:r w:rsidR="002615A2" w:rsidRPr="002615A2">
              <w:rPr>
                <w:iCs w:val="0"/>
                <w:sz w:val="2"/>
                <w:highlight w:val="black"/>
              </w:rPr>
              <w:t>redacted content</w:t>
            </w:r>
            <w:r w:rsidR="00F2204C">
              <w:rPr>
                <w:iCs w:val="0"/>
                <w:vertAlign w:val="superscript"/>
              </w:rPr>
              <w:t>1</w:t>
            </w:r>
          </w:p>
        </w:tc>
      </w:tr>
      <w:tr w:rsidR="004D59D4" w:rsidRPr="00A3075C" w14:paraId="648C6F22" w14:textId="77777777">
        <w:tc>
          <w:tcPr>
            <w:tcW w:w="9026" w:type="dxa"/>
            <w:gridSpan w:val="7"/>
            <w:vAlign w:val="bottom"/>
          </w:tcPr>
          <w:p w14:paraId="10A351F9" w14:textId="77777777" w:rsidR="004D59D4" w:rsidRPr="00A3075C" w:rsidRDefault="00023FAF" w:rsidP="00025AAC">
            <w:pPr>
              <w:pStyle w:val="TableText1"/>
              <w:rPr>
                <w:iCs w:val="0"/>
              </w:rPr>
            </w:pPr>
            <w:r w:rsidRPr="00A3075C">
              <w:rPr>
                <w:iCs w:val="0"/>
              </w:rPr>
              <w:t xml:space="preserve">Dose </w:t>
            </w:r>
            <w:r w:rsidRPr="00A3075C">
              <w:rPr>
                <w:iCs w:val="0"/>
                <w:vertAlign w:val="superscript"/>
              </w:rPr>
              <w:t xml:space="preserve">d </w:t>
            </w:r>
            <w:r w:rsidRPr="00A3075C">
              <w:rPr>
                <w:iCs w:val="0"/>
              </w:rPr>
              <w:t>(base case: based on patients with follow-up of at least 36 months, which estimated an average of 1.9 syringes per patient per day in the maintenance phase)</w:t>
            </w:r>
          </w:p>
        </w:tc>
      </w:tr>
      <w:tr w:rsidR="004D59D4" w:rsidRPr="00A3075C" w14:paraId="5D6F2A7D" w14:textId="77777777">
        <w:tc>
          <w:tcPr>
            <w:tcW w:w="1728" w:type="dxa"/>
            <w:vAlign w:val="bottom"/>
          </w:tcPr>
          <w:p w14:paraId="7A905599" w14:textId="77777777" w:rsidR="004D59D4" w:rsidRPr="00A3075C" w:rsidRDefault="00023FAF" w:rsidP="00025AAC">
            <w:pPr>
              <w:pStyle w:val="TableText1"/>
              <w:rPr>
                <w:iCs w:val="0"/>
              </w:rPr>
            </w:pPr>
            <w:r w:rsidRPr="00A3075C">
              <w:rPr>
                <w:iCs w:val="0"/>
              </w:rPr>
              <w:t>July 2022 submission (1.6 syringes per day)</w:t>
            </w:r>
          </w:p>
        </w:tc>
        <w:tc>
          <w:tcPr>
            <w:tcW w:w="1215" w:type="dxa"/>
          </w:tcPr>
          <w:p w14:paraId="0E30BE27" w14:textId="7E35DAD2"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7EFBA379" w14:textId="138DFE51"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16BB59D6" w14:textId="56B8FC09"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2C722A67" w14:textId="36CDB596"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32D18C15" w14:textId="27E42009"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23" w:type="dxa"/>
          </w:tcPr>
          <w:p w14:paraId="2BF7D33A" w14:textId="2358A698"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r>
      <w:tr w:rsidR="004D59D4" w:rsidRPr="00A3075C" w14:paraId="6E97CEA3" w14:textId="77777777">
        <w:tc>
          <w:tcPr>
            <w:tcW w:w="9026" w:type="dxa"/>
            <w:gridSpan w:val="7"/>
            <w:vAlign w:val="bottom"/>
          </w:tcPr>
          <w:p w14:paraId="0CBDF620" w14:textId="66CC3726" w:rsidR="004D59D4" w:rsidRPr="00A3075C" w:rsidRDefault="00023FAF" w:rsidP="00025AAC">
            <w:pPr>
              <w:pStyle w:val="TableText1"/>
              <w:rPr>
                <w:rFonts w:cs="Calibri"/>
                <w:iCs w:val="0"/>
              </w:rPr>
            </w:pPr>
            <w:r w:rsidRPr="00A3075C">
              <w:rPr>
                <w:iCs w:val="0"/>
              </w:rPr>
              <w:t xml:space="preserve">PBAC recommended inputs from July 2022 (base case: Patients under clinic follow 70% in Year 1, </w:t>
            </w:r>
            <w:r w:rsidRPr="00936360">
              <w:rPr>
                <w:iCs w:val="0"/>
              </w:rPr>
              <w:t xml:space="preserve">uptake </w:t>
            </w:r>
            <w:r w:rsidR="002615A2" w:rsidRPr="002615A2">
              <w:rPr>
                <w:iCs w:val="0"/>
                <w:sz w:val="2"/>
                <w:highlight w:val="black"/>
              </w:rPr>
              <w:t>redacted content</w:t>
            </w:r>
            <w:r w:rsidRPr="00936360">
              <w:rPr>
                <w:iCs w:val="0"/>
              </w:rPr>
              <w:t>% in Year</w:t>
            </w:r>
            <w:r w:rsidRPr="00A3075C">
              <w:rPr>
                <w:iCs w:val="0"/>
              </w:rPr>
              <w:t xml:space="preserve"> 1 increasing </w:t>
            </w:r>
            <w:r w:rsidRPr="00936360">
              <w:rPr>
                <w:iCs w:val="0"/>
              </w:rPr>
              <w:t xml:space="preserve">by </w:t>
            </w:r>
            <w:r w:rsidR="002615A2" w:rsidRPr="002615A2">
              <w:rPr>
                <w:iCs w:val="0"/>
                <w:sz w:val="2"/>
                <w:highlight w:val="black"/>
              </w:rPr>
              <w:t>redacted content</w:t>
            </w:r>
            <w:r w:rsidRPr="00936360">
              <w:rPr>
                <w:iCs w:val="0"/>
              </w:rPr>
              <w:t>% annually</w:t>
            </w:r>
            <w:r w:rsidRPr="00A3075C">
              <w:rPr>
                <w:iCs w:val="0"/>
              </w:rPr>
              <w:t>)</w:t>
            </w:r>
          </w:p>
        </w:tc>
      </w:tr>
      <w:tr w:rsidR="004D59D4" w:rsidRPr="00A3075C" w14:paraId="3F3042F3" w14:textId="77777777">
        <w:tc>
          <w:tcPr>
            <w:tcW w:w="1728" w:type="dxa"/>
            <w:vAlign w:val="bottom"/>
          </w:tcPr>
          <w:p w14:paraId="50DF3914" w14:textId="45E005B5" w:rsidR="004D59D4" w:rsidRPr="00A3075C" w:rsidRDefault="00023FAF" w:rsidP="00025AAC">
            <w:pPr>
              <w:pStyle w:val="TableText1"/>
              <w:rPr>
                <w:iCs w:val="0"/>
              </w:rPr>
            </w:pPr>
            <w:r w:rsidRPr="00A3075C">
              <w:rPr>
                <w:iCs w:val="0"/>
              </w:rPr>
              <w:t xml:space="preserve">Patients under clinic follow </w:t>
            </w:r>
            <w:r w:rsidRPr="00505775">
              <w:rPr>
                <w:iCs w:val="0"/>
              </w:rPr>
              <w:t>up 55%</w:t>
            </w:r>
            <w:r w:rsidRPr="00A3075C">
              <w:rPr>
                <w:iCs w:val="0"/>
              </w:rPr>
              <w:t xml:space="preserve"> and uptake </w:t>
            </w:r>
            <w:r w:rsidR="002615A2" w:rsidRPr="002615A2">
              <w:rPr>
                <w:iCs w:val="0"/>
                <w:sz w:val="2"/>
                <w:highlight w:val="black"/>
              </w:rPr>
              <w:t>redacted content</w:t>
            </w:r>
            <w:r w:rsidRPr="00A3075C">
              <w:rPr>
                <w:iCs w:val="0"/>
              </w:rPr>
              <w:t xml:space="preserve">% Year 1 increasing by </w:t>
            </w:r>
            <w:r w:rsidR="002615A2" w:rsidRPr="002615A2">
              <w:rPr>
                <w:iCs w:val="0"/>
                <w:sz w:val="2"/>
                <w:highlight w:val="black"/>
              </w:rPr>
              <w:t>redacted content</w:t>
            </w:r>
            <w:r w:rsidRPr="00A3075C">
              <w:rPr>
                <w:iCs w:val="0"/>
              </w:rPr>
              <w:t>%</w:t>
            </w:r>
          </w:p>
        </w:tc>
        <w:tc>
          <w:tcPr>
            <w:tcW w:w="1215" w:type="dxa"/>
            <w:vAlign w:val="center"/>
          </w:tcPr>
          <w:p w14:paraId="1E9D8378" w14:textId="64AF69D1"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4</w:t>
            </w:r>
          </w:p>
        </w:tc>
        <w:tc>
          <w:tcPr>
            <w:tcW w:w="1215" w:type="dxa"/>
            <w:vAlign w:val="center"/>
          </w:tcPr>
          <w:p w14:paraId="1BC945D9" w14:textId="727C4B55"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1389529A" w14:textId="5EA4A372"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16329D56" w14:textId="63B4479D"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2ECAB958" w14:textId="39F7A6E4"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23" w:type="dxa"/>
            <w:vAlign w:val="center"/>
          </w:tcPr>
          <w:p w14:paraId="32353B4A" w14:textId="258AE18F"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r>
      <w:tr w:rsidR="004D59D4" w:rsidRPr="00A3075C" w14:paraId="25F49A6A" w14:textId="77777777">
        <w:tc>
          <w:tcPr>
            <w:tcW w:w="1728" w:type="dxa"/>
            <w:vAlign w:val="bottom"/>
          </w:tcPr>
          <w:p w14:paraId="39853F8A" w14:textId="77777777" w:rsidR="004D59D4" w:rsidRPr="00A3075C" w:rsidRDefault="00023FAF" w:rsidP="00025AAC">
            <w:pPr>
              <w:pStyle w:val="TableText1"/>
              <w:rPr>
                <w:b/>
                <w:bCs w:val="0"/>
                <w:iCs w:val="0"/>
              </w:rPr>
            </w:pPr>
            <w:r w:rsidRPr="00A3075C">
              <w:rPr>
                <w:b/>
                <w:bCs w:val="0"/>
                <w:iCs w:val="0"/>
              </w:rPr>
              <w:t>Scenario B:</w:t>
            </w:r>
          </w:p>
          <w:p w14:paraId="47E3741D" w14:textId="617702B3" w:rsidR="004D59D4" w:rsidRPr="00A3075C" w:rsidRDefault="00023FAF" w:rsidP="00025AAC">
            <w:pPr>
              <w:pStyle w:val="TableText1"/>
              <w:rPr>
                <w:iCs w:val="0"/>
              </w:rPr>
            </w:pPr>
            <w:r w:rsidRPr="00A3075C">
              <w:rPr>
                <w:iCs w:val="0"/>
              </w:rPr>
              <w:t>Patients under clinic follow up 55%</w:t>
            </w:r>
            <w:r w:rsidR="00581D3C" w:rsidRPr="00A3075C">
              <w:rPr>
                <w:iCs w:val="0"/>
              </w:rPr>
              <w:t>;</w:t>
            </w:r>
            <w:r w:rsidRPr="00A3075C">
              <w:rPr>
                <w:iCs w:val="0"/>
              </w:rPr>
              <w:t xml:space="preserve"> and uptake </w:t>
            </w:r>
            <w:r w:rsidR="002615A2" w:rsidRPr="002615A2">
              <w:rPr>
                <w:iCs w:val="0"/>
                <w:sz w:val="2"/>
                <w:highlight w:val="black"/>
              </w:rPr>
              <w:t>redacted content</w:t>
            </w:r>
            <w:r w:rsidRPr="00A3075C">
              <w:rPr>
                <w:iCs w:val="0"/>
              </w:rPr>
              <w:t xml:space="preserve">% Year 1 increasing by </w:t>
            </w:r>
            <w:r w:rsidR="002615A2" w:rsidRPr="002615A2">
              <w:rPr>
                <w:iCs w:val="0"/>
                <w:sz w:val="2"/>
                <w:highlight w:val="black"/>
              </w:rPr>
              <w:t>redacted content</w:t>
            </w:r>
            <w:r w:rsidRPr="00A3075C">
              <w:rPr>
                <w:iCs w:val="0"/>
              </w:rPr>
              <w:t xml:space="preserve">% to </w:t>
            </w:r>
            <w:r w:rsidR="002615A2" w:rsidRPr="002615A2">
              <w:rPr>
                <w:iCs w:val="0"/>
                <w:sz w:val="2"/>
                <w:highlight w:val="black"/>
              </w:rPr>
              <w:t>redacted content</w:t>
            </w:r>
            <w:r w:rsidRPr="00A3075C">
              <w:rPr>
                <w:iCs w:val="0"/>
              </w:rPr>
              <w:t>% in Years 4 to 6</w:t>
            </w:r>
          </w:p>
        </w:tc>
        <w:tc>
          <w:tcPr>
            <w:tcW w:w="1215" w:type="dxa"/>
          </w:tcPr>
          <w:p w14:paraId="52CA1346" w14:textId="3E015933" w:rsidR="004D59D4" w:rsidRPr="00A3075C" w:rsidRDefault="00023FAF" w:rsidP="00025AAC">
            <w:pPr>
              <w:pStyle w:val="TableText1"/>
              <w:jc w:val="center"/>
              <w:rPr>
                <w:iCs w:val="0"/>
              </w:rPr>
            </w:pPr>
            <w:r w:rsidRPr="00936360">
              <w:rPr>
                <w:iCs w:val="0"/>
              </w:rPr>
              <w:t>$</w:t>
            </w:r>
            <w:r w:rsidR="002615A2" w:rsidRPr="002615A2">
              <w:rPr>
                <w:iCs w:val="0"/>
                <w:sz w:val="2"/>
                <w:highlight w:val="black"/>
              </w:rPr>
              <w:t>redacted content</w:t>
            </w:r>
          </w:p>
        </w:tc>
        <w:tc>
          <w:tcPr>
            <w:tcW w:w="1215" w:type="dxa"/>
          </w:tcPr>
          <w:p w14:paraId="2D5255DF" w14:textId="0F949F61"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4AB52600" w14:textId="1387B27C"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227FAD9C" w14:textId="6E563700"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tcPr>
          <w:p w14:paraId="17340AD2" w14:textId="2DB81009"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23" w:type="dxa"/>
          </w:tcPr>
          <w:p w14:paraId="428FE943" w14:textId="431D667C"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r>
      <w:tr w:rsidR="004D59D4" w:rsidRPr="00A3075C" w14:paraId="48C18C01" w14:textId="77777777">
        <w:tc>
          <w:tcPr>
            <w:tcW w:w="1728" w:type="dxa"/>
            <w:vAlign w:val="bottom"/>
          </w:tcPr>
          <w:p w14:paraId="33D49DA4" w14:textId="1017E05A" w:rsidR="004D59D4" w:rsidRPr="00A3075C" w:rsidRDefault="00023FAF" w:rsidP="00025AAC">
            <w:pPr>
              <w:pStyle w:val="TableText1"/>
              <w:rPr>
                <w:iCs w:val="0"/>
              </w:rPr>
            </w:pPr>
            <w:r w:rsidRPr="00A3075C">
              <w:rPr>
                <w:iCs w:val="0"/>
              </w:rPr>
              <w:t xml:space="preserve">Patients under clinic follow up 55% and uptake </w:t>
            </w:r>
            <w:r w:rsidR="002615A2" w:rsidRPr="002615A2">
              <w:rPr>
                <w:iCs w:val="0"/>
                <w:sz w:val="2"/>
                <w:highlight w:val="black"/>
              </w:rPr>
              <w:t>redacted content</w:t>
            </w:r>
            <w:r w:rsidRPr="00A3075C">
              <w:rPr>
                <w:iCs w:val="0"/>
              </w:rPr>
              <w:t xml:space="preserve">% Year 1 increasing by </w:t>
            </w:r>
            <w:r w:rsidR="002615A2" w:rsidRPr="002615A2">
              <w:rPr>
                <w:iCs w:val="0"/>
                <w:sz w:val="2"/>
                <w:highlight w:val="black"/>
              </w:rPr>
              <w:t>redacted content</w:t>
            </w:r>
            <w:r w:rsidRPr="00A3075C">
              <w:rPr>
                <w:iCs w:val="0"/>
              </w:rPr>
              <w:t>%</w:t>
            </w:r>
          </w:p>
        </w:tc>
        <w:tc>
          <w:tcPr>
            <w:tcW w:w="1215" w:type="dxa"/>
            <w:vAlign w:val="center"/>
          </w:tcPr>
          <w:p w14:paraId="7EB05AD7" w14:textId="389F47A0"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4</w:t>
            </w:r>
          </w:p>
        </w:tc>
        <w:tc>
          <w:tcPr>
            <w:tcW w:w="1215" w:type="dxa"/>
            <w:vAlign w:val="center"/>
          </w:tcPr>
          <w:p w14:paraId="4E99E822" w14:textId="7208564D"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F2204C">
              <w:rPr>
                <w:iCs w:val="0"/>
                <w:vertAlign w:val="superscript"/>
              </w:rPr>
              <w:t>1</w:t>
            </w:r>
          </w:p>
        </w:tc>
        <w:tc>
          <w:tcPr>
            <w:tcW w:w="1215" w:type="dxa"/>
            <w:vAlign w:val="center"/>
          </w:tcPr>
          <w:p w14:paraId="016B4E20" w14:textId="6DAC2452"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AC6C37">
              <w:rPr>
                <w:iCs w:val="0"/>
                <w:vertAlign w:val="superscript"/>
              </w:rPr>
              <w:t>1</w:t>
            </w:r>
          </w:p>
        </w:tc>
        <w:tc>
          <w:tcPr>
            <w:tcW w:w="1215" w:type="dxa"/>
            <w:vAlign w:val="center"/>
          </w:tcPr>
          <w:p w14:paraId="0CA0D913" w14:textId="426D9106"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AC6C37">
              <w:rPr>
                <w:iCs w:val="0"/>
                <w:vertAlign w:val="superscript"/>
              </w:rPr>
              <w:t>1</w:t>
            </w:r>
          </w:p>
        </w:tc>
        <w:tc>
          <w:tcPr>
            <w:tcW w:w="1215" w:type="dxa"/>
            <w:vAlign w:val="center"/>
          </w:tcPr>
          <w:p w14:paraId="11B47144" w14:textId="34D9A7E7"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AC6C37">
              <w:rPr>
                <w:iCs w:val="0"/>
                <w:vertAlign w:val="superscript"/>
              </w:rPr>
              <w:t>1</w:t>
            </w:r>
          </w:p>
        </w:tc>
        <w:tc>
          <w:tcPr>
            <w:tcW w:w="1223" w:type="dxa"/>
            <w:vAlign w:val="center"/>
          </w:tcPr>
          <w:p w14:paraId="526A07FE" w14:textId="4E559724" w:rsidR="004D59D4" w:rsidRPr="00A3075C" w:rsidRDefault="00023FAF" w:rsidP="00025AAC">
            <w:pPr>
              <w:pStyle w:val="TableText1"/>
              <w:jc w:val="center"/>
              <w:rPr>
                <w:iCs w:val="0"/>
              </w:rPr>
            </w:pPr>
            <w:r w:rsidRPr="00A3075C">
              <w:rPr>
                <w:iCs w:val="0"/>
              </w:rPr>
              <w:t>$</w:t>
            </w:r>
            <w:r w:rsidR="002615A2" w:rsidRPr="002615A2">
              <w:rPr>
                <w:iCs w:val="0"/>
                <w:sz w:val="2"/>
                <w:highlight w:val="black"/>
              </w:rPr>
              <w:t>redacted content</w:t>
            </w:r>
            <w:r w:rsidR="00AC6C37">
              <w:rPr>
                <w:iCs w:val="0"/>
                <w:vertAlign w:val="superscript"/>
              </w:rPr>
              <w:t>1</w:t>
            </w:r>
          </w:p>
        </w:tc>
      </w:tr>
    </w:tbl>
    <w:p w14:paraId="4424D3BC" w14:textId="77777777" w:rsidR="004D59D4" w:rsidRPr="00A3075C" w:rsidRDefault="00023FAF" w:rsidP="00025AAC">
      <w:pPr>
        <w:pStyle w:val="TableFigureFooter"/>
        <w:jc w:val="both"/>
        <w:rPr>
          <w:iCs w:val="0"/>
        </w:rPr>
      </w:pPr>
      <w:r w:rsidRPr="00A3075C">
        <w:rPr>
          <w:iCs w:val="0"/>
        </w:rPr>
        <w:t xml:space="preserve">Note: As the resubmission presented sensitivity analyses based on total costs of listing </w:t>
      </w:r>
      <w:proofErr w:type="spellStart"/>
      <w:r w:rsidRPr="00A3075C">
        <w:rPr>
          <w:iCs w:val="0"/>
        </w:rPr>
        <w:t>pegvaliase</w:t>
      </w:r>
      <w:proofErr w:type="spellEnd"/>
      <w:r w:rsidRPr="00A3075C">
        <w:rPr>
          <w:iCs w:val="0"/>
        </w:rPr>
        <w:t xml:space="preserve">, all figures were re-calculated during the evaluation to present net cost to the PBS. </w:t>
      </w:r>
    </w:p>
    <w:p w14:paraId="53DBB72D" w14:textId="77777777" w:rsidR="004D59D4" w:rsidRPr="00A3075C" w:rsidRDefault="00023FAF" w:rsidP="00025AAC">
      <w:pPr>
        <w:pStyle w:val="TableFigureFooter"/>
        <w:jc w:val="both"/>
        <w:rPr>
          <w:iCs w:val="0"/>
        </w:rPr>
      </w:pPr>
      <w:r w:rsidRPr="00A3075C">
        <w:rPr>
          <w:iCs w:val="0"/>
        </w:rPr>
        <w:t>Source: Table 4.6-1, p288 of the resubmission; Palynziq (</w:t>
      </w:r>
      <w:proofErr w:type="spellStart"/>
      <w:r w:rsidRPr="00A3075C">
        <w:rPr>
          <w:iCs w:val="0"/>
        </w:rPr>
        <w:t>pegvaliase</w:t>
      </w:r>
      <w:proofErr w:type="spellEnd"/>
      <w:r w:rsidRPr="00A3075C">
        <w:rPr>
          <w:iCs w:val="0"/>
        </w:rPr>
        <w:t>) – UCM.xsl</w:t>
      </w:r>
    </w:p>
    <w:p w14:paraId="2F0F180F" w14:textId="77777777" w:rsidR="004D59D4" w:rsidRPr="00A3075C" w:rsidRDefault="00023FAF" w:rsidP="00025AAC">
      <w:pPr>
        <w:pStyle w:val="TableFigureFooter"/>
        <w:jc w:val="both"/>
        <w:rPr>
          <w:iCs w:val="0"/>
        </w:rPr>
      </w:pPr>
      <w:r w:rsidRPr="00A3075C">
        <w:rPr>
          <w:iCs w:val="0"/>
        </w:rPr>
        <w:t xml:space="preserve">PKU = phenylketonuria; HPA = </w:t>
      </w:r>
      <w:proofErr w:type="spellStart"/>
      <w:r w:rsidRPr="00A3075C">
        <w:rPr>
          <w:iCs w:val="0"/>
        </w:rPr>
        <w:t>hyperphenylalaninaemia</w:t>
      </w:r>
      <w:proofErr w:type="spellEnd"/>
    </w:p>
    <w:p w14:paraId="711AC1B3" w14:textId="77777777" w:rsidR="004D59D4" w:rsidRPr="00A3075C" w:rsidRDefault="00023FAF" w:rsidP="00025AAC">
      <w:pPr>
        <w:pStyle w:val="TableFigureFooter"/>
        <w:jc w:val="both"/>
        <w:rPr>
          <w:iCs w:val="0"/>
        </w:rPr>
      </w:pPr>
      <w:r w:rsidRPr="00A3075C">
        <w:rPr>
          <w:iCs w:val="0"/>
          <w:vertAlign w:val="superscript"/>
        </w:rPr>
        <w:t xml:space="preserve">a </w:t>
      </w:r>
      <w:r w:rsidRPr="00A3075C">
        <w:rPr>
          <w:iCs w:val="0"/>
        </w:rPr>
        <w:t xml:space="preserve">PBAC recommended input = 55% (paragraph 7.13, </w:t>
      </w:r>
      <w:proofErr w:type="spellStart"/>
      <w:r w:rsidRPr="00A3075C">
        <w:rPr>
          <w:iCs w:val="0"/>
        </w:rPr>
        <w:t>pegvaliase</w:t>
      </w:r>
      <w:proofErr w:type="spellEnd"/>
      <w:r w:rsidRPr="00A3075C">
        <w:rPr>
          <w:iCs w:val="0"/>
        </w:rPr>
        <w:t xml:space="preserve"> PSD, July 2022 PBAC meeting).</w:t>
      </w:r>
    </w:p>
    <w:p w14:paraId="2A85F075" w14:textId="77777777" w:rsidR="004D59D4" w:rsidRDefault="00023FAF" w:rsidP="00025AAC">
      <w:pPr>
        <w:pStyle w:val="TableFigureFooter"/>
        <w:jc w:val="both"/>
      </w:pPr>
      <w:r>
        <w:rPr>
          <w:vertAlign w:val="superscript"/>
        </w:rPr>
        <w:t>b</w:t>
      </w:r>
      <w:r>
        <w:t xml:space="preserve"> DUSC considered these inputs to be highly uncertain (Table 2, </w:t>
      </w:r>
      <w:proofErr w:type="spellStart"/>
      <w:r>
        <w:t>pegvaliase</w:t>
      </w:r>
      <w:proofErr w:type="spellEnd"/>
      <w:r>
        <w:t xml:space="preserve"> DUSC advice for the July 2022 PBAC meeting)</w:t>
      </w:r>
    </w:p>
    <w:p w14:paraId="6F6678B7" w14:textId="77777777" w:rsidR="004D59D4" w:rsidRDefault="00023FAF" w:rsidP="00025AAC">
      <w:pPr>
        <w:pStyle w:val="TableFigureFooter"/>
        <w:spacing w:before="160" w:after="0"/>
        <w:jc w:val="both"/>
      </w:pPr>
      <w:r>
        <w:rPr>
          <w:vertAlign w:val="superscript"/>
        </w:rPr>
        <w:t xml:space="preserve">c </w:t>
      </w:r>
      <w:r>
        <w:t xml:space="preserve">The PBAC considered </w:t>
      </w:r>
      <w:proofErr w:type="gramStart"/>
      <w:r>
        <w:t>these uptake</w:t>
      </w:r>
      <w:proofErr w:type="gramEnd"/>
      <w:r>
        <w:t xml:space="preserve"> rates were uncertain and may have been overestimated (paragraph 7.13, </w:t>
      </w:r>
      <w:proofErr w:type="spellStart"/>
      <w:r>
        <w:t>pegvaliase</w:t>
      </w:r>
      <w:proofErr w:type="spellEnd"/>
      <w:r>
        <w:t xml:space="preserve"> PSD, July 2022 PBAC meeting).</w:t>
      </w:r>
    </w:p>
    <w:p w14:paraId="4931F7DF" w14:textId="0A0D4C58" w:rsidR="004D59D4" w:rsidRPr="008A3493" w:rsidRDefault="00023FAF" w:rsidP="008A3493">
      <w:pPr>
        <w:pStyle w:val="3-BodyText"/>
        <w:spacing w:before="0" w:after="0"/>
        <w:jc w:val="left"/>
        <w:rPr>
          <w:rFonts w:ascii="Arial Narrow" w:eastAsia="Times New Roman" w:hAnsi="Arial Narrow" w:cs="Arial"/>
          <w:bCs/>
          <w:i/>
          <w:sz w:val="18"/>
        </w:rPr>
      </w:pPr>
      <w:r w:rsidRPr="00672BED">
        <w:rPr>
          <w:rFonts w:ascii="Arial Narrow" w:eastAsia="Times New Roman" w:hAnsi="Arial Narrow" w:cs="Arial"/>
          <w:bCs/>
          <w:iCs/>
          <w:sz w:val="18"/>
          <w:vertAlign w:val="superscript"/>
        </w:rPr>
        <w:t xml:space="preserve">d </w:t>
      </w:r>
      <w:r w:rsidRPr="00672BED">
        <w:rPr>
          <w:rFonts w:ascii="Arial Narrow" w:eastAsia="Times New Roman" w:hAnsi="Arial Narrow" w:cs="Arial"/>
          <w:bCs/>
          <w:iCs/>
          <w:sz w:val="18"/>
        </w:rPr>
        <w:t>Because the resubmission proposed the same price per syringe regardless of dose (“flat pricing”), the financial estimates are sensitive to the estimated number of syringes per patient per day rather than the average dose per patient. In July 2022, the financial estimates were based on an average dose of 30.5 mg per day in the maintenance phase, which was assumed to be dispensed as: 11.9% of patients receiving 0 syringes per day; 32.3% receiving 1 syringe per day; 38.3% receiving 2 syringes per day; and 17.5% receiving 3 syringes per day. This resulted in an average of 1.6 syringes per patient per day. The resubmission assumed: 31.2% of patients receive 1 syringe per day; 46.1% receive 2 syringes per day; and 22.7% receive 3 syringes per day. This was an average of 1.9 syringes per patient per day.</w:t>
      </w:r>
      <w:r w:rsidR="007479E9">
        <w:rPr>
          <w:rFonts w:ascii="Arial Narrow" w:eastAsia="Times New Roman" w:hAnsi="Arial Narrow" w:cs="Arial"/>
          <w:bCs/>
          <w:iCs/>
          <w:sz w:val="18"/>
        </w:rPr>
        <w:br/>
      </w:r>
      <w:r w:rsidR="007479E9">
        <w:rPr>
          <w:rFonts w:ascii="Arial Narrow" w:eastAsia="Times New Roman" w:hAnsi="Arial Narrow" w:cs="Arial"/>
          <w:bCs/>
          <w:i/>
          <w:sz w:val="18"/>
        </w:rPr>
        <w:t>The redacted values correspond to the following ranges:</w:t>
      </w:r>
      <w:r w:rsidR="007479E9">
        <w:rPr>
          <w:rFonts w:ascii="Arial Narrow" w:eastAsia="Times New Roman" w:hAnsi="Arial Narrow" w:cs="Arial"/>
          <w:bCs/>
          <w:i/>
          <w:sz w:val="18"/>
        </w:rPr>
        <w:br/>
      </w:r>
      <w:r w:rsidR="007479E9" w:rsidRPr="0045600C">
        <w:rPr>
          <w:rFonts w:ascii="Arial Narrow" w:eastAsia="Times New Roman" w:hAnsi="Arial Narrow" w:cs="Arial"/>
          <w:bCs/>
          <w:i/>
          <w:sz w:val="18"/>
          <w:vertAlign w:val="superscript"/>
        </w:rPr>
        <w:t>1</w:t>
      </w:r>
      <w:r w:rsidR="007479E9" w:rsidRPr="0045600C">
        <w:rPr>
          <w:rFonts w:ascii="Arial Narrow" w:eastAsia="Times New Roman" w:hAnsi="Arial Narrow" w:cs="Arial"/>
          <w:bCs/>
          <w:i/>
          <w:sz w:val="18"/>
        </w:rPr>
        <w:t xml:space="preserve"> </w:t>
      </w:r>
      <w:r w:rsidR="00AC6C37" w:rsidRPr="0045600C">
        <w:rPr>
          <w:rFonts w:ascii="Arial Narrow" w:eastAsia="Times New Roman" w:hAnsi="Arial Narrow" w:cs="Arial"/>
          <w:bCs/>
          <w:i/>
          <w:sz w:val="18"/>
        </w:rPr>
        <w:t>$10 million to &lt; $20 million</w:t>
      </w:r>
      <w:r w:rsidR="00AC6C37" w:rsidRPr="0045600C">
        <w:rPr>
          <w:rFonts w:ascii="Arial Narrow" w:eastAsia="Times New Roman" w:hAnsi="Arial Narrow" w:cs="Arial"/>
          <w:bCs/>
          <w:i/>
          <w:sz w:val="18"/>
        </w:rPr>
        <w:br/>
      </w:r>
      <w:r w:rsidR="00AC6C37" w:rsidRPr="0045600C">
        <w:rPr>
          <w:rFonts w:ascii="Arial Narrow" w:eastAsia="Times New Roman" w:hAnsi="Arial Narrow" w:cs="Arial"/>
          <w:bCs/>
          <w:i/>
          <w:sz w:val="18"/>
          <w:vertAlign w:val="superscript"/>
        </w:rPr>
        <w:t>2</w:t>
      </w:r>
      <w:r w:rsidR="00AC6C37" w:rsidRPr="0045600C">
        <w:rPr>
          <w:rFonts w:ascii="Arial Narrow" w:eastAsia="Times New Roman" w:hAnsi="Arial Narrow" w:cs="Arial"/>
          <w:bCs/>
          <w:i/>
          <w:sz w:val="18"/>
        </w:rPr>
        <w:t xml:space="preserve"> $</w:t>
      </w:r>
      <w:r w:rsidR="009464CB" w:rsidRPr="0045600C">
        <w:rPr>
          <w:rFonts w:ascii="Arial Narrow" w:eastAsia="Times New Roman" w:hAnsi="Arial Narrow" w:cs="Arial"/>
          <w:bCs/>
          <w:i/>
          <w:sz w:val="18"/>
        </w:rPr>
        <w:t>20 million to &lt; $30 million</w:t>
      </w:r>
      <w:r w:rsidR="009464CB" w:rsidRPr="0045600C">
        <w:rPr>
          <w:rFonts w:ascii="Arial Narrow" w:eastAsia="Times New Roman" w:hAnsi="Arial Narrow" w:cs="Arial"/>
          <w:bCs/>
          <w:i/>
          <w:sz w:val="18"/>
        </w:rPr>
        <w:br/>
      </w:r>
      <w:r w:rsidR="009464CB" w:rsidRPr="0045600C">
        <w:rPr>
          <w:rFonts w:ascii="Arial Narrow" w:eastAsia="Times New Roman" w:hAnsi="Arial Narrow" w:cs="Arial"/>
          <w:bCs/>
          <w:i/>
          <w:sz w:val="18"/>
          <w:vertAlign w:val="superscript"/>
        </w:rPr>
        <w:t>3</w:t>
      </w:r>
      <w:r w:rsidR="009464CB" w:rsidRPr="0045600C">
        <w:rPr>
          <w:rFonts w:ascii="Arial Narrow" w:eastAsia="Times New Roman" w:hAnsi="Arial Narrow" w:cs="Arial"/>
          <w:bCs/>
          <w:i/>
          <w:sz w:val="18"/>
        </w:rPr>
        <w:t xml:space="preserve"> $30 million to &lt; $40 million</w:t>
      </w:r>
      <w:r w:rsidR="009464CB" w:rsidRPr="0045600C">
        <w:rPr>
          <w:rFonts w:ascii="Arial Narrow" w:eastAsia="Times New Roman" w:hAnsi="Arial Narrow" w:cs="Arial"/>
          <w:bCs/>
          <w:i/>
          <w:sz w:val="18"/>
        </w:rPr>
        <w:br/>
      </w:r>
      <w:r w:rsidR="009464CB" w:rsidRPr="0045600C">
        <w:rPr>
          <w:rFonts w:ascii="Arial Narrow" w:eastAsia="Times New Roman" w:hAnsi="Arial Narrow" w:cs="Arial"/>
          <w:bCs/>
          <w:i/>
          <w:sz w:val="18"/>
          <w:vertAlign w:val="superscript"/>
        </w:rPr>
        <w:t>4</w:t>
      </w:r>
      <w:r w:rsidR="009464CB" w:rsidRPr="0045600C">
        <w:rPr>
          <w:rFonts w:ascii="Arial Narrow" w:eastAsia="Times New Roman" w:hAnsi="Arial Narrow" w:cs="Arial"/>
          <w:bCs/>
          <w:i/>
          <w:sz w:val="18"/>
        </w:rPr>
        <w:t xml:space="preserve"> $0 million to &lt; $100 million</w:t>
      </w:r>
    </w:p>
    <w:p w14:paraId="1CFEF55D" w14:textId="1CB8114F" w:rsidR="004D59D4" w:rsidRPr="008745DA" w:rsidRDefault="00023FAF" w:rsidP="00025AAC">
      <w:pPr>
        <w:pStyle w:val="3-BodyText"/>
        <w:numPr>
          <w:ilvl w:val="1"/>
          <w:numId w:val="64"/>
        </w:numPr>
        <w:spacing w:before="160" w:after="160"/>
      </w:pPr>
      <w:bookmarkStart w:id="104" w:name="_Ref222732208"/>
      <w:bookmarkStart w:id="105" w:name="_Ref221813771"/>
      <w:r w:rsidRPr="00E845D3">
        <w:lastRenderedPageBreak/>
        <w:t xml:space="preserve">The ESC noted the revised scenario (“Scenario B”) with: (a) the proportion of patients under clinic follow-up reduced to 55%; and (b) </w:t>
      </w:r>
      <w:r w:rsidRPr="008745DA">
        <w:t xml:space="preserve">uptake reduced </w:t>
      </w:r>
      <w:r w:rsidRPr="001108B4">
        <w:t xml:space="preserve">to </w:t>
      </w:r>
      <w:r w:rsidR="002615A2" w:rsidRPr="002615A2">
        <w:rPr>
          <w:sz w:val="2"/>
          <w:highlight w:val="black"/>
        </w:rPr>
        <w:t>redacted content</w:t>
      </w:r>
      <w:r w:rsidRPr="001108B4">
        <w:t>% i</w:t>
      </w:r>
      <w:r w:rsidRPr="008745DA">
        <w:t xml:space="preserve">n Year 1 then increasing </w:t>
      </w:r>
      <w:r w:rsidRPr="001108B4">
        <w:t xml:space="preserve">by </w:t>
      </w:r>
      <w:r w:rsidR="002615A2" w:rsidRPr="002615A2">
        <w:rPr>
          <w:sz w:val="2"/>
          <w:highlight w:val="black"/>
        </w:rPr>
        <w:t>redacted content</w:t>
      </w:r>
      <w:r w:rsidRPr="001108B4">
        <w:t>% per year in</w:t>
      </w:r>
      <w:r w:rsidRPr="008745DA">
        <w:t xml:space="preserve"> Years 2 to 4 and </w:t>
      </w:r>
      <w:r w:rsidRPr="00C30693">
        <w:t xml:space="preserve">plateauing at </w:t>
      </w:r>
      <w:r w:rsidR="002615A2" w:rsidRPr="002615A2">
        <w:rPr>
          <w:sz w:val="2"/>
          <w:highlight w:val="black"/>
        </w:rPr>
        <w:t>redacted content</w:t>
      </w:r>
      <w:r w:rsidRPr="00C30693">
        <w:t>% in</w:t>
      </w:r>
      <w:r w:rsidRPr="008745DA">
        <w:t xml:space="preserve"> Years 4 to 6. </w:t>
      </w:r>
      <w:r w:rsidRPr="00192C86">
        <w:t xml:space="preserve">The impact of this scenario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192C86">
        <w:t xml:space="preserve"> and</w:t>
      </w:r>
      <w:r w:rsidRPr="008745DA">
        <w:t xml:space="preserve"> net cost to the PBS is outlined in </w:t>
      </w:r>
      <w:bookmarkEnd w:id="104"/>
      <w:r w:rsidRPr="008745DA">
        <w:fldChar w:fldCharType="begin"/>
      </w:r>
      <w:r w:rsidRPr="008745DA">
        <w:instrText xml:space="preserve"> REF _Ref221799560 \h </w:instrText>
      </w:r>
      <w:r w:rsidR="00E845D3" w:rsidRPr="008745DA">
        <w:instrText xml:space="preserve"> \* MERGEFORMAT </w:instrText>
      </w:r>
      <w:r w:rsidRPr="008745DA">
        <w:fldChar w:fldCharType="separate"/>
      </w:r>
      <w:r w:rsidR="00E24060" w:rsidRPr="008745DA">
        <w:t>Table 19</w:t>
      </w:r>
      <w:r w:rsidRPr="008745DA">
        <w:fldChar w:fldCharType="end"/>
      </w:r>
      <w:r w:rsidR="00463872" w:rsidRPr="008745DA">
        <w:t>.</w:t>
      </w:r>
      <w:r w:rsidRPr="008745DA">
        <w:t xml:space="preserve"> </w:t>
      </w:r>
      <w:bookmarkEnd w:id="105"/>
    </w:p>
    <w:p w14:paraId="7C17B1F8" w14:textId="76745B48" w:rsidR="004D59D4" w:rsidRPr="00B82950" w:rsidRDefault="00023FAF" w:rsidP="009A2B84">
      <w:pPr>
        <w:pStyle w:val="Caption"/>
        <w:rPr>
          <w:rStyle w:val="CommentReference"/>
          <w:b/>
          <w:bCs w:val="0"/>
          <w:szCs w:val="24"/>
        </w:rPr>
      </w:pPr>
      <w:bookmarkStart w:id="106" w:name="_Ref221799560"/>
      <w:r w:rsidRPr="00B82950">
        <w:lastRenderedPageBreak/>
        <w:t xml:space="preserve">Table </w:t>
      </w:r>
      <w:fldSimple w:instr=" SEQ Table \* ARABIC ">
        <w:r w:rsidR="00E24060">
          <w:rPr>
            <w:noProof/>
          </w:rPr>
          <w:t>19</w:t>
        </w:r>
      </w:fldSimple>
      <w:bookmarkEnd w:id="106"/>
      <w:r w:rsidRPr="00B82950">
        <w:t xml:space="preserve">: </w:t>
      </w:r>
      <w:r w:rsidR="002615A2" w:rsidRPr="002615A2">
        <w:rPr>
          <w:sz w:val="2"/>
          <w:highlight w:val="black"/>
          <w:shd w:val="clear" w:color="auto" w:fill="FFFF00"/>
        </w:rPr>
        <w:t>redacted content</w:t>
      </w:r>
      <w:r w:rsidRPr="00B82950">
        <w:t xml:space="preserve"> parameters for the revised scenario using the inputs outlined by the PBAC in July 2022 </w:t>
      </w:r>
    </w:p>
    <w:tbl>
      <w:tblPr>
        <w:tblW w:w="5000" w:type="pct"/>
        <w:tblLayout w:type="fixed"/>
        <w:tblCellMar>
          <w:left w:w="28" w:type="dxa"/>
          <w:right w:w="28" w:type="dxa"/>
        </w:tblCellMar>
        <w:tblLook w:val="04A0" w:firstRow="1" w:lastRow="0" w:firstColumn="1" w:lastColumn="0" w:noHBand="0" w:noVBand="1"/>
        <w:tblCaption w:val="Table 19: redacted content parameters for the revised scenario using the inputs outlined by the PBAC in July 2022 "/>
      </w:tblPr>
      <w:tblGrid>
        <w:gridCol w:w="2120"/>
        <w:gridCol w:w="1147"/>
        <w:gridCol w:w="1150"/>
        <w:gridCol w:w="1149"/>
        <w:gridCol w:w="1149"/>
        <w:gridCol w:w="1150"/>
        <w:gridCol w:w="1151"/>
      </w:tblGrid>
      <w:tr w:rsidR="004D59D4" w:rsidRPr="00B82950" w14:paraId="09499FB9" w14:textId="77777777">
        <w:trPr>
          <w:tblHeader/>
        </w:trPr>
        <w:tc>
          <w:tcPr>
            <w:tcW w:w="2123" w:type="dxa"/>
            <w:tcBorders>
              <w:top w:val="single" w:sz="4" w:space="0" w:color="000000"/>
              <w:left w:val="single" w:sz="4" w:space="0" w:color="000000"/>
              <w:bottom w:val="single" w:sz="4" w:space="0" w:color="000000"/>
              <w:right w:val="single" w:sz="4" w:space="0" w:color="000000"/>
            </w:tcBorders>
            <w:vAlign w:val="center"/>
          </w:tcPr>
          <w:p w14:paraId="34137859" w14:textId="77777777" w:rsidR="004D59D4" w:rsidRPr="00B82950" w:rsidRDefault="004D59D4" w:rsidP="009A2B84">
            <w:pPr>
              <w:pStyle w:val="In-tableHeading"/>
            </w:pPr>
          </w:p>
        </w:tc>
        <w:tc>
          <w:tcPr>
            <w:tcW w:w="1149" w:type="dxa"/>
            <w:tcBorders>
              <w:top w:val="single" w:sz="4" w:space="0" w:color="000000"/>
              <w:left w:val="single" w:sz="4" w:space="0" w:color="000000"/>
              <w:bottom w:val="single" w:sz="4" w:space="0" w:color="000000"/>
              <w:right w:val="single" w:sz="4" w:space="0" w:color="000000"/>
            </w:tcBorders>
            <w:vAlign w:val="center"/>
          </w:tcPr>
          <w:p w14:paraId="69FCAE8B" w14:textId="77777777" w:rsidR="004D59D4" w:rsidRPr="00B82950" w:rsidRDefault="00023FAF" w:rsidP="009A2B84">
            <w:pPr>
              <w:pStyle w:val="In-tableHeading"/>
              <w:jc w:val="center"/>
            </w:pPr>
            <w:r w:rsidRPr="00B82950">
              <w:t>Year 1</w:t>
            </w:r>
          </w:p>
        </w:tc>
        <w:tc>
          <w:tcPr>
            <w:tcW w:w="1151" w:type="dxa"/>
            <w:tcBorders>
              <w:top w:val="single" w:sz="4" w:space="0" w:color="000000"/>
              <w:left w:val="single" w:sz="4" w:space="0" w:color="000000"/>
              <w:bottom w:val="single" w:sz="4" w:space="0" w:color="000000"/>
              <w:right w:val="single" w:sz="4" w:space="0" w:color="000000"/>
            </w:tcBorders>
            <w:vAlign w:val="center"/>
          </w:tcPr>
          <w:p w14:paraId="1DC0FDE3" w14:textId="77777777" w:rsidR="004D59D4" w:rsidRPr="00B82950" w:rsidRDefault="00023FAF" w:rsidP="009A2B84">
            <w:pPr>
              <w:pStyle w:val="In-tableHeading"/>
              <w:jc w:val="center"/>
            </w:pPr>
            <w:r w:rsidRPr="00B82950">
              <w:t>Year 2</w:t>
            </w:r>
          </w:p>
        </w:tc>
        <w:tc>
          <w:tcPr>
            <w:tcW w:w="1150" w:type="dxa"/>
            <w:tcBorders>
              <w:top w:val="single" w:sz="4" w:space="0" w:color="000000"/>
              <w:left w:val="single" w:sz="4" w:space="0" w:color="000000"/>
              <w:bottom w:val="single" w:sz="4" w:space="0" w:color="000000"/>
              <w:right w:val="single" w:sz="4" w:space="0" w:color="000000"/>
            </w:tcBorders>
            <w:vAlign w:val="center"/>
          </w:tcPr>
          <w:p w14:paraId="0FD8BCD1" w14:textId="77777777" w:rsidR="004D59D4" w:rsidRPr="00B82950" w:rsidRDefault="00023FAF" w:rsidP="009A2B84">
            <w:pPr>
              <w:pStyle w:val="In-tableHeading"/>
              <w:jc w:val="center"/>
            </w:pPr>
            <w:r w:rsidRPr="00B82950">
              <w:t>Year 3</w:t>
            </w:r>
          </w:p>
        </w:tc>
        <w:tc>
          <w:tcPr>
            <w:tcW w:w="1150" w:type="dxa"/>
            <w:tcBorders>
              <w:top w:val="single" w:sz="4" w:space="0" w:color="000000"/>
              <w:left w:val="single" w:sz="4" w:space="0" w:color="000000"/>
              <w:bottom w:val="single" w:sz="4" w:space="0" w:color="000000"/>
              <w:right w:val="single" w:sz="4" w:space="0" w:color="000000"/>
            </w:tcBorders>
            <w:vAlign w:val="center"/>
          </w:tcPr>
          <w:p w14:paraId="08D05F1E" w14:textId="77777777" w:rsidR="004D59D4" w:rsidRPr="00B82950" w:rsidRDefault="00023FAF" w:rsidP="009A2B84">
            <w:pPr>
              <w:pStyle w:val="In-tableHeading"/>
              <w:jc w:val="center"/>
            </w:pPr>
            <w:r w:rsidRPr="00B82950">
              <w:t>Year 4</w:t>
            </w:r>
          </w:p>
        </w:tc>
        <w:tc>
          <w:tcPr>
            <w:tcW w:w="1151" w:type="dxa"/>
            <w:tcBorders>
              <w:top w:val="single" w:sz="4" w:space="0" w:color="000000"/>
              <w:left w:val="single" w:sz="4" w:space="0" w:color="000000"/>
              <w:bottom w:val="single" w:sz="4" w:space="0" w:color="000000"/>
              <w:right w:val="single" w:sz="4" w:space="0" w:color="000000"/>
            </w:tcBorders>
            <w:vAlign w:val="center"/>
          </w:tcPr>
          <w:p w14:paraId="3CDDB66C" w14:textId="77777777" w:rsidR="004D59D4" w:rsidRPr="00B82950" w:rsidRDefault="00023FAF" w:rsidP="009A2B84">
            <w:pPr>
              <w:pStyle w:val="In-tableHeading"/>
              <w:jc w:val="center"/>
            </w:pPr>
            <w:r w:rsidRPr="00B82950">
              <w:t>Year 5</w:t>
            </w:r>
          </w:p>
        </w:tc>
        <w:tc>
          <w:tcPr>
            <w:tcW w:w="1152" w:type="dxa"/>
            <w:tcBorders>
              <w:top w:val="single" w:sz="4" w:space="0" w:color="000000"/>
              <w:left w:val="single" w:sz="4" w:space="0" w:color="000000"/>
              <w:bottom w:val="single" w:sz="4" w:space="0" w:color="000000"/>
              <w:right w:val="single" w:sz="4" w:space="0" w:color="000000"/>
            </w:tcBorders>
          </w:tcPr>
          <w:p w14:paraId="20AC33BD" w14:textId="77777777" w:rsidR="004D59D4" w:rsidRPr="00B82950" w:rsidRDefault="00023FAF" w:rsidP="009A2B84">
            <w:pPr>
              <w:pStyle w:val="In-tableHeading"/>
              <w:jc w:val="center"/>
            </w:pPr>
            <w:r w:rsidRPr="00B82950">
              <w:t>Year 6</w:t>
            </w:r>
          </w:p>
        </w:tc>
      </w:tr>
      <w:tr w:rsidR="004D59D4" w:rsidRPr="00B82950" w14:paraId="3E1AC93D" w14:textId="77777777">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68812950" w14:textId="77777777" w:rsidR="004D59D4" w:rsidRPr="00B82950" w:rsidRDefault="00023FAF" w:rsidP="009A2B84">
            <w:pPr>
              <w:pStyle w:val="In-tableHeading"/>
            </w:pPr>
            <w:r w:rsidRPr="00B82950">
              <w:t>Scenario A: Resubmission base case</w:t>
            </w:r>
          </w:p>
        </w:tc>
      </w:tr>
      <w:tr w:rsidR="004D59D4" w:rsidRPr="00B82950" w14:paraId="4B98F0EB" w14:textId="77777777">
        <w:trPr>
          <w:trHeight w:val="133"/>
        </w:trPr>
        <w:tc>
          <w:tcPr>
            <w:tcW w:w="2123" w:type="dxa"/>
            <w:tcBorders>
              <w:top w:val="single" w:sz="4" w:space="0" w:color="000000"/>
              <w:left w:val="single" w:sz="4" w:space="0" w:color="000000"/>
              <w:bottom w:val="single" w:sz="4" w:space="0" w:color="000000"/>
              <w:right w:val="single" w:sz="4" w:space="0" w:color="000000"/>
            </w:tcBorders>
            <w:vAlign w:val="center"/>
          </w:tcPr>
          <w:p w14:paraId="24A70792" w14:textId="77777777" w:rsidR="004D59D4" w:rsidRPr="00B82950" w:rsidRDefault="00023FAF" w:rsidP="009A2B84">
            <w:pPr>
              <w:pStyle w:val="TableText1"/>
              <w:rPr>
                <w:rFonts w:ascii="Times" w:hAnsi="Times"/>
                <w:iCs w:val="0"/>
              </w:rPr>
            </w:pPr>
            <w:r w:rsidRPr="00B82950">
              <w:rPr>
                <w:iCs w:val="0"/>
              </w:rPr>
              <w:t>Number of patients treated</w:t>
            </w:r>
          </w:p>
        </w:tc>
        <w:tc>
          <w:tcPr>
            <w:tcW w:w="1149" w:type="dxa"/>
            <w:tcBorders>
              <w:top w:val="single" w:sz="4" w:space="0" w:color="000000"/>
              <w:left w:val="single" w:sz="4" w:space="0" w:color="000000"/>
              <w:bottom w:val="single" w:sz="4" w:space="0" w:color="000000"/>
              <w:right w:val="single" w:sz="4" w:space="0" w:color="000000"/>
            </w:tcBorders>
            <w:vAlign w:val="center"/>
          </w:tcPr>
          <w:p w14:paraId="36DA40C9" w14:textId="47AFF6E5" w:rsidR="004D59D4" w:rsidRPr="008A3493" w:rsidRDefault="002615A2" w:rsidP="009A2B84">
            <w:pPr>
              <w:pStyle w:val="TableText1"/>
              <w:jc w:val="center"/>
              <w:rPr>
                <w:iCs w:val="0"/>
                <w:vertAlign w:val="superscript"/>
              </w:rPr>
            </w:pPr>
            <w:r w:rsidRPr="002615A2">
              <w:rPr>
                <w:iCs w:val="0"/>
                <w:sz w:val="2"/>
                <w:highlight w:val="black"/>
              </w:rPr>
              <w:t>redacted content</w:t>
            </w:r>
            <w:r w:rsidR="009F6E6A">
              <w:rPr>
                <w:iCs w:val="0"/>
                <w:vertAlign w:val="superscript"/>
              </w:rPr>
              <w:t>1</w:t>
            </w:r>
          </w:p>
        </w:tc>
        <w:tc>
          <w:tcPr>
            <w:tcW w:w="1151" w:type="dxa"/>
            <w:tcBorders>
              <w:top w:val="single" w:sz="4" w:space="0" w:color="000000"/>
              <w:left w:val="single" w:sz="4" w:space="0" w:color="000000"/>
              <w:bottom w:val="single" w:sz="4" w:space="0" w:color="000000"/>
              <w:right w:val="single" w:sz="4" w:space="0" w:color="000000"/>
            </w:tcBorders>
            <w:vAlign w:val="center"/>
          </w:tcPr>
          <w:p w14:paraId="6DF42334" w14:textId="35F179BF" w:rsidR="004D59D4" w:rsidRPr="008A3493" w:rsidRDefault="002615A2" w:rsidP="009A2B84">
            <w:pPr>
              <w:pStyle w:val="TableText1"/>
              <w:jc w:val="center"/>
              <w:rPr>
                <w:iCs w:val="0"/>
                <w:vertAlign w:val="superscript"/>
              </w:rPr>
            </w:pPr>
            <w:r w:rsidRPr="002615A2">
              <w:rPr>
                <w:iCs w:val="0"/>
                <w:sz w:val="2"/>
                <w:highlight w:val="black"/>
              </w:rPr>
              <w:t>redacted content</w:t>
            </w:r>
            <w:r w:rsidR="009F6E6A">
              <w:rPr>
                <w:iCs w:val="0"/>
                <w:vertAlign w:val="superscript"/>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49F766F8" w14:textId="05ADFF6A" w:rsidR="004D59D4" w:rsidRPr="008A3493" w:rsidRDefault="002615A2" w:rsidP="009A2B84">
            <w:pPr>
              <w:pStyle w:val="TableText1"/>
              <w:jc w:val="center"/>
              <w:rPr>
                <w:iCs w:val="0"/>
                <w:vertAlign w:val="superscript"/>
              </w:rPr>
            </w:pPr>
            <w:r w:rsidRPr="002615A2">
              <w:rPr>
                <w:iCs w:val="0"/>
                <w:sz w:val="2"/>
                <w:highlight w:val="black"/>
              </w:rPr>
              <w:t>redacted content</w:t>
            </w:r>
            <w:r w:rsidR="009F6E6A">
              <w:rPr>
                <w:iCs w:val="0"/>
                <w:vertAlign w:val="superscript"/>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33361348" w14:textId="5F31061B" w:rsidR="004D59D4" w:rsidRPr="008A3493" w:rsidRDefault="002615A2" w:rsidP="009A2B84">
            <w:pPr>
              <w:pStyle w:val="TableText1"/>
              <w:jc w:val="center"/>
              <w:rPr>
                <w:iCs w:val="0"/>
                <w:vertAlign w:val="subscript"/>
              </w:rPr>
            </w:pPr>
            <w:r w:rsidRPr="002615A2">
              <w:rPr>
                <w:iCs w:val="0"/>
                <w:sz w:val="2"/>
                <w:highlight w:val="black"/>
              </w:rPr>
              <w:t>redacted content</w:t>
            </w:r>
            <w:r w:rsidR="009F6E6A" w:rsidRPr="008A3493">
              <w:rPr>
                <w:iCs w:val="0"/>
                <w:vertAlign w:val="superscript"/>
              </w:rPr>
              <w:t>1</w:t>
            </w:r>
          </w:p>
        </w:tc>
        <w:tc>
          <w:tcPr>
            <w:tcW w:w="1151" w:type="dxa"/>
            <w:tcBorders>
              <w:top w:val="single" w:sz="4" w:space="0" w:color="000000"/>
              <w:left w:val="single" w:sz="4" w:space="0" w:color="000000"/>
              <w:bottom w:val="single" w:sz="4" w:space="0" w:color="000000"/>
              <w:right w:val="single" w:sz="4" w:space="0" w:color="000000"/>
            </w:tcBorders>
            <w:vAlign w:val="center"/>
          </w:tcPr>
          <w:p w14:paraId="3C8E8D2B" w14:textId="5BAB538B" w:rsidR="004D59D4" w:rsidRPr="008A3493" w:rsidRDefault="002615A2" w:rsidP="009A2B84">
            <w:pPr>
              <w:pStyle w:val="TableText1"/>
              <w:jc w:val="center"/>
              <w:rPr>
                <w:iCs w:val="0"/>
                <w:vertAlign w:val="superscript"/>
              </w:rPr>
            </w:pPr>
            <w:r w:rsidRPr="002615A2">
              <w:rPr>
                <w:iCs w:val="0"/>
                <w:sz w:val="2"/>
                <w:highlight w:val="black"/>
              </w:rPr>
              <w:t>redacted content</w:t>
            </w:r>
            <w:r w:rsidR="009F6E6A">
              <w:rPr>
                <w:iCs w:val="0"/>
                <w:vertAlign w:val="superscript"/>
              </w:rPr>
              <w:t>1</w:t>
            </w:r>
          </w:p>
        </w:tc>
        <w:tc>
          <w:tcPr>
            <w:tcW w:w="1152" w:type="dxa"/>
            <w:tcBorders>
              <w:top w:val="single" w:sz="4" w:space="0" w:color="000000"/>
              <w:left w:val="single" w:sz="4" w:space="0" w:color="000000"/>
              <w:bottom w:val="single" w:sz="4" w:space="0" w:color="000000"/>
              <w:right w:val="single" w:sz="4" w:space="0" w:color="000000"/>
            </w:tcBorders>
            <w:vAlign w:val="center"/>
          </w:tcPr>
          <w:p w14:paraId="43CA868F" w14:textId="5BB2765B" w:rsidR="004D59D4" w:rsidRPr="008A3493" w:rsidRDefault="002615A2" w:rsidP="009A2B84">
            <w:pPr>
              <w:pStyle w:val="TableText1"/>
              <w:jc w:val="center"/>
              <w:rPr>
                <w:iCs w:val="0"/>
                <w:vertAlign w:val="superscript"/>
              </w:rPr>
            </w:pPr>
            <w:r w:rsidRPr="002615A2">
              <w:rPr>
                <w:iCs w:val="0"/>
                <w:sz w:val="2"/>
                <w:highlight w:val="black"/>
              </w:rPr>
              <w:t>redacted content</w:t>
            </w:r>
            <w:r w:rsidR="009F6E6A">
              <w:rPr>
                <w:iCs w:val="0"/>
                <w:vertAlign w:val="superscript"/>
              </w:rPr>
              <w:t>1</w:t>
            </w:r>
          </w:p>
        </w:tc>
      </w:tr>
      <w:tr w:rsidR="004D59D4" w:rsidRPr="00B82950" w14:paraId="48E446F9"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455F4076" w14:textId="77777777" w:rsidR="004D59D4" w:rsidRPr="00B82950" w:rsidRDefault="00023FAF" w:rsidP="009A2B84">
            <w:pPr>
              <w:pStyle w:val="TableText1"/>
              <w:rPr>
                <w:rFonts w:ascii="Times" w:hAnsi="Times"/>
                <w:iCs w:val="0"/>
              </w:rPr>
            </w:pPr>
            <w:r w:rsidRPr="00B82950">
              <w:rPr>
                <w:iCs w:val="0"/>
              </w:rPr>
              <w:t>Number of scripts dispensed</w:t>
            </w:r>
          </w:p>
        </w:tc>
        <w:tc>
          <w:tcPr>
            <w:tcW w:w="1149" w:type="dxa"/>
            <w:tcBorders>
              <w:top w:val="single" w:sz="4" w:space="0" w:color="000000"/>
              <w:left w:val="single" w:sz="4" w:space="0" w:color="000000"/>
              <w:bottom w:val="single" w:sz="4" w:space="0" w:color="000000"/>
              <w:right w:val="single" w:sz="4" w:space="0" w:color="000000"/>
            </w:tcBorders>
            <w:vAlign w:val="center"/>
          </w:tcPr>
          <w:p w14:paraId="7238C794" w14:textId="30EB07C2" w:rsidR="004D59D4" w:rsidRPr="008A3493" w:rsidRDefault="002615A2" w:rsidP="009A2B84">
            <w:pPr>
              <w:pStyle w:val="TableText1"/>
              <w:jc w:val="center"/>
              <w:rPr>
                <w:iCs w:val="0"/>
                <w:vertAlign w:val="superscript"/>
              </w:rPr>
            </w:pPr>
            <w:r w:rsidRPr="002615A2">
              <w:rPr>
                <w:iCs w:val="0"/>
                <w:sz w:val="2"/>
                <w:highlight w:val="black"/>
              </w:rPr>
              <w:t>redacted content</w:t>
            </w:r>
            <w:r w:rsidR="009F6E6A">
              <w:rPr>
                <w:iCs w:val="0"/>
                <w:vertAlign w:val="superscript"/>
              </w:rPr>
              <w:t>2</w:t>
            </w:r>
          </w:p>
        </w:tc>
        <w:tc>
          <w:tcPr>
            <w:tcW w:w="1151" w:type="dxa"/>
            <w:tcBorders>
              <w:top w:val="single" w:sz="4" w:space="0" w:color="000000"/>
              <w:left w:val="single" w:sz="4" w:space="0" w:color="000000"/>
              <w:bottom w:val="single" w:sz="4" w:space="0" w:color="000000"/>
              <w:right w:val="single" w:sz="4" w:space="0" w:color="000000"/>
            </w:tcBorders>
            <w:vAlign w:val="center"/>
          </w:tcPr>
          <w:p w14:paraId="074D7B5F" w14:textId="53A862CB" w:rsidR="004D59D4" w:rsidRPr="008A3493" w:rsidRDefault="002615A2" w:rsidP="009A2B84">
            <w:pPr>
              <w:pStyle w:val="TableText1"/>
              <w:jc w:val="center"/>
              <w:rPr>
                <w:iCs w:val="0"/>
                <w:vertAlign w:val="superscript"/>
              </w:rPr>
            </w:pPr>
            <w:r w:rsidRPr="002615A2">
              <w:rPr>
                <w:iCs w:val="0"/>
                <w:sz w:val="2"/>
                <w:highlight w:val="black"/>
              </w:rPr>
              <w:t>redacted content</w:t>
            </w:r>
            <w:r w:rsidR="00912582">
              <w:rPr>
                <w:iCs w:val="0"/>
                <w:vertAlign w:val="superscript"/>
              </w:rPr>
              <w:t>3</w:t>
            </w:r>
          </w:p>
        </w:tc>
        <w:tc>
          <w:tcPr>
            <w:tcW w:w="1150" w:type="dxa"/>
            <w:tcBorders>
              <w:top w:val="single" w:sz="4" w:space="0" w:color="000000"/>
              <w:left w:val="single" w:sz="4" w:space="0" w:color="000000"/>
              <w:bottom w:val="single" w:sz="4" w:space="0" w:color="000000"/>
              <w:right w:val="single" w:sz="4" w:space="0" w:color="000000"/>
            </w:tcBorders>
            <w:vAlign w:val="center"/>
          </w:tcPr>
          <w:p w14:paraId="42828FB4" w14:textId="043808B4" w:rsidR="004D59D4" w:rsidRPr="008A3493" w:rsidRDefault="002615A2" w:rsidP="009A2B84">
            <w:pPr>
              <w:pStyle w:val="TableText1"/>
              <w:jc w:val="center"/>
              <w:rPr>
                <w:iCs w:val="0"/>
                <w:vertAlign w:val="superscript"/>
              </w:rPr>
            </w:pPr>
            <w:r w:rsidRPr="002615A2">
              <w:rPr>
                <w:iCs w:val="0"/>
                <w:sz w:val="2"/>
                <w:highlight w:val="black"/>
              </w:rPr>
              <w:t>redacted content</w:t>
            </w:r>
            <w:r w:rsidR="00912582">
              <w:rPr>
                <w:iCs w:val="0"/>
                <w:vertAlign w:val="superscript"/>
              </w:rPr>
              <w:t>3</w:t>
            </w:r>
          </w:p>
        </w:tc>
        <w:tc>
          <w:tcPr>
            <w:tcW w:w="1150" w:type="dxa"/>
            <w:tcBorders>
              <w:top w:val="single" w:sz="4" w:space="0" w:color="000000"/>
              <w:left w:val="single" w:sz="4" w:space="0" w:color="000000"/>
              <w:bottom w:val="single" w:sz="4" w:space="0" w:color="000000"/>
              <w:right w:val="single" w:sz="4" w:space="0" w:color="000000"/>
            </w:tcBorders>
            <w:vAlign w:val="center"/>
          </w:tcPr>
          <w:p w14:paraId="25CFBBF7" w14:textId="7FD273AA" w:rsidR="004D59D4" w:rsidRPr="008A3493" w:rsidRDefault="002615A2" w:rsidP="009A2B84">
            <w:pPr>
              <w:pStyle w:val="TableText1"/>
              <w:jc w:val="center"/>
              <w:rPr>
                <w:iCs w:val="0"/>
                <w:vertAlign w:val="superscript"/>
              </w:rPr>
            </w:pPr>
            <w:r w:rsidRPr="002615A2">
              <w:rPr>
                <w:iCs w:val="0"/>
                <w:sz w:val="2"/>
                <w:highlight w:val="black"/>
              </w:rPr>
              <w:t>redacted content</w:t>
            </w:r>
            <w:r w:rsidR="00912582">
              <w:rPr>
                <w:iCs w:val="0"/>
                <w:vertAlign w:val="superscript"/>
              </w:rPr>
              <w:t>3</w:t>
            </w:r>
          </w:p>
        </w:tc>
        <w:tc>
          <w:tcPr>
            <w:tcW w:w="1151" w:type="dxa"/>
            <w:tcBorders>
              <w:top w:val="single" w:sz="4" w:space="0" w:color="000000"/>
              <w:left w:val="single" w:sz="4" w:space="0" w:color="000000"/>
              <w:bottom w:val="single" w:sz="4" w:space="0" w:color="000000"/>
              <w:right w:val="single" w:sz="4" w:space="0" w:color="000000"/>
            </w:tcBorders>
            <w:vAlign w:val="center"/>
          </w:tcPr>
          <w:p w14:paraId="2D6AC8D3" w14:textId="3689EC03" w:rsidR="004D59D4" w:rsidRPr="008A3493" w:rsidRDefault="002615A2" w:rsidP="009A2B84">
            <w:pPr>
              <w:pStyle w:val="TableText1"/>
              <w:jc w:val="center"/>
              <w:rPr>
                <w:iCs w:val="0"/>
                <w:vertAlign w:val="superscript"/>
              </w:rPr>
            </w:pPr>
            <w:r w:rsidRPr="002615A2">
              <w:rPr>
                <w:iCs w:val="0"/>
                <w:sz w:val="2"/>
                <w:highlight w:val="black"/>
              </w:rPr>
              <w:t>redacted content</w:t>
            </w:r>
            <w:r w:rsidR="00B804F3">
              <w:rPr>
                <w:iCs w:val="0"/>
                <w:vertAlign w:val="superscript"/>
              </w:rPr>
              <w:t>2</w:t>
            </w:r>
          </w:p>
        </w:tc>
        <w:tc>
          <w:tcPr>
            <w:tcW w:w="1152" w:type="dxa"/>
            <w:tcBorders>
              <w:top w:val="single" w:sz="4" w:space="0" w:color="000000"/>
              <w:left w:val="single" w:sz="4" w:space="0" w:color="000000"/>
              <w:bottom w:val="single" w:sz="4" w:space="0" w:color="000000"/>
              <w:right w:val="single" w:sz="4" w:space="0" w:color="000000"/>
            </w:tcBorders>
            <w:vAlign w:val="center"/>
          </w:tcPr>
          <w:p w14:paraId="74A7152D" w14:textId="1F7A9F2A" w:rsidR="004D59D4" w:rsidRPr="008A3493" w:rsidRDefault="002615A2" w:rsidP="009A2B84">
            <w:pPr>
              <w:pStyle w:val="TableText1"/>
              <w:jc w:val="center"/>
              <w:rPr>
                <w:iCs w:val="0"/>
                <w:vertAlign w:val="superscript"/>
              </w:rPr>
            </w:pPr>
            <w:r w:rsidRPr="002615A2">
              <w:rPr>
                <w:iCs w:val="0"/>
                <w:sz w:val="2"/>
                <w:highlight w:val="black"/>
              </w:rPr>
              <w:t>redacted content</w:t>
            </w:r>
            <w:r w:rsidR="009F6E6A">
              <w:rPr>
                <w:iCs w:val="0"/>
                <w:vertAlign w:val="superscript"/>
              </w:rPr>
              <w:t>2</w:t>
            </w:r>
          </w:p>
        </w:tc>
      </w:tr>
      <w:tr w:rsidR="004D59D4" w:rsidRPr="00B82950" w14:paraId="5BF8EAB4"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7883A063" w14:textId="77777777" w:rsidR="004D59D4" w:rsidRPr="00B82950" w:rsidRDefault="00023FAF" w:rsidP="009A2B84">
            <w:pPr>
              <w:pStyle w:val="TableText1"/>
              <w:rPr>
                <w:b/>
                <w:bCs w:val="0"/>
                <w:iCs w:val="0"/>
                <w:sz w:val="19"/>
                <w:szCs w:val="19"/>
              </w:rPr>
            </w:pPr>
            <w:r w:rsidRPr="00B82950">
              <w:rPr>
                <w:b/>
                <w:bCs w:val="0"/>
                <w:iCs w:val="0"/>
                <w:sz w:val="19"/>
                <w:szCs w:val="19"/>
              </w:rPr>
              <w:t xml:space="preserve">Cost to R/PBS (at published EMP = $510) </w:t>
            </w:r>
          </w:p>
        </w:tc>
        <w:tc>
          <w:tcPr>
            <w:tcW w:w="1149" w:type="dxa"/>
            <w:tcBorders>
              <w:top w:val="single" w:sz="4" w:space="0" w:color="000000"/>
              <w:left w:val="single" w:sz="4" w:space="0" w:color="000000"/>
              <w:bottom w:val="single" w:sz="4" w:space="0" w:color="000000"/>
              <w:right w:val="single" w:sz="4" w:space="0" w:color="000000"/>
            </w:tcBorders>
          </w:tcPr>
          <w:p w14:paraId="6CACDF50" w14:textId="24F3DDDF"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912582">
              <w:rPr>
                <w:b/>
                <w:bCs w:val="0"/>
                <w:iCs w:val="0"/>
                <w:vertAlign w:val="superscript"/>
              </w:rPr>
              <w:t>4</w:t>
            </w:r>
          </w:p>
        </w:tc>
        <w:tc>
          <w:tcPr>
            <w:tcW w:w="1151" w:type="dxa"/>
            <w:tcBorders>
              <w:top w:val="single" w:sz="4" w:space="0" w:color="000000"/>
              <w:left w:val="single" w:sz="4" w:space="0" w:color="000000"/>
              <w:bottom w:val="single" w:sz="4" w:space="0" w:color="000000"/>
              <w:right w:val="single" w:sz="4" w:space="0" w:color="000000"/>
            </w:tcBorders>
          </w:tcPr>
          <w:p w14:paraId="3EFFE8BD" w14:textId="48AA61E5"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912582">
              <w:rPr>
                <w:b/>
                <w:bCs w:val="0"/>
                <w:iCs w:val="0"/>
                <w:vertAlign w:val="superscript"/>
              </w:rPr>
              <w:t>5</w:t>
            </w:r>
          </w:p>
        </w:tc>
        <w:tc>
          <w:tcPr>
            <w:tcW w:w="1150" w:type="dxa"/>
            <w:tcBorders>
              <w:top w:val="single" w:sz="4" w:space="0" w:color="000000"/>
              <w:left w:val="single" w:sz="4" w:space="0" w:color="000000"/>
              <w:bottom w:val="single" w:sz="4" w:space="0" w:color="000000"/>
              <w:right w:val="single" w:sz="4" w:space="0" w:color="000000"/>
            </w:tcBorders>
          </w:tcPr>
          <w:p w14:paraId="7A906B0E" w14:textId="31D62E00"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912582">
              <w:rPr>
                <w:b/>
                <w:bCs w:val="0"/>
                <w:iCs w:val="0"/>
                <w:vertAlign w:val="superscript"/>
              </w:rPr>
              <w:t>5</w:t>
            </w:r>
          </w:p>
        </w:tc>
        <w:tc>
          <w:tcPr>
            <w:tcW w:w="1150" w:type="dxa"/>
            <w:tcBorders>
              <w:top w:val="single" w:sz="4" w:space="0" w:color="000000"/>
              <w:left w:val="single" w:sz="4" w:space="0" w:color="000000"/>
              <w:bottom w:val="single" w:sz="4" w:space="0" w:color="000000"/>
              <w:right w:val="single" w:sz="4" w:space="0" w:color="000000"/>
            </w:tcBorders>
          </w:tcPr>
          <w:p w14:paraId="1167F478" w14:textId="6B281186"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912582">
              <w:rPr>
                <w:b/>
                <w:bCs w:val="0"/>
                <w:iCs w:val="0"/>
                <w:vertAlign w:val="superscript"/>
              </w:rPr>
              <w:t>6</w:t>
            </w:r>
          </w:p>
        </w:tc>
        <w:tc>
          <w:tcPr>
            <w:tcW w:w="1151" w:type="dxa"/>
            <w:tcBorders>
              <w:top w:val="single" w:sz="4" w:space="0" w:color="000000"/>
              <w:left w:val="single" w:sz="4" w:space="0" w:color="000000"/>
              <w:bottom w:val="single" w:sz="4" w:space="0" w:color="000000"/>
              <w:right w:val="single" w:sz="4" w:space="0" w:color="000000"/>
            </w:tcBorders>
          </w:tcPr>
          <w:p w14:paraId="5C1A6726" w14:textId="431F4FFB"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912582">
              <w:rPr>
                <w:b/>
                <w:bCs w:val="0"/>
                <w:iCs w:val="0"/>
                <w:vertAlign w:val="superscript"/>
              </w:rPr>
              <w:t>6</w:t>
            </w:r>
          </w:p>
        </w:tc>
        <w:tc>
          <w:tcPr>
            <w:tcW w:w="1152" w:type="dxa"/>
            <w:tcBorders>
              <w:top w:val="single" w:sz="4" w:space="0" w:color="000000"/>
              <w:left w:val="single" w:sz="4" w:space="0" w:color="000000"/>
              <w:bottom w:val="single" w:sz="4" w:space="0" w:color="000000"/>
              <w:right w:val="single" w:sz="4" w:space="0" w:color="000000"/>
            </w:tcBorders>
          </w:tcPr>
          <w:p w14:paraId="7BF4088C" w14:textId="39C752F1"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912582">
              <w:rPr>
                <w:b/>
                <w:bCs w:val="0"/>
                <w:iCs w:val="0"/>
                <w:vertAlign w:val="superscript"/>
              </w:rPr>
              <w:t>7</w:t>
            </w:r>
          </w:p>
        </w:tc>
      </w:tr>
      <w:tr w:rsidR="004D59D4" w:rsidRPr="00B82950" w14:paraId="2C6B2529" w14:textId="77777777" w:rsidTr="008A3493">
        <w:tc>
          <w:tcPr>
            <w:tcW w:w="2123" w:type="dxa"/>
            <w:tcBorders>
              <w:top w:val="single" w:sz="4" w:space="0" w:color="000000"/>
              <w:left w:val="single" w:sz="4" w:space="0" w:color="000000"/>
              <w:bottom w:val="single" w:sz="4" w:space="0" w:color="000000"/>
              <w:right w:val="single" w:sz="4" w:space="0" w:color="000000"/>
            </w:tcBorders>
          </w:tcPr>
          <w:p w14:paraId="7750E15D" w14:textId="26144CBF" w:rsidR="004D59D4" w:rsidRPr="00B82950" w:rsidRDefault="002615A2" w:rsidP="009A2B84">
            <w:pPr>
              <w:pStyle w:val="TableText1"/>
              <w:rPr>
                <w:iCs w:val="0"/>
                <w:sz w:val="19"/>
                <w:szCs w:val="19"/>
              </w:rPr>
            </w:pPr>
            <w:r w:rsidRPr="002615A2">
              <w:rPr>
                <w:iCs w:val="0"/>
                <w:sz w:val="2"/>
                <w:highlight w:val="black"/>
              </w:rPr>
              <w:t>redacted content</w:t>
            </w:r>
            <w:r w:rsidR="00B92B3B" w:rsidRPr="00B92B3B">
              <w:rPr>
                <w:iCs w:val="0"/>
              </w:rPr>
              <w:t xml:space="preserve"> </w:t>
            </w:r>
            <w:r w:rsidRPr="002615A2">
              <w:rPr>
                <w:iCs w:val="0"/>
                <w:sz w:val="2"/>
                <w:highlight w:val="black"/>
              </w:rPr>
              <w:t>redacted content</w:t>
            </w:r>
            <w:r w:rsidR="00B92B3B" w:rsidRPr="00B92B3B">
              <w:rPr>
                <w:iCs w:val="0"/>
              </w:rPr>
              <w:t xml:space="preserve"> </w:t>
            </w:r>
            <w:r w:rsidRPr="002615A2">
              <w:rPr>
                <w:iCs w:val="0"/>
                <w:sz w:val="2"/>
                <w:highlight w:val="black"/>
              </w:rPr>
              <w:t>redacted content</w:t>
            </w:r>
            <w:r w:rsidR="00B92B3B" w:rsidRPr="00B92B3B">
              <w:rPr>
                <w:iCs w:val="0"/>
              </w:rPr>
              <w:t xml:space="preserve"> </w:t>
            </w:r>
            <w:r w:rsidRPr="002615A2">
              <w:rPr>
                <w:iCs w:val="0"/>
                <w:sz w:val="2"/>
                <w:highlight w:val="black"/>
              </w:rPr>
              <w:t>redacted content</w:t>
            </w:r>
          </w:p>
        </w:tc>
        <w:tc>
          <w:tcPr>
            <w:tcW w:w="1149" w:type="dxa"/>
            <w:tcBorders>
              <w:top w:val="single" w:sz="4" w:space="0" w:color="000000"/>
              <w:left w:val="single" w:sz="4" w:space="0" w:color="000000"/>
              <w:bottom w:val="single" w:sz="4" w:space="0" w:color="000000"/>
              <w:right w:val="single" w:sz="4" w:space="0" w:color="000000"/>
            </w:tcBorders>
          </w:tcPr>
          <w:p w14:paraId="74E2B527" w14:textId="355398D3"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912582">
              <w:rPr>
                <w:iCs w:val="0"/>
                <w:vertAlign w:val="superscript"/>
              </w:rPr>
              <w:t>8</w:t>
            </w:r>
          </w:p>
        </w:tc>
        <w:tc>
          <w:tcPr>
            <w:tcW w:w="1151" w:type="dxa"/>
            <w:tcBorders>
              <w:top w:val="single" w:sz="4" w:space="0" w:color="000000"/>
              <w:left w:val="single" w:sz="4" w:space="0" w:color="000000"/>
              <w:bottom w:val="single" w:sz="4" w:space="0" w:color="000000"/>
              <w:right w:val="single" w:sz="4" w:space="0" w:color="000000"/>
            </w:tcBorders>
          </w:tcPr>
          <w:p w14:paraId="384C897C" w14:textId="0F11C48E"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912582">
              <w:rPr>
                <w:iCs w:val="0"/>
                <w:vertAlign w:val="superscript"/>
              </w:rPr>
              <w:t>9</w:t>
            </w:r>
          </w:p>
        </w:tc>
        <w:tc>
          <w:tcPr>
            <w:tcW w:w="1150" w:type="dxa"/>
            <w:tcBorders>
              <w:top w:val="single" w:sz="4" w:space="0" w:color="000000"/>
              <w:left w:val="single" w:sz="4" w:space="0" w:color="000000"/>
              <w:bottom w:val="single" w:sz="4" w:space="0" w:color="000000"/>
              <w:right w:val="single" w:sz="4" w:space="0" w:color="000000"/>
            </w:tcBorders>
          </w:tcPr>
          <w:p w14:paraId="6B433EAC" w14:textId="331EEA27"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912582">
              <w:rPr>
                <w:iCs w:val="0"/>
                <w:vertAlign w:val="superscript"/>
              </w:rPr>
              <w:t>9</w:t>
            </w:r>
          </w:p>
        </w:tc>
        <w:tc>
          <w:tcPr>
            <w:tcW w:w="1150" w:type="dxa"/>
            <w:tcBorders>
              <w:top w:val="single" w:sz="4" w:space="0" w:color="000000"/>
              <w:left w:val="single" w:sz="4" w:space="0" w:color="000000"/>
              <w:bottom w:val="single" w:sz="4" w:space="0" w:color="000000"/>
              <w:right w:val="single" w:sz="4" w:space="0" w:color="000000"/>
            </w:tcBorders>
          </w:tcPr>
          <w:p w14:paraId="0DC84A84" w14:textId="440EF99B"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C574A4">
              <w:rPr>
                <w:iCs w:val="0"/>
                <w:vertAlign w:val="superscript"/>
              </w:rPr>
              <w:t>4</w:t>
            </w:r>
          </w:p>
        </w:tc>
        <w:tc>
          <w:tcPr>
            <w:tcW w:w="1151" w:type="dxa"/>
            <w:tcBorders>
              <w:top w:val="single" w:sz="4" w:space="0" w:color="000000"/>
              <w:left w:val="single" w:sz="4" w:space="0" w:color="000000"/>
              <w:bottom w:val="single" w:sz="4" w:space="0" w:color="000000"/>
              <w:right w:val="single" w:sz="4" w:space="0" w:color="000000"/>
            </w:tcBorders>
          </w:tcPr>
          <w:p w14:paraId="57DF715C" w14:textId="14EA9D6E"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C574A4">
              <w:rPr>
                <w:iCs w:val="0"/>
                <w:vertAlign w:val="superscript"/>
              </w:rPr>
              <w:t>4</w:t>
            </w:r>
          </w:p>
        </w:tc>
        <w:tc>
          <w:tcPr>
            <w:tcW w:w="1152" w:type="dxa"/>
            <w:tcBorders>
              <w:top w:val="single" w:sz="4" w:space="0" w:color="000000"/>
              <w:left w:val="single" w:sz="4" w:space="0" w:color="000000"/>
              <w:bottom w:val="single" w:sz="4" w:space="0" w:color="000000"/>
              <w:right w:val="single" w:sz="4" w:space="0" w:color="000000"/>
            </w:tcBorders>
          </w:tcPr>
          <w:p w14:paraId="320CB43C" w14:textId="110ED87F"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C574A4">
              <w:rPr>
                <w:iCs w:val="0"/>
                <w:vertAlign w:val="superscript"/>
              </w:rPr>
              <w:t>5</w:t>
            </w:r>
          </w:p>
        </w:tc>
      </w:tr>
      <w:tr w:rsidR="004D59D4" w:rsidRPr="00B82950" w14:paraId="439A8296" w14:textId="77777777">
        <w:tc>
          <w:tcPr>
            <w:tcW w:w="2123" w:type="dxa"/>
            <w:tcBorders>
              <w:top w:val="single" w:sz="4" w:space="0" w:color="000000"/>
              <w:left w:val="single" w:sz="4" w:space="0" w:color="000000"/>
              <w:bottom w:val="single" w:sz="4" w:space="0" w:color="000000"/>
              <w:right w:val="single" w:sz="4" w:space="0" w:color="000000"/>
            </w:tcBorders>
          </w:tcPr>
          <w:p w14:paraId="257D54B0" w14:textId="77777777" w:rsidR="004D59D4" w:rsidRPr="00B82950" w:rsidRDefault="00023FAF" w:rsidP="009A2B84">
            <w:pPr>
              <w:pStyle w:val="TableText1"/>
              <w:rPr>
                <w:b/>
                <w:bCs w:val="0"/>
                <w:iCs w:val="0"/>
                <w:sz w:val="19"/>
                <w:szCs w:val="19"/>
              </w:rPr>
            </w:pPr>
            <w:r w:rsidRPr="00B82950">
              <w:rPr>
                <w:b/>
                <w:bCs w:val="0"/>
                <w:iCs w:val="0"/>
              </w:rPr>
              <w:t>Net cost R/PBS (proposed cap)</w:t>
            </w:r>
          </w:p>
        </w:tc>
        <w:tc>
          <w:tcPr>
            <w:tcW w:w="1149" w:type="dxa"/>
            <w:tcBorders>
              <w:top w:val="single" w:sz="4" w:space="0" w:color="000000"/>
              <w:left w:val="single" w:sz="4" w:space="0" w:color="000000"/>
              <w:bottom w:val="single" w:sz="4" w:space="0" w:color="000000"/>
              <w:right w:val="single" w:sz="4" w:space="0" w:color="000000"/>
            </w:tcBorders>
          </w:tcPr>
          <w:p w14:paraId="54269FA8" w14:textId="30727E58"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775E1F">
              <w:rPr>
                <w:b/>
                <w:bCs w:val="0"/>
                <w:i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68C7C0F4" w14:textId="5FB4C57B"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3</w:t>
            </w:r>
          </w:p>
        </w:tc>
        <w:tc>
          <w:tcPr>
            <w:tcW w:w="1150" w:type="dxa"/>
            <w:tcBorders>
              <w:top w:val="single" w:sz="4" w:space="0" w:color="000000"/>
              <w:left w:val="single" w:sz="4" w:space="0" w:color="000000"/>
              <w:bottom w:val="single" w:sz="4" w:space="0" w:color="000000"/>
              <w:right w:val="single" w:sz="4" w:space="0" w:color="000000"/>
            </w:tcBorders>
          </w:tcPr>
          <w:p w14:paraId="52423113" w14:textId="3174F578"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3</w:t>
            </w:r>
          </w:p>
        </w:tc>
        <w:tc>
          <w:tcPr>
            <w:tcW w:w="1150" w:type="dxa"/>
            <w:tcBorders>
              <w:top w:val="single" w:sz="4" w:space="0" w:color="000000"/>
              <w:left w:val="single" w:sz="4" w:space="0" w:color="000000"/>
              <w:bottom w:val="single" w:sz="4" w:space="0" w:color="000000"/>
              <w:right w:val="single" w:sz="4" w:space="0" w:color="000000"/>
            </w:tcBorders>
          </w:tcPr>
          <w:p w14:paraId="506176F9" w14:textId="00E67A89"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3</w:t>
            </w:r>
          </w:p>
        </w:tc>
        <w:tc>
          <w:tcPr>
            <w:tcW w:w="1151" w:type="dxa"/>
            <w:tcBorders>
              <w:top w:val="single" w:sz="4" w:space="0" w:color="000000"/>
              <w:left w:val="single" w:sz="4" w:space="0" w:color="000000"/>
              <w:bottom w:val="single" w:sz="4" w:space="0" w:color="000000"/>
              <w:right w:val="single" w:sz="4" w:space="0" w:color="000000"/>
            </w:tcBorders>
          </w:tcPr>
          <w:p w14:paraId="461E1CD4" w14:textId="48657663"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4</w:t>
            </w:r>
          </w:p>
        </w:tc>
        <w:tc>
          <w:tcPr>
            <w:tcW w:w="1152" w:type="dxa"/>
            <w:tcBorders>
              <w:top w:val="single" w:sz="4" w:space="0" w:color="000000"/>
              <w:left w:val="single" w:sz="4" w:space="0" w:color="000000"/>
              <w:bottom w:val="single" w:sz="4" w:space="0" w:color="000000"/>
              <w:right w:val="single" w:sz="4" w:space="0" w:color="000000"/>
            </w:tcBorders>
          </w:tcPr>
          <w:p w14:paraId="0C44B9D9" w14:textId="59EEFA20"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4</w:t>
            </w:r>
          </w:p>
        </w:tc>
      </w:tr>
      <w:tr w:rsidR="004D59D4" w:rsidRPr="00B82950" w14:paraId="5BD62BD9" w14:textId="77777777">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19909CA5" w14:textId="77777777" w:rsidR="004D59D4" w:rsidRPr="00B82950" w:rsidRDefault="00023FAF" w:rsidP="009A2B84">
            <w:pPr>
              <w:pStyle w:val="In-tableHeading"/>
            </w:pPr>
            <w:r w:rsidRPr="00B82950">
              <w:t>Scenario B: using the inputs outlined by the PBAC in July 2022</w:t>
            </w:r>
          </w:p>
        </w:tc>
      </w:tr>
      <w:tr w:rsidR="004D59D4" w:rsidRPr="00B82950" w14:paraId="099ADAFD"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425D0FBB" w14:textId="77777777" w:rsidR="004D59D4" w:rsidRPr="00B82950" w:rsidRDefault="00023FAF" w:rsidP="009A2B84">
            <w:pPr>
              <w:pStyle w:val="TableText1"/>
              <w:rPr>
                <w:iCs w:val="0"/>
                <w:sz w:val="19"/>
                <w:szCs w:val="19"/>
              </w:rPr>
            </w:pPr>
            <w:r w:rsidRPr="00B82950">
              <w:rPr>
                <w:iCs w:val="0"/>
              </w:rPr>
              <w:t>Number of patients treated</w:t>
            </w:r>
          </w:p>
        </w:tc>
        <w:tc>
          <w:tcPr>
            <w:tcW w:w="1149" w:type="dxa"/>
            <w:tcBorders>
              <w:top w:val="single" w:sz="4" w:space="0" w:color="000000"/>
              <w:left w:val="single" w:sz="4" w:space="0" w:color="000000"/>
              <w:bottom w:val="single" w:sz="4" w:space="0" w:color="000000"/>
              <w:right w:val="single" w:sz="4" w:space="0" w:color="000000"/>
            </w:tcBorders>
            <w:vAlign w:val="center"/>
          </w:tcPr>
          <w:p w14:paraId="073141FE" w14:textId="2375BCA9" w:rsidR="004D59D4" w:rsidRPr="008A3493" w:rsidRDefault="002615A2" w:rsidP="009A2B84">
            <w:pPr>
              <w:pStyle w:val="TableText1"/>
              <w:jc w:val="center"/>
              <w:rPr>
                <w:iCs w:val="0"/>
                <w:vertAlign w:val="superscript"/>
              </w:rPr>
            </w:pPr>
            <w:r w:rsidRPr="002615A2">
              <w:rPr>
                <w:iCs w:val="0"/>
                <w:sz w:val="2"/>
                <w:highlight w:val="black"/>
              </w:rPr>
              <w:t>redacted content</w:t>
            </w:r>
            <w:r w:rsidR="004B1EC1">
              <w:rPr>
                <w:iCs w:val="0"/>
                <w:vertAlign w:val="superscript"/>
              </w:rPr>
              <w:t>1</w:t>
            </w:r>
          </w:p>
        </w:tc>
        <w:tc>
          <w:tcPr>
            <w:tcW w:w="1151" w:type="dxa"/>
            <w:tcBorders>
              <w:top w:val="single" w:sz="4" w:space="0" w:color="000000"/>
              <w:left w:val="single" w:sz="4" w:space="0" w:color="000000"/>
              <w:bottom w:val="single" w:sz="4" w:space="0" w:color="000000"/>
              <w:right w:val="single" w:sz="4" w:space="0" w:color="000000"/>
            </w:tcBorders>
            <w:vAlign w:val="center"/>
          </w:tcPr>
          <w:p w14:paraId="07BD6493" w14:textId="2469C353"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07C810D4" w14:textId="5899373A"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p>
        </w:tc>
        <w:tc>
          <w:tcPr>
            <w:tcW w:w="1150" w:type="dxa"/>
            <w:tcBorders>
              <w:top w:val="single" w:sz="4" w:space="0" w:color="000000"/>
              <w:left w:val="single" w:sz="4" w:space="0" w:color="000000"/>
              <w:bottom w:val="single" w:sz="4" w:space="0" w:color="000000"/>
              <w:right w:val="single" w:sz="4" w:space="0" w:color="000000"/>
            </w:tcBorders>
            <w:vAlign w:val="center"/>
          </w:tcPr>
          <w:p w14:paraId="213A5C0D" w14:textId="5CD03D05"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p>
        </w:tc>
        <w:tc>
          <w:tcPr>
            <w:tcW w:w="1151" w:type="dxa"/>
            <w:tcBorders>
              <w:top w:val="single" w:sz="4" w:space="0" w:color="000000"/>
              <w:left w:val="single" w:sz="4" w:space="0" w:color="000000"/>
              <w:bottom w:val="single" w:sz="4" w:space="0" w:color="000000"/>
              <w:right w:val="single" w:sz="4" w:space="0" w:color="000000"/>
            </w:tcBorders>
            <w:vAlign w:val="center"/>
          </w:tcPr>
          <w:p w14:paraId="56EA19B1" w14:textId="15F05AB4"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p>
        </w:tc>
        <w:tc>
          <w:tcPr>
            <w:tcW w:w="1152" w:type="dxa"/>
            <w:tcBorders>
              <w:top w:val="single" w:sz="4" w:space="0" w:color="000000"/>
              <w:left w:val="single" w:sz="4" w:space="0" w:color="000000"/>
              <w:bottom w:val="single" w:sz="4" w:space="0" w:color="000000"/>
              <w:right w:val="single" w:sz="4" w:space="0" w:color="000000"/>
            </w:tcBorders>
            <w:vAlign w:val="center"/>
          </w:tcPr>
          <w:p w14:paraId="6DE87344" w14:textId="2EA9F7ED"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p>
        </w:tc>
      </w:tr>
      <w:tr w:rsidR="004D59D4" w:rsidRPr="00B82950" w14:paraId="08ED8B52"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14CFC2F3" w14:textId="77777777" w:rsidR="004D59D4" w:rsidRPr="00B82950" w:rsidRDefault="00023FAF" w:rsidP="009A2B84">
            <w:pPr>
              <w:pStyle w:val="TableText1"/>
              <w:rPr>
                <w:iCs w:val="0"/>
                <w:sz w:val="19"/>
                <w:szCs w:val="19"/>
              </w:rPr>
            </w:pPr>
            <w:r w:rsidRPr="00B82950">
              <w:rPr>
                <w:iCs w:val="0"/>
              </w:rPr>
              <w:t>Number of scripts dispensed</w:t>
            </w:r>
          </w:p>
        </w:tc>
        <w:tc>
          <w:tcPr>
            <w:tcW w:w="1149" w:type="dxa"/>
            <w:tcBorders>
              <w:top w:val="single" w:sz="4" w:space="0" w:color="000000"/>
              <w:left w:val="single" w:sz="4" w:space="0" w:color="000000"/>
              <w:bottom w:val="single" w:sz="4" w:space="0" w:color="000000"/>
              <w:right w:val="single" w:sz="4" w:space="0" w:color="000000"/>
            </w:tcBorders>
          </w:tcPr>
          <w:p w14:paraId="0176B01C" w14:textId="0D8D2CD5"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r w:rsidR="00023FAF" w:rsidRPr="00B82950">
              <w:rPr>
                <w:iCs w:val="0"/>
              </w:rP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414ECEC1" w14:textId="4E1BB359"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r w:rsidR="00023FAF" w:rsidRPr="00B82950">
              <w:rPr>
                <w:iCs w:val="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075E9EE1" w14:textId="29B76F01"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r w:rsidR="00023FAF" w:rsidRPr="00B82950">
              <w:rPr>
                <w:iCs w:val="0"/>
              </w:rPr>
              <w:t xml:space="preserve"> </w:t>
            </w:r>
          </w:p>
        </w:tc>
        <w:tc>
          <w:tcPr>
            <w:tcW w:w="1150" w:type="dxa"/>
            <w:tcBorders>
              <w:top w:val="single" w:sz="4" w:space="0" w:color="000000"/>
              <w:left w:val="single" w:sz="4" w:space="0" w:color="000000"/>
              <w:bottom w:val="single" w:sz="4" w:space="0" w:color="000000"/>
              <w:right w:val="single" w:sz="4" w:space="0" w:color="000000"/>
            </w:tcBorders>
          </w:tcPr>
          <w:p w14:paraId="5401D7BB" w14:textId="595F9F3D"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r w:rsidR="00023FAF" w:rsidRPr="00B82950">
              <w:rPr>
                <w:iCs w:val="0"/>
              </w:rP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65BE1166" w14:textId="1B12703A"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r w:rsidR="00023FAF" w:rsidRPr="00B82950">
              <w:rPr>
                <w:iCs w:val="0"/>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47AE688C" w14:textId="0E813E2C" w:rsidR="004D59D4" w:rsidRPr="00B82950" w:rsidRDefault="002615A2" w:rsidP="009A2B84">
            <w:pPr>
              <w:pStyle w:val="TableText1"/>
              <w:jc w:val="center"/>
              <w:rPr>
                <w:iCs w:val="0"/>
              </w:rPr>
            </w:pPr>
            <w:r w:rsidRPr="002615A2">
              <w:rPr>
                <w:iCs w:val="0"/>
                <w:sz w:val="2"/>
                <w:highlight w:val="black"/>
              </w:rPr>
              <w:t>redacted content</w:t>
            </w:r>
            <w:r w:rsidR="004B1EC1">
              <w:rPr>
                <w:iCs w:val="0"/>
                <w:vertAlign w:val="superscript"/>
              </w:rPr>
              <w:t>1</w:t>
            </w:r>
            <w:r w:rsidR="00023FAF" w:rsidRPr="00B82950">
              <w:rPr>
                <w:iCs w:val="0"/>
              </w:rPr>
              <w:t xml:space="preserve"> </w:t>
            </w:r>
          </w:p>
        </w:tc>
      </w:tr>
      <w:tr w:rsidR="004D59D4" w:rsidRPr="00B82950" w14:paraId="1ABEF7C7"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1C066EB5" w14:textId="77777777" w:rsidR="004D59D4" w:rsidRPr="00B82950" w:rsidRDefault="00023FAF" w:rsidP="009A2B84">
            <w:pPr>
              <w:pStyle w:val="TableText1"/>
              <w:rPr>
                <w:iCs w:val="0"/>
                <w:sz w:val="19"/>
                <w:szCs w:val="19"/>
              </w:rPr>
            </w:pPr>
            <w:r w:rsidRPr="00B82950">
              <w:rPr>
                <w:b/>
                <w:bCs w:val="0"/>
                <w:iCs w:val="0"/>
                <w:sz w:val="19"/>
                <w:szCs w:val="19"/>
              </w:rPr>
              <w:t>Cost to R/PBS (at published EMP = $510)</w:t>
            </w:r>
          </w:p>
        </w:tc>
        <w:tc>
          <w:tcPr>
            <w:tcW w:w="1149" w:type="dxa"/>
            <w:tcBorders>
              <w:top w:val="single" w:sz="4" w:space="0" w:color="000000"/>
              <w:left w:val="single" w:sz="4" w:space="0" w:color="000000"/>
              <w:bottom w:val="single" w:sz="4" w:space="0" w:color="000000"/>
              <w:right w:val="single" w:sz="4" w:space="0" w:color="000000"/>
            </w:tcBorders>
          </w:tcPr>
          <w:p w14:paraId="3DD1C5C9" w14:textId="5CFB7F20"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7</w:t>
            </w:r>
          </w:p>
        </w:tc>
        <w:tc>
          <w:tcPr>
            <w:tcW w:w="1151" w:type="dxa"/>
            <w:tcBorders>
              <w:top w:val="single" w:sz="4" w:space="0" w:color="000000"/>
              <w:left w:val="single" w:sz="4" w:space="0" w:color="000000"/>
              <w:bottom w:val="single" w:sz="4" w:space="0" w:color="000000"/>
              <w:right w:val="single" w:sz="4" w:space="0" w:color="000000"/>
            </w:tcBorders>
          </w:tcPr>
          <w:p w14:paraId="339D740E" w14:textId="01AEE755"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8</w:t>
            </w:r>
          </w:p>
        </w:tc>
        <w:tc>
          <w:tcPr>
            <w:tcW w:w="1150" w:type="dxa"/>
            <w:tcBorders>
              <w:top w:val="single" w:sz="4" w:space="0" w:color="000000"/>
              <w:left w:val="single" w:sz="4" w:space="0" w:color="000000"/>
              <w:bottom w:val="single" w:sz="4" w:space="0" w:color="000000"/>
              <w:right w:val="single" w:sz="4" w:space="0" w:color="000000"/>
            </w:tcBorders>
          </w:tcPr>
          <w:p w14:paraId="3A7A143A" w14:textId="0682FBFA"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8</w:t>
            </w:r>
          </w:p>
        </w:tc>
        <w:tc>
          <w:tcPr>
            <w:tcW w:w="1150" w:type="dxa"/>
            <w:tcBorders>
              <w:top w:val="single" w:sz="4" w:space="0" w:color="000000"/>
              <w:left w:val="single" w:sz="4" w:space="0" w:color="000000"/>
              <w:bottom w:val="single" w:sz="4" w:space="0" w:color="000000"/>
              <w:right w:val="single" w:sz="4" w:space="0" w:color="000000"/>
            </w:tcBorders>
          </w:tcPr>
          <w:p w14:paraId="7866D86C" w14:textId="048560D8"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8</w:t>
            </w:r>
          </w:p>
        </w:tc>
        <w:tc>
          <w:tcPr>
            <w:tcW w:w="1151" w:type="dxa"/>
            <w:tcBorders>
              <w:top w:val="single" w:sz="4" w:space="0" w:color="000000"/>
              <w:left w:val="single" w:sz="4" w:space="0" w:color="000000"/>
              <w:bottom w:val="single" w:sz="4" w:space="0" w:color="000000"/>
              <w:right w:val="single" w:sz="4" w:space="0" w:color="000000"/>
            </w:tcBorders>
          </w:tcPr>
          <w:p w14:paraId="1C89A1E5" w14:textId="508638E3"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8</w:t>
            </w:r>
          </w:p>
        </w:tc>
        <w:tc>
          <w:tcPr>
            <w:tcW w:w="1152" w:type="dxa"/>
            <w:tcBorders>
              <w:top w:val="single" w:sz="4" w:space="0" w:color="000000"/>
              <w:left w:val="single" w:sz="4" w:space="0" w:color="000000"/>
              <w:bottom w:val="single" w:sz="4" w:space="0" w:color="000000"/>
              <w:right w:val="single" w:sz="4" w:space="0" w:color="000000"/>
            </w:tcBorders>
          </w:tcPr>
          <w:p w14:paraId="67148F01" w14:textId="0868848A"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4B1EC1">
              <w:rPr>
                <w:b/>
                <w:bCs w:val="0"/>
                <w:iCs w:val="0"/>
                <w:vertAlign w:val="superscript"/>
              </w:rPr>
              <w:t>8</w:t>
            </w:r>
          </w:p>
        </w:tc>
      </w:tr>
      <w:tr w:rsidR="004D59D4" w:rsidRPr="00B82950" w14:paraId="048C59CD" w14:textId="77777777" w:rsidTr="008A3493">
        <w:tc>
          <w:tcPr>
            <w:tcW w:w="2123" w:type="dxa"/>
            <w:tcBorders>
              <w:top w:val="single" w:sz="4" w:space="0" w:color="000000"/>
              <w:left w:val="single" w:sz="4" w:space="0" w:color="000000"/>
              <w:bottom w:val="single" w:sz="4" w:space="0" w:color="000000"/>
              <w:right w:val="single" w:sz="4" w:space="0" w:color="000000"/>
            </w:tcBorders>
          </w:tcPr>
          <w:p w14:paraId="2B343BAD" w14:textId="118E07E8" w:rsidR="004D59D4" w:rsidRPr="008A3493" w:rsidRDefault="002615A2" w:rsidP="009A2B84">
            <w:pPr>
              <w:pStyle w:val="TableText1"/>
              <w:rPr>
                <w:rFonts w:ascii="Times" w:hAnsi="Times"/>
                <w:iCs w:val="0"/>
                <w:highlight w:val="darkGray"/>
              </w:rPr>
            </w:pPr>
            <w:r w:rsidRPr="002615A2">
              <w:rPr>
                <w:iCs w:val="0"/>
                <w:sz w:val="2"/>
                <w:highlight w:val="black"/>
              </w:rPr>
              <w:t>redacted content</w:t>
            </w:r>
            <w:r w:rsidR="00B92B3B" w:rsidRPr="00B92B3B">
              <w:rPr>
                <w:iCs w:val="0"/>
              </w:rPr>
              <w:t xml:space="preserve"> </w:t>
            </w:r>
            <w:r w:rsidRPr="002615A2">
              <w:rPr>
                <w:iCs w:val="0"/>
                <w:sz w:val="2"/>
                <w:highlight w:val="black"/>
              </w:rPr>
              <w:t>redacted content</w:t>
            </w:r>
            <w:r w:rsidR="00B92B3B" w:rsidRPr="00B92B3B">
              <w:rPr>
                <w:iCs w:val="0"/>
              </w:rPr>
              <w:t xml:space="preserve"> </w:t>
            </w:r>
            <w:r w:rsidRPr="002615A2">
              <w:rPr>
                <w:iCs w:val="0"/>
                <w:sz w:val="2"/>
                <w:highlight w:val="black"/>
              </w:rPr>
              <w:t>redacted content</w:t>
            </w:r>
            <w:r w:rsidR="00B92B3B" w:rsidRPr="00B92B3B">
              <w:rPr>
                <w:iCs w:val="0"/>
              </w:rPr>
              <w:t xml:space="preserve"> </w:t>
            </w:r>
            <w:r w:rsidRPr="002615A2">
              <w:rPr>
                <w:iCs w:val="0"/>
                <w:sz w:val="2"/>
                <w:highlight w:val="black"/>
              </w:rPr>
              <w:t>redacted content</w:t>
            </w:r>
          </w:p>
        </w:tc>
        <w:tc>
          <w:tcPr>
            <w:tcW w:w="1149" w:type="dxa"/>
            <w:tcBorders>
              <w:top w:val="single" w:sz="4" w:space="0" w:color="000000"/>
              <w:left w:val="single" w:sz="4" w:space="0" w:color="000000"/>
              <w:bottom w:val="single" w:sz="4" w:space="0" w:color="000000"/>
              <w:right w:val="single" w:sz="4" w:space="0" w:color="000000"/>
            </w:tcBorders>
          </w:tcPr>
          <w:p w14:paraId="0DE22009" w14:textId="65BD6741"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4B1EC1">
              <w:rPr>
                <w:iCs w:val="0"/>
                <w:vertAlign w:val="superscript"/>
              </w:rPr>
              <w:t>9</w:t>
            </w:r>
          </w:p>
        </w:tc>
        <w:tc>
          <w:tcPr>
            <w:tcW w:w="1151" w:type="dxa"/>
            <w:tcBorders>
              <w:top w:val="single" w:sz="4" w:space="0" w:color="000000"/>
              <w:left w:val="single" w:sz="4" w:space="0" w:color="000000"/>
              <w:bottom w:val="single" w:sz="4" w:space="0" w:color="000000"/>
              <w:right w:val="single" w:sz="4" w:space="0" w:color="000000"/>
            </w:tcBorders>
          </w:tcPr>
          <w:p w14:paraId="36F3B7FC" w14:textId="62184D47" w:rsidR="004D59D4" w:rsidRPr="00B15A38" w:rsidRDefault="00023FAF" w:rsidP="009A2B84">
            <w:pPr>
              <w:pStyle w:val="TableText1"/>
              <w:jc w:val="center"/>
              <w:rPr>
                <w:iCs w:val="0"/>
              </w:rPr>
            </w:pPr>
            <w:r w:rsidRPr="00B82950">
              <w:rPr>
                <w:iCs w:val="0"/>
              </w:rPr>
              <w:t>$</w:t>
            </w:r>
            <w:r w:rsidR="002615A2" w:rsidRPr="002615A2">
              <w:rPr>
                <w:iCs w:val="0"/>
                <w:sz w:val="2"/>
                <w:highlight w:val="black"/>
              </w:rPr>
              <w:t>redacted content</w:t>
            </w:r>
            <w:r w:rsidR="00B15A38" w:rsidRPr="008A3493">
              <w:rPr>
                <w:iCs w:val="0"/>
                <w:vertAlign w:val="superscript"/>
              </w:rPr>
              <w:t>7</w:t>
            </w:r>
          </w:p>
        </w:tc>
        <w:tc>
          <w:tcPr>
            <w:tcW w:w="1150" w:type="dxa"/>
            <w:tcBorders>
              <w:top w:val="single" w:sz="4" w:space="0" w:color="000000"/>
              <w:left w:val="single" w:sz="4" w:space="0" w:color="000000"/>
              <w:bottom w:val="single" w:sz="4" w:space="0" w:color="000000"/>
              <w:right w:val="single" w:sz="4" w:space="0" w:color="000000"/>
            </w:tcBorders>
          </w:tcPr>
          <w:p w14:paraId="3EE619A9" w14:textId="5A5F3D0C"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B15A38">
              <w:rPr>
                <w:iCs w:val="0"/>
                <w:vertAlign w:val="superscript"/>
              </w:rPr>
              <w:t>7</w:t>
            </w:r>
          </w:p>
        </w:tc>
        <w:tc>
          <w:tcPr>
            <w:tcW w:w="1150" w:type="dxa"/>
            <w:tcBorders>
              <w:top w:val="single" w:sz="4" w:space="0" w:color="000000"/>
              <w:left w:val="single" w:sz="4" w:space="0" w:color="000000"/>
              <w:bottom w:val="single" w:sz="4" w:space="0" w:color="000000"/>
              <w:right w:val="single" w:sz="4" w:space="0" w:color="000000"/>
            </w:tcBorders>
          </w:tcPr>
          <w:p w14:paraId="1C733D71" w14:textId="62DAD4B5"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B15A38">
              <w:rPr>
                <w:iCs w:val="0"/>
                <w:vertAlign w:val="superscript"/>
              </w:rPr>
              <w:t>7</w:t>
            </w:r>
          </w:p>
        </w:tc>
        <w:tc>
          <w:tcPr>
            <w:tcW w:w="1151" w:type="dxa"/>
            <w:tcBorders>
              <w:top w:val="single" w:sz="4" w:space="0" w:color="000000"/>
              <w:left w:val="single" w:sz="4" w:space="0" w:color="000000"/>
              <w:bottom w:val="single" w:sz="4" w:space="0" w:color="000000"/>
              <w:right w:val="single" w:sz="4" w:space="0" w:color="000000"/>
            </w:tcBorders>
          </w:tcPr>
          <w:p w14:paraId="0C08D1C0" w14:textId="431B3D8D"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B15A38">
              <w:rPr>
                <w:iCs w:val="0"/>
                <w:vertAlign w:val="superscript"/>
              </w:rPr>
              <w:t>7</w:t>
            </w:r>
          </w:p>
        </w:tc>
        <w:tc>
          <w:tcPr>
            <w:tcW w:w="1152" w:type="dxa"/>
            <w:tcBorders>
              <w:top w:val="single" w:sz="4" w:space="0" w:color="000000"/>
              <w:left w:val="single" w:sz="4" w:space="0" w:color="000000"/>
              <w:bottom w:val="single" w:sz="4" w:space="0" w:color="000000"/>
              <w:right w:val="single" w:sz="4" w:space="0" w:color="000000"/>
            </w:tcBorders>
          </w:tcPr>
          <w:p w14:paraId="496360FB" w14:textId="4FF306EF" w:rsidR="004D59D4" w:rsidRPr="008A3493" w:rsidRDefault="00023FAF" w:rsidP="009A2B84">
            <w:pPr>
              <w:pStyle w:val="TableText1"/>
              <w:jc w:val="center"/>
              <w:rPr>
                <w:iCs w:val="0"/>
                <w:vertAlign w:val="superscript"/>
              </w:rPr>
            </w:pPr>
            <w:r w:rsidRPr="00B82950">
              <w:rPr>
                <w:iCs w:val="0"/>
              </w:rPr>
              <w:t>$</w:t>
            </w:r>
            <w:r w:rsidR="002615A2" w:rsidRPr="002615A2">
              <w:rPr>
                <w:iCs w:val="0"/>
                <w:sz w:val="2"/>
                <w:highlight w:val="black"/>
              </w:rPr>
              <w:t>redacted content</w:t>
            </w:r>
            <w:r w:rsidR="00B15A38">
              <w:rPr>
                <w:iCs w:val="0"/>
                <w:vertAlign w:val="superscript"/>
              </w:rPr>
              <w:t>7</w:t>
            </w:r>
          </w:p>
        </w:tc>
      </w:tr>
      <w:tr w:rsidR="004D59D4" w:rsidRPr="00B82950" w14:paraId="3ADE9D16" w14:textId="77777777">
        <w:tc>
          <w:tcPr>
            <w:tcW w:w="2123" w:type="dxa"/>
            <w:tcBorders>
              <w:top w:val="single" w:sz="4" w:space="0" w:color="000000"/>
              <w:left w:val="single" w:sz="4" w:space="0" w:color="000000"/>
              <w:bottom w:val="single" w:sz="4" w:space="0" w:color="000000"/>
              <w:right w:val="single" w:sz="4" w:space="0" w:color="000000"/>
            </w:tcBorders>
          </w:tcPr>
          <w:p w14:paraId="175DAE12" w14:textId="7B2DA5CC" w:rsidR="004D59D4" w:rsidRPr="00B82950" w:rsidRDefault="00023FAF" w:rsidP="009A2B84">
            <w:pPr>
              <w:pStyle w:val="TableText1"/>
              <w:rPr>
                <w:iCs w:val="0"/>
                <w:sz w:val="19"/>
                <w:szCs w:val="19"/>
              </w:rPr>
            </w:pPr>
            <w:r w:rsidRPr="00B82950">
              <w:rPr>
                <w:b/>
                <w:bCs w:val="0"/>
                <w:iCs w:val="0"/>
              </w:rPr>
              <w:t xml:space="preserve">Net cost R/PBS </w:t>
            </w:r>
            <w:r w:rsidRPr="004E6A87">
              <w:rPr>
                <w:b/>
                <w:bCs w:val="0"/>
                <w:iCs w:val="0"/>
              </w:rPr>
              <w:t>(</w:t>
            </w:r>
            <w:r w:rsidR="002615A2" w:rsidRPr="002615A2">
              <w:rPr>
                <w:b/>
                <w:bCs w:val="0"/>
                <w:iCs w:val="0"/>
                <w:sz w:val="2"/>
                <w:highlight w:val="black"/>
              </w:rPr>
              <w:t>redacted content</w:t>
            </w:r>
            <w:r w:rsidR="00B92B3B" w:rsidRPr="00B92B3B">
              <w:rPr>
                <w:b/>
                <w:bCs w:val="0"/>
                <w:iCs w:val="0"/>
              </w:rPr>
              <w:t xml:space="preserve"> </w:t>
            </w:r>
            <w:r w:rsidR="002615A2" w:rsidRPr="002615A2">
              <w:rPr>
                <w:b/>
                <w:bCs w:val="0"/>
                <w:iCs w:val="0"/>
                <w:sz w:val="2"/>
                <w:highlight w:val="black"/>
              </w:rPr>
              <w:t>redacted content</w:t>
            </w:r>
            <w:r w:rsidR="00B92B3B" w:rsidRPr="00B92B3B">
              <w:rPr>
                <w:b/>
                <w:bCs w:val="0"/>
                <w:iCs w:val="0"/>
              </w:rPr>
              <w:t xml:space="preserve"> </w:t>
            </w:r>
            <w:r w:rsidR="002615A2" w:rsidRPr="002615A2">
              <w:rPr>
                <w:b/>
                <w:bCs w:val="0"/>
                <w:iCs w:val="0"/>
                <w:sz w:val="2"/>
                <w:highlight w:val="black"/>
              </w:rPr>
              <w:t>redacted content</w:t>
            </w:r>
            <w:r w:rsidR="00B92B3B" w:rsidRPr="00B92B3B">
              <w:rPr>
                <w:b/>
                <w:bCs w:val="0"/>
                <w:iCs w:val="0"/>
              </w:rPr>
              <w:t xml:space="preserve"> </w:t>
            </w:r>
            <w:r w:rsidR="002615A2" w:rsidRPr="002615A2">
              <w:rPr>
                <w:b/>
                <w:bCs w:val="0"/>
                <w:iCs w:val="0"/>
                <w:sz w:val="2"/>
                <w:highlight w:val="black"/>
              </w:rPr>
              <w:t>redacted content</w:t>
            </w:r>
            <w:r w:rsidRPr="004E6A87">
              <w:rPr>
                <w:b/>
                <w:bCs w:val="0"/>
                <w:iCs w:val="0"/>
              </w:rPr>
              <w:t xml:space="preserve"> cost of $</w:t>
            </w:r>
            <w:r w:rsidR="002615A2" w:rsidRPr="002615A2">
              <w:rPr>
                <w:b/>
                <w:bCs w:val="0"/>
                <w:iCs w:val="0"/>
                <w:sz w:val="2"/>
                <w:highlight w:val="black"/>
              </w:rPr>
              <w:t>redacted content</w:t>
            </w:r>
            <w:r w:rsidRPr="004E6A87">
              <w:rPr>
                <w:b/>
                <w:bCs w:val="0"/>
                <w:iCs w:val="0"/>
              </w:rPr>
              <w:t xml:space="preserve"> per </w:t>
            </w:r>
            <w:r w:rsidR="001437AB" w:rsidRPr="004E6A87">
              <w:rPr>
                <w:b/>
                <w:bCs w:val="0"/>
                <w:iCs w:val="0"/>
              </w:rPr>
              <w:t>syringe</w:t>
            </w:r>
            <w:r w:rsidRPr="004E6A87">
              <w:rPr>
                <w:b/>
                <w:bCs w:val="0"/>
                <w:iCs w:val="0"/>
              </w:rPr>
              <w:t>)</w:t>
            </w:r>
          </w:p>
        </w:tc>
        <w:tc>
          <w:tcPr>
            <w:tcW w:w="1149" w:type="dxa"/>
            <w:tcBorders>
              <w:top w:val="single" w:sz="4" w:space="0" w:color="000000"/>
              <w:left w:val="single" w:sz="4" w:space="0" w:color="000000"/>
              <w:bottom w:val="single" w:sz="4" w:space="0" w:color="000000"/>
              <w:right w:val="single" w:sz="4" w:space="0" w:color="000000"/>
            </w:tcBorders>
          </w:tcPr>
          <w:p w14:paraId="7FEB9C89" w14:textId="728EB06E"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8C1239">
              <w:rPr>
                <w:b/>
                <w:bCs w:val="0"/>
                <w:i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0CE13639" w14:textId="6D660D62"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8C1239">
              <w:rPr>
                <w:b/>
                <w:bCs w:val="0"/>
                <w:i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36E9E553" w14:textId="7B6CCC84" w:rsidR="004D59D4" w:rsidRPr="00B82950" w:rsidRDefault="00023FAF" w:rsidP="009A2B84">
            <w:pPr>
              <w:pStyle w:val="TableText1"/>
              <w:jc w:val="center"/>
              <w:rPr>
                <w:b/>
                <w:bCs w:val="0"/>
                <w:iCs w:val="0"/>
              </w:rPr>
            </w:pPr>
            <w:r w:rsidRPr="00B82950">
              <w:rPr>
                <w:b/>
                <w:bCs w:val="0"/>
                <w:iCs w:val="0"/>
              </w:rPr>
              <w:t>$</w:t>
            </w:r>
            <w:r w:rsidR="002615A2" w:rsidRPr="002615A2">
              <w:rPr>
                <w:b/>
                <w:bCs w:val="0"/>
                <w:iCs w:val="0"/>
                <w:sz w:val="2"/>
                <w:highlight w:val="black"/>
              </w:rPr>
              <w:t>redacted content</w:t>
            </w:r>
            <w:r w:rsidR="008C1239">
              <w:rPr>
                <w:b/>
                <w:bCs w:val="0"/>
                <w:i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460F78F8" w14:textId="3F6C4A0B" w:rsidR="004D59D4" w:rsidRPr="00B82950" w:rsidRDefault="00023FAF" w:rsidP="009A2B84">
            <w:pPr>
              <w:pStyle w:val="TableText1"/>
              <w:jc w:val="center"/>
              <w:rPr>
                <w:b/>
                <w:bCs w:val="0"/>
                <w:iCs w:val="0"/>
              </w:rPr>
            </w:pPr>
            <w:r w:rsidRPr="00B82950">
              <w:rPr>
                <w:b/>
                <w:bCs w:val="0"/>
                <w:iCs w:val="0"/>
              </w:rPr>
              <w:t>$</w:t>
            </w:r>
            <w:r w:rsidR="002615A2" w:rsidRPr="002615A2">
              <w:rPr>
                <w:b/>
                <w:bCs w:val="0"/>
                <w:iCs w:val="0"/>
                <w:sz w:val="2"/>
                <w:highlight w:val="black"/>
              </w:rPr>
              <w:t>redacted content</w:t>
            </w:r>
            <w:r w:rsidR="00A86A8C">
              <w:rPr>
                <w:b/>
                <w:bCs w:val="0"/>
                <w:i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5AA09770" w14:textId="0849DF11" w:rsidR="004D59D4" w:rsidRPr="00B82950" w:rsidRDefault="00023FAF" w:rsidP="009A2B84">
            <w:pPr>
              <w:pStyle w:val="TableText1"/>
              <w:jc w:val="center"/>
              <w:rPr>
                <w:b/>
                <w:bCs w:val="0"/>
                <w:iCs w:val="0"/>
              </w:rPr>
            </w:pPr>
            <w:r w:rsidRPr="00B82950">
              <w:rPr>
                <w:b/>
                <w:bCs w:val="0"/>
                <w:iCs w:val="0"/>
              </w:rPr>
              <w:t>$</w:t>
            </w:r>
            <w:r w:rsidR="002615A2" w:rsidRPr="002615A2">
              <w:rPr>
                <w:b/>
                <w:bCs w:val="0"/>
                <w:iCs w:val="0"/>
                <w:sz w:val="2"/>
                <w:highlight w:val="black"/>
              </w:rPr>
              <w:t>redacted content</w:t>
            </w:r>
            <w:r w:rsidR="00A86A8C">
              <w:rPr>
                <w:b/>
                <w:bCs w:val="0"/>
                <w:iCs w:val="0"/>
                <w:vertAlign w:val="superscript"/>
              </w:rPr>
              <w:t>10</w:t>
            </w:r>
          </w:p>
        </w:tc>
        <w:tc>
          <w:tcPr>
            <w:tcW w:w="1152" w:type="dxa"/>
            <w:tcBorders>
              <w:top w:val="single" w:sz="4" w:space="0" w:color="000000"/>
              <w:left w:val="single" w:sz="4" w:space="0" w:color="000000"/>
              <w:bottom w:val="single" w:sz="4" w:space="0" w:color="000000"/>
              <w:right w:val="single" w:sz="4" w:space="0" w:color="000000"/>
            </w:tcBorders>
          </w:tcPr>
          <w:p w14:paraId="5DDE7941" w14:textId="223F14BA" w:rsidR="004D59D4" w:rsidRPr="00B82950" w:rsidRDefault="00023FAF" w:rsidP="009A2B84">
            <w:pPr>
              <w:pStyle w:val="TableText1"/>
              <w:jc w:val="center"/>
              <w:rPr>
                <w:b/>
                <w:bCs w:val="0"/>
                <w:iCs w:val="0"/>
              </w:rPr>
            </w:pPr>
            <w:r w:rsidRPr="00B82950">
              <w:rPr>
                <w:b/>
                <w:bCs w:val="0"/>
                <w:iCs w:val="0"/>
              </w:rPr>
              <w:t>$</w:t>
            </w:r>
            <w:r w:rsidR="002615A2" w:rsidRPr="002615A2">
              <w:rPr>
                <w:b/>
                <w:bCs w:val="0"/>
                <w:iCs w:val="0"/>
                <w:sz w:val="2"/>
                <w:highlight w:val="black"/>
              </w:rPr>
              <w:t>redacted content</w:t>
            </w:r>
            <w:r w:rsidR="00A86A8C">
              <w:rPr>
                <w:b/>
                <w:bCs w:val="0"/>
                <w:iCs w:val="0"/>
                <w:vertAlign w:val="superscript"/>
              </w:rPr>
              <w:t>10</w:t>
            </w:r>
          </w:p>
        </w:tc>
      </w:tr>
      <w:tr w:rsidR="004D59D4" w:rsidRPr="00B82950" w14:paraId="3B664E22" w14:textId="77777777">
        <w:tc>
          <w:tcPr>
            <w:tcW w:w="2123" w:type="dxa"/>
            <w:tcBorders>
              <w:top w:val="single" w:sz="4" w:space="0" w:color="000000"/>
              <w:left w:val="single" w:sz="4" w:space="0" w:color="000000"/>
              <w:bottom w:val="single" w:sz="4" w:space="0" w:color="000000"/>
              <w:right w:val="single" w:sz="4" w:space="0" w:color="000000"/>
            </w:tcBorders>
          </w:tcPr>
          <w:p w14:paraId="093D331B" w14:textId="77777777" w:rsidR="004D59D4" w:rsidRPr="00B82950" w:rsidRDefault="00023FAF" w:rsidP="009A2B84">
            <w:pPr>
              <w:pStyle w:val="TableText1"/>
              <w:rPr>
                <w:iCs w:val="0"/>
                <w:sz w:val="19"/>
                <w:szCs w:val="19"/>
              </w:rPr>
            </w:pPr>
            <w:r w:rsidRPr="00B82950">
              <w:rPr>
                <w:iCs w:val="0"/>
              </w:rPr>
              <w:t>Net cost of affected medicines</w:t>
            </w:r>
          </w:p>
        </w:tc>
        <w:tc>
          <w:tcPr>
            <w:tcW w:w="1149" w:type="dxa"/>
            <w:tcBorders>
              <w:top w:val="single" w:sz="4" w:space="0" w:color="000000"/>
              <w:left w:val="single" w:sz="4" w:space="0" w:color="000000"/>
              <w:bottom w:val="single" w:sz="4" w:space="0" w:color="000000"/>
              <w:right w:val="single" w:sz="4" w:space="0" w:color="000000"/>
            </w:tcBorders>
          </w:tcPr>
          <w:p w14:paraId="0BDE4BAF" w14:textId="6224BF4B" w:rsidR="004D59D4" w:rsidRPr="00B82950" w:rsidRDefault="00023FAF" w:rsidP="009A2B84">
            <w:pPr>
              <w:pStyle w:val="TableText1"/>
              <w:jc w:val="center"/>
              <w:rPr>
                <w:rFonts w:cs="Calibri"/>
                <w:iCs w:val="0"/>
                <w:szCs w:val="20"/>
              </w:rPr>
            </w:pPr>
            <w:r w:rsidRPr="00B82950">
              <w:rPr>
                <w:iCs w:val="0"/>
              </w:rPr>
              <w:t>-$</w:t>
            </w:r>
            <w:r w:rsidR="002615A2" w:rsidRPr="002615A2">
              <w:rPr>
                <w:iCs w:val="0"/>
                <w:sz w:val="2"/>
                <w:highlight w:val="black"/>
              </w:rPr>
              <w:t>redacted content</w:t>
            </w:r>
            <w:r w:rsidR="00A86A8C">
              <w:rPr>
                <w:iCs w:val="0"/>
                <w:vertAlign w:val="superscript"/>
              </w:rPr>
              <w:t>11</w:t>
            </w:r>
          </w:p>
        </w:tc>
        <w:tc>
          <w:tcPr>
            <w:tcW w:w="1151" w:type="dxa"/>
            <w:tcBorders>
              <w:top w:val="single" w:sz="4" w:space="0" w:color="000000"/>
              <w:left w:val="single" w:sz="4" w:space="0" w:color="000000"/>
              <w:bottom w:val="single" w:sz="4" w:space="0" w:color="000000"/>
              <w:right w:val="single" w:sz="4" w:space="0" w:color="000000"/>
            </w:tcBorders>
          </w:tcPr>
          <w:p w14:paraId="6A0A26E1" w14:textId="3A9B2730" w:rsidR="004D59D4" w:rsidRPr="008A3493" w:rsidRDefault="00023FAF" w:rsidP="009A2B84">
            <w:pPr>
              <w:pStyle w:val="TableText1"/>
              <w:jc w:val="center"/>
              <w:rPr>
                <w:rFonts w:cs="Calibri"/>
                <w:iCs w:val="0"/>
                <w:szCs w:val="20"/>
                <w:vertAlign w:val="superscript"/>
              </w:rPr>
            </w:pPr>
            <w:r w:rsidRPr="00B82950">
              <w:rPr>
                <w:iCs w:val="0"/>
              </w:rPr>
              <w:t>-$</w:t>
            </w:r>
            <w:r w:rsidR="002615A2" w:rsidRPr="002615A2">
              <w:rPr>
                <w:iCs w:val="0"/>
                <w:sz w:val="2"/>
                <w:highlight w:val="black"/>
              </w:rPr>
              <w:t>redacted content</w:t>
            </w:r>
            <w:r w:rsidR="00A74A62">
              <w:rPr>
                <w:iCs w:val="0"/>
                <w:vertAlign w:val="superscript"/>
              </w:rPr>
              <w:t>9</w:t>
            </w:r>
          </w:p>
        </w:tc>
        <w:tc>
          <w:tcPr>
            <w:tcW w:w="1150" w:type="dxa"/>
            <w:tcBorders>
              <w:top w:val="single" w:sz="4" w:space="0" w:color="000000"/>
              <w:left w:val="single" w:sz="4" w:space="0" w:color="000000"/>
              <w:bottom w:val="single" w:sz="4" w:space="0" w:color="000000"/>
              <w:right w:val="single" w:sz="4" w:space="0" w:color="000000"/>
            </w:tcBorders>
          </w:tcPr>
          <w:p w14:paraId="22826952" w14:textId="0FF7DD80" w:rsidR="004D59D4" w:rsidRPr="008A3493" w:rsidRDefault="00023FAF" w:rsidP="009A2B84">
            <w:pPr>
              <w:pStyle w:val="TableText1"/>
              <w:jc w:val="center"/>
              <w:rPr>
                <w:rFonts w:cs="Calibri"/>
                <w:iCs w:val="0"/>
                <w:szCs w:val="20"/>
                <w:vertAlign w:val="superscript"/>
              </w:rPr>
            </w:pPr>
            <w:r w:rsidRPr="00B82950">
              <w:rPr>
                <w:iCs w:val="0"/>
              </w:rPr>
              <w:t>-$</w:t>
            </w:r>
            <w:r w:rsidR="002615A2" w:rsidRPr="002615A2">
              <w:rPr>
                <w:iCs w:val="0"/>
                <w:sz w:val="2"/>
                <w:highlight w:val="black"/>
              </w:rPr>
              <w:t>redacted content</w:t>
            </w:r>
            <w:r w:rsidR="00A74A62">
              <w:rPr>
                <w:iCs w:val="0"/>
                <w:vertAlign w:val="superscript"/>
              </w:rPr>
              <w:t>9</w:t>
            </w:r>
          </w:p>
        </w:tc>
        <w:tc>
          <w:tcPr>
            <w:tcW w:w="1150" w:type="dxa"/>
            <w:tcBorders>
              <w:top w:val="single" w:sz="4" w:space="0" w:color="000000"/>
              <w:left w:val="single" w:sz="4" w:space="0" w:color="000000"/>
              <w:bottom w:val="single" w:sz="4" w:space="0" w:color="000000"/>
              <w:right w:val="single" w:sz="4" w:space="0" w:color="000000"/>
            </w:tcBorders>
          </w:tcPr>
          <w:p w14:paraId="000F31A1" w14:textId="1B62D0F6" w:rsidR="004D59D4" w:rsidRPr="00B82950" w:rsidRDefault="00023FAF" w:rsidP="009A2B84">
            <w:pPr>
              <w:pStyle w:val="TableText1"/>
              <w:jc w:val="center"/>
              <w:rPr>
                <w:rFonts w:cs="Calibri"/>
                <w:iCs w:val="0"/>
                <w:szCs w:val="20"/>
              </w:rPr>
            </w:pPr>
            <w:r w:rsidRPr="00B82950">
              <w:rPr>
                <w:iCs w:val="0"/>
              </w:rPr>
              <w:t>-$</w:t>
            </w:r>
            <w:r w:rsidR="002615A2" w:rsidRPr="002615A2">
              <w:rPr>
                <w:iCs w:val="0"/>
                <w:sz w:val="2"/>
                <w:highlight w:val="black"/>
              </w:rPr>
              <w:t>redacted content</w:t>
            </w:r>
            <w:r w:rsidR="00A74A62">
              <w:rPr>
                <w:iCs w:val="0"/>
                <w:vertAlign w:val="superscript"/>
              </w:rPr>
              <w:t>9</w:t>
            </w:r>
          </w:p>
        </w:tc>
        <w:tc>
          <w:tcPr>
            <w:tcW w:w="1151" w:type="dxa"/>
            <w:tcBorders>
              <w:top w:val="single" w:sz="4" w:space="0" w:color="000000"/>
              <w:left w:val="single" w:sz="4" w:space="0" w:color="000000"/>
              <w:bottom w:val="single" w:sz="4" w:space="0" w:color="000000"/>
              <w:right w:val="single" w:sz="4" w:space="0" w:color="000000"/>
            </w:tcBorders>
          </w:tcPr>
          <w:p w14:paraId="61EFA1DD" w14:textId="7DC4B857" w:rsidR="004D59D4" w:rsidRPr="00B82950" w:rsidRDefault="00023FAF" w:rsidP="009A2B84">
            <w:pPr>
              <w:pStyle w:val="TableText1"/>
              <w:jc w:val="center"/>
              <w:rPr>
                <w:rFonts w:cs="Calibri"/>
                <w:iCs w:val="0"/>
                <w:szCs w:val="20"/>
              </w:rPr>
            </w:pPr>
            <w:r w:rsidRPr="00B82950">
              <w:rPr>
                <w:iCs w:val="0"/>
              </w:rPr>
              <w:t>-$</w:t>
            </w:r>
            <w:r w:rsidR="002615A2" w:rsidRPr="002615A2">
              <w:rPr>
                <w:iCs w:val="0"/>
                <w:sz w:val="2"/>
                <w:highlight w:val="black"/>
              </w:rPr>
              <w:t>redacted content</w:t>
            </w:r>
            <w:r w:rsidR="00A74A62">
              <w:rPr>
                <w:iCs w:val="0"/>
                <w:vertAlign w:val="superscript"/>
              </w:rPr>
              <w:t>9</w:t>
            </w:r>
          </w:p>
        </w:tc>
        <w:tc>
          <w:tcPr>
            <w:tcW w:w="1152" w:type="dxa"/>
            <w:tcBorders>
              <w:top w:val="single" w:sz="4" w:space="0" w:color="000000"/>
              <w:left w:val="single" w:sz="4" w:space="0" w:color="000000"/>
              <w:bottom w:val="single" w:sz="4" w:space="0" w:color="000000"/>
              <w:right w:val="single" w:sz="4" w:space="0" w:color="000000"/>
            </w:tcBorders>
          </w:tcPr>
          <w:p w14:paraId="412173DA" w14:textId="158B4535" w:rsidR="004D59D4" w:rsidRPr="00B82950" w:rsidRDefault="00023FAF" w:rsidP="009A2B84">
            <w:pPr>
              <w:pStyle w:val="TableText1"/>
              <w:jc w:val="center"/>
              <w:rPr>
                <w:rFonts w:cs="Calibri"/>
                <w:iCs w:val="0"/>
                <w:szCs w:val="20"/>
              </w:rPr>
            </w:pPr>
            <w:r w:rsidRPr="00B82950">
              <w:rPr>
                <w:iCs w:val="0"/>
              </w:rPr>
              <w:t>-$</w:t>
            </w:r>
            <w:r w:rsidR="002615A2" w:rsidRPr="002615A2">
              <w:rPr>
                <w:iCs w:val="0"/>
                <w:sz w:val="2"/>
                <w:highlight w:val="black"/>
              </w:rPr>
              <w:t>redacted content</w:t>
            </w:r>
            <w:r w:rsidR="00A74A62">
              <w:rPr>
                <w:iCs w:val="0"/>
                <w:vertAlign w:val="superscript"/>
              </w:rPr>
              <w:t>9</w:t>
            </w:r>
          </w:p>
        </w:tc>
      </w:tr>
      <w:tr w:rsidR="004D59D4" w:rsidRPr="00B82950" w14:paraId="49D2506C" w14:textId="77777777">
        <w:tc>
          <w:tcPr>
            <w:tcW w:w="2123" w:type="dxa"/>
            <w:tcBorders>
              <w:top w:val="single" w:sz="4" w:space="0" w:color="000000"/>
              <w:left w:val="single" w:sz="4" w:space="0" w:color="000000"/>
              <w:bottom w:val="single" w:sz="4" w:space="0" w:color="000000"/>
              <w:right w:val="single" w:sz="4" w:space="0" w:color="000000"/>
            </w:tcBorders>
          </w:tcPr>
          <w:p w14:paraId="5ED04352" w14:textId="77777777" w:rsidR="004D59D4" w:rsidRPr="00B82950" w:rsidRDefault="00023FAF" w:rsidP="009A2B84">
            <w:pPr>
              <w:pStyle w:val="TableText1"/>
              <w:rPr>
                <w:b/>
                <w:bCs w:val="0"/>
                <w:iCs w:val="0"/>
                <w:sz w:val="19"/>
                <w:szCs w:val="19"/>
              </w:rPr>
            </w:pPr>
            <w:r w:rsidRPr="00B82950">
              <w:rPr>
                <w:iCs w:val="0"/>
              </w:rPr>
              <w:t>Net cost to R/PBS</w:t>
            </w:r>
          </w:p>
        </w:tc>
        <w:tc>
          <w:tcPr>
            <w:tcW w:w="1149" w:type="dxa"/>
            <w:tcBorders>
              <w:top w:val="single" w:sz="4" w:space="0" w:color="000000"/>
              <w:left w:val="single" w:sz="4" w:space="0" w:color="000000"/>
              <w:bottom w:val="single" w:sz="4" w:space="0" w:color="000000"/>
              <w:right w:val="single" w:sz="4" w:space="0" w:color="000000"/>
            </w:tcBorders>
          </w:tcPr>
          <w:p w14:paraId="76B379E0" w14:textId="38DD5D85" w:rsidR="004D59D4" w:rsidRPr="008A3493" w:rsidRDefault="00023FAF" w:rsidP="009A2B84">
            <w:pPr>
              <w:pStyle w:val="TableText1"/>
              <w:jc w:val="center"/>
              <w:rPr>
                <w:rFonts w:cs="Calibri"/>
                <w:b/>
                <w:iCs w:val="0"/>
                <w:szCs w:val="20"/>
                <w:vertAlign w:val="superscript"/>
              </w:rPr>
            </w:pPr>
            <w:r w:rsidRPr="00B82950">
              <w:rPr>
                <w:b/>
                <w:bCs w:val="0"/>
                <w:iCs w:val="0"/>
              </w:rPr>
              <w:t>$</w:t>
            </w:r>
            <w:r w:rsidR="002615A2" w:rsidRPr="002615A2">
              <w:rPr>
                <w:b/>
                <w:bCs w:val="0"/>
                <w:iCs w:val="0"/>
                <w:sz w:val="2"/>
                <w:highlight w:val="black"/>
              </w:rPr>
              <w:t>redacted content</w:t>
            </w:r>
            <w:r w:rsidR="00A74A62">
              <w:rPr>
                <w:b/>
                <w:bCs w:val="0"/>
                <w:i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5E578574" w14:textId="4A89F88C" w:rsidR="004D59D4" w:rsidRPr="008A3493" w:rsidRDefault="00023FAF" w:rsidP="009A2B84">
            <w:pPr>
              <w:pStyle w:val="TableText1"/>
              <w:jc w:val="center"/>
              <w:rPr>
                <w:rFonts w:cs="Calibri"/>
                <w:b/>
                <w:iCs w:val="0"/>
                <w:szCs w:val="20"/>
                <w:vertAlign w:val="superscript"/>
              </w:rPr>
            </w:pPr>
            <w:r w:rsidRPr="00B82950">
              <w:rPr>
                <w:b/>
                <w:bCs w:val="0"/>
                <w:iCs w:val="0"/>
              </w:rPr>
              <w:t>$</w:t>
            </w:r>
            <w:r w:rsidR="002615A2" w:rsidRPr="002615A2">
              <w:rPr>
                <w:b/>
                <w:bCs w:val="0"/>
                <w:iCs w:val="0"/>
                <w:sz w:val="2"/>
                <w:highlight w:val="black"/>
              </w:rPr>
              <w:t>redacted content</w:t>
            </w:r>
            <w:r w:rsidR="00A74A62">
              <w:rPr>
                <w:b/>
                <w:bCs w:val="0"/>
                <w:iCs w:val="0"/>
                <w:vertAlign w:val="superscript"/>
              </w:rPr>
              <w:t>3</w:t>
            </w:r>
          </w:p>
        </w:tc>
        <w:tc>
          <w:tcPr>
            <w:tcW w:w="1150" w:type="dxa"/>
            <w:tcBorders>
              <w:top w:val="single" w:sz="4" w:space="0" w:color="000000"/>
              <w:left w:val="single" w:sz="4" w:space="0" w:color="000000"/>
              <w:bottom w:val="single" w:sz="4" w:space="0" w:color="000000"/>
              <w:right w:val="single" w:sz="4" w:space="0" w:color="000000"/>
            </w:tcBorders>
          </w:tcPr>
          <w:p w14:paraId="5EA78F60" w14:textId="670798AE" w:rsidR="004D59D4" w:rsidRPr="008A3493" w:rsidRDefault="00023FAF" w:rsidP="009A2B84">
            <w:pPr>
              <w:pStyle w:val="TableText1"/>
              <w:jc w:val="center"/>
              <w:rPr>
                <w:rFonts w:cs="Calibri"/>
                <w:b/>
                <w:iCs w:val="0"/>
                <w:szCs w:val="20"/>
                <w:vertAlign w:val="superscript"/>
              </w:rPr>
            </w:pPr>
            <w:r w:rsidRPr="00B82950">
              <w:rPr>
                <w:b/>
                <w:bCs w:val="0"/>
                <w:iCs w:val="0"/>
              </w:rPr>
              <w:t>$</w:t>
            </w:r>
            <w:r w:rsidR="002615A2" w:rsidRPr="002615A2">
              <w:rPr>
                <w:b/>
                <w:bCs w:val="0"/>
                <w:iCs w:val="0"/>
                <w:sz w:val="2"/>
                <w:highlight w:val="black"/>
              </w:rPr>
              <w:t>redacted content</w:t>
            </w:r>
            <w:r w:rsidR="00A74A62">
              <w:rPr>
                <w:b/>
                <w:bCs w:val="0"/>
                <w:iCs w:val="0"/>
                <w:vertAlign w:val="superscript"/>
              </w:rPr>
              <w:t>3</w:t>
            </w:r>
          </w:p>
        </w:tc>
        <w:tc>
          <w:tcPr>
            <w:tcW w:w="1150" w:type="dxa"/>
            <w:tcBorders>
              <w:top w:val="single" w:sz="4" w:space="0" w:color="000000"/>
              <w:left w:val="single" w:sz="4" w:space="0" w:color="000000"/>
              <w:bottom w:val="single" w:sz="4" w:space="0" w:color="000000"/>
              <w:right w:val="single" w:sz="4" w:space="0" w:color="000000"/>
            </w:tcBorders>
          </w:tcPr>
          <w:p w14:paraId="5D3446B7" w14:textId="29721FAB" w:rsidR="004D59D4" w:rsidRPr="008A3493" w:rsidRDefault="00023FAF" w:rsidP="009A2B84">
            <w:pPr>
              <w:pStyle w:val="TableText1"/>
              <w:jc w:val="center"/>
              <w:rPr>
                <w:rFonts w:cs="Calibri"/>
                <w:b/>
                <w:iCs w:val="0"/>
                <w:szCs w:val="20"/>
                <w:vertAlign w:val="superscript"/>
              </w:rPr>
            </w:pPr>
            <w:r w:rsidRPr="00B82950">
              <w:rPr>
                <w:b/>
                <w:bCs w:val="0"/>
                <w:iCs w:val="0"/>
              </w:rPr>
              <w:t>$</w:t>
            </w:r>
            <w:r w:rsidR="002615A2" w:rsidRPr="002615A2">
              <w:rPr>
                <w:b/>
                <w:bCs w:val="0"/>
                <w:iCs w:val="0"/>
                <w:sz w:val="2"/>
                <w:highlight w:val="black"/>
              </w:rPr>
              <w:t>redacted content</w:t>
            </w:r>
            <w:r w:rsidR="00A74A62">
              <w:rPr>
                <w:b/>
                <w:bCs w:val="0"/>
                <w:iCs w:val="0"/>
                <w:vertAlign w:val="superscript"/>
              </w:rPr>
              <w:t>3</w:t>
            </w:r>
          </w:p>
        </w:tc>
        <w:tc>
          <w:tcPr>
            <w:tcW w:w="1151" w:type="dxa"/>
            <w:tcBorders>
              <w:top w:val="single" w:sz="4" w:space="0" w:color="000000"/>
              <w:left w:val="single" w:sz="4" w:space="0" w:color="000000"/>
              <w:bottom w:val="single" w:sz="4" w:space="0" w:color="000000"/>
              <w:right w:val="single" w:sz="4" w:space="0" w:color="000000"/>
            </w:tcBorders>
          </w:tcPr>
          <w:p w14:paraId="3989C973" w14:textId="1A48BEEC" w:rsidR="004D59D4" w:rsidRPr="008A3493" w:rsidRDefault="00023FAF" w:rsidP="009A2B84">
            <w:pPr>
              <w:pStyle w:val="TableText1"/>
              <w:jc w:val="center"/>
              <w:rPr>
                <w:rFonts w:cs="Calibri"/>
                <w:b/>
                <w:iCs w:val="0"/>
                <w:szCs w:val="20"/>
                <w:vertAlign w:val="superscript"/>
              </w:rPr>
            </w:pPr>
            <w:r w:rsidRPr="00B82950">
              <w:rPr>
                <w:b/>
                <w:bCs w:val="0"/>
                <w:iCs w:val="0"/>
              </w:rPr>
              <w:t>$</w:t>
            </w:r>
            <w:r w:rsidR="002615A2" w:rsidRPr="002615A2">
              <w:rPr>
                <w:b/>
                <w:bCs w:val="0"/>
                <w:iCs w:val="0"/>
                <w:sz w:val="2"/>
                <w:highlight w:val="black"/>
              </w:rPr>
              <w:t>redacted content</w:t>
            </w:r>
            <w:r w:rsidR="00A74A62">
              <w:rPr>
                <w:b/>
                <w:bCs w:val="0"/>
                <w:iCs w:val="0"/>
                <w:vertAlign w:val="superscript"/>
              </w:rPr>
              <w:t>3</w:t>
            </w:r>
          </w:p>
        </w:tc>
        <w:tc>
          <w:tcPr>
            <w:tcW w:w="1152" w:type="dxa"/>
            <w:tcBorders>
              <w:top w:val="single" w:sz="4" w:space="0" w:color="000000"/>
              <w:left w:val="single" w:sz="4" w:space="0" w:color="000000"/>
              <w:bottom w:val="single" w:sz="4" w:space="0" w:color="000000"/>
              <w:right w:val="single" w:sz="4" w:space="0" w:color="000000"/>
            </w:tcBorders>
          </w:tcPr>
          <w:p w14:paraId="76021AFD" w14:textId="38AAB653" w:rsidR="004D59D4" w:rsidRPr="008A3493" w:rsidRDefault="00023FAF" w:rsidP="009A2B84">
            <w:pPr>
              <w:pStyle w:val="TableText1"/>
              <w:jc w:val="center"/>
              <w:rPr>
                <w:rFonts w:cs="Calibri"/>
                <w:b/>
                <w:iCs w:val="0"/>
                <w:szCs w:val="20"/>
                <w:vertAlign w:val="superscript"/>
              </w:rPr>
            </w:pPr>
            <w:r w:rsidRPr="00B82950">
              <w:rPr>
                <w:b/>
                <w:bCs w:val="0"/>
                <w:iCs w:val="0"/>
              </w:rPr>
              <w:t>$</w:t>
            </w:r>
            <w:r w:rsidR="002615A2" w:rsidRPr="002615A2">
              <w:rPr>
                <w:b/>
                <w:bCs w:val="0"/>
                <w:iCs w:val="0"/>
                <w:sz w:val="2"/>
                <w:highlight w:val="black"/>
              </w:rPr>
              <w:t>redacted content</w:t>
            </w:r>
            <w:r w:rsidR="00A74A62">
              <w:rPr>
                <w:b/>
                <w:bCs w:val="0"/>
                <w:iCs w:val="0"/>
                <w:vertAlign w:val="superscript"/>
              </w:rPr>
              <w:t>3</w:t>
            </w:r>
          </w:p>
        </w:tc>
      </w:tr>
      <w:tr w:rsidR="004D59D4" w:rsidRPr="00B82950" w14:paraId="52EC3A6D" w14:textId="77777777" w:rsidTr="008A3493">
        <w:tc>
          <w:tcPr>
            <w:tcW w:w="7874" w:type="dxa"/>
            <w:gridSpan w:val="6"/>
            <w:tcBorders>
              <w:top w:val="single" w:sz="4" w:space="0" w:color="000000"/>
              <w:left w:val="single" w:sz="4" w:space="0" w:color="000000"/>
              <w:bottom w:val="single" w:sz="4" w:space="0" w:color="000000"/>
              <w:right w:val="single" w:sz="4" w:space="0" w:color="000000"/>
            </w:tcBorders>
          </w:tcPr>
          <w:p w14:paraId="24642A75" w14:textId="3FEDDE4B" w:rsidR="004D59D4" w:rsidRPr="00B82950" w:rsidRDefault="002615A2" w:rsidP="009A2B84">
            <w:pPr>
              <w:pStyle w:val="TableText1"/>
              <w:rPr>
                <w:b/>
                <w:bCs w:val="0"/>
                <w:iCs w:val="0"/>
              </w:rPr>
            </w:pPr>
            <w:r w:rsidRPr="002615A2">
              <w:rPr>
                <w:iCs w:val="0"/>
                <w:sz w:val="2"/>
                <w:highlight w:val="black"/>
              </w:rPr>
              <w:t>redacted content</w:t>
            </w:r>
            <w:r w:rsidR="00B92B3B" w:rsidRPr="00B92B3B">
              <w:rPr>
                <w:iCs w:val="0"/>
              </w:rPr>
              <w:t xml:space="preserve"> </w:t>
            </w:r>
            <w:r w:rsidRPr="002615A2">
              <w:rPr>
                <w:iCs w:val="0"/>
                <w:sz w:val="2"/>
                <w:highlight w:val="black"/>
              </w:rPr>
              <w:t>redacted content</w:t>
            </w:r>
            <w:r w:rsidR="00B92B3B" w:rsidRPr="00B92B3B">
              <w:rPr>
                <w:iCs w:val="0"/>
              </w:rPr>
              <w:t xml:space="preserve"> </w:t>
            </w:r>
            <w:r w:rsidRPr="002615A2">
              <w:rPr>
                <w:iCs w:val="0"/>
                <w:sz w:val="2"/>
                <w:highlight w:val="black"/>
              </w:rPr>
              <w:t>redacted content</w:t>
            </w:r>
            <w:r w:rsidR="00B92B3B" w:rsidRPr="00B92B3B">
              <w:rPr>
                <w:iCs w:val="0"/>
              </w:rPr>
              <w:t xml:space="preserve"> </w:t>
            </w:r>
            <w:r w:rsidRPr="002615A2">
              <w:rPr>
                <w:iCs w:val="0"/>
                <w:sz w:val="2"/>
                <w:highlight w:val="black"/>
              </w:rPr>
              <w:t>redacted content</w:t>
            </w:r>
          </w:p>
        </w:tc>
        <w:tc>
          <w:tcPr>
            <w:tcW w:w="1152" w:type="dxa"/>
            <w:tcBorders>
              <w:top w:val="single" w:sz="4" w:space="0" w:color="000000"/>
              <w:left w:val="single" w:sz="4" w:space="0" w:color="000000"/>
              <w:bottom w:val="single" w:sz="4" w:space="0" w:color="000000"/>
              <w:right w:val="single" w:sz="4" w:space="0" w:color="000000"/>
            </w:tcBorders>
          </w:tcPr>
          <w:p w14:paraId="31BDA192" w14:textId="77ACFD9C" w:rsidR="004D59D4" w:rsidRPr="00B82950" w:rsidRDefault="00023FAF" w:rsidP="009A2B84">
            <w:pPr>
              <w:pStyle w:val="TableText1"/>
              <w:jc w:val="center"/>
              <w:rPr>
                <w:b/>
                <w:bCs w:val="0"/>
                <w:iCs w:val="0"/>
              </w:rPr>
            </w:pPr>
            <w:r w:rsidRPr="00B82950">
              <w:rPr>
                <w:b/>
                <w:bCs w:val="0"/>
                <w:iCs w:val="0"/>
              </w:rPr>
              <w:t>$</w:t>
            </w:r>
            <w:r w:rsidR="002615A2" w:rsidRPr="002615A2">
              <w:rPr>
                <w:b/>
                <w:bCs w:val="0"/>
                <w:iCs w:val="0"/>
                <w:sz w:val="2"/>
                <w:highlight w:val="black"/>
              </w:rPr>
              <w:t>redacted content</w:t>
            </w:r>
          </w:p>
        </w:tc>
      </w:tr>
      <w:tr w:rsidR="004D59D4" w:rsidRPr="00B82950" w14:paraId="11C699D2" w14:textId="77777777">
        <w:tc>
          <w:tcPr>
            <w:tcW w:w="9026" w:type="dxa"/>
            <w:gridSpan w:val="7"/>
            <w:tcBorders>
              <w:top w:val="single" w:sz="4" w:space="0" w:color="000000"/>
              <w:left w:val="single" w:sz="4" w:space="0" w:color="000000"/>
              <w:bottom w:val="single" w:sz="4" w:space="0" w:color="000000"/>
              <w:right w:val="single" w:sz="4" w:space="0" w:color="000000"/>
            </w:tcBorders>
            <w:vAlign w:val="center"/>
          </w:tcPr>
          <w:p w14:paraId="4B8A4003" w14:textId="4B330B4C" w:rsidR="004D59D4" w:rsidRPr="00B82950" w:rsidRDefault="00023FAF" w:rsidP="009A2B84">
            <w:pPr>
              <w:pStyle w:val="TableText1"/>
              <w:rPr>
                <w:b/>
                <w:bCs w:val="0"/>
                <w:iCs w:val="0"/>
              </w:rPr>
            </w:pPr>
            <w:r w:rsidRPr="00B82950">
              <w:rPr>
                <w:b/>
                <w:bCs w:val="0"/>
                <w:iCs w:val="0"/>
              </w:rPr>
              <w:t>Scenario C</w:t>
            </w:r>
            <w:r w:rsidRPr="001C5120">
              <w:rPr>
                <w:b/>
                <w:bCs w:val="0"/>
                <w:iCs w:val="0"/>
              </w:rPr>
              <w:t xml:space="preserve">: </w:t>
            </w:r>
            <w:r w:rsidR="002615A2" w:rsidRPr="002615A2">
              <w:rPr>
                <w:b/>
                <w:bCs w:val="0"/>
                <w:iCs w:val="0"/>
                <w:sz w:val="2"/>
                <w:highlight w:val="black"/>
              </w:rPr>
              <w:t>redacted content</w:t>
            </w:r>
            <w:r w:rsidRPr="001C5120">
              <w:rPr>
                <w:b/>
                <w:bCs w:val="0"/>
                <w:iCs w:val="0"/>
              </w:rPr>
              <w:t xml:space="preserve"> as proposed</w:t>
            </w:r>
            <w:r w:rsidRPr="00B82950">
              <w:rPr>
                <w:b/>
                <w:bCs w:val="0"/>
                <w:iCs w:val="0"/>
              </w:rPr>
              <w:t xml:space="preserve"> by sponsor [A] but expenditure as per July 2022 PBAC inputs [B] </w:t>
            </w:r>
          </w:p>
        </w:tc>
      </w:tr>
      <w:tr w:rsidR="004D59D4" w:rsidRPr="00B82950" w14:paraId="51FD7B33" w14:textId="77777777">
        <w:tc>
          <w:tcPr>
            <w:tcW w:w="2123" w:type="dxa"/>
            <w:tcBorders>
              <w:top w:val="single" w:sz="4" w:space="0" w:color="000000"/>
              <w:left w:val="single" w:sz="4" w:space="0" w:color="000000"/>
              <w:bottom w:val="single" w:sz="4" w:space="0" w:color="000000"/>
              <w:right w:val="single" w:sz="4" w:space="0" w:color="000000"/>
            </w:tcBorders>
          </w:tcPr>
          <w:p w14:paraId="0B07C1E4" w14:textId="77777777" w:rsidR="004D59D4" w:rsidRPr="00B82950" w:rsidRDefault="00023FAF" w:rsidP="009A2B84">
            <w:pPr>
              <w:pStyle w:val="TableText1"/>
              <w:rPr>
                <w:b/>
                <w:bCs w:val="0"/>
                <w:iCs w:val="0"/>
                <w:sz w:val="19"/>
                <w:szCs w:val="19"/>
              </w:rPr>
            </w:pPr>
            <w:r w:rsidRPr="00B82950">
              <w:rPr>
                <w:iCs w:val="0"/>
              </w:rPr>
              <w:t>Number of scripts dispensed [B]</w:t>
            </w:r>
          </w:p>
        </w:tc>
        <w:tc>
          <w:tcPr>
            <w:tcW w:w="1149" w:type="dxa"/>
            <w:tcBorders>
              <w:top w:val="single" w:sz="4" w:space="0" w:color="000000"/>
              <w:left w:val="single" w:sz="4" w:space="0" w:color="000000"/>
              <w:bottom w:val="single" w:sz="4" w:space="0" w:color="000000"/>
              <w:right w:val="single" w:sz="4" w:space="0" w:color="000000"/>
            </w:tcBorders>
          </w:tcPr>
          <w:p w14:paraId="43A60EEF" w14:textId="7D68DFB6" w:rsidR="004D59D4" w:rsidRPr="008A3493" w:rsidRDefault="002615A2" w:rsidP="009A2B84">
            <w:pPr>
              <w:pStyle w:val="TableText1"/>
              <w:jc w:val="center"/>
              <w:rPr>
                <w:b/>
                <w:bCs w:val="0"/>
                <w:iCs w:val="0"/>
                <w:highlight w:val="darkGray"/>
                <w:vertAlign w:val="superscript"/>
              </w:rPr>
            </w:pPr>
            <w:r w:rsidRPr="002615A2">
              <w:rPr>
                <w:iCs w:val="0"/>
                <w:sz w:val="2"/>
                <w:highlight w:val="black"/>
              </w:rPr>
              <w:t>redacted content</w:t>
            </w:r>
            <w:r w:rsidR="00A74A62" w:rsidRPr="008A3493">
              <w:rPr>
                <w:iCs w:val="0"/>
                <w:vertAlign w:val="superscript"/>
              </w:rPr>
              <w:t>1</w:t>
            </w:r>
            <w:r w:rsidR="00B92B3B" w:rsidRPr="00B92B3B">
              <w:rPr>
                <w:iCs w:val="0"/>
              </w:rPr>
              <w:t xml:space="preserve"> </w:t>
            </w:r>
          </w:p>
        </w:tc>
        <w:tc>
          <w:tcPr>
            <w:tcW w:w="1151" w:type="dxa"/>
            <w:tcBorders>
              <w:top w:val="single" w:sz="4" w:space="0" w:color="000000"/>
              <w:left w:val="single" w:sz="4" w:space="0" w:color="000000"/>
              <w:bottom w:val="single" w:sz="4" w:space="0" w:color="000000"/>
              <w:right w:val="single" w:sz="4" w:space="0" w:color="000000"/>
            </w:tcBorders>
          </w:tcPr>
          <w:p w14:paraId="5497CF20" w14:textId="35DCA895" w:rsidR="004D59D4" w:rsidRPr="008A3493" w:rsidRDefault="002615A2" w:rsidP="009A2B84">
            <w:pPr>
              <w:pStyle w:val="TableText1"/>
              <w:jc w:val="center"/>
              <w:rPr>
                <w:b/>
                <w:bCs w:val="0"/>
                <w:iCs w:val="0"/>
                <w:highlight w:val="darkGray"/>
              </w:rPr>
            </w:pPr>
            <w:r w:rsidRPr="002615A2">
              <w:rPr>
                <w:iCs w:val="0"/>
                <w:sz w:val="2"/>
                <w:highlight w:val="black"/>
              </w:rPr>
              <w:t>redacted content</w:t>
            </w:r>
            <w:r w:rsidR="002B613E" w:rsidRPr="008E3971">
              <w:rPr>
                <w:iCs w:val="0"/>
                <w:vertAlign w:val="superscript"/>
              </w:rPr>
              <w:t>1</w:t>
            </w:r>
          </w:p>
        </w:tc>
        <w:tc>
          <w:tcPr>
            <w:tcW w:w="1150" w:type="dxa"/>
            <w:tcBorders>
              <w:top w:val="single" w:sz="4" w:space="0" w:color="000000"/>
              <w:left w:val="single" w:sz="4" w:space="0" w:color="000000"/>
              <w:bottom w:val="single" w:sz="4" w:space="0" w:color="000000"/>
              <w:right w:val="single" w:sz="4" w:space="0" w:color="000000"/>
            </w:tcBorders>
          </w:tcPr>
          <w:p w14:paraId="5EF1D278" w14:textId="3B50CCDC" w:rsidR="004D59D4" w:rsidRPr="008A3493" w:rsidRDefault="002615A2" w:rsidP="009A2B84">
            <w:pPr>
              <w:pStyle w:val="TableText1"/>
              <w:jc w:val="center"/>
              <w:rPr>
                <w:b/>
                <w:bCs w:val="0"/>
                <w:iCs w:val="0"/>
                <w:highlight w:val="darkGray"/>
              </w:rPr>
            </w:pPr>
            <w:r w:rsidRPr="002615A2">
              <w:rPr>
                <w:iCs w:val="0"/>
                <w:sz w:val="2"/>
                <w:highlight w:val="black"/>
              </w:rPr>
              <w:t>redacted content</w:t>
            </w:r>
            <w:r w:rsidR="002B613E" w:rsidRPr="008E3971">
              <w:rPr>
                <w:iCs w:val="0"/>
                <w:vertAlign w:val="superscript"/>
              </w:rPr>
              <w:t>1</w:t>
            </w:r>
          </w:p>
        </w:tc>
        <w:tc>
          <w:tcPr>
            <w:tcW w:w="1150" w:type="dxa"/>
            <w:tcBorders>
              <w:top w:val="single" w:sz="4" w:space="0" w:color="000000"/>
              <w:left w:val="single" w:sz="4" w:space="0" w:color="000000"/>
              <w:bottom w:val="single" w:sz="4" w:space="0" w:color="000000"/>
              <w:right w:val="single" w:sz="4" w:space="0" w:color="000000"/>
            </w:tcBorders>
          </w:tcPr>
          <w:p w14:paraId="7E24293F" w14:textId="33997242" w:rsidR="004D59D4" w:rsidRPr="008A3493" w:rsidRDefault="002615A2" w:rsidP="009A2B84">
            <w:pPr>
              <w:pStyle w:val="TableText1"/>
              <w:jc w:val="center"/>
              <w:rPr>
                <w:b/>
                <w:bCs w:val="0"/>
                <w:iCs w:val="0"/>
                <w:highlight w:val="darkGray"/>
              </w:rPr>
            </w:pPr>
            <w:r w:rsidRPr="002615A2">
              <w:rPr>
                <w:iCs w:val="0"/>
                <w:sz w:val="2"/>
                <w:highlight w:val="black"/>
              </w:rPr>
              <w:t>redacted content</w:t>
            </w:r>
            <w:r w:rsidR="002B613E" w:rsidRPr="008E3971">
              <w:rPr>
                <w:iCs w:val="0"/>
                <w:vertAlign w:val="superscript"/>
              </w:rPr>
              <w:t>1</w:t>
            </w:r>
          </w:p>
        </w:tc>
        <w:tc>
          <w:tcPr>
            <w:tcW w:w="1151" w:type="dxa"/>
            <w:tcBorders>
              <w:top w:val="single" w:sz="4" w:space="0" w:color="000000"/>
              <w:left w:val="single" w:sz="4" w:space="0" w:color="000000"/>
              <w:bottom w:val="single" w:sz="4" w:space="0" w:color="000000"/>
              <w:right w:val="single" w:sz="4" w:space="0" w:color="000000"/>
            </w:tcBorders>
          </w:tcPr>
          <w:p w14:paraId="4C4F460E" w14:textId="28BA814C" w:rsidR="004D59D4" w:rsidRPr="008A3493" w:rsidRDefault="002615A2" w:rsidP="009A2B84">
            <w:pPr>
              <w:pStyle w:val="TableText1"/>
              <w:jc w:val="center"/>
              <w:rPr>
                <w:b/>
                <w:bCs w:val="0"/>
                <w:iCs w:val="0"/>
                <w:highlight w:val="darkGray"/>
              </w:rPr>
            </w:pPr>
            <w:r w:rsidRPr="002615A2">
              <w:rPr>
                <w:iCs w:val="0"/>
                <w:sz w:val="2"/>
                <w:highlight w:val="black"/>
              </w:rPr>
              <w:t>redacted content</w:t>
            </w:r>
            <w:r w:rsidR="002B613E" w:rsidRPr="008E3971">
              <w:rPr>
                <w:iCs w:val="0"/>
                <w:vertAlign w:val="superscript"/>
              </w:rPr>
              <w:t>1</w:t>
            </w:r>
          </w:p>
        </w:tc>
        <w:tc>
          <w:tcPr>
            <w:tcW w:w="1152" w:type="dxa"/>
            <w:tcBorders>
              <w:top w:val="single" w:sz="4" w:space="0" w:color="000000"/>
              <w:left w:val="single" w:sz="4" w:space="0" w:color="000000"/>
              <w:bottom w:val="single" w:sz="4" w:space="0" w:color="000000"/>
              <w:right w:val="single" w:sz="4" w:space="0" w:color="000000"/>
            </w:tcBorders>
          </w:tcPr>
          <w:p w14:paraId="183F5DC8" w14:textId="71767B32" w:rsidR="004D59D4" w:rsidRPr="008A3493" w:rsidRDefault="002615A2" w:rsidP="009A2B84">
            <w:pPr>
              <w:pStyle w:val="TableText1"/>
              <w:jc w:val="center"/>
              <w:rPr>
                <w:b/>
                <w:bCs w:val="0"/>
                <w:iCs w:val="0"/>
                <w:highlight w:val="darkGray"/>
              </w:rPr>
            </w:pPr>
            <w:r w:rsidRPr="002615A2">
              <w:rPr>
                <w:iCs w:val="0"/>
                <w:sz w:val="2"/>
                <w:highlight w:val="black"/>
              </w:rPr>
              <w:t>redacted content</w:t>
            </w:r>
            <w:r w:rsidR="002B613E" w:rsidRPr="008E3971">
              <w:rPr>
                <w:iCs w:val="0"/>
                <w:vertAlign w:val="superscript"/>
              </w:rPr>
              <w:t>1</w:t>
            </w:r>
          </w:p>
        </w:tc>
      </w:tr>
      <w:tr w:rsidR="004D59D4" w:rsidRPr="00B82950" w14:paraId="657CD46E" w14:textId="77777777">
        <w:tc>
          <w:tcPr>
            <w:tcW w:w="2123" w:type="dxa"/>
            <w:tcBorders>
              <w:top w:val="single" w:sz="4" w:space="0" w:color="000000"/>
              <w:left w:val="single" w:sz="4" w:space="0" w:color="000000"/>
              <w:bottom w:val="single" w:sz="4" w:space="0" w:color="000000"/>
              <w:right w:val="single" w:sz="4" w:space="0" w:color="000000"/>
            </w:tcBorders>
            <w:vAlign w:val="center"/>
          </w:tcPr>
          <w:p w14:paraId="046C408D" w14:textId="4553CDE1" w:rsidR="004D59D4" w:rsidRPr="00B82950" w:rsidRDefault="00023FAF" w:rsidP="009A2B84">
            <w:pPr>
              <w:pStyle w:val="TableText1"/>
              <w:rPr>
                <w:iCs w:val="0"/>
              </w:rPr>
            </w:pPr>
            <w:r w:rsidRPr="00B82950">
              <w:rPr>
                <w:b/>
                <w:bCs w:val="0"/>
                <w:iCs w:val="0"/>
                <w:sz w:val="19"/>
                <w:szCs w:val="19"/>
              </w:rPr>
              <w:t>Cost to R/PBS (at published EMP = $510)</w:t>
            </w:r>
            <w:r w:rsidR="00025AAC">
              <w:rPr>
                <w:b/>
                <w:bCs w:val="0"/>
                <w:iCs w:val="0"/>
                <w:sz w:val="19"/>
                <w:szCs w:val="19"/>
              </w:rPr>
              <w:t xml:space="preserve"> </w:t>
            </w:r>
            <w:r w:rsidRPr="00B82950">
              <w:rPr>
                <w:b/>
                <w:bCs w:val="0"/>
                <w:iCs w:val="0"/>
                <w:sz w:val="19"/>
                <w:szCs w:val="19"/>
              </w:rPr>
              <w:t>[B]</w:t>
            </w:r>
          </w:p>
        </w:tc>
        <w:tc>
          <w:tcPr>
            <w:tcW w:w="1149" w:type="dxa"/>
            <w:tcBorders>
              <w:top w:val="single" w:sz="4" w:space="0" w:color="000000"/>
              <w:left w:val="single" w:sz="4" w:space="0" w:color="000000"/>
              <w:bottom w:val="single" w:sz="4" w:space="0" w:color="000000"/>
              <w:right w:val="single" w:sz="4" w:space="0" w:color="000000"/>
            </w:tcBorders>
          </w:tcPr>
          <w:p w14:paraId="47F51FB6" w14:textId="4DE2DA3E"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A86A8C">
              <w:rPr>
                <w:b/>
                <w:bCs w:val="0"/>
                <w:iCs w:val="0"/>
                <w:vertAlign w:val="superscript"/>
              </w:rPr>
              <w:t>8</w:t>
            </w:r>
          </w:p>
        </w:tc>
        <w:tc>
          <w:tcPr>
            <w:tcW w:w="1151" w:type="dxa"/>
            <w:tcBorders>
              <w:top w:val="single" w:sz="4" w:space="0" w:color="000000"/>
              <w:left w:val="single" w:sz="4" w:space="0" w:color="000000"/>
              <w:bottom w:val="single" w:sz="4" w:space="0" w:color="000000"/>
              <w:right w:val="single" w:sz="4" w:space="0" w:color="000000"/>
            </w:tcBorders>
          </w:tcPr>
          <w:p w14:paraId="21CE75B1" w14:textId="04D79097"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A86A8C">
              <w:rPr>
                <w:b/>
                <w:bCs w:val="0"/>
                <w:iCs w:val="0"/>
                <w:vertAlign w:val="superscript"/>
              </w:rPr>
              <w:t>9</w:t>
            </w:r>
          </w:p>
        </w:tc>
        <w:tc>
          <w:tcPr>
            <w:tcW w:w="1150" w:type="dxa"/>
            <w:tcBorders>
              <w:top w:val="single" w:sz="4" w:space="0" w:color="000000"/>
              <w:left w:val="single" w:sz="4" w:space="0" w:color="000000"/>
              <w:bottom w:val="single" w:sz="4" w:space="0" w:color="000000"/>
              <w:right w:val="single" w:sz="4" w:space="0" w:color="000000"/>
            </w:tcBorders>
          </w:tcPr>
          <w:p w14:paraId="0885C259" w14:textId="15DD9ABD"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A86A8C">
              <w:rPr>
                <w:b/>
                <w:bCs w:val="0"/>
                <w:iCs w:val="0"/>
                <w:vertAlign w:val="superscript"/>
              </w:rPr>
              <w:t>9</w:t>
            </w:r>
          </w:p>
        </w:tc>
        <w:tc>
          <w:tcPr>
            <w:tcW w:w="1150" w:type="dxa"/>
            <w:tcBorders>
              <w:top w:val="single" w:sz="4" w:space="0" w:color="000000"/>
              <w:left w:val="single" w:sz="4" w:space="0" w:color="000000"/>
              <w:bottom w:val="single" w:sz="4" w:space="0" w:color="000000"/>
              <w:right w:val="single" w:sz="4" w:space="0" w:color="000000"/>
            </w:tcBorders>
          </w:tcPr>
          <w:p w14:paraId="0E7D88E8" w14:textId="3BFD4358"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A86A8C">
              <w:rPr>
                <w:b/>
                <w:bCs w:val="0"/>
                <w:iCs w:val="0"/>
                <w:vertAlign w:val="superscript"/>
              </w:rPr>
              <w:t>9</w:t>
            </w:r>
          </w:p>
        </w:tc>
        <w:tc>
          <w:tcPr>
            <w:tcW w:w="1151" w:type="dxa"/>
            <w:tcBorders>
              <w:top w:val="single" w:sz="4" w:space="0" w:color="000000"/>
              <w:left w:val="single" w:sz="4" w:space="0" w:color="000000"/>
              <w:bottom w:val="single" w:sz="4" w:space="0" w:color="000000"/>
              <w:right w:val="single" w:sz="4" w:space="0" w:color="000000"/>
            </w:tcBorders>
          </w:tcPr>
          <w:p w14:paraId="00F9E515" w14:textId="61228410"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A86A8C">
              <w:rPr>
                <w:b/>
                <w:bCs w:val="0"/>
                <w:iCs w:val="0"/>
                <w:vertAlign w:val="superscript"/>
              </w:rPr>
              <w:t>9</w:t>
            </w:r>
          </w:p>
        </w:tc>
        <w:tc>
          <w:tcPr>
            <w:tcW w:w="1152" w:type="dxa"/>
            <w:tcBorders>
              <w:top w:val="single" w:sz="4" w:space="0" w:color="000000"/>
              <w:left w:val="single" w:sz="4" w:space="0" w:color="000000"/>
              <w:bottom w:val="single" w:sz="4" w:space="0" w:color="000000"/>
              <w:right w:val="single" w:sz="4" w:space="0" w:color="000000"/>
            </w:tcBorders>
          </w:tcPr>
          <w:p w14:paraId="0DD5FDF8" w14:textId="6E46E2F5" w:rsidR="004D59D4" w:rsidRPr="008A3493" w:rsidRDefault="00023FAF" w:rsidP="009A2B84">
            <w:pPr>
              <w:pStyle w:val="TableText1"/>
              <w:jc w:val="center"/>
              <w:rPr>
                <w:b/>
                <w:bCs w:val="0"/>
                <w:iCs w:val="0"/>
                <w:vertAlign w:val="superscript"/>
              </w:rPr>
            </w:pPr>
            <w:r w:rsidRPr="00B82950">
              <w:rPr>
                <w:b/>
                <w:bCs w:val="0"/>
                <w:iCs w:val="0"/>
              </w:rPr>
              <w:t>$</w:t>
            </w:r>
            <w:r w:rsidR="002615A2" w:rsidRPr="002615A2">
              <w:rPr>
                <w:b/>
                <w:bCs w:val="0"/>
                <w:iCs w:val="0"/>
                <w:sz w:val="2"/>
                <w:highlight w:val="black"/>
              </w:rPr>
              <w:t>redacted content</w:t>
            </w:r>
            <w:r w:rsidR="00A86A8C">
              <w:rPr>
                <w:b/>
                <w:bCs w:val="0"/>
                <w:iCs w:val="0"/>
                <w:vertAlign w:val="superscript"/>
              </w:rPr>
              <w:t>9</w:t>
            </w:r>
          </w:p>
        </w:tc>
      </w:tr>
      <w:tr w:rsidR="004D59D4" w:rsidRPr="00B82950" w14:paraId="50842E12" w14:textId="77777777">
        <w:tc>
          <w:tcPr>
            <w:tcW w:w="2123" w:type="dxa"/>
            <w:tcBorders>
              <w:top w:val="single" w:sz="4" w:space="0" w:color="000000"/>
              <w:left w:val="single" w:sz="4" w:space="0" w:color="000000"/>
              <w:bottom w:val="single" w:sz="4" w:space="0" w:color="000000"/>
              <w:right w:val="single" w:sz="4" w:space="0" w:color="000000"/>
            </w:tcBorders>
          </w:tcPr>
          <w:p w14:paraId="00EE744B" w14:textId="77777777" w:rsidR="004D59D4" w:rsidRPr="00B82950" w:rsidRDefault="00023FAF" w:rsidP="009A2B84">
            <w:pPr>
              <w:pStyle w:val="TableText1"/>
              <w:rPr>
                <w:iCs w:val="0"/>
              </w:rPr>
            </w:pPr>
            <w:r w:rsidRPr="00B82950">
              <w:rPr>
                <w:iCs w:val="0"/>
              </w:rPr>
              <w:t>Net cost to R/</w:t>
            </w:r>
            <w:r w:rsidRPr="001C5120">
              <w:rPr>
                <w:iCs w:val="0"/>
              </w:rPr>
              <w:t>PBS (cap proposed by sponsor) [A</w:t>
            </w:r>
            <w:r w:rsidRPr="00B82950">
              <w:rPr>
                <w:iCs w:val="0"/>
              </w:rPr>
              <w:t>]</w:t>
            </w:r>
          </w:p>
        </w:tc>
        <w:tc>
          <w:tcPr>
            <w:tcW w:w="1149" w:type="dxa"/>
            <w:tcBorders>
              <w:top w:val="single" w:sz="4" w:space="0" w:color="000000"/>
              <w:left w:val="single" w:sz="4" w:space="0" w:color="000000"/>
              <w:bottom w:val="single" w:sz="4" w:space="0" w:color="000000"/>
              <w:right w:val="single" w:sz="4" w:space="0" w:color="000000"/>
            </w:tcBorders>
          </w:tcPr>
          <w:p w14:paraId="56F00177" w14:textId="65C9F042" w:rsidR="004D59D4" w:rsidRPr="008A3493" w:rsidRDefault="00023FAF" w:rsidP="009A2B84">
            <w:pPr>
              <w:pStyle w:val="TableText1"/>
              <w:jc w:val="center"/>
              <w:rPr>
                <w:b/>
                <w:bCs w:val="0"/>
                <w:iCs w:val="0"/>
                <w:vertAlign w:val="superscript"/>
              </w:rPr>
            </w:pPr>
            <w:r w:rsidRPr="00B82950">
              <w:rPr>
                <w:iCs w:val="0"/>
              </w:rPr>
              <w:t>$</w:t>
            </w:r>
            <w:r w:rsidR="002615A2" w:rsidRPr="002615A2">
              <w:rPr>
                <w:iCs w:val="0"/>
                <w:sz w:val="2"/>
                <w:highlight w:val="black"/>
              </w:rPr>
              <w:t>redacted content</w:t>
            </w:r>
            <w:r w:rsidR="00A86A8C">
              <w:rPr>
                <w:i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5075101E" w14:textId="6670831E"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A86A8C">
              <w:rPr>
                <w:i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35F824B1" w14:textId="4453E0A1"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A86A8C">
              <w:rPr>
                <w:i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0BA47352" w14:textId="24471810"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A86A8C">
              <w:rPr>
                <w:i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3EE8BC2C" w14:textId="12714068" w:rsidR="004D59D4" w:rsidRPr="008A3493" w:rsidRDefault="00023FAF" w:rsidP="009A2B84">
            <w:pPr>
              <w:pStyle w:val="TableText1"/>
              <w:jc w:val="center"/>
              <w:rPr>
                <w:b/>
                <w:bCs w:val="0"/>
                <w:iCs w:val="0"/>
                <w:vertAlign w:val="superscript"/>
              </w:rPr>
            </w:pPr>
            <w:r w:rsidRPr="00B82950">
              <w:rPr>
                <w:iCs w:val="0"/>
              </w:rPr>
              <w:t>$</w:t>
            </w:r>
            <w:r w:rsidR="002615A2" w:rsidRPr="002615A2">
              <w:rPr>
                <w:iCs w:val="0"/>
                <w:sz w:val="2"/>
                <w:highlight w:val="black"/>
              </w:rPr>
              <w:t>redacted content</w:t>
            </w:r>
            <w:r w:rsidR="00A86A8C">
              <w:rPr>
                <w:iCs w:val="0"/>
                <w:vertAlign w:val="superscript"/>
              </w:rPr>
              <w:t>12</w:t>
            </w:r>
          </w:p>
        </w:tc>
        <w:tc>
          <w:tcPr>
            <w:tcW w:w="1152" w:type="dxa"/>
            <w:tcBorders>
              <w:top w:val="single" w:sz="4" w:space="0" w:color="000000"/>
              <w:left w:val="single" w:sz="4" w:space="0" w:color="000000"/>
              <w:bottom w:val="single" w:sz="4" w:space="0" w:color="000000"/>
              <w:right w:val="single" w:sz="4" w:space="0" w:color="000000"/>
            </w:tcBorders>
          </w:tcPr>
          <w:p w14:paraId="0187C459" w14:textId="7D6FE561"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A86A8C">
              <w:rPr>
                <w:iCs w:val="0"/>
                <w:vertAlign w:val="superscript"/>
              </w:rPr>
              <w:t>12</w:t>
            </w:r>
          </w:p>
        </w:tc>
      </w:tr>
      <w:tr w:rsidR="004D59D4" w:rsidRPr="00B82950" w14:paraId="4685A1B2" w14:textId="77777777" w:rsidTr="008A3493">
        <w:tc>
          <w:tcPr>
            <w:tcW w:w="2123" w:type="dxa"/>
            <w:tcBorders>
              <w:top w:val="single" w:sz="4" w:space="0" w:color="000000"/>
              <w:left w:val="single" w:sz="4" w:space="0" w:color="000000"/>
              <w:bottom w:val="single" w:sz="4" w:space="0" w:color="000000"/>
              <w:right w:val="single" w:sz="4" w:space="0" w:color="000000"/>
            </w:tcBorders>
          </w:tcPr>
          <w:p w14:paraId="79E85B07" w14:textId="731E6D7D" w:rsidR="004D59D4" w:rsidRPr="00B82950" w:rsidRDefault="002615A2" w:rsidP="009A2B84">
            <w:pPr>
              <w:pStyle w:val="TableText1"/>
              <w:rPr>
                <w:iCs w:val="0"/>
              </w:rPr>
            </w:pPr>
            <w:r w:rsidRPr="002615A2">
              <w:rPr>
                <w:iCs w:val="0"/>
                <w:sz w:val="2"/>
                <w:highlight w:val="black"/>
              </w:rPr>
              <w:t>redacted content</w:t>
            </w:r>
            <w:r w:rsidR="00B92B3B" w:rsidRPr="00B92B3B">
              <w:rPr>
                <w:iCs w:val="0"/>
              </w:rPr>
              <w:t xml:space="preserve"> </w:t>
            </w:r>
            <w:r w:rsidRPr="002615A2">
              <w:rPr>
                <w:iCs w:val="0"/>
                <w:sz w:val="2"/>
                <w:highlight w:val="black"/>
              </w:rPr>
              <w:t>redacted content</w:t>
            </w:r>
            <w:r w:rsidR="00B92B3B" w:rsidRPr="00B92B3B">
              <w:rPr>
                <w:iCs w:val="0"/>
              </w:rPr>
              <w:t xml:space="preserve"> </w:t>
            </w:r>
            <w:r w:rsidRPr="002615A2">
              <w:rPr>
                <w:iCs w:val="0"/>
                <w:sz w:val="2"/>
                <w:highlight w:val="black"/>
              </w:rPr>
              <w:t>redacted content</w:t>
            </w:r>
            <w:r w:rsidR="00B92B3B" w:rsidRPr="00B92B3B">
              <w:rPr>
                <w:iCs w:val="0"/>
              </w:rPr>
              <w:t xml:space="preserve"> </w:t>
            </w:r>
            <w:r w:rsidRPr="002615A2">
              <w:rPr>
                <w:iCs w:val="0"/>
                <w:sz w:val="2"/>
                <w:highlight w:val="black"/>
              </w:rPr>
              <w:t>redacted content</w:t>
            </w:r>
          </w:p>
        </w:tc>
        <w:tc>
          <w:tcPr>
            <w:tcW w:w="1149" w:type="dxa"/>
            <w:tcBorders>
              <w:top w:val="single" w:sz="4" w:space="0" w:color="000000"/>
              <w:left w:val="single" w:sz="4" w:space="0" w:color="000000"/>
              <w:bottom w:val="single" w:sz="4" w:space="0" w:color="000000"/>
              <w:right w:val="single" w:sz="4" w:space="0" w:color="000000"/>
            </w:tcBorders>
          </w:tcPr>
          <w:p w14:paraId="61F915D3" w14:textId="54DE7E68"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12</w:t>
            </w:r>
          </w:p>
        </w:tc>
        <w:tc>
          <w:tcPr>
            <w:tcW w:w="1151" w:type="dxa"/>
            <w:tcBorders>
              <w:top w:val="single" w:sz="4" w:space="0" w:color="000000"/>
              <w:left w:val="single" w:sz="4" w:space="0" w:color="000000"/>
              <w:bottom w:val="single" w:sz="4" w:space="0" w:color="000000"/>
              <w:right w:val="single" w:sz="4" w:space="0" w:color="000000"/>
            </w:tcBorders>
          </w:tcPr>
          <w:p w14:paraId="2BC72A47" w14:textId="153F5FB6" w:rsidR="004D59D4" w:rsidRPr="008A3493" w:rsidRDefault="00023FAF" w:rsidP="009A2B84">
            <w:pPr>
              <w:pStyle w:val="TableText1"/>
              <w:jc w:val="center"/>
              <w:rPr>
                <w:b/>
                <w:bCs w:val="0"/>
                <w:iCs w:val="0"/>
                <w:vertAlign w:val="superscript"/>
              </w:rPr>
            </w:pPr>
            <w:r w:rsidRPr="00B82950">
              <w:rPr>
                <w:iCs w:val="0"/>
              </w:rPr>
              <w:t>$</w:t>
            </w:r>
            <w:r w:rsidR="002615A2" w:rsidRPr="002615A2">
              <w:rPr>
                <w:iCs w:val="0"/>
                <w:sz w:val="2"/>
                <w:highlight w:val="black"/>
              </w:rPr>
              <w:t>redacted content</w:t>
            </w:r>
            <w:r w:rsidR="007C16BB">
              <w:rPr>
                <w:iCs w:val="0"/>
                <w:vertAlign w:val="superscript"/>
              </w:rPr>
              <w:t>13</w:t>
            </w:r>
          </w:p>
        </w:tc>
        <w:tc>
          <w:tcPr>
            <w:tcW w:w="1150" w:type="dxa"/>
            <w:tcBorders>
              <w:top w:val="single" w:sz="4" w:space="0" w:color="000000"/>
              <w:left w:val="single" w:sz="4" w:space="0" w:color="000000"/>
              <w:bottom w:val="single" w:sz="4" w:space="0" w:color="000000"/>
              <w:right w:val="single" w:sz="4" w:space="0" w:color="000000"/>
            </w:tcBorders>
          </w:tcPr>
          <w:p w14:paraId="12ADAB7B" w14:textId="42D989FE"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13</w:t>
            </w:r>
          </w:p>
        </w:tc>
        <w:tc>
          <w:tcPr>
            <w:tcW w:w="1150" w:type="dxa"/>
            <w:tcBorders>
              <w:top w:val="single" w:sz="4" w:space="0" w:color="000000"/>
              <w:left w:val="single" w:sz="4" w:space="0" w:color="000000"/>
              <w:bottom w:val="single" w:sz="4" w:space="0" w:color="000000"/>
              <w:right w:val="single" w:sz="4" w:space="0" w:color="000000"/>
            </w:tcBorders>
          </w:tcPr>
          <w:p w14:paraId="2B983E50" w14:textId="573294BE"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13</w:t>
            </w:r>
          </w:p>
        </w:tc>
        <w:tc>
          <w:tcPr>
            <w:tcW w:w="1151" w:type="dxa"/>
            <w:tcBorders>
              <w:top w:val="single" w:sz="4" w:space="0" w:color="000000"/>
              <w:left w:val="single" w:sz="4" w:space="0" w:color="000000"/>
              <w:bottom w:val="single" w:sz="4" w:space="0" w:color="000000"/>
              <w:right w:val="single" w:sz="4" w:space="0" w:color="000000"/>
            </w:tcBorders>
          </w:tcPr>
          <w:p w14:paraId="0A9B587C" w14:textId="58704A43"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13</w:t>
            </w:r>
          </w:p>
        </w:tc>
        <w:tc>
          <w:tcPr>
            <w:tcW w:w="1152" w:type="dxa"/>
            <w:tcBorders>
              <w:top w:val="single" w:sz="4" w:space="0" w:color="000000"/>
              <w:left w:val="single" w:sz="4" w:space="0" w:color="000000"/>
              <w:bottom w:val="single" w:sz="4" w:space="0" w:color="000000"/>
              <w:right w:val="single" w:sz="4" w:space="0" w:color="000000"/>
            </w:tcBorders>
          </w:tcPr>
          <w:p w14:paraId="049E4339" w14:textId="66FCCDE1"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13</w:t>
            </w:r>
          </w:p>
        </w:tc>
      </w:tr>
      <w:tr w:rsidR="004D59D4" w:rsidRPr="00B82950" w14:paraId="777EFE96" w14:textId="77777777">
        <w:tc>
          <w:tcPr>
            <w:tcW w:w="2123" w:type="dxa"/>
            <w:tcBorders>
              <w:top w:val="single" w:sz="4" w:space="0" w:color="000000"/>
              <w:left w:val="single" w:sz="4" w:space="0" w:color="000000"/>
              <w:bottom w:val="single" w:sz="4" w:space="0" w:color="000000"/>
              <w:right w:val="single" w:sz="4" w:space="0" w:color="000000"/>
            </w:tcBorders>
          </w:tcPr>
          <w:p w14:paraId="0F990827" w14:textId="77777777" w:rsidR="004D59D4" w:rsidRPr="00B82950" w:rsidRDefault="00023FAF" w:rsidP="009A2B84">
            <w:pPr>
              <w:pStyle w:val="TableText1"/>
              <w:rPr>
                <w:iCs w:val="0"/>
              </w:rPr>
            </w:pPr>
            <w:r w:rsidRPr="00B82950">
              <w:rPr>
                <w:iCs w:val="0"/>
              </w:rPr>
              <w:t>Net cost of affected medicines</w:t>
            </w:r>
          </w:p>
        </w:tc>
        <w:tc>
          <w:tcPr>
            <w:tcW w:w="1149" w:type="dxa"/>
            <w:tcBorders>
              <w:top w:val="single" w:sz="4" w:space="0" w:color="000000"/>
              <w:left w:val="single" w:sz="4" w:space="0" w:color="000000"/>
              <w:bottom w:val="single" w:sz="4" w:space="0" w:color="000000"/>
              <w:right w:val="single" w:sz="4" w:space="0" w:color="000000"/>
            </w:tcBorders>
          </w:tcPr>
          <w:p w14:paraId="7CDA7583" w14:textId="591E8DC7" w:rsidR="004D59D4" w:rsidRPr="008A3493" w:rsidRDefault="00023FAF" w:rsidP="009A2B84">
            <w:pPr>
              <w:pStyle w:val="TableText1"/>
              <w:jc w:val="center"/>
              <w:rPr>
                <w:b/>
                <w:bCs w:val="0"/>
                <w:iCs w:val="0"/>
                <w:vertAlign w:val="superscript"/>
              </w:rPr>
            </w:pPr>
            <w:r w:rsidRPr="00B82950">
              <w:rPr>
                <w:iCs w:val="0"/>
              </w:rPr>
              <w:t>-$</w:t>
            </w:r>
            <w:r w:rsidR="002615A2" w:rsidRPr="002615A2">
              <w:rPr>
                <w:iCs w:val="0"/>
                <w:sz w:val="2"/>
                <w:highlight w:val="black"/>
              </w:rPr>
              <w:t>redacted content</w:t>
            </w:r>
            <w:r w:rsidR="007C16BB">
              <w:rPr>
                <w:iCs w:val="0"/>
                <w:vertAlign w:val="superscript"/>
              </w:rPr>
              <w:t>11</w:t>
            </w:r>
          </w:p>
        </w:tc>
        <w:tc>
          <w:tcPr>
            <w:tcW w:w="1151" w:type="dxa"/>
            <w:tcBorders>
              <w:top w:val="single" w:sz="4" w:space="0" w:color="000000"/>
              <w:left w:val="single" w:sz="4" w:space="0" w:color="000000"/>
              <w:bottom w:val="single" w:sz="4" w:space="0" w:color="000000"/>
              <w:right w:val="single" w:sz="4" w:space="0" w:color="000000"/>
            </w:tcBorders>
          </w:tcPr>
          <w:p w14:paraId="63DB2F61" w14:textId="0CFBAF51"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11</w:t>
            </w:r>
          </w:p>
        </w:tc>
        <w:tc>
          <w:tcPr>
            <w:tcW w:w="1150" w:type="dxa"/>
            <w:tcBorders>
              <w:top w:val="single" w:sz="4" w:space="0" w:color="000000"/>
              <w:left w:val="single" w:sz="4" w:space="0" w:color="000000"/>
              <w:bottom w:val="single" w:sz="4" w:space="0" w:color="000000"/>
              <w:right w:val="single" w:sz="4" w:space="0" w:color="000000"/>
            </w:tcBorders>
          </w:tcPr>
          <w:p w14:paraId="6AB581C4" w14:textId="33F129CD"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11</w:t>
            </w:r>
          </w:p>
        </w:tc>
        <w:tc>
          <w:tcPr>
            <w:tcW w:w="1150" w:type="dxa"/>
            <w:tcBorders>
              <w:top w:val="single" w:sz="4" w:space="0" w:color="000000"/>
              <w:left w:val="single" w:sz="4" w:space="0" w:color="000000"/>
              <w:bottom w:val="single" w:sz="4" w:space="0" w:color="000000"/>
              <w:right w:val="single" w:sz="4" w:space="0" w:color="000000"/>
            </w:tcBorders>
          </w:tcPr>
          <w:p w14:paraId="50401AC3" w14:textId="59F263DB"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11</w:t>
            </w:r>
          </w:p>
        </w:tc>
        <w:tc>
          <w:tcPr>
            <w:tcW w:w="1151" w:type="dxa"/>
            <w:tcBorders>
              <w:top w:val="single" w:sz="4" w:space="0" w:color="000000"/>
              <w:left w:val="single" w:sz="4" w:space="0" w:color="000000"/>
              <w:bottom w:val="single" w:sz="4" w:space="0" w:color="000000"/>
              <w:right w:val="single" w:sz="4" w:space="0" w:color="000000"/>
            </w:tcBorders>
          </w:tcPr>
          <w:p w14:paraId="464F8D85" w14:textId="356FC734"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11</w:t>
            </w:r>
          </w:p>
        </w:tc>
        <w:tc>
          <w:tcPr>
            <w:tcW w:w="1152" w:type="dxa"/>
            <w:tcBorders>
              <w:top w:val="single" w:sz="4" w:space="0" w:color="000000"/>
              <w:left w:val="single" w:sz="4" w:space="0" w:color="000000"/>
              <w:bottom w:val="single" w:sz="4" w:space="0" w:color="000000"/>
              <w:right w:val="single" w:sz="4" w:space="0" w:color="000000"/>
            </w:tcBorders>
          </w:tcPr>
          <w:p w14:paraId="74F5099F" w14:textId="76B15EF7"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11</w:t>
            </w:r>
          </w:p>
        </w:tc>
      </w:tr>
      <w:tr w:rsidR="004D59D4" w:rsidRPr="00B82950" w14:paraId="2F515F8C" w14:textId="77777777">
        <w:tc>
          <w:tcPr>
            <w:tcW w:w="2123" w:type="dxa"/>
            <w:tcBorders>
              <w:top w:val="single" w:sz="4" w:space="0" w:color="000000"/>
              <w:left w:val="single" w:sz="4" w:space="0" w:color="000000"/>
              <w:bottom w:val="single" w:sz="4" w:space="0" w:color="000000"/>
              <w:right w:val="single" w:sz="4" w:space="0" w:color="000000"/>
            </w:tcBorders>
          </w:tcPr>
          <w:p w14:paraId="5DF9BB00" w14:textId="77777777" w:rsidR="004D59D4" w:rsidRPr="00B82950" w:rsidRDefault="00023FAF" w:rsidP="009A2B84">
            <w:pPr>
              <w:pStyle w:val="TableText1"/>
              <w:rPr>
                <w:iCs w:val="0"/>
              </w:rPr>
            </w:pPr>
            <w:r w:rsidRPr="00B82950">
              <w:rPr>
                <w:iCs w:val="0"/>
              </w:rPr>
              <w:t>Net cost to R/PBS</w:t>
            </w:r>
          </w:p>
        </w:tc>
        <w:tc>
          <w:tcPr>
            <w:tcW w:w="1149" w:type="dxa"/>
            <w:tcBorders>
              <w:top w:val="single" w:sz="4" w:space="0" w:color="000000"/>
              <w:left w:val="single" w:sz="4" w:space="0" w:color="000000"/>
              <w:bottom w:val="single" w:sz="4" w:space="0" w:color="000000"/>
              <w:right w:val="single" w:sz="4" w:space="0" w:color="000000"/>
            </w:tcBorders>
          </w:tcPr>
          <w:p w14:paraId="5087C83D" w14:textId="2A8E3494" w:rsidR="004D59D4" w:rsidRPr="008A3493" w:rsidRDefault="00023FAF" w:rsidP="009A2B84">
            <w:pPr>
              <w:pStyle w:val="TableText1"/>
              <w:jc w:val="center"/>
              <w:rPr>
                <w:b/>
                <w:bCs w:val="0"/>
                <w:iCs w:val="0"/>
                <w:vertAlign w:val="superscript"/>
              </w:rPr>
            </w:pPr>
            <w:r w:rsidRPr="00B82950">
              <w:rPr>
                <w:iCs w:val="0"/>
              </w:rPr>
              <w:t>$</w:t>
            </w:r>
            <w:r w:rsidR="002615A2" w:rsidRPr="002615A2">
              <w:rPr>
                <w:iCs w:val="0"/>
                <w:sz w:val="2"/>
                <w:highlight w:val="black"/>
              </w:rPr>
              <w:t>redacted content</w:t>
            </w:r>
            <w:r w:rsidR="007C16BB">
              <w:rPr>
                <w:i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0419B2D1" w14:textId="59602898"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68EDA98E" w14:textId="464F2F32"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10</w:t>
            </w:r>
          </w:p>
        </w:tc>
        <w:tc>
          <w:tcPr>
            <w:tcW w:w="1150" w:type="dxa"/>
            <w:tcBorders>
              <w:top w:val="single" w:sz="4" w:space="0" w:color="000000"/>
              <w:left w:val="single" w:sz="4" w:space="0" w:color="000000"/>
              <w:bottom w:val="single" w:sz="4" w:space="0" w:color="000000"/>
              <w:right w:val="single" w:sz="4" w:space="0" w:color="000000"/>
            </w:tcBorders>
          </w:tcPr>
          <w:p w14:paraId="008E9E2E" w14:textId="2F630DED"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7C16BB">
              <w:rPr>
                <w:iCs w:val="0"/>
                <w:vertAlign w:val="superscript"/>
              </w:rPr>
              <w:t>10</w:t>
            </w:r>
          </w:p>
        </w:tc>
        <w:tc>
          <w:tcPr>
            <w:tcW w:w="1151" w:type="dxa"/>
            <w:tcBorders>
              <w:top w:val="single" w:sz="4" w:space="0" w:color="000000"/>
              <w:left w:val="single" w:sz="4" w:space="0" w:color="000000"/>
              <w:bottom w:val="single" w:sz="4" w:space="0" w:color="000000"/>
              <w:right w:val="single" w:sz="4" w:space="0" w:color="000000"/>
            </w:tcBorders>
          </w:tcPr>
          <w:p w14:paraId="7A570C45" w14:textId="31F1A6BB"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D244FB">
              <w:rPr>
                <w:iCs w:val="0"/>
                <w:vertAlign w:val="superscript"/>
              </w:rPr>
              <w:t>12</w:t>
            </w:r>
          </w:p>
        </w:tc>
        <w:tc>
          <w:tcPr>
            <w:tcW w:w="1152" w:type="dxa"/>
            <w:tcBorders>
              <w:top w:val="single" w:sz="4" w:space="0" w:color="000000"/>
              <w:left w:val="single" w:sz="4" w:space="0" w:color="000000"/>
              <w:bottom w:val="single" w:sz="4" w:space="0" w:color="000000"/>
              <w:right w:val="single" w:sz="4" w:space="0" w:color="000000"/>
            </w:tcBorders>
          </w:tcPr>
          <w:p w14:paraId="787EB0CB" w14:textId="01B77E7F" w:rsidR="004D59D4" w:rsidRPr="00B82950" w:rsidRDefault="00023FAF" w:rsidP="009A2B84">
            <w:pPr>
              <w:pStyle w:val="TableText1"/>
              <w:jc w:val="center"/>
              <w:rPr>
                <w:b/>
                <w:bCs w:val="0"/>
                <w:iCs w:val="0"/>
              </w:rPr>
            </w:pPr>
            <w:r w:rsidRPr="00B82950">
              <w:rPr>
                <w:iCs w:val="0"/>
              </w:rPr>
              <w:t>$</w:t>
            </w:r>
            <w:r w:rsidR="002615A2" w:rsidRPr="002615A2">
              <w:rPr>
                <w:iCs w:val="0"/>
                <w:sz w:val="2"/>
                <w:highlight w:val="black"/>
              </w:rPr>
              <w:t>redacted content</w:t>
            </w:r>
            <w:r w:rsidR="00D244FB">
              <w:rPr>
                <w:iCs w:val="0"/>
                <w:vertAlign w:val="superscript"/>
              </w:rPr>
              <w:t>12</w:t>
            </w:r>
          </w:p>
        </w:tc>
      </w:tr>
      <w:tr w:rsidR="004D59D4" w:rsidRPr="00B82950" w14:paraId="7F13D6FF" w14:textId="77777777" w:rsidTr="008A3493">
        <w:tc>
          <w:tcPr>
            <w:tcW w:w="2123" w:type="dxa"/>
            <w:tcBorders>
              <w:top w:val="single" w:sz="4" w:space="0" w:color="000000"/>
              <w:left w:val="single" w:sz="4" w:space="0" w:color="000000"/>
              <w:bottom w:val="single" w:sz="4" w:space="0" w:color="000000"/>
              <w:right w:val="single" w:sz="4" w:space="0" w:color="000000"/>
            </w:tcBorders>
          </w:tcPr>
          <w:p w14:paraId="5FCB44D1" w14:textId="7BE1B419" w:rsidR="004D59D4" w:rsidRPr="00B82950" w:rsidRDefault="002615A2" w:rsidP="009A2B84">
            <w:pPr>
              <w:pStyle w:val="TableText1"/>
              <w:rPr>
                <w:iCs w:val="0"/>
              </w:rPr>
            </w:pPr>
            <w:r w:rsidRPr="002615A2">
              <w:rPr>
                <w:iCs w:val="0"/>
                <w:sz w:val="2"/>
                <w:highlight w:val="black"/>
              </w:rPr>
              <w:t>redacted content</w:t>
            </w:r>
            <w:r w:rsidR="00023FAF" w:rsidRPr="00B82950">
              <w:rPr>
                <w:iCs w:val="0"/>
              </w:rPr>
              <w:t xml:space="preserve"> cost per </w:t>
            </w:r>
            <w:r w:rsidR="001437AB" w:rsidRPr="00B82950">
              <w:rPr>
                <w:iCs w:val="0"/>
              </w:rPr>
              <w:t>syringe</w:t>
            </w:r>
          </w:p>
        </w:tc>
        <w:tc>
          <w:tcPr>
            <w:tcW w:w="6903" w:type="dxa"/>
            <w:gridSpan w:val="6"/>
            <w:tcBorders>
              <w:top w:val="single" w:sz="4" w:space="0" w:color="000000"/>
              <w:left w:val="single" w:sz="4" w:space="0" w:color="000000"/>
              <w:bottom w:val="single" w:sz="4" w:space="0" w:color="000000"/>
              <w:right w:val="single" w:sz="4" w:space="0" w:color="000000"/>
            </w:tcBorders>
          </w:tcPr>
          <w:p w14:paraId="141BE04B" w14:textId="3249D654" w:rsidR="004D59D4" w:rsidRPr="00B82950" w:rsidRDefault="00023FAF" w:rsidP="009A2B84">
            <w:pPr>
              <w:pStyle w:val="TableText1"/>
              <w:jc w:val="center"/>
              <w:rPr>
                <w:iCs w:val="0"/>
              </w:rPr>
            </w:pPr>
            <w:r w:rsidRPr="00B82950">
              <w:rPr>
                <w:iCs w:val="0"/>
              </w:rPr>
              <w:t>$</w:t>
            </w:r>
            <w:r w:rsidR="002615A2" w:rsidRPr="002615A2">
              <w:rPr>
                <w:iCs w:val="0"/>
                <w:sz w:val="2"/>
                <w:highlight w:val="black"/>
              </w:rPr>
              <w:t>redacted content</w:t>
            </w:r>
            <w:r w:rsidRPr="00B82950">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Pr="00B82950">
              <w:rPr>
                <w:iCs w:val="0"/>
              </w:rPr>
              <w:t xml:space="preserve"> (</w:t>
            </w:r>
            <w:r w:rsidRPr="00B82950">
              <w:rPr>
                <w:rFonts w:cstheme="minorHAnsi"/>
                <w:iCs w:val="0"/>
              </w:rPr>
              <w:t>ICER of $</w:t>
            </w:r>
            <w:r w:rsidR="002615A2" w:rsidRPr="002615A2">
              <w:rPr>
                <w:rFonts w:cstheme="minorHAnsi"/>
                <w:iCs w:val="0"/>
                <w:sz w:val="2"/>
                <w:highlight w:val="black"/>
              </w:rPr>
              <w:t>redacted content</w:t>
            </w:r>
            <w:r w:rsidR="004C2F74">
              <w:rPr>
                <w:rFonts w:cstheme="minorHAnsi"/>
                <w:iCs w:val="0"/>
                <w:vertAlign w:val="superscript"/>
              </w:rPr>
              <w:t>10</w:t>
            </w:r>
            <w:r w:rsidRPr="00B82950">
              <w:rPr>
                <w:rFonts w:cstheme="minorHAnsi"/>
                <w:iCs w:val="0"/>
              </w:rPr>
              <w:t>/ QALY)</w:t>
            </w:r>
          </w:p>
          <w:p w14:paraId="0C7852F9" w14:textId="63E88089" w:rsidR="004D59D4" w:rsidRPr="00B82950" w:rsidRDefault="00023FAF" w:rsidP="009A2B84">
            <w:pPr>
              <w:pStyle w:val="TableText1"/>
              <w:jc w:val="center"/>
              <w:rPr>
                <w:iCs w:val="0"/>
              </w:rPr>
            </w:pPr>
            <w:r w:rsidRPr="00B82950">
              <w:rPr>
                <w:iCs w:val="0"/>
              </w:rPr>
              <w:t>$</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r w:rsidR="00B92B3B" w:rsidRPr="00B92B3B">
              <w:rPr>
                <w:iCs w:val="0"/>
              </w:rPr>
              <w:t xml:space="preserve"> </w:t>
            </w:r>
            <w:r w:rsidR="002615A2" w:rsidRPr="002615A2">
              <w:rPr>
                <w:iCs w:val="0"/>
                <w:sz w:val="2"/>
                <w:highlight w:val="black"/>
              </w:rPr>
              <w:t>redacted content</w:t>
            </w:r>
          </w:p>
        </w:tc>
      </w:tr>
    </w:tbl>
    <w:p w14:paraId="372BEBD9" w14:textId="77777777" w:rsidR="004D59D4" w:rsidRPr="00B82950" w:rsidRDefault="00023FAF" w:rsidP="009A2B84">
      <w:pPr>
        <w:pStyle w:val="TableFigureFooter"/>
        <w:keepNext/>
        <w:jc w:val="both"/>
        <w:rPr>
          <w:iCs w:val="0"/>
        </w:rPr>
      </w:pPr>
      <w:r w:rsidRPr="00B82950">
        <w:rPr>
          <w:iCs w:val="0"/>
        </w:rPr>
        <w:t>Source: Prepared during preparation of the ESC Advice</w:t>
      </w:r>
    </w:p>
    <w:p w14:paraId="245FCA1E" w14:textId="743959BD" w:rsidR="00912582" w:rsidRPr="008A3493" w:rsidRDefault="00023FAF" w:rsidP="009A2B84">
      <w:pPr>
        <w:pStyle w:val="TableFigureFooter"/>
        <w:keepNext/>
        <w:rPr>
          <w:i/>
        </w:rPr>
      </w:pPr>
      <w:r w:rsidRPr="00B82950">
        <w:rPr>
          <w:iCs w:val="0"/>
        </w:rPr>
        <w:t>RSA = Risk Sharing Arrangement</w:t>
      </w:r>
      <w:r w:rsidR="00A23549">
        <w:rPr>
          <w:iCs w:val="0"/>
        </w:rPr>
        <w:br/>
      </w:r>
      <w:r w:rsidR="00D03364">
        <w:rPr>
          <w:i/>
        </w:rPr>
        <w:t>The redacted values correspond to the following ranges:</w:t>
      </w:r>
      <w:r w:rsidR="00D03364">
        <w:rPr>
          <w:i/>
        </w:rPr>
        <w:br/>
      </w:r>
      <w:r w:rsidR="00D03364">
        <w:rPr>
          <w:i/>
          <w:vertAlign w:val="superscript"/>
        </w:rPr>
        <w:t>1</w:t>
      </w:r>
      <w:r w:rsidR="00D03364">
        <w:rPr>
          <w:i/>
        </w:rPr>
        <w:t xml:space="preserve"> 50 to &lt; 500</w:t>
      </w:r>
      <w:r w:rsidR="00D03364">
        <w:rPr>
          <w:i/>
        </w:rPr>
        <w:br/>
      </w:r>
      <w:r w:rsidR="00D03364">
        <w:rPr>
          <w:i/>
          <w:vertAlign w:val="superscript"/>
        </w:rPr>
        <w:t>2</w:t>
      </w:r>
      <w:r w:rsidR="00D03364">
        <w:rPr>
          <w:i/>
        </w:rPr>
        <w:t xml:space="preserve"> </w:t>
      </w:r>
      <w:r w:rsidR="001538C2">
        <w:rPr>
          <w:i/>
        </w:rPr>
        <w:t>5,000 to &lt; 10,000</w:t>
      </w:r>
      <w:r w:rsidR="001538C2">
        <w:rPr>
          <w:i/>
        </w:rPr>
        <w:br/>
      </w:r>
      <w:r w:rsidR="001538C2">
        <w:rPr>
          <w:i/>
          <w:vertAlign w:val="superscript"/>
        </w:rPr>
        <w:t>3</w:t>
      </w:r>
      <w:r w:rsidR="001538C2">
        <w:rPr>
          <w:i/>
        </w:rPr>
        <w:t xml:space="preserve"> 500 to &lt; 5,000</w:t>
      </w:r>
      <w:r w:rsidR="001538C2">
        <w:rPr>
          <w:i/>
        </w:rPr>
        <w:br/>
      </w:r>
      <w:r w:rsidR="00912582" w:rsidRPr="00E876D2">
        <w:rPr>
          <w:i/>
          <w:vertAlign w:val="superscript"/>
        </w:rPr>
        <w:t>4</w:t>
      </w:r>
      <w:r w:rsidR="00912582" w:rsidRPr="00E876D2">
        <w:rPr>
          <w:i/>
        </w:rPr>
        <w:t xml:space="preserve"> $60 million to &lt; $70 million</w:t>
      </w:r>
      <w:r w:rsidR="00912582" w:rsidRPr="00E876D2">
        <w:rPr>
          <w:i/>
        </w:rPr>
        <w:br/>
      </w:r>
      <w:r w:rsidR="00912582" w:rsidRPr="00E876D2">
        <w:rPr>
          <w:i/>
          <w:vertAlign w:val="superscript"/>
        </w:rPr>
        <w:t>5</w:t>
      </w:r>
      <w:r w:rsidR="00912582" w:rsidRPr="00E876D2">
        <w:rPr>
          <w:i/>
        </w:rPr>
        <w:t xml:space="preserve"> $70 million to &lt; $80 million</w:t>
      </w:r>
      <w:r w:rsidR="00912582" w:rsidRPr="00E876D2">
        <w:rPr>
          <w:i/>
        </w:rPr>
        <w:br/>
      </w:r>
      <w:r w:rsidR="00912582" w:rsidRPr="00E876D2">
        <w:rPr>
          <w:i/>
          <w:vertAlign w:val="superscript"/>
        </w:rPr>
        <w:t>6</w:t>
      </w:r>
      <w:r w:rsidR="00912582" w:rsidRPr="00E876D2">
        <w:rPr>
          <w:i/>
        </w:rPr>
        <w:t xml:space="preserve"> $80 million to &lt; $90 million</w:t>
      </w:r>
      <w:r w:rsidR="00912582" w:rsidRPr="00E876D2">
        <w:rPr>
          <w:i/>
        </w:rPr>
        <w:br/>
      </w:r>
      <w:r w:rsidR="00912582" w:rsidRPr="00E876D2">
        <w:rPr>
          <w:i/>
          <w:vertAlign w:val="superscript"/>
        </w:rPr>
        <w:t>7</w:t>
      </w:r>
      <w:r w:rsidR="00912582" w:rsidRPr="00E876D2">
        <w:rPr>
          <w:i/>
        </w:rPr>
        <w:t xml:space="preserve"> $90 million to &lt; $100 million</w:t>
      </w:r>
      <w:r w:rsidR="00912582" w:rsidRPr="00E876D2">
        <w:rPr>
          <w:i/>
        </w:rPr>
        <w:br/>
      </w:r>
      <w:r w:rsidR="00912582" w:rsidRPr="00E876D2">
        <w:rPr>
          <w:i/>
          <w:vertAlign w:val="superscript"/>
        </w:rPr>
        <w:t>8</w:t>
      </w:r>
      <w:r w:rsidR="00912582" w:rsidRPr="00E876D2">
        <w:rPr>
          <w:i/>
        </w:rPr>
        <w:t xml:space="preserve"> $40 million to &lt; $50 million</w:t>
      </w:r>
      <w:r w:rsidR="00912582" w:rsidRPr="00E876D2">
        <w:rPr>
          <w:i/>
        </w:rPr>
        <w:br/>
      </w:r>
      <w:r w:rsidR="00912582" w:rsidRPr="00E876D2">
        <w:rPr>
          <w:i/>
          <w:vertAlign w:val="superscript"/>
        </w:rPr>
        <w:t>9</w:t>
      </w:r>
      <w:r w:rsidR="00912582" w:rsidRPr="00E876D2">
        <w:rPr>
          <w:i/>
        </w:rPr>
        <w:t xml:space="preserve"> $50 million to &lt; $60 million</w:t>
      </w:r>
      <w:r w:rsidR="00775E1F" w:rsidRPr="00E876D2">
        <w:rPr>
          <w:i/>
        </w:rPr>
        <w:br/>
      </w:r>
      <w:r w:rsidR="00775E1F" w:rsidRPr="00E876D2">
        <w:rPr>
          <w:i/>
          <w:vertAlign w:val="superscript"/>
        </w:rPr>
        <w:t>10</w:t>
      </w:r>
      <w:r w:rsidR="00775E1F" w:rsidRPr="00E876D2">
        <w:rPr>
          <w:i/>
        </w:rPr>
        <w:t xml:space="preserve"> $10 million to &lt; $20 million</w:t>
      </w:r>
      <w:r w:rsidR="00775E1F" w:rsidRPr="00E876D2">
        <w:rPr>
          <w:i/>
        </w:rPr>
        <w:br/>
      </w:r>
      <w:r w:rsidR="00A86A8C" w:rsidRPr="008A3493">
        <w:rPr>
          <w:i/>
          <w:vertAlign w:val="superscript"/>
        </w:rPr>
        <w:t>11</w:t>
      </w:r>
      <w:r w:rsidR="00A86A8C" w:rsidRPr="00E876D2">
        <w:rPr>
          <w:i/>
          <w:vertAlign w:val="superscript"/>
        </w:rPr>
        <w:t xml:space="preserve"> </w:t>
      </w:r>
      <w:r w:rsidR="00A86A8C" w:rsidRPr="00E876D2">
        <w:rPr>
          <w:i/>
        </w:rPr>
        <w:t>net cost saving</w:t>
      </w:r>
      <w:r w:rsidR="00A86A8C" w:rsidRPr="00E876D2">
        <w:rPr>
          <w:i/>
        </w:rPr>
        <w:br/>
      </w:r>
      <w:r w:rsidR="007C16BB" w:rsidRPr="00E876D2">
        <w:rPr>
          <w:i/>
          <w:vertAlign w:val="superscript"/>
        </w:rPr>
        <w:t>12</w:t>
      </w:r>
      <w:r w:rsidR="007C16BB" w:rsidRPr="00E876D2">
        <w:rPr>
          <w:i/>
        </w:rPr>
        <w:t xml:space="preserve"> $20 million to &lt; $30 million</w:t>
      </w:r>
      <w:r w:rsidR="007C16BB" w:rsidRPr="00E876D2">
        <w:rPr>
          <w:i/>
        </w:rPr>
        <w:br/>
      </w:r>
      <w:r w:rsidR="007C16BB" w:rsidRPr="00E876D2">
        <w:rPr>
          <w:i/>
          <w:vertAlign w:val="superscript"/>
        </w:rPr>
        <w:t>13</w:t>
      </w:r>
      <w:r w:rsidR="007C16BB" w:rsidRPr="00E876D2">
        <w:rPr>
          <w:i/>
        </w:rPr>
        <w:t xml:space="preserve"> $30 million to &lt; $40 million</w:t>
      </w:r>
    </w:p>
    <w:p w14:paraId="4984C1AC" w14:textId="6297ACA2" w:rsidR="004D59D4" w:rsidRPr="00705458" w:rsidRDefault="00023FAF" w:rsidP="00025AAC">
      <w:pPr>
        <w:pStyle w:val="3-BodyText"/>
        <w:numPr>
          <w:ilvl w:val="1"/>
          <w:numId w:val="65"/>
        </w:numPr>
        <w:spacing w:before="160" w:after="160"/>
      </w:pPr>
      <w:r w:rsidRPr="00705458">
        <w:t xml:space="preserve">The ESC noted that in order to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705458">
        <w:t xml:space="preserve"> cost of $</w:t>
      </w:r>
      <w:r w:rsidR="002615A2" w:rsidRPr="002615A2">
        <w:rPr>
          <w:sz w:val="2"/>
          <w:highlight w:val="black"/>
        </w:rPr>
        <w:t>redacted content</w:t>
      </w:r>
      <w:r w:rsidRPr="00705458">
        <w:t xml:space="preserve"> per syringe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705458">
        <w:t>.</w:t>
      </w:r>
    </w:p>
    <w:p w14:paraId="0506CD5D" w14:textId="1BC4122B" w:rsidR="004D59D4" w:rsidRPr="00261455" w:rsidRDefault="00023FAF" w:rsidP="00025AAC">
      <w:pPr>
        <w:pStyle w:val="3-BodyText"/>
        <w:numPr>
          <w:ilvl w:val="1"/>
          <w:numId w:val="66"/>
        </w:numPr>
        <w:spacing w:before="160" w:after="160"/>
      </w:pPr>
      <w:r w:rsidRPr="00261455">
        <w:rPr>
          <w:rFonts w:cstheme="minorHAnsi"/>
        </w:rPr>
        <w:lastRenderedPageBreak/>
        <w:t xml:space="preserve">The PSCR stated that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Pr="00261455">
        <w:rPr>
          <w:rFonts w:cstheme="minorHAnsi"/>
        </w:rPr>
        <w:t xml:space="preserve"> If the expenditure thresholds (‘caps’)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00B92B3B" w:rsidRPr="00B92B3B">
        <w:rPr>
          <w:rFonts w:cstheme="minorHAnsi"/>
        </w:rPr>
        <w:t xml:space="preserve"> </w:t>
      </w:r>
      <w:r w:rsidR="002615A2" w:rsidRPr="002615A2">
        <w:rPr>
          <w:rFonts w:cstheme="minorHAnsi"/>
          <w:sz w:val="2"/>
          <w:highlight w:val="black"/>
        </w:rPr>
        <w:t>redacted content</w:t>
      </w:r>
      <w:r w:rsidRPr="00261455">
        <w:rPr>
          <w:rFonts w:cstheme="minorHAnsi"/>
        </w:rPr>
        <w:t xml:space="preserve"> ICER of $</w:t>
      </w:r>
      <w:r w:rsidR="004A523A" w:rsidRPr="00261455">
        <w:rPr>
          <w:rFonts w:cstheme="minorHAnsi"/>
        </w:rPr>
        <w:t>355,000 to &lt; $455,000</w:t>
      </w:r>
      <w:r w:rsidRPr="00261455">
        <w:rPr>
          <w:rFonts w:cstheme="minorHAnsi"/>
        </w:rPr>
        <w:t xml:space="preserve"> per QALY as shown in </w:t>
      </w:r>
      <w:r w:rsidRPr="00261455">
        <w:rPr>
          <w:rFonts w:cstheme="minorHAnsi"/>
        </w:rPr>
        <w:fldChar w:fldCharType="begin"/>
      </w:r>
      <w:r w:rsidRPr="00261455">
        <w:rPr>
          <w:rFonts w:cs="Calibri"/>
        </w:rPr>
        <w:instrText xml:space="preserve"> REF _Ref216208100 \h </w:instrText>
      </w:r>
      <w:r w:rsidR="00E845D3" w:rsidRPr="00261455">
        <w:rPr>
          <w:rFonts w:cstheme="minorHAnsi"/>
        </w:rPr>
        <w:instrText xml:space="preserve"> \* MERGEFORMAT </w:instrText>
      </w:r>
      <w:r w:rsidRPr="00261455">
        <w:rPr>
          <w:rFonts w:cstheme="minorHAnsi"/>
        </w:rPr>
      </w:r>
      <w:r w:rsidRPr="00261455">
        <w:rPr>
          <w:rFonts w:cs="Calibri"/>
        </w:rPr>
        <w:fldChar w:fldCharType="separate"/>
      </w:r>
      <w:r w:rsidR="00E24060" w:rsidRPr="00261455">
        <w:rPr>
          <w:rFonts w:cs="Calibri"/>
        </w:rPr>
        <w:t>Table 13</w:t>
      </w:r>
      <w:r w:rsidRPr="00261455">
        <w:rPr>
          <w:rFonts w:cs="Calibri"/>
        </w:rPr>
        <w:fldChar w:fldCharType="end"/>
      </w:r>
      <w:r w:rsidRPr="00261455">
        <w:rPr>
          <w:rFonts w:cstheme="minorHAnsi"/>
        </w:rPr>
        <w:t>.</w:t>
      </w:r>
    </w:p>
    <w:p w14:paraId="50AEFEA5" w14:textId="77777777" w:rsidR="004D59D4" w:rsidRDefault="00023FAF" w:rsidP="00025AAC">
      <w:pPr>
        <w:pStyle w:val="4-SubsectionHeading"/>
        <w:spacing w:before="160" w:after="160"/>
      </w:pPr>
      <w:bookmarkStart w:id="107" w:name="_Toc22897648"/>
      <w:bookmarkStart w:id="108" w:name="_Toc219799692"/>
      <w:r>
        <w:t>Quality Use of Medicines</w:t>
      </w:r>
      <w:bookmarkEnd w:id="107"/>
      <w:bookmarkEnd w:id="108"/>
    </w:p>
    <w:p w14:paraId="646BD1B0" w14:textId="77777777" w:rsidR="004D59D4" w:rsidRDefault="00023FAF" w:rsidP="00025AAC">
      <w:pPr>
        <w:pStyle w:val="3-BodyText"/>
        <w:numPr>
          <w:ilvl w:val="1"/>
          <w:numId w:val="67"/>
        </w:numPr>
        <w:spacing w:before="160" w:after="160"/>
      </w:pPr>
      <w:r>
        <w:t>As in the previous submission, the resubmission did not provide any Quality Use of Medicines information.</w:t>
      </w:r>
    </w:p>
    <w:p w14:paraId="17582D4C" w14:textId="77777777" w:rsidR="004D59D4" w:rsidRDefault="00023FAF" w:rsidP="00025AAC">
      <w:pPr>
        <w:pStyle w:val="4-SubsectionHeading"/>
        <w:spacing w:before="160" w:after="160"/>
      </w:pPr>
      <w:bookmarkStart w:id="109" w:name="_Toc22897649"/>
      <w:bookmarkStart w:id="110" w:name="_Toc219799693"/>
      <w:r>
        <w:t>Financial Management – Risk Sharing Arrangements</w:t>
      </w:r>
      <w:bookmarkEnd w:id="109"/>
      <w:bookmarkEnd w:id="110"/>
    </w:p>
    <w:p w14:paraId="2CCE86B7" w14:textId="77777777" w:rsidR="004D59D4" w:rsidRDefault="00023FAF" w:rsidP="00025AAC">
      <w:pPr>
        <w:pStyle w:val="3-BodyText"/>
        <w:numPr>
          <w:ilvl w:val="1"/>
          <w:numId w:val="68"/>
        </w:numPr>
        <w:spacing w:before="160" w:after="160"/>
      </w:pPr>
      <w:bookmarkStart w:id="111" w:name="_Ref216722662"/>
      <w:r>
        <w:t xml:space="preserve">The resubmission proposed an RSA for </w:t>
      </w:r>
      <w:proofErr w:type="spellStart"/>
      <w:r>
        <w:t>pegvaliase</w:t>
      </w:r>
      <w:proofErr w:type="spellEnd"/>
      <w:r>
        <w:t xml:space="preserve">. An RSA was not proposed in the previous </w:t>
      </w:r>
      <w:proofErr w:type="spellStart"/>
      <w:r>
        <w:t>pegvaliase</w:t>
      </w:r>
      <w:proofErr w:type="spellEnd"/>
      <w:r>
        <w:t xml:space="preserve"> submission.</w:t>
      </w:r>
      <w:bookmarkEnd w:id="111"/>
    </w:p>
    <w:p w14:paraId="0A12E69C" w14:textId="3B3DD614" w:rsidR="004D59D4" w:rsidRPr="00EA4D38" w:rsidRDefault="00023FAF" w:rsidP="00025AAC">
      <w:pPr>
        <w:pStyle w:val="3-BodyText"/>
        <w:numPr>
          <w:ilvl w:val="1"/>
          <w:numId w:val="69"/>
        </w:numPr>
        <w:spacing w:before="160" w:after="160"/>
      </w:pPr>
      <w:bookmarkStart w:id="112" w:name="_Ref217396458"/>
      <w:r w:rsidRPr="00EA4D38">
        <w:t xml:space="preserve">The resubmission claimed that the sponsor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EA4D38">
        <w:t xml:space="preserve"> through an RSA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EA4D38">
        <w:t xml:space="preserve"> cost of $</w:t>
      </w:r>
      <w:r w:rsidR="002615A2" w:rsidRPr="002615A2">
        <w:rPr>
          <w:sz w:val="2"/>
          <w:highlight w:val="black"/>
        </w:rPr>
        <w:t>redacted content</w:t>
      </w:r>
      <w:r w:rsidRPr="00EA4D38">
        <w:t xml:space="preserve"> per syringe (as calculated at an “ex-manufacturer” level, which corresponds to a “DPMQ level” of $</w:t>
      </w:r>
      <w:r w:rsidR="002615A2" w:rsidRPr="002615A2">
        <w:rPr>
          <w:sz w:val="2"/>
          <w:highlight w:val="black"/>
        </w:rPr>
        <w:t>redacted content</w:t>
      </w:r>
      <w:r w:rsidRPr="00EA4D38">
        <w:t xml:space="preserve"> per syringe i.e.</w:t>
      </w:r>
      <w:r w:rsidR="004A523A" w:rsidRPr="00EA4D38">
        <w:t>,</w:t>
      </w:r>
      <w:r w:rsidRPr="00EA4D38">
        <w:t xml:space="preserve"> with mark-ups included).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EA4D38">
        <w:t xml:space="preserve"> proposed expenditure cap was $</w:t>
      </w:r>
      <w:r w:rsidR="004A523A" w:rsidRPr="00EA4D38">
        <w:t>10 million to &lt; $20 million</w:t>
      </w:r>
      <w:r w:rsidRPr="00EA4D38">
        <w:t xml:space="preserve"> in Year 1 increasing to $</w:t>
      </w:r>
      <w:r w:rsidR="004A523A" w:rsidRPr="00EA4D38">
        <w:t>20 million to &lt; $30</w:t>
      </w:r>
      <w:r w:rsidRPr="00EA4D38">
        <w:t xml:space="preserve"> million in Year 6.</w:t>
      </w:r>
      <w:bookmarkEnd w:id="112"/>
    </w:p>
    <w:p w14:paraId="1225B721" w14:textId="5E266239" w:rsidR="004D59D4" w:rsidRPr="00EA4D38" w:rsidRDefault="00023FAF" w:rsidP="00025AAC">
      <w:pPr>
        <w:pStyle w:val="3-BodyText"/>
        <w:numPr>
          <w:ilvl w:val="1"/>
          <w:numId w:val="70"/>
        </w:numPr>
        <w:spacing w:before="160"/>
      </w:pPr>
      <w:bookmarkStart w:id="113" w:name="_Ref216722871"/>
      <w:r w:rsidRPr="00EA4D38">
        <w:t xml:space="preserve">The resubmission and the PSCR stated that the proposed RSA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EA4D38">
        <w:t xml:space="preserve"> </w:t>
      </w:r>
      <w:bookmarkEnd w:id="113"/>
      <w:r w:rsidRPr="00EA4D38">
        <w:t xml:space="preserve">The PSCR stated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EA4D38">
        <w:t xml:space="preserve">. The PSCR acknowledged the uptake rates were uncertain but maintained the reasonableness of other parameters (refer to paragraph </w:t>
      </w:r>
      <w:r w:rsidRPr="00EA4D38">
        <w:fldChar w:fldCharType="begin"/>
      </w:r>
      <w:r w:rsidRPr="00EA4D38">
        <w:instrText xml:space="preserve"> REF _Ref222226694 \r \r \h </w:instrText>
      </w:r>
      <w:r w:rsidR="00E845D3" w:rsidRPr="00EA4D38">
        <w:instrText xml:space="preserve"> \* MERGEFORMAT </w:instrText>
      </w:r>
      <w:r w:rsidRPr="00EA4D38">
        <w:fldChar w:fldCharType="separate"/>
      </w:r>
      <w:r w:rsidR="00675925">
        <w:t>6.73</w:t>
      </w:r>
      <w:r w:rsidRPr="00EA4D38">
        <w:fldChar w:fldCharType="end"/>
      </w:r>
      <w:r w:rsidRPr="00EA4D38">
        <w:t xml:space="preserve">). </w:t>
      </w:r>
      <w:r w:rsidR="00D02F00" w:rsidRPr="00EA4D38">
        <w:t xml:space="preserve">The pre-PBAC response also reiterated that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p>
    <w:p w14:paraId="6C148434" w14:textId="6390DBB3" w:rsidR="000740B4" w:rsidRPr="00EA4D38" w:rsidRDefault="000740B4" w:rsidP="00025AAC">
      <w:pPr>
        <w:pStyle w:val="ListParagraph"/>
        <w:numPr>
          <w:ilvl w:val="1"/>
          <w:numId w:val="70"/>
        </w:numPr>
        <w:spacing w:before="160"/>
        <w:jc w:val="both"/>
      </w:pPr>
      <w:r w:rsidRPr="00EA4D38">
        <w:rPr>
          <w:rFonts w:eastAsiaTheme="minorHAnsi" w:cstheme="minorBidi"/>
          <w:szCs w:val="22"/>
        </w:rPr>
        <w:t xml:space="preserve">The ESC considered that the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1502A" w:rsidRPr="00F1432E">
        <w:rPr>
          <w:rFonts w:eastAsiaTheme="minorHAnsi" w:cstheme="minorBidi"/>
          <w:szCs w:val="22"/>
        </w:rPr>
        <w:t>(i.e. the submission estimated PBS expenditure of $</w:t>
      </w:r>
      <w:r w:rsidR="004A523A" w:rsidRPr="00F1432E">
        <w:rPr>
          <w:rFonts w:eastAsiaTheme="minorHAnsi" w:cstheme="minorBidi"/>
          <w:szCs w:val="22"/>
        </w:rPr>
        <w:t xml:space="preserve">400 million to &lt; $500 </w:t>
      </w:r>
      <w:r w:rsidR="0021502A" w:rsidRPr="00F1432E">
        <w:rPr>
          <w:rFonts w:eastAsiaTheme="minorHAnsi" w:cstheme="minorBidi"/>
          <w:szCs w:val="22"/>
        </w:rPr>
        <w:t xml:space="preserve">million over six years,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B92B3B" w:rsidRPr="00B92B3B">
        <w:rPr>
          <w:rFonts w:eastAsiaTheme="minorHAnsi" w:cstheme="minorBidi"/>
          <w:szCs w:val="22"/>
        </w:rPr>
        <w:t xml:space="preserve"> </w:t>
      </w:r>
      <w:r w:rsidR="002615A2" w:rsidRPr="002615A2">
        <w:rPr>
          <w:rFonts w:eastAsiaTheme="minorHAnsi" w:cstheme="minorBidi"/>
          <w:sz w:val="2"/>
          <w:szCs w:val="22"/>
          <w:highlight w:val="black"/>
        </w:rPr>
        <w:t>redacted content</w:t>
      </w:r>
      <w:r w:rsidR="0021502A" w:rsidRPr="00EA4D38">
        <w:rPr>
          <w:rFonts w:eastAsiaTheme="minorHAnsi" w:cstheme="minorBidi"/>
          <w:szCs w:val="22"/>
        </w:rPr>
        <w:t xml:space="preserve"> </w:t>
      </w:r>
      <w:r w:rsidRPr="00EA4D38">
        <w:rPr>
          <w:rFonts w:eastAsiaTheme="minorHAnsi" w:cstheme="minorBidi"/>
          <w:szCs w:val="22"/>
        </w:rPr>
        <w:t xml:space="preserve">The ESC considered that the uncertain financial estimates and high financial impact means that the resubmission’s RSA proposal may present a high level of risk to Government. </w:t>
      </w:r>
    </w:p>
    <w:p w14:paraId="4BEF3944" w14:textId="0C9E1E2B" w:rsidR="004A523A" w:rsidRPr="00EA4D38" w:rsidRDefault="00023FAF" w:rsidP="00025AAC">
      <w:pPr>
        <w:pStyle w:val="3-BodyText"/>
        <w:numPr>
          <w:ilvl w:val="1"/>
          <w:numId w:val="71"/>
        </w:numPr>
        <w:spacing w:before="160"/>
      </w:pPr>
      <w:r w:rsidRPr="00EA4D38">
        <w:t xml:space="preserve">While the resubmission presented an </w:t>
      </w:r>
      <w:r w:rsidR="002615A2" w:rsidRPr="002615A2">
        <w:rPr>
          <w:sz w:val="2"/>
          <w:highlight w:val="black"/>
        </w:rPr>
        <w:t>redacted content</w:t>
      </w:r>
      <w:r w:rsidR="00B92B3B" w:rsidRPr="00B92B3B">
        <w:t xml:space="preserve"> </w:t>
      </w:r>
      <w:proofErr w:type="spellStart"/>
      <w:r w:rsidRPr="004E20CB">
        <w:t>pegvaliase</w:t>
      </w:r>
      <w:proofErr w:type="spellEnd"/>
      <w:r w:rsidRPr="00EA4D38">
        <w:t xml:space="preserve"> cost of $</w:t>
      </w:r>
      <w:r w:rsidR="002615A2" w:rsidRPr="002615A2">
        <w:rPr>
          <w:sz w:val="2"/>
          <w:highlight w:val="black"/>
        </w:rPr>
        <w:t>redacted content</w:t>
      </w:r>
      <w:r w:rsidRPr="00EA4D38">
        <w:t xml:space="preserve"> per syringe, </w:t>
      </w:r>
      <w:r w:rsidRPr="00EA4D38">
        <w:fldChar w:fldCharType="begin"/>
      </w:r>
      <w:r w:rsidRPr="00EA4D38">
        <w:instrText xml:space="preserve"> REF _Ref215829292 \h </w:instrText>
      </w:r>
      <w:r w:rsidR="00E876D2" w:rsidRPr="008A3493">
        <w:instrText xml:space="preserve"> \* MERGEFORMAT </w:instrText>
      </w:r>
      <w:r w:rsidRPr="00EA4D38">
        <w:fldChar w:fldCharType="separate"/>
      </w:r>
      <w:r w:rsidR="00E24060" w:rsidRPr="00EA4D38">
        <w:t xml:space="preserve">Figure </w:t>
      </w:r>
      <w:r w:rsidR="00E24060" w:rsidRPr="00EA4D38">
        <w:rPr>
          <w:noProof/>
        </w:rPr>
        <w:t>5</w:t>
      </w:r>
      <w:r w:rsidRPr="00EA4D38">
        <w:fldChar w:fldCharType="end"/>
      </w:r>
      <w:r w:rsidRPr="00EA4D38">
        <w:t xml:space="preserve"> shows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EA4D38">
        <w:t xml:space="preserve"> </w:t>
      </w:r>
    </w:p>
    <w:p w14:paraId="4B3A7737" w14:textId="77777777" w:rsidR="004A523A" w:rsidRDefault="004A523A">
      <w:pPr>
        <w:jc w:val="left"/>
        <w:rPr>
          <w:rFonts w:asciiTheme="minorHAnsi" w:eastAsiaTheme="minorHAnsi" w:hAnsiTheme="minorHAnsi" w:cstheme="minorBidi"/>
          <w:szCs w:val="22"/>
        </w:rPr>
      </w:pPr>
      <w:r>
        <w:br w:type="page"/>
      </w:r>
    </w:p>
    <w:p w14:paraId="3374BC19" w14:textId="6DFC8924" w:rsidR="004D59D4" w:rsidRDefault="00023FAF" w:rsidP="00025AAC">
      <w:pPr>
        <w:pStyle w:val="Caption"/>
        <w:spacing w:before="160"/>
        <w:jc w:val="left"/>
      </w:pPr>
      <w:bookmarkStart w:id="114" w:name="_Ref215829292"/>
      <w:r>
        <w:lastRenderedPageBreak/>
        <w:t xml:space="preserve">Figure </w:t>
      </w:r>
      <w:fldSimple w:instr=" SEQ Figure \* ARABIC ">
        <w:r w:rsidR="00E24060">
          <w:rPr>
            <w:noProof/>
          </w:rPr>
          <w:t>5</w:t>
        </w:r>
      </w:fldSimple>
      <w:bookmarkEnd w:id="114"/>
      <w:r>
        <w:t xml:space="preserve">: </w:t>
      </w:r>
      <w:proofErr w:type="spellStart"/>
      <w:r>
        <w:t>Pegvaliase</w:t>
      </w:r>
      <w:proofErr w:type="spellEnd"/>
      <w:r>
        <w:t xml:space="preserve"> cost per syringe under the proposed RSA</w:t>
      </w:r>
    </w:p>
    <w:p w14:paraId="2060CF1F" w14:textId="354FC5E0" w:rsidR="004D59D4" w:rsidRDefault="004A523A" w:rsidP="00025AAC">
      <w:pPr>
        <w:pStyle w:val="3-BodyText"/>
        <w:jc w:val="center"/>
      </w:pPr>
      <w:r>
        <w:rPr>
          <w:noProof/>
        </w:rPr>
        <mc:AlternateContent>
          <mc:Choice Requires="wps">
            <w:drawing>
              <wp:inline distT="0" distB="0" distL="0" distR="0" wp14:anchorId="17BA83E3" wp14:editId="6169741D">
                <wp:extent cx="5344594" cy="2635623"/>
                <wp:effectExtent l="0" t="0" r="8890" b="0"/>
                <wp:docPr id="689057655" name="Rectangle 2" descr="Figure 5: Pegvaliase cost per syringe under the proposed RSA"/>
                <wp:cNvGraphicFramePr/>
                <a:graphic xmlns:a="http://schemas.openxmlformats.org/drawingml/2006/main">
                  <a:graphicData uri="http://schemas.microsoft.com/office/word/2010/wordprocessingShape">
                    <wps:wsp>
                      <wps:cNvSpPr/>
                      <wps:spPr>
                        <a:xfrm>
                          <a:off x="0" y="0"/>
                          <a:ext cx="5344594" cy="2635623"/>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45F30A" id="Rectangle 2" o:spid="_x0000_s1026" alt="Figure 5: Pegvaliase cost per syringe under the proposed RSA" style="width:420.85pt;height:20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" fillcolor="black [3200]" stroked="f" strokeweight="2pt">
                <w10:anchorlock/>
              </v:rect>
            </w:pict>
          </mc:Fallback>
        </mc:AlternateContent>
      </w:r>
    </w:p>
    <w:p w14:paraId="3CF6890A" w14:textId="77777777" w:rsidR="004D59D4" w:rsidRPr="00BE4FE6" w:rsidRDefault="00023FAF" w:rsidP="00025AAC">
      <w:pPr>
        <w:pStyle w:val="TableFigureFooter"/>
      </w:pPr>
      <w:r w:rsidRPr="00BE4FE6">
        <w:t>Source: Constructed during the evaluation using ‘Palynziq (</w:t>
      </w:r>
      <w:proofErr w:type="spellStart"/>
      <w:r w:rsidRPr="00BE4FE6">
        <w:t>pegvaliase</w:t>
      </w:r>
      <w:proofErr w:type="spellEnd"/>
      <w:r w:rsidRPr="00BE4FE6">
        <w:t>) – UCM’.</w:t>
      </w:r>
    </w:p>
    <w:p w14:paraId="58F427FD" w14:textId="77777777" w:rsidR="004D59D4" w:rsidRDefault="00023FAF" w:rsidP="00025AAC">
      <w:pPr>
        <w:pStyle w:val="TableFigureFooter"/>
        <w:spacing w:after="0"/>
      </w:pPr>
      <w:r w:rsidRPr="00BE4FE6">
        <w:t>AEMP = approved ex-manufacturer price; RSA = Risk Sharing Arrangement</w:t>
      </w:r>
    </w:p>
    <w:p w14:paraId="29AEE935" w14:textId="0F2DD0F6" w:rsidR="004D59D4" w:rsidRDefault="00023FAF" w:rsidP="00025AAC">
      <w:pPr>
        <w:pStyle w:val="3-BodyText"/>
        <w:spacing w:before="160" w:after="160"/>
        <w:rPr>
          <w:rFonts w:ascii="Arial Narrow" w:eastAsia="Times New Roman" w:hAnsi="Arial Narrow" w:cs="Arial"/>
          <w:bCs/>
          <w:i/>
          <w:sz w:val="18"/>
        </w:rPr>
      </w:pPr>
      <w:r>
        <w:rPr>
          <w:rFonts w:ascii="Arial Narrow" w:eastAsia="Times New Roman" w:hAnsi="Arial Narrow" w:cs="Arial"/>
          <w:bCs/>
          <w:i/>
          <w:sz w:val="18"/>
        </w:rPr>
        <w:t xml:space="preserve">Using the resubmission’s financial estimates </w:t>
      </w:r>
      <w:proofErr w:type="spellStart"/>
      <w:r>
        <w:rPr>
          <w:rFonts w:ascii="Arial Narrow" w:eastAsia="Times New Roman" w:hAnsi="Arial Narrow" w:cs="Arial"/>
          <w:bCs/>
          <w:i/>
          <w:sz w:val="18"/>
        </w:rPr>
        <w:t>workbook</w:t>
      </w:r>
      <w:r w:rsidR="002615A2" w:rsidRPr="002615A2">
        <w:rPr>
          <w:rFonts w:ascii="Arial Narrow" w:eastAsia="Times New Roman" w:hAnsi="Arial Narrow" w:cs="Arial"/>
          <w:bCs/>
          <w:i/>
          <w:sz w:val="2"/>
          <w:highlight w:val="black"/>
        </w:rPr>
        <w:t>redacted</w:t>
      </w:r>
      <w:proofErr w:type="spellEnd"/>
      <w:r w:rsidR="002615A2" w:rsidRPr="002615A2">
        <w:rPr>
          <w:rFonts w:ascii="Arial Narrow" w:eastAsia="Times New Roman" w:hAnsi="Arial Narrow" w:cs="Arial"/>
          <w:bCs/>
          <w:i/>
          <w:sz w:val="2"/>
          <w:highlight w:val="black"/>
        </w:rPr>
        <w:t xml:space="preserve"> content</w:t>
      </w:r>
      <w:r w:rsidR="00B92B3B" w:rsidRPr="00B92B3B">
        <w:rPr>
          <w:rFonts w:ascii="Arial Narrow" w:eastAsia="Times New Roman" w:hAnsi="Arial Narrow" w:cs="Arial"/>
          <w:bCs/>
          <w:i/>
          <w:sz w:val="18"/>
        </w:rPr>
        <w:t xml:space="preserve"> </w:t>
      </w:r>
      <w:r w:rsidR="002615A2" w:rsidRPr="002615A2">
        <w:rPr>
          <w:rFonts w:ascii="Arial Narrow" w:eastAsia="Times New Roman" w:hAnsi="Arial Narrow" w:cs="Arial"/>
          <w:bCs/>
          <w:i/>
          <w:sz w:val="2"/>
          <w:highlight w:val="black"/>
        </w:rPr>
        <w:t>redacted content</w:t>
      </w:r>
      <w:r w:rsidR="00B92B3B" w:rsidRPr="00B92B3B">
        <w:rPr>
          <w:rFonts w:ascii="Arial Narrow" w:eastAsia="Times New Roman" w:hAnsi="Arial Narrow" w:cs="Arial"/>
          <w:bCs/>
          <w:i/>
          <w:sz w:val="18"/>
        </w:rPr>
        <w:t xml:space="preserve"> </w:t>
      </w:r>
      <w:r w:rsidR="002615A2" w:rsidRPr="002615A2">
        <w:rPr>
          <w:rFonts w:ascii="Arial Narrow" w:eastAsia="Times New Roman" w:hAnsi="Arial Narrow" w:cs="Arial"/>
          <w:bCs/>
          <w:i/>
          <w:sz w:val="2"/>
          <w:highlight w:val="black"/>
        </w:rPr>
        <w:t>redacted content</w:t>
      </w:r>
      <w:r w:rsidR="00B92B3B" w:rsidRPr="00B92B3B">
        <w:rPr>
          <w:rFonts w:ascii="Arial Narrow" w:eastAsia="Times New Roman" w:hAnsi="Arial Narrow" w:cs="Arial"/>
          <w:bCs/>
          <w:i/>
          <w:sz w:val="18"/>
        </w:rPr>
        <w:t xml:space="preserve"> </w:t>
      </w:r>
      <w:r w:rsidR="002615A2" w:rsidRPr="002615A2">
        <w:rPr>
          <w:rFonts w:ascii="Arial Narrow" w:eastAsia="Times New Roman" w:hAnsi="Arial Narrow" w:cs="Arial"/>
          <w:bCs/>
          <w:i/>
          <w:sz w:val="2"/>
          <w:highlight w:val="black"/>
        </w:rPr>
        <w:t>redacted content</w:t>
      </w:r>
      <w:r w:rsidR="00B92B3B" w:rsidRPr="00B92B3B">
        <w:rPr>
          <w:rFonts w:ascii="Arial Narrow" w:eastAsia="Times New Roman" w:hAnsi="Arial Narrow" w:cs="Arial"/>
          <w:bCs/>
          <w:i/>
          <w:sz w:val="18"/>
        </w:rPr>
        <w:t xml:space="preserve"> </w:t>
      </w:r>
      <w:r w:rsidR="002615A2" w:rsidRPr="002615A2">
        <w:rPr>
          <w:rFonts w:ascii="Arial Narrow" w:eastAsia="Times New Roman" w:hAnsi="Arial Narrow" w:cs="Arial"/>
          <w:bCs/>
          <w:i/>
          <w:sz w:val="2"/>
          <w:highlight w:val="black"/>
        </w:rPr>
        <w:t>redacted content</w:t>
      </w:r>
      <w:r w:rsidR="00B92B3B" w:rsidRPr="00B92B3B">
        <w:rPr>
          <w:rFonts w:ascii="Arial Narrow" w:eastAsia="Times New Roman" w:hAnsi="Arial Narrow" w:cs="Arial"/>
          <w:bCs/>
          <w:i/>
          <w:sz w:val="18"/>
        </w:rPr>
        <w:t xml:space="preserve"> </w:t>
      </w:r>
      <w:r w:rsidR="002615A2" w:rsidRPr="002615A2">
        <w:rPr>
          <w:rFonts w:ascii="Arial Narrow" w:eastAsia="Times New Roman" w:hAnsi="Arial Narrow" w:cs="Arial"/>
          <w:bCs/>
          <w:i/>
          <w:sz w:val="2"/>
          <w:highlight w:val="black"/>
        </w:rPr>
        <w:t>redacted content</w:t>
      </w:r>
      <w:r w:rsidR="00B92B3B" w:rsidRPr="00B92B3B">
        <w:rPr>
          <w:rFonts w:ascii="Arial Narrow" w:eastAsia="Times New Roman" w:hAnsi="Arial Narrow" w:cs="Arial"/>
          <w:bCs/>
          <w:i/>
          <w:sz w:val="18"/>
        </w:rPr>
        <w:t xml:space="preserve"> </w:t>
      </w:r>
      <w:r w:rsidR="002615A2" w:rsidRPr="002615A2">
        <w:rPr>
          <w:rFonts w:ascii="Arial Narrow" w:eastAsia="Times New Roman" w:hAnsi="Arial Narrow" w:cs="Arial"/>
          <w:bCs/>
          <w:i/>
          <w:sz w:val="2"/>
          <w:highlight w:val="black"/>
        </w:rPr>
        <w:t>redacted content</w:t>
      </w:r>
      <w:r w:rsidR="00B92B3B" w:rsidRPr="00B92B3B">
        <w:rPr>
          <w:rFonts w:ascii="Arial Narrow" w:eastAsia="Times New Roman" w:hAnsi="Arial Narrow" w:cs="Arial"/>
          <w:bCs/>
          <w:i/>
          <w:sz w:val="18"/>
        </w:rPr>
        <w:t xml:space="preserve"> </w:t>
      </w:r>
      <w:r w:rsidR="002615A2" w:rsidRPr="002615A2">
        <w:rPr>
          <w:rFonts w:ascii="Arial Narrow" w:eastAsia="Times New Roman" w:hAnsi="Arial Narrow" w:cs="Arial"/>
          <w:bCs/>
          <w:i/>
          <w:sz w:val="2"/>
          <w:highlight w:val="black"/>
        </w:rPr>
        <w:t>redacted content</w:t>
      </w:r>
      <w:r>
        <w:rPr>
          <w:rFonts w:ascii="Arial Narrow" w:eastAsia="Times New Roman" w:hAnsi="Arial Narrow" w:cs="Arial"/>
          <w:bCs/>
          <w:i/>
          <w:sz w:val="18"/>
        </w:rPr>
        <w:t xml:space="preserve"> in Year 1, the effective AEMP went above $510, which was presumed to be an error.</w:t>
      </w:r>
    </w:p>
    <w:p w14:paraId="254EB659" w14:textId="14E86C7E" w:rsidR="004D59D4" w:rsidRPr="00CB660B" w:rsidRDefault="00023FAF" w:rsidP="00025AAC">
      <w:pPr>
        <w:pStyle w:val="3-BodyText"/>
        <w:numPr>
          <w:ilvl w:val="1"/>
          <w:numId w:val="72"/>
        </w:numPr>
        <w:spacing w:before="160" w:after="160"/>
      </w:pPr>
      <w:bookmarkStart w:id="115" w:name="_Ref217396472"/>
      <w:r w:rsidRPr="00CB660B">
        <w:t xml:space="preserve">Inclusion of financial estimate inputs as recommended by the PBAC in July 2022 </w:t>
      </w:r>
      <w:r w:rsidR="00D60C3E" w:rsidRPr="00CB660B">
        <w:t xml:space="preserve">would </w:t>
      </w:r>
      <w:r w:rsidRPr="00CB660B">
        <w:t xml:space="preserve">result in a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CB660B">
        <w:t xml:space="preserve"> If the proportion of patients followed up at a metabolic clinic is assumed </w:t>
      </w:r>
      <w:r w:rsidRPr="00D945D3">
        <w:t>to be 55% and</w:t>
      </w:r>
      <w:r w:rsidRPr="00CB660B">
        <w:t xml:space="preserve"> the uptake rate is assumed to be </w:t>
      </w:r>
      <w:r w:rsidR="002615A2" w:rsidRPr="002615A2">
        <w:rPr>
          <w:sz w:val="2"/>
          <w:highlight w:val="black"/>
        </w:rPr>
        <w:t>redacted content</w:t>
      </w:r>
      <w:r w:rsidRPr="00CB660B">
        <w:t xml:space="preserve">% (Year 1),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z w:val="2"/>
          <w:highlight w:val="black"/>
        </w:rPr>
        <w:t>redacted content</w:t>
      </w:r>
      <w:r w:rsidRPr="00CB660B">
        <w:t xml:space="preserve"> </w:t>
      </w:r>
      <w:bookmarkEnd w:id="115"/>
    </w:p>
    <w:p w14:paraId="7BAC7476" w14:textId="77777777" w:rsidR="00146C91" w:rsidRDefault="00146C91" w:rsidP="00025AAC">
      <w:pPr>
        <w:pStyle w:val="2-SectionHeading"/>
        <w:numPr>
          <w:ilvl w:val="0"/>
          <w:numId w:val="73"/>
        </w:numPr>
        <w:suppressAutoHyphens w:val="0"/>
      </w:pPr>
      <w:r w:rsidRPr="0090150D">
        <w:t>PBAC Outcome</w:t>
      </w:r>
    </w:p>
    <w:p w14:paraId="4B3936B1" w14:textId="7A07A326" w:rsidR="001D79D6" w:rsidRPr="00474407" w:rsidRDefault="00261334" w:rsidP="00025AAC">
      <w:pPr>
        <w:numPr>
          <w:ilvl w:val="1"/>
          <w:numId w:val="73"/>
        </w:numPr>
        <w:suppressAutoHyphens w:val="0"/>
        <w:spacing w:after="120"/>
        <w:rPr>
          <w:rFonts w:asciiTheme="minorHAnsi" w:hAnsiTheme="minorHAnsi"/>
          <w:snapToGrid w:val="0"/>
          <w:lang w:val="en-GB"/>
        </w:rPr>
      </w:pPr>
      <w:bookmarkStart w:id="116" w:name="_Hlk111543188"/>
      <w:r w:rsidRPr="00474407">
        <w:rPr>
          <w:rFonts w:asciiTheme="minorHAnsi" w:hAnsiTheme="minorHAnsi"/>
          <w:snapToGrid w:val="0"/>
        </w:rPr>
        <w:t xml:space="preserve">The PBAC </w:t>
      </w:r>
      <w:r w:rsidRPr="00E3350E">
        <w:rPr>
          <w:rFonts w:asciiTheme="minorHAnsi" w:hAnsiTheme="minorHAnsi"/>
          <w:snapToGrid w:val="0"/>
        </w:rPr>
        <w:t>deferred</w:t>
      </w:r>
      <w:r w:rsidRPr="00474407">
        <w:rPr>
          <w:rFonts w:asciiTheme="minorHAnsi" w:hAnsiTheme="minorHAnsi"/>
          <w:b/>
          <w:bCs/>
          <w:snapToGrid w:val="0"/>
        </w:rPr>
        <w:t xml:space="preserve"> </w:t>
      </w:r>
      <w:r w:rsidR="005C3DB0" w:rsidRPr="00474407">
        <w:rPr>
          <w:rFonts w:asciiTheme="minorHAnsi" w:hAnsiTheme="minorHAnsi"/>
          <w:snapToGrid w:val="0"/>
        </w:rPr>
        <w:t>making a recommendation regarding</w:t>
      </w:r>
      <w:r w:rsidR="005C3DB0" w:rsidRPr="00474407">
        <w:rPr>
          <w:rFonts w:asciiTheme="minorHAnsi" w:hAnsiTheme="minorHAnsi"/>
          <w:snapToGrid w:val="0"/>
          <w:lang w:val="en-GB"/>
        </w:rPr>
        <w:t xml:space="preserve"> </w:t>
      </w:r>
      <w:proofErr w:type="spellStart"/>
      <w:r w:rsidR="005C3DB0" w:rsidRPr="00474407">
        <w:rPr>
          <w:rFonts w:asciiTheme="minorHAnsi" w:hAnsiTheme="minorHAnsi"/>
          <w:snapToGrid w:val="0"/>
          <w:lang w:val="en-GB"/>
        </w:rPr>
        <w:t>pegvaliase</w:t>
      </w:r>
      <w:proofErr w:type="spellEnd"/>
      <w:r w:rsidR="005C3DB0" w:rsidRPr="005C3DB0">
        <w:t xml:space="preserve"> </w:t>
      </w:r>
      <w:r w:rsidR="00FB1294" w:rsidRPr="00474407">
        <w:rPr>
          <w:rFonts w:asciiTheme="minorHAnsi" w:hAnsiTheme="minorHAnsi"/>
          <w:snapToGrid w:val="0"/>
          <w:lang w:val="en-GB"/>
        </w:rPr>
        <w:t>for the treatment of patients with phenylketonuria (PKU) who have inadequate blood phenylalanine (</w:t>
      </w:r>
      <w:proofErr w:type="spellStart"/>
      <w:r w:rsidR="00FB1294" w:rsidRPr="00474407">
        <w:rPr>
          <w:rFonts w:asciiTheme="minorHAnsi" w:hAnsiTheme="minorHAnsi"/>
          <w:snapToGrid w:val="0"/>
          <w:lang w:val="en-GB"/>
        </w:rPr>
        <w:t>Phe</w:t>
      </w:r>
      <w:proofErr w:type="spellEnd"/>
      <w:r w:rsidR="00FB1294" w:rsidRPr="00474407">
        <w:rPr>
          <w:rFonts w:asciiTheme="minorHAnsi" w:hAnsiTheme="minorHAnsi"/>
          <w:snapToGrid w:val="0"/>
          <w:lang w:val="en-GB"/>
        </w:rPr>
        <w:t xml:space="preserve">) control despite prior management with available treatment options including a </w:t>
      </w:r>
      <w:proofErr w:type="spellStart"/>
      <w:r w:rsidR="00FB1294" w:rsidRPr="00474407">
        <w:rPr>
          <w:rFonts w:asciiTheme="minorHAnsi" w:hAnsiTheme="minorHAnsi"/>
          <w:snapToGrid w:val="0"/>
          <w:lang w:val="en-GB"/>
        </w:rPr>
        <w:t>Phe</w:t>
      </w:r>
      <w:proofErr w:type="spellEnd"/>
      <w:r w:rsidR="00FB1294" w:rsidRPr="00474407">
        <w:rPr>
          <w:rFonts w:asciiTheme="minorHAnsi" w:hAnsiTheme="minorHAnsi"/>
          <w:snapToGrid w:val="0"/>
          <w:lang w:val="en-GB"/>
        </w:rPr>
        <w:t xml:space="preserve"> restricted diet and </w:t>
      </w:r>
      <w:proofErr w:type="spellStart"/>
      <w:r w:rsidR="00FB1294" w:rsidRPr="00474407">
        <w:rPr>
          <w:rFonts w:asciiTheme="minorHAnsi" w:hAnsiTheme="minorHAnsi"/>
          <w:snapToGrid w:val="0"/>
          <w:lang w:val="en-GB"/>
        </w:rPr>
        <w:t>sapropterin</w:t>
      </w:r>
      <w:proofErr w:type="spellEnd"/>
      <w:r w:rsidR="003C4B9F" w:rsidRPr="00474407">
        <w:rPr>
          <w:rFonts w:asciiTheme="minorHAnsi" w:hAnsiTheme="minorHAnsi"/>
          <w:snapToGrid w:val="0"/>
          <w:lang w:val="en-GB"/>
        </w:rPr>
        <w:t xml:space="preserve">. </w:t>
      </w:r>
      <w:r w:rsidR="00474407" w:rsidRPr="00474407">
        <w:rPr>
          <w:rFonts w:asciiTheme="minorHAnsi" w:hAnsiTheme="minorHAnsi"/>
          <w:snapToGrid w:val="0"/>
          <w:lang w:val="en-GB"/>
        </w:rPr>
        <w:t xml:space="preserve">The PBAC was satisfied that </w:t>
      </w:r>
      <w:proofErr w:type="spellStart"/>
      <w:r w:rsidR="00474407" w:rsidRPr="00474407">
        <w:rPr>
          <w:rFonts w:asciiTheme="minorHAnsi" w:hAnsiTheme="minorHAnsi"/>
          <w:snapToGrid w:val="0"/>
          <w:lang w:val="en-GB"/>
        </w:rPr>
        <w:t>pegvaliase</w:t>
      </w:r>
      <w:proofErr w:type="spellEnd"/>
      <w:r w:rsidR="00474407" w:rsidRPr="00474407">
        <w:rPr>
          <w:rFonts w:asciiTheme="minorHAnsi" w:hAnsiTheme="minorHAnsi"/>
          <w:snapToGrid w:val="0"/>
          <w:lang w:val="en-GB"/>
        </w:rPr>
        <w:t xml:space="preserve"> provides, for some patients, a significant improvement in efficacy over a </w:t>
      </w:r>
      <w:proofErr w:type="spellStart"/>
      <w:r w:rsidR="00474407" w:rsidRPr="00474407">
        <w:rPr>
          <w:rFonts w:asciiTheme="minorHAnsi" w:hAnsiTheme="minorHAnsi"/>
          <w:snapToGrid w:val="0"/>
          <w:lang w:val="en-GB"/>
        </w:rPr>
        <w:t>Phe</w:t>
      </w:r>
      <w:proofErr w:type="spellEnd"/>
      <w:r w:rsidR="00474407" w:rsidRPr="00474407">
        <w:rPr>
          <w:rFonts w:asciiTheme="minorHAnsi" w:hAnsiTheme="minorHAnsi"/>
          <w:snapToGrid w:val="0"/>
          <w:lang w:val="en-GB"/>
        </w:rPr>
        <w:t xml:space="preserve">-restricted diet alone. </w:t>
      </w:r>
      <w:r w:rsidR="008B7555" w:rsidRPr="00474407">
        <w:rPr>
          <w:rFonts w:asciiTheme="minorHAnsi" w:hAnsiTheme="minorHAnsi"/>
          <w:snapToGrid w:val="0"/>
          <w:lang w:val="en-GB"/>
        </w:rPr>
        <w:t>T</w:t>
      </w:r>
      <w:r w:rsidR="00FB1294" w:rsidRPr="00474407">
        <w:rPr>
          <w:rFonts w:asciiTheme="minorHAnsi" w:hAnsiTheme="minorHAnsi"/>
          <w:snapToGrid w:val="0"/>
          <w:lang w:val="en-GB"/>
        </w:rPr>
        <w:t xml:space="preserve">he PBAC reaffirmed its view that there </w:t>
      </w:r>
      <w:r w:rsidR="00185629">
        <w:rPr>
          <w:rFonts w:asciiTheme="minorHAnsi" w:hAnsiTheme="minorHAnsi"/>
          <w:snapToGrid w:val="0"/>
          <w:lang w:val="en-GB"/>
        </w:rPr>
        <w:t>i</w:t>
      </w:r>
      <w:r w:rsidR="00185629" w:rsidRPr="00474407">
        <w:rPr>
          <w:rFonts w:asciiTheme="minorHAnsi" w:hAnsiTheme="minorHAnsi"/>
          <w:snapToGrid w:val="0"/>
          <w:lang w:val="en-GB"/>
        </w:rPr>
        <w:t xml:space="preserve">s </w:t>
      </w:r>
      <w:r w:rsidR="00FB1294" w:rsidRPr="00474407">
        <w:rPr>
          <w:rFonts w:asciiTheme="minorHAnsi" w:hAnsiTheme="minorHAnsi"/>
          <w:snapToGrid w:val="0"/>
          <w:lang w:val="en-GB"/>
        </w:rPr>
        <w:t xml:space="preserve">a high clinical need for effective treatments </w:t>
      </w:r>
      <w:r w:rsidR="009953C5" w:rsidRPr="00474407">
        <w:rPr>
          <w:rFonts w:asciiTheme="minorHAnsi" w:hAnsiTheme="minorHAnsi"/>
          <w:snapToGrid w:val="0"/>
          <w:lang w:val="en-GB"/>
        </w:rPr>
        <w:t>in</w:t>
      </w:r>
      <w:r w:rsidR="00FB1294" w:rsidRPr="00474407">
        <w:rPr>
          <w:rFonts w:asciiTheme="minorHAnsi" w:hAnsiTheme="minorHAnsi"/>
          <w:snapToGrid w:val="0"/>
          <w:lang w:val="en-GB"/>
        </w:rPr>
        <w:t xml:space="preserve"> this patient population, however the PBAC considered </w:t>
      </w:r>
      <w:r w:rsidR="004929D1" w:rsidRPr="00474407">
        <w:rPr>
          <w:rFonts w:asciiTheme="minorHAnsi" w:hAnsiTheme="minorHAnsi"/>
          <w:snapToGrid w:val="0"/>
          <w:lang w:val="en-GB"/>
        </w:rPr>
        <w:t xml:space="preserve">it was unclear whether the sponsor’s pricing </w:t>
      </w:r>
      <w:r w:rsidR="007F750A" w:rsidRPr="00474407">
        <w:rPr>
          <w:rFonts w:asciiTheme="minorHAnsi" w:hAnsiTheme="minorHAnsi"/>
          <w:snapToGrid w:val="0"/>
          <w:lang w:val="en-GB"/>
        </w:rPr>
        <w:t xml:space="preserve">and risk </w:t>
      </w:r>
      <w:r w:rsidR="006159D2" w:rsidRPr="00474407">
        <w:rPr>
          <w:rFonts w:asciiTheme="minorHAnsi" w:hAnsiTheme="minorHAnsi"/>
          <w:snapToGrid w:val="0"/>
          <w:lang w:val="en-GB"/>
        </w:rPr>
        <w:t xml:space="preserve">sharing arrangement (RSA) </w:t>
      </w:r>
      <w:r w:rsidR="004929D1" w:rsidRPr="00474407">
        <w:rPr>
          <w:rFonts w:asciiTheme="minorHAnsi" w:hAnsiTheme="minorHAnsi"/>
          <w:snapToGrid w:val="0"/>
          <w:lang w:val="en-GB"/>
        </w:rPr>
        <w:t xml:space="preserve">proposal would achieve a cost-effective price and </w:t>
      </w:r>
      <w:r w:rsidR="00841B82" w:rsidRPr="00474407">
        <w:rPr>
          <w:rFonts w:asciiTheme="minorHAnsi" w:hAnsiTheme="minorHAnsi"/>
          <w:snapToGrid w:val="0"/>
          <w:lang w:val="en-GB"/>
        </w:rPr>
        <w:t xml:space="preserve">adequately manage </w:t>
      </w:r>
      <w:r w:rsidR="004929D1" w:rsidRPr="00474407">
        <w:rPr>
          <w:rFonts w:asciiTheme="minorHAnsi" w:hAnsiTheme="minorHAnsi"/>
          <w:snapToGrid w:val="0"/>
          <w:lang w:val="en-GB"/>
        </w:rPr>
        <w:t xml:space="preserve">the financial risk to </w:t>
      </w:r>
      <w:r w:rsidR="003F64B3" w:rsidRPr="00474407">
        <w:rPr>
          <w:rFonts w:asciiTheme="minorHAnsi" w:hAnsiTheme="minorHAnsi"/>
          <w:snapToGrid w:val="0"/>
          <w:lang w:val="en-GB"/>
        </w:rPr>
        <w:t>the Commonwealth. The deferral was to allow further consultation with the sponsor</w:t>
      </w:r>
      <w:r w:rsidR="00FB1294" w:rsidRPr="00474407">
        <w:rPr>
          <w:rFonts w:asciiTheme="minorHAnsi" w:hAnsiTheme="minorHAnsi"/>
          <w:snapToGrid w:val="0"/>
          <w:lang w:val="en-GB"/>
        </w:rPr>
        <w:t xml:space="preserve"> </w:t>
      </w:r>
      <w:r w:rsidR="00556BF5">
        <w:rPr>
          <w:rFonts w:asciiTheme="minorHAnsi" w:hAnsiTheme="minorHAnsi"/>
          <w:snapToGrid w:val="0"/>
          <w:lang w:val="en-GB"/>
        </w:rPr>
        <w:t xml:space="preserve">and the Department </w:t>
      </w:r>
      <w:r w:rsidR="00FB1294" w:rsidRPr="00474407">
        <w:rPr>
          <w:rFonts w:asciiTheme="minorHAnsi" w:hAnsiTheme="minorHAnsi"/>
          <w:snapToGrid w:val="0"/>
          <w:lang w:val="en-GB"/>
        </w:rPr>
        <w:t xml:space="preserve">regarding </w:t>
      </w:r>
      <w:r w:rsidR="002B6091" w:rsidRPr="00474407">
        <w:rPr>
          <w:rFonts w:asciiTheme="minorHAnsi" w:hAnsiTheme="minorHAnsi"/>
          <w:snapToGrid w:val="0"/>
          <w:lang w:val="en-GB"/>
        </w:rPr>
        <w:t xml:space="preserve">how best to </w:t>
      </w:r>
      <w:r w:rsidR="00D8588B" w:rsidRPr="00474407">
        <w:rPr>
          <w:rFonts w:asciiTheme="minorHAnsi" w:hAnsiTheme="minorHAnsi"/>
          <w:snapToGrid w:val="0"/>
          <w:lang w:val="en-GB"/>
        </w:rPr>
        <w:t>implement</w:t>
      </w:r>
      <w:r w:rsidR="002B6091" w:rsidRPr="00474407">
        <w:rPr>
          <w:rFonts w:asciiTheme="minorHAnsi" w:hAnsiTheme="minorHAnsi"/>
          <w:snapToGrid w:val="0"/>
          <w:lang w:val="en-GB"/>
        </w:rPr>
        <w:t xml:space="preserve"> </w:t>
      </w:r>
      <w:r w:rsidR="00080EEF" w:rsidRPr="00474407">
        <w:rPr>
          <w:rFonts w:asciiTheme="minorHAnsi" w:hAnsiTheme="minorHAnsi"/>
          <w:snapToGrid w:val="0"/>
          <w:lang w:val="en-GB"/>
        </w:rPr>
        <w:t xml:space="preserve">the </w:t>
      </w:r>
      <w:r w:rsidR="00BA1448" w:rsidRPr="00474407">
        <w:rPr>
          <w:rFonts w:asciiTheme="minorHAnsi" w:hAnsiTheme="minorHAnsi"/>
          <w:snapToGrid w:val="0"/>
          <w:lang w:val="en-GB"/>
        </w:rPr>
        <w:t>intent of the</w:t>
      </w:r>
      <w:r w:rsidR="00C34A93">
        <w:rPr>
          <w:rFonts w:asciiTheme="minorHAnsi" w:hAnsiTheme="minorHAnsi"/>
          <w:snapToGrid w:val="0"/>
          <w:lang w:val="en-GB"/>
        </w:rPr>
        <w:t xml:space="preserve"> sponsor’s</w:t>
      </w:r>
      <w:r w:rsidR="00BF5043">
        <w:rPr>
          <w:rFonts w:asciiTheme="minorHAnsi" w:hAnsiTheme="minorHAnsi"/>
          <w:snapToGrid w:val="0"/>
          <w:lang w:val="en-GB"/>
        </w:rPr>
        <w:t xml:space="preserve"> </w:t>
      </w:r>
      <w:r w:rsidR="002B6091" w:rsidRPr="00474407">
        <w:rPr>
          <w:rFonts w:asciiTheme="minorHAnsi" w:hAnsiTheme="minorHAnsi"/>
          <w:snapToGrid w:val="0"/>
          <w:lang w:val="en-GB"/>
        </w:rPr>
        <w:t>request</w:t>
      </w:r>
      <w:r w:rsidR="003F55E9" w:rsidRPr="00474407">
        <w:rPr>
          <w:rFonts w:asciiTheme="minorHAnsi" w:hAnsiTheme="minorHAnsi"/>
          <w:snapToGrid w:val="0"/>
          <w:lang w:val="en-GB"/>
        </w:rPr>
        <w:t>ed</w:t>
      </w:r>
      <w:r w:rsidR="00D65BAA" w:rsidRPr="00474407">
        <w:rPr>
          <w:rFonts w:asciiTheme="minorHAnsi" w:hAnsiTheme="minorHAnsi"/>
          <w:snapToGrid w:val="0"/>
          <w:lang w:val="en-GB"/>
        </w:rPr>
        <w:t xml:space="preserve"> pricing and RSA proposal</w:t>
      </w:r>
      <w:r w:rsidR="002B6091" w:rsidRPr="00474407">
        <w:rPr>
          <w:rFonts w:asciiTheme="minorHAnsi" w:hAnsiTheme="minorHAnsi"/>
          <w:snapToGrid w:val="0"/>
          <w:lang w:val="en-GB"/>
        </w:rPr>
        <w:t xml:space="preserve">. </w:t>
      </w:r>
    </w:p>
    <w:bookmarkEnd w:id="116"/>
    <w:p w14:paraId="30440F3B" w14:textId="4B646307" w:rsidR="001C42D6" w:rsidRPr="009863A6" w:rsidRDefault="003C349F" w:rsidP="00025AAC">
      <w:pPr>
        <w:numPr>
          <w:ilvl w:val="1"/>
          <w:numId w:val="73"/>
        </w:numPr>
        <w:suppressAutoHyphens w:val="0"/>
        <w:spacing w:after="120"/>
        <w:rPr>
          <w:rFonts w:asciiTheme="minorHAnsi" w:hAnsiTheme="minorHAnsi"/>
          <w:snapToGrid w:val="0"/>
          <w:lang w:val="en-GB"/>
        </w:rPr>
      </w:pPr>
      <w:r w:rsidRPr="009863A6">
        <w:rPr>
          <w:rFonts w:asciiTheme="minorHAnsi" w:hAnsiTheme="minorHAnsi"/>
          <w:snapToGrid w:val="0"/>
          <w:lang w:val="en-GB"/>
        </w:rPr>
        <w:t xml:space="preserve">The PBAC </w:t>
      </w:r>
      <w:r w:rsidR="00ED342C" w:rsidRPr="009863A6">
        <w:rPr>
          <w:rFonts w:asciiTheme="minorHAnsi" w:hAnsiTheme="minorHAnsi"/>
          <w:snapToGrid w:val="0"/>
          <w:lang w:val="en-GB"/>
        </w:rPr>
        <w:t>welcomed</w:t>
      </w:r>
      <w:r w:rsidRPr="009863A6">
        <w:rPr>
          <w:rFonts w:asciiTheme="minorHAnsi" w:hAnsiTheme="minorHAnsi"/>
          <w:snapToGrid w:val="0"/>
          <w:lang w:val="en-GB"/>
        </w:rPr>
        <w:t xml:space="preserve"> input </w:t>
      </w:r>
      <w:r w:rsidR="00EA3015" w:rsidRPr="009863A6">
        <w:rPr>
          <w:rFonts w:asciiTheme="minorHAnsi" w:hAnsiTheme="minorHAnsi"/>
          <w:snapToGrid w:val="0"/>
          <w:lang w:val="en-GB"/>
        </w:rPr>
        <w:t xml:space="preserve">from </w:t>
      </w:r>
      <w:r w:rsidR="00DC0788" w:rsidRPr="009863A6">
        <w:rPr>
          <w:rFonts w:asciiTheme="minorHAnsi" w:hAnsiTheme="minorHAnsi"/>
          <w:snapToGrid w:val="0"/>
          <w:lang w:val="en-GB"/>
        </w:rPr>
        <w:t>individuals</w:t>
      </w:r>
      <w:r w:rsidR="009863A6" w:rsidRPr="009863A6">
        <w:rPr>
          <w:rFonts w:asciiTheme="minorHAnsi" w:hAnsiTheme="minorHAnsi"/>
          <w:snapToGrid w:val="0"/>
          <w:lang w:val="en-GB"/>
        </w:rPr>
        <w:t xml:space="preserve"> </w:t>
      </w:r>
      <w:r w:rsidR="00DC0788" w:rsidRPr="009863A6">
        <w:rPr>
          <w:rFonts w:asciiTheme="minorHAnsi" w:hAnsiTheme="minorHAnsi"/>
          <w:snapToGrid w:val="0"/>
          <w:lang w:val="en-GB"/>
        </w:rPr>
        <w:t xml:space="preserve">and </w:t>
      </w:r>
      <w:r w:rsidR="00D1211A" w:rsidRPr="009863A6">
        <w:rPr>
          <w:rFonts w:asciiTheme="minorHAnsi" w:hAnsiTheme="minorHAnsi"/>
          <w:snapToGrid w:val="0"/>
          <w:lang w:val="en-GB"/>
        </w:rPr>
        <w:t>the Metabolic Dietary Disorders Association</w:t>
      </w:r>
      <w:r w:rsidR="00CD730E" w:rsidRPr="009863A6">
        <w:rPr>
          <w:rFonts w:asciiTheme="minorHAnsi" w:hAnsiTheme="minorHAnsi"/>
          <w:snapToGrid w:val="0"/>
          <w:lang w:val="en-GB"/>
        </w:rPr>
        <w:t xml:space="preserve">. </w:t>
      </w:r>
      <w:r w:rsidR="000A2DC8" w:rsidRPr="009863A6">
        <w:rPr>
          <w:bCs/>
          <w:snapToGrid w:val="0"/>
          <w:lang w:eastAsia="en-US"/>
        </w:rPr>
        <w:t xml:space="preserve">The input described the challenges of living with PKU </w:t>
      </w:r>
      <w:r w:rsidR="00B10784" w:rsidRPr="009863A6">
        <w:rPr>
          <w:bCs/>
          <w:snapToGrid w:val="0"/>
          <w:lang w:eastAsia="en-US"/>
        </w:rPr>
        <w:t xml:space="preserve">including the </w:t>
      </w:r>
      <w:r w:rsidR="002710C4" w:rsidRPr="009863A6">
        <w:rPr>
          <w:rFonts w:asciiTheme="minorHAnsi" w:hAnsiTheme="minorHAnsi"/>
          <w:snapToGrid w:val="0"/>
          <w:lang w:val="en-GB"/>
        </w:rPr>
        <w:t xml:space="preserve">severe and lifelong burden </w:t>
      </w:r>
      <w:r w:rsidR="00B10784" w:rsidRPr="009863A6">
        <w:rPr>
          <w:rFonts w:asciiTheme="minorHAnsi" w:hAnsiTheme="minorHAnsi"/>
          <w:snapToGrid w:val="0"/>
          <w:lang w:val="en-GB"/>
        </w:rPr>
        <w:t xml:space="preserve">of dietary restrictions. The input also outlined the cognitive impacts of high </w:t>
      </w:r>
      <w:proofErr w:type="spellStart"/>
      <w:r w:rsidR="00B10784" w:rsidRPr="009863A6">
        <w:rPr>
          <w:rFonts w:asciiTheme="minorHAnsi" w:hAnsiTheme="minorHAnsi"/>
          <w:snapToGrid w:val="0"/>
          <w:lang w:val="en-GB"/>
        </w:rPr>
        <w:t>Phe</w:t>
      </w:r>
      <w:proofErr w:type="spellEnd"/>
      <w:r w:rsidR="00B10784" w:rsidRPr="009863A6">
        <w:rPr>
          <w:rFonts w:asciiTheme="minorHAnsi" w:hAnsiTheme="minorHAnsi"/>
          <w:snapToGrid w:val="0"/>
          <w:lang w:val="en-GB"/>
        </w:rPr>
        <w:t xml:space="preserve"> levels including difficulty concentrating, reduced mental clarity, anxiety and fatigue. </w:t>
      </w:r>
      <w:r w:rsidR="007B56FE" w:rsidRPr="009863A6">
        <w:rPr>
          <w:rFonts w:asciiTheme="minorHAnsi" w:hAnsiTheme="minorHAnsi"/>
          <w:snapToGrid w:val="0"/>
          <w:lang w:val="en-GB"/>
        </w:rPr>
        <w:t>The input described c</w:t>
      </w:r>
      <w:r w:rsidR="002710C4" w:rsidRPr="009863A6">
        <w:rPr>
          <w:rFonts w:asciiTheme="minorHAnsi" w:hAnsiTheme="minorHAnsi"/>
          <w:snapToGrid w:val="0"/>
          <w:lang w:val="en-GB"/>
        </w:rPr>
        <w:t xml:space="preserve">urrent treatments </w:t>
      </w:r>
      <w:r w:rsidR="007B56FE" w:rsidRPr="009863A6">
        <w:rPr>
          <w:rFonts w:asciiTheme="minorHAnsi" w:hAnsiTheme="minorHAnsi"/>
          <w:snapToGrid w:val="0"/>
          <w:lang w:val="en-GB"/>
        </w:rPr>
        <w:t xml:space="preserve">as often </w:t>
      </w:r>
      <w:r w:rsidR="007B56FE" w:rsidRPr="009863A6">
        <w:rPr>
          <w:rFonts w:asciiTheme="minorHAnsi" w:hAnsiTheme="minorHAnsi"/>
          <w:snapToGrid w:val="0"/>
          <w:lang w:val="en-GB"/>
        </w:rPr>
        <w:lastRenderedPageBreak/>
        <w:t xml:space="preserve">being </w:t>
      </w:r>
      <w:r w:rsidR="002710C4" w:rsidRPr="009863A6">
        <w:rPr>
          <w:rFonts w:asciiTheme="minorHAnsi" w:hAnsiTheme="minorHAnsi"/>
          <w:snapToGrid w:val="0"/>
          <w:lang w:val="en-GB"/>
        </w:rPr>
        <w:t xml:space="preserve">inadequate </w:t>
      </w:r>
      <w:r w:rsidR="007B56FE" w:rsidRPr="009863A6">
        <w:rPr>
          <w:rFonts w:asciiTheme="minorHAnsi" w:hAnsiTheme="minorHAnsi"/>
          <w:snapToGrid w:val="0"/>
          <w:lang w:val="en-GB"/>
        </w:rPr>
        <w:t>at</w:t>
      </w:r>
      <w:r w:rsidR="002710C4" w:rsidRPr="009863A6">
        <w:rPr>
          <w:rFonts w:asciiTheme="minorHAnsi" w:hAnsiTheme="minorHAnsi"/>
          <w:snapToGrid w:val="0"/>
          <w:lang w:val="en-GB"/>
        </w:rPr>
        <w:t xml:space="preserve"> improving dietary restrictions. </w:t>
      </w:r>
      <w:r w:rsidR="006C3E85" w:rsidRPr="009863A6">
        <w:rPr>
          <w:rFonts w:asciiTheme="minorHAnsi" w:hAnsiTheme="minorHAnsi"/>
          <w:snapToGrid w:val="0"/>
          <w:lang w:val="en-GB"/>
        </w:rPr>
        <w:t xml:space="preserve">The comments outlined a hope that </w:t>
      </w:r>
      <w:proofErr w:type="spellStart"/>
      <w:r w:rsidR="006C3E85" w:rsidRPr="009863A6">
        <w:rPr>
          <w:rFonts w:asciiTheme="minorHAnsi" w:hAnsiTheme="minorHAnsi"/>
          <w:snapToGrid w:val="0"/>
          <w:lang w:val="en-GB"/>
        </w:rPr>
        <w:t>pegvaliase</w:t>
      </w:r>
      <w:proofErr w:type="spellEnd"/>
      <w:r w:rsidR="006C3E85" w:rsidRPr="009863A6">
        <w:rPr>
          <w:rFonts w:asciiTheme="minorHAnsi" w:hAnsiTheme="minorHAnsi"/>
          <w:snapToGrid w:val="0"/>
          <w:lang w:val="en-GB"/>
        </w:rPr>
        <w:t xml:space="preserve"> would be more effective than existing therapies, allowing less-strict dietary restrictions and improved cognitive function. </w:t>
      </w:r>
      <w:r w:rsidR="005A2D1B">
        <w:rPr>
          <w:rFonts w:asciiTheme="minorHAnsi" w:hAnsiTheme="minorHAnsi"/>
          <w:snapToGrid w:val="0"/>
          <w:lang w:val="en-GB"/>
        </w:rPr>
        <w:t xml:space="preserve">Consumers acknowledged the </w:t>
      </w:r>
      <w:r w:rsidR="00CB1CE1">
        <w:rPr>
          <w:rFonts w:asciiTheme="minorHAnsi" w:hAnsiTheme="minorHAnsi"/>
          <w:snapToGrid w:val="0"/>
          <w:lang w:val="en-GB"/>
        </w:rPr>
        <w:t>adverse event profile of</w:t>
      </w:r>
      <w:r w:rsidR="006C3E85" w:rsidRPr="009863A6">
        <w:rPr>
          <w:rFonts w:asciiTheme="minorHAnsi" w:hAnsiTheme="minorHAnsi"/>
          <w:snapToGrid w:val="0"/>
          <w:lang w:val="en-GB"/>
        </w:rPr>
        <w:t xml:space="preserve"> </w:t>
      </w:r>
      <w:proofErr w:type="spellStart"/>
      <w:r w:rsidR="006C3E85" w:rsidRPr="009863A6">
        <w:rPr>
          <w:rFonts w:asciiTheme="minorHAnsi" w:hAnsiTheme="minorHAnsi"/>
          <w:snapToGrid w:val="0"/>
          <w:lang w:val="en-GB"/>
        </w:rPr>
        <w:t>pegvaliase</w:t>
      </w:r>
      <w:proofErr w:type="spellEnd"/>
      <w:r w:rsidR="006C3E85" w:rsidRPr="009863A6">
        <w:rPr>
          <w:rFonts w:asciiTheme="minorHAnsi" w:hAnsiTheme="minorHAnsi"/>
          <w:snapToGrid w:val="0"/>
          <w:lang w:val="en-GB"/>
        </w:rPr>
        <w:t xml:space="preserve"> (i.e. possible anaphylaxis, immune responses and daily injections) but these were seen as manageable with the benefits outweighing the risks. </w:t>
      </w:r>
    </w:p>
    <w:p w14:paraId="2AE178FC" w14:textId="52AE6B54" w:rsidR="00EA3015" w:rsidRPr="007C7EC4" w:rsidRDefault="00E37EFD" w:rsidP="00025AAC">
      <w:pPr>
        <w:numPr>
          <w:ilvl w:val="1"/>
          <w:numId w:val="73"/>
        </w:numPr>
        <w:suppressAutoHyphens w:val="0"/>
        <w:spacing w:after="120"/>
        <w:rPr>
          <w:rFonts w:asciiTheme="minorHAnsi" w:hAnsiTheme="minorHAnsi"/>
          <w:snapToGrid w:val="0"/>
          <w:lang w:val="en-GB"/>
        </w:rPr>
      </w:pPr>
      <w:bookmarkStart w:id="117" w:name="_Ref225504124"/>
      <w:r w:rsidRPr="007C7EC4">
        <w:rPr>
          <w:rFonts w:asciiTheme="minorHAnsi" w:hAnsiTheme="minorHAnsi"/>
          <w:snapToGrid w:val="0"/>
          <w:lang w:val="en-GB"/>
        </w:rPr>
        <w:t xml:space="preserve">The PBAC </w:t>
      </w:r>
      <w:r w:rsidR="002E7C1D">
        <w:rPr>
          <w:rFonts w:asciiTheme="minorHAnsi" w:hAnsiTheme="minorHAnsi"/>
          <w:snapToGrid w:val="0"/>
          <w:lang w:val="en-GB"/>
        </w:rPr>
        <w:t>consider</w:t>
      </w:r>
      <w:r w:rsidRPr="007C7EC4">
        <w:rPr>
          <w:rFonts w:asciiTheme="minorHAnsi" w:hAnsiTheme="minorHAnsi"/>
          <w:snapToGrid w:val="0"/>
          <w:lang w:val="en-GB"/>
        </w:rPr>
        <w:t xml:space="preserve">ed </w:t>
      </w:r>
      <w:r w:rsidR="00F75391" w:rsidRPr="007C7EC4">
        <w:rPr>
          <w:rFonts w:asciiTheme="minorHAnsi" w:hAnsiTheme="minorHAnsi"/>
          <w:snapToGrid w:val="0"/>
          <w:lang w:val="en-GB"/>
        </w:rPr>
        <w:t xml:space="preserve">this was supportive of the </w:t>
      </w:r>
      <w:r w:rsidR="005C4D94" w:rsidRPr="007C7EC4">
        <w:rPr>
          <w:rFonts w:asciiTheme="minorHAnsi" w:hAnsiTheme="minorHAnsi"/>
          <w:snapToGrid w:val="0"/>
          <w:lang w:val="en-GB"/>
        </w:rPr>
        <w:t xml:space="preserve">consumer input </w:t>
      </w:r>
      <w:r w:rsidR="00CB1CE1">
        <w:rPr>
          <w:rFonts w:asciiTheme="minorHAnsi" w:hAnsiTheme="minorHAnsi"/>
          <w:snapToGrid w:val="0"/>
          <w:lang w:val="en-GB"/>
        </w:rPr>
        <w:t xml:space="preserve">received </w:t>
      </w:r>
      <w:r w:rsidR="005C4D94" w:rsidRPr="007C7EC4">
        <w:rPr>
          <w:rFonts w:asciiTheme="minorHAnsi" w:hAnsiTheme="minorHAnsi"/>
          <w:snapToGrid w:val="0"/>
          <w:lang w:val="en-GB"/>
        </w:rPr>
        <w:t xml:space="preserve">for the </w:t>
      </w:r>
      <w:r w:rsidR="00466698" w:rsidRPr="007C7EC4">
        <w:rPr>
          <w:rFonts w:asciiTheme="minorHAnsi" w:hAnsiTheme="minorHAnsi"/>
          <w:snapToGrid w:val="0"/>
          <w:lang w:val="en-GB"/>
        </w:rPr>
        <w:t>July 2022 submission</w:t>
      </w:r>
      <w:r w:rsidR="00B06C5F" w:rsidRPr="007C7EC4">
        <w:rPr>
          <w:rFonts w:asciiTheme="minorHAnsi" w:hAnsiTheme="minorHAnsi"/>
          <w:snapToGrid w:val="0"/>
          <w:lang w:val="en-GB"/>
        </w:rPr>
        <w:t xml:space="preserve">s </w:t>
      </w:r>
      <w:r w:rsidR="00AD105C">
        <w:rPr>
          <w:rFonts w:asciiTheme="minorHAnsi" w:hAnsiTheme="minorHAnsi"/>
          <w:snapToGrid w:val="0"/>
          <w:lang w:val="en-GB"/>
        </w:rPr>
        <w:t xml:space="preserve">for medicines to treat PKU </w:t>
      </w:r>
      <w:r w:rsidR="00B06C5F" w:rsidRPr="007C7EC4">
        <w:rPr>
          <w:rFonts w:asciiTheme="minorHAnsi" w:hAnsiTheme="minorHAnsi"/>
          <w:snapToGrid w:val="0"/>
          <w:lang w:val="en-GB"/>
        </w:rPr>
        <w:t>(</w:t>
      </w:r>
      <w:proofErr w:type="spellStart"/>
      <w:r w:rsidR="00B06C5F" w:rsidRPr="007C7EC4">
        <w:rPr>
          <w:rFonts w:asciiTheme="minorHAnsi" w:hAnsiTheme="minorHAnsi"/>
          <w:snapToGrid w:val="0"/>
          <w:lang w:val="en-GB"/>
        </w:rPr>
        <w:t>pegvaliase</w:t>
      </w:r>
      <w:proofErr w:type="spellEnd"/>
      <w:r w:rsidR="00B06C5F" w:rsidRPr="007C7EC4">
        <w:rPr>
          <w:rFonts w:asciiTheme="minorHAnsi" w:hAnsiTheme="minorHAnsi"/>
          <w:snapToGrid w:val="0"/>
          <w:lang w:val="en-GB"/>
        </w:rPr>
        <w:t xml:space="preserve"> and </w:t>
      </w:r>
      <w:proofErr w:type="spellStart"/>
      <w:r w:rsidR="00B06C5F" w:rsidRPr="007C7EC4">
        <w:rPr>
          <w:rFonts w:asciiTheme="minorHAnsi" w:hAnsiTheme="minorHAnsi"/>
          <w:snapToGrid w:val="0"/>
          <w:lang w:val="en-GB"/>
        </w:rPr>
        <w:t>sapropterin</w:t>
      </w:r>
      <w:proofErr w:type="spellEnd"/>
      <w:r w:rsidR="00B06C5F" w:rsidRPr="007C7EC4">
        <w:rPr>
          <w:rFonts w:asciiTheme="minorHAnsi" w:hAnsiTheme="minorHAnsi"/>
          <w:snapToGrid w:val="0"/>
          <w:lang w:val="en-GB"/>
        </w:rPr>
        <w:t>)</w:t>
      </w:r>
      <w:r w:rsidR="00044C59" w:rsidRPr="007C7EC4">
        <w:rPr>
          <w:rFonts w:asciiTheme="minorHAnsi" w:hAnsiTheme="minorHAnsi"/>
          <w:snapToGrid w:val="0"/>
          <w:lang w:val="en-GB"/>
        </w:rPr>
        <w:t xml:space="preserve"> which noted </w:t>
      </w:r>
      <w:r w:rsidR="00AD105C">
        <w:rPr>
          <w:rFonts w:asciiTheme="minorHAnsi" w:hAnsiTheme="minorHAnsi"/>
          <w:snapToGrid w:val="0"/>
          <w:lang w:val="en-GB"/>
        </w:rPr>
        <w:t xml:space="preserve">the </w:t>
      </w:r>
      <w:r w:rsidR="00B06C5F" w:rsidRPr="007C7EC4">
        <w:rPr>
          <w:rFonts w:asciiTheme="minorHAnsi" w:hAnsiTheme="minorHAnsi"/>
          <w:snapToGrid w:val="0"/>
          <w:lang w:val="en-GB"/>
        </w:rPr>
        <w:t xml:space="preserve">specific challenges </w:t>
      </w:r>
      <w:r w:rsidR="00E76222">
        <w:rPr>
          <w:rFonts w:asciiTheme="minorHAnsi" w:hAnsiTheme="minorHAnsi"/>
          <w:snapToGrid w:val="0"/>
          <w:lang w:val="en-GB"/>
        </w:rPr>
        <w:t>for</w:t>
      </w:r>
      <w:r w:rsidR="00E76222" w:rsidRPr="007C7EC4">
        <w:rPr>
          <w:rFonts w:asciiTheme="minorHAnsi" w:hAnsiTheme="minorHAnsi"/>
          <w:snapToGrid w:val="0"/>
          <w:lang w:val="en-GB"/>
        </w:rPr>
        <w:t xml:space="preserve"> adults </w:t>
      </w:r>
      <w:r w:rsidR="00AD105C">
        <w:rPr>
          <w:rFonts w:asciiTheme="minorHAnsi" w:hAnsiTheme="minorHAnsi"/>
          <w:snapToGrid w:val="0"/>
          <w:lang w:val="en-GB"/>
        </w:rPr>
        <w:t>living with</w:t>
      </w:r>
      <w:r w:rsidR="00B06C5F" w:rsidRPr="007C7EC4">
        <w:rPr>
          <w:rFonts w:asciiTheme="minorHAnsi" w:hAnsiTheme="minorHAnsi"/>
          <w:snapToGrid w:val="0"/>
          <w:lang w:val="en-GB"/>
        </w:rPr>
        <w:t xml:space="preserve"> PKU including </w:t>
      </w:r>
      <w:r w:rsidR="007C7EC4" w:rsidRPr="007C7EC4">
        <w:rPr>
          <w:rFonts w:asciiTheme="minorHAnsi" w:hAnsiTheme="minorHAnsi"/>
          <w:snapToGrid w:val="0"/>
          <w:lang w:val="en-GB"/>
        </w:rPr>
        <w:t>that</w:t>
      </w:r>
      <w:r w:rsidR="00466698" w:rsidRPr="007C7EC4">
        <w:rPr>
          <w:rFonts w:asciiTheme="minorHAnsi" w:hAnsiTheme="minorHAnsi"/>
          <w:snapToGrid w:val="0"/>
          <w:lang w:val="en-GB"/>
        </w:rPr>
        <w:t xml:space="preserve"> </w:t>
      </w:r>
      <w:r w:rsidR="00044C59" w:rsidRPr="007C7EC4">
        <w:rPr>
          <w:rFonts w:asciiTheme="minorHAnsi" w:hAnsiTheme="minorHAnsi"/>
          <w:snapToGrid w:val="0"/>
          <w:lang w:val="en-GB"/>
        </w:rPr>
        <w:t xml:space="preserve">compliance to the very onerous </w:t>
      </w:r>
      <w:proofErr w:type="spellStart"/>
      <w:r w:rsidR="00044C59" w:rsidRPr="007C7EC4">
        <w:rPr>
          <w:rFonts w:asciiTheme="minorHAnsi" w:hAnsiTheme="minorHAnsi"/>
          <w:snapToGrid w:val="0"/>
          <w:lang w:val="en-GB"/>
        </w:rPr>
        <w:t>Phe</w:t>
      </w:r>
      <w:proofErr w:type="spellEnd"/>
      <w:r w:rsidR="00044C59" w:rsidRPr="007C7EC4">
        <w:rPr>
          <w:rFonts w:asciiTheme="minorHAnsi" w:hAnsiTheme="minorHAnsi"/>
          <w:snapToGrid w:val="0"/>
          <w:lang w:val="en-GB"/>
        </w:rPr>
        <w:t xml:space="preserve">-restricted diet is unsustainable for many patients, especially in adulthood, and frequently does not reduce blood </w:t>
      </w:r>
      <w:proofErr w:type="spellStart"/>
      <w:r w:rsidR="00044C59" w:rsidRPr="007C7EC4">
        <w:rPr>
          <w:rFonts w:asciiTheme="minorHAnsi" w:hAnsiTheme="minorHAnsi"/>
          <w:snapToGrid w:val="0"/>
          <w:lang w:val="en-GB"/>
        </w:rPr>
        <w:t>Phe</w:t>
      </w:r>
      <w:proofErr w:type="spellEnd"/>
      <w:r w:rsidR="00044C59" w:rsidRPr="007C7EC4">
        <w:rPr>
          <w:rFonts w:asciiTheme="minorHAnsi" w:hAnsiTheme="minorHAnsi"/>
          <w:snapToGrid w:val="0"/>
          <w:lang w:val="en-GB"/>
        </w:rPr>
        <w:t xml:space="preserve"> to an acceptable level. Patients reported that increased protein intake was an important outcome, enabling intake of a broader range of foods and alleviating the substantial quality of life burden associated with a severely low protein diet. Clinicians stated that the benefits of reducing blood </w:t>
      </w:r>
      <w:proofErr w:type="spellStart"/>
      <w:r w:rsidR="00044C59" w:rsidRPr="007C7EC4">
        <w:rPr>
          <w:rFonts w:asciiTheme="minorHAnsi" w:hAnsiTheme="minorHAnsi"/>
          <w:snapToGrid w:val="0"/>
          <w:lang w:val="en-GB"/>
        </w:rPr>
        <w:t>Phe</w:t>
      </w:r>
      <w:proofErr w:type="spellEnd"/>
      <w:r w:rsidR="00044C59" w:rsidRPr="007C7EC4">
        <w:rPr>
          <w:rFonts w:asciiTheme="minorHAnsi" w:hAnsiTheme="minorHAnsi"/>
          <w:snapToGrid w:val="0"/>
          <w:lang w:val="en-GB"/>
        </w:rPr>
        <w:t xml:space="preserve"> levels in adults are significant and meaningful, with depression and anxiety scores improved and working memory and cognitive function substantially improved or returned over the longer </w:t>
      </w:r>
      <w:r w:rsidR="00044C59" w:rsidRPr="001D4B6D">
        <w:rPr>
          <w:rFonts w:asciiTheme="minorHAnsi" w:hAnsiTheme="minorHAnsi"/>
          <w:snapToGrid w:val="0"/>
          <w:lang w:val="en-GB"/>
        </w:rPr>
        <w:t xml:space="preserve">term. </w:t>
      </w:r>
      <w:r w:rsidR="00316961" w:rsidRPr="001D4B6D">
        <w:rPr>
          <w:rFonts w:asciiTheme="minorHAnsi" w:hAnsiTheme="minorHAnsi"/>
          <w:snapToGrid w:val="0"/>
          <w:lang w:val="en-GB"/>
        </w:rPr>
        <w:t>The PBAC considered that the consumer input had identified and described outcomes that were not well-captured in the clinical</w:t>
      </w:r>
      <w:r w:rsidR="00792095">
        <w:rPr>
          <w:rFonts w:asciiTheme="minorHAnsi" w:hAnsiTheme="minorHAnsi"/>
          <w:snapToGrid w:val="0"/>
          <w:lang w:val="en-GB"/>
        </w:rPr>
        <w:t xml:space="preserve"> or economic</w:t>
      </w:r>
      <w:r w:rsidR="00316961" w:rsidRPr="001D4B6D">
        <w:rPr>
          <w:rFonts w:asciiTheme="minorHAnsi" w:hAnsiTheme="minorHAnsi"/>
          <w:snapToGrid w:val="0"/>
          <w:lang w:val="en-GB"/>
        </w:rPr>
        <w:t xml:space="preserve"> evidence for </w:t>
      </w:r>
      <w:proofErr w:type="spellStart"/>
      <w:r w:rsidR="00316961" w:rsidRPr="001D4B6D">
        <w:rPr>
          <w:rFonts w:asciiTheme="minorHAnsi" w:hAnsiTheme="minorHAnsi"/>
          <w:snapToGrid w:val="0"/>
          <w:lang w:val="en-GB"/>
        </w:rPr>
        <w:t>pegvaliase</w:t>
      </w:r>
      <w:proofErr w:type="spellEnd"/>
      <w:r w:rsidR="00316961" w:rsidRPr="001D4B6D">
        <w:rPr>
          <w:rFonts w:asciiTheme="minorHAnsi" w:hAnsiTheme="minorHAnsi"/>
          <w:snapToGrid w:val="0"/>
          <w:lang w:val="en-GB"/>
        </w:rPr>
        <w:t>.</w:t>
      </w:r>
      <w:bookmarkEnd w:id="117"/>
    </w:p>
    <w:p w14:paraId="0A280945" w14:textId="6B78C470" w:rsidR="00AF09A5" w:rsidRPr="00641B80" w:rsidRDefault="00DC6A3C" w:rsidP="00025AAC">
      <w:pPr>
        <w:numPr>
          <w:ilvl w:val="1"/>
          <w:numId w:val="73"/>
        </w:numPr>
        <w:suppressAutoHyphens w:val="0"/>
        <w:spacing w:after="120"/>
        <w:rPr>
          <w:rFonts w:asciiTheme="minorHAnsi" w:hAnsiTheme="minorHAnsi"/>
          <w:snapToGrid w:val="0"/>
          <w:lang w:val="en-GB"/>
        </w:rPr>
      </w:pPr>
      <w:r w:rsidRPr="006C3E85">
        <w:rPr>
          <w:rFonts w:asciiTheme="minorHAnsi" w:hAnsiTheme="minorHAnsi"/>
          <w:snapToGrid w:val="0"/>
          <w:lang w:val="en-GB"/>
        </w:rPr>
        <w:t xml:space="preserve">The PBAC considered that, based on the consumer input, there remains a high unmet </w:t>
      </w:r>
      <w:r w:rsidR="009E13B4" w:rsidRPr="009E13B4">
        <w:rPr>
          <w:rFonts w:asciiTheme="minorHAnsi" w:hAnsiTheme="minorHAnsi"/>
          <w:snapToGrid w:val="0"/>
          <w:lang w:val="en-GB"/>
        </w:rPr>
        <w:t xml:space="preserve">need for effective treatments in the proposed patient population </w:t>
      </w:r>
      <w:r w:rsidR="009E13B4" w:rsidRPr="00641B80">
        <w:rPr>
          <w:rFonts w:asciiTheme="minorHAnsi" w:hAnsiTheme="minorHAnsi"/>
          <w:snapToGrid w:val="0"/>
          <w:lang w:val="en-GB"/>
        </w:rPr>
        <w:t xml:space="preserve">(i.e. patients who have inadequate </w:t>
      </w:r>
      <w:proofErr w:type="spellStart"/>
      <w:r w:rsidR="009E13B4" w:rsidRPr="00641B80">
        <w:rPr>
          <w:rFonts w:asciiTheme="minorHAnsi" w:hAnsiTheme="minorHAnsi"/>
          <w:snapToGrid w:val="0"/>
          <w:lang w:val="en-GB"/>
        </w:rPr>
        <w:t>Phe</w:t>
      </w:r>
      <w:proofErr w:type="spellEnd"/>
      <w:r w:rsidR="009E13B4" w:rsidRPr="00641B80">
        <w:rPr>
          <w:rFonts w:asciiTheme="minorHAnsi" w:hAnsiTheme="minorHAnsi"/>
          <w:snapToGrid w:val="0"/>
          <w:lang w:val="en-GB"/>
        </w:rPr>
        <w:t xml:space="preserve"> levels despite </w:t>
      </w:r>
      <w:r w:rsidR="00316961" w:rsidRPr="00641B80">
        <w:rPr>
          <w:rFonts w:asciiTheme="minorHAnsi" w:hAnsiTheme="minorHAnsi"/>
          <w:snapToGrid w:val="0"/>
          <w:lang w:val="en-GB"/>
        </w:rPr>
        <w:t>prior management with available treatment options</w:t>
      </w:r>
      <w:r w:rsidR="009E13B4" w:rsidRPr="00641B80">
        <w:rPr>
          <w:rFonts w:asciiTheme="minorHAnsi" w:hAnsiTheme="minorHAnsi"/>
          <w:snapToGrid w:val="0"/>
          <w:lang w:val="en-GB"/>
        </w:rPr>
        <w:t>).</w:t>
      </w:r>
      <w:r w:rsidR="003C349F" w:rsidRPr="00641B80">
        <w:rPr>
          <w:rFonts w:asciiTheme="minorHAnsi" w:hAnsiTheme="minorHAnsi"/>
          <w:snapToGrid w:val="0"/>
          <w:lang w:val="en-GB"/>
        </w:rPr>
        <w:t xml:space="preserve"> </w:t>
      </w:r>
    </w:p>
    <w:p w14:paraId="61628B61" w14:textId="7F953E30" w:rsidR="00C31A1B" w:rsidRPr="00543A4C" w:rsidRDefault="003B4A41" w:rsidP="00025AAC">
      <w:pPr>
        <w:numPr>
          <w:ilvl w:val="1"/>
          <w:numId w:val="73"/>
        </w:numPr>
        <w:suppressAutoHyphens w:val="0"/>
        <w:spacing w:after="120"/>
        <w:rPr>
          <w:rFonts w:asciiTheme="minorHAnsi" w:hAnsiTheme="minorHAnsi"/>
          <w:b/>
          <w:bCs/>
          <w:snapToGrid w:val="0"/>
          <w:u w:val="single"/>
          <w:lang w:val="en-GB"/>
        </w:rPr>
      </w:pPr>
      <w:r w:rsidRPr="00C31A1B">
        <w:rPr>
          <w:rFonts w:asciiTheme="minorHAnsi" w:hAnsiTheme="minorHAnsi"/>
          <w:snapToGrid w:val="0"/>
          <w:lang w:val="en-GB"/>
        </w:rPr>
        <w:t xml:space="preserve">Input was also received from </w:t>
      </w:r>
      <w:r w:rsidR="00EA6FF5" w:rsidRPr="00C31A1B">
        <w:rPr>
          <w:rFonts w:asciiTheme="minorHAnsi" w:hAnsiTheme="minorHAnsi"/>
          <w:snapToGrid w:val="0"/>
          <w:lang w:val="en-GB"/>
        </w:rPr>
        <w:t>f</w:t>
      </w:r>
      <w:r w:rsidRPr="00C31A1B">
        <w:rPr>
          <w:rFonts w:asciiTheme="minorHAnsi" w:hAnsiTheme="minorHAnsi"/>
          <w:snapToGrid w:val="0"/>
          <w:lang w:val="en-GB"/>
        </w:rPr>
        <w:t xml:space="preserve">ive clinicians or groups specialising in metabolic conditions </w:t>
      </w:r>
      <w:r w:rsidRPr="00543A4C">
        <w:rPr>
          <w:rFonts w:asciiTheme="minorHAnsi" w:hAnsiTheme="minorHAnsi"/>
          <w:snapToGrid w:val="0"/>
          <w:lang w:val="en-GB"/>
        </w:rPr>
        <w:t xml:space="preserve">about specific issues </w:t>
      </w:r>
      <w:r w:rsidR="00881E5F" w:rsidRPr="00543A4C">
        <w:rPr>
          <w:rFonts w:asciiTheme="minorHAnsi" w:hAnsiTheme="minorHAnsi"/>
          <w:snapToGrid w:val="0"/>
          <w:lang w:val="en-GB"/>
        </w:rPr>
        <w:t xml:space="preserve">relating to the place in therapy and restriction </w:t>
      </w:r>
      <w:r w:rsidR="00EA6FF5" w:rsidRPr="00543A4C">
        <w:rPr>
          <w:rFonts w:asciiTheme="minorHAnsi" w:hAnsiTheme="minorHAnsi"/>
          <w:snapToGrid w:val="0"/>
          <w:lang w:val="en-GB"/>
        </w:rPr>
        <w:t>(refer to paragraph</w:t>
      </w:r>
      <w:r w:rsidR="0009561B" w:rsidRPr="00543A4C">
        <w:rPr>
          <w:rFonts w:asciiTheme="minorHAnsi" w:hAnsiTheme="minorHAnsi"/>
          <w:snapToGrid w:val="0"/>
          <w:lang w:val="en-GB"/>
        </w:rPr>
        <w:t xml:space="preserve"> </w:t>
      </w:r>
      <w:r w:rsidR="0009561B" w:rsidRPr="00543A4C">
        <w:rPr>
          <w:rFonts w:asciiTheme="minorHAnsi" w:hAnsiTheme="minorHAnsi"/>
          <w:snapToGrid w:val="0"/>
          <w:lang w:val="en-GB"/>
        </w:rPr>
        <w:fldChar w:fldCharType="begin"/>
      </w:r>
      <w:r w:rsidR="0009561B" w:rsidRPr="00543A4C">
        <w:rPr>
          <w:rFonts w:asciiTheme="minorHAnsi" w:hAnsiTheme="minorHAnsi"/>
          <w:snapToGrid w:val="0"/>
          <w:lang w:val="en-GB"/>
        </w:rPr>
        <w:instrText xml:space="preserve"> REF _Ref225420172 \r \h </w:instrText>
      </w:r>
      <w:r w:rsidR="00543A4C" w:rsidRPr="00543A4C">
        <w:rPr>
          <w:rFonts w:asciiTheme="minorHAnsi" w:hAnsiTheme="minorHAnsi"/>
          <w:snapToGrid w:val="0"/>
          <w:lang w:val="en-GB"/>
        </w:rPr>
        <w:instrText xml:space="preserve"> \* MERGEFORMAT </w:instrText>
      </w:r>
      <w:r w:rsidR="0009561B" w:rsidRPr="00543A4C">
        <w:rPr>
          <w:rFonts w:asciiTheme="minorHAnsi" w:hAnsiTheme="minorHAnsi"/>
          <w:snapToGrid w:val="0"/>
          <w:lang w:val="en-GB"/>
        </w:rPr>
      </w:r>
      <w:r w:rsidR="0009561B" w:rsidRPr="00543A4C">
        <w:rPr>
          <w:rFonts w:asciiTheme="minorHAnsi" w:hAnsiTheme="minorHAnsi"/>
          <w:snapToGrid w:val="0"/>
          <w:lang w:val="en-GB"/>
        </w:rPr>
        <w:fldChar w:fldCharType="separate"/>
      </w:r>
      <w:r w:rsidR="005F29BB">
        <w:rPr>
          <w:rFonts w:asciiTheme="minorHAnsi" w:hAnsiTheme="minorHAnsi"/>
          <w:snapToGrid w:val="0"/>
          <w:lang w:val="en-GB"/>
        </w:rPr>
        <w:t>6.4</w:t>
      </w:r>
      <w:r w:rsidR="0009561B" w:rsidRPr="00543A4C">
        <w:rPr>
          <w:rFonts w:asciiTheme="minorHAnsi" w:hAnsiTheme="minorHAnsi"/>
          <w:snapToGrid w:val="0"/>
          <w:lang w:val="en-GB"/>
        </w:rPr>
        <w:fldChar w:fldCharType="end"/>
      </w:r>
      <w:r w:rsidR="004F75B4" w:rsidRPr="00543A4C">
        <w:rPr>
          <w:rFonts w:asciiTheme="minorHAnsi" w:hAnsiTheme="minorHAnsi"/>
          <w:snapToGrid w:val="0"/>
          <w:lang w:val="en-GB"/>
        </w:rPr>
        <w:t>, and discussed in relevant paragraphs below</w:t>
      </w:r>
      <w:r w:rsidR="00EA6FF5" w:rsidRPr="00543A4C">
        <w:rPr>
          <w:rFonts w:asciiTheme="minorHAnsi" w:hAnsiTheme="minorHAnsi"/>
          <w:snapToGrid w:val="0"/>
          <w:lang w:val="en-GB"/>
        </w:rPr>
        <w:t>)</w:t>
      </w:r>
      <w:r w:rsidR="00E65CB1" w:rsidRPr="00543A4C">
        <w:rPr>
          <w:rFonts w:asciiTheme="minorHAnsi" w:hAnsiTheme="minorHAnsi"/>
          <w:snapToGrid w:val="0"/>
          <w:lang w:val="en-GB"/>
        </w:rPr>
        <w:t xml:space="preserve">. </w:t>
      </w:r>
    </w:p>
    <w:p w14:paraId="00940A82" w14:textId="699593D7" w:rsidR="0061743B" w:rsidRPr="00543A4C" w:rsidRDefault="0061743B" w:rsidP="00025AAC">
      <w:pPr>
        <w:suppressAutoHyphens w:val="0"/>
        <w:spacing w:after="120"/>
        <w:outlineLvl w:val="2"/>
        <w:rPr>
          <w:rFonts w:asciiTheme="minorHAnsi" w:hAnsiTheme="minorHAnsi"/>
          <w:b/>
          <w:bCs/>
          <w:snapToGrid w:val="0"/>
          <w:u w:val="single"/>
          <w:lang w:val="en-GB"/>
        </w:rPr>
      </w:pPr>
      <w:r w:rsidRPr="00543A4C">
        <w:rPr>
          <w:rFonts w:asciiTheme="minorHAnsi" w:hAnsiTheme="minorHAnsi"/>
          <w:b/>
          <w:bCs/>
          <w:snapToGrid w:val="0"/>
          <w:u w:val="single"/>
          <w:lang w:val="en-GB"/>
        </w:rPr>
        <w:t xml:space="preserve">Restriction </w:t>
      </w:r>
    </w:p>
    <w:p w14:paraId="469F2285" w14:textId="0C25523B" w:rsidR="008B0122" w:rsidRPr="00543A4C" w:rsidRDefault="008772E6" w:rsidP="00025AAC">
      <w:pPr>
        <w:numPr>
          <w:ilvl w:val="1"/>
          <w:numId w:val="73"/>
        </w:numPr>
        <w:suppressAutoHyphens w:val="0"/>
        <w:spacing w:after="120"/>
        <w:rPr>
          <w:rFonts w:asciiTheme="minorHAnsi" w:hAnsiTheme="minorHAnsi"/>
          <w:snapToGrid w:val="0"/>
          <w:lang w:val="en-GB"/>
        </w:rPr>
      </w:pPr>
      <w:bookmarkStart w:id="118" w:name="_Ref225791105"/>
      <w:r w:rsidRPr="14FD465E">
        <w:rPr>
          <w:rFonts w:asciiTheme="minorHAnsi" w:hAnsiTheme="minorHAnsi"/>
          <w:snapToGrid w:val="0"/>
          <w:lang w:val="en-GB"/>
        </w:rPr>
        <w:t xml:space="preserve">The </w:t>
      </w:r>
      <w:r w:rsidR="00AF0711" w:rsidRPr="14FD465E">
        <w:rPr>
          <w:rFonts w:asciiTheme="minorHAnsi" w:hAnsiTheme="minorHAnsi"/>
          <w:snapToGrid w:val="0"/>
          <w:lang w:val="en-GB"/>
        </w:rPr>
        <w:t xml:space="preserve">restriction proposed in the resubmission </w:t>
      </w:r>
      <w:r w:rsidR="009623F8" w:rsidRPr="14FD465E">
        <w:rPr>
          <w:rFonts w:asciiTheme="minorHAnsi" w:hAnsiTheme="minorHAnsi"/>
          <w:snapToGrid w:val="0"/>
          <w:lang w:val="en-GB"/>
        </w:rPr>
        <w:t>required</w:t>
      </w:r>
      <w:r w:rsidR="00B16616" w:rsidRPr="14FD465E">
        <w:rPr>
          <w:rFonts w:asciiTheme="minorHAnsi" w:hAnsiTheme="minorHAnsi"/>
          <w:snapToGrid w:val="0"/>
          <w:lang w:val="en-GB"/>
        </w:rPr>
        <w:t xml:space="preserve"> patients to demonstrate a response at any timepoint between 21 weeks</w:t>
      </w:r>
      <w:r w:rsidR="14FAB0AE" w:rsidRPr="24A91BD9">
        <w:rPr>
          <w:rFonts w:asciiTheme="minorHAnsi" w:hAnsiTheme="minorHAnsi"/>
          <w:lang w:val="en-GB"/>
        </w:rPr>
        <w:t xml:space="preserve"> (i.e., approximately 5 months)</w:t>
      </w:r>
      <w:r w:rsidR="00B16616" w:rsidRPr="14FD465E">
        <w:rPr>
          <w:rFonts w:asciiTheme="minorHAnsi" w:hAnsiTheme="minorHAnsi"/>
          <w:snapToGrid w:val="0"/>
          <w:lang w:val="en-GB"/>
        </w:rPr>
        <w:t xml:space="preserve"> and 24 months. </w:t>
      </w:r>
      <w:r w:rsidR="00292A1E" w:rsidRPr="14FD465E">
        <w:rPr>
          <w:rFonts w:asciiTheme="minorHAnsi" w:hAnsiTheme="minorHAnsi"/>
          <w:snapToGrid w:val="0"/>
          <w:lang w:val="en-GB"/>
        </w:rPr>
        <w:t>However, t</w:t>
      </w:r>
      <w:r w:rsidR="00467855" w:rsidRPr="14FD465E">
        <w:rPr>
          <w:rFonts w:asciiTheme="minorHAnsi" w:hAnsiTheme="minorHAnsi"/>
          <w:snapToGrid w:val="0"/>
          <w:lang w:val="en-GB"/>
        </w:rPr>
        <w:t xml:space="preserve">he </w:t>
      </w:r>
      <w:r w:rsidR="003C09B1" w:rsidRPr="14FD465E">
        <w:rPr>
          <w:rFonts w:asciiTheme="minorHAnsi" w:hAnsiTheme="minorHAnsi"/>
          <w:snapToGrid w:val="0"/>
          <w:lang w:val="en-GB"/>
        </w:rPr>
        <w:t xml:space="preserve">PBAC recalled that </w:t>
      </w:r>
      <w:r w:rsidR="009623F8" w:rsidRPr="14FD465E">
        <w:rPr>
          <w:rFonts w:asciiTheme="minorHAnsi" w:hAnsiTheme="minorHAnsi"/>
          <w:snapToGrid w:val="0"/>
          <w:lang w:val="en-GB"/>
        </w:rPr>
        <w:t xml:space="preserve">the </w:t>
      </w:r>
      <w:r w:rsidR="00467855" w:rsidRPr="14FD465E">
        <w:rPr>
          <w:rFonts w:asciiTheme="minorHAnsi" w:hAnsiTheme="minorHAnsi"/>
          <w:snapToGrid w:val="0"/>
          <w:lang w:val="en-GB"/>
        </w:rPr>
        <w:t xml:space="preserve">ESC previously considered that </w:t>
      </w:r>
      <w:r w:rsidR="00B16616" w:rsidRPr="14FD465E">
        <w:rPr>
          <w:rFonts w:asciiTheme="minorHAnsi" w:hAnsiTheme="minorHAnsi"/>
          <w:snapToGrid w:val="0"/>
          <w:lang w:val="en-GB"/>
        </w:rPr>
        <w:t>up to 24 months “</w:t>
      </w:r>
      <w:r w:rsidR="00467855" w:rsidRPr="14FD465E">
        <w:rPr>
          <w:rFonts w:asciiTheme="minorHAnsi" w:hAnsiTheme="minorHAnsi"/>
          <w:snapToGrid w:val="0"/>
          <w:lang w:val="en-GB"/>
        </w:rPr>
        <w:t xml:space="preserve">was an inappropriately long period of time for patients to be on treatment without assessing whether the benefits were outweighing the risks” (paragraph 3.3, </w:t>
      </w:r>
      <w:proofErr w:type="spellStart"/>
      <w:r w:rsidR="00467855" w:rsidRPr="14FD465E">
        <w:rPr>
          <w:rFonts w:asciiTheme="minorHAnsi" w:hAnsiTheme="minorHAnsi"/>
          <w:snapToGrid w:val="0"/>
          <w:lang w:val="en-GB"/>
        </w:rPr>
        <w:t>pegvaliase</w:t>
      </w:r>
      <w:proofErr w:type="spellEnd"/>
      <w:r w:rsidR="00467855" w:rsidRPr="14FD465E">
        <w:rPr>
          <w:rFonts w:asciiTheme="minorHAnsi" w:hAnsiTheme="minorHAnsi"/>
          <w:snapToGrid w:val="0"/>
          <w:lang w:val="en-GB"/>
        </w:rPr>
        <w:t xml:space="preserve"> PSD, July 2022 PBAC meeting). </w:t>
      </w:r>
      <w:r w:rsidR="00A427B5" w:rsidRPr="14FD465E">
        <w:rPr>
          <w:rFonts w:asciiTheme="minorHAnsi" w:hAnsiTheme="minorHAnsi"/>
          <w:snapToGrid w:val="0"/>
          <w:lang w:val="en-GB"/>
        </w:rPr>
        <w:t xml:space="preserve">The PBAC </w:t>
      </w:r>
      <w:r w:rsidR="00A84EF1" w:rsidRPr="14FD465E">
        <w:rPr>
          <w:rFonts w:asciiTheme="minorHAnsi" w:hAnsiTheme="minorHAnsi"/>
          <w:snapToGrid w:val="0"/>
          <w:lang w:val="en-GB"/>
        </w:rPr>
        <w:t>not</w:t>
      </w:r>
      <w:r w:rsidR="00A427B5" w:rsidRPr="14FD465E">
        <w:rPr>
          <w:rFonts w:asciiTheme="minorHAnsi" w:hAnsiTheme="minorHAnsi"/>
          <w:snapToGrid w:val="0"/>
          <w:lang w:val="en-GB"/>
        </w:rPr>
        <w:t xml:space="preserve">ed </w:t>
      </w:r>
      <w:r w:rsidR="00A84EF1" w:rsidRPr="14FD465E">
        <w:rPr>
          <w:rFonts w:asciiTheme="minorHAnsi" w:hAnsiTheme="minorHAnsi"/>
          <w:snapToGrid w:val="0"/>
          <w:lang w:val="en-GB"/>
        </w:rPr>
        <w:t>that</w:t>
      </w:r>
      <w:r w:rsidR="00A427B5" w:rsidRPr="14FD465E">
        <w:rPr>
          <w:rFonts w:asciiTheme="minorHAnsi" w:hAnsiTheme="minorHAnsi"/>
          <w:snapToGrid w:val="0"/>
          <w:lang w:val="en-GB"/>
        </w:rPr>
        <w:t xml:space="preserve"> </w:t>
      </w:r>
      <w:r w:rsidR="00760508" w:rsidRPr="14FD465E">
        <w:rPr>
          <w:rFonts w:asciiTheme="minorHAnsi" w:hAnsiTheme="minorHAnsi"/>
          <w:snapToGrid w:val="0"/>
          <w:lang w:val="en-GB"/>
        </w:rPr>
        <w:t xml:space="preserve">the Product Information states </w:t>
      </w:r>
      <w:r w:rsidR="00110AB7" w:rsidRPr="14FD465E">
        <w:rPr>
          <w:rFonts w:asciiTheme="minorHAnsi" w:hAnsiTheme="minorHAnsi"/>
          <w:snapToGrid w:val="0"/>
          <w:lang w:val="en-GB"/>
        </w:rPr>
        <w:t xml:space="preserve">‘The majority of patients (67%) reached a response by 18 months of total treatment. An additional 8% of patients responded after 18 months of treatment. If a patient does not reach a clinically relevant blood phenylalanine reduction after 18 months of treatment, continuation should be reconsidered. The physician may decide, with the patient, to continue </w:t>
      </w:r>
      <w:proofErr w:type="spellStart"/>
      <w:r w:rsidR="00F9126F" w:rsidRPr="14FD465E">
        <w:rPr>
          <w:rFonts w:asciiTheme="minorHAnsi" w:hAnsiTheme="minorHAnsi"/>
          <w:snapToGrid w:val="0"/>
          <w:lang w:val="en-GB"/>
        </w:rPr>
        <w:t>pegvaliase</w:t>
      </w:r>
      <w:proofErr w:type="spellEnd"/>
      <w:r w:rsidR="00110AB7" w:rsidRPr="14FD465E">
        <w:rPr>
          <w:rFonts w:asciiTheme="minorHAnsi" w:hAnsiTheme="minorHAnsi"/>
          <w:snapToGrid w:val="0"/>
          <w:lang w:val="en-GB"/>
        </w:rPr>
        <w:t xml:space="preserve"> treatment in those patients who show other beneficial effects (e.g., ability to increase protein intake from intact food or improvement of neurocognitive symptoms)’.</w:t>
      </w:r>
      <w:r w:rsidR="00F9126F" w:rsidRPr="14FD465E">
        <w:rPr>
          <w:rFonts w:asciiTheme="minorHAnsi" w:hAnsiTheme="minorHAnsi"/>
          <w:snapToGrid w:val="0"/>
          <w:lang w:val="en-GB"/>
        </w:rPr>
        <w:t xml:space="preserve"> The PBAC considered that it may be </w:t>
      </w:r>
      <w:r w:rsidR="003B5FA0" w:rsidRPr="14FD465E">
        <w:rPr>
          <w:rFonts w:asciiTheme="minorHAnsi" w:hAnsiTheme="minorHAnsi"/>
          <w:snapToGrid w:val="0"/>
          <w:lang w:val="en-GB"/>
        </w:rPr>
        <w:t>reasonable to assess response at 18 months</w:t>
      </w:r>
      <w:r w:rsidR="00C41440" w:rsidRPr="14FD465E">
        <w:rPr>
          <w:rFonts w:asciiTheme="minorHAnsi" w:hAnsiTheme="minorHAnsi"/>
          <w:snapToGrid w:val="0"/>
          <w:lang w:val="en-GB"/>
        </w:rPr>
        <w:t xml:space="preserve">, with patients </w:t>
      </w:r>
      <w:r w:rsidR="00C41440" w:rsidRPr="14FD465E">
        <w:rPr>
          <w:rFonts w:asciiTheme="minorHAnsi" w:hAnsiTheme="minorHAnsi"/>
          <w:snapToGrid w:val="0"/>
          <w:lang w:val="en-GB"/>
        </w:rPr>
        <w:lastRenderedPageBreak/>
        <w:t>who have not reached</w:t>
      </w:r>
      <w:r w:rsidR="003B5FA0" w:rsidRPr="14FD465E">
        <w:rPr>
          <w:rFonts w:asciiTheme="minorHAnsi" w:hAnsiTheme="minorHAnsi"/>
          <w:snapToGrid w:val="0"/>
          <w:lang w:val="en-GB"/>
        </w:rPr>
        <w:t xml:space="preserve"> </w:t>
      </w:r>
      <w:r w:rsidR="00C41440" w:rsidRPr="14FD465E">
        <w:rPr>
          <w:rFonts w:asciiTheme="minorHAnsi" w:hAnsiTheme="minorHAnsi"/>
          <w:snapToGrid w:val="0"/>
          <w:lang w:val="en-GB"/>
        </w:rPr>
        <w:t xml:space="preserve">target </w:t>
      </w:r>
      <w:proofErr w:type="spellStart"/>
      <w:r w:rsidR="00C41440" w:rsidRPr="14FD465E">
        <w:rPr>
          <w:rFonts w:asciiTheme="minorHAnsi" w:hAnsiTheme="minorHAnsi"/>
          <w:snapToGrid w:val="0"/>
          <w:lang w:val="en-GB"/>
        </w:rPr>
        <w:t>Phe</w:t>
      </w:r>
      <w:proofErr w:type="spellEnd"/>
      <w:r w:rsidR="00C41440" w:rsidRPr="14FD465E">
        <w:rPr>
          <w:rFonts w:asciiTheme="minorHAnsi" w:hAnsiTheme="minorHAnsi"/>
          <w:snapToGrid w:val="0"/>
          <w:lang w:val="en-GB"/>
        </w:rPr>
        <w:t xml:space="preserve"> levels being able to con</w:t>
      </w:r>
      <w:r w:rsidR="003B5FA0" w:rsidRPr="14FD465E">
        <w:rPr>
          <w:rFonts w:asciiTheme="minorHAnsi" w:hAnsiTheme="minorHAnsi"/>
          <w:snapToGrid w:val="0"/>
          <w:lang w:val="en-GB"/>
        </w:rPr>
        <w:t xml:space="preserve">tinue for </w:t>
      </w:r>
      <w:r w:rsidR="00E2215D" w:rsidRPr="14FD465E">
        <w:rPr>
          <w:rFonts w:asciiTheme="minorHAnsi" w:hAnsiTheme="minorHAnsi"/>
          <w:snapToGrid w:val="0"/>
          <w:lang w:val="en-GB"/>
        </w:rPr>
        <w:t xml:space="preserve">a </w:t>
      </w:r>
      <w:r w:rsidR="003B5FA0" w:rsidRPr="14FD465E">
        <w:rPr>
          <w:rFonts w:asciiTheme="minorHAnsi" w:hAnsiTheme="minorHAnsi"/>
          <w:snapToGrid w:val="0"/>
          <w:lang w:val="en-GB"/>
        </w:rPr>
        <w:t>further 6 months</w:t>
      </w:r>
      <w:r w:rsidR="00B25160" w:rsidRPr="14FD465E">
        <w:rPr>
          <w:rFonts w:asciiTheme="minorHAnsi" w:hAnsiTheme="minorHAnsi"/>
          <w:snapToGrid w:val="0"/>
          <w:lang w:val="en-GB"/>
        </w:rPr>
        <w:t xml:space="preserve"> </w:t>
      </w:r>
      <w:r w:rsidR="1646C51C" w:rsidRPr="24A91BD9">
        <w:rPr>
          <w:rFonts w:asciiTheme="minorHAnsi" w:hAnsiTheme="minorHAnsi"/>
          <w:lang w:val="en-GB"/>
        </w:rPr>
        <w:t xml:space="preserve">(i.e., total duration of 24 months of therapy) </w:t>
      </w:r>
      <w:r w:rsidR="00B25160" w:rsidRPr="14FD465E">
        <w:rPr>
          <w:rFonts w:asciiTheme="minorHAnsi" w:hAnsiTheme="minorHAnsi"/>
          <w:snapToGrid w:val="0"/>
          <w:lang w:val="en-GB"/>
        </w:rPr>
        <w:t>only</w:t>
      </w:r>
      <w:r w:rsidR="003B5FA0" w:rsidRPr="14FD465E">
        <w:rPr>
          <w:rFonts w:asciiTheme="minorHAnsi" w:hAnsiTheme="minorHAnsi"/>
          <w:snapToGrid w:val="0"/>
          <w:lang w:val="en-GB"/>
        </w:rPr>
        <w:t xml:space="preserve"> if </w:t>
      </w:r>
      <w:r w:rsidR="009B008E" w:rsidRPr="14FD465E">
        <w:rPr>
          <w:rFonts w:asciiTheme="minorHAnsi" w:hAnsiTheme="minorHAnsi"/>
          <w:snapToGrid w:val="0"/>
          <w:lang w:val="en-GB"/>
        </w:rPr>
        <w:t>they have experienced</w:t>
      </w:r>
      <w:r w:rsidR="003B5FA0" w:rsidRPr="14FD465E">
        <w:rPr>
          <w:rFonts w:asciiTheme="minorHAnsi" w:hAnsiTheme="minorHAnsi"/>
          <w:snapToGrid w:val="0"/>
          <w:lang w:val="en-GB"/>
        </w:rPr>
        <w:t xml:space="preserve"> improvements in protein tolerance and/or neurocognitive function</w:t>
      </w:r>
      <w:r w:rsidR="00FB6CA6" w:rsidRPr="14FD465E">
        <w:rPr>
          <w:rFonts w:asciiTheme="minorHAnsi" w:hAnsiTheme="minorHAnsi"/>
          <w:snapToGrid w:val="0"/>
          <w:lang w:val="en-GB"/>
        </w:rPr>
        <w:t>.</w:t>
      </w:r>
      <w:r w:rsidR="00A66F90" w:rsidRPr="14FD465E">
        <w:rPr>
          <w:rFonts w:asciiTheme="minorHAnsi" w:hAnsiTheme="minorHAnsi"/>
          <w:snapToGrid w:val="0"/>
          <w:lang w:val="en-GB"/>
        </w:rPr>
        <w:t xml:space="preserve"> This was supported by the </w:t>
      </w:r>
      <w:r w:rsidR="00A427B5" w:rsidRPr="14FD465E">
        <w:rPr>
          <w:rFonts w:asciiTheme="minorHAnsi" w:hAnsiTheme="minorHAnsi"/>
          <w:snapToGrid w:val="0"/>
          <w:lang w:val="en-GB"/>
        </w:rPr>
        <w:t xml:space="preserve">clinician input (refer to paragraph </w:t>
      </w:r>
      <w:r w:rsidR="0009561B" w:rsidRPr="14FD465E">
        <w:rPr>
          <w:rFonts w:asciiTheme="minorHAnsi" w:hAnsiTheme="minorHAnsi"/>
          <w:snapToGrid w:val="0"/>
          <w:lang w:val="en-GB"/>
        </w:rPr>
        <w:fldChar w:fldCharType="begin"/>
      </w:r>
      <w:r w:rsidR="0009561B" w:rsidRPr="14FD465E">
        <w:rPr>
          <w:rFonts w:asciiTheme="minorHAnsi" w:hAnsiTheme="minorHAnsi"/>
          <w:snapToGrid w:val="0"/>
          <w:lang w:val="en-GB"/>
        </w:rPr>
        <w:instrText xml:space="preserve"> REF _Ref225420172 \r \h </w:instrText>
      </w:r>
      <w:r w:rsidR="008A1F9E" w:rsidRPr="14FD465E">
        <w:rPr>
          <w:rFonts w:asciiTheme="minorHAnsi" w:hAnsiTheme="minorHAnsi"/>
          <w:snapToGrid w:val="0"/>
          <w:lang w:val="en-GB"/>
        </w:rPr>
        <w:instrText xml:space="preserve"> \* MERGEFORMAT </w:instrText>
      </w:r>
      <w:r w:rsidR="0009561B" w:rsidRPr="14FD465E">
        <w:rPr>
          <w:rFonts w:asciiTheme="minorHAnsi" w:hAnsiTheme="minorHAnsi"/>
          <w:snapToGrid w:val="0"/>
          <w:lang w:val="en-GB"/>
        </w:rPr>
      </w:r>
      <w:r w:rsidR="0009561B" w:rsidRPr="14FD465E">
        <w:rPr>
          <w:rFonts w:asciiTheme="minorHAnsi" w:hAnsiTheme="minorHAnsi"/>
          <w:snapToGrid w:val="0"/>
          <w:lang w:val="en-GB"/>
        </w:rPr>
        <w:fldChar w:fldCharType="separate"/>
      </w:r>
      <w:r w:rsidR="005F29BB">
        <w:rPr>
          <w:rFonts w:asciiTheme="minorHAnsi" w:hAnsiTheme="minorHAnsi"/>
          <w:snapToGrid w:val="0"/>
          <w:lang w:val="en-GB"/>
        </w:rPr>
        <w:t>6.4</w:t>
      </w:r>
      <w:r w:rsidR="0009561B" w:rsidRPr="14FD465E">
        <w:rPr>
          <w:rFonts w:asciiTheme="minorHAnsi" w:hAnsiTheme="minorHAnsi"/>
          <w:snapToGrid w:val="0"/>
          <w:lang w:val="en-GB"/>
        </w:rPr>
        <w:fldChar w:fldCharType="end"/>
      </w:r>
      <w:r w:rsidR="00A427B5" w:rsidRPr="14FD465E">
        <w:rPr>
          <w:rFonts w:asciiTheme="minorHAnsi" w:hAnsiTheme="minorHAnsi"/>
          <w:snapToGrid w:val="0"/>
          <w:lang w:val="en-GB"/>
        </w:rPr>
        <w:t xml:space="preserve">) </w:t>
      </w:r>
      <w:r w:rsidR="00A66F90" w:rsidRPr="14FD465E">
        <w:rPr>
          <w:rFonts w:asciiTheme="minorHAnsi" w:hAnsiTheme="minorHAnsi"/>
          <w:snapToGrid w:val="0"/>
          <w:lang w:val="en-GB"/>
        </w:rPr>
        <w:t xml:space="preserve">which </w:t>
      </w:r>
      <w:r w:rsidR="00A84EF1" w:rsidRPr="14FD465E">
        <w:rPr>
          <w:rFonts w:asciiTheme="minorHAnsi" w:hAnsiTheme="minorHAnsi"/>
          <w:snapToGrid w:val="0"/>
          <w:lang w:val="en-GB"/>
        </w:rPr>
        <w:t>generally agreed with th</w:t>
      </w:r>
      <w:r w:rsidR="00A66F90" w:rsidRPr="14FD465E">
        <w:rPr>
          <w:rFonts w:asciiTheme="minorHAnsi" w:hAnsiTheme="minorHAnsi"/>
          <w:snapToGrid w:val="0"/>
          <w:lang w:val="en-GB"/>
        </w:rPr>
        <w:t xml:space="preserve">e resubmission’s proposed </w:t>
      </w:r>
      <w:r w:rsidR="00A84EF1" w:rsidRPr="14FD465E">
        <w:rPr>
          <w:rFonts w:asciiTheme="minorHAnsi" w:hAnsiTheme="minorHAnsi"/>
          <w:snapToGrid w:val="0"/>
          <w:lang w:val="en-GB"/>
        </w:rPr>
        <w:t>time</w:t>
      </w:r>
      <w:r w:rsidR="002C37C4" w:rsidRPr="14FD465E">
        <w:rPr>
          <w:rFonts w:asciiTheme="minorHAnsi" w:hAnsiTheme="minorHAnsi"/>
          <w:snapToGrid w:val="0"/>
          <w:lang w:val="en-GB"/>
        </w:rPr>
        <w:t>f</w:t>
      </w:r>
      <w:r w:rsidR="00A84EF1" w:rsidRPr="14FD465E">
        <w:rPr>
          <w:rFonts w:asciiTheme="minorHAnsi" w:hAnsiTheme="minorHAnsi"/>
          <w:snapToGrid w:val="0"/>
          <w:lang w:val="en-GB"/>
        </w:rPr>
        <w:t>rame</w:t>
      </w:r>
      <w:r w:rsidR="00C0598A" w:rsidRPr="14FD465E">
        <w:rPr>
          <w:rFonts w:asciiTheme="minorHAnsi" w:hAnsiTheme="minorHAnsi"/>
          <w:snapToGrid w:val="0"/>
          <w:lang w:val="en-GB"/>
        </w:rPr>
        <w:t xml:space="preserve"> (i.e. up to 24 months)</w:t>
      </w:r>
      <w:r w:rsidR="00A66F90" w:rsidRPr="14FD465E">
        <w:rPr>
          <w:rFonts w:asciiTheme="minorHAnsi" w:hAnsiTheme="minorHAnsi"/>
          <w:snapToGrid w:val="0"/>
          <w:lang w:val="en-GB"/>
        </w:rPr>
        <w:t xml:space="preserve">, </w:t>
      </w:r>
      <w:r w:rsidR="00C0598A" w:rsidRPr="14FD465E">
        <w:rPr>
          <w:rFonts w:asciiTheme="minorHAnsi" w:hAnsiTheme="minorHAnsi"/>
          <w:snapToGrid w:val="0"/>
          <w:lang w:val="en-GB"/>
        </w:rPr>
        <w:t xml:space="preserve">with one suggesting </w:t>
      </w:r>
      <w:r w:rsidR="00E5523B" w:rsidRPr="14FD465E">
        <w:rPr>
          <w:rFonts w:asciiTheme="minorHAnsi" w:hAnsiTheme="minorHAnsi"/>
          <w:snapToGrid w:val="0"/>
          <w:lang w:val="en-GB"/>
        </w:rPr>
        <w:t xml:space="preserve">response assessment timepoints at 16-24 weeks, 52 weeks and 24 months for ‘slow </w:t>
      </w:r>
      <w:proofErr w:type="gramStart"/>
      <w:r w:rsidR="00E5523B" w:rsidRPr="14FD465E">
        <w:rPr>
          <w:rFonts w:asciiTheme="minorHAnsi" w:hAnsiTheme="minorHAnsi"/>
          <w:snapToGrid w:val="0"/>
          <w:lang w:val="en-GB"/>
        </w:rPr>
        <w:t>responders’</w:t>
      </w:r>
      <w:proofErr w:type="gramEnd"/>
      <w:r w:rsidR="00E5523B" w:rsidRPr="14FD465E">
        <w:rPr>
          <w:rFonts w:asciiTheme="minorHAnsi" w:hAnsiTheme="minorHAnsi"/>
          <w:snapToGrid w:val="0"/>
          <w:lang w:val="en-GB"/>
        </w:rPr>
        <w:t>.</w:t>
      </w:r>
      <w:bookmarkEnd w:id="118"/>
    </w:p>
    <w:p w14:paraId="364BB772" w14:textId="68E0659E" w:rsidR="00F75D73" w:rsidRDefault="008B0122" w:rsidP="00025AAC">
      <w:pPr>
        <w:numPr>
          <w:ilvl w:val="1"/>
          <w:numId w:val="73"/>
        </w:numPr>
        <w:suppressAutoHyphens w:val="0"/>
        <w:spacing w:after="120"/>
        <w:rPr>
          <w:rFonts w:asciiTheme="minorHAnsi" w:hAnsiTheme="minorHAnsi"/>
          <w:snapToGrid w:val="0"/>
          <w:lang w:val="en-GB"/>
        </w:rPr>
      </w:pPr>
      <w:r w:rsidRPr="00543A4C">
        <w:rPr>
          <w:rFonts w:asciiTheme="minorHAnsi" w:hAnsiTheme="minorHAnsi"/>
          <w:snapToGrid w:val="0"/>
          <w:lang w:val="en-GB"/>
        </w:rPr>
        <w:t xml:space="preserve">The requested restriction defined response as at least one of either </w:t>
      </w:r>
      <w:proofErr w:type="spellStart"/>
      <w:r w:rsidRPr="00543A4C">
        <w:rPr>
          <w:rFonts w:asciiTheme="minorHAnsi" w:hAnsiTheme="minorHAnsi"/>
          <w:snapToGrid w:val="0"/>
          <w:lang w:val="en-GB"/>
        </w:rPr>
        <w:t>Phe</w:t>
      </w:r>
      <w:proofErr w:type="spellEnd"/>
      <w:r w:rsidRPr="00543A4C">
        <w:rPr>
          <w:rFonts w:asciiTheme="minorHAnsi" w:hAnsiTheme="minorHAnsi"/>
          <w:snapToGrid w:val="0"/>
          <w:lang w:val="en-GB"/>
        </w:rPr>
        <w:t xml:space="preserve"> blood level &lt; 360 </w:t>
      </w:r>
      <w:proofErr w:type="spellStart"/>
      <w:r w:rsidRPr="00543A4C">
        <w:rPr>
          <w:rFonts w:asciiTheme="minorHAnsi" w:hAnsiTheme="minorHAnsi"/>
          <w:snapToGrid w:val="0"/>
          <w:lang w:val="en-GB"/>
        </w:rPr>
        <w:t>μmol</w:t>
      </w:r>
      <w:proofErr w:type="spellEnd"/>
      <w:r w:rsidRPr="00543A4C">
        <w:rPr>
          <w:rFonts w:asciiTheme="minorHAnsi" w:hAnsiTheme="minorHAnsi"/>
          <w:snapToGrid w:val="0"/>
          <w:lang w:val="en-GB"/>
        </w:rPr>
        <w:t>/L or a ≥ 5-point improvement in the inattention subscale of the Attention Deficit Hyperactivity Disorder Rating Scale (ADHD-RS) score. The PBAC agreed with clinician input (refer to paragraph</w:t>
      </w:r>
      <w:r w:rsidR="00526700">
        <w:rPr>
          <w:rFonts w:asciiTheme="minorHAnsi" w:hAnsiTheme="minorHAnsi"/>
          <w:snapToGrid w:val="0"/>
          <w:lang w:val="en-GB"/>
        </w:rPr>
        <w:t xml:space="preserve"> </w:t>
      </w:r>
      <w:r w:rsidR="0061408F">
        <w:rPr>
          <w:rFonts w:asciiTheme="minorHAnsi" w:hAnsiTheme="minorHAnsi"/>
          <w:snapToGrid w:val="0"/>
          <w:lang w:val="en-GB"/>
        </w:rPr>
        <w:fldChar w:fldCharType="begin"/>
      </w:r>
      <w:r w:rsidR="0061408F">
        <w:rPr>
          <w:rFonts w:asciiTheme="minorHAnsi" w:hAnsiTheme="minorHAnsi"/>
          <w:snapToGrid w:val="0"/>
          <w:lang w:val="en-GB"/>
        </w:rPr>
        <w:instrText xml:space="preserve"> REF _Ref225420172 \r \h </w:instrText>
      </w:r>
      <w:r w:rsidR="0061408F">
        <w:rPr>
          <w:rFonts w:asciiTheme="minorHAnsi" w:hAnsiTheme="minorHAnsi"/>
          <w:snapToGrid w:val="0"/>
          <w:lang w:val="en-GB"/>
        </w:rPr>
      </w:r>
      <w:r w:rsidR="0061408F">
        <w:rPr>
          <w:rFonts w:asciiTheme="minorHAnsi" w:hAnsiTheme="minorHAnsi"/>
          <w:snapToGrid w:val="0"/>
          <w:lang w:val="en-GB"/>
        </w:rPr>
        <w:fldChar w:fldCharType="separate"/>
      </w:r>
      <w:r w:rsidR="005F29BB">
        <w:rPr>
          <w:rFonts w:asciiTheme="minorHAnsi" w:hAnsiTheme="minorHAnsi"/>
          <w:snapToGrid w:val="0"/>
          <w:lang w:val="en-GB"/>
        </w:rPr>
        <w:t>6.4</w:t>
      </w:r>
      <w:r w:rsidR="0061408F">
        <w:rPr>
          <w:rFonts w:asciiTheme="minorHAnsi" w:hAnsiTheme="minorHAnsi"/>
          <w:snapToGrid w:val="0"/>
          <w:lang w:val="en-GB"/>
        </w:rPr>
        <w:fldChar w:fldCharType="end"/>
      </w:r>
      <w:r w:rsidR="009F218E" w:rsidRPr="00543A4C">
        <w:rPr>
          <w:rFonts w:asciiTheme="minorHAnsi" w:hAnsiTheme="minorHAnsi"/>
          <w:snapToGrid w:val="0"/>
          <w:lang w:val="en-GB"/>
        </w:rPr>
        <w:t xml:space="preserve">) that response should be based on </w:t>
      </w:r>
      <w:proofErr w:type="spellStart"/>
      <w:r w:rsidR="009F218E" w:rsidRPr="00543A4C">
        <w:rPr>
          <w:rFonts w:asciiTheme="minorHAnsi" w:hAnsiTheme="minorHAnsi"/>
          <w:snapToGrid w:val="0"/>
          <w:lang w:val="en-GB"/>
        </w:rPr>
        <w:t>Phe</w:t>
      </w:r>
      <w:proofErr w:type="spellEnd"/>
      <w:r w:rsidR="009F218E" w:rsidRPr="00543A4C">
        <w:rPr>
          <w:rFonts w:asciiTheme="minorHAnsi" w:hAnsiTheme="minorHAnsi"/>
          <w:snapToGrid w:val="0"/>
          <w:lang w:val="en-GB"/>
        </w:rPr>
        <w:t xml:space="preserve"> levels over a series of time (e.g. 4 samples</w:t>
      </w:r>
      <w:r w:rsidR="009F218E" w:rsidRPr="009F218E">
        <w:rPr>
          <w:rFonts w:asciiTheme="minorHAnsi" w:hAnsiTheme="minorHAnsi"/>
          <w:snapToGrid w:val="0"/>
          <w:lang w:val="en-GB"/>
        </w:rPr>
        <w:t xml:space="preserve"> in a one month period with &lt; 360 µmol/L)</w:t>
      </w:r>
      <w:r w:rsidR="009F218E">
        <w:rPr>
          <w:rFonts w:asciiTheme="minorHAnsi" w:hAnsiTheme="minorHAnsi"/>
          <w:snapToGrid w:val="0"/>
          <w:lang w:val="en-GB"/>
        </w:rPr>
        <w:t xml:space="preserve">, and that </w:t>
      </w:r>
      <w:r w:rsidR="009F218E" w:rsidRPr="009F218E">
        <w:rPr>
          <w:rFonts w:asciiTheme="minorHAnsi" w:hAnsiTheme="minorHAnsi"/>
          <w:snapToGrid w:val="0"/>
          <w:lang w:val="en-GB"/>
        </w:rPr>
        <w:t>ADHD</w:t>
      </w:r>
      <w:r w:rsidR="009F218E">
        <w:rPr>
          <w:rFonts w:asciiTheme="minorHAnsi" w:hAnsiTheme="minorHAnsi"/>
          <w:snapToGrid w:val="0"/>
          <w:lang w:val="en-GB"/>
        </w:rPr>
        <w:t>-RS</w:t>
      </w:r>
      <w:r w:rsidR="009F218E" w:rsidRPr="009F218E">
        <w:rPr>
          <w:rFonts w:asciiTheme="minorHAnsi" w:hAnsiTheme="minorHAnsi"/>
          <w:snapToGrid w:val="0"/>
          <w:lang w:val="en-GB"/>
        </w:rPr>
        <w:t xml:space="preserve"> scores </w:t>
      </w:r>
      <w:r w:rsidR="009F218E">
        <w:rPr>
          <w:rFonts w:asciiTheme="minorHAnsi" w:hAnsiTheme="minorHAnsi"/>
          <w:snapToGrid w:val="0"/>
          <w:lang w:val="en-GB"/>
        </w:rPr>
        <w:t xml:space="preserve">should not be part of the response assessment given </w:t>
      </w:r>
      <w:r w:rsidR="009F218E" w:rsidRPr="009F218E">
        <w:rPr>
          <w:rFonts w:asciiTheme="minorHAnsi" w:hAnsiTheme="minorHAnsi"/>
          <w:snapToGrid w:val="0"/>
          <w:lang w:val="en-GB"/>
        </w:rPr>
        <w:t>these are not validated</w:t>
      </w:r>
      <w:r w:rsidR="009F218E">
        <w:rPr>
          <w:rFonts w:asciiTheme="minorHAnsi" w:hAnsiTheme="minorHAnsi"/>
          <w:snapToGrid w:val="0"/>
          <w:lang w:val="en-GB"/>
        </w:rPr>
        <w:t xml:space="preserve"> for this purpose</w:t>
      </w:r>
      <w:r>
        <w:rPr>
          <w:rFonts w:asciiTheme="minorHAnsi" w:hAnsiTheme="minorHAnsi"/>
          <w:snapToGrid w:val="0"/>
          <w:lang w:val="en-GB"/>
        </w:rPr>
        <w:t>.</w:t>
      </w:r>
      <w:r w:rsidR="007D63D8">
        <w:rPr>
          <w:rFonts w:asciiTheme="minorHAnsi" w:hAnsiTheme="minorHAnsi"/>
          <w:snapToGrid w:val="0"/>
          <w:lang w:val="en-GB"/>
        </w:rPr>
        <w:t xml:space="preserve"> As noted in paragraph </w:t>
      </w:r>
      <w:r w:rsidR="007D63D8">
        <w:rPr>
          <w:rFonts w:asciiTheme="minorHAnsi" w:hAnsiTheme="minorHAnsi"/>
          <w:snapToGrid w:val="0"/>
          <w:lang w:val="en-GB"/>
        </w:rPr>
        <w:fldChar w:fldCharType="begin"/>
      </w:r>
      <w:r w:rsidR="007D63D8">
        <w:rPr>
          <w:rFonts w:asciiTheme="minorHAnsi" w:hAnsiTheme="minorHAnsi"/>
          <w:snapToGrid w:val="0"/>
          <w:lang w:val="en-GB"/>
        </w:rPr>
        <w:instrText xml:space="preserve"> REF _Ref225791105 \r \h </w:instrText>
      </w:r>
      <w:r w:rsidR="007D63D8">
        <w:rPr>
          <w:rFonts w:asciiTheme="minorHAnsi" w:hAnsiTheme="minorHAnsi"/>
          <w:snapToGrid w:val="0"/>
          <w:lang w:val="en-GB"/>
        </w:rPr>
      </w:r>
      <w:r w:rsidR="007D63D8">
        <w:rPr>
          <w:rFonts w:asciiTheme="minorHAnsi" w:hAnsiTheme="minorHAnsi"/>
          <w:snapToGrid w:val="0"/>
          <w:lang w:val="en-GB"/>
        </w:rPr>
        <w:fldChar w:fldCharType="separate"/>
      </w:r>
      <w:r w:rsidR="00E24060">
        <w:rPr>
          <w:rFonts w:asciiTheme="minorHAnsi" w:hAnsiTheme="minorHAnsi"/>
          <w:snapToGrid w:val="0"/>
          <w:lang w:val="en-GB"/>
        </w:rPr>
        <w:t>7.6</w:t>
      </w:r>
      <w:r w:rsidR="007D63D8">
        <w:rPr>
          <w:rFonts w:asciiTheme="minorHAnsi" w:hAnsiTheme="minorHAnsi"/>
          <w:snapToGrid w:val="0"/>
          <w:lang w:val="en-GB"/>
        </w:rPr>
        <w:fldChar w:fldCharType="end"/>
      </w:r>
      <w:r w:rsidR="007D63D8">
        <w:rPr>
          <w:rFonts w:asciiTheme="minorHAnsi" w:hAnsiTheme="minorHAnsi"/>
          <w:snapToGrid w:val="0"/>
          <w:lang w:val="en-GB"/>
        </w:rPr>
        <w:t>, t</w:t>
      </w:r>
      <w:r w:rsidR="00620CB4">
        <w:rPr>
          <w:rFonts w:asciiTheme="minorHAnsi" w:hAnsiTheme="minorHAnsi"/>
          <w:snapToGrid w:val="0"/>
          <w:lang w:val="en-GB"/>
        </w:rPr>
        <w:t xml:space="preserve">he PBAC considered there may be a role for response assessment to be based on </w:t>
      </w:r>
      <w:r w:rsidR="00BB39EA">
        <w:rPr>
          <w:rFonts w:asciiTheme="minorHAnsi" w:hAnsiTheme="minorHAnsi"/>
          <w:snapToGrid w:val="0"/>
          <w:lang w:val="en-GB"/>
        </w:rPr>
        <w:t xml:space="preserve">protein tolerance </w:t>
      </w:r>
      <w:r w:rsidR="007D63D8" w:rsidRPr="00A66F90">
        <w:rPr>
          <w:rFonts w:asciiTheme="minorHAnsi" w:hAnsiTheme="minorHAnsi"/>
          <w:snapToGrid w:val="0"/>
          <w:lang w:val="en-GB"/>
        </w:rPr>
        <w:t>and/or neurocognitive function</w:t>
      </w:r>
      <w:r w:rsidR="007D63D8">
        <w:rPr>
          <w:rFonts w:asciiTheme="minorHAnsi" w:hAnsiTheme="minorHAnsi"/>
          <w:snapToGrid w:val="0"/>
          <w:lang w:val="en-GB"/>
        </w:rPr>
        <w:t xml:space="preserve"> </w:t>
      </w:r>
      <w:r w:rsidR="00BB39EA">
        <w:rPr>
          <w:rFonts w:asciiTheme="minorHAnsi" w:hAnsiTheme="minorHAnsi"/>
          <w:snapToGrid w:val="0"/>
          <w:lang w:val="en-GB"/>
        </w:rPr>
        <w:t xml:space="preserve">at 18 months. </w:t>
      </w:r>
    </w:p>
    <w:p w14:paraId="554A4B62" w14:textId="436713D6" w:rsidR="009944F6" w:rsidRPr="001A3484" w:rsidRDefault="00636EBE" w:rsidP="00025AAC">
      <w:pPr>
        <w:numPr>
          <w:ilvl w:val="1"/>
          <w:numId w:val="73"/>
        </w:numPr>
        <w:suppressAutoHyphens w:val="0"/>
        <w:spacing w:after="120"/>
        <w:rPr>
          <w:rFonts w:asciiTheme="minorHAnsi" w:hAnsiTheme="minorHAnsi"/>
          <w:snapToGrid w:val="0"/>
        </w:rPr>
      </w:pPr>
      <w:bookmarkStart w:id="119" w:name="_Ref225835970"/>
      <w:r w:rsidRPr="14FD465E">
        <w:rPr>
          <w:rFonts w:asciiTheme="minorHAnsi" w:hAnsiTheme="minorHAnsi"/>
          <w:snapToGrid w:val="0"/>
        </w:rPr>
        <w:t xml:space="preserve">The </w:t>
      </w:r>
      <w:proofErr w:type="spellStart"/>
      <w:r w:rsidRPr="14FD465E">
        <w:rPr>
          <w:rFonts w:asciiTheme="minorHAnsi" w:hAnsiTheme="minorHAnsi"/>
          <w:snapToGrid w:val="0"/>
        </w:rPr>
        <w:t>pegvaliase</w:t>
      </w:r>
      <w:proofErr w:type="spellEnd"/>
      <w:r w:rsidRPr="14FD465E">
        <w:rPr>
          <w:rFonts w:asciiTheme="minorHAnsi" w:hAnsiTheme="minorHAnsi"/>
          <w:snapToGrid w:val="0"/>
        </w:rPr>
        <w:t xml:space="preserve"> Product Information states ‘patients should be instructed to carry an adrenaline injection device with them at all times during </w:t>
      </w:r>
      <w:proofErr w:type="spellStart"/>
      <w:r w:rsidRPr="14FD465E">
        <w:rPr>
          <w:rFonts w:asciiTheme="minorHAnsi" w:hAnsiTheme="minorHAnsi"/>
          <w:snapToGrid w:val="0"/>
        </w:rPr>
        <w:t>pegvaliase</w:t>
      </w:r>
      <w:proofErr w:type="spellEnd"/>
      <w:r w:rsidRPr="14FD465E">
        <w:rPr>
          <w:rFonts w:asciiTheme="minorHAnsi" w:hAnsiTheme="minorHAnsi"/>
          <w:snapToGrid w:val="0"/>
        </w:rPr>
        <w:t xml:space="preserve"> treatment</w:t>
      </w:r>
      <w:r w:rsidR="00526700">
        <w:rPr>
          <w:rFonts w:asciiTheme="minorHAnsi" w:hAnsiTheme="minorHAnsi"/>
          <w:snapToGrid w:val="0"/>
        </w:rPr>
        <w:t>.</w:t>
      </w:r>
      <w:r w:rsidRPr="14FD465E">
        <w:rPr>
          <w:rFonts w:asciiTheme="minorHAnsi" w:hAnsiTheme="minorHAnsi"/>
          <w:snapToGrid w:val="0"/>
        </w:rPr>
        <w:t xml:space="preserve">’ </w:t>
      </w:r>
      <w:r w:rsidR="00A1351E" w:rsidRPr="14FD465E">
        <w:rPr>
          <w:rFonts w:asciiTheme="minorHAnsi" w:hAnsiTheme="minorHAnsi"/>
          <w:snapToGrid w:val="0"/>
        </w:rPr>
        <w:t>However, th</w:t>
      </w:r>
      <w:r w:rsidR="00B241F5" w:rsidRPr="14FD465E">
        <w:rPr>
          <w:rFonts w:asciiTheme="minorHAnsi" w:hAnsiTheme="minorHAnsi"/>
          <w:snapToGrid w:val="0"/>
        </w:rPr>
        <w:t xml:space="preserve">e PBAC considered it remained unclear how patients would access </w:t>
      </w:r>
      <w:r w:rsidR="00FB3E01" w:rsidRPr="14FD465E">
        <w:rPr>
          <w:rFonts w:asciiTheme="minorHAnsi" w:hAnsiTheme="minorHAnsi"/>
          <w:snapToGrid w:val="0"/>
        </w:rPr>
        <w:t xml:space="preserve">adrenaline auto-injectors in practice given </w:t>
      </w:r>
      <w:r w:rsidRPr="14FD465E">
        <w:rPr>
          <w:rFonts w:asciiTheme="minorHAnsi" w:hAnsiTheme="minorHAnsi"/>
          <w:snapToGrid w:val="0"/>
        </w:rPr>
        <w:t xml:space="preserve">PBS supply must be initiated by, or in consultation with a clinical immunologist / allergist / paediatrician / respiratory physician (or patients discharged from hospital or an emergency department after treatment with adrenaline). The PSCR </w:t>
      </w:r>
      <w:r w:rsidR="00E07FD8" w:rsidRPr="14FD465E">
        <w:rPr>
          <w:rFonts w:asciiTheme="minorHAnsi" w:hAnsiTheme="minorHAnsi"/>
          <w:snapToGrid w:val="0"/>
        </w:rPr>
        <w:t xml:space="preserve">indicated that </w:t>
      </w:r>
      <w:r w:rsidRPr="14FD465E">
        <w:rPr>
          <w:rFonts w:asciiTheme="minorHAnsi" w:hAnsiTheme="minorHAnsi"/>
          <w:snapToGrid w:val="0"/>
        </w:rPr>
        <w:t>metabolic physicians</w:t>
      </w:r>
      <w:r w:rsidR="00E07FD8" w:rsidRPr="14FD465E">
        <w:rPr>
          <w:rFonts w:asciiTheme="minorHAnsi" w:hAnsiTheme="minorHAnsi"/>
          <w:snapToGrid w:val="0"/>
        </w:rPr>
        <w:t xml:space="preserve"> could</w:t>
      </w:r>
      <w:r w:rsidRPr="14FD465E">
        <w:rPr>
          <w:rFonts w:asciiTheme="minorHAnsi" w:hAnsiTheme="minorHAnsi"/>
          <w:snapToGrid w:val="0"/>
        </w:rPr>
        <w:t xml:space="preserve"> consult with relevant specialists</w:t>
      </w:r>
      <w:r w:rsidR="003662B2" w:rsidRPr="14FD465E">
        <w:rPr>
          <w:rFonts w:asciiTheme="minorHAnsi" w:hAnsiTheme="minorHAnsi"/>
          <w:snapToGrid w:val="0"/>
        </w:rPr>
        <w:t xml:space="preserve">, however the PBAC </w:t>
      </w:r>
      <w:r w:rsidR="00E26A4A" w:rsidRPr="14FD465E">
        <w:rPr>
          <w:rFonts w:asciiTheme="minorHAnsi" w:hAnsiTheme="minorHAnsi"/>
          <w:snapToGrid w:val="0"/>
        </w:rPr>
        <w:t xml:space="preserve">noted that some of the clinicians / groups specialising in metabolic conditions (who were consulted about specific issues) indicated this may not always be feasible (refer to paragraph </w:t>
      </w:r>
      <w:r w:rsidR="00E26A4A" w:rsidRPr="14FD465E">
        <w:rPr>
          <w:rFonts w:asciiTheme="minorHAnsi" w:hAnsiTheme="minorHAnsi"/>
          <w:snapToGrid w:val="0"/>
          <w:lang w:val="en-GB"/>
        </w:rPr>
        <w:fldChar w:fldCharType="begin"/>
      </w:r>
      <w:r w:rsidR="00E26A4A" w:rsidRPr="14FD465E">
        <w:rPr>
          <w:rFonts w:asciiTheme="minorHAnsi" w:hAnsiTheme="minorHAnsi"/>
          <w:snapToGrid w:val="0"/>
          <w:lang w:val="en-GB"/>
        </w:rPr>
        <w:instrText xml:space="preserve"> REF _Ref225420172 \r \h  \* MERGEFORMAT </w:instrText>
      </w:r>
      <w:r w:rsidR="00E26A4A" w:rsidRPr="14FD465E">
        <w:rPr>
          <w:rFonts w:asciiTheme="minorHAnsi" w:hAnsiTheme="minorHAnsi"/>
          <w:snapToGrid w:val="0"/>
          <w:lang w:val="en-GB"/>
        </w:rPr>
      </w:r>
      <w:r w:rsidR="00E26A4A" w:rsidRPr="14FD465E">
        <w:rPr>
          <w:rFonts w:asciiTheme="minorHAnsi" w:hAnsiTheme="minorHAnsi"/>
          <w:snapToGrid w:val="0"/>
          <w:lang w:val="en-GB"/>
        </w:rPr>
        <w:fldChar w:fldCharType="separate"/>
      </w:r>
      <w:r w:rsidR="005F29BB" w:rsidRPr="005F29BB">
        <w:rPr>
          <w:rFonts w:asciiTheme="minorHAnsi" w:hAnsiTheme="minorHAnsi"/>
          <w:snapToGrid w:val="0"/>
        </w:rPr>
        <w:t>6.4</w:t>
      </w:r>
      <w:r w:rsidR="00E26A4A" w:rsidRPr="14FD465E">
        <w:rPr>
          <w:rFonts w:asciiTheme="minorHAnsi" w:hAnsiTheme="minorHAnsi"/>
          <w:snapToGrid w:val="0"/>
          <w:lang w:val="en-GB"/>
        </w:rPr>
        <w:fldChar w:fldCharType="end"/>
      </w:r>
      <w:r w:rsidR="00E26A4A" w:rsidRPr="14FD465E">
        <w:rPr>
          <w:rFonts w:asciiTheme="minorHAnsi" w:hAnsiTheme="minorHAnsi"/>
          <w:snapToGrid w:val="0"/>
        </w:rPr>
        <w:t>).</w:t>
      </w:r>
      <w:r w:rsidR="00025AAC">
        <w:rPr>
          <w:rFonts w:asciiTheme="minorHAnsi" w:hAnsiTheme="minorHAnsi"/>
          <w:snapToGrid w:val="0"/>
        </w:rPr>
        <w:t xml:space="preserve"> </w:t>
      </w:r>
      <w:bookmarkEnd w:id="119"/>
    </w:p>
    <w:p w14:paraId="17722A38" w14:textId="0865C4F9" w:rsidR="00920030" w:rsidRDefault="00762ACB" w:rsidP="00025AAC">
      <w:pPr>
        <w:numPr>
          <w:ilvl w:val="1"/>
          <w:numId w:val="73"/>
        </w:numPr>
        <w:suppressAutoHyphens w:val="0"/>
        <w:spacing w:after="120"/>
        <w:rPr>
          <w:rFonts w:asciiTheme="minorHAnsi" w:hAnsiTheme="minorHAnsi"/>
          <w:snapToGrid w:val="0"/>
          <w:lang w:val="en-GB"/>
        </w:rPr>
      </w:pPr>
      <w:bookmarkStart w:id="120" w:name="_Ref225835940"/>
      <w:proofErr w:type="gramStart"/>
      <w:r>
        <w:rPr>
          <w:rFonts w:asciiTheme="minorHAnsi" w:hAnsiTheme="minorHAnsi"/>
          <w:snapToGrid w:val="0"/>
          <w:lang w:val="en-GB"/>
        </w:rPr>
        <w:t>With regard to</w:t>
      </w:r>
      <w:proofErr w:type="gramEnd"/>
      <w:r>
        <w:rPr>
          <w:rFonts w:asciiTheme="minorHAnsi" w:hAnsiTheme="minorHAnsi"/>
          <w:snapToGrid w:val="0"/>
          <w:lang w:val="en-GB"/>
        </w:rPr>
        <w:t xml:space="preserve"> </w:t>
      </w:r>
      <w:r w:rsidR="008772E6">
        <w:rPr>
          <w:rFonts w:asciiTheme="minorHAnsi" w:hAnsiTheme="minorHAnsi"/>
          <w:snapToGrid w:val="0"/>
          <w:lang w:val="en-GB"/>
        </w:rPr>
        <w:t xml:space="preserve">other elements of </w:t>
      </w:r>
      <w:r>
        <w:rPr>
          <w:rFonts w:asciiTheme="minorHAnsi" w:hAnsiTheme="minorHAnsi"/>
          <w:snapToGrid w:val="0"/>
          <w:lang w:val="en-GB"/>
        </w:rPr>
        <w:t xml:space="preserve">the </w:t>
      </w:r>
      <w:r w:rsidR="00920030">
        <w:rPr>
          <w:rFonts w:asciiTheme="minorHAnsi" w:hAnsiTheme="minorHAnsi"/>
          <w:snapToGrid w:val="0"/>
          <w:lang w:val="en-GB"/>
        </w:rPr>
        <w:t>r</w:t>
      </w:r>
      <w:r w:rsidRPr="00AA4E1C">
        <w:rPr>
          <w:rFonts w:asciiTheme="minorHAnsi" w:hAnsiTheme="minorHAnsi"/>
          <w:snapToGrid w:val="0"/>
          <w:lang w:val="en-GB"/>
        </w:rPr>
        <w:t>equested listing</w:t>
      </w:r>
      <w:r w:rsidR="00920030">
        <w:rPr>
          <w:rFonts w:asciiTheme="minorHAnsi" w:hAnsiTheme="minorHAnsi"/>
          <w:snapToGrid w:val="0"/>
          <w:lang w:val="en-GB"/>
        </w:rPr>
        <w:t xml:space="preserve">, the PBAC </w:t>
      </w:r>
      <w:r w:rsidR="00DA199E">
        <w:rPr>
          <w:rFonts w:asciiTheme="minorHAnsi" w:hAnsiTheme="minorHAnsi"/>
          <w:snapToGrid w:val="0"/>
          <w:lang w:val="en-GB"/>
        </w:rPr>
        <w:t xml:space="preserve">was of a mind </w:t>
      </w:r>
      <w:r w:rsidR="3940B572" w:rsidRPr="0C90D5AB">
        <w:rPr>
          <w:rFonts w:asciiTheme="minorHAnsi" w:hAnsiTheme="minorHAnsi"/>
          <w:snapToGrid w:val="0"/>
          <w:lang w:val="en-GB"/>
        </w:rPr>
        <w:t>that</w:t>
      </w:r>
      <w:r w:rsidR="00920030">
        <w:rPr>
          <w:rFonts w:asciiTheme="minorHAnsi" w:hAnsiTheme="minorHAnsi"/>
          <w:snapToGrid w:val="0"/>
          <w:lang w:val="en-GB"/>
        </w:rPr>
        <w:t>:</w:t>
      </w:r>
      <w:bookmarkEnd w:id="120"/>
    </w:p>
    <w:p w14:paraId="7AB2BDB7" w14:textId="59506FBA" w:rsidR="0F19F197" w:rsidRDefault="0F19F197" w:rsidP="00025AAC">
      <w:pPr>
        <w:pStyle w:val="ListParagraph"/>
        <w:spacing w:before="160" w:after="160"/>
        <w:contextualSpacing/>
        <w:jc w:val="both"/>
      </w:pPr>
      <w:r w:rsidRPr="0C90D5AB">
        <w:t xml:space="preserve">the listing should be </w:t>
      </w:r>
      <w:r w:rsidR="4DD6D164" w:rsidRPr="0C90D5AB">
        <w:t xml:space="preserve">General schedule Authority required (telephone/online PBS </w:t>
      </w:r>
      <w:proofErr w:type="gramStart"/>
      <w:r w:rsidR="4DD6D164" w:rsidRPr="0C90D5AB">
        <w:t>authorities</w:t>
      </w:r>
      <w:proofErr w:type="gramEnd"/>
      <w:r w:rsidR="4DD6D164" w:rsidRPr="0C90D5AB">
        <w:t xml:space="preserve"> system)</w:t>
      </w:r>
      <w:r w:rsidR="00C446BD">
        <w:t>.</w:t>
      </w:r>
      <w:r w:rsidR="00025AAC">
        <w:t xml:space="preserve"> </w:t>
      </w:r>
    </w:p>
    <w:p w14:paraId="60E9F4F8" w14:textId="69844299" w:rsidR="0079496D" w:rsidRDefault="00CD6867" w:rsidP="00025AAC">
      <w:pPr>
        <w:pStyle w:val="ListParagraph"/>
        <w:spacing w:before="160" w:after="160"/>
        <w:contextualSpacing/>
        <w:jc w:val="both"/>
        <w:rPr>
          <w:snapToGrid w:val="0"/>
          <w:lang w:val="en-GB"/>
        </w:rPr>
      </w:pPr>
      <w:r>
        <w:rPr>
          <w:snapToGrid w:val="0"/>
          <w:lang w:val="en-GB"/>
        </w:rPr>
        <w:t>the restriction should be age agnostic</w:t>
      </w:r>
      <w:r w:rsidR="00C446BD">
        <w:rPr>
          <w:snapToGrid w:val="0"/>
          <w:lang w:val="en-GB"/>
        </w:rPr>
        <w:t>.</w:t>
      </w:r>
    </w:p>
    <w:p w14:paraId="45706744" w14:textId="5BAAF972" w:rsidR="00762ACB" w:rsidRPr="00EB086B" w:rsidRDefault="009D3806" w:rsidP="00025AAC">
      <w:pPr>
        <w:pStyle w:val="ListParagraph"/>
        <w:spacing w:before="160" w:after="160"/>
        <w:contextualSpacing/>
        <w:jc w:val="both"/>
        <w:rPr>
          <w:lang w:val="en-GB"/>
        </w:rPr>
      </w:pPr>
      <w:r w:rsidRPr="00683670">
        <w:t>Nurse</w:t>
      </w:r>
      <w:r>
        <w:rPr>
          <w:snapToGrid w:val="0"/>
          <w:lang w:val="en-GB"/>
        </w:rPr>
        <w:t xml:space="preserve"> </w:t>
      </w:r>
      <w:r w:rsidR="001A3484">
        <w:rPr>
          <w:snapToGrid w:val="0"/>
          <w:lang w:val="en-GB"/>
        </w:rPr>
        <w:t>P</w:t>
      </w:r>
      <w:r>
        <w:rPr>
          <w:snapToGrid w:val="0"/>
          <w:lang w:val="en-GB"/>
        </w:rPr>
        <w:t xml:space="preserve">ractitioner </w:t>
      </w:r>
      <w:r w:rsidR="00783D1F">
        <w:rPr>
          <w:snapToGrid w:val="0"/>
          <w:lang w:val="en-GB"/>
        </w:rPr>
        <w:t xml:space="preserve">and medical practitioner </w:t>
      </w:r>
      <w:r>
        <w:rPr>
          <w:snapToGrid w:val="0"/>
          <w:lang w:val="en-GB"/>
        </w:rPr>
        <w:t>prescribin</w:t>
      </w:r>
      <w:r w:rsidR="00225491">
        <w:rPr>
          <w:snapToGrid w:val="0"/>
          <w:lang w:val="en-GB"/>
        </w:rPr>
        <w:t>g</w:t>
      </w:r>
      <w:r>
        <w:rPr>
          <w:snapToGrid w:val="0"/>
          <w:lang w:val="en-GB"/>
        </w:rPr>
        <w:t xml:space="preserve"> should be permitted </w:t>
      </w:r>
      <w:r w:rsidR="00CD5629">
        <w:rPr>
          <w:snapToGrid w:val="0"/>
          <w:lang w:val="en-GB"/>
        </w:rPr>
        <w:t xml:space="preserve">in both the </w:t>
      </w:r>
      <w:r w:rsidR="00304837">
        <w:rPr>
          <w:snapToGrid w:val="0"/>
          <w:lang w:val="en-GB"/>
        </w:rPr>
        <w:t>initia</w:t>
      </w:r>
      <w:r w:rsidR="00DA199E">
        <w:rPr>
          <w:snapToGrid w:val="0"/>
          <w:lang w:val="en-GB"/>
        </w:rPr>
        <w:t xml:space="preserve">tion </w:t>
      </w:r>
      <w:r w:rsidR="00304837">
        <w:rPr>
          <w:snapToGrid w:val="0"/>
          <w:lang w:val="en-GB"/>
        </w:rPr>
        <w:t xml:space="preserve">and </w:t>
      </w:r>
      <w:r w:rsidR="00DA199E">
        <w:rPr>
          <w:snapToGrid w:val="0"/>
          <w:lang w:val="en-GB"/>
        </w:rPr>
        <w:t xml:space="preserve">the </w:t>
      </w:r>
      <w:r w:rsidR="00304837">
        <w:rPr>
          <w:snapToGrid w:val="0"/>
          <w:lang w:val="en-GB"/>
        </w:rPr>
        <w:t>co</w:t>
      </w:r>
      <w:r w:rsidR="00304837" w:rsidRPr="0C90D5AB">
        <w:rPr>
          <w:lang w:val="en-GB"/>
        </w:rPr>
        <w:t>ntinu</w:t>
      </w:r>
      <w:r w:rsidR="004C2753">
        <w:rPr>
          <w:lang w:val="en-GB"/>
        </w:rPr>
        <w:t xml:space="preserve">ation </w:t>
      </w:r>
      <w:r w:rsidR="004317B5">
        <w:rPr>
          <w:lang w:val="en-GB"/>
        </w:rPr>
        <w:t xml:space="preserve">treatment </w:t>
      </w:r>
      <w:r w:rsidR="00102507">
        <w:rPr>
          <w:lang w:val="en-GB"/>
        </w:rPr>
        <w:t xml:space="preserve">phases </w:t>
      </w:r>
      <w:r w:rsidR="004C2753">
        <w:rPr>
          <w:lang w:val="en-GB"/>
        </w:rPr>
        <w:t>but</w:t>
      </w:r>
      <w:r w:rsidR="00CD5629" w:rsidRPr="0C90D5AB">
        <w:rPr>
          <w:lang w:val="en-GB"/>
        </w:rPr>
        <w:t xml:space="preserve"> </w:t>
      </w:r>
      <w:r w:rsidR="00305448">
        <w:rPr>
          <w:lang w:val="en-GB"/>
        </w:rPr>
        <w:t xml:space="preserve">in consultation with </w:t>
      </w:r>
      <w:r w:rsidR="008E0C2F">
        <w:rPr>
          <w:lang w:val="en-GB"/>
        </w:rPr>
        <w:t xml:space="preserve">a </w:t>
      </w:r>
      <w:r w:rsidR="00C11315">
        <w:rPr>
          <w:lang w:val="en-GB"/>
        </w:rPr>
        <w:t>metabolic physician</w:t>
      </w:r>
      <w:r w:rsidR="00EA7B44">
        <w:rPr>
          <w:lang w:val="en-GB"/>
        </w:rPr>
        <w:t>.</w:t>
      </w:r>
      <w:r w:rsidR="00305448">
        <w:rPr>
          <w:lang w:val="en-GB"/>
        </w:rPr>
        <w:t xml:space="preserve"> </w:t>
      </w:r>
      <w:r w:rsidR="00FF4A5F">
        <w:rPr>
          <w:lang w:val="en-GB"/>
        </w:rPr>
        <w:t>T</w:t>
      </w:r>
      <w:r w:rsidR="00CD5629" w:rsidRPr="0C90D5AB">
        <w:rPr>
          <w:lang w:val="en-GB"/>
        </w:rPr>
        <w:t xml:space="preserve">he </w:t>
      </w:r>
      <w:r w:rsidR="00FF4A5F">
        <w:rPr>
          <w:lang w:val="en-GB"/>
        </w:rPr>
        <w:t xml:space="preserve">full </w:t>
      </w:r>
      <w:r w:rsidR="00447E9A">
        <w:rPr>
          <w:lang w:val="en-GB"/>
        </w:rPr>
        <w:t xml:space="preserve">treatment </w:t>
      </w:r>
      <w:r w:rsidR="00231052" w:rsidRPr="0C90D5AB">
        <w:rPr>
          <w:lang w:val="en-GB"/>
        </w:rPr>
        <w:t>criteria</w:t>
      </w:r>
      <w:r w:rsidR="00CD5629" w:rsidRPr="0C90D5AB">
        <w:rPr>
          <w:lang w:val="en-GB"/>
        </w:rPr>
        <w:t xml:space="preserve"> </w:t>
      </w:r>
      <w:r w:rsidR="00FF4A5F">
        <w:rPr>
          <w:lang w:val="en-GB"/>
        </w:rPr>
        <w:t>should state:</w:t>
      </w:r>
      <w:r w:rsidR="00231052" w:rsidRPr="77B5E16D">
        <w:rPr>
          <w:lang w:val="en-GB"/>
        </w:rPr>
        <w:t xml:space="preserve"> </w:t>
      </w:r>
      <w:r w:rsidR="00187727">
        <w:rPr>
          <w:lang w:val="en-GB"/>
        </w:rPr>
        <w:t>‘</w:t>
      </w:r>
      <w:r w:rsidR="00FF4A5F" w:rsidRPr="00FF4A5F">
        <w:t>Must be treated by a metabolic physician</w:t>
      </w:r>
      <w:r w:rsidR="00FF4A5F" w:rsidRPr="00FF4A5F">
        <w:rPr>
          <w:lang w:val="en-GB"/>
        </w:rPr>
        <w:t xml:space="preserve"> </w:t>
      </w:r>
      <w:r w:rsidR="000C14FB">
        <w:rPr>
          <w:lang w:val="en-GB"/>
        </w:rPr>
        <w:t xml:space="preserve">or </w:t>
      </w:r>
      <w:r w:rsidR="399E23D8" w:rsidRPr="006E77DB">
        <w:t>Must be treated by a health practitioner who is any of (</w:t>
      </w:r>
      <w:proofErr w:type="spellStart"/>
      <w:r w:rsidR="399E23D8" w:rsidRPr="006E77DB">
        <w:t>i</w:t>
      </w:r>
      <w:proofErr w:type="spellEnd"/>
      <w:r w:rsidR="399E23D8" w:rsidRPr="006E77DB">
        <w:t>) a medical practitioner, (ii) a nurse practitioner</w:t>
      </w:r>
      <w:r w:rsidR="00455B9B">
        <w:t>,</w:t>
      </w:r>
      <w:r w:rsidR="399E23D8" w:rsidRPr="006E77DB">
        <w:t xml:space="preserve"> in consultation with a metabolic physician</w:t>
      </w:r>
      <w:r w:rsidR="6FFA8D8E" w:rsidRPr="006E77DB">
        <w:t>’</w:t>
      </w:r>
      <w:r w:rsidR="03462DDB" w:rsidRPr="77B5E16D">
        <w:t xml:space="preserve">. </w:t>
      </w:r>
      <w:r w:rsidR="00A4553B">
        <w:t xml:space="preserve">The PBAC </w:t>
      </w:r>
      <w:r w:rsidR="00C446BD">
        <w:t>considered that similar f</w:t>
      </w:r>
      <w:r w:rsidR="00C446BD" w:rsidRPr="77B5E16D">
        <w:t xml:space="preserve">low-on changes to </w:t>
      </w:r>
      <w:r w:rsidR="00C446BD">
        <w:t xml:space="preserve">the PBS listings for </w:t>
      </w:r>
      <w:proofErr w:type="spellStart"/>
      <w:r w:rsidR="00C446BD" w:rsidRPr="77B5E16D">
        <w:t>sapropterin</w:t>
      </w:r>
      <w:proofErr w:type="spellEnd"/>
      <w:r w:rsidR="00C446BD" w:rsidRPr="77B5E16D">
        <w:t xml:space="preserve"> and betaine </w:t>
      </w:r>
      <w:r w:rsidR="00C446BD">
        <w:t xml:space="preserve">may also be reasonable for </w:t>
      </w:r>
      <w:r w:rsidR="00C446BD" w:rsidRPr="77B5E16D">
        <w:t>consistency</w:t>
      </w:r>
      <w:r w:rsidR="00C446BD">
        <w:t xml:space="preserve"> (given these are also </w:t>
      </w:r>
      <w:r w:rsidR="00E126E1">
        <w:t>medic</w:t>
      </w:r>
      <w:r w:rsidR="00311FA6">
        <w:t>ines to treat</w:t>
      </w:r>
      <w:r w:rsidR="00810FDB">
        <w:t xml:space="preserve"> </w:t>
      </w:r>
      <w:r w:rsidR="00A4553B">
        <w:t xml:space="preserve">rare inherited metabolic </w:t>
      </w:r>
      <w:r w:rsidR="00D76491">
        <w:t>disorders</w:t>
      </w:r>
      <w:r w:rsidR="006E6654">
        <w:t>)</w:t>
      </w:r>
      <w:r w:rsidR="6FFA8D8E" w:rsidRPr="77B5E16D">
        <w:rPr>
          <w:i/>
          <w:iCs/>
        </w:rPr>
        <w:t>.</w:t>
      </w:r>
      <w:r w:rsidR="00025AAC">
        <w:rPr>
          <w:i/>
          <w:iCs/>
        </w:rPr>
        <w:t xml:space="preserve"> </w:t>
      </w:r>
    </w:p>
    <w:p w14:paraId="1438B4C7" w14:textId="51CB91A9" w:rsidR="00F67885" w:rsidRPr="00EB086B" w:rsidRDefault="001A3484" w:rsidP="00025AAC">
      <w:pPr>
        <w:pStyle w:val="ListParagraph"/>
        <w:spacing w:before="160" w:after="160"/>
        <w:contextualSpacing/>
        <w:jc w:val="both"/>
        <w:rPr>
          <w:snapToGrid w:val="0"/>
          <w:lang w:val="en-GB"/>
        </w:rPr>
      </w:pPr>
      <w:r>
        <w:rPr>
          <w:snapToGrid w:val="0"/>
          <w:lang w:val="en-GB"/>
        </w:rPr>
        <w:t>d</w:t>
      </w:r>
      <w:r w:rsidR="00084469" w:rsidRPr="00EB086B">
        <w:rPr>
          <w:snapToGrid w:val="0"/>
          <w:lang w:val="en-GB"/>
        </w:rPr>
        <w:t xml:space="preserve">aily protein tolerance </w:t>
      </w:r>
      <w:r w:rsidR="0013568F" w:rsidRPr="00EB086B">
        <w:rPr>
          <w:snapToGrid w:val="0"/>
          <w:lang w:val="en-GB"/>
        </w:rPr>
        <w:t xml:space="preserve">&lt; 15 g per day could </w:t>
      </w:r>
      <w:r w:rsidR="00F766CE" w:rsidRPr="00EB086B">
        <w:rPr>
          <w:snapToGrid w:val="0"/>
          <w:lang w:val="en-GB"/>
        </w:rPr>
        <w:t xml:space="preserve">generally </w:t>
      </w:r>
      <w:r w:rsidR="0013568F" w:rsidRPr="00EB086B">
        <w:rPr>
          <w:snapToGrid w:val="0"/>
          <w:lang w:val="en-GB"/>
        </w:rPr>
        <w:t xml:space="preserve">be </w:t>
      </w:r>
      <w:r w:rsidR="0049570D" w:rsidRPr="00EB086B">
        <w:rPr>
          <w:snapToGrid w:val="0"/>
          <w:lang w:val="en-GB"/>
        </w:rPr>
        <w:t>quantified in practice.</w:t>
      </w:r>
    </w:p>
    <w:p w14:paraId="1E383CE3" w14:textId="121040D3" w:rsidR="00703138" w:rsidRDefault="23E855BB" w:rsidP="00025AAC">
      <w:pPr>
        <w:pStyle w:val="ListParagraph"/>
        <w:spacing w:before="160" w:after="160"/>
        <w:contextualSpacing/>
        <w:jc w:val="both"/>
        <w:rPr>
          <w:snapToGrid w:val="0"/>
          <w:lang w:val="en-GB"/>
        </w:rPr>
      </w:pPr>
      <w:r w:rsidRPr="77B5E16D">
        <w:rPr>
          <w:lang w:val="en-GB"/>
        </w:rPr>
        <w:lastRenderedPageBreak/>
        <w:t>it would be reasonable for</w:t>
      </w:r>
      <w:r w:rsidR="00CF53B6">
        <w:rPr>
          <w:snapToGrid w:val="0"/>
          <w:lang w:val="en-GB"/>
        </w:rPr>
        <w:t xml:space="preserve"> patients to switch back to </w:t>
      </w:r>
      <w:proofErr w:type="spellStart"/>
      <w:r w:rsidR="00CF53B6">
        <w:rPr>
          <w:snapToGrid w:val="0"/>
          <w:lang w:val="en-GB"/>
        </w:rPr>
        <w:t>sapropterin</w:t>
      </w:r>
      <w:proofErr w:type="spellEnd"/>
      <w:r w:rsidR="00CF53B6">
        <w:rPr>
          <w:snapToGrid w:val="0"/>
          <w:lang w:val="en-GB"/>
        </w:rPr>
        <w:t xml:space="preserve"> if </w:t>
      </w:r>
      <w:r w:rsidR="00645BF8" w:rsidRPr="1749A454">
        <w:rPr>
          <w:lang w:val="en-GB"/>
        </w:rPr>
        <w:t xml:space="preserve">they experience an </w:t>
      </w:r>
      <w:r w:rsidR="004D5A16" w:rsidRPr="1749A454">
        <w:rPr>
          <w:lang w:val="en-GB"/>
        </w:rPr>
        <w:t xml:space="preserve">inadequate response or intolerance to </w:t>
      </w:r>
      <w:proofErr w:type="spellStart"/>
      <w:r w:rsidR="004D5A16" w:rsidRPr="1749A454">
        <w:rPr>
          <w:lang w:val="en-GB"/>
        </w:rPr>
        <w:t>pegvaliase</w:t>
      </w:r>
      <w:proofErr w:type="spellEnd"/>
      <w:r w:rsidR="004D5A16" w:rsidRPr="1749A454">
        <w:rPr>
          <w:lang w:val="en-GB"/>
        </w:rPr>
        <w:t xml:space="preserve">. </w:t>
      </w:r>
    </w:p>
    <w:p w14:paraId="037E6D46" w14:textId="126C9F5C" w:rsidR="009834B9" w:rsidRPr="009834B9" w:rsidRDefault="001A3484" w:rsidP="00025AAC">
      <w:pPr>
        <w:pStyle w:val="ListParagraph"/>
        <w:spacing w:before="160" w:after="160"/>
        <w:contextualSpacing/>
        <w:jc w:val="both"/>
        <w:rPr>
          <w:rFonts w:cstheme="minorHAnsi"/>
          <w:lang w:val="en-US" w:eastAsia="en-GB"/>
        </w:rPr>
      </w:pPr>
      <w:r>
        <w:rPr>
          <w:snapToGrid w:val="0"/>
          <w:lang w:val="en-GB"/>
        </w:rPr>
        <w:t>the following m</w:t>
      </w:r>
      <w:r w:rsidR="001F680B">
        <w:rPr>
          <w:snapToGrid w:val="0"/>
          <w:lang w:val="en-GB"/>
        </w:rPr>
        <w:t xml:space="preserve">aximum quantities and repeats </w:t>
      </w:r>
      <w:r>
        <w:rPr>
          <w:snapToGrid w:val="0"/>
          <w:lang w:val="en-GB"/>
        </w:rPr>
        <w:t>would be appropriate</w:t>
      </w:r>
      <w:r w:rsidR="009834B9">
        <w:rPr>
          <w:snapToGrid w:val="0"/>
          <w:lang w:val="en-GB"/>
        </w:rPr>
        <w:t>:</w:t>
      </w:r>
    </w:p>
    <w:p w14:paraId="5FF150A1" w14:textId="37EEEF8D" w:rsidR="009834B9" w:rsidRDefault="009834B9" w:rsidP="00025AAC">
      <w:pPr>
        <w:pStyle w:val="ListParagraph"/>
        <w:numPr>
          <w:ilvl w:val="1"/>
          <w:numId w:val="4"/>
        </w:numPr>
        <w:spacing w:before="160" w:after="160"/>
        <w:contextualSpacing/>
        <w:jc w:val="both"/>
        <w:rPr>
          <w:rFonts w:cstheme="minorBidi"/>
          <w:lang w:val="en-US" w:eastAsia="en-GB"/>
        </w:rPr>
      </w:pPr>
      <w:r w:rsidRPr="14FD465E">
        <w:rPr>
          <w:rFonts w:cstheme="minorBidi"/>
          <w:lang w:val="en-US" w:eastAsia="en-GB"/>
        </w:rPr>
        <w:t xml:space="preserve">2.5 mg: </w:t>
      </w:r>
      <w:r w:rsidR="571D13FB" w:rsidRPr="14FD465E">
        <w:rPr>
          <w:rFonts w:cstheme="minorBidi"/>
          <w:lang w:val="en-US" w:eastAsia="en-GB"/>
        </w:rPr>
        <w:t>initial (max qty 6</w:t>
      </w:r>
      <w:r w:rsidR="3C3C78B8" w:rsidRPr="14FD465E">
        <w:rPr>
          <w:rFonts w:cstheme="minorBidi"/>
          <w:lang w:val="en-US" w:eastAsia="en-GB"/>
        </w:rPr>
        <w:t xml:space="preserve"> pre-filled syringes</w:t>
      </w:r>
      <w:r w:rsidR="571D13FB" w:rsidRPr="14FD465E">
        <w:rPr>
          <w:rFonts w:cstheme="minorBidi"/>
          <w:lang w:val="en-US" w:eastAsia="en-GB"/>
        </w:rPr>
        <w:t xml:space="preserve"> with 0 repeats) a</w:t>
      </w:r>
      <w:r w:rsidR="2B9A6920" w:rsidRPr="14FD465E">
        <w:rPr>
          <w:rFonts w:cstheme="minorBidi"/>
          <w:lang w:val="en-US" w:eastAsia="en-GB"/>
        </w:rPr>
        <w:t>nd</w:t>
      </w:r>
      <w:r w:rsidR="05939ECC" w:rsidRPr="14FD465E">
        <w:rPr>
          <w:rFonts w:cstheme="minorBidi"/>
          <w:lang w:val="en-US" w:eastAsia="en-GB"/>
        </w:rPr>
        <w:t xml:space="preserve"> continuing (max qty 84 pre-filled syringes with 5 repeats)</w:t>
      </w:r>
      <w:r w:rsidR="00B67D3C" w:rsidRPr="14FD465E">
        <w:rPr>
          <w:rFonts w:cstheme="minorBidi"/>
          <w:lang w:val="en-US" w:eastAsia="en-GB"/>
        </w:rPr>
        <w:t>;</w:t>
      </w:r>
    </w:p>
    <w:p w14:paraId="47AF25C0" w14:textId="119A9F89" w:rsidR="009834B9" w:rsidRDefault="009834B9" w:rsidP="00025AAC">
      <w:pPr>
        <w:pStyle w:val="ListParagraph"/>
        <w:numPr>
          <w:ilvl w:val="1"/>
          <w:numId w:val="4"/>
        </w:numPr>
        <w:spacing w:before="160" w:after="160"/>
        <w:contextualSpacing/>
        <w:jc w:val="both"/>
        <w:rPr>
          <w:rFonts w:cstheme="minorBidi"/>
          <w:lang w:val="en-US" w:eastAsia="en-GB"/>
        </w:rPr>
      </w:pPr>
      <w:r w:rsidRPr="14FD465E">
        <w:rPr>
          <w:rFonts w:cstheme="minorBidi"/>
          <w:lang w:val="en-US" w:eastAsia="en-GB"/>
        </w:rPr>
        <w:t xml:space="preserve">10 mg: </w:t>
      </w:r>
      <w:r w:rsidR="6BEB5403" w:rsidRPr="14FD465E">
        <w:rPr>
          <w:rFonts w:cstheme="minorBidi"/>
          <w:lang w:val="en-US" w:eastAsia="en-GB"/>
        </w:rPr>
        <w:t xml:space="preserve">initial (max qty </w:t>
      </w:r>
      <w:r w:rsidR="65553426" w:rsidRPr="14FD465E">
        <w:rPr>
          <w:rFonts w:cstheme="minorBidi"/>
          <w:lang w:val="en-US" w:eastAsia="en-GB"/>
        </w:rPr>
        <w:t>14</w:t>
      </w:r>
      <w:r w:rsidR="6BEB5403" w:rsidRPr="14FD465E">
        <w:rPr>
          <w:rFonts w:cstheme="minorBidi"/>
          <w:lang w:val="en-US" w:eastAsia="en-GB"/>
        </w:rPr>
        <w:t xml:space="preserve"> pre-filled syringes with 0 repeats) and continuing (max qty </w:t>
      </w:r>
      <w:r w:rsidR="06FD83EB" w:rsidRPr="14FD465E">
        <w:rPr>
          <w:rFonts w:cstheme="minorBidi"/>
          <w:lang w:val="en-US" w:eastAsia="en-GB"/>
        </w:rPr>
        <w:t>28</w:t>
      </w:r>
      <w:r w:rsidR="6BEB5403" w:rsidRPr="14FD465E">
        <w:rPr>
          <w:rFonts w:cstheme="minorBidi"/>
          <w:lang w:val="en-US" w:eastAsia="en-GB"/>
        </w:rPr>
        <w:t xml:space="preserve"> pre-filled syringes with 5 repeats)</w:t>
      </w:r>
      <w:r w:rsidR="00B67D3C" w:rsidRPr="14FD465E">
        <w:rPr>
          <w:rFonts w:cstheme="minorBidi"/>
          <w:lang w:val="en-US" w:eastAsia="en-GB"/>
        </w:rPr>
        <w:t>; and</w:t>
      </w:r>
    </w:p>
    <w:p w14:paraId="25481ADB" w14:textId="5D24D118" w:rsidR="009834B9" w:rsidRDefault="009834B9" w:rsidP="00025AAC">
      <w:pPr>
        <w:pStyle w:val="ListParagraph"/>
        <w:numPr>
          <w:ilvl w:val="1"/>
          <w:numId w:val="4"/>
        </w:numPr>
        <w:spacing w:before="160" w:after="160"/>
        <w:contextualSpacing/>
        <w:jc w:val="both"/>
        <w:rPr>
          <w:rFonts w:cstheme="minorBidi"/>
          <w:lang w:val="en-US" w:eastAsia="en-GB"/>
        </w:rPr>
      </w:pPr>
      <w:r w:rsidRPr="14FD465E">
        <w:rPr>
          <w:rFonts w:cstheme="minorBidi"/>
          <w:lang w:val="en-US" w:eastAsia="en-GB"/>
        </w:rPr>
        <w:t xml:space="preserve">20 mg: </w:t>
      </w:r>
      <w:r w:rsidR="7793306D" w:rsidRPr="14FD465E">
        <w:rPr>
          <w:rFonts w:cstheme="minorBidi"/>
          <w:lang w:val="en-US" w:eastAsia="en-GB"/>
        </w:rPr>
        <w:t xml:space="preserve">initial (max qty </w:t>
      </w:r>
      <w:r w:rsidR="43125144" w:rsidRPr="14FD465E">
        <w:rPr>
          <w:rFonts w:cstheme="minorBidi"/>
          <w:lang w:val="en-US" w:eastAsia="en-GB"/>
        </w:rPr>
        <w:t>90</w:t>
      </w:r>
      <w:r w:rsidR="7793306D" w:rsidRPr="14FD465E">
        <w:rPr>
          <w:rFonts w:cstheme="minorBidi"/>
          <w:lang w:val="en-US" w:eastAsia="en-GB"/>
        </w:rPr>
        <w:t xml:space="preserve"> pre-filled syringes with </w:t>
      </w:r>
      <w:r w:rsidR="76FA4994" w:rsidRPr="14FD465E">
        <w:rPr>
          <w:rFonts w:cstheme="minorBidi"/>
          <w:lang w:val="en-US" w:eastAsia="en-GB"/>
        </w:rPr>
        <w:t>5</w:t>
      </w:r>
      <w:r w:rsidR="7793306D" w:rsidRPr="14FD465E">
        <w:rPr>
          <w:rFonts w:cstheme="minorBidi"/>
          <w:lang w:val="en-US" w:eastAsia="en-GB"/>
        </w:rPr>
        <w:t xml:space="preserve"> repeats) and continuing (max qty </w:t>
      </w:r>
      <w:r w:rsidR="25DC2D60" w:rsidRPr="14FD465E">
        <w:rPr>
          <w:rFonts w:cstheme="minorBidi"/>
          <w:lang w:val="en-US" w:eastAsia="en-GB"/>
        </w:rPr>
        <w:t>90</w:t>
      </w:r>
      <w:r w:rsidR="7793306D" w:rsidRPr="14FD465E">
        <w:rPr>
          <w:rFonts w:cstheme="minorBidi"/>
          <w:lang w:val="en-US" w:eastAsia="en-GB"/>
        </w:rPr>
        <w:t xml:space="preserve"> pre-filled syringes with 5 repeats)</w:t>
      </w:r>
      <w:r w:rsidR="00B67D3C" w:rsidRPr="14FD465E">
        <w:rPr>
          <w:rFonts w:cstheme="minorBidi"/>
          <w:lang w:val="en-US" w:eastAsia="en-GB"/>
        </w:rPr>
        <w:t>.</w:t>
      </w:r>
      <w:r w:rsidRPr="14FD465E">
        <w:rPr>
          <w:rFonts w:cstheme="minorBidi"/>
          <w:lang w:val="en-US" w:eastAsia="en-GB"/>
        </w:rPr>
        <w:t xml:space="preserve"> </w:t>
      </w:r>
    </w:p>
    <w:p w14:paraId="65F5D097" w14:textId="77777777" w:rsidR="00180D3F" w:rsidRPr="00920030" w:rsidRDefault="00180D3F" w:rsidP="00025AAC">
      <w:pPr>
        <w:pStyle w:val="ListParagraph"/>
        <w:numPr>
          <w:ilvl w:val="0"/>
          <w:numId w:val="0"/>
        </w:numPr>
        <w:suppressAutoHyphens w:val="0"/>
        <w:ind w:left="1080"/>
        <w:jc w:val="both"/>
        <w:rPr>
          <w:snapToGrid w:val="0"/>
          <w:lang w:val="en-GB"/>
        </w:rPr>
      </w:pPr>
    </w:p>
    <w:p w14:paraId="636E25D5" w14:textId="44448FEE" w:rsidR="00C45BAF" w:rsidRPr="00C45BAF" w:rsidRDefault="00C45BAF" w:rsidP="00025AAC">
      <w:pPr>
        <w:suppressAutoHyphens w:val="0"/>
        <w:outlineLvl w:val="2"/>
        <w:rPr>
          <w:b/>
          <w:bCs/>
          <w:snapToGrid w:val="0"/>
          <w:u w:val="single"/>
          <w:lang w:val="en-GB"/>
        </w:rPr>
      </w:pPr>
      <w:r>
        <w:rPr>
          <w:b/>
          <w:bCs/>
          <w:snapToGrid w:val="0"/>
          <w:u w:val="single"/>
          <w:lang w:val="en-GB"/>
        </w:rPr>
        <w:t>Clinical place and comparator</w:t>
      </w:r>
      <w:r w:rsidRPr="00C45BAF">
        <w:rPr>
          <w:b/>
          <w:bCs/>
          <w:snapToGrid w:val="0"/>
          <w:u w:val="single"/>
          <w:lang w:val="en-GB"/>
        </w:rPr>
        <w:t xml:space="preserve"> </w:t>
      </w:r>
    </w:p>
    <w:p w14:paraId="224A5CEC" w14:textId="189DBDA5" w:rsidR="00C31A1B" w:rsidRPr="002C5EC3" w:rsidRDefault="00326C80" w:rsidP="00025AAC">
      <w:pPr>
        <w:pStyle w:val="ListParagraph"/>
        <w:numPr>
          <w:ilvl w:val="1"/>
          <w:numId w:val="73"/>
        </w:numPr>
        <w:jc w:val="both"/>
        <w:rPr>
          <w:snapToGrid w:val="0"/>
          <w:lang w:val="en-GB"/>
        </w:rPr>
      </w:pPr>
      <w:bookmarkStart w:id="121" w:name="_Ref226969604"/>
      <w:r w:rsidRPr="00C31A1B">
        <w:rPr>
          <w:snapToGrid w:val="0"/>
          <w:lang w:val="en-GB"/>
        </w:rPr>
        <w:t xml:space="preserve">The PBAC recalled that in July 2022 it had considered the proposed clinical place, as last-line after </w:t>
      </w:r>
      <w:proofErr w:type="spellStart"/>
      <w:r w:rsidRPr="00C31A1B">
        <w:rPr>
          <w:snapToGrid w:val="0"/>
          <w:lang w:val="en-GB"/>
        </w:rPr>
        <w:t>sapropterin</w:t>
      </w:r>
      <w:proofErr w:type="spellEnd"/>
      <w:r w:rsidRPr="00C31A1B">
        <w:rPr>
          <w:snapToGrid w:val="0"/>
          <w:lang w:val="en-GB"/>
        </w:rPr>
        <w:t xml:space="preserve">, to be </w:t>
      </w:r>
      <w:r w:rsidR="00742C03" w:rsidRPr="00C31A1B">
        <w:rPr>
          <w:snapToGrid w:val="0"/>
          <w:lang w:val="en-GB"/>
        </w:rPr>
        <w:t xml:space="preserve">inequitable and not clinically </w:t>
      </w:r>
      <w:r w:rsidRPr="00C31A1B">
        <w:rPr>
          <w:snapToGrid w:val="0"/>
          <w:lang w:val="en-GB"/>
        </w:rPr>
        <w:t>appropriate</w:t>
      </w:r>
      <w:r w:rsidR="000A5587" w:rsidRPr="00C31A1B">
        <w:rPr>
          <w:snapToGrid w:val="0"/>
          <w:lang w:val="en-GB"/>
        </w:rPr>
        <w:t xml:space="preserve"> as it was </w:t>
      </w:r>
      <w:r w:rsidR="00DF755D" w:rsidRPr="00C31A1B">
        <w:rPr>
          <w:snapToGrid w:val="0"/>
          <w:lang w:val="en-GB"/>
        </w:rPr>
        <w:t>in</w:t>
      </w:r>
      <w:r w:rsidR="000A5587" w:rsidRPr="00C31A1B">
        <w:rPr>
          <w:snapToGrid w:val="0"/>
          <w:lang w:val="en-GB"/>
        </w:rPr>
        <w:t xml:space="preserve">consistent with the clinical evidence </w:t>
      </w:r>
      <w:r w:rsidR="006F38A1" w:rsidRPr="00C31A1B">
        <w:rPr>
          <w:snapToGrid w:val="0"/>
          <w:lang w:val="en-GB"/>
        </w:rPr>
        <w:t xml:space="preserve">and </w:t>
      </w:r>
      <w:r w:rsidR="00A123E0">
        <w:rPr>
          <w:snapToGrid w:val="0"/>
          <w:lang w:val="en-GB"/>
        </w:rPr>
        <w:t>may</w:t>
      </w:r>
      <w:r w:rsidR="006F38A1" w:rsidRPr="00C31A1B">
        <w:rPr>
          <w:snapToGrid w:val="0"/>
          <w:lang w:val="en-GB"/>
        </w:rPr>
        <w:t xml:space="preserve"> exclude some patients who may benefit from </w:t>
      </w:r>
      <w:proofErr w:type="spellStart"/>
      <w:r w:rsidR="006F38A1" w:rsidRPr="00C31A1B">
        <w:rPr>
          <w:snapToGrid w:val="0"/>
          <w:lang w:val="en-GB"/>
        </w:rPr>
        <w:t>pegvaliase</w:t>
      </w:r>
      <w:proofErr w:type="spellEnd"/>
      <w:r w:rsidR="006F38A1" w:rsidRPr="00C31A1B">
        <w:rPr>
          <w:snapToGrid w:val="0"/>
          <w:lang w:val="en-GB"/>
        </w:rPr>
        <w:t xml:space="preserve"> e.g., patients who are responding sub-optimally to </w:t>
      </w:r>
      <w:proofErr w:type="spellStart"/>
      <w:r w:rsidR="006F38A1" w:rsidRPr="00C31A1B">
        <w:rPr>
          <w:snapToGrid w:val="0"/>
          <w:lang w:val="en-GB"/>
        </w:rPr>
        <w:t>sapropterin</w:t>
      </w:r>
      <w:proofErr w:type="spellEnd"/>
      <w:r w:rsidR="006F38A1" w:rsidRPr="00C31A1B">
        <w:rPr>
          <w:snapToGrid w:val="0"/>
          <w:lang w:val="en-GB"/>
        </w:rPr>
        <w:t xml:space="preserve"> (paragraph 7.4, </w:t>
      </w:r>
      <w:proofErr w:type="spellStart"/>
      <w:r w:rsidR="006F38A1" w:rsidRPr="00C31A1B">
        <w:rPr>
          <w:snapToGrid w:val="0"/>
          <w:lang w:val="en-GB"/>
        </w:rPr>
        <w:t>pegvaliase</w:t>
      </w:r>
      <w:proofErr w:type="spellEnd"/>
      <w:r w:rsidR="006F38A1" w:rsidRPr="00C31A1B">
        <w:rPr>
          <w:snapToGrid w:val="0"/>
          <w:lang w:val="en-GB"/>
        </w:rPr>
        <w:t xml:space="preserve"> PSD, July 2022 PBAC Meeting).</w:t>
      </w:r>
      <w:r w:rsidR="00DF755D" w:rsidRPr="00C31A1B">
        <w:rPr>
          <w:snapToGrid w:val="0"/>
          <w:lang w:val="en-GB"/>
        </w:rPr>
        <w:t xml:space="preserve"> The PBAC </w:t>
      </w:r>
      <w:r w:rsidR="005937A1" w:rsidRPr="00C31A1B">
        <w:rPr>
          <w:snapToGrid w:val="0"/>
          <w:lang w:val="en-GB"/>
        </w:rPr>
        <w:t>noted that</w:t>
      </w:r>
      <w:r w:rsidR="00273298">
        <w:rPr>
          <w:snapToGrid w:val="0"/>
          <w:lang w:val="en-GB"/>
        </w:rPr>
        <w:t>, to address this,</w:t>
      </w:r>
      <w:r w:rsidR="005937A1" w:rsidRPr="00C31A1B">
        <w:rPr>
          <w:snapToGrid w:val="0"/>
          <w:lang w:val="en-GB"/>
        </w:rPr>
        <w:t xml:space="preserve"> the resubmission included an additional </w:t>
      </w:r>
      <w:r w:rsidR="00A450C4" w:rsidRPr="00C31A1B">
        <w:rPr>
          <w:snapToGrid w:val="0"/>
          <w:lang w:val="en-GB"/>
        </w:rPr>
        <w:t>group of patients with a</w:t>
      </w:r>
      <w:r w:rsidR="005937A1" w:rsidRPr="00C31A1B">
        <w:rPr>
          <w:snapToGrid w:val="0"/>
          <w:lang w:val="en-GB"/>
        </w:rPr>
        <w:t xml:space="preserve"> protein tolerance of &lt; 15g per day, </w:t>
      </w:r>
      <w:r w:rsidR="00E464D2" w:rsidRPr="00C31A1B">
        <w:rPr>
          <w:snapToGrid w:val="0"/>
          <w:lang w:val="en-GB"/>
        </w:rPr>
        <w:t>but who have</w:t>
      </w:r>
      <w:r w:rsidR="005937A1" w:rsidRPr="00C31A1B">
        <w:rPr>
          <w:snapToGrid w:val="0"/>
          <w:lang w:val="en-GB"/>
        </w:rPr>
        <w:t xml:space="preserve"> respon</w:t>
      </w:r>
      <w:r w:rsidR="006364B5" w:rsidRPr="00C31A1B">
        <w:rPr>
          <w:snapToGrid w:val="0"/>
          <w:lang w:val="en-GB"/>
        </w:rPr>
        <w:t>d</w:t>
      </w:r>
      <w:r w:rsidR="005937A1" w:rsidRPr="00C31A1B">
        <w:rPr>
          <w:snapToGrid w:val="0"/>
          <w:lang w:val="en-GB"/>
        </w:rPr>
        <w:t>e</w:t>
      </w:r>
      <w:r w:rsidR="00E464D2" w:rsidRPr="00C31A1B">
        <w:rPr>
          <w:snapToGrid w:val="0"/>
          <w:lang w:val="en-GB"/>
        </w:rPr>
        <w:t>d</w:t>
      </w:r>
      <w:r w:rsidR="005937A1" w:rsidRPr="00C31A1B">
        <w:rPr>
          <w:snapToGrid w:val="0"/>
          <w:lang w:val="en-GB"/>
        </w:rPr>
        <w:t xml:space="preserve"> to </w:t>
      </w:r>
      <w:proofErr w:type="spellStart"/>
      <w:r w:rsidR="005937A1" w:rsidRPr="00C31A1B">
        <w:rPr>
          <w:snapToGrid w:val="0"/>
          <w:lang w:val="en-GB"/>
        </w:rPr>
        <w:t>sapropterin</w:t>
      </w:r>
      <w:proofErr w:type="spellEnd"/>
      <w:r w:rsidR="00D46067" w:rsidRPr="00C31A1B">
        <w:rPr>
          <w:snapToGrid w:val="0"/>
          <w:lang w:val="en-GB"/>
        </w:rPr>
        <w:t xml:space="preserve"> (i.e. met </w:t>
      </w:r>
      <w:r w:rsidR="00D46067" w:rsidRPr="00C31A1B">
        <w:rPr>
          <w:snapToGrid w:val="0"/>
          <w:lang w:val="en"/>
        </w:rPr>
        <w:t xml:space="preserve">the PBS criteria of ≥ 30% reduction in blood </w:t>
      </w:r>
      <w:proofErr w:type="spellStart"/>
      <w:r w:rsidR="00D46067" w:rsidRPr="00C31A1B">
        <w:rPr>
          <w:snapToGrid w:val="0"/>
          <w:lang w:val="en"/>
        </w:rPr>
        <w:t>Phe</w:t>
      </w:r>
      <w:proofErr w:type="spellEnd"/>
      <w:r w:rsidR="00D46067" w:rsidRPr="00C31A1B">
        <w:rPr>
          <w:snapToGrid w:val="0"/>
          <w:lang w:val="en"/>
        </w:rPr>
        <w:t xml:space="preserve"> from </w:t>
      </w:r>
      <w:r w:rsidR="00D46067" w:rsidRPr="004E1D44">
        <w:rPr>
          <w:snapToGrid w:val="0"/>
          <w:lang w:val="en"/>
        </w:rPr>
        <w:t>baseline)</w:t>
      </w:r>
      <w:r w:rsidR="005937A1" w:rsidRPr="004E1D44">
        <w:rPr>
          <w:snapToGrid w:val="0"/>
          <w:lang w:val="en-GB"/>
        </w:rPr>
        <w:t>. The PBAC considered th</w:t>
      </w:r>
      <w:r w:rsidR="00273298" w:rsidRPr="004E1D44">
        <w:rPr>
          <w:snapToGrid w:val="0"/>
          <w:lang w:val="en-GB"/>
        </w:rPr>
        <w:t>e inclusion of this new gro</w:t>
      </w:r>
      <w:r w:rsidR="0079082E" w:rsidRPr="004E1D44">
        <w:rPr>
          <w:snapToGrid w:val="0"/>
          <w:lang w:val="en-GB"/>
        </w:rPr>
        <w:t xml:space="preserve">up was </w:t>
      </w:r>
      <w:r w:rsidR="005937A1" w:rsidRPr="004E1D44">
        <w:rPr>
          <w:snapToGrid w:val="0"/>
          <w:lang w:val="en-GB"/>
        </w:rPr>
        <w:t>appropriate</w:t>
      </w:r>
      <w:r w:rsidR="006F67E1" w:rsidRPr="004E1D44">
        <w:rPr>
          <w:snapToGrid w:val="0"/>
          <w:lang w:val="en-GB"/>
        </w:rPr>
        <w:t xml:space="preserve">, noting </w:t>
      </w:r>
      <w:r w:rsidR="0079082E" w:rsidRPr="004E1D44">
        <w:rPr>
          <w:snapToGrid w:val="0"/>
          <w:lang w:val="en-GB"/>
        </w:rPr>
        <w:t xml:space="preserve">it was supported by </w:t>
      </w:r>
      <w:r w:rsidR="0020792C" w:rsidRPr="004E1D44">
        <w:rPr>
          <w:snapToGrid w:val="0"/>
          <w:lang w:val="en-GB"/>
        </w:rPr>
        <w:t>MDAA</w:t>
      </w:r>
      <w:r w:rsidR="00FE62FD" w:rsidRPr="004E1D44">
        <w:rPr>
          <w:snapToGrid w:val="0"/>
          <w:lang w:val="en-GB"/>
        </w:rPr>
        <w:t xml:space="preserve"> and </w:t>
      </w:r>
      <w:r w:rsidR="0079082E" w:rsidRPr="004E1D44">
        <w:rPr>
          <w:snapToGrid w:val="0"/>
          <w:lang w:val="en-GB"/>
        </w:rPr>
        <w:t xml:space="preserve">the five </w:t>
      </w:r>
      <w:r w:rsidR="006F67E1" w:rsidRPr="004E1D44">
        <w:rPr>
          <w:snapToGrid w:val="0"/>
          <w:lang w:val="en-GB"/>
        </w:rPr>
        <w:t>clinicians</w:t>
      </w:r>
      <w:r w:rsidR="003C1BEA" w:rsidRPr="004E1D44">
        <w:rPr>
          <w:snapToGrid w:val="0"/>
          <w:lang w:val="en-GB"/>
        </w:rPr>
        <w:t>/</w:t>
      </w:r>
      <w:r w:rsidR="003C1BEA" w:rsidRPr="002C5EC3">
        <w:rPr>
          <w:snapToGrid w:val="0"/>
          <w:lang w:val="en-GB"/>
        </w:rPr>
        <w:t>metabolic units</w:t>
      </w:r>
      <w:r w:rsidR="00FE62FD" w:rsidRPr="002C5EC3">
        <w:rPr>
          <w:snapToGrid w:val="0"/>
          <w:lang w:val="en-GB"/>
        </w:rPr>
        <w:t>.</w:t>
      </w:r>
      <w:bookmarkEnd w:id="121"/>
      <w:r w:rsidR="00FE62FD" w:rsidRPr="002C5EC3">
        <w:rPr>
          <w:snapToGrid w:val="0"/>
          <w:lang w:val="en-GB"/>
        </w:rPr>
        <w:t xml:space="preserve"> </w:t>
      </w:r>
    </w:p>
    <w:p w14:paraId="067BAC36" w14:textId="3F7CD345" w:rsidR="006F38A1" w:rsidRPr="002C5EC3" w:rsidRDefault="005937A1" w:rsidP="00025AAC">
      <w:pPr>
        <w:numPr>
          <w:ilvl w:val="1"/>
          <w:numId w:val="73"/>
        </w:numPr>
        <w:suppressAutoHyphens w:val="0"/>
        <w:spacing w:after="120"/>
        <w:rPr>
          <w:rFonts w:asciiTheme="minorHAnsi" w:hAnsiTheme="minorHAnsi"/>
          <w:snapToGrid w:val="0"/>
          <w:lang w:val="en-GB"/>
        </w:rPr>
      </w:pPr>
      <w:r w:rsidRPr="002C5EC3">
        <w:rPr>
          <w:rFonts w:asciiTheme="minorHAnsi" w:hAnsiTheme="minorHAnsi"/>
          <w:snapToGrid w:val="0"/>
          <w:lang w:val="en-GB"/>
        </w:rPr>
        <w:t xml:space="preserve">While the PBAC considered it was not ideal to restrict </w:t>
      </w:r>
      <w:proofErr w:type="spellStart"/>
      <w:r w:rsidRPr="002C5EC3">
        <w:rPr>
          <w:rFonts w:asciiTheme="minorHAnsi" w:hAnsiTheme="minorHAnsi"/>
          <w:snapToGrid w:val="0"/>
          <w:lang w:val="en-GB"/>
        </w:rPr>
        <w:t>pegvaliase</w:t>
      </w:r>
      <w:proofErr w:type="spellEnd"/>
      <w:r w:rsidRPr="002C5EC3">
        <w:rPr>
          <w:rFonts w:asciiTheme="minorHAnsi" w:hAnsiTheme="minorHAnsi"/>
          <w:snapToGrid w:val="0"/>
          <w:lang w:val="en-GB"/>
        </w:rPr>
        <w:t xml:space="preserve"> </w:t>
      </w:r>
      <w:r w:rsidR="00612613" w:rsidRPr="002C5EC3">
        <w:rPr>
          <w:rFonts w:asciiTheme="minorHAnsi" w:hAnsiTheme="minorHAnsi"/>
          <w:snapToGrid w:val="0"/>
          <w:lang w:val="en-GB"/>
        </w:rPr>
        <w:t xml:space="preserve">to </w:t>
      </w:r>
      <w:r w:rsidR="00CB64D8" w:rsidRPr="002C5EC3">
        <w:rPr>
          <w:rFonts w:asciiTheme="minorHAnsi" w:hAnsiTheme="minorHAnsi"/>
          <w:snapToGrid w:val="0"/>
          <w:lang w:val="en-GB"/>
        </w:rPr>
        <w:t>last</w:t>
      </w:r>
      <w:r w:rsidR="00715550">
        <w:rPr>
          <w:rFonts w:asciiTheme="minorHAnsi" w:hAnsiTheme="minorHAnsi"/>
          <w:snapToGrid w:val="0"/>
          <w:lang w:val="en-GB"/>
        </w:rPr>
        <w:t xml:space="preserve"> </w:t>
      </w:r>
      <w:r w:rsidR="00CB64D8" w:rsidRPr="002C5EC3">
        <w:rPr>
          <w:rFonts w:asciiTheme="minorHAnsi" w:hAnsiTheme="minorHAnsi"/>
          <w:snapToGrid w:val="0"/>
          <w:lang w:val="en-GB"/>
        </w:rPr>
        <w:t>line after</w:t>
      </w:r>
      <w:r w:rsidR="00612613" w:rsidRPr="002C5EC3">
        <w:rPr>
          <w:rFonts w:asciiTheme="minorHAnsi" w:hAnsiTheme="minorHAnsi"/>
          <w:snapToGrid w:val="0"/>
          <w:lang w:val="en-GB"/>
        </w:rPr>
        <w:t xml:space="preserve"> </w:t>
      </w:r>
      <w:proofErr w:type="spellStart"/>
      <w:r w:rsidR="00612613" w:rsidRPr="002C5EC3">
        <w:rPr>
          <w:rFonts w:asciiTheme="minorHAnsi" w:hAnsiTheme="minorHAnsi"/>
          <w:snapToGrid w:val="0"/>
          <w:lang w:val="en-GB"/>
        </w:rPr>
        <w:t>sapropterin</w:t>
      </w:r>
      <w:proofErr w:type="spellEnd"/>
      <w:r w:rsidR="00612613" w:rsidRPr="002C5EC3">
        <w:rPr>
          <w:rFonts w:asciiTheme="minorHAnsi" w:hAnsiTheme="minorHAnsi"/>
          <w:snapToGrid w:val="0"/>
          <w:lang w:val="en-GB"/>
        </w:rPr>
        <w:t xml:space="preserve">, the </w:t>
      </w:r>
      <w:r w:rsidR="00F33855" w:rsidRPr="002C5EC3">
        <w:rPr>
          <w:rFonts w:asciiTheme="minorHAnsi" w:hAnsiTheme="minorHAnsi"/>
          <w:snapToGrid w:val="0"/>
          <w:lang w:val="en-GB"/>
        </w:rPr>
        <w:t>Committee</w:t>
      </w:r>
      <w:r w:rsidR="00612613" w:rsidRPr="002C5EC3">
        <w:rPr>
          <w:rFonts w:asciiTheme="minorHAnsi" w:hAnsiTheme="minorHAnsi"/>
          <w:snapToGrid w:val="0"/>
          <w:lang w:val="en-GB"/>
        </w:rPr>
        <w:t xml:space="preserve"> </w:t>
      </w:r>
      <w:r w:rsidR="003A544D" w:rsidRPr="002C5EC3">
        <w:rPr>
          <w:rFonts w:asciiTheme="minorHAnsi" w:hAnsiTheme="minorHAnsi"/>
          <w:snapToGrid w:val="0"/>
          <w:lang w:val="en-GB"/>
        </w:rPr>
        <w:t>considered it was acceptable in the context of the high clinical need in this</w:t>
      </w:r>
      <w:r w:rsidR="00DE2213" w:rsidRPr="002C5EC3">
        <w:rPr>
          <w:rFonts w:asciiTheme="minorHAnsi" w:hAnsiTheme="minorHAnsi"/>
          <w:snapToGrid w:val="0"/>
          <w:lang w:val="en-GB"/>
        </w:rPr>
        <w:t xml:space="preserve"> </w:t>
      </w:r>
      <w:r w:rsidR="003A544D" w:rsidRPr="002C5EC3">
        <w:rPr>
          <w:rFonts w:asciiTheme="minorHAnsi" w:hAnsiTheme="minorHAnsi"/>
          <w:snapToGrid w:val="0"/>
          <w:lang w:val="en-GB"/>
        </w:rPr>
        <w:t xml:space="preserve">group along with </w:t>
      </w:r>
      <w:r w:rsidR="004E1D44" w:rsidRPr="002C5EC3">
        <w:rPr>
          <w:rFonts w:asciiTheme="minorHAnsi" w:hAnsiTheme="minorHAnsi"/>
          <w:snapToGrid w:val="0"/>
          <w:lang w:val="en-GB"/>
        </w:rPr>
        <w:t xml:space="preserve">the adverse event profile of </w:t>
      </w:r>
      <w:proofErr w:type="spellStart"/>
      <w:r w:rsidR="004E1D44" w:rsidRPr="002C5EC3">
        <w:rPr>
          <w:rFonts w:asciiTheme="minorHAnsi" w:hAnsiTheme="minorHAnsi"/>
          <w:snapToGrid w:val="0"/>
          <w:lang w:val="en-GB"/>
        </w:rPr>
        <w:t>pegvaliase</w:t>
      </w:r>
      <w:proofErr w:type="spellEnd"/>
      <w:r w:rsidR="004E1D44" w:rsidRPr="002C5EC3">
        <w:rPr>
          <w:rFonts w:asciiTheme="minorHAnsi" w:hAnsiTheme="minorHAnsi"/>
          <w:snapToGrid w:val="0"/>
          <w:lang w:val="en-GB"/>
        </w:rPr>
        <w:t xml:space="preserve"> and</w:t>
      </w:r>
      <w:r w:rsidR="002C5EC3">
        <w:rPr>
          <w:rFonts w:asciiTheme="minorHAnsi" w:hAnsiTheme="minorHAnsi"/>
          <w:snapToGrid w:val="0"/>
          <w:lang w:val="en-GB"/>
        </w:rPr>
        <w:t xml:space="preserve"> </w:t>
      </w:r>
      <w:r w:rsidR="00715550">
        <w:rPr>
          <w:rFonts w:asciiTheme="minorHAnsi" w:hAnsiTheme="minorHAnsi"/>
          <w:snapToGrid w:val="0"/>
          <w:lang w:val="en-GB"/>
        </w:rPr>
        <w:t xml:space="preserve">the </w:t>
      </w:r>
      <w:r w:rsidR="002C5EC3">
        <w:rPr>
          <w:rFonts w:asciiTheme="minorHAnsi" w:hAnsiTheme="minorHAnsi"/>
          <w:snapToGrid w:val="0"/>
          <w:lang w:val="en-GB"/>
        </w:rPr>
        <w:t>potentially</w:t>
      </w:r>
      <w:r w:rsidR="004E1D44" w:rsidRPr="002C5EC3">
        <w:rPr>
          <w:rFonts w:asciiTheme="minorHAnsi" w:hAnsiTheme="minorHAnsi"/>
          <w:snapToGrid w:val="0"/>
          <w:lang w:val="en-GB"/>
        </w:rPr>
        <w:t xml:space="preserve"> </w:t>
      </w:r>
      <w:r w:rsidR="00620277" w:rsidRPr="002C5EC3">
        <w:rPr>
          <w:rFonts w:asciiTheme="minorHAnsi" w:hAnsiTheme="minorHAnsi"/>
          <w:snapToGrid w:val="0"/>
          <w:lang w:val="en-GB"/>
        </w:rPr>
        <w:t xml:space="preserve">long </w:t>
      </w:r>
      <w:r w:rsidR="00DC4FA2">
        <w:rPr>
          <w:rFonts w:asciiTheme="minorHAnsi" w:hAnsiTheme="minorHAnsi"/>
          <w:snapToGrid w:val="0"/>
          <w:lang w:val="en-GB"/>
        </w:rPr>
        <w:t>timeframe between initiation and</w:t>
      </w:r>
      <w:r w:rsidR="004E1D44" w:rsidRPr="002C5EC3">
        <w:rPr>
          <w:rFonts w:asciiTheme="minorHAnsi" w:hAnsiTheme="minorHAnsi"/>
          <w:snapToGrid w:val="0"/>
          <w:lang w:val="en-GB"/>
        </w:rPr>
        <w:t xml:space="preserve"> response</w:t>
      </w:r>
      <w:r w:rsidR="00612613" w:rsidRPr="002C5EC3">
        <w:rPr>
          <w:rFonts w:asciiTheme="minorHAnsi" w:hAnsiTheme="minorHAnsi"/>
          <w:snapToGrid w:val="0"/>
          <w:lang w:val="en-GB"/>
        </w:rPr>
        <w:t xml:space="preserve">. </w:t>
      </w:r>
    </w:p>
    <w:p w14:paraId="29982A7B" w14:textId="5992F58C" w:rsidR="00F40B71" w:rsidRDefault="00F40B71" w:rsidP="00025AAC">
      <w:pPr>
        <w:numPr>
          <w:ilvl w:val="1"/>
          <w:numId w:val="73"/>
        </w:numPr>
        <w:suppressAutoHyphens w:val="0"/>
        <w:spacing w:after="120"/>
        <w:rPr>
          <w:rFonts w:asciiTheme="minorHAnsi" w:hAnsiTheme="minorHAnsi"/>
          <w:snapToGrid w:val="0"/>
          <w:lang w:val="en-GB"/>
        </w:rPr>
      </w:pPr>
      <w:r w:rsidRPr="00F40B71">
        <w:rPr>
          <w:rFonts w:asciiTheme="minorHAnsi" w:hAnsiTheme="minorHAnsi"/>
          <w:snapToGrid w:val="0"/>
          <w:lang w:val="en-GB"/>
        </w:rPr>
        <w:t xml:space="preserve">The PBAC considered that the nominated comparator, a </w:t>
      </w:r>
      <w:proofErr w:type="spellStart"/>
      <w:r w:rsidRPr="00F40B71">
        <w:rPr>
          <w:rFonts w:asciiTheme="minorHAnsi" w:hAnsiTheme="minorHAnsi"/>
          <w:snapToGrid w:val="0"/>
          <w:lang w:val="en-GB"/>
        </w:rPr>
        <w:t>Phe</w:t>
      </w:r>
      <w:proofErr w:type="spellEnd"/>
      <w:r w:rsidRPr="00F40B71">
        <w:rPr>
          <w:rFonts w:asciiTheme="minorHAnsi" w:hAnsiTheme="minorHAnsi"/>
          <w:snapToGrid w:val="0"/>
          <w:lang w:val="en-GB"/>
        </w:rPr>
        <w:t>-restricted diet alone, was an appropriate comparator in the context of the</w:t>
      </w:r>
      <w:r w:rsidR="00C97EF9">
        <w:rPr>
          <w:rFonts w:asciiTheme="minorHAnsi" w:hAnsiTheme="minorHAnsi"/>
          <w:snapToGrid w:val="0"/>
          <w:lang w:val="en-GB"/>
        </w:rPr>
        <w:t xml:space="preserve"> proposed</w:t>
      </w:r>
      <w:r w:rsidRPr="00F40B71">
        <w:rPr>
          <w:rFonts w:asciiTheme="minorHAnsi" w:hAnsiTheme="minorHAnsi"/>
          <w:snapToGrid w:val="0"/>
          <w:lang w:val="en-GB"/>
        </w:rPr>
        <w:t xml:space="preserve"> restriction.</w:t>
      </w:r>
      <w:r>
        <w:rPr>
          <w:rFonts w:asciiTheme="minorHAnsi" w:hAnsiTheme="minorHAnsi"/>
          <w:snapToGrid w:val="0"/>
          <w:lang w:val="en-GB"/>
        </w:rPr>
        <w:t xml:space="preserve"> While </w:t>
      </w:r>
      <w:proofErr w:type="spellStart"/>
      <w:r w:rsidR="00E90BC5">
        <w:rPr>
          <w:rFonts w:asciiTheme="minorHAnsi" w:hAnsiTheme="minorHAnsi"/>
          <w:snapToGrid w:val="0"/>
          <w:lang w:val="en-GB"/>
        </w:rPr>
        <w:t>sapropterin</w:t>
      </w:r>
      <w:proofErr w:type="spellEnd"/>
      <w:r w:rsidR="00E90BC5">
        <w:rPr>
          <w:rFonts w:asciiTheme="minorHAnsi" w:hAnsiTheme="minorHAnsi"/>
          <w:snapToGrid w:val="0"/>
          <w:lang w:val="en-GB"/>
        </w:rPr>
        <w:t xml:space="preserve"> may be a</w:t>
      </w:r>
      <w:r w:rsidR="0022225E">
        <w:rPr>
          <w:rFonts w:asciiTheme="minorHAnsi" w:hAnsiTheme="minorHAnsi"/>
          <w:snapToGrid w:val="0"/>
          <w:lang w:val="en-GB"/>
        </w:rPr>
        <w:t xml:space="preserve"> potential</w:t>
      </w:r>
      <w:r w:rsidR="006F15ED">
        <w:rPr>
          <w:rFonts w:asciiTheme="minorHAnsi" w:hAnsiTheme="minorHAnsi"/>
          <w:snapToGrid w:val="0"/>
          <w:lang w:val="en-GB"/>
        </w:rPr>
        <w:t xml:space="preserve"> </w:t>
      </w:r>
      <w:r w:rsidR="00E90BC5">
        <w:rPr>
          <w:rFonts w:asciiTheme="minorHAnsi" w:hAnsiTheme="minorHAnsi"/>
          <w:snapToGrid w:val="0"/>
          <w:lang w:val="en-GB"/>
        </w:rPr>
        <w:t xml:space="preserve">comparator in the new </w:t>
      </w:r>
      <w:r w:rsidR="00C47848">
        <w:rPr>
          <w:rFonts w:asciiTheme="minorHAnsi" w:hAnsiTheme="minorHAnsi"/>
          <w:snapToGrid w:val="0"/>
          <w:lang w:val="en-GB"/>
        </w:rPr>
        <w:t>group</w:t>
      </w:r>
      <w:r w:rsidR="00E90BC5">
        <w:rPr>
          <w:rFonts w:asciiTheme="minorHAnsi" w:hAnsiTheme="minorHAnsi"/>
          <w:snapToGrid w:val="0"/>
          <w:lang w:val="en-GB"/>
        </w:rPr>
        <w:t xml:space="preserve"> of patients </w:t>
      </w:r>
      <w:r w:rsidR="00C47848">
        <w:rPr>
          <w:rFonts w:asciiTheme="minorHAnsi" w:hAnsiTheme="minorHAnsi"/>
          <w:snapToGrid w:val="0"/>
          <w:lang w:val="en-GB"/>
        </w:rPr>
        <w:t xml:space="preserve">who are ‘responding’ to </w:t>
      </w:r>
      <w:proofErr w:type="spellStart"/>
      <w:r w:rsidR="00C47848">
        <w:rPr>
          <w:rFonts w:asciiTheme="minorHAnsi" w:hAnsiTheme="minorHAnsi"/>
          <w:snapToGrid w:val="0"/>
          <w:lang w:val="en-GB"/>
        </w:rPr>
        <w:t>sapropterin</w:t>
      </w:r>
      <w:proofErr w:type="spellEnd"/>
      <w:r w:rsidR="00C47848">
        <w:rPr>
          <w:rFonts w:asciiTheme="minorHAnsi" w:hAnsiTheme="minorHAnsi"/>
          <w:snapToGrid w:val="0"/>
          <w:lang w:val="en-GB"/>
        </w:rPr>
        <w:t xml:space="preserve"> but </w:t>
      </w:r>
      <w:r w:rsidR="00E90BC5">
        <w:rPr>
          <w:rFonts w:asciiTheme="minorHAnsi" w:hAnsiTheme="minorHAnsi"/>
          <w:snapToGrid w:val="0"/>
          <w:lang w:val="en-GB"/>
        </w:rPr>
        <w:t xml:space="preserve">with </w:t>
      </w:r>
      <w:r w:rsidR="00E90BC5" w:rsidRPr="005937A1">
        <w:rPr>
          <w:rFonts w:asciiTheme="minorHAnsi" w:hAnsiTheme="minorHAnsi"/>
          <w:snapToGrid w:val="0"/>
          <w:lang w:val="en-GB"/>
        </w:rPr>
        <w:t>protein tolerance of &lt; 15g per day</w:t>
      </w:r>
      <w:r w:rsidR="006364B5">
        <w:rPr>
          <w:rFonts w:asciiTheme="minorHAnsi" w:hAnsiTheme="minorHAnsi"/>
          <w:snapToGrid w:val="0"/>
          <w:lang w:val="en-GB"/>
        </w:rPr>
        <w:t xml:space="preserve">, the PBAC considered </w:t>
      </w:r>
      <w:r w:rsidR="0047187E">
        <w:rPr>
          <w:rFonts w:asciiTheme="minorHAnsi" w:hAnsiTheme="minorHAnsi"/>
          <w:snapToGrid w:val="0"/>
          <w:lang w:val="en-GB"/>
        </w:rPr>
        <w:t xml:space="preserve">this group was likely to comprise a small number of patients </w:t>
      </w:r>
      <w:r w:rsidR="00A30F43" w:rsidRPr="00A30F43">
        <w:rPr>
          <w:rFonts w:asciiTheme="minorHAnsi" w:hAnsiTheme="minorHAnsi"/>
          <w:snapToGrid w:val="0"/>
          <w:lang w:val="en-GB"/>
        </w:rPr>
        <w:t xml:space="preserve">given most </w:t>
      </w:r>
      <w:r w:rsidR="00A30F43">
        <w:rPr>
          <w:rFonts w:asciiTheme="minorHAnsi" w:hAnsiTheme="minorHAnsi"/>
          <w:snapToGrid w:val="0"/>
          <w:lang w:val="en-GB"/>
        </w:rPr>
        <w:t>would</w:t>
      </w:r>
      <w:r w:rsidR="00A30F43" w:rsidRPr="00A30F43">
        <w:rPr>
          <w:rFonts w:asciiTheme="minorHAnsi" w:hAnsiTheme="minorHAnsi"/>
          <w:snapToGrid w:val="0"/>
          <w:lang w:val="en-GB"/>
        </w:rPr>
        <w:t xml:space="preserve"> have classical PKU and are unlikely to meet the PBS </w:t>
      </w:r>
      <w:proofErr w:type="spellStart"/>
      <w:r w:rsidR="00A30F43" w:rsidRPr="00A30F43">
        <w:rPr>
          <w:rFonts w:asciiTheme="minorHAnsi" w:hAnsiTheme="minorHAnsi"/>
          <w:snapToGrid w:val="0"/>
          <w:lang w:val="en-GB"/>
        </w:rPr>
        <w:t>sapropterin</w:t>
      </w:r>
      <w:proofErr w:type="spellEnd"/>
      <w:r w:rsidR="00A30F43" w:rsidRPr="00A30F43">
        <w:rPr>
          <w:rFonts w:asciiTheme="minorHAnsi" w:hAnsiTheme="minorHAnsi"/>
          <w:snapToGrid w:val="0"/>
          <w:lang w:val="en-GB"/>
        </w:rPr>
        <w:t xml:space="preserve"> response criteria</w:t>
      </w:r>
      <w:r w:rsidR="00A30F43">
        <w:rPr>
          <w:rFonts w:asciiTheme="minorHAnsi" w:hAnsiTheme="minorHAnsi"/>
          <w:snapToGrid w:val="0"/>
          <w:lang w:val="en-GB"/>
        </w:rPr>
        <w:t xml:space="preserve"> (</w:t>
      </w:r>
      <w:r w:rsidR="00D7048E">
        <w:rPr>
          <w:rFonts w:asciiTheme="minorHAnsi" w:hAnsiTheme="minorHAnsi"/>
          <w:snapToGrid w:val="0"/>
          <w:lang w:val="en-GB"/>
        </w:rPr>
        <w:t>re</w:t>
      </w:r>
      <w:r w:rsidR="00131D32" w:rsidRPr="00131D32">
        <w:rPr>
          <w:rFonts w:asciiTheme="minorHAnsi" w:hAnsiTheme="minorHAnsi"/>
          <w:snapToGrid w:val="0"/>
          <w:lang w:val="en-GB"/>
        </w:rPr>
        <w:t>fer to paragraph</w:t>
      </w:r>
      <w:r w:rsidR="00131D32">
        <w:rPr>
          <w:rFonts w:asciiTheme="minorHAnsi" w:hAnsiTheme="minorHAnsi"/>
          <w:snapToGrid w:val="0"/>
          <w:lang w:val="en-GB"/>
        </w:rPr>
        <w:t xml:space="preserve"> </w:t>
      </w:r>
      <w:r w:rsidR="00131D32">
        <w:rPr>
          <w:rFonts w:asciiTheme="minorHAnsi" w:hAnsiTheme="minorHAnsi"/>
          <w:snapToGrid w:val="0"/>
          <w:lang w:val="en-GB"/>
        </w:rPr>
        <w:fldChar w:fldCharType="begin"/>
      </w:r>
      <w:r w:rsidR="00131D32">
        <w:rPr>
          <w:rFonts w:asciiTheme="minorHAnsi" w:hAnsiTheme="minorHAnsi"/>
          <w:snapToGrid w:val="0"/>
          <w:lang w:val="en-GB"/>
        </w:rPr>
        <w:instrText xml:space="preserve"> REF _Ref225420172 \r \h </w:instrText>
      </w:r>
      <w:r w:rsidR="00131D32">
        <w:rPr>
          <w:rFonts w:asciiTheme="minorHAnsi" w:hAnsiTheme="minorHAnsi"/>
          <w:snapToGrid w:val="0"/>
          <w:lang w:val="en-GB"/>
        </w:rPr>
      </w:r>
      <w:r w:rsidR="00131D32">
        <w:rPr>
          <w:rFonts w:asciiTheme="minorHAnsi" w:hAnsiTheme="minorHAnsi"/>
          <w:snapToGrid w:val="0"/>
          <w:lang w:val="en-GB"/>
        </w:rPr>
        <w:fldChar w:fldCharType="separate"/>
      </w:r>
      <w:r w:rsidR="005F29BB">
        <w:rPr>
          <w:rFonts w:asciiTheme="minorHAnsi" w:hAnsiTheme="minorHAnsi"/>
          <w:snapToGrid w:val="0"/>
          <w:lang w:val="en-GB"/>
        </w:rPr>
        <w:t>6.4</w:t>
      </w:r>
      <w:r w:rsidR="00131D32">
        <w:rPr>
          <w:rFonts w:asciiTheme="minorHAnsi" w:hAnsiTheme="minorHAnsi"/>
          <w:snapToGrid w:val="0"/>
          <w:lang w:val="en-GB"/>
        </w:rPr>
        <w:fldChar w:fldCharType="end"/>
      </w:r>
      <w:r w:rsidR="00131D32" w:rsidRPr="00131D32">
        <w:rPr>
          <w:rFonts w:asciiTheme="minorHAnsi" w:hAnsiTheme="minorHAnsi"/>
          <w:snapToGrid w:val="0"/>
          <w:lang w:val="en-GB"/>
        </w:rPr>
        <w:t>)</w:t>
      </w:r>
      <w:r w:rsidR="00C20D91">
        <w:rPr>
          <w:rFonts w:asciiTheme="minorHAnsi" w:hAnsiTheme="minorHAnsi"/>
          <w:snapToGrid w:val="0"/>
          <w:lang w:val="en-GB"/>
        </w:rPr>
        <w:t>.</w:t>
      </w:r>
    </w:p>
    <w:p w14:paraId="122784A7" w14:textId="1DC0C6E6" w:rsidR="00515175" w:rsidRPr="00515175" w:rsidRDefault="00515175" w:rsidP="00025AAC">
      <w:pPr>
        <w:suppressAutoHyphens w:val="0"/>
        <w:spacing w:after="120"/>
        <w:rPr>
          <w:b/>
          <w:bCs/>
          <w:snapToGrid w:val="0"/>
          <w:u w:val="single"/>
          <w:lang w:val="en-GB"/>
        </w:rPr>
      </w:pPr>
      <w:r w:rsidRPr="00515175">
        <w:rPr>
          <w:b/>
          <w:bCs/>
          <w:snapToGrid w:val="0"/>
          <w:u w:val="single"/>
          <w:lang w:val="en-GB"/>
        </w:rPr>
        <w:t>Comparative effectiveness and clinical claim</w:t>
      </w:r>
    </w:p>
    <w:p w14:paraId="31D6C122" w14:textId="74DADC26" w:rsidR="00BD5D22" w:rsidRPr="00D627E5" w:rsidRDefault="00BD5D22" w:rsidP="00025AAC">
      <w:pPr>
        <w:numPr>
          <w:ilvl w:val="1"/>
          <w:numId w:val="73"/>
        </w:numPr>
        <w:suppressAutoHyphens w:val="0"/>
        <w:spacing w:after="120"/>
        <w:rPr>
          <w:rFonts w:asciiTheme="minorHAnsi" w:hAnsiTheme="minorHAnsi"/>
          <w:snapToGrid w:val="0"/>
          <w:lang w:val="en-GB"/>
        </w:rPr>
      </w:pPr>
      <w:r w:rsidRPr="00BD5D22">
        <w:rPr>
          <w:rFonts w:asciiTheme="minorHAnsi" w:hAnsiTheme="minorHAnsi"/>
          <w:snapToGrid w:val="0"/>
          <w:lang w:val="en-GB"/>
        </w:rPr>
        <w:t xml:space="preserve">For the July 2022 </w:t>
      </w:r>
      <w:proofErr w:type="spellStart"/>
      <w:r w:rsidRPr="00BD5D22">
        <w:rPr>
          <w:rFonts w:asciiTheme="minorHAnsi" w:hAnsiTheme="minorHAnsi"/>
          <w:snapToGrid w:val="0"/>
          <w:lang w:val="en-GB"/>
        </w:rPr>
        <w:t>pegvaliase</w:t>
      </w:r>
      <w:proofErr w:type="spellEnd"/>
      <w:r w:rsidRPr="00BD5D22">
        <w:rPr>
          <w:rFonts w:asciiTheme="minorHAnsi" w:hAnsiTheme="minorHAnsi"/>
          <w:snapToGrid w:val="0"/>
          <w:lang w:val="en-GB"/>
        </w:rPr>
        <w:t xml:space="preserve"> submission, the PBAC considered that while </w:t>
      </w:r>
      <w:proofErr w:type="spellStart"/>
      <w:r w:rsidRPr="00BD5D22">
        <w:rPr>
          <w:rFonts w:asciiTheme="minorHAnsi" w:hAnsiTheme="minorHAnsi"/>
          <w:snapToGrid w:val="0"/>
          <w:lang w:val="en-GB"/>
        </w:rPr>
        <w:t>pegvaliase</w:t>
      </w:r>
      <w:proofErr w:type="spellEnd"/>
      <w:r w:rsidRPr="00BD5D22">
        <w:rPr>
          <w:rFonts w:asciiTheme="minorHAnsi" w:hAnsiTheme="minorHAnsi"/>
          <w:snapToGrid w:val="0"/>
          <w:lang w:val="en-GB"/>
        </w:rPr>
        <w:t xml:space="preserve"> appeared to be effective at reducing blood </w:t>
      </w:r>
      <w:proofErr w:type="spellStart"/>
      <w:r w:rsidRPr="00BD5D22">
        <w:rPr>
          <w:rFonts w:asciiTheme="minorHAnsi" w:hAnsiTheme="minorHAnsi"/>
          <w:snapToGrid w:val="0"/>
          <w:lang w:val="en-GB"/>
        </w:rPr>
        <w:t>Phe</w:t>
      </w:r>
      <w:proofErr w:type="spellEnd"/>
      <w:r w:rsidRPr="00BD5D22">
        <w:rPr>
          <w:rFonts w:asciiTheme="minorHAnsi" w:hAnsiTheme="minorHAnsi"/>
          <w:snapToGrid w:val="0"/>
          <w:lang w:val="en-GB"/>
        </w:rPr>
        <w:t xml:space="preserve"> levels, the magnitude of the incremental benefit could not be reliably estimated and was likely overestimated by the submission due to the poor quality and methodological limitations of the clinical evidence (paragraph 7.8, </w:t>
      </w:r>
      <w:proofErr w:type="spellStart"/>
      <w:r w:rsidRPr="00BD5D22">
        <w:rPr>
          <w:rFonts w:asciiTheme="minorHAnsi" w:hAnsiTheme="minorHAnsi"/>
          <w:snapToGrid w:val="0"/>
          <w:lang w:val="en-GB"/>
        </w:rPr>
        <w:t>pegvaliase</w:t>
      </w:r>
      <w:proofErr w:type="spellEnd"/>
      <w:r w:rsidRPr="00BD5D22">
        <w:rPr>
          <w:rFonts w:asciiTheme="minorHAnsi" w:hAnsiTheme="minorHAnsi"/>
          <w:snapToGrid w:val="0"/>
          <w:lang w:val="en-GB"/>
        </w:rPr>
        <w:t xml:space="preserve">, PSD, July 2022 PBAC meeting). The </w:t>
      </w:r>
      <w:r w:rsidR="00911366">
        <w:rPr>
          <w:rFonts w:asciiTheme="minorHAnsi" w:hAnsiTheme="minorHAnsi"/>
          <w:snapToGrid w:val="0"/>
          <w:lang w:val="en-GB"/>
        </w:rPr>
        <w:t>PBAC</w:t>
      </w:r>
      <w:r w:rsidRPr="00BD5D22">
        <w:rPr>
          <w:rFonts w:asciiTheme="minorHAnsi" w:hAnsiTheme="minorHAnsi"/>
          <w:snapToGrid w:val="0"/>
          <w:lang w:val="en-GB"/>
        </w:rPr>
        <w:t xml:space="preserve"> noted that the resubmission had provided a new analysis (Burton 2024) but considered </w:t>
      </w:r>
      <w:r w:rsidR="00C621E7">
        <w:rPr>
          <w:rFonts w:asciiTheme="minorHAnsi" w:hAnsiTheme="minorHAnsi"/>
          <w:snapToGrid w:val="0"/>
          <w:lang w:val="en-GB"/>
        </w:rPr>
        <w:t>it</w:t>
      </w:r>
      <w:r w:rsidRPr="00BD5D22">
        <w:rPr>
          <w:rFonts w:asciiTheme="minorHAnsi" w:hAnsiTheme="minorHAnsi"/>
          <w:snapToGrid w:val="0"/>
          <w:lang w:val="en-GB"/>
        </w:rPr>
        <w:t xml:space="preserve"> did not further inform the magnitude of the incremental benefit as it </w:t>
      </w:r>
      <w:r w:rsidR="00006611">
        <w:rPr>
          <w:rFonts w:asciiTheme="minorHAnsi" w:hAnsiTheme="minorHAnsi"/>
          <w:snapToGrid w:val="0"/>
          <w:lang w:val="en-GB"/>
        </w:rPr>
        <w:t xml:space="preserve">was based on </w:t>
      </w:r>
      <w:r w:rsidR="00006611">
        <w:rPr>
          <w:rFonts w:asciiTheme="minorHAnsi" w:hAnsiTheme="minorHAnsi"/>
          <w:snapToGrid w:val="0"/>
          <w:lang w:val="en-GB"/>
        </w:rPr>
        <w:lastRenderedPageBreak/>
        <w:t xml:space="preserve">the same underlying data </w:t>
      </w:r>
      <w:r w:rsidR="00ED4836" w:rsidRPr="00D627E5">
        <w:rPr>
          <w:rFonts w:asciiTheme="minorHAnsi" w:hAnsiTheme="minorHAnsi"/>
          <w:snapToGrid w:val="0"/>
          <w:lang w:val="en-GB"/>
        </w:rPr>
        <w:t>as the previous analyses</w:t>
      </w:r>
      <w:r w:rsidR="00ED4836">
        <w:rPr>
          <w:rFonts w:asciiTheme="minorHAnsi" w:hAnsiTheme="minorHAnsi"/>
          <w:snapToGrid w:val="0"/>
          <w:lang w:val="en-GB"/>
        </w:rPr>
        <w:t xml:space="preserve"> </w:t>
      </w:r>
      <w:r w:rsidR="00006611">
        <w:rPr>
          <w:rFonts w:asciiTheme="minorHAnsi" w:hAnsiTheme="minorHAnsi"/>
          <w:snapToGrid w:val="0"/>
          <w:lang w:val="en-GB"/>
        </w:rPr>
        <w:t xml:space="preserve">and </w:t>
      </w:r>
      <w:r w:rsidRPr="00BD5D22">
        <w:rPr>
          <w:rFonts w:asciiTheme="minorHAnsi" w:hAnsiTheme="minorHAnsi"/>
          <w:snapToGrid w:val="0"/>
          <w:lang w:val="en-GB"/>
        </w:rPr>
        <w:t>had similar limitations (including</w:t>
      </w:r>
      <w:r w:rsidR="002766FE">
        <w:rPr>
          <w:rFonts w:asciiTheme="minorHAnsi" w:hAnsiTheme="minorHAnsi"/>
          <w:snapToGrid w:val="0"/>
          <w:lang w:val="en-GB"/>
        </w:rPr>
        <w:t xml:space="preserve"> the lack of common comparator arm and</w:t>
      </w:r>
      <w:r w:rsidRPr="00BD5D22">
        <w:rPr>
          <w:rFonts w:asciiTheme="minorHAnsi" w:hAnsiTheme="minorHAnsi"/>
          <w:snapToGrid w:val="0"/>
          <w:lang w:val="en-GB"/>
        </w:rPr>
        <w:t xml:space="preserve"> </w:t>
      </w:r>
      <w:r w:rsidRPr="00D627E5">
        <w:rPr>
          <w:rFonts w:asciiTheme="minorHAnsi" w:hAnsiTheme="minorHAnsi"/>
          <w:snapToGrid w:val="0"/>
          <w:lang w:val="en-GB"/>
        </w:rPr>
        <w:t xml:space="preserve">transitivity issues). </w:t>
      </w:r>
    </w:p>
    <w:p w14:paraId="73847374" w14:textId="67C119E7" w:rsidR="007A40C9" w:rsidRPr="00F845F7" w:rsidRDefault="00F845F7" w:rsidP="00025AAC">
      <w:pPr>
        <w:numPr>
          <w:ilvl w:val="1"/>
          <w:numId w:val="73"/>
        </w:numPr>
        <w:suppressAutoHyphens w:val="0"/>
        <w:spacing w:after="120"/>
        <w:rPr>
          <w:rFonts w:asciiTheme="minorHAnsi" w:hAnsiTheme="minorHAnsi"/>
          <w:snapToGrid w:val="0"/>
          <w:lang w:val="en-GB"/>
        </w:rPr>
      </w:pPr>
      <w:r w:rsidRPr="00F845F7">
        <w:rPr>
          <w:rFonts w:asciiTheme="minorHAnsi" w:hAnsiTheme="minorHAnsi"/>
          <w:snapToGrid w:val="0"/>
          <w:lang w:val="en-GB"/>
        </w:rPr>
        <w:t xml:space="preserve">The PBAC considered the claim of inferior safety compared with a </w:t>
      </w:r>
      <w:proofErr w:type="spellStart"/>
      <w:r w:rsidRPr="00F845F7">
        <w:rPr>
          <w:rFonts w:asciiTheme="minorHAnsi" w:hAnsiTheme="minorHAnsi"/>
          <w:snapToGrid w:val="0"/>
          <w:lang w:val="en-GB"/>
        </w:rPr>
        <w:t>Phe</w:t>
      </w:r>
      <w:proofErr w:type="spellEnd"/>
      <w:r w:rsidRPr="00F845F7">
        <w:rPr>
          <w:rFonts w:asciiTheme="minorHAnsi" w:hAnsiTheme="minorHAnsi"/>
          <w:snapToGrid w:val="0"/>
          <w:lang w:val="en-GB"/>
        </w:rPr>
        <w:t xml:space="preserve">-restricted diet alone was </w:t>
      </w:r>
      <w:r w:rsidR="007A40C9" w:rsidRPr="00F845F7">
        <w:rPr>
          <w:rFonts w:asciiTheme="minorHAnsi" w:hAnsiTheme="minorHAnsi"/>
          <w:snapToGrid w:val="0"/>
          <w:lang w:val="en-GB"/>
        </w:rPr>
        <w:t>adequately supported by the data</w:t>
      </w:r>
      <w:r w:rsidR="00653889">
        <w:rPr>
          <w:rFonts w:asciiTheme="minorHAnsi" w:hAnsiTheme="minorHAnsi"/>
          <w:snapToGrid w:val="0"/>
          <w:lang w:val="en-GB"/>
        </w:rPr>
        <w:t>, particularly noting the higher rates of</w:t>
      </w:r>
      <w:r w:rsidR="00653889" w:rsidRPr="00653889">
        <w:t xml:space="preserve"> </w:t>
      </w:r>
      <w:r w:rsidR="00653889" w:rsidRPr="00653889">
        <w:rPr>
          <w:rFonts w:asciiTheme="minorHAnsi" w:hAnsiTheme="minorHAnsi"/>
          <w:snapToGrid w:val="0"/>
          <w:lang w:val="en-GB"/>
        </w:rPr>
        <w:t xml:space="preserve">hypersensitivity and </w:t>
      </w:r>
      <w:r w:rsidR="00DA60AB">
        <w:rPr>
          <w:rFonts w:asciiTheme="minorHAnsi" w:hAnsiTheme="minorHAnsi"/>
          <w:snapToGrid w:val="0"/>
          <w:lang w:val="en-GB"/>
        </w:rPr>
        <w:t xml:space="preserve">generalised </w:t>
      </w:r>
      <w:r w:rsidR="00653889" w:rsidRPr="00653889">
        <w:rPr>
          <w:rFonts w:asciiTheme="minorHAnsi" w:hAnsiTheme="minorHAnsi"/>
          <w:snapToGrid w:val="0"/>
          <w:lang w:val="en-GB"/>
        </w:rPr>
        <w:t>skin reactions</w:t>
      </w:r>
      <w:r w:rsidR="00653889">
        <w:rPr>
          <w:rFonts w:asciiTheme="minorHAnsi" w:hAnsiTheme="minorHAnsi"/>
          <w:snapToGrid w:val="0"/>
          <w:lang w:val="en-GB"/>
        </w:rPr>
        <w:t xml:space="preserve"> associated with </w:t>
      </w:r>
      <w:proofErr w:type="spellStart"/>
      <w:r w:rsidR="00653889">
        <w:rPr>
          <w:rFonts w:asciiTheme="minorHAnsi" w:hAnsiTheme="minorHAnsi"/>
          <w:snapToGrid w:val="0"/>
          <w:lang w:val="en-GB"/>
        </w:rPr>
        <w:t>pegvaliase</w:t>
      </w:r>
      <w:proofErr w:type="spellEnd"/>
      <w:r w:rsidR="007A40C9" w:rsidRPr="00F845F7">
        <w:rPr>
          <w:rFonts w:asciiTheme="minorHAnsi" w:hAnsiTheme="minorHAnsi"/>
          <w:snapToGrid w:val="0"/>
          <w:lang w:val="en-GB"/>
        </w:rPr>
        <w:t>.</w:t>
      </w:r>
    </w:p>
    <w:p w14:paraId="5CE26780" w14:textId="099353C9" w:rsidR="005166F6" w:rsidRPr="00BB3FFF" w:rsidRDefault="00B35EC1" w:rsidP="00025AAC">
      <w:pPr>
        <w:suppressAutoHyphens w:val="0"/>
        <w:spacing w:after="120"/>
        <w:outlineLvl w:val="2"/>
        <w:rPr>
          <w:rFonts w:asciiTheme="minorHAnsi" w:hAnsiTheme="minorHAnsi"/>
          <w:b/>
          <w:bCs/>
          <w:snapToGrid w:val="0"/>
          <w:u w:val="single"/>
          <w:lang w:val="en-GB"/>
        </w:rPr>
      </w:pPr>
      <w:r w:rsidRPr="00BB3FFF">
        <w:rPr>
          <w:rFonts w:asciiTheme="minorHAnsi" w:hAnsiTheme="minorHAnsi"/>
          <w:b/>
          <w:bCs/>
          <w:snapToGrid w:val="0"/>
          <w:u w:val="single"/>
          <w:lang w:val="en-GB"/>
        </w:rPr>
        <w:t xml:space="preserve">Economic analysis </w:t>
      </w:r>
    </w:p>
    <w:p w14:paraId="56D66C3E" w14:textId="1B3859AD" w:rsidR="000E26CA" w:rsidRPr="00D152D7" w:rsidRDefault="000A7A71" w:rsidP="00025AAC">
      <w:pPr>
        <w:numPr>
          <w:ilvl w:val="1"/>
          <w:numId w:val="73"/>
        </w:numPr>
        <w:suppressAutoHyphens w:val="0"/>
        <w:spacing w:after="120"/>
        <w:rPr>
          <w:rFonts w:asciiTheme="minorHAnsi" w:hAnsiTheme="minorHAnsi"/>
          <w:snapToGrid w:val="0"/>
          <w:lang w:val="en-GB"/>
        </w:rPr>
      </w:pPr>
      <w:r w:rsidRPr="00D52DEE">
        <w:rPr>
          <w:rFonts w:asciiTheme="minorHAnsi" w:hAnsiTheme="minorHAnsi"/>
          <w:snapToGrid w:val="0"/>
          <w:lang w:val="en-GB"/>
        </w:rPr>
        <w:t xml:space="preserve">The PBAC noted that the resubmission used the same economic model structure with predominantly the same inputs as the July 2022 submission. </w:t>
      </w:r>
      <w:r w:rsidR="000E26CA" w:rsidRPr="00D52DEE">
        <w:rPr>
          <w:rFonts w:asciiTheme="minorHAnsi" w:hAnsiTheme="minorHAnsi"/>
          <w:snapToGrid w:val="0"/>
          <w:lang w:val="en-GB"/>
        </w:rPr>
        <w:t xml:space="preserve">The PBAC recalled the </w:t>
      </w:r>
      <w:r w:rsidR="00866708" w:rsidRPr="00D52DEE">
        <w:rPr>
          <w:rFonts w:asciiTheme="minorHAnsi" w:hAnsiTheme="minorHAnsi"/>
          <w:snapToGrid w:val="0"/>
          <w:lang w:val="en-GB"/>
        </w:rPr>
        <w:t xml:space="preserve">ESC’s </w:t>
      </w:r>
      <w:r w:rsidR="00E52E37" w:rsidRPr="00D52DEE">
        <w:rPr>
          <w:rFonts w:asciiTheme="minorHAnsi" w:hAnsiTheme="minorHAnsi"/>
          <w:snapToGrid w:val="0"/>
          <w:lang w:val="en-GB"/>
        </w:rPr>
        <w:t xml:space="preserve">previous advice </w:t>
      </w:r>
      <w:r w:rsidR="00863177" w:rsidRPr="00D52DEE">
        <w:rPr>
          <w:rFonts w:asciiTheme="minorHAnsi" w:hAnsiTheme="minorHAnsi"/>
          <w:snapToGrid w:val="0"/>
          <w:lang w:val="en-GB"/>
        </w:rPr>
        <w:t>regarding</w:t>
      </w:r>
      <w:r w:rsidR="00E52E37" w:rsidRPr="00D52DEE">
        <w:rPr>
          <w:rFonts w:asciiTheme="minorHAnsi" w:hAnsiTheme="minorHAnsi"/>
          <w:snapToGrid w:val="0"/>
          <w:lang w:val="en-GB"/>
        </w:rPr>
        <w:t xml:space="preserve"> the substantial limitations of the economic model</w:t>
      </w:r>
      <w:r w:rsidR="00AA17AF" w:rsidRPr="00D52DEE">
        <w:rPr>
          <w:rFonts w:asciiTheme="minorHAnsi" w:hAnsiTheme="minorHAnsi"/>
          <w:snapToGrid w:val="0"/>
          <w:lang w:val="en-GB"/>
        </w:rPr>
        <w:t xml:space="preserve">, including that the model was highly uncertain and that ‘the complex approach, extrapolated over a 100 year time horizon, meant the limitations of the clinical data (e.g., the low sample sizes and wide variances) were magnified’ </w:t>
      </w:r>
      <w:r w:rsidR="00E52E37" w:rsidRPr="00D52DEE">
        <w:rPr>
          <w:rFonts w:asciiTheme="minorHAnsi" w:hAnsiTheme="minorHAnsi"/>
          <w:snapToGrid w:val="0"/>
          <w:lang w:val="en-GB"/>
        </w:rPr>
        <w:t xml:space="preserve">(paragraph </w:t>
      </w:r>
      <w:r w:rsidR="00863177" w:rsidRPr="00D52DEE">
        <w:rPr>
          <w:rFonts w:asciiTheme="minorHAnsi" w:hAnsiTheme="minorHAnsi"/>
          <w:snapToGrid w:val="0"/>
          <w:lang w:val="en-GB"/>
        </w:rPr>
        <w:t xml:space="preserve">7.11, </w:t>
      </w:r>
      <w:proofErr w:type="spellStart"/>
      <w:r w:rsidR="00863177" w:rsidRPr="00D52DEE">
        <w:rPr>
          <w:rFonts w:asciiTheme="minorHAnsi" w:hAnsiTheme="minorHAnsi"/>
          <w:snapToGrid w:val="0"/>
          <w:lang w:val="en-GB"/>
        </w:rPr>
        <w:t>pegvaliase</w:t>
      </w:r>
      <w:proofErr w:type="spellEnd"/>
      <w:r w:rsidR="00863177" w:rsidRPr="00D52DEE">
        <w:rPr>
          <w:rFonts w:asciiTheme="minorHAnsi" w:hAnsiTheme="minorHAnsi"/>
          <w:snapToGrid w:val="0"/>
          <w:lang w:val="en-GB"/>
        </w:rPr>
        <w:t xml:space="preserve"> PSD, July 2022 PBAC Meeting).</w:t>
      </w:r>
      <w:r w:rsidR="00D74554" w:rsidRPr="00D74554">
        <w:t xml:space="preserve"> </w:t>
      </w:r>
      <w:r w:rsidR="00D74554">
        <w:t xml:space="preserve">However, the PBAC reiterated its previous </w:t>
      </w:r>
      <w:r w:rsidR="00D74554" w:rsidRPr="00D52DEE">
        <w:rPr>
          <w:rFonts w:asciiTheme="minorHAnsi" w:hAnsiTheme="minorHAnsi"/>
          <w:snapToGrid w:val="0"/>
          <w:lang w:val="en-GB"/>
        </w:rPr>
        <w:t xml:space="preserve">considerations </w:t>
      </w:r>
      <w:r w:rsidR="002761C1">
        <w:rPr>
          <w:rFonts w:asciiTheme="minorHAnsi" w:hAnsiTheme="minorHAnsi"/>
          <w:snapToGrid w:val="0"/>
          <w:lang w:val="en-GB"/>
        </w:rPr>
        <w:t>(</w:t>
      </w:r>
      <w:r w:rsidR="00D74554" w:rsidRPr="00D52DEE">
        <w:rPr>
          <w:rFonts w:asciiTheme="minorHAnsi" w:hAnsiTheme="minorHAnsi"/>
          <w:snapToGrid w:val="0"/>
          <w:lang w:val="en-GB"/>
        </w:rPr>
        <w:t xml:space="preserve">for </w:t>
      </w:r>
      <w:r w:rsidR="00D52DEE">
        <w:rPr>
          <w:rFonts w:asciiTheme="minorHAnsi" w:hAnsiTheme="minorHAnsi"/>
          <w:snapToGrid w:val="0"/>
          <w:lang w:val="en-GB"/>
        </w:rPr>
        <w:t>medicines</w:t>
      </w:r>
      <w:r w:rsidR="00D74554" w:rsidRPr="00D52DEE">
        <w:rPr>
          <w:rFonts w:asciiTheme="minorHAnsi" w:hAnsiTheme="minorHAnsi"/>
          <w:snapToGrid w:val="0"/>
          <w:lang w:val="en-GB"/>
        </w:rPr>
        <w:t xml:space="preserve"> </w:t>
      </w:r>
      <w:r w:rsidR="00601C95">
        <w:rPr>
          <w:rFonts w:asciiTheme="minorHAnsi" w:hAnsiTheme="minorHAnsi"/>
          <w:snapToGrid w:val="0"/>
          <w:lang w:val="en-GB"/>
        </w:rPr>
        <w:t>to treat</w:t>
      </w:r>
      <w:r w:rsidR="00FC55D1">
        <w:rPr>
          <w:rFonts w:asciiTheme="minorHAnsi" w:hAnsiTheme="minorHAnsi"/>
          <w:snapToGrid w:val="0"/>
          <w:lang w:val="en-GB"/>
        </w:rPr>
        <w:t xml:space="preserve"> </w:t>
      </w:r>
      <w:r w:rsidR="00D74554" w:rsidRPr="00D52DEE">
        <w:rPr>
          <w:rFonts w:asciiTheme="minorHAnsi" w:hAnsiTheme="minorHAnsi"/>
          <w:snapToGrid w:val="0"/>
          <w:lang w:val="en-GB"/>
        </w:rPr>
        <w:t>PKU</w:t>
      </w:r>
      <w:r w:rsidR="002761C1">
        <w:rPr>
          <w:rFonts w:asciiTheme="minorHAnsi" w:hAnsiTheme="minorHAnsi"/>
          <w:snapToGrid w:val="0"/>
          <w:lang w:val="en-GB"/>
        </w:rPr>
        <w:t>)</w:t>
      </w:r>
      <w:r w:rsidR="00D74554" w:rsidRPr="00D52DEE">
        <w:rPr>
          <w:rFonts w:asciiTheme="minorHAnsi" w:hAnsiTheme="minorHAnsi"/>
          <w:snapToGrid w:val="0"/>
          <w:lang w:val="en-GB"/>
        </w:rPr>
        <w:t xml:space="preserve"> that clinically significant outcomes may not have been fully captured in the </w:t>
      </w:r>
      <w:r w:rsidR="00D74554" w:rsidRPr="00D152D7">
        <w:rPr>
          <w:rFonts w:asciiTheme="minorHAnsi" w:hAnsiTheme="minorHAnsi"/>
          <w:snapToGrid w:val="0"/>
          <w:lang w:val="en-GB"/>
        </w:rPr>
        <w:t>economic evaluation</w:t>
      </w:r>
      <w:r w:rsidR="00793917" w:rsidRPr="00D152D7">
        <w:rPr>
          <w:rFonts w:asciiTheme="minorHAnsi" w:hAnsiTheme="minorHAnsi"/>
          <w:snapToGrid w:val="0"/>
          <w:lang w:val="en-GB"/>
        </w:rPr>
        <w:t xml:space="preserve"> (refer to paragraph </w:t>
      </w:r>
      <w:r w:rsidR="00793917" w:rsidRPr="00D152D7">
        <w:rPr>
          <w:rFonts w:asciiTheme="minorHAnsi" w:hAnsiTheme="minorHAnsi"/>
          <w:snapToGrid w:val="0"/>
          <w:lang w:val="en-GB"/>
        </w:rPr>
        <w:fldChar w:fldCharType="begin"/>
      </w:r>
      <w:r w:rsidR="00793917" w:rsidRPr="00D152D7">
        <w:rPr>
          <w:rFonts w:asciiTheme="minorHAnsi" w:hAnsiTheme="minorHAnsi"/>
          <w:snapToGrid w:val="0"/>
          <w:lang w:val="en-GB"/>
        </w:rPr>
        <w:instrText xml:space="preserve"> REF _Ref225504124 \r \h </w:instrText>
      </w:r>
      <w:r w:rsidR="00D152D7">
        <w:rPr>
          <w:rFonts w:asciiTheme="minorHAnsi" w:hAnsiTheme="minorHAnsi"/>
          <w:snapToGrid w:val="0"/>
          <w:lang w:val="en-GB"/>
        </w:rPr>
        <w:instrText xml:space="preserve"> \* MERGEFORMAT </w:instrText>
      </w:r>
      <w:r w:rsidR="00793917" w:rsidRPr="00D152D7">
        <w:rPr>
          <w:rFonts w:asciiTheme="minorHAnsi" w:hAnsiTheme="minorHAnsi"/>
          <w:snapToGrid w:val="0"/>
          <w:lang w:val="en-GB"/>
        </w:rPr>
      </w:r>
      <w:r w:rsidR="00793917" w:rsidRPr="00D152D7">
        <w:rPr>
          <w:rFonts w:asciiTheme="minorHAnsi" w:hAnsiTheme="minorHAnsi"/>
          <w:snapToGrid w:val="0"/>
          <w:lang w:val="en-GB"/>
        </w:rPr>
        <w:fldChar w:fldCharType="separate"/>
      </w:r>
      <w:r w:rsidR="005F29BB">
        <w:rPr>
          <w:rFonts w:asciiTheme="minorHAnsi" w:hAnsiTheme="minorHAnsi"/>
          <w:snapToGrid w:val="0"/>
          <w:lang w:val="en-GB"/>
        </w:rPr>
        <w:t>7.3</w:t>
      </w:r>
      <w:r w:rsidR="00793917" w:rsidRPr="00D152D7">
        <w:rPr>
          <w:rFonts w:asciiTheme="minorHAnsi" w:hAnsiTheme="minorHAnsi"/>
          <w:snapToGrid w:val="0"/>
          <w:lang w:val="en-GB"/>
        </w:rPr>
        <w:fldChar w:fldCharType="end"/>
      </w:r>
      <w:r w:rsidR="00793917" w:rsidRPr="00D152D7">
        <w:rPr>
          <w:rFonts w:asciiTheme="minorHAnsi" w:hAnsiTheme="minorHAnsi"/>
          <w:snapToGrid w:val="0"/>
          <w:lang w:val="en-GB"/>
        </w:rPr>
        <w:t>)</w:t>
      </w:r>
      <w:r w:rsidR="00833C3C" w:rsidRPr="00D152D7">
        <w:rPr>
          <w:rFonts w:asciiTheme="minorHAnsi" w:hAnsiTheme="minorHAnsi"/>
          <w:snapToGrid w:val="0"/>
          <w:lang w:val="en-GB"/>
        </w:rPr>
        <w:t>.</w:t>
      </w:r>
    </w:p>
    <w:p w14:paraId="79C3B3F1" w14:textId="316AC0CC" w:rsidR="009B58FF" w:rsidRPr="00E3017B" w:rsidRDefault="009348B1" w:rsidP="00025AAC">
      <w:pPr>
        <w:pStyle w:val="ListParagraph"/>
        <w:numPr>
          <w:ilvl w:val="1"/>
          <w:numId w:val="73"/>
        </w:numPr>
        <w:jc w:val="both"/>
        <w:rPr>
          <w:snapToGrid w:val="0"/>
          <w:lang w:val="en-GB"/>
        </w:rPr>
      </w:pPr>
      <w:r w:rsidRPr="00D152D7">
        <w:rPr>
          <w:snapToGrid w:val="0"/>
          <w:lang w:val="en-GB"/>
        </w:rPr>
        <w:t xml:space="preserve">The PBAC noted the resubmission’s base case ICER </w:t>
      </w:r>
      <w:r w:rsidR="00AF369F" w:rsidRPr="00D152D7">
        <w:rPr>
          <w:snapToGrid w:val="0"/>
          <w:lang w:val="en-GB"/>
        </w:rPr>
        <w:t>was</w:t>
      </w:r>
      <w:r w:rsidRPr="00D152D7">
        <w:rPr>
          <w:snapToGrid w:val="0"/>
          <w:lang w:val="en-GB"/>
        </w:rPr>
        <w:t xml:space="preserve"> </w:t>
      </w:r>
      <w:r w:rsidR="00A504E2" w:rsidRPr="00D152D7">
        <w:rPr>
          <w:snapToGrid w:val="0"/>
          <w:lang w:val="en-GB"/>
        </w:rPr>
        <w:t>$</w:t>
      </w:r>
      <w:r w:rsidR="000359C5">
        <w:rPr>
          <w:snapToGrid w:val="0"/>
          <w:lang w:val="en-GB"/>
        </w:rPr>
        <w:t>255,000 to &lt; $355,000</w:t>
      </w:r>
      <w:r w:rsidR="00A504E2" w:rsidRPr="00D152D7">
        <w:rPr>
          <w:snapToGrid w:val="0"/>
          <w:lang w:val="en-GB"/>
        </w:rPr>
        <w:t xml:space="preserve"> per QALY</w:t>
      </w:r>
      <w:r w:rsidR="00D802A9" w:rsidRPr="00D152D7">
        <w:rPr>
          <w:snapToGrid w:val="0"/>
          <w:lang w:val="en-GB"/>
        </w:rPr>
        <w:t xml:space="preserve">, reduced from </w:t>
      </w:r>
      <w:r w:rsidR="009B58FF" w:rsidRPr="00D152D7">
        <w:rPr>
          <w:snapToGrid w:val="0"/>
          <w:lang w:val="en-GB"/>
        </w:rPr>
        <w:t>$</w:t>
      </w:r>
      <w:r w:rsidR="000359C5">
        <w:rPr>
          <w:snapToGrid w:val="0"/>
          <w:lang w:val="en-GB"/>
        </w:rPr>
        <w:t>655,000 to &lt; $755,000</w:t>
      </w:r>
      <w:r w:rsidR="009B58FF" w:rsidRPr="00D152D7">
        <w:rPr>
          <w:snapToGrid w:val="0"/>
          <w:lang w:val="en-GB"/>
        </w:rPr>
        <w:t xml:space="preserve">/QALY in the previous submission. In July 2022 the PBAC considered that the ICER for </w:t>
      </w:r>
      <w:proofErr w:type="spellStart"/>
      <w:r w:rsidR="009B58FF" w:rsidRPr="00D152D7">
        <w:rPr>
          <w:snapToGrid w:val="0"/>
          <w:lang w:val="en-GB"/>
        </w:rPr>
        <w:t>pegvaliase</w:t>
      </w:r>
      <w:proofErr w:type="spellEnd"/>
      <w:r w:rsidR="009B58FF" w:rsidRPr="00D152D7">
        <w:rPr>
          <w:snapToGrid w:val="0"/>
          <w:lang w:val="en-GB"/>
        </w:rPr>
        <w:t xml:space="preserve"> should be </w:t>
      </w:r>
      <w:r w:rsidR="00FC55D1" w:rsidRPr="00D152D7">
        <w:rPr>
          <w:snapToGrid w:val="0"/>
          <w:lang w:val="en-GB"/>
        </w:rPr>
        <w:t>‘</w:t>
      </w:r>
      <w:r w:rsidR="009B58FF" w:rsidRPr="00D152D7">
        <w:rPr>
          <w:snapToGrid w:val="0"/>
          <w:lang w:val="en-GB"/>
        </w:rPr>
        <w:t xml:space="preserve">no higher than that accepted for </w:t>
      </w:r>
      <w:proofErr w:type="spellStart"/>
      <w:r w:rsidR="009B58FF" w:rsidRPr="00D152D7">
        <w:rPr>
          <w:snapToGrid w:val="0"/>
          <w:lang w:val="en-GB"/>
        </w:rPr>
        <w:t>sapropterin</w:t>
      </w:r>
      <w:proofErr w:type="spellEnd"/>
      <w:r w:rsidR="009B58FF" w:rsidRPr="00D152D7">
        <w:rPr>
          <w:snapToGrid w:val="0"/>
          <w:lang w:val="en-GB"/>
        </w:rPr>
        <w:t xml:space="preserve"> for initiation in adult patients’ (paragraph 7.12, </w:t>
      </w:r>
      <w:proofErr w:type="spellStart"/>
      <w:r w:rsidR="009B58FF" w:rsidRPr="00D152D7">
        <w:rPr>
          <w:snapToGrid w:val="0"/>
          <w:lang w:val="en-GB"/>
        </w:rPr>
        <w:t>pegvaliase</w:t>
      </w:r>
      <w:proofErr w:type="spellEnd"/>
      <w:r w:rsidR="009B58FF" w:rsidRPr="00D152D7">
        <w:rPr>
          <w:snapToGrid w:val="0"/>
          <w:lang w:val="en-GB"/>
        </w:rPr>
        <w:t xml:space="preserve"> PSD, July 2022 PBAC Meeting)</w:t>
      </w:r>
      <w:r w:rsidR="006E638B" w:rsidRPr="00D152D7">
        <w:rPr>
          <w:snapToGrid w:val="0"/>
          <w:lang w:val="en-GB"/>
        </w:rPr>
        <w:t xml:space="preserve">, which was </w:t>
      </w:r>
      <w:r w:rsidR="0052468B" w:rsidRPr="00D152D7">
        <w:rPr>
          <w:snapToGrid w:val="0"/>
          <w:lang w:val="en-GB"/>
        </w:rPr>
        <w:t>$300,000/QALY</w:t>
      </w:r>
      <w:r w:rsidR="002455D0" w:rsidRPr="00D152D7">
        <w:t xml:space="preserve"> (</w:t>
      </w:r>
      <w:r w:rsidR="002455D0" w:rsidRPr="00D152D7">
        <w:rPr>
          <w:snapToGrid w:val="0"/>
          <w:lang w:val="en-GB"/>
        </w:rPr>
        <w:t xml:space="preserve">paragraph 7.12, </w:t>
      </w:r>
      <w:proofErr w:type="spellStart"/>
      <w:r w:rsidR="002455D0" w:rsidRPr="00D152D7">
        <w:rPr>
          <w:snapToGrid w:val="0"/>
          <w:lang w:val="en-GB"/>
        </w:rPr>
        <w:t>sapropterin</w:t>
      </w:r>
      <w:proofErr w:type="spellEnd"/>
      <w:r w:rsidR="002455D0" w:rsidRPr="00D152D7">
        <w:rPr>
          <w:snapToGrid w:val="0"/>
          <w:lang w:val="en-GB"/>
        </w:rPr>
        <w:t xml:space="preserve"> </w:t>
      </w:r>
      <w:r w:rsidR="00642D19">
        <w:rPr>
          <w:snapToGrid w:val="0"/>
          <w:lang w:val="en-GB"/>
        </w:rPr>
        <w:t>Public Summary Document [PSD]</w:t>
      </w:r>
      <w:r w:rsidR="002455D0" w:rsidRPr="00D152D7">
        <w:rPr>
          <w:snapToGrid w:val="0"/>
          <w:lang w:val="en-GB"/>
        </w:rPr>
        <w:t>, July 2022 PBAC Meeting)</w:t>
      </w:r>
      <w:r w:rsidR="009B58FF" w:rsidRPr="00D152D7">
        <w:rPr>
          <w:snapToGrid w:val="0"/>
          <w:lang w:val="en-GB"/>
        </w:rPr>
        <w:t>. The PBAC considered that the ICER</w:t>
      </w:r>
      <w:r w:rsidR="003B2E2D" w:rsidRPr="00D152D7">
        <w:rPr>
          <w:snapToGrid w:val="0"/>
          <w:lang w:val="en-GB"/>
        </w:rPr>
        <w:t xml:space="preserve"> proposed in the resubmission</w:t>
      </w:r>
      <w:r w:rsidR="009B58FF" w:rsidRPr="00D152D7">
        <w:rPr>
          <w:snapToGrid w:val="0"/>
          <w:lang w:val="en-GB"/>
        </w:rPr>
        <w:t xml:space="preserve">, though very high and uncertain, would be acceptable in the context of the </w:t>
      </w:r>
      <w:r w:rsidR="009739AB" w:rsidRPr="00D152D7">
        <w:rPr>
          <w:snapToGrid w:val="0"/>
          <w:lang w:val="en-GB"/>
        </w:rPr>
        <w:t xml:space="preserve">very </w:t>
      </w:r>
      <w:r w:rsidR="009B58FF" w:rsidRPr="00D152D7">
        <w:rPr>
          <w:snapToGrid w:val="0"/>
          <w:lang w:val="en-GB"/>
        </w:rPr>
        <w:t>high clinical need, high burden of disease and small patient population</w:t>
      </w:r>
      <w:r w:rsidR="004955B6" w:rsidRPr="00D152D7">
        <w:rPr>
          <w:snapToGrid w:val="0"/>
          <w:lang w:val="en-GB"/>
        </w:rPr>
        <w:t xml:space="preserve">, </w:t>
      </w:r>
      <w:proofErr w:type="gramStart"/>
      <w:r w:rsidR="004955B6" w:rsidRPr="00D152D7">
        <w:rPr>
          <w:snapToGrid w:val="0"/>
          <w:lang w:val="en-GB"/>
        </w:rPr>
        <w:t>and also</w:t>
      </w:r>
      <w:proofErr w:type="gramEnd"/>
      <w:r w:rsidR="004955B6" w:rsidRPr="00D152D7">
        <w:rPr>
          <w:snapToGrid w:val="0"/>
          <w:lang w:val="en-GB"/>
        </w:rPr>
        <w:t xml:space="preserve"> reiterated that </w:t>
      </w:r>
      <w:r w:rsidR="00F478FB" w:rsidRPr="00D152D7">
        <w:rPr>
          <w:snapToGrid w:val="0"/>
          <w:lang w:val="en-GB"/>
        </w:rPr>
        <w:t>the clinical meaningfulness of the benefits in adults</w:t>
      </w:r>
      <w:r w:rsidR="006A6C73" w:rsidRPr="00D152D7">
        <w:rPr>
          <w:snapToGrid w:val="0"/>
          <w:lang w:val="en-GB"/>
        </w:rPr>
        <w:t xml:space="preserve"> </w:t>
      </w:r>
      <w:r w:rsidR="00522C48" w:rsidRPr="00D152D7">
        <w:rPr>
          <w:snapToGrid w:val="0"/>
          <w:lang w:val="en-GB"/>
        </w:rPr>
        <w:t>was</w:t>
      </w:r>
      <w:r w:rsidR="006A6C73" w:rsidRPr="00D152D7">
        <w:rPr>
          <w:snapToGrid w:val="0"/>
          <w:lang w:val="en-GB"/>
        </w:rPr>
        <w:t xml:space="preserve"> not </w:t>
      </w:r>
      <w:r w:rsidR="006A6C73" w:rsidRPr="00E3017B">
        <w:rPr>
          <w:snapToGrid w:val="0"/>
          <w:lang w:val="en-GB"/>
        </w:rPr>
        <w:t xml:space="preserve">fully captured in the economic evaluation. </w:t>
      </w:r>
    </w:p>
    <w:p w14:paraId="385F22CE" w14:textId="6E3A1361" w:rsidR="00FA0329" w:rsidRPr="00E3017B" w:rsidRDefault="00A504E2" w:rsidP="00025AAC">
      <w:pPr>
        <w:pStyle w:val="ListParagraph"/>
        <w:numPr>
          <w:ilvl w:val="1"/>
          <w:numId w:val="73"/>
        </w:numPr>
        <w:jc w:val="both"/>
        <w:rPr>
          <w:snapToGrid w:val="0"/>
          <w:lang w:val="en-GB"/>
        </w:rPr>
      </w:pPr>
      <w:r w:rsidRPr="00E3017B">
        <w:rPr>
          <w:snapToGrid w:val="0"/>
          <w:lang w:val="en-GB"/>
        </w:rPr>
        <w:t>The PBAC noted that the ICER of $</w:t>
      </w:r>
      <w:r w:rsidR="000359C5" w:rsidRPr="00E3017B">
        <w:rPr>
          <w:snapToGrid w:val="0"/>
          <w:lang w:val="en-GB"/>
        </w:rPr>
        <w:t>255,000 to &lt; $355,000</w:t>
      </w:r>
      <w:r w:rsidRPr="00E3017B">
        <w:rPr>
          <w:snapToGrid w:val="0"/>
          <w:lang w:val="en-GB"/>
        </w:rPr>
        <w:t xml:space="preserve"> per QALY was </w:t>
      </w:r>
      <w:r w:rsidR="00AF369F" w:rsidRPr="00E3017B">
        <w:rPr>
          <w:snapToGrid w:val="0"/>
          <w:lang w:val="en-GB"/>
        </w:rPr>
        <w:t>based on a</w:t>
      </w:r>
      <w:r w:rsidR="00B23BD6" w:rsidRPr="00E3017B">
        <w:t xml:space="preserve"> </w:t>
      </w:r>
      <w:proofErr w:type="spellStart"/>
      <w:r w:rsidR="002E0EDD" w:rsidRPr="00E3017B">
        <w:t>pegvaliase</w:t>
      </w:r>
      <w:proofErr w:type="spellEnd"/>
      <w:r w:rsidR="002E0EDD" w:rsidRPr="00E3017B">
        <w:t xml:space="preserve"> </w:t>
      </w:r>
      <w:r w:rsidR="00B23BD6" w:rsidRPr="00E3017B">
        <w:rPr>
          <w:snapToGrid w:val="0"/>
          <w:lang w:val="en-GB"/>
        </w:rPr>
        <w:t xml:space="preserve">cost </w:t>
      </w:r>
      <w:r w:rsidR="002E0EDD" w:rsidRPr="00E3017B">
        <w:rPr>
          <w:snapToGrid w:val="0"/>
          <w:lang w:val="en-GB"/>
        </w:rPr>
        <w:t>of $</w:t>
      </w:r>
      <w:r w:rsidR="002615A2" w:rsidRPr="002615A2">
        <w:rPr>
          <w:snapToGrid w:val="0"/>
          <w:sz w:val="2"/>
          <w:highlight w:val="black"/>
          <w:lang w:val="en-GB"/>
        </w:rPr>
        <w:t>redacted content</w:t>
      </w:r>
      <w:r w:rsidR="002E0EDD" w:rsidRPr="00E3017B">
        <w:rPr>
          <w:snapToGrid w:val="0"/>
          <w:lang w:val="en-GB"/>
        </w:rPr>
        <w:t xml:space="preserve"> per syringe</w:t>
      </w:r>
      <w:r w:rsidR="003612E1" w:rsidRPr="00E3017B">
        <w:rPr>
          <w:snapToGrid w:val="0"/>
          <w:lang w:val="en-GB"/>
        </w:rPr>
        <w:t>. This</w:t>
      </w:r>
      <w:r w:rsidR="00B23BD6" w:rsidRPr="00E3017B">
        <w:rPr>
          <w:snapToGrid w:val="0"/>
          <w:lang w:val="en-GB"/>
        </w:rPr>
        <w:t xml:space="preserve"> was </w:t>
      </w:r>
      <w:r w:rsidR="002615A2" w:rsidRPr="002615A2">
        <w:rPr>
          <w:snapToGrid w:val="0"/>
          <w:sz w:val="2"/>
          <w:highlight w:val="black"/>
          <w:lang w:val="en-GB"/>
        </w:rPr>
        <w:t>redacted content</w:t>
      </w:r>
      <w:r w:rsidR="00B23BD6" w:rsidRPr="00E3017B">
        <w:rPr>
          <w:snapToGrid w:val="0"/>
          <w:lang w:val="en-GB"/>
        </w:rPr>
        <w:t xml:space="preserve">% lower than the requested price (an ex-manufacturer price of $510 per syringe) on the basis that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bCs/>
          <w:snapToGrid w:val="0"/>
          <w:sz w:val="2"/>
          <w:highlight w:val="black"/>
          <w:lang w:val="en-GB"/>
        </w:rPr>
        <w:t>redacted content</w:t>
      </w:r>
      <w:r w:rsidR="00B92B3B" w:rsidRPr="00B92B3B">
        <w:rPr>
          <w:bCs/>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t xml:space="preserve"> </w:t>
      </w:r>
      <w:r w:rsidR="002615A2" w:rsidRPr="002615A2">
        <w:rPr>
          <w:sz w:val="2"/>
          <w:highlight w:val="black"/>
        </w:rPr>
        <w:t>redacted content</w:t>
      </w:r>
      <w:r w:rsidR="00B92B3B" w:rsidRPr="00B92B3B">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23BD6" w:rsidRPr="004563D2">
        <w:rPr>
          <w:snapToGrid w:val="0"/>
          <w:lang w:val="en-GB"/>
        </w:rPr>
        <w:t xml:space="preserve">. </w:t>
      </w:r>
      <w:r w:rsidR="00322D7B" w:rsidRPr="004563D2">
        <w:rPr>
          <w:snapToGrid w:val="0"/>
          <w:lang w:val="en-GB"/>
        </w:rPr>
        <w:t xml:space="preserve">As such, </w:t>
      </w:r>
      <w:r w:rsidR="00C4279D" w:rsidRPr="004563D2">
        <w:rPr>
          <w:snapToGrid w:val="0"/>
          <w:lang w:val="en-GB"/>
        </w:rPr>
        <w:t xml:space="preserve">the </w:t>
      </w:r>
      <w:r w:rsidR="002656C0" w:rsidRPr="004563D2">
        <w:rPr>
          <w:snapToGrid w:val="0"/>
          <w:lang w:val="en-GB"/>
        </w:rPr>
        <w:t xml:space="preserve">submission’s </w:t>
      </w:r>
      <w:r w:rsidR="00C4279D" w:rsidRPr="004563D2">
        <w:rPr>
          <w:snapToGrid w:val="0"/>
          <w:lang w:val="en-GB"/>
        </w:rPr>
        <w:t>base case ICER</w:t>
      </w:r>
      <w:r w:rsidR="00322D7B" w:rsidRPr="004563D2">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322D7B" w:rsidRPr="00E3017B">
        <w:rPr>
          <w:snapToGrid w:val="0"/>
          <w:lang w:val="en-GB"/>
        </w:rPr>
        <w:t xml:space="preserve"> </w:t>
      </w:r>
      <w:r w:rsidR="003612E1" w:rsidRPr="00E3017B">
        <w:rPr>
          <w:snapToGrid w:val="0"/>
          <w:lang w:val="en-GB"/>
        </w:rPr>
        <w:t xml:space="preserve">The PBAC </w:t>
      </w:r>
      <w:r w:rsidR="00FA0329" w:rsidRPr="00E3017B">
        <w:rPr>
          <w:snapToGrid w:val="0"/>
          <w:lang w:val="en-GB"/>
        </w:rPr>
        <w:t xml:space="preserve">noted that if </w:t>
      </w:r>
      <w:proofErr w:type="spellStart"/>
      <w:r w:rsidR="00D3544F" w:rsidRPr="00E3017B">
        <w:rPr>
          <w:snapToGrid w:val="0"/>
          <w:lang w:val="en-GB"/>
        </w:rPr>
        <w:t>pegvaliase</w:t>
      </w:r>
      <w:proofErr w:type="spellEnd"/>
      <w:r w:rsidR="00D3544F" w:rsidRPr="00E3017B">
        <w:rPr>
          <w:snapToGrid w:val="0"/>
          <w:lang w:val="en-GB"/>
        </w:rPr>
        <w:t xml:space="preserve"> </w:t>
      </w:r>
      <w:r w:rsidR="00075283" w:rsidRPr="00E3017B">
        <w:rPr>
          <w:snapToGrid w:val="0"/>
          <w:lang w:val="en-GB"/>
        </w:rPr>
        <w:t xml:space="preserve">utilisation </w:t>
      </w:r>
      <w:r w:rsidR="009C51F4" w:rsidRPr="00E3017B">
        <w:rPr>
          <w:snapToGrid w:val="0"/>
          <w:lang w:val="en-GB"/>
        </w:rPr>
        <w:t>i</w:t>
      </w:r>
      <w:r w:rsidR="00075283" w:rsidRPr="00E3017B">
        <w:rPr>
          <w:snapToGrid w:val="0"/>
          <w:lang w:val="en-GB"/>
        </w:rPr>
        <w:t>s lower than estimate</w:t>
      </w:r>
      <w:r w:rsidR="00FC172A" w:rsidRPr="00E3017B">
        <w:rPr>
          <w:snapToGrid w:val="0"/>
          <w:lang w:val="en-GB"/>
        </w:rPr>
        <w:t>d,</w:t>
      </w:r>
      <w:r w:rsidR="00075283" w:rsidRPr="00E3017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FA0329" w:rsidRPr="00671472">
        <w:rPr>
          <w:snapToGrid w:val="0"/>
          <w:lang w:val="en-GB"/>
        </w:rPr>
        <w:t xml:space="preserve">at the </w:t>
      </w:r>
      <w:r w:rsidR="00567B72" w:rsidRPr="00671472">
        <w:rPr>
          <w:snapToGrid w:val="0"/>
          <w:lang w:val="en-GB"/>
        </w:rPr>
        <w:t xml:space="preserve">requested </w:t>
      </w:r>
      <w:r w:rsidR="00A26799" w:rsidRPr="00671472">
        <w:rPr>
          <w:snapToGrid w:val="0"/>
          <w:lang w:val="en-GB"/>
        </w:rPr>
        <w:t>ex-manufacturer price of $510 per syringe</w:t>
      </w:r>
      <w:r w:rsidR="00FA0329" w:rsidRPr="00671472">
        <w:rPr>
          <w:snapToGrid w:val="0"/>
          <w:lang w:val="en-GB"/>
        </w:rPr>
        <w:t xml:space="preserve">, the ICER </w:t>
      </w:r>
      <w:r w:rsidR="00A26799" w:rsidRPr="00671472">
        <w:rPr>
          <w:snapToGrid w:val="0"/>
          <w:lang w:val="en-GB"/>
        </w:rPr>
        <w:t xml:space="preserve">was estimated </w:t>
      </w:r>
      <w:r w:rsidR="00567B72" w:rsidRPr="00671472">
        <w:rPr>
          <w:snapToGrid w:val="0"/>
          <w:lang w:val="en-GB"/>
        </w:rPr>
        <w:t>to be</w:t>
      </w:r>
      <w:r w:rsidR="00FA0329" w:rsidRPr="00671472">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FA0329" w:rsidRPr="00E3017B">
        <w:rPr>
          <w:snapToGrid w:val="0"/>
          <w:lang w:val="en-GB"/>
        </w:rPr>
        <w:t xml:space="preserve">. </w:t>
      </w:r>
      <w:r w:rsidR="00BB2EEF" w:rsidRPr="00E3017B">
        <w:rPr>
          <w:snapToGrid w:val="0"/>
          <w:lang w:val="en-GB"/>
        </w:rPr>
        <w:t>A</w:t>
      </w:r>
      <w:r w:rsidR="00FA0329" w:rsidRPr="00E3017B">
        <w:rPr>
          <w:snapToGrid w:val="0"/>
          <w:lang w:val="en-GB"/>
        </w:rPr>
        <w:t>s</w:t>
      </w:r>
      <w:r w:rsidR="00BB2EEF" w:rsidRPr="00E3017B">
        <w:rPr>
          <w:snapToGrid w:val="0"/>
          <w:lang w:val="en-GB"/>
        </w:rPr>
        <w:t xml:space="preserve"> such</w:t>
      </w:r>
      <w:r w:rsidR="00FA0329" w:rsidRPr="00E3017B">
        <w:rPr>
          <w:snapToGrid w:val="0"/>
          <w:lang w:val="en-GB"/>
        </w:rPr>
        <w:t xml:space="preserve">, the PBAC considered </w:t>
      </w:r>
      <w:r w:rsidR="00390766" w:rsidRPr="00E3017B">
        <w:rPr>
          <w:snapToGrid w:val="0"/>
          <w:lang w:val="en-GB"/>
        </w:rPr>
        <w:t>that a high degree of confidence would be required that</w:t>
      </w:r>
      <w:r w:rsidR="00FA0329" w:rsidRPr="00E3017B">
        <w:rPr>
          <w:snapToGrid w:val="0"/>
          <w:lang w:val="en-GB"/>
        </w:rPr>
        <w:t xml:space="preserve"> the pricing</w:t>
      </w:r>
      <w:r w:rsidR="00DF198D" w:rsidRPr="00E3017B">
        <w:rPr>
          <w:snapToGrid w:val="0"/>
          <w:lang w:val="en-GB"/>
        </w:rPr>
        <w:t>, financial</w:t>
      </w:r>
      <w:r w:rsidR="00FA0329" w:rsidRPr="00E3017B">
        <w:rPr>
          <w:snapToGrid w:val="0"/>
          <w:lang w:val="en-GB"/>
        </w:rPr>
        <w:t xml:space="preserve"> and RSA arrangements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0406DD" w:rsidRPr="002D5D31">
        <w:rPr>
          <w:snapToGrid w:val="0"/>
          <w:lang w:val="en-GB"/>
        </w:rPr>
        <w:t xml:space="preserve">the </w:t>
      </w:r>
      <w:r w:rsidR="00B40BEE" w:rsidRPr="002D5D31">
        <w:rPr>
          <w:snapToGrid w:val="0"/>
          <w:lang w:val="en-GB"/>
        </w:rPr>
        <w:t>ICER of around $</w:t>
      </w:r>
      <w:r w:rsidR="00CC47CE" w:rsidRPr="00F862F4">
        <w:rPr>
          <w:snapToGrid w:val="0"/>
          <w:lang w:val="en-GB"/>
        </w:rPr>
        <w:t xml:space="preserve">255,000 to &lt; $355,000 </w:t>
      </w:r>
      <w:r w:rsidR="00B40BEE" w:rsidRPr="002D5D31">
        <w:rPr>
          <w:snapToGrid w:val="0"/>
          <w:lang w:val="en-GB"/>
        </w:rPr>
        <w:t>/QALY).</w:t>
      </w:r>
    </w:p>
    <w:p w14:paraId="4C1B63E3" w14:textId="39CCDD14" w:rsidR="0052278B" w:rsidRPr="0052278B" w:rsidRDefault="0052278B" w:rsidP="00025AAC">
      <w:pPr>
        <w:suppressAutoHyphens w:val="0"/>
        <w:spacing w:after="120"/>
        <w:rPr>
          <w:rFonts w:asciiTheme="minorHAnsi" w:hAnsiTheme="minorHAnsi"/>
          <w:b/>
          <w:bCs/>
          <w:snapToGrid w:val="0"/>
          <w:u w:val="single"/>
          <w:lang w:val="en-GB"/>
        </w:rPr>
      </w:pPr>
      <w:r w:rsidRPr="0052278B">
        <w:rPr>
          <w:rFonts w:asciiTheme="minorHAnsi" w:hAnsiTheme="minorHAnsi"/>
          <w:b/>
          <w:bCs/>
          <w:snapToGrid w:val="0"/>
          <w:u w:val="single"/>
          <w:lang w:val="en-GB"/>
        </w:rPr>
        <w:t>Financial estimates</w:t>
      </w:r>
    </w:p>
    <w:p w14:paraId="0F149A59" w14:textId="13D442D4" w:rsidR="00E720A8" w:rsidRDefault="0034585B" w:rsidP="00025AAC">
      <w:pPr>
        <w:numPr>
          <w:ilvl w:val="1"/>
          <w:numId w:val="73"/>
        </w:numPr>
        <w:suppressAutoHyphens w:val="0"/>
        <w:spacing w:after="120"/>
        <w:rPr>
          <w:rFonts w:asciiTheme="minorHAnsi" w:hAnsiTheme="minorHAnsi"/>
          <w:snapToGrid w:val="0"/>
          <w:lang w:val="en-GB"/>
        </w:rPr>
      </w:pPr>
      <w:r w:rsidRPr="0034585B">
        <w:rPr>
          <w:rFonts w:asciiTheme="minorHAnsi" w:hAnsiTheme="minorHAnsi"/>
          <w:snapToGrid w:val="0"/>
          <w:lang w:val="en-GB"/>
        </w:rPr>
        <w:t xml:space="preserve">The </w:t>
      </w:r>
      <w:r>
        <w:rPr>
          <w:rFonts w:asciiTheme="minorHAnsi" w:hAnsiTheme="minorHAnsi"/>
          <w:snapToGrid w:val="0"/>
          <w:lang w:val="en-GB"/>
        </w:rPr>
        <w:t xml:space="preserve">PBAC noted the </w:t>
      </w:r>
      <w:r w:rsidRPr="0034585B">
        <w:rPr>
          <w:rFonts w:asciiTheme="minorHAnsi" w:hAnsiTheme="minorHAnsi"/>
          <w:snapToGrid w:val="0"/>
          <w:lang w:val="en-GB"/>
        </w:rPr>
        <w:t>financial estimates were based on many of the same inputs as the July 2022 submission</w:t>
      </w:r>
      <w:r w:rsidR="00A41CD5">
        <w:rPr>
          <w:rFonts w:asciiTheme="minorHAnsi" w:hAnsiTheme="minorHAnsi"/>
          <w:snapToGrid w:val="0"/>
          <w:lang w:val="en-GB"/>
        </w:rPr>
        <w:t>. The PBAC considered that</w:t>
      </w:r>
      <w:r w:rsidR="0033745C">
        <w:rPr>
          <w:rFonts w:asciiTheme="minorHAnsi" w:hAnsiTheme="minorHAnsi"/>
          <w:snapToGrid w:val="0"/>
          <w:lang w:val="en-GB"/>
        </w:rPr>
        <w:t xml:space="preserve"> the resubmission had not </w:t>
      </w:r>
      <w:r w:rsidR="00796099">
        <w:rPr>
          <w:rFonts w:asciiTheme="minorHAnsi" w:hAnsiTheme="minorHAnsi"/>
          <w:snapToGrid w:val="0"/>
          <w:lang w:val="en-GB"/>
        </w:rPr>
        <w:lastRenderedPageBreak/>
        <w:t xml:space="preserve">adequately </w:t>
      </w:r>
      <w:r w:rsidR="0033745C">
        <w:rPr>
          <w:rFonts w:asciiTheme="minorHAnsi" w:hAnsiTheme="minorHAnsi"/>
          <w:snapToGrid w:val="0"/>
          <w:lang w:val="en-GB"/>
        </w:rPr>
        <w:t xml:space="preserve">addressed the </w:t>
      </w:r>
      <w:r w:rsidR="006A3A39">
        <w:rPr>
          <w:rFonts w:asciiTheme="minorHAnsi" w:hAnsiTheme="minorHAnsi"/>
          <w:snapToGrid w:val="0"/>
          <w:lang w:val="en-GB"/>
        </w:rPr>
        <w:t>Committee</w:t>
      </w:r>
      <w:r w:rsidR="0033745C">
        <w:rPr>
          <w:rFonts w:asciiTheme="minorHAnsi" w:hAnsiTheme="minorHAnsi"/>
          <w:snapToGrid w:val="0"/>
          <w:lang w:val="en-GB"/>
        </w:rPr>
        <w:t xml:space="preserve">’s previous concerns that: </w:t>
      </w:r>
      <w:r w:rsidRPr="0034585B">
        <w:rPr>
          <w:rFonts w:asciiTheme="minorHAnsi" w:hAnsiTheme="minorHAnsi"/>
          <w:snapToGrid w:val="0"/>
          <w:lang w:val="en-GB"/>
        </w:rPr>
        <w:t>the proportion of the adult PKU population who are under routine follow-up at metabolic clinics was likely overestimated</w:t>
      </w:r>
      <w:r w:rsidR="006A3A39">
        <w:rPr>
          <w:rFonts w:asciiTheme="minorHAnsi" w:hAnsiTheme="minorHAnsi"/>
          <w:snapToGrid w:val="0"/>
          <w:lang w:val="en-GB"/>
        </w:rPr>
        <w:t>;</w:t>
      </w:r>
      <w:r w:rsidRPr="0034585B">
        <w:rPr>
          <w:rFonts w:asciiTheme="minorHAnsi" w:hAnsiTheme="minorHAnsi"/>
          <w:snapToGrid w:val="0"/>
          <w:lang w:val="en-GB"/>
        </w:rPr>
        <w:t xml:space="preserve"> and the assumed uptake rates were uncertain and may have been overestimated</w:t>
      </w:r>
      <w:r w:rsidR="00FC276A">
        <w:rPr>
          <w:rFonts w:asciiTheme="minorHAnsi" w:hAnsiTheme="minorHAnsi"/>
          <w:snapToGrid w:val="0"/>
          <w:lang w:val="en-GB"/>
        </w:rPr>
        <w:t xml:space="preserve"> (refer to paragraph </w:t>
      </w:r>
      <w:r w:rsidR="00FC276A">
        <w:rPr>
          <w:rFonts w:asciiTheme="minorHAnsi" w:hAnsiTheme="minorHAnsi"/>
          <w:snapToGrid w:val="0"/>
          <w:lang w:val="en-GB"/>
        </w:rPr>
        <w:fldChar w:fldCharType="begin"/>
      </w:r>
      <w:r w:rsidR="00FC276A">
        <w:rPr>
          <w:rFonts w:asciiTheme="minorHAnsi" w:hAnsiTheme="minorHAnsi"/>
          <w:snapToGrid w:val="0"/>
          <w:lang w:val="en-GB"/>
        </w:rPr>
        <w:instrText xml:space="preserve"> REF _Ref222226694 \r \h </w:instrText>
      </w:r>
      <w:r w:rsidR="00FC276A">
        <w:rPr>
          <w:rFonts w:asciiTheme="minorHAnsi" w:hAnsiTheme="minorHAnsi"/>
          <w:snapToGrid w:val="0"/>
          <w:lang w:val="en-GB"/>
        </w:rPr>
      </w:r>
      <w:r w:rsidR="00FC276A">
        <w:rPr>
          <w:rFonts w:asciiTheme="minorHAnsi" w:hAnsiTheme="minorHAnsi"/>
          <w:snapToGrid w:val="0"/>
          <w:lang w:val="en-GB"/>
        </w:rPr>
        <w:fldChar w:fldCharType="separate"/>
      </w:r>
      <w:r w:rsidR="005F29BB">
        <w:rPr>
          <w:rFonts w:asciiTheme="minorHAnsi" w:hAnsiTheme="minorHAnsi"/>
          <w:snapToGrid w:val="0"/>
          <w:lang w:val="en-GB"/>
        </w:rPr>
        <w:t>6.73</w:t>
      </w:r>
      <w:r w:rsidR="00FC276A">
        <w:rPr>
          <w:rFonts w:asciiTheme="minorHAnsi" w:hAnsiTheme="minorHAnsi"/>
          <w:snapToGrid w:val="0"/>
          <w:lang w:val="en-GB"/>
        </w:rPr>
        <w:fldChar w:fldCharType="end"/>
      </w:r>
      <w:r w:rsidRPr="0034585B">
        <w:rPr>
          <w:rFonts w:asciiTheme="minorHAnsi" w:hAnsiTheme="minorHAnsi"/>
          <w:snapToGrid w:val="0"/>
          <w:lang w:val="en-GB"/>
        </w:rPr>
        <w:t xml:space="preserve">). </w:t>
      </w:r>
    </w:p>
    <w:p w14:paraId="56E3614A" w14:textId="0953F4C3" w:rsidR="00340D34" w:rsidRPr="00CC7701" w:rsidRDefault="006A3A39" w:rsidP="00025AAC">
      <w:pPr>
        <w:numPr>
          <w:ilvl w:val="1"/>
          <w:numId w:val="73"/>
        </w:numPr>
        <w:suppressAutoHyphens w:val="0"/>
        <w:spacing w:after="120"/>
        <w:rPr>
          <w:rFonts w:asciiTheme="minorHAnsi" w:hAnsiTheme="minorHAnsi"/>
          <w:snapToGrid w:val="0"/>
          <w:lang w:val="en-GB"/>
        </w:rPr>
      </w:pPr>
      <w:r w:rsidRPr="00CC7701">
        <w:rPr>
          <w:rFonts w:asciiTheme="minorHAnsi" w:hAnsiTheme="minorHAnsi"/>
          <w:snapToGrid w:val="0"/>
          <w:lang w:val="en-GB"/>
        </w:rPr>
        <w:t xml:space="preserve">In </w:t>
      </w:r>
      <w:r w:rsidR="00ED1293" w:rsidRPr="00CC7701">
        <w:rPr>
          <w:rFonts w:asciiTheme="minorHAnsi" w:hAnsiTheme="minorHAnsi"/>
          <w:snapToGrid w:val="0"/>
          <w:lang w:val="en-GB"/>
        </w:rPr>
        <w:t>particular</w:t>
      </w:r>
      <w:r w:rsidRPr="00CC7701">
        <w:rPr>
          <w:rFonts w:asciiTheme="minorHAnsi" w:hAnsiTheme="minorHAnsi"/>
          <w:snapToGrid w:val="0"/>
          <w:lang w:val="en-GB"/>
        </w:rPr>
        <w:t xml:space="preserve">, the PBAC considered that </w:t>
      </w:r>
      <w:r w:rsidR="004D1335" w:rsidRPr="00CC7701">
        <w:rPr>
          <w:rFonts w:asciiTheme="minorHAnsi" w:hAnsiTheme="minorHAnsi"/>
          <w:snapToGrid w:val="0"/>
          <w:lang w:val="en-GB"/>
        </w:rPr>
        <w:t xml:space="preserve">the </w:t>
      </w:r>
      <w:r w:rsidR="00E720A8" w:rsidRPr="00CC7701">
        <w:rPr>
          <w:rFonts w:asciiTheme="minorHAnsi" w:hAnsiTheme="minorHAnsi"/>
          <w:snapToGrid w:val="0"/>
          <w:lang w:val="en-GB"/>
        </w:rPr>
        <w:t xml:space="preserve">utilisation </w:t>
      </w:r>
      <w:r w:rsidR="00080DB1" w:rsidRPr="00CC7701">
        <w:rPr>
          <w:rFonts w:asciiTheme="minorHAnsi" w:hAnsiTheme="minorHAnsi"/>
          <w:snapToGrid w:val="0"/>
          <w:lang w:val="en-GB"/>
        </w:rPr>
        <w:t xml:space="preserve">estimates </w:t>
      </w:r>
      <w:r w:rsidR="00E720A8" w:rsidRPr="00CC7701">
        <w:rPr>
          <w:rFonts w:asciiTheme="minorHAnsi" w:hAnsiTheme="minorHAnsi"/>
          <w:snapToGrid w:val="0"/>
          <w:lang w:val="en-GB"/>
        </w:rPr>
        <w:t xml:space="preserve">in later years </w:t>
      </w:r>
      <w:r w:rsidR="00610816">
        <w:rPr>
          <w:rFonts w:asciiTheme="minorHAnsi" w:hAnsiTheme="minorHAnsi"/>
          <w:snapToGrid w:val="0"/>
          <w:lang w:val="en-GB"/>
        </w:rPr>
        <w:t xml:space="preserve">(Years 3 to 6) </w:t>
      </w:r>
      <w:r w:rsidR="00E720A8" w:rsidRPr="00CC7701">
        <w:rPr>
          <w:rFonts w:asciiTheme="minorHAnsi" w:hAnsiTheme="minorHAnsi"/>
          <w:snapToGrid w:val="0"/>
          <w:lang w:val="en-GB"/>
        </w:rPr>
        <w:t>w</w:t>
      </w:r>
      <w:r w:rsidR="004D1335" w:rsidRPr="00CC7701">
        <w:rPr>
          <w:rFonts w:asciiTheme="minorHAnsi" w:hAnsiTheme="minorHAnsi"/>
          <w:snapToGrid w:val="0"/>
          <w:lang w:val="en-GB"/>
        </w:rPr>
        <w:t>ere</w:t>
      </w:r>
      <w:r w:rsidR="00E720A8" w:rsidRPr="00CC7701">
        <w:rPr>
          <w:rFonts w:asciiTheme="minorHAnsi" w:hAnsiTheme="minorHAnsi"/>
          <w:snapToGrid w:val="0"/>
          <w:lang w:val="en-GB"/>
        </w:rPr>
        <w:t xml:space="preserve"> less certain than </w:t>
      </w:r>
      <w:r w:rsidR="00332A50">
        <w:rPr>
          <w:rFonts w:asciiTheme="minorHAnsi" w:hAnsiTheme="minorHAnsi"/>
          <w:snapToGrid w:val="0"/>
          <w:lang w:val="en-GB"/>
        </w:rPr>
        <w:t xml:space="preserve">the </w:t>
      </w:r>
      <w:r w:rsidR="004D1335" w:rsidRPr="00CC7701">
        <w:rPr>
          <w:rFonts w:asciiTheme="minorHAnsi" w:hAnsiTheme="minorHAnsi"/>
          <w:snapToGrid w:val="0"/>
          <w:lang w:val="en-GB"/>
        </w:rPr>
        <w:t xml:space="preserve">estimates in </w:t>
      </w:r>
      <w:r w:rsidR="00E720A8" w:rsidRPr="00CC7701">
        <w:rPr>
          <w:rFonts w:asciiTheme="minorHAnsi" w:hAnsiTheme="minorHAnsi"/>
          <w:snapToGrid w:val="0"/>
          <w:lang w:val="en-GB"/>
        </w:rPr>
        <w:t xml:space="preserve">the first two years. </w:t>
      </w:r>
      <w:r w:rsidR="004D1335" w:rsidRPr="00CC7701">
        <w:rPr>
          <w:rFonts w:asciiTheme="minorHAnsi" w:hAnsiTheme="minorHAnsi"/>
          <w:snapToGrid w:val="0"/>
          <w:lang w:val="en-GB"/>
        </w:rPr>
        <w:t>In the first two years, the</w:t>
      </w:r>
      <w:r w:rsidR="005E650E" w:rsidRPr="00CC7701">
        <w:rPr>
          <w:rFonts w:asciiTheme="minorHAnsi" w:hAnsiTheme="minorHAnsi"/>
          <w:snapToGrid w:val="0"/>
          <w:lang w:val="en-GB"/>
        </w:rPr>
        <w:t xml:space="preserve"> </w:t>
      </w:r>
      <w:r w:rsidR="00314AB6" w:rsidRPr="00314AB6">
        <w:rPr>
          <w:rFonts w:asciiTheme="minorHAnsi" w:hAnsiTheme="minorHAnsi"/>
          <w:snapToGrid w:val="0"/>
          <w:lang w:val="en-GB"/>
        </w:rPr>
        <w:t>PBAC consider</w:t>
      </w:r>
      <w:r w:rsidR="00314AB6">
        <w:rPr>
          <w:rFonts w:asciiTheme="minorHAnsi" w:hAnsiTheme="minorHAnsi"/>
          <w:snapToGrid w:val="0"/>
          <w:lang w:val="en-GB"/>
        </w:rPr>
        <w:t>ed the</w:t>
      </w:r>
      <w:r w:rsidR="00314AB6" w:rsidRPr="00314AB6">
        <w:rPr>
          <w:rFonts w:asciiTheme="minorHAnsi" w:hAnsiTheme="minorHAnsi"/>
          <w:snapToGrid w:val="0"/>
          <w:lang w:val="en-GB"/>
        </w:rPr>
        <w:t xml:space="preserve"> </w:t>
      </w:r>
      <w:r w:rsidR="005E650E" w:rsidRPr="00CC7701">
        <w:rPr>
          <w:rFonts w:asciiTheme="minorHAnsi" w:hAnsiTheme="minorHAnsi"/>
          <w:snapToGrid w:val="0"/>
          <w:lang w:val="en-GB"/>
        </w:rPr>
        <w:t xml:space="preserve">uptake rates were </w:t>
      </w:r>
      <w:r w:rsidR="001E61D2" w:rsidRPr="00CC7701">
        <w:rPr>
          <w:rFonts w:asciiTheme="minorHAnsi" w:hAnsiTheme="minorHAnsi"/>
          <w:snapToGrid w:val="0"/>
          <w:lang w:val="en-GB"/>
        </w:rPr>
        <w:t>unlikely</w:t>
      </w:r>
      <w:r w:rsidR="005E650E" w:rsidRPr="00CC7701">
        <w:rPr>
          <w:rFonts w:asciiTheme="minorHAnsi" w:hAnsiTheme="minorHAnsi"/>
          <w:snapToGrid w:val="0"/>
          <w:lang w:val="en-GB"/>
        </w:rPr>
        <w:t xml:space="preserve"> to be </w:t>
      </w:r>
      <w:r w:rsidR="001809C4">
        <w:rPr>
          <w:rFonts w:asciiTheme="minorHAnsi" w:hAnsiTheme="minorHAnsi"/>
          <w:snapToGrid w:val="0"/>
          <w:lang w:val="en-GB"/>
        </w:rPr>
        <w:t>over</w:t>
      </w:r>
      <w:r w:rsidR="005E650E" w:rsidRPr="00CC7701">
        <w:rPr>
          <w:rFonts w:asciiTheme="minorHAnsi" w:hAnsiTheme="minorHAnsi"/>
          <w:snapToGrid w:val="0"/>
          <w:lang w:val="en-GB"/>
        </w:rPr>
        <w:t xml:space="preserve">estimated </w:t>
      </w:r>
      <w:r w:rsidR="00314AB6">
        <w:t xml:space="preserve">as </w:t>
      </w:r>
      <w:r w:rsidR="00EF2505" w:rsidRPr="00CC7701">
        <w:t xml:space="preserve">there may be pent-up demand and thus </w:t>
      </w:r>
      <w:r w:rsidR="008E6D3E">
        <w:t xml:space="preserve">a </w:t>
      </w:r>
      <w:r w:rsidR="00EF2505" w:rsidRPr="00CC7701">
        <w:t>reasonable</w:t>
      </w:r>
      <w:r w:rsidR="008E6D3E">
        <w:t xml:space="preserve"> level of</w:t>
      </w:r>
      <w:r w:rsidR="00EF2505" w:rsidRPr="00CC7701">
        <w:t xml:space="preserve"> initial</w:t>
      </w:r>
      <w:r w:rsidR="00EF2505" w:rsidRPr="00CC7701">
        <w:rPr>
          <w:rFonts w:asciiTheme="minorHAnsi" w:hAnsiTheme="minorHAnsi"/>
          <w:snapToGrid w:val="0"/>
          <w:lang w:val="en-GB"/>
        </w:rPr>
        <w:t xml:space="preserve"> uptake among the prevalent population </w:t>
      </w:r>
      <w:r w:rsidR="00EF2505">
        <w:rPr>
          <w:rFonts w:asciiTheme="minorHAnsi" w:hAnsiTheme="minorHAnsi"/>
          <w:snapToGrid w:val="0"/>
          <w:lang w:val="en-GB"/>
        </w:rPr>
        <w:t>in Year</w:t>
      </w:r>
      <w:r w:rsidR="008E6D3E">
        <w:rPr>
          <w:rFonts w:asciiTheme="minorHAnsi" w:hAnsiTheme="minorHAnsi"/>
          <w:snapToGrid w:val="0"/>
          <w:lang w:val="en-GB"/>
        </w:rPr>
        <w:t>s</w:t>
      </w:r>
      <w:r w:rsidR="00EF2505">
        <w:rPr>
          <w:rFonts w:asciiTheme="minorHAnsi" w:hAnsiTheme="minorHAnsi"/>
          <w:snapToGrid w:val="0"/>
          <w:lang w:val="en-GB"/>
        </w:rPr>
        <w:t xml:space="preserve"> 1 and 2</w:t>
      </w:r>
      <w:r w:rsidR="00EF2505" w:rsidRPr="00CC7701">
        <w:rPr>
          <w:rFonts w:asciiTheme="minorHAnsi" w:hAnsiTheme="minorHAnsi"/>
          <w:snapToGrid w:val="0"/>
          <w:lang w:val="en-GB"/>
        </w:rPr>
        <w:t xml:space="preserve">. </w:t>
      </w:r>
      <w:r w:rsidR="008E0D1E" w:rsidRPr="00CC7701">
        <w:rPr>
          <w:rFonts w:asciiTheme="minorHAnsi" w:hAnsiTheme="minorHAnsi"/>
          <w:snapToGrid w:val="0"/>
          <w:lang w:val="en-GB"/>
        </w:rPr>
        <w:t xml:space="preserve">In later </w:t>
      </w:r>
      <w:r w:rsidR="004D1335" w:rsidRPr="00CC7701">
        <w:rPr>
          <w:rFonts w:asciiTheme="minorHAnsi" w:hAnsiTheme="minorHAnsi"/>
          <w:snapToGrid w:val="0"/>
          <w:lang w:val="en-GB"/>
        </w:rPr>
        <w:t xml:space="preserve">years, </w:t>
      </w:r>
      <w:r w:rsidR="008E0D1E" w:rsidRPr="00CC7701">
        <w:rPr>
          <w:rFonts w:asciiTheme="minorHAnsi" w:hAnsiTheme="minorHAnsi"/>
          <w:snapToGrid w:val="0"/>
          <w:lang w:val="en-GB"/>
        </w:rPr>
        <w:t xml:space="preserve">the PBAC considered utilisation was more difficult to predict given the </w:t>
      </w:r>
      <w:r w:rsidR="004D1335" w:rsidRPr="00CC7701">
        <w:rPr>
          <w:rFonts w:asciiTheme="minorHAnsi" w:hAnsiTheme="minorHAnsi"/>
          <w:snapToGrid w:val="0"/>
          <w:lang w:val="en-GB"/>
        </w:rPr>
        <w:t xml:space="preserve">potential for changes to </w:t>
      </w:r>
      <w:r w:rsidR="009E6B11">
        <w:rPr>
          <w:rFonts w:asciiTheme="minorHAnsi" w:hAnsiTheme="minorHAnsi"/>
          <w:snapToGrid w:val="0"/>
          <w:lang w:val="en-GB"/>
        </w:rPr>
        <w:t xml:space="preserve">treatment algorithms and </w:t>
      </w:r>
      <w:r w:rsidR="004D1335" w:rsidRPr="00CC7701">
        <w:rPr>
          <w:rFonts w:asciiTheme="minorHAnsi" w:hAnsiTheme="minorHAnsi"/>
          <w:snapToGrid w:val="0"/>
          <w:lang w:val="en-GB"/>
        </w:rPr>
        <w:t>clinical practice</w:t>
      </w:r>
      <w:r w:rsidR="00873BAE" w:rsidRPr="00CC7701">
        <w:rPr>
          <w:rFonts w:asciiTheme="minorHAnsi" w:hAnsiTheme="minorHAnsi"/>
          <w:snapToGrid w:val="0"/>
          <w:lang w:val="en-GB"/>
        </w:rPr>
        <w:t xml:space="preserve"> over time</w:t>
      </w:r>
      <w:r w:rsidR="004D1335" w:rsidRPr="00CC7701">
        <w:rPr>
          <w:rFonts w:asciiTheme="minorHAnsi" w:hAnsiTheme="minorHAnsi"/>
          <w:snapToGrid w:val="0"/>
          <w:lang w:val="en-GB"/>
        </w:rPr>
        <w:t>.</w:t>
      </w:r>
    </w:p>
    <w:p w14:paraId="391D0692" w14:textId="06F16A10" w:rsidR="001F113D" w:rsidRDefault="0034585B" w:rsidP="00025AAC">
      <w:pPr>
        <w:numPr>
          <w:ilvl w:val="1"/>
          <w:numId w:val="73"/>
        </w:numPr>
        <w:suppressAutoHyphens w:val="0"/>
        <w:spacing w:after="120"/>
        <w:rPr>
          <w:rFonts w:asciiTheme="minorHAnsi" w:hAnsiTheme="minorHAnsi"/>
          <w:snapToGrid w:val="0"/>
          <w:lang w:val="en-GB"/>
        </w:rPr>
      </w:pPr>
      <w:r w:rsidRPr="00F42B83">
        <w:rPr>
          <w:rFonts w:asciiTheme="minorHAnsi" w:hAnsiTheme="minorHAnsi"/>
          <w:snapToGrid w:val="0"/>
          <w:lang w:val="en-GB"/>
        </w:rPr>
        <w:t xml:space="preserve">Consequently, the </w:t>
      </w:r>
      <w:r w:rsidR="00B83487" w:rsidRPr="00F42B83">
        <w:rPr>
          <w:rFonts w:asciiTheme="minorHAnsi" w:hAnsiTheme="minorHAnsi"/>
          <w:snapToGrid w:val="0"/>
          <w:lang w:val="en-GB"/>
        </w:rPr>
        <w:t>PBAC</w:t>
      </w:r>
      <w:r w:rsidR="008B71B7" w:rsidRPr="00F42B83">
        <w:rPr>
          <w:rFonts w:asciiTheme="minorHAnsi" w:hAnsiTheme="minorHAnsi"/>
          <w:snapToGrid w:val="0"/>
          <w:lang w:val="en-GB"/>
        </w:rPr>
        <w:t xml:space="preserve"> considered that the </w:t>
      </w:r>
      <w:r w:rsidR="001F3D08" w:rsidRPr="00F42B83">
        <w:rPr>
          <w:rFonts w:asciiTheme="minorHAnsi" w:hAnsiTheme="minorHAnsi"/>
          <w:snapToGrid w:val="0"/>
          <w:lang w:val="en-GB"/>
        </w:rPr>
        <w:t>utilisation estimates</w:t>
      </w:r>
      <w:r w:rsidRPr="00F42B83">
        <w:rPr>
          <w:rFonts w:asciiTheme="minorHAnsi" w:hAnsiTheme="minorHAnsi"/>
          <w:snapToGrid w:val="0"/>
          <w:lang w:val="en-GB"/>
        </w:rPr>
        <w:t xml:space="preserve"> presented in the resubmission </w:t>
      </w:r>
      <w:r w:rsidR="00033C36">
        <w:rPr>
          <w:rFonts w:asciiTheme="minorHAnsi" w:hAnsiTheme="minorHAnsi"/>
          <w:snapToGrid w:val="0"/>
          <w:lang w:val="en-GB"/>
        </w:rPr>
        <w:t xml:space="preserve">were uncertain and </w:t>
      </w:r>
      <w:r w:rsidR="00F42B83">
        <w:rPr>
          <w:rFonts w:asciiTheme="minorHAnsi" w:hAnsiTheme="minorHAnsi"/>
          <w:snapToGrid w:val="0"/>
          <w:lang w:val="en-GB"/>
        </w:rPr>
        <w:t>may have been</w:t>
      </w:r>
      <w:r w:rsidRPr="00F42B83">
        <w:rPr>
          <w:rFonts w:asciiTheme="minorHAnsi" w:hAnsiTheme="minorHAnsi"/>
          <w:snapToGrid w:val="0"/>
          <w:lang w:val="en-GB"/>
        </w:rPr>
        <w:t xml:space="preserve"> overestimated</w:t>
      </w:r>
      <w:r w:rsidR="00C443DB">
        <w:rPr>
          <w:rFonts w:asciiTheme="minorHAnsi" w:hAnsiTheme="minorHAnsi"/>
          <w:snapToGrid w:val="0"/>
          <w:lang w:val="en-GB"/>
        </w:rPr>
        <w:t xml:space="preserve"> particularly in later years</w:t>
      </w:r>
      <w:r w:rsidR="00394122">
        <w:rPr>
          <w:rFonts w:asciiTheme="minorHAnsi" w:hAnsiTheme="minorHAnsi"/>
          <w:snapToGrid w:val="0"/>
          <w:lang w:val="en-GB"/>
        </w:rPr>
        <w:t>, and thus t</w:t>
      </w:r>
      <w:r w:rsidR="001F113D">
        <w:rPr>
          <w:rFonts w:asciiTheme="minorHAnsi" w:hAnsiTheme="minorHAnsi"/>
          <w:snapToGrid w:val="0"/>
          <w:lang w:val="en-GB"/>
        </w:rPr>
        <w:t xml:space="preserve">he PBAC had low confidence that the utilisation levels required to achieve the intended rebates would be met. </w:t>
      </w:r>
    </w:p>
    <w:p w14:paraId="57F6505B" w14:textId="458D8B5A" w:rsidR="0052278B" w:rsidRPr="0052278B" w:rsidRDefault="0052278B" w:rsidP="00025AAC">
      <w:pPr>
        <w:keepNext/>
        <w:keepLines/>
        <w:suppressAutoHyphens w:val="0"/>
        <w:spacing w:after="120"/>
        <w:rPr>
          <w:rFonts w:asciiTheme="minorHAnsi" w:hAnsiTheme="minorHAnsi"/>
          <w:b/>
          <w:bCs/>
          <w:snapToGrid w:val="0"/>
          <w:u w:val="single"/>
          <w:lang w:val="en-GB"/>
        </w:rPr>
      </w:pPr>
      <w:r w:rsidRPr="0052278B">
        <w:rPr>
          <w:rFonts w:asciiTheme="minorHAnsi" w:hAnsiTheme="minorHAnsi"/>
          <w:b/>
          <w:bCs/>
          <w:snapToGrid w:val="0"/>
          <w:u w:val="single"/>
          <w:lang w:val="en-GB"/>
        </w:rPr>
        <w:t>Deferral</w:t>
      </w:r>
    </w:p>
    <w:p w14:paraId="2BB8D85B" w14:textId="6FE985A5" w:rsidR="000B1D04" w:rsidRPr="00F00F9A" w:rsidRDefault="00D53534" w:rsidP="00025AAC">
      <w:pPr>
        <w:keepNext/>
        <w:keepLines/>
        <w:numPr>
          <w:ilvl w:val="1"/>
          <w:numId w:val="73"/>
        </w:numPr>
        <w:suppressAutoHyphens w:val="0"/>
        <w:spacing w:after="120"/>
      </w:pPr>
      <w:r w:rsidRPr="00F00F9A">
        <w:rPr>
          <w:snapToGrid w:val="0"/>
          <w:lang w:val="en-GB"/>
        </w:rPr>
        <w:t>T</w:t>
      </w:r>
      <w:r w:rsidR="00BE60F2" w:rsidRPr="00F00F9A">
        <w:rPr>
          <w:snapToGrid w:val="0"/>
          <w:lang w:val="en-GB"/>
        </w:rPr>
        <w:t xml:space="preserve">he PBAC considered </w:t>
      </w:r>
      <w:r w:rsidR="00DE340C" w:rsidRPr="00F00F9A">
        <w:rPr>
          <w:snapToGrid w:val="0"/>
          <w:lang w:val="en-GB"/>
        </w:rPr>
        <w:t xml:space="preserve">that there was a low level of certainty </w:t>
      </w:r>
      <w:r w:rsidR="00DE340C" w:rsidRPr="00BA4DC5">
        <w:rPr>
          <w:snapToGrid w:val="0"/>
          <w:lang w:val="en-GB"/>
        </w:rPr>
        <w:t>that</w:t>
      </w:r>
      <w:r w:rsidR="00BE60F2" w:rsidRPr="00BA4DC5">
        <w:rPr>
          <w:snapToGrid w:val="0"/>
          <w:lang w:val="en-GB"/>
        </w:rPr>
        <w:t xml:space="preserve"> the sponsor’s pricing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234E61" w:rsidRPr="00F00F9A">
        <w:rPr>
          <w:snapToGrid w:val="0"/>
          <w:lang w:val="en-GB"/>
        </w:rPr>
        <w:t xml:space="preserve"> </w:t>
      </w:r>
      <w:r w:rsidR="00BE60F2" w:rsidRPr="00F00F9A">
        <w:rPr>
          <w:snapToGrid w:val="0"/>
          <w:lang w:val="en-GB"/>
        </w:rPr>
        <w:t>would achieve a</w:t>
      </w:r>
      <w:r w:rsidR="009A4B97" w:rsidRPr="00F00F9A">
        <w:rPr>
          <w:snapToGrid w:val="0"/>
          <w:lang w:val="en-GB"/>
        </w:rPr>
        <w:t>n acceptably</w:t>
      </w:r>
      <w:r w:rsidR="00BE60F2" w:rsidRPr="00F00F9A">
        <w:rPr>
          <w:snapToGrid w:val="0"/>
          <w:lang w:val="en-GB"/>
        </w:rPr>
        <w:t xml:space="preserve"> cost-effective price and adequately manage the financial risk to the Commonwealth. The deferral was to allow further consultation with the sponsor </w:t>
      </w:r>
      <w:r w:rsidR="00DD6669" w:rsidRPr="00F00F9A">
        <w:rPr>
          <w:snapToGrid w:val="0"/>
          <w:lang w:val="en-GB"/>
        </w:rPr>
        <w:t xml:space="preserve">and the Department </w:t>
      </w:r>
      <w:r w:rsidR="00BE60F2" w:rsidRPr="00F00F9A">
        <w:rPr>
          <w:snapToGrid w:val="0"/>
          <w:lang w:val="en-GB"/>
        </w:rPr>
        <w:t xml:space="preserve">regarding how best to implement the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2615A2" w:rsidRPr="002615A2">
        <w:rPr>
          <w:snapToGrid w:val="0"/>
          <w:sz w:val="2"/>
          <w:highlight w:val="black"/>
          <w:lang w:val="en-GB"/>
        </w:rPr>
        <w:t>redacted content</w:t>
      </w:r>
      <w:r w:rsidR="00B92B3B" w:rsidRPr="00B92B3B">
        <w:rPr>
          <w:snapToGrid w:val="0"/>
          <w:lang w:val="en-GB"/>
        </w:rPr>
        <w:t xml:space="preserve"> </w:t>
      </w:r>
      <w:r w:rsidR="00AC68F5" w:rsidRPr="004D5888">
        <w:rPr>
          <w:snapToGrid w:val="0"/>
          <w:lang w:val="en-GB"/>
        </w:rPr>
        <w:t xml:space="preserve">achieving a cost-effective listing for </w:t>
      </w:r>
      <w:proofErr w:type="spellStart"/>
      <w:r w:rsidR="00F52E04" w:rsidRPr="004D5888">
        <w:rPr>
          <w:snapToGrid w:val="0"/>
          <w:lang w:val="en-GB"/>
        </w:rPr>
        <w:t>pegvaliase</w:t>
      </w:r>
      <w:proofErr w:type="spellEnd"/>
      <w:r w:rsidR="00AC68F5" w:rsidRPr="004D5888">
        <w:rPr>
          <w:snapToGrid w:val="0"/>
          <w:lang w:val="en-GB"/>
        </w:rPr>
        <w:t>.</w:t>
      </w:r>
      <w:r w:rsidR="008A0239" w:rsidRPr="00F00F9A">
        <w:rPr>
          <w:snapToGrid w:val="0"/>
          <w:lang w:val="en-GB"/>
        </w:rPr>
        <w:t xml:space="preserve"> </w:t>
      </w:r>
    </w:p>
    <w:p w14:paraId="6359793C" w14:textId="0B90F93B" w:rsidR="00B35EC1" w:rsidRPr="00B94ADC" w:rsidRDefault="00B35EC1" w:rsidP="00025AAC">
      <w:pPr>
        <w:spacing w:before="240"/>
        <w:rPr>
          <w:rFonts w:asciiTheme="minorHAnsi" w:hAnsiTheme="minorHAnsi"/>
          <w:b/>
          <w:bCs/>
          <w:snapToGrid w:val="0"/>
          <w:lang w:val="en-GB"/>
        </w:rPr>
      </w:pPr>
      <w:r w:rsidRPr="00B94ADC">
        <w:rPr>
          <w:rFonts w:asciiTheme="minorHAnsi" w:hAnsiTheme="minorHAnsi"/>
          <w:b/>
          <w:bCs/>
          <w:snapToGrid w:val="0"/>
          <w:lang w:val="en-GB"/>
        </w:rPr>
        <w:t>Outcome:</w:t>
      </w:r>
    </w:p>
    <w:p w14:paraId="7A8CE9C8" w14:textId="735105C7" w:rsidR="00B35EC1" w:rsidRPr="00B94ADC" w:rsidRDefault="00B35EC1" w:rsidP="00025AAC">
      <w:pPr>
        <w:rPr>
          <w:rFonts w:asciiTheme="minorHAnsi" w:hAnsiTheme="minorHAnsi"/>
          <w:bCs/>
          <w:snapToGrid w:val="0"/>
          <w:lang w:val="en-GB"/>
        </w:rPr>
      </w:pPr>
      <w:r w:rsidRPr="00B94ADC">
        <w:rPr>
          <w:rFonts w:asciiTheme="minorHAnsi" w:hAnsiTheme="minorHAnsi"/>
          <w:bCs/>
          <w:snapToGrid w:val="0"/>
          <w:lang w:val="en-GB"/>
        </w:rPr>
        <w:t xml:space="preserve">Deferred </w:t>
      </w:r>
    </w:p>
    <w:p w14:paraId="2CCDF185" w14:textId="77777777" w:rsidR="00B92B3B" w:rsidRPr="00B92B3B" w:rsidRDefault="00B92B3B" w:rsidP="00025AAC">
      <w:pPr>
        <w:rPr>
          <w:rFonts w:asciiTheme="minorHAnsi" w:hAnsiTheme="minorHAnsi"/>
          <w:b/>
          <w:bCs/>
          <w:snapToGrid w:val="0"/>
        </w:rPr>
      </w:pPr>
    </w:p>
    <w:p w14:paraId="145C69B8" w14:textId="30F80894" w:rsidR="00C44EF0" w:rsidRPr="00C44EF0" w:rsidRDefault="00C44EF0" w:rsidP="008A3493">
      <w:pPr>
        <w:pStyle w:val="2-SectionHeading"/>
        <w:numPr>
          <w:ilvl w:val="0"/>
          <w:numId w:val="73"/>
        </w:numPr>
        <w:suppressAutoHyphens w:val="0"/>
        <w:ind w:left="567" w:hanging="567"/>
      </w:pPr>
      <w:r w:rsidRPr="00C44EF0">
        <w:t>Context for Decision</w:t>
      </w:r>
    </w:p>
    <w:p w14:paraId="38508219" w14:textId="77777777" w:rsidR="00C44EF0" w:rsidRPr="00C44EF0" w:rsidRDefault="00C44EF0" w:rsidP="00C44EF0">
      <w:pPr>
        <w:suppressAutoHyphens w:val="0"/>
        <w:spacing w:after="120"/>
        <w:ind w:left="540"/>
        <w:jc w:val="left"/>
        <w:rPr>
          <w:rFonts w:cs="Calibri"/>
          <w:lang w:val="en-GB"/>
        </w:rPr>
      </w:pPr>
      <w:r w:rsidRPr="00C44EF0">
        <w:rPr>
          <w:rFonts w:cs="Calibri"/>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39BD326" w14:textId="6145C9B5" w:rsidR="00C44EF0" w:rsidRPr="00C44EF0" w:rsidRDefault="00C44EF0" w:rsidP="008A3493">
      <w:pPr>
        <w:pStyle w:val="2-SectionHeading"/>
        <w:numPr>
          <w:ilvl w:val="0"/>
          <w:numId w:val="73"/>
        </w:numPr>
        <w:suppressAutoHyphens w:val="0"/>
        <w:ind w:left="567" w:hanging="567"/>
      </w:pPr>
      <w:r w:rsidRPr="00C44EF0">
        <w:lastRenderedPageBreak/>
        <w:t>Sponsor’s Comment</w:t>
      </w:r>
    </w:p>
    <w:p w14:paraId="0439B0A2" w14:textId="77777777" w:rsidR="00C71D9E" w:rsidRPr="00C71D9E" w:rsidRDefault="00C71D9E" w:rsidP="00F862F4">
      <w:pPr>
        <w:suppressAutoHyphens w:val="0"/>
        <w:spacing w:line="300" w:lineRule="atLeast"/>
        <w:ind w:left="567"/>
        <w:jc w:val="left"/>
        <w:rPr>
          <w:rFonts w:ascii="Segoe UI" w:hAnsi="Segoe UI" w:cs="Segoe UI"/>
          <w:sz w:val="21"/>
          <w:szCs w:val="21"/>
        </w:rPr>
      </w:pPr>
      <w:r w:rsidRPr="00C71D9E">
        <w:rPr>
          <w:rFonts w:ascii="Segoe UI" w:hAnsi="Segoe UI" w:cs="Segoe UI"/>
          <w:sz w:val="21"/>
          <w:szCs w:val="21"/>
        </w:rPr>
        <w:t>BioMarin thanks patients, healthcare professionals, and the MDDA for their valuable input to this submission and looks forward to engaging constructively with the PBAC and the Department to identify a path forward.</w:t>
      </w:r>
    </w:p>
    <w:p w14:paraId="5B8049D6" w14:textId="2645A6C5" w:rsidR="00D73F4C" w:rsidRDefault="00D73F4C" w:rsidP="00025AAC">
      <w:pPr>
        <w:jc w:val="left"/>
        <w:rPr>
          <w:b/>
          <w:bCs/>
        </w:rPr>
      </w:pPr>
    </w:p>
    <w:sectPr w:rsidR="00D73F4C">
      <w:headerReference w:type="even" r:id="rId14"/>
      <w:headerReference w:type="default" r:id="rId15"/>
      <w:footerReference w:type="even" r:id="rId16"/>
      <w:footerReference w:type="default" r:id="rId17"/>
      <w:headerReference w:type="first" r:id="rId18"/>
      <w:footerReference w:type="first" r:id="rId19"/>
      <w:pgSz w:w="11906" w:h="16838"/>
      <w:pgMar w:top="1497" w:right="1440" w:bottom="1497" w:left="1440" w:header="1440" w:footer="144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E199" w14:textId="77777777" w:rsidR="004F41A7" w:rsidRDefault="004F41A7">
      <w:r>
        <w:separator/>
      </w:r>
    </w:p>
  </w:endnote>
  <w:endnote w:type="continuationSeparator" w:id="0">
    <w:p w14:paraId="56C8CC54" w14:textId="77777777" w:rsidR="004F41A7" w:rsidRDefault="004F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7C99" w14:textId="10705B3F" w:rsidR="004D59D4" w:rsidRDefault="00262373">
    <w:pPr>
      <w:pStyle w:val="Footer"/>
    </w:pPr>
    <w:r>
      <w:rPr>
        <w:noProof/>
      </w:rPr>
      <mc:AlternateContent>
        <mc:Choice Requires="wps">
          <w:drawing>
            <wp:anchor distT="0" distB="0" distL="0" distR="0" simplePos="0" relativeHeight="251658250" behindDoc="0" locked="0" layoutInCell="1" allowOverlap="1" wp14:anchorId="4169433F" wp14:editId="31D4B607">
              <wp:simplePos x="635" y="635"/>
              <wp:positionH relativeFrom="page">
                <wp:align>center</wp:align>
              </wp:positionH>
              <wp:positionV relativeFrom="page">
                <wp:align>bottom</wp:align>
              </wp:positionV>
              <wp:extent cx="622300" cy="376555"/>
              <wp:effectExtent l="0" t="0" r="6350" b="0"/>
              <wp:wrapNone/>
              <wp:docPr id="20104880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0C3AB7" w14:textId="3A354F7B"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9433F" id="_x0000_t202" coordsize="21600,21600" o:spt="202" path="m,l,21600r21600,l21600,xe">
              <v:stroke joinstyle="miter"/>
              <v:path gradientshapeok="t" o:connecttype="rect"/>
            </v:shapetype>
            <v:shape id="Text Box 5" o:spid="_x0000_s1030" type="#_x0000_t202" alt="OFFICIAL" style="position:absolute;left:0;text-align:left;margin-left:0;margin-top:0;width:49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textbox style="mso-fit-shape-to-text:t" inset="0,0,0,15pt">
                <w:txbxContent>
                  <w:p w14:paraId="520C3AB7" w14:textId="3A354F7B"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v:textbox>
              <w10:wrap anchorx="page" anchory="page"/>
            </v:shape>
          </w:pict>
        </mc:Fallback>
      </mc:AlternateContent>
    </w:r>
    <w:r w:rsidR="00023FAF">
      <w:rPr>
        <w:noProof/>
      </w:rPr>
      <mc:AlternateContent>
        <mc:Choice Requires="wps">
          <w:drawing>
            <wp:anchor distT="0" distB="0" distL="0" distR="6350" simplePos="0" relativeHeight="251658243" behindDoc="1" locked="0" layoutInCell="0" allowOverlap="1" wp14:anchorId="42D573CC" wp14:editId="5AD3AA0C">
              <wp:simplePos x="0" y="0"/>
              <wp:positionH relativeFrom="page">
                <wp:align>center</wp:align>
              </wp:positionH>
              <wp:positionV relativeFrom="page">
                <wp:align>bottom</wp:align>
              </wp:positionV>
              <wp:extent cx="622300" cy="376555"/>
              <wp:effectExtent l="0" t="635" r="0" b="0"/>
              <wp:wrapNone/>
              <wp:docPr id="9" name="Text Box 5" descr="OFFICIAL"/>
              <wp:cNvGraphicFramePr/>
              <a:graphic xmlns:a="http://schemas.openxmlformats.org/drawingml/2006/main">
                <a:graphicData uri="http://schemas.microsoft.com/office/word/2010/wordprocessingShape">
                  <wps:wsp>
                    <wps:cNvSpPr/>
                    <wps:spPr>
                      <a:xfrm>
                        <a:off x="0" y="0"/>
                        <a:ext cx="622440" cy="376560"/>
                      </a:xfrm>
                      <a:prstGeom prst="rect">
                        <a:avLst/>
                      </a:prstGeom>
                      <a:noFill/>
                      <a:ln w="0">
                        <a:noFill/>
                      </a:ln>
                    </wps:spPr>
                    <wps:style>
                      <a:lnRef idx="0">
                        <a:scrgbClr r="0" g="0" b="0"/>
                      </a:lnRef>
                      <a:fillRef idx="0">
                        <a:scrgbClr r="0" g="0" b="0"/>
                      </a:fillRef>
                      <a:effectRef idx="0">
                        <a:scrgbClr r="0" g="0" b="0"/>
                      </a:effectRef>
                      <a:fontRef idx="minor"/>
                    </wps:style>
                    <wps:txbx>
                      <w:txbxContent>
                        <w:p w14:paraId="1DD6736F" w14:textId="77777777" w:rsidR="004D59D4" w:rsidRDefault="004D59D4">
                          <w:pPr>
                            <w:pStyle w:val="FrameContents"/>
                            <w:rPr>
                              <w:rFonts w:ascii="Aptos" w:eastAsia="Aptos" w:hAnsi="Aptos" w:cs="Aptos"/>
                              <w:color w:val="FF0000"/>
                            </w:rPr>
                          </w:pPr>
                        </w:p>
                      </w:txbxContent>
                    </wps:txbx>
                    <wps:bodyPr lIns="0" tIns="0" rIns="0" bIns="190440" anchor="b">
                      <a:prstTxWarp prst="textNoShape">
                        <a:avLst/>
                      </a:prstTxWarp>
                      <a:spAutoFit/>
                    </wps:bodyPr>
                  </wps:wsp>
                </a:graphicData>
              </a:graphic>
            </wp:anchor>
          </w:drawing>
        </mc:Choice>
        <mc:Fallback>
          <w:pict>
            <v:rect w14:anchorId="42D573CC" id="_x0000_s1031" alt="OFFICIAL" style="position:absolute;left:0;text-align:left;margin-left:0;margin-top:0;width:49pt;height:29.65pt;z-index:-251658237;visibility:visible;mso-wrap-style:square;mso-wrap-distance-left:0;mso-wrap-distance-top:0;mso-wrap-distance-right:.5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" o:allowincell="f" filled="f" stroked="f" strokeweight="0">
              <v:textbox style="mso-fit-shape-to-text:t" inset="0,0,0,5.29mm">
                <w:txbxContent>
                  <w:p w14:paraId="1DD6736F" w14:textId="77777777" w:rsidR="004D59D4" w:rsidRDefault="004D59D4">
                    <w:pPr>
                      <w:pStyle w:val="FrameContents"/>
                      <w:rPr>
                        <w:rFonts w:ascii="Aptos" w:eastAsia="Aptos" w:hAnsi="Aptos" w:cs="Aptos"/>
                        <w:color w:val="FF0000"/>
                      </w:rPr>
                    </w:pP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88C3" w14:textId="73CC93D9" w:rsidR="004D59D4" w:rsidRDefault="00262373">
    <w:pPr>
      <w:pStyle w:val="Footer"/>
      <w:jc w:val="center"/>
    </w:pPr>
    <w:r>
      <w:rPr>
        <w:noProof/>
      </w:rPr>
      <mc:AlternateContent>
        <mc:Choice Requires="wps">
          <w:drawing>
            <wp:anchor distT="0" distB="0" distL="0" distR="0" simplePos="0" relativeHeight="251658251" behindDoc="0" locked="0" layoutInCell="1" allowOverlap="1" wp14:anchorId="0A50E49F" wp14:editId="11E9DA02">
              <wp:simplePos x="635" y="635"/>
              <wp:positionH relativeFrom="page">
                <wp:align>center</wp:align>
              </wp:positionH>
              <wp:positionV relativeFrom="page">
                <wp:align>bottom</wp:align>
              </wp:positionV>
              <wp:extent cx="622300" cy="376555"/>
              <wp:effectExtent l="0" t="0" r="6350" b="0"/>
              <wp:wrapNone/>
              <wp:docPr id="19673553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1C91C4" w14:textId="7310DBB3"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0E49F" id="_x0000_t202" coordsize="21600,21600" o:spt="202" path="m,l,21600r21600,l21600,xe">
              <v:stroke joinstyle="miter"/>
              <v:path gradientshapeok="t" o:connecttype="rect"/>
            </v:shapetype>
            <v:shape id="Text Box 6" o:spid="_x0000_s1032" type="#_x0000_t202" alt="OFFICIAL" style="position:absolute;left:0;text-align:left;margin-left:0;margin-top:0;width:49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textbox style="mso-fit-shape-to-text:t" inset="0,0,0,15pt">
                <w:txbxContent>
                  <w:p w14:paraId="501C91C4" w14:textId="7310DBB3"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v:textbox>
              <w10:wrap anchorx="page" anchory="page"/>
            </v:shape>
          </w:pict>
        </mc:Fallback>
      </mc:AlternateContent>
    </w:r>
    <w:r w:rsidR="00023FAF">
      <w:rPr>
        <w:noProof/>
      </w:rPr>
      <mc:AlternateContent>
        <mc:Choice Requires="wps">
          <w:drawing>
            <wp:anchor distT="0" distB="0" distL="0" distR="5715" simplePos="0" relativeHeight="251658244" behindDoc="1" locked="0" layoutInCell="0" allowOverlap="1" wp14:anchorId="3952C9D2" wp14:editId="052F63B5">
              <wp:simplePos x="0" y="0"/>
              <wp:positionH relativeFrom="page">
                <wp:align>center</wp:align>
              </wp:positionH>
              <wp:positionV relativeFrom="page">
                <wp:align>bottom</wp:align>
              </wp:positionV>
              <wp:extent cx="685165" cy="364490"/>
              <wp:effectExtent l="635" t="0" r="0" b="0"/>
              <wp:wrapNone/>
              <wp:docPr id="10" name="Text Box 6" descr="OFFICIAL"/>
              <wp:cNvGraphicFramePr/>
              <a:graphic xmlns:a="http://schemas.openxmlformats.org/drawingml/2006/main">
                <a:graphicData uri="http://schemas.microsoft.com/office/word/2010/wordprocessingShape">
                  <wps:wsp>
                    <wps:cNvSpPr/>
                    <wps:spPr>
                      <a:xfrm>
                        <a:off x="0" y="0"/>
                        <a:ext cx="685080" cy="364320"/>
                      </a:xfrm>
                      <a:prstGeom prst="rect">
                        <a:avLst/>
                      </a:prstGeom>
                      <a:noFill/>
                      <a:ln w="0">
                        <a:noFill/>
                      </a:ln>
                    </wps:spPr>
                    <wps:style>
                      <a:lnRef idx="0">
                        <a:scrgbClr r="0" g="0" b="0"/>
                      </a:lnRef>
                      <a:fillRef idx="0">
                        <a:scrgbClr r="0" g="0" b="0"/>
                      </a:fillRef>
                      <a:effectRef idx="0">
                        <a:scrgbClr r="0" g="0" b="0"/>
                      </a:effectRef>
                      <a:fontRef idx="minor"/>
                    </wps:style>
                    <wps:txbx>
                      <w:txbxContent>
                        <w:p w14:paraId="5E598364" w14:textId="77777777" w:rsidR="004D59D4" w:rsidRDefault="004D59D4">
                          <w:pPr>
                            <w:pStyle w:val="FrameContents"/>
                            <w:rPr>
                              <w:rFonts w:ascii="Aptos" w:eastAsia="Aptos" w:hAnsi="Aptos" w:cs="Aptos"/>
                              <w:color w:val="FF0000"/>
                            </w:rPr>
                          </w:pPr>
                        </w:p>
                      </w:txbxContent>
                    </wps:txbx>
                    <wps:bodyPr lIns="0" tIns="0" rIns="0" bIns="190440" anchor="b">
                      <a:prstTxWarp prst="textNoShape">
                        <a:avLst/>
                      </a:prstTxWarp>
                      <a:spAutoFit/>
                    </wps:bodyPr>
                  </wps:wsp>
                </a:graphicData>
              </a:graphic>
            </wp:anchor>
          </w:drawing>
        </mc:Choice>
        <mc:Fallback>
          <w:pict>
            <v:rect w14:anchorId="3952C9D2" id="_x0000_s1033" alt="OFFICIAL" style="position:absolute;left:0;text-align:left;margin-left:0;margin-top:0;width:53.95pt;height:28.7pt;z-index:-251658236;visibility:visible;mso-wrap-style:square;mso-wrap-distance-left:0;mso-wrap-distance-top:0;mso-wrap-distance-right:.45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" o:allowincell="f" filled="f" stroked="f" strokeweight="0">
              <v:textbox style="mso-fit-shape-to-text:t" inset="0,0,0,5.29mm">
                <w:txbxContent>
                  <w:p w14:paraId="5E598364" w14:textId="77777777" w:rsidR="004D59D4" w:rsidRDefault="004D59D4">
                    <w:pPr>
                      <w:pStyle w:val="FrameContents"/>
                      <w:rPr>
                        <w:rFonts w:ascii="Aptos" w:eastAsia="Aptos" w:hAnsi="Aptos" w:cs="Aptos"/>
                        <w:color w:val="FF0000"/>
                      </w:rPr>
                    </w:pPr>
                  </w:p>
                </w:txbxContent>
              </v:textbox>
              <w10:wrap anchorx="page" anchory="page"/>
            </v:rect>
          </w:pict>
        </mc:Fallback>
      </mc:AlternateContent>
    </w:r>
  </w:p>
  <w:sdt>
    <w:sdtPr>
      <w:id w:val="-281348469"/>
      <w:docPartObj>
        <w:docPartGallery w:val="Page Numbers (Bottom of Page)"/>
        <w:docPartUnique/>
      </w:docPartObj>
    </w:sdtPr>
    <w:sdtEndPr/>
    <w:sdtContent>
      <w:p w14:paraId="49B67470" w14:textId="1AD4FE2A" w:rsidR="004D59D4" w:rsidRDefault="00023FAF">
        <w:pPr>
          <w:pStyle w:val="PageFooter"/>
        </w:pPr>
        <w:r>
          <w:fldChar w:fldCharType="begin"/>
        </w:r>
        <w:r>
          <w:instrText xml:space="preserve"> PAGE </w:instrText>
        </w:r>
        <w:r>
          <w:fldChar w:fldCharType="separate"/>
        </w:r>
        <w: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AC17" w14:textId="6FB415C0" w:rsidR="004D59D4" w:rsidRDefault="00262373">
    <w:pPr>
      <w:pStyle w:val="Footer"/>
      <w:jc w:val="center"/>
    </w:pPr>
    <w:r>
      <w:rPr>
        <w:noProof/>
      </w:rPr>
      <mc:AlternateContent>
        <mc:Choice Requires="wps">
          <w:drawing>
            <wp:anchor distT="0" distB="0" distL="0" distR="0" simplePos="0" relativeHeight="251658249" behindDoc="0" locked="0" layoutInCell="1" allowOverlap="1" wp14:anchorId="6AB36082" wp14:editId="5426FEEE">
              <wp:simplePos x="635" y="635"/>
              <wp:positionH relativeFrom="page">
                <wp:align>center</wp:align>
              </wp:positionH>
              <wp:positionV relativeFrom="page">
                <wp:align>bottom</wp:align>
              </wp:positionV>
              <wp:extent cx="622300" cy="376555"/>
              <wp:effectExtent l="0" t="0" r="6350" b="0"/>
              <wp:wrapNone/>
              <wp:docPr id="21104397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19D3BA" w14:textId="31DC56D2"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B36082" id="_x0000_t202" coordsize="21600,21600" o:spt="202" path="m,l,21600r21600,l21600,xe">
              <v:stroke joinstyle="miter"/>
              <v:path gradientshapeok="t" o:connecttype="rect"/>
            </v:shapetype>
            <v:shape id="Text Box 4" o:spid="_x0000_s1036" type="#_x0000_t202" alt="OFFICIAL" style="position:absolute;left:0;text-align:left;margin-left:0;margin-top:0;width:49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lcLS+w0CAAAdBAAA&#10;DgAAAAAAAAAAAAAAAAAuAgAAZHJzL2Uyb0RvYy54bWxQSwECLQAUAAYACAAAACEAaYjbD9kAAAAD&#10;AQAADwAAAAAAAAAAAAAAAABnBAAAZHJzL2Rvd25yZXYueG1sUEsFBgAAAAAEAAQA8wAAAG0FAAAA&#10;AA==&#10;" filled="f" stroked="f">
              <v:textbox style="mso-fit-shape-to-text:t" inset="0,0,0,15pt">
                <w:txbxContent>
                  <w:p w14:paraId="1819D3BA" w14:textId="31DC56D2"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v:textbox>
              <w10:wrap anchorx="page" anchory="page"/>
            </v:shape>
          </w:pict>
        </mc:Fallback>
      </mc:AlternateContent>
    </w:r>
    <w:r w:rsidR="00023FAF">
      <w:rPr>
        <w:noProof/>
      </w:rPr>
      <mc:AlternateContent>
        <mc:Choice Requires="wps">
          <w:drawing>
            <wp:anchor distT="0" distB="0" distL="0" distR="5715" simplePos="0" relativeHeight="251658245" behindDoc="1" locked="0" layoutInCell="0" allowOverlap="1" wp14:anchorId="3952C9D2" wp14:editId="4C87327A">
              <wp:simplePos x="0" y="0"/>
              <wp:positionH relativeFrom="page">
                <wp:align>center</wp:align>
              </wp:positionH>
              <wp:positionV relativeFrom="page">
                <wp:align>bottom</wp:align>
              </wp:positionV>
              <wp:extent cx="685165" cy="364490"/>
              <wp:effectExtent l="635" t="0" r="0" b="0"/>
              <wp:wrapNone/>
              <wp:docPr id="11" name="Text Box 6" descr="OFFICIAL"/>
              <wp:cNvGraphicFramePr/>
              <a:graphic xmlns:a="http://schemas.openxmlformats.org/drawingml/2006/main">
                <a:graphicData uri="http://schemas.microsoft.com/office/word/2010/wordprocessingShape">
                  <wps:wsp>
                    <wps:cNvSpPr/>
                    <wps:spPr>
                      <a:xfrm>
                        <a:off x="0" y="0"/>
                        <a:ext cx="685080" cy="364320"/>
                      </a:xfrm>
                      <a:prstGeom prst="rect">
                        <a:avLst/>
                      </a:prstGeom>
                      <a:noFill/>
                      <a:ln w="0">
                        <a:noFill/>
                      </a:ln>
                    </wps:spPr>
                    <wps:style>
                      <a:lnRef idx="0">
                        <a:scrgbClr r="0" g="0" b="0"/>
                      </a:lnRef>
                      <a:fillRef idx="0">
                        <a:scrgbClr r="0" g="0" b="0"/>
                      </a:fillRef>
                      <a:effectRef idx="0">
                        <a:scrgbClr r="0" g="0" b="0"/>
                      </a:effectRef>
                      <a:fontRef idx="minor"/>
                    </wps:style>
                    <wps:txbx>
                      <w:txbxContent>
                        <w:p w14:paraId="6BE0FDA6" w14:textId="77777777" w:rsidR="004D59D4" w:rsidRDefault="004D59D4">
                          <w:pPr>
                            <w:pStyle w:val="FrameContents"/>
                            <w:rPr>
                              <w:rFonts w:ascii="Aptos" w:eastAsia="Aptos" w:hAnsi="Aptos" w:cs="Aptos"/>
                              <w:color w:val="FF0000"/>
                            </w:rPr>
                          </w:pPr>
                        </w:p>
                      </w:txbxContent>
                    </wps:txbx>
                    <wps:bodyPr lIns="0" tIns="0" rIns="0" bIns="190440" anchor="b">
                      <a:prstTxWarp prst="textNoShape">
                        <a:avLst/>
                      </a:prstTxWarp>
                      <a:spAutoFit/>
                    </wps:bodyPr>
                  </wps:wsp>
                </a:graphicData>
              </a:graphic>
            </wp:anchor>
          </w:drawing>
        </mc:Choice>
        <mc:Fallback>
          <w:pict>
            <v:rect w14:anchorId="3952C9D2" id="_x0000_s1037" alt="OFFICIAL" style="position:absolute;left:0;text-align:left;margin-left:0;margin-top:0;width:53.95pt;height:28.7pt;z-index:-251658235;visibility:visible;mso-wrap-style:square;mso-wrap-distance-left:0;mso-wrap-distance-top:0;mso-wrap-distance-right:.45pt;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" o:allowincell="f" filled="f" stroked="f" strokeweight="0">
              <v:textbox style="mso-fit-shape-to-text:t" inset="0,0,0,5.29mm">
                <w:txbxContent>
                  <w:p w14:paraId="6BE0FDA6" w14:textId="77777777" w:rsidR="004D59D4" w:rsidRDefault="004D59D4">
                    <w:pPr>
                      <w:pStyle w:val="FrameContents"/>
                      <w:rPr>
                        <w:rFonts w:ascii="Aptos" w:eastAsia="Aptos" w:hAnsi="Aptos" w:cs="Aptos"/>
                        <w:color w:val="FF0000"/>
                      </w:rPr>
                    </w:pPr>
                  </w:p>
                </w:txbxContent>
              </v:textbox>
              <w10:wrap anchorx="page" anchory="page"/>
            </v:rect>
          </w:pict>
        </mc:Fallback>
      </mc:AlternateContent>
    </w:r>
  </w:p>
  <w:sdt>
    <w:sdtPr>
      <w:id w:val="456851460"/>
      <w:docPartObj>
        <w:docPartGallery w:val="Page Numbers (Bottom of Page)"/>
        <w:docPartUnique/>
      </w:docPartObj>
    </w:sdtPr>
    <w:sdtEndPr/>
    <w:sdtContent>
      <w:p w14:paraId="7B1271A0" w14:textId="77777777" w:rsidR="004D59D4" w:rsidRDefault="00023FAF">
        <w:pPr>
          <w:pStyle w:val="PageFooter"/>
        </w:pPr>
        <w:r>
          <w:t>7.03.ESC ADV.</w:t>
        </w:r>
        <w:r>
          <w:fldChar w:fldCharType="begin"/>
        </w:r>
        <w:r>
          <w:instrText xml:space="preserve"> PAGE </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35A9" w14:textId="77777777" w:rsidR="004F41A7" w:rsidRDefault="004F41A7">
      <w:r>
        <w:separator/>
      </w:r>
    </w:p>
  </w:footnote>
  <w:footnote w:type="continuationSeparator" w:id="0">
    <w:p w14:paraId="2E69B1D0" w14:textId="77777777" w:rsidR="004F41A7" w:rsidRDefault="004F4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C82" w14:textId="6A3A2589" w:rsidR="004D59D4" w:rsidRDefault="00262373">
    <w:pPr>
      <w:pStyle w:val="Header"/>
    </w:pPr>
    <w:r>
      <w:rPr>
        <w:noProof/>
      </w:rPr>
      <mc:AlternateContent>
        <mc:Choice Requires="wps">
          <w:drawing>
            <wp:anchor distT="0" distB="0" distL="0" distR="0" simplePos="0" relativeHeight="251658247" behindDoc="0" locked="0" layoutInCell="1" allowOverlap="1" wp14:anchorId="53BED681" wp14:editId="53F7BD75">
              <wp:simplePos x="635" y="635"/>
              <wp:positionH relativeFrom="page">
                <wp:align>center</wp:align>
              </wp:positionH>
              <wp:positionV relativeFrom="page">
                <wp:align>top</wp:align>
              </wp:positionV>
              <wp:extent cx="622300" cy="376555"/>
              <wp:effectExtent l="0" t="0" r="6350" b="4445"/>
              <wp:wrapNone/>
              <wp:docPr id="18867462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D697AD" w14:textId="1F858331"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ED681"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CD697AD" w14:textId="1F858331"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v:textbox>
              <w10:wrap anchorx="page" anchory="page"/>
            </v:shape>
          </w:pict>
        </mc:Fallback>
      </mc:AlternateContent>
    </w:r>
    <w:r w:rsidR="00023FAF">
      <w:rPr>
        <w:noProof/>
      </w:rPr>
      <mc:AlternateContent>
        <mc:Choice Requires="wps">
          <w:drawing>
            <wp:anchor distT="0" distB="3810" distL="0" distR="6350" simplePos="0" relativeHeight="251658240" behindDoc="1" locked="0" layoutInCell="0" allowOverlap="1" wp14:anchorId="0A4819DA" wp14:editId="2A7F4B36">
              <wp:simplePos x="0" y="0"/>
              <wp:positionH relativeFrom="page">
                <wp:align>center</wp:align>
              </wp:positionH>
              <wp:positionV relativeFrom="page">
                <wp:align>top</wp:align>
              </wp:positionV>
              <wp:extent cx="622300" cy="376555"/>
              <wp:effectExtent l="0" t="635" r="0" b="0"/>
              <wp:wrapNone/>
              <wp:docPr id="6" name="Text Box 2" descr="OFFICIAL"/>
              <wp:cNvGraphicFramePr/>
              <a:graphic xmlns:a="http://schemas.openxmlformats.org/drawingml/2006/main">
                <a:graphicData uri="http://schemas.microsoft.com/office/word/2010/wordprocessingShape">
                  <wps:wsp>
                    <wps:cNvSpPr/>
                    <wps:spPr>
                      <a:xfrm>
                        <a:off x="0" y="0"/>
                        <a:ext cx="622440" cy="376560"/>
                      </a:xfrm>
                      <a:prstGeom prst="rect">
                        <a:avLst/>
                      </a:prstGeom>
                      <a:noFill/>
                      <a:ln w="0">
                        <a:noFill/>
                      </a:ln>
                    </wps:spPr>
                    <wps:style>
                      <a:lnRef idx="0">
                        <a:scrgbClr r="0" g="0" b="0"/>
                      </a:lnRef>
                      <a:fillRef idx="0">
                        <a:scrgbClr r="0" g="0" b="0"/>
                      </a:fillRef>
                      <a:effectRef idx="0">
                        <a:scrgbClr r="0" g="0" b="0"/>
                      </a:effectRef>
                      <a:fontRef idx="minor"/>
                    </wps:style>
                    <wps:txbx>
                      <w:txbxContent>
                        <w:p w14:paraId="47CA4B88" w14:textId="77777777" w:rsidR="004D59D4" w:rsidRDefault="00023FAF">
                          <w:pPr>
                            <w:pStyle w:val="FrameContents"/>
                            <w:rPr>
                              <w:rFonts w:ascii="Aptos" w:eastAsia="Aptos" w:hAnsi="Aptos" w:cs="Aptos"/>
                              <w:color w:val="FF0000"/>
                            </w:rPr>
                          </w:pPr>
                          <w:r>
                            <w:rPr>
                              <w:rFonts w:ascii="Aptos" w:eastAsia="Aptos" w:hAnsi="Aptos" w:cs="Aptos"/>
                              <w:color w:val="FF0000"/>
                            </w:rPr>
                            <w:t>OFFICIAL</w:t>
                          </w:r>
                        </w:p>
                      </w:txbxContent>
                    </wps:txbx>
                    <wps:bodyPr lIns="0" tIns="190440" rIns="0" bIns="0" anchor="t">
                      <a:prstTxWarp prst="textNoShape">
                        <a:avLst/>
                      </a:prstTxWarp>
                      <a:spAutoFit/>
                    </wps:bodyPr>
                  </wps:wsp>
                </a:graphicData>
              </a:graphic>
            </wp:anchor>
          </w:drawing>
        </mc:Choice>
        <mc:Fallback>
          <w:pict>
            <v:rect w14:anchorId="0A4819DA" id="_x0000_s1027" alt="OFFICIAL" style="position:absolute;left:0;text-align:left;margin-left:0;margin-top:0;width:49pt;height:29.65pt;z-index:-251658240;visibility:visible;mso-wrap-style:square;mso-wrap-distance-left:0;mso-wrap-distance-top:0;mso-wrap-distance-right:.5pt;mso-wrap-distance-bottom:.3pt;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" o:allowincell="f" filled="f" stroked="f" strokeweight="0">
              <v:textbox style="mso-fit-shape-to-text:t" inset="0,5.29mm,0,0">
                <w:txbxContent>
                  <w:p w14:paraId="47CA4B88" w14:textId="77777777" w:rsidR="004D59D4" w:rsidRDefault="00023FAF">
                    <w:pPr>
                      <w:pStyle w:val="FrameContents"/>
                      <w:rPr>
                        <w:rFonts w:ascii="Aptos" w:eastAsia="Aptos" w:hAnsi="Aptos" w:cs="Aptos"/>
                        <w:color w:val="FF0000"/>
                      </w:rPr>
                    </w:pPr>
                    <w:r>
                      <w:rPr>
                        <w:rFonts w:ascii="Aptos" w:eastAsia="Aptos" w:hAnsi="Aptos" w:cs="Aptos"/>
                        <w:color w:val="FF0000"/>
                      </w:rPr>
                      <w:t>OFFICIAL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3850" w14:textId="06BC0B86" w:rsidR="004D59D4" w:rsidRDefault="00262373">
    <w:pPr>
      <w:pStyle w:val="Header"/>
      <w:rPr>
        <w:rFonts w:asciiTheme="minorHAnsi" w:hAnsiTheme="minorHAnsi"/>
        <w:i w:val="0"/>
        <w:color w:val="808080"/>
      </w:rPr>
    </w:pPr>
    <w:r>
      <w:rPr>
        <w:noProof/>
      </w:rPr>
      <mc:AlternateContent>
        <mc:Choice Requires="wps">
          <w:drawing>
            <wp:anchor distT="0" distB="0" distL="0" distR="0" simplePos="0" relativeHeight="251658248" behindDoc="0" locked="0" layoutInCell="1" allowOverlap="1" wp14:anchorId="16E2F508" wp14:editId="093C0432">
              <wp:simplePos x="635" y="635"/>
              <wp:positionH relativeFrom="page">
                <wp:align>center</wp:align>
              </wp:positionH>
              <wp:positionV relativeFrom="page">
                <wp:align>top</wp:align>
              </wp:positionV>
              <wp:extent cx="622300" cy="376555"/>
              <wp:effectExtent l="0" t="0" r="6350" b="4445"/>
              <wp:wrapNone/>
              <wp:docPr id="19405316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1DDE695" w14:textId="48E3C602"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E2F508" id="_x0000_t202" coordsize="21600,21600" o:spt="202" path="m,l,21600r21600,l21600,xe">
              <v:stroke joinstyle="miter"/>
              <v:path gradientshapeok="t" o:connecttype="rect"/>
            </v:shapetype>
            <v:shape id="Text Box 3" o:spid="_x0000_s1028" type="#_x0000_t202" alt="OFFICIAL" style="position:absolute;left:0;text-align:left;margin-left:0;margin-top:0;width:4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51DDE695" w14:textId="48E3C602"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v:textbox>
              <w10:wrap anchorx="page" anchory="page"/>
            </v:shape>
          </w:pict>
        </mc:Fallback>
      </mc:AlternateContent>
    </w:r>
    <w:r w:rsidR="00023FAF">
      <w:rPr>
        <w:noProof/>
      </w:rPr>
      <mc:AlternateContent>
        <mc:Choice Requires="wps">
          <w:drawing>
            <wp:anchor distT="0" distB="4445" distL="0" distR="5715" simplePos="0" relativeHeight="251658241" behindDoc="1" locked="0" layoutInCell="0" allowOverlap="1" wp14:anchorId="3FF05E94" wp14:editId="70753087">
              <wp:simplePos x="0" y="0"/>
              <wp:positionH relativeFrom="page">
                <wp:align>center</wp:align>
              </wp:positionH>
              <wp:positionV relativeFrom="page">
                <wp:align>top</wp:align>
              </wp:positionV>
              <wp:extent cx="685165" cy="364490"/>
              <wp:effectExtent l="635" t="0" r="0" b="0"/>
              <wp:wrapNone/>
              <wp:docPr id="7" name="Text Box 3" descr="OFFICIAL"/>
              <wp:cNvGraphicFramePr/>
              <a:graphic xmlns:a="http://schemas.openxmlformats.org/drawingml/2006/main">
                <a:graphicData uri="http://schemas.microsoft.com/office/word/2010/wordprocessingShape">
                  <wps:wsp>
                    <wps:cNvSpPr/>
                    <wps:spPr>
                      <a:xfrm>
                        <a:off x="0" y="0"/>
                        <a:ext cx="685080" cy="364320"/>
                      </a:xfrm>
                      <a:prstGeom prst="rect">
                        <a:avLst/>
                      </a:prstGeom>
                      <a:noFill/>
                      <a:ln w="0">
                        <a:noFill/>
                      </a:ln>
                    </wps:spPr>
                    <wps:style>
                      <a:lnRef idx="0">
                        <a:scrgbClr r="0" g="0" b="0"/>
                      </a:lnRef>
                      <a:fillRef idx="0">
                        <a:scrgbClr r="0" g="0" b="0"/>
                      </a:fillRef>
                      <a:effectRef idx="0">
                        <a:scrgbClr r="0" g="0" b="0"/>
                      </a:effectRef>
                      <a:fontRef idx="minor"/>
                    </wps:style>
                    <wps:txbx>
                      <w:txbxContent>
                        <w:p w14:paraId="2A86A7AD" w14:textId="77777777" w:rsidR="004D59D4" w:rsidRDefault="004D59D4">
                          <w:pPr>
                            <w:pStyle w:val="FrameContents"/>
                            <w:rPr>
                              <w:rFonts w:ascii="Aptos" w:eastAsia="Aptos" w:hAnsi="Aptos" w:cs="Aptos"/>
                              <w:color w:val="FF0000"/>
                            </w:rPr>
                          </w:pPr>
                        </w:p>
                      </w:txbxContent>
                    </wps:txbx>
                    <wps:bodyPr lIns="0" tIns="190440" rIns="0" bIns="0" anchor="t">
                      <a:prstTxWarp prst="textNoShape">
                        <a:avLst/>
                      </a:prstTxWarp>
                      <a:spAutoFit/>
                    </wps:bodyPr>
                  </wps:wsp>
                </a:graphicData>
              </a:graphic>
            </wp:anchor>
          </w:drawing>
        </mc:Choice>
        <mc:Fallback>
          <w:pict>
            <v:rect w14:anchorId="3FF05E94" id="_x0000_s1029" alt="OFFICIAL" style="position:absolute;left:0;text-align:left;margin-left:0;margin-top:0;width:53.95pt;height:28.7pt;z-index:-251658239;visibility:visible;mso-wrap-style:square;mso-wrap-distance-left:0;mso-wrap-distance-top:0;mso-wrap-distance-right:.45pt;mso-wrap-distance-bottom:.35pt;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" o:allowincell="f" filled="f" stroked="f" strokeweight="0">
              <v:textbox style="mso-fit-shape-to-text:t" inset="0,5.29mm,0,0">
                <w:txbxContent>
                  <w:p w14:paraId="2A86A7AD" w14:textId="77777777" w:rsidR="004D59D4" w:rsidRDefault="004D59D4">
                    <w:pPr>
                      <w:pStyle w:val="FrameContents"/>
                      <w:rPr>
                        <w:rFonts w:ascii="Aptos" w:eastAsia="Aptos" w:hAnsi="Aptos" w:cs="Aptos"/>
                        <w:color w:val="FF0000"/>
                      </w:rPr>
                    </w:pPr>
                  </w:p>
                </w:txbxContent>
              </v:textbox>
              <w10:wrap anchorx="page" anchory="page"/>
            </v:rect>
          </w:pict>
        </mc:Fallback>
      </mc:AlternateContent>
    </w:r>
    <w:r w:rsidR="00BA2483">
      <w:rPr>
        <w:rFonts w:asciiTheme="minorHAnsi" w:hAnsiTheme="minorHAnsi"/>
        <w:color w:val="808080"/>
      </w:rPr>
      <w:t>Public Summary Document</w:t>
    </w:r>
    <w:r w:rsidR="00332260">
      <w:rPr>
        <w:rFonts w:asciiTheme="minorHAnsi" w:hAnsiTheme="minorHAnsi"/>
        <w:color w:val="808080"/>
      </w:rPr>
      <w:t xml:space="preserve"> - </w:t>
    </w:r>
    <w:r w:rsidR="00023FAF">
      <w:rPr>
        <w:rFonts w:asciiTheme="minorHAnsi" w:hAnsiTheme="minorHAnsi"/>
        <w:color w:val="808080"/>
      </w:rPr>
      <w:t>March 2026 PBAC Meeting</w:t>
    </w:r>
  </w:p>
  <w:p w14:paraId="2D5363EC" w14:textId="77777777" w:rsidR="004D59D4" w:rsidRDefault="004D5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C5E9" w14:textId="5A94D1E3" w:rsidR="004D59D4" w:rsidRDefault="00262373">
    <w:pPr>
      <w:pStyle w:val="Header"/>
      <w:rPr>
        <w:rFonts w:asciiTheme="minorHAnsi" w:hAnsiTheme="minorHAnsi"/>
        <w:i w:val="0"/>
        <w:color w:val="808080"/>
      </w:rPr>
    </w:pPr>
    <w:r>
      <w:rPr>
        <w:noProof/>
      </w:rPr>
      <mc:AlternateContent>
        <mc:Choice Requires="wps">
          <w:drawing>
            <wp:anchor distT="0" distB="0" distL="0" distR="0" simplePos="0" relativeHeight="251658246" behindDoc="0" locked="0" layoutInCell="1" allowOverlap="1" wp14:anchorId="1A44E17C" wp14:editId="656A567B">
              <wp:simplePos x="635" y="635"/>
              <wp:positionH relativeFrom="page">
                <wp:align>center</wp:align>
              </wp:positionH>
              <wp:positionV relativeFrom="page">
                <wp:align>top</wp:align>
              </wp:positionV>
              <wp:extent cx="622300" cy="376555"/>
              <wp:effectExtent l="0" t="0" r="6350" b="4445"/>
              <wp:wrapNone/>
              <wp:docPr id="17278622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8D32C0" w14:textId="21E0E025"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44E17C" id="_x0000_t202" coordsize="21600,21600" o:spt="202" path="m,l,21600r21600,l21600,xe">
              <v:stroke joinstyle="miter"/>
              <v:path gradientshapeok="t" o:connecttype="rect"/>
            </v:shapetype>
            <v:shape id="Text Box 1" o:spid="_x0000_s1034" type="#_x0000_t202" alt="OFFICIAL" style="position:absolute;left:0;text-align:left;margin-left:0;margin-top:0;width:4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mWDQ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w+MJlg0CAAAcBAAA&#10;DgAAAAAAAAAAAAAAAAAuAgAAZHJzL2Uyb0RvYy54bWxQSwECLQAUAAYACAAAACEAinsHsNkAAAAD&#10;AQAADwAAAAAAAAAAAAAAAABnBAAAZHJzL2Rvd25yZXYueG1sUEsFBgAAAAAEAAQA8wAAAG0FAAAA&#10;AA==&#10;" filled="f" stroked="f">
              <v:textbox style="mso-fit-shape-to-text:t" inset="0,15pt,0,0">
                <w:txbxContent>
                  <w:p w14:paraId="768D32C0" w14:textId="21E0E025" w:rsidR="00262373" w:rsidRPr="00262373" w:rsidRDefault="00262373" w:rsidP="00262373">
                    <w:pPr>
                      <w:rPr>
                        <w:rFonts w:ascii="Aptos" w:eastAsia="Aptos" w:hAnsi="Aptos" w:cs="Aptos"/>
                        <w:noProof/>
                        <w:color w:val="FF0000"/>
                      </w:rPr>
                    </w:pPr>
                    <w:r w:rsidRPr="00262373">
                      <w:rPr>
                        <w:rFonts w:ascii="Aptos" w:eastAsia="Aptos" w:hAnsi="Aptos" w:cs="Aptos"/>
                        <w:noProof/>
                        <w:color w:val="FF0000"/>
                      </w:rPr>
                      <w:t>OFFICIAL</w:t>
                    </w:r>
                  </w:p>
                </w:txbxContent>
              </v:textbox>
              <w10:wrap anchorx="page" anchory="page"/>
            </v:shape>
          </w:pict>
        </mc:Fallback>
      </mc:AlternateContent>
    </w:r>
    <w:r w:rsidR="00023FAF">
      <w:rPr>
        <w:noProof/>
      </w:rPr>
      <mc:AlternateContent>
        <mc:Choice Requires="wps">
          <w:drawing>
            <wp:anchor distT="0" distB="4445" distL="0" distR="5715" simplePos="0" relativeHeight="251658242" behindDoc="1" locked="0" layoutInCell="0" allowOverlap="1" wp14:anchorId="3FF05E94" wp14:editId="0610C5F6">
              <wp:simplePos x="0" y="0"/>
              <wp:positionH relativeFrom="page">
                <wp:align>center</wp:align>
              </wp:positionH>
              <wp:positionV relativeFrom="page">
                <wp:align>top</wp:align>
              </wp:positionV>
              <wp:extent cx="685165" cy="364490"/>
              <wp:effectExtent l="635" t="0" r="0" b="0"/>
              <wp:wrapNone/>
              <wp:docPr id="8" name="Text Box 3" descr="OFFICIAL"/>
              <wp:cNvGraphicFramePr/>
              <a:graphic xmlns:a="http://schemas.openxmlformats.org/drawingml/2006/main">
                <a:graphicData uri="http://schemas.microsoft.com/office/word/2010/wordprocessingShape">
                  <wps:wsp>
                    <wps:cNvSpPr/>
                    <wps:spPr>
                      <a:xfrm>
                        <a:off x="0" y="0"/>
                        <a:ext cx="685080" cy="364320"/>
                      </a:xfrm>
                      <a:prstGeom prst="rect">
                        <a:avLst/>
                      </a:prstGeom>
                      <a:noFill/>
                      <a:ln w="0">
                        <a:noFill/>
                      </a:ln>
                    </wps:spPr>
                    <wps:style>
                      <a:lnRef idx="0">
                        <a:scrgbClr r="0" g="0" b="0"/>
                      </a:lnRef>
                      <a:fillRef idx="0">
                        <a:scrgbClr r="0" g="0" b="0"/>
                      </a:fillRef>
                      <a:effectRef idx="0">
                        <a:scrgbClr r="0" g="0" b="0"/>
                      </a:effectRef>
                      <a:fontRef idx="minor"/>
                    </wps:style>
                    <wps:txbx>
                      <w:txbxContent>
                        <w:p w14:paraId="492A1039" w14:textId="77777777" w:rsidR="004D59D4" w:rsidRDefault="004D59D4">
                          <w:pPr>
                            <w:pStyle w:val="FrameContents"/>
                            <w:rPr>
                              <w:rFonts w:ascii="Aptos" w:eastAsia="Aptos" w:hAnsi="Aptos" w:cs="Aptos"/>
                              <w:color w:val="FF0000"/>
                            </w:rPr>
                          </w:pPr>
                        </w:p>
                      </w:txbxContent>
                    </wps:txbx>
                    <wps:bodyPr lIns="0" tIns="190440" rIns="0" bIns="0" anchor="t">
                      <a:prstTxWarp prst="textNoShape">
                        <a:avLst/>
                      </a:prstTxWarp>
                      <a:spAutoFit/>
                    </wps:bodyPr>
                  </wps:wsp>
                </a:graphicData>
              </a:graphic>
            </wp:anchor>
          </w:drawing>
        </mc:Choice>
        <mc:Fallback>
          <w:pict>
            <v:rect w14:anchorId="3FF05E94" id="_x0000_s1035" alt="OFFICIAL" style="position:absolute;left:0;text-align:left;margin-left:0;margin-top:0;width:53.95pt;height:28.7pt;z-index:-251658238;visibility:visible;mso-wrap-style:square;mso-wrap-distance-left:0;mso-wrap-distance-top:0;mso-wrap-distance-right:.45pt;mso-wrap-distance-bottom:.35pt;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" o:allowincell="f" filled="f" stroked="f" strokeweight="0">
              <v:textbox style="mso-fit-shape-to-text:t" inset="0,5.29mm,0,0">
                <w:txbxContent>
                  <w:p w14:paraId="492A1039" w14:textId="77777777" w:rsidR="004D59D4" w:rsidRDefault="004D59D4">
                    <w:pPr>
                      <w:pStyle w:val="FrameContents"/>
                      <w:rPr>
                        <w:rFonts w:ascii="Aptos" w:eastAsia="Aptos" w:hAnsi="Aptos" w:cs="Aptos"/>
                        <w:color w:val="FF0000"/>
                      </w:rPr>
                    </w:pPr>
                  </w:p>
                </w:txbxContent>
              </v:textbox>
              <w10:wrap anchorx="page" anchory="page"/>
            </v:rect>
          </w:pict>
        </mc:Fallback>
      </mc:AlternateContent>
    </w:r>
    <w:r w:rsidR="00023FAF">
      <w:rPr>
        <w:rFonts w:asciiTheme="minorHAnsi" w:hAnsiTheme="minorHAnsi"/>
        <w:color w:val="808080"/>
      </w:rPr>
      <w:t>March 2026 PBAC Meeting</w:t>
    </w:r>
  </w:p>
  <w:p w14:paraId="3DEF36C4" w14:textId="77777777" w:rsidR="004D59D4" w:rsidRDefault="00023FAF">
    <w:pPr>
      <w:tabs>
        <w:tab w:val="center" w:pos="4513"/>
        <w:tab w:val="right" w:pos="9026"/>
      </w:tabs>
      <w:jc w:val="center"/>
    </w:pPr>
    <w:r>
      <w:rPr>
        <w:rFonts w:asciiTheme="minorHAnsi" w:hAnsiTheme="minorHAnsi"/>
        <w:i/>
        <w:color w:val="808080"/>
      </w:rPr>
      <w:t>Commercial-In-Confidence</w:t>
    </w:r>
  </w:p>
  <w:p w14:paraId="1D14C31D" w14:textId="77777777" w:rsidR="004D59D4" w:rsidRDefault="004D5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D4E"/>
    <w:multiLevelType w:val="multilevel"/>
    <w:tmpl w:val="1846A07E"/>
    <w:lvl w:ilvl="0">
      <w:start w:val="1"/>
      <w:numFmt w:val="decimal"/>
      <w:lvlText w:val="%1"/>
      <w:lvlJc w:val="left"/>
      <w:pPr>
        <w:tabs>
          <w:tab w:val="num" w:pos="0"/>
        </w:tabs>
        <w:ind w:left="720" w:hanging="720"/>
      </w:pPr>
      <w:rPr>
        <w:b/>
      </w:rPr>
    </w:lvl>
    <w:lvl w:ilvl="1">
      <w:start w:val="1"/>
      <w:numFmt w:val="decimal"/>
      <w:lvlText w:val="%1.%2"/>
      <w:lvlJc w:val="left"/>
      <w:pPr>
        <w:tabs>
          <w:tab w:val="num" w:pos="0"/>
        </w:tabs>
        <w:ind w:left="720" w:hanging="720"/>
      </w:pPr>
      <w:rPr>
        <w:b w:val="0"/>
        <w:bCs w:val="0"/>
        <w:i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241E4A"/>
    <w:multiLevelType w:val="multilevel"/>
    <w:tmpl w:val="82F46034"/>
    <w:lvl w:ilvl="0">
      <w:start w:val="1"/>
      <w:numFmt w:val="bullet"/>
      <w:pStyle w:val="Bulletpoin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8A3A50"/>
    <w:multiLevelType w:val="multilevel"/>
    <w:tmpl w:val="2DD21C16"/>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169931B8"/>
    <w:multiLevelType w:val="multilevel"/>
    <w:tmpl w:val="33665C58"/>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4" w15:restartNumberingAfterBreak="0">
    <w:nsid w:val="31E37C81"/>
    <w:multiLevelType w:val="multilevel"/>
    <w:tmpl w:val="1D3A8CFC"/>
    <w:lvl w:ilvl="0">
      <w:start w:val="1"/>
      <w:numFmt w:val="bullet"/>
      <w:lvlText w:val=""/>
      <w:lvlJc w:val="left"/>
      <w:pPr>
        <w:tabs>
          <w:tab w:val="num" w:pos="0"/>
        </w:tabs>
        <w:ind w:left="1080" w:hanging="360"/>
      </w:pPr>
      <w:rPr>
        <w:rFonts w:ascii="Symbol" w:hAnsi="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4A5035B3"/>
    <w:multiLevelType w:val="multilevel"/>
    <w:tmpl w:val="1EAC1BB4"/>
    <w:lvl w:ilvl="0">
      <w:start w:val="1"/>
      <w:numFmt w:val="bullet"/>
      <w:lvlText w:val=""/>
      <w:lvlJc w:val="left"/>
      <w:pPr>
        <w:tabs>
          <w:tab w:val="num" w:pos="720"/>
        </w:tabs>
        <w:ind w:left="1440" w:hanging="720"/>
      </w:pPr>
      <w:rPr>
        <w:rFonts w:ascii="Symbol" w:hAnsi="Symbol" w:hint="default"/>
        <w:b/>
      </w:rPr>
    </w:lvl>
    <w:lvl w:ilvl="1">
      <w:start w:val="1"/>
      <w:numFmt w:val="decimal"/>
      <w:lvlText w:val="%1.%2"/>
      <w:lvlJc w:val="left"/>
      <w:pPr>
        <w:tabs>
          <w:tab w:val="num" w:pos="720"/>
        </w:tabs>
        <w:ind w:left="1440" w:hanging="720"/>
      </w:pPr>
      <w:rPr>
        <w:b w:val="0"/>
        <w:bCs w:val="0"/>
        <w:i w:val="0"/>
        <w:color w:val="auto"/>
      </w:rPr>
    </w:lvl>
    <w:lvl w:ilvl="2">
      <w:start w:val="1"/>
      <w:numFmt w:val="decimal"/>
      <w:lvlText w:val="%1.%2.%3"/>
      <w:lvlJc w:val="left"/>
      <w:pPr>
        <w:tabs>
          <w:tab w:val="num" w:pos="720"/>
        </w:tabs>
        <w:ind w:left="1440" w:hanging="720"/>
      </w:pPr>
    </w:lvl>
    <w:lvl w:ilvl="3">
      <w:start w:val="1"/>
      <w:numFmt w:val="decimal"/>
      <w:lvlText w:val="%1.%2.%3.%4"/>
      <w:lvlJc w:val="left"/>
      <w:pPr>
        <w:tabs>
          <w:tab w:val="num" w:pos="720"/>
        </w:tabs>
        <w:ind w:left="1800" w:hanging="1080"/>
      </w:pPr>
    </w:lvl>
    <w:lvl w:ilvl="4">
      <w:start w:val="1"/>
      <w:numFmt w:val="decimal"/>
      <w:lvlText w:val="%1.%2.%3.%4.%5"/>
      <w:lvlJc w:val="left"/>
      <w:pPr>
        <w:tabs>
          <w:tab w:val="num" w:pos="720"/>
        </w:tabs>
        <w:ind w:left="1800" w:hanging="1080"/>
      </w:pPr>
    </w:lvl>
    <w:lvl w:ilvl="5">
      <w:start w:val="1"/>
      <w:numFmt w:val="decimal"/>
      <w:lvlText w:val="%1.%2.%3.%4.%5.%6"/>
      <w:lvlJc w:val="left"/>
      <w:pPr>
        <w:tabs>
          <w:tab w:val="num" w:pos="720"/>
        </w:tabs>
        <w:ind w:left="2160" w:hanging="1440"/>
      </w:pPr>
    </w:lvl>
    <w:lvl w:ilvl="6">
      <w:start w:val="1"/>
      <w:numFmt w:val="decimal"/>
      <w:lvlText w:val="%1.%2.%3.%4.%5.%6.%7"/>
      <w:lvlJc w:val="left"/>
      <w:pPr>
        <w:tabs>
          <w:tab w:val="num" w:pos="720"/>
        </w:tabs>
        <w:ind w:left="2160" w:hanging="1440"/>
      </w:pPr>
    </w:lvl>
    <w:lvl w:ilvl="7">
      <w:start w:val="1"/>
      <w:numFmt w:val="decimal"/>
      <w:lvlText w:val="%1.%2.%3.%4.%5.%6.%7.%8"/>
      <w:lvlJc w:val="left"/>
      <w:pPr>
        <w:tabs>
          <w:tab w:val="num" w:pos="720"/>
        </w:tabs>
        <w:ind w:left="2520" w:hanging="1800"/>
      </w:pPr>
    </w:lvl>
    <w:lvl w:ilvl="8">
      <w:start w:val="1"/>
      <w:numFmt w:val="decimal"/>
      <w:lvlText w:val="%1.%2.%3.%4.%5.%6.%7.%8.%9"/>
      <w:lvlJc w:val="left"/>
      <w:pPr>
        <w:tabs>
          <w:tab w:val="num" w:pos="720"/>
        </w:tabs>
        <w:ind w:left="2520" w:hanging="1800"/>
      </w:pPr>
    </w:lvl>
  </w:abstractNum>
  <w:abstractNum w:abstractNumId="6" w15:restartNumberingAfterBreak="0">
    <w:nsid w:val="4CEA67B9"/>
    <w:multiLevelType w:val="hybridMultilevel"/>
    <w:tmpl w:val="CC4291D2"/>
    <w:lvl w:ilvl="0" w:tplc="0C090001">
      <w:start w:val="1"/>
      <w:numFmt w:val="bullet"/>
      <w:lvlText w:val=""/>
      <w:lvlJc w:val="left"/>
      <w:pPr>
        <w:ind w:left="1713" w:hanging="360"/>
      </w:pPr>
      <w:rPr>
        <w:rFonts w:ascii="Symbol" w:hAnsi="Symbol" w:hint="default"/>
      </w:rPr>
    </w:lvl>
    <w:lvl w:ilvl="1" w:tplc="0C090003">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7" w15:restartNumberingAfterBreak="0">
    <w:nsid w:val="4DDF2B94"/>
    <w:multiLevelType w:val="hybridMultilevel"/>
    <w:tmpl w:val="13F8941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49A5D48"/>
    <w:multiLevelType w:val="multilevel"/>
    <w:tmpl w:val="BC0CA988"/>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9" w15:restartNumberingAfterBreak="0">
    <w:nsid w:val="562A6040"/>
    <w:multiLevelType w:val="multilevel"/>
    <w:tmpl w:val="84C89028"/>
    <w:lvl w:ilvl="0">
      <w:start w:val="1"/>
      <w:numFmt w:val="bullet"/>
      <w:lvlText w:val=""/>
      <w:lvlJc w:val="left"/>
      <w:pPr>
        <w:tabs>
          <w:tab w:val="num" w:pos="0"/>
        </w:tabs>
        <w:ind w:left="1500" w:hanging="360"/>
      </w:pPr>
      <w:rPr>
        <w:rFonts w:ascii="Symbol" w:hAnsi="Symbol" w:cs="Symbol" w:hint="default"/>
      </w:rPr>
    </w:lvl>
    <w:lvl w:ilvl="1">
      <w:start w:val="1"/>
      <w:numFmt w:val="bullet"/>
      <w:lvlText w:val="o"/>
      <w:lvlJc w:val="left"/>
      <w:pPr>
        <w:tabs>
          <w:tab w:val="num" w:pos="0"/>
        </w:tabs>
        <w:ind w:left="2220" w:hanging="360"/>
      </w:pPr>
      <w:rPr>
        <w:rFonts w:ascii="Courier New" w:hAnsi="Courier New" w:cs="Courier New" w:hint="default"/>
      </w:rPr>
    </w:lvl>
    <w:lvl w:ilvl="2">
      <w:start w:val="1"/>
      <w:numFmt w:val="bullet"/>
      <w:lvlText w:val=""/>
      <w:lvlJc w:val="left"/>
      <w:pPr>
        <w:tabs>
          <w:tab w:val="num" w:pos="0"/>
        </w:tabs>
        <w:ind w:left="2940" w:hanging="360"/>
      </w:pPr>
      <w:rPr>
        <w:rFonts w:ascii="Wingdings" w:hAnsi="Wingdings" w:cs="Wingdings" w:hint="default"/>
      </w:rPr>
    </w:lvl>
    <w:lvl w:ilvl="3">
      <w:start w:val="1"/>
      <w:numFmt w:val="bullet"/>
      <w:lvlText w:val=""/>
      <w:lvlJc w:val="left"/>
      <w:pPr>
        <w:tabs>
          <w:tab w:val="num" w:pos="0"/>
        </w:tabs>
        <w:ind w:left="3660" w:hanging="360"/>
      </w:pPr>
      <w:rPr>
        <w:rFonts w:ascii="Symbol" w:hAnsi="Symbol" w:cs="Symbol" w:hint="default"/>
      </w:rPr>
    </w:lvl>
    <w:lvl w:ilvl="4">
      <w:start w:val="1"/>
      <w:numFmt w:val="bullet"/>
      <w:lvlText w:val="o"/>
      <w:lvlJc w:val="left"/>
      <w:pPr>
        <w:tabs>
          <w:tab w:val="num" w:pos="0"/>
        </w:tabs>
        <w:ind w:left="4380" w:hanging="360"/>
      </w:pPr>
      <w:rPr>
        <w:rFonts w:ascii="Courier New" w:hAnsi="Courier New" w:cs="Courier New" w:hint="default"/>
      </w:rPr>
    </w:lvl>
    <w:lvl w:ilvl="5">
      <w:start w:val="1"/>
      <w:numFmt w:val="bullet"/>
      <w:lvlText w:val=""/>
      <w:lvlJc w:val="left"/>
      <w:pPr>
        <w:tabs>
          <w:tab w:val="num" w:pos="0"/>
        </w:tabs>
        <w:ind w:left="5100" w:hanging="360"/>
      </w:pPr>
      <w:rPr>
        <w:rFonts w:ascii="Wingdings" w:hAnsi="Wingdings" w:cs="Wingdings" w:hint="default"/>
      </w:rPr>
    </w:lvl>
    <w:lvl w:ilvl="6">
      <w:start w:val="1"/>
      <w:numFmt w:val="bullet"/>
      <w:lvlText w:val=""/>
      <w:lvlJc w:val="left"/>
      <w:pPr>
        <w:tabs>
          <w:tab w:val="num" w:pos="0"/>
        </w:tabs>
        <w:ind w:left="5820" w:hanging="360"/>
      </w:pPr>
      <w:rPr>
        <w:rFonts w:ascii="Symbol" w:hAnsi="Symbol" w:cs="Symbol" w:hint="default"/>
      </w:rPr>
    </w:lvl>
    <w:lvl w:ilvl="7">
      <w:start w:val="1"/>
      <w:numFmt w:val="bullet"/>
      <w:lvlText w:val="o"/>
      <w:lvlJc w:val="left"/>
      <w:pPr>
        <w:tabs>
          <w:tab w:val="num" w:pos="0"/>
        </w:tabs>
        <w:ind w:left="6540" w:hanging="360"/>
      </w:pPr>
      <w:rPr>
        <w:rFonts w:ascii="Courier New" w:hAnsi="Courier New" w:cs="Courier New" w:hint="default"/>
      </w:rPr>
    </w:lvl>
    <w:lvl w:ilvl="8">
      <w:start w:val="1"/>
      <w:numFmt w:val="bullet"/>
      <w:lvlText w:val=""/>
      <w:lvlJc w:val="left"/>
      <w:pPr>
        <w:tabs>
          <w:tab w:val="num" w:pos="0"/>
        </w:tabs>
        <w:ind w:left="7260" w:hanging="360"/>
      </w:pPr>
      <w:rPr>
        <w:rFonts w:ascii="Wingdings" w:hAnsi="Wingdings" w:cs="Wingdings" w:hint="default"/>
      </w:rPr>
    </w:lvl>
  </w:abstractNum>
  <w:abstractNum w:abstractNumId="10" w15:restartNumberingAfterBreak="0">
    <w:nsid w:val="5A1A5F2E"/>
    <w:multiLevelType w:val="multilevel"/>
    <w:tmpl w:val="6EBC9880"/>
    <w:lvl w:ilvl="0">
      <w:start w:val="1"/>
      <w:numFmt w:val="lowerRoman"/>
      <w:pStyle w:val="bullet"/>
      <w:lvlText w:val="%1."/>
      <w:lvlJc w:val="righ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689A2DDC"/>
    <w:multiLevelType w:val="multilevel"/>
    <w:tmpl w:val="9766BA6A"/>
    <w:lvl w:ilvl="0">
      <w:start w:val="7"/>
      <w:numFmt w:val="decimal"/>
      <w:lvlText w:val="%1"/>
      <w:lvlJc w:val="left"/>
      <w:pPr>
        <w:tabs>
          <w:tab w:val="num" w:pos="0"/>
        </w:tabs>
        <w:ind w:left="720" w:hanging="720"/>
      </w:pPr>
      <w:rPr>
        <w:rFonts w:hint="default"/>
        <w:b/>
      </w:rPr>
    </w:lvl>
    <w:lvl w:ilvl="1">
      <w:start w:val="1"/>
      <w:numFmt w:val="decimal"/>
      <w:lvlText w:val="%1.%2"/>
      <w:lvlJc w:val="left"/>
      <w:pPr>
        <w:tabs>
          <w:tab w:val="num" w:pos="142"/>
        </w:tabs>
        <w:ind w:left="862" w:hanging="720"/>
      </w:pPr>
      <w:rPr>
        <w:rFonts w:hint="default"/>
        <w:b w:val="0"/>
        <w:bCs w:val="0"/>
        <w:i w:val="0"/>
        <w:color w:val="auto"/>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2" w15:restartNumberingAfterBreak="0">
    <w:nsid w:val="6CD91A36"/>
    <w:multiLevelType w:val="multilevel"/>
    <w:tmpl w:val="8A3226A0"/>
    <w:lvl w:ilvl="0">
      <w:start w:val="1"/>
      <w:numFmt w:val="bullet"/>
      <w:pStyle w:val="ListParagraph"/>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6D0E03BE"/>
    <w:multiLevelType w:val="hybridMultilevel"/>
    <w:tmpl w:val="8B5A670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15849353">
    <w:abstractNumId w:val="0"/>
  </w:num>
  <w:num w:numId="2" w16cid:durableId="25495317">
    <w:abstractNumId w:val="1"/>
  </w:num>
  <w:num w:numId="3" w16cid:durableId="1637181335">
    <w:abstractNumId w:val="10"/>
  </w:num>
  <w:num w:numId="4" w16cid:durableId="524097920">
    <w:abstractNumId w:val="12"/>
  </w:num>
  <w:num w:numId="5" w16cid:durableId="1023898417">
    <w:abstractNumId w:val="9"/>
  </w:num>
  <w:num w:numId="6" w16cid:durableId="339817115">
    <w:abstractNumId w:val="3"/>
  </w:num>
  <w:num w:numId="7" w16cid:durableId="1620648025">
    <w:abstractNumId w:val="8"/>
  </w:num>
  <w:num w:numId="8" w16cid:durableId="393822150">
    <w:abstractNumId w:val="0"/>
  </w:num>
  <w:num w:numId="9" w16cid:durableId="2080252643">
    <w:abstractNumId w:val="0"/>
  </w:num>
  <w:num w:numId="10" w16cid:durableId="1090273132">
    <w:abstractNumId w:val="0"/>
  </w:num>
  <w:num w:numId="11" w16cid:durableId="1844318546">
    <w:abstractNumId w:val="0"/>
  </w:num>
  <w:num w:numId="12" w16cid:durableId="1287195716">
    <w:abstractNumId w:val="0"/>
  </w:num>
  <w:num w:numId="13" w16cid:durableId="2083477853">
    <w:abstractNumId w:val="0"/>
  </w:num>
  <w:num w:numId="14" w16cid:durableId="1160654892">
    <w:abstractNumId w:val="0"/>
  </w:num>
  <w:num w:numId="15" w16cid:durableId="88662">
    <w:abstractNumId w:val="0"/>
  </w:num>
  <w:num w:numId="16" w16cid:durableId="1014304805">
    <w:abstractNumId w:val="0"/>
  </w:num>
  <w:num w:numId="17" w16cid:durableId="1792087730">
    <w:abstractNumId w:val="0"/>
  </w:num>
  <w:num w:numId="18" w16cid:durableId="1196771080">
    <w:abstractNumId w:val="0"/>
  </w:num>
  <w:num w:numId="19" w16cid:durableId="33816964">
    <w:abstractNumId w:val="0"/>
  </w:num>
  <w:num w:numId="20" w16cid:durableId="1643925698">
    <w:abstractNumId w:val="0"/>
  </w:num>
  <w:num w:numId="21" w16cid:durableId="1928996904">
    <w:abstractNumId w:val="0"/>
  </w:num>
  <w:num w:numId="22" w16cid:durableId="1196233081">
    <w:abstractNumId w:val="0"/>
  </w:num>
  <w:num w:numId="23" w16cid:durableId="220797705">
    <w:abstractNumId w:val="0"/>
  </w:num>
  <w:num w:numId="24" w16cid:durableId="2121022317">
    <w:abstractNumId w:val="0"/>
  </w:num>
  <w:num w:numId="25" w16cid:durableId="2012439832">
    <w:abstractNumId w:val="0"/>
  </w:num>
  <w:num w:numId="26" w16cid:durableId="1529834987">
    <w:abstractNumId w:val="0"/>
  </w:num>
  <w:num w:numId="27" w16cid:durableId="1655793654">
    <w:abstractNumId w:val="0"/>
  </w:num>
  <w:num w:numId="28" w16cid:durableId="568660580">
    <w:abstractNumId w:val="0"/>
  </w:num>
  <w:num w:numId="29" w16cid:durableId="1860778997">
    <w:abstractNumId w:val="0"/>
  </w:num>
  <w:num w:numId="30" w16cid:durableId="1846746307">
    <w:abstractNumId w:val="0"/>
  </w:num>
  <w:num w:numId="31" w16cid:durableId="908272523">
    <w:abstractNumId w:val="0"/>
  </w:num>
  <w:num w:numId="32" w16cid:durableId="993795448">
    <w:abstractNumId w:val="0"/>
  </w:num>
  <w:num w:numId="33" w16cid:durableId="352342782">
    <w:abstractNumId w:val="0"/>
  </w:num>
  <w:num w:numId="34" w16cid:durableId="1392658226">
    <w:abstractNumId w:val="0"/>
  </w:num>
  <w:num w:numId="35" w16cid:durableId="1860703656">
    <w:abstractNumId w:val="0"/>
  </w:num>
  <w:num w:numId="36" w16cid:durableId="1217081556">
    <w:abstractNumId w:val="0"/>
  </w:num>
  <w:num w:numId="37" w16cid:durableId="1621179652">
    <w:abstractNumId w:val="0"/>
  </w:num>
  <w:num w:numId="38" w16cid:durableId="1068839405">
    <w:abstractNumId w:val="0"/>
  </w:num>
  <w:num w:numId="39" w16cid:durableId="1764035735">
    <w:abstractNumId w:val="0"/>
  </w:num>
  <w:num w:numId="40" w16cid:durableId="630481573">
    <w:abstractNumId w:val="0"/>
  </w:num>
  <w:num w:numId="41" w16cid:durableId="13963880">
    <w:abstractNumId w:val="0"/>
  </w:num>
  <w:num w:numId="42" w16cid:durableId="51856482">
    <w:abstractNumId w:val="0"/>
  </w:num>
  <w:num w:numId="43" w16cid:durableId="1563562311">
    <w:abstractNumId w:val="0"/>
  </w:num>
  <w:num w:numId="44" w16cid:durableId="965552070">
    <w:abstractNumId w:val="0"/>
  </w:num>
  <w:num w:numId="45" w16cid:durableId="1665081548">
    <w:abstractNumId w:val="0"/>
  </w:num>
  <w:num w:numId="46" w16cid:durableId="2035954189">
    <w:abstractNumId w:val="0"/>
  </w:num>
  <w:num w:numId="47" w16cid:durableId="56327225">
    <w:abstractNumId w:val="0"/>
  </w:num>
  <w:num w:numId="48" w16cid:durableId="354428760">
    <w:abstractNumId w:val="0"/>
  </w:num>
  <w:num w:numId="49" w16cid:durableId="1183280115">
    <w:abstractNumId w:val="0"/>
  </w:num>
  <w:num w:numId="50" w16cid:durableId="1626690204">
    <w:abstractNumId w:val="0"/>
  </w:num>
  <w:num w:numId="51" w16cid:durableId="447819065">
    <w:abstractNumId w:val="0"/>
  </w:num>
  <w:num w:numId="52" w16cid:durableId="1634826059">
    <w:abstractNumId w:val="0"/>
  </w:num>
  <w:num w:numId="53" w16cid:durableId="152141328">
    <w:abstractNumId w:val="0"/>
  </w:num>
  <w:num w:numId="54" w16cid:durableId="883295942">
    <w:abstractNumId w:val="0"/>
  </w:num>
  <w:num w:numId="55" w16cid:durableId="239678133">
    <w:abstractNumId w:val="0"/>
  </w:num>
  <w:num w:numId="56" w16cid:durableId="436369198">
    <w:abstractNumId w:val="0"/>
  </w:num>
  <w:num w:numId="57" w16cid:durableId="1902906116">
    <w:abstractNumId w:val="0"/>
  </w:num>
  <w:num w:numId="58" w16cid:durableId="317736807">
    <w:abstractNumId w:val="0"/>
  </w:num>
  <w:num w:numId="59" w16cid:durableId="1019938281">
    <w:abstractNumId w:val="0"/>
  </w:num>
  <w:num w:numId="60" w16cid:durableId="1562211908">
    <w:abstractNumId w:val="0"/>
  </w:num>
  <w:num w:numId="61" w16cid:durableId="985014781">
    <w:abstractNumId w:val="0"/>
  </w:num>
  <w:num w:numId="62" w16cid:durableId="1186408493">
    <w:abstractNumId w:val="0"/>
  </w:num>
  <w:num w:numId="63" w16cid:durableId="1488546598">
    <w:abstractNumId w:val="0"/>
  </w:num>
  <w:num w:numId="64" w16cid:durableId="403920417">
    <w:abstractNumId w:val="0"/>
  </w:num>
  <w:num w:numId="65" w16cid:durableId="1640456242">
    <w:abstractNumId w:val="0"/>
  </w:num>
  <w:num w:numId="66" w16cid:durableId="2103719706">
    <w:abstractNumId w:val="0"/>
  </w:num>
  <w:num w:numId="67" w16cid:durableId="1768381852">
    <w:abstractNumId w:val="0"/>
  </w:num>
  <w:num w:numId="68" w16cid:durableId="2032106703">
    <w:abstractNumId w:val="0"/>
  </w:num>
  <w:num w:numId="69" w16cid:durableId="2070105491">
    <w:abstractNumId w:val="0"/>
  </w:num>
  <w:num w:numId="70" w16cid:durableId="1834443352">
    <w:abstractNumId w:val="0"/>
  </w:num>
  <w:num w:numId="71" w16cid:durableId="766536334">
    <w:abstractNumId w:val="0"/>
  </w:num>
  <w:num w:numId="72" w16cid:durableId="837034862">
    <w:abstractNumId w:val="0"/>
  </w:num>
  <w:num w:numId="73" w16cid:durableId="394864738">
    <w:abstractNumId w:val="11"/>
  </w:num>
  <w:num w:numId="74" w16cid:durableId="320280308">
    <w:abstractNumId w:val="6"/>
  </w:num>
  <w:num w:numId="75" w16cid:durableId="1173687870">
    <w:abstractNumId w:val="5"/>
  </w:num>
  <w:num w:numId="76" w16cid:durableId="653534940">
    <w:abstractNumId w:val="4"/>
  </w:num>
  <w:num w:numId="77" w16cid:durableId="1051805253">
    <w:abstractNumId w:val="2"/>
  </w:num>
  <w:num w:numId="78" w16cid:durableId="953252710">
    <w:abstractNumId w:val="13"/>
  </w:num>
  <w:num w:numId="79" w16cid:durableId="2048020105">
    <w:abstractNumId w:val="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9D4"/>
    <w:rsid w:val="00000BB0"/>
    <w:rsid w:val="00002C04"/>
    <w:rsid w:val="00005443"/>
    <w:rsid w:val="00006611"/>
    <w:rsid w:val="00006C91"/>
    <w:rsid w:val="000075AE"/>
    <w:rsid w:val="0001079F"/>
    <w:rsid w:val="000115FD"/>
    <w:rsid w:val="000126FA"/>
    <w:rsid w:val="000134C1"/>
    <w:rsid w:val="00013582"/>
    <w:rsid w:val="00013968"/>
    <w:rsid w:val="0001433C"/>
    <w:rsid w:val="000176CD"/>
    <w:rsid w:val="0002008E"/>
    <w:rsid w:val="000204ED"/>
    <w:rsid w:val="00020728"/>
    <w:rsid w:val="00020DFD"/>
    <w:rsid w:val="00021AA8"/>
    <w:rsid w:val="00021B83"/>
    <w:rsid w:val="0002224B"/>
    <w:rsid w:val="00022CC4"/>
    <w:rsid w:val="00022D1B"/>
    <w:rsid w:val="00022F05"/>
    <w:rsid w:val="000232F0"/>
    <w:rsid w:val="000239E3"/>
    <w:rsid w:val="00023FAF"/>
    <w:rsid w:val="00025AAC"/>
    <w:rsid w:val="0002645D"/>
    <w:rsid w:val="00026938"/>
    <w:rsid w:val="00030603"/>
    <w:rsid w:val="00031AD5"/>
    <w:rsid w:val="00033C36"/>
    <w:rsid w:val="00033DA1"/>
    <w:rsid w:val="000359C5"/>
    <w:rsid w:val="000366EF"/>
    <w:rsid w:val="00036900"/>
    <w:rsid w:val="00036A25"/>
    <w:rsid w:val="00040422"/>
    <w:rsid w:val="000406DD"/>
    <w:rsid w:val="00040AD5"/>
    <w:rsid w:val="00041778"/>
    <w:rsid w:val="00042F1C"/>
    <w:rsid w:val="00043CF0"/>
    <w:rsid w:val="00043F17"/>
    <w:rsid w:val="0004429B"/>
    <w:rsid w:val="00044C59"/>
    <w:rsid w:val="00044EFE"/>
    <w:rsid w:val="00045443"/>
    <w:rsid w:val="00046CB9"/>
    <w:rsid w:val="00046E32"/>
    <w:rsid w:val="00046EB9"/>
    <w:rsid w:val="000471A9"/>
    <w:rsid w:val="00047221"/>
    <w:rsid w:val="0004759A"/>
    <w:rsid w:val="0005097E"/>
    <w:rsid w:val="000523E6"/>
    <w:rsid w:val="00053278"/>
    <w:rsid w:val="00053842"/>
    <w:rsid w:val="000559C0"/>
    <w:rsid w:val="00056698"/>
    <w:rsid w:val="00056DC1"/>
    <w:rsid w:val="00057393"/>
    <w:rsid w:val="000577F4"/>
    <w:rsid w:val="00060431"/>
    <w:rsid w:val="00064FD3"/>
    <w:rsid w:val="00065456"/>
    <w:rsid w:val="00065941"/>
    <w:rsid w:val="0006618B"/>
    <w:rsid w:val="000663D4"/>
    <w:rsid w:val="000668F9"/>
    <w:rsid w:val="00066E41"/>
    <w:rsid w:val="0006714F"/>
    <w:rsid w:val="00067381"/>
    <w:rsid w:val="00067E4A"/>
    <w:rsid w:val="00067F98"/>
    <w:rsid w:val="000711FF"/>
    <w:rsid w:val="00071294"/>
    <w:rsid w:val="00072100"/>
    <w:rsid w:val="000727E0"/>
    <w:rsid w:val="00072F4D"/>
    <w:rsid w:val="0007308A"/>
    <w:rsid w:val="0007318F"/>
    <w:rsid w:val="00073A55"/>
    <w:rsid w:val="000740B4"/>
    <w:rsid w:val="00074155"/>
    <w:rsid w:val="00075283"/>
    <w:rsid w:val="0007543A"/>
    <w:rsid w:val="00075AD7"/>
    <w:rsid w:val="00076CA2"/>
    <w:rsid w:val="0007762F"/>
    <w:rsid w:val="00077E30"/>
    <w:rsid w:val="00080DB1"/>
    <w:rsid w:val="00080EEF"/>
    <w:rsid w:val="00082D52"/>
    <w:rsid w:val="0008372D"/>
    <w:rsid w:val="00083A2F"/>
    <w:rsid w:val="00083F79"/>
    <w:rsid w:val="0008442F"/>
    <w:rsid w:val="00084469"/>
    <w:rsid w:val="00086A99"/>
    <w:rsid w:val="00086EF7"/>
    <w:rsid w:val="00090A2E"/>
    <w:rsid w:val="000916EE"/>
    <w:rsid w:val="0009181E"/>
    <w:rsid w:val="00091962"/>
    <w:rsid w:val="000921F0"/>
    <w:rsid w:val="0009276D"/>
    <w:rsid w:val="00092A86"/>
    <w:rsid w:val="000933D0"/>
    <w:rsid w:val="00093F2F"/>
    <w:rsid w:val="0009529F"/>
    <w:rsid w:val="0009561B"/>
    <w:rsid w:val="0009569D"/>
    <w:rsid w:val="00096A83"/>
    <w:rsid w:val="00096D2B"/>
    <w:rsid w:val="000979EF"/>
    <w:rsid w:val="000A03E4"/>
    <w:rsid w:val="000A1377"/>
    <w:rsid w:val="000A2DC8"/>
    <w:rsid w:val="000A30B3"/>
    <w:rsid w:val="000A3B57"/>
    <w:rsid w:val="000A3BBB"/>
    <w:rsid w:val="000A5587"/>
    <w:rsid w:val="000A5F16"/>
    <w:rsid w:val="000A634B"/>
    <w:rsid w:val="000A7A71"/>
    <w:rsid w:val="000A7BA5"/>
    <w:rsid w:val="000A7BEA"/>
    <w:rsid w:val="000B0CC6"/>
    <w:rsid w:val="000B1D04"/>
    <w:rsid w:val="000B26F8"/>
    <w:rsid w:val="000B38C4"/>
    <w:rsid w:val="000B38E4"/>
    <w:rsid w:val="000B4057"/>
    <w:rsid w:val="000B5102"/>
    <w:rsid w:val="000C0111"/>
    <w:rsid w:val="000C14FB"/>
    <w:rsid w:val="000C245B"/>
    <w:rsid w:val="000C2A83"/>
    <w:rsid w:val="000C35CD"/>
    <w:rsid w:val="000C3617"/>
    <w:rsid w:val="000C6049"/>
    <w:rsid w:val="000C73A9"/>
    <w:rsid w:val="000C73ED"/>
    <w:rsid w:val="000D2C0B"/>
    <w:rsid w:val="000D5CF7"/>
    <w:rsid w:val="000D6926"/>
    <w:rsid w:val="000D7852"/>
    <w:rsid w:val="000E0236"/>
    <w:rsid w:val="000E026E"/>
    <w:rsid w:val="000E193C"/>
    <w:rsid w:val="000E26CA"/>
    <w:rsid w:val="000E3677"/>
    <w:rsid w:val="000E3A53"/>
    <w:rsid w:val="000E414A"/>
    <w:rsid w:val="000E45AD"/>
    <w:rsid w:val="000E59E4"/>
    <w:rsid w:val="000F0745"/>
    <w:rsid w:val="000F209A"/>
    <w:rsid w:val="000F4D05"/>
    <w:rsid w:val="000F5436"/>
    <w:rsid w:val="000F6501"/>
    <w:rsid w:val="000F731D"/>
    <w:rsid w:val="000F7781"/>
    <w:rsid w:val="001005E8"/>
    <w:rsid w:val="00101167"/>
    <w:rsid w:val="00101AC3"/>
    <w:rsid w:val="001021A1"/>
    <w:rsid w:val="00102507"/>
    <w:rsid w:val="001033EA"/>
    <w:rsid w:val="001050DD"/>
    <w:rsid w:val="00105661"/>
    <w:rsid w:val="001068B4"/>
    <w:rsid w:val="00107CD6"/>
    <w:rsid w:val="001108B4"/>
    <w:rsid w:val="00110AB7"/>
    <w:rsid w:val="00112E1E"/>
    <w:rsid w:val="0011301D"/>
    <w:rsid w:val="0011321B"/>
    <w:rsid w:val="001138CB"/>
    <w:rsid w:val="00113D46"/>
    <w:rsid w:val="00114F12"/>
    <w:rsid w:val="0011608C"/>
    <w:rsid w:val="00116CF5"/>
    <w:rsid w:val="001173D7"/>
    <w:rsid w:val="0012049B"/>
    <w:rsid w:val="00121529"/>
    <w:rsid w:val="001229D7"/>
    <w:rsid w:val="00123CCC"/>
    <w:rsid w:val="0012421A"/>
    <w:rsid w:val="0012480D"/>
    <w:rsid w:val="001253BB"/>
    <w:rsid w:val="001259FD"/>
    <w:rsid w:val="00125F85"/>
    <w:rsid w:val="0012646A"/>
    <w:rsid w:val="00127487"/>
    <w:rsid w:val="00127717"/>
    <w:rsid w:val="00127E80"/>
    <w:rsid w:val="00131D32"/>
    <w:rsid w:val="001321C6"/>
    <w:rsid w:val="0013256F"/>
    <w:rsid w:val="0013568F"/>
    <w:rsid w:val="0014063B"/>
    <w:rsid w:val="00140B10"/>
    <w:rsid w:val="0014229E"/>
    <w:rsid w:val="001437AB"/>
    <w:rsid w:val="00146C91"/>
    <w:rsid w:val="00146FE4"/>
    <w:rsid w:val="001474D9"/>
    <w:rsid w:val="001476CF"/>
    <w:rsid w:val="001478DE"/>
    <w:rsid w:val="00147EB5"/>
    <w:rsid w:val="0015088C"/>
    <w:rsid w:val="00152767"/>
    <w:rsid w:val="00152DD0"/>
    <w:rsid w:val="00152E0C"/>
    <w:rsid w:val="001538C2"/>
    <w:rsid w:val="00153C7D"/>
    <w:rsid w:val="00153DC6"/>
    <w:rsid w:val="001540B3"/>
    <w:rsid w:val="0015504A"/>
    <w:rsid w:val="0015522C"/>
    <w:rsid w:val="00155721"/>
    <w:rsid w:val="0015749C"/>
    <w:rsid w:val="0016106D"/>
    <w:rsid w:val="001627E1"/>
    <w:rsid w:val="00165D4D"/>
    <w:rsid w:val="0017037F"/>
    <w:rsid w:val="00170597"/>
    <w:rsid w:val="00174384"/>
    <w:rsid w:val="00175251"/>
    <w:rsid w:val="00175356"/>
    <w:rsid w:val="00175FF5"/>
    <w:rsid w:val="00176CE6"/>
    <w:rsid w:val="00177933"/>
    <w:rsid w:val="00180098"/>
    <w:rsid w:val="001809C4"/>
    <w:rsid w:val="00180BDF"/>
    <w:rsid w:val="00180D15"/>
    <w:rsid w:val="00180D3F"/>
    <w:rsid w:val="001816B8"/>
    <w:rsid w:val="00181719"/>
    <w:rsid w:val="0018178C"/>
    <w:rsid w:val="00182658"/>
    <w:rsid w:val="001834BC"/>
    <w:rsid w:val="00185629"/>
    <w:rsid w:val="00187727"/>
    <w:rsid w:val="00187AE5"/>
    <w:rsid w:val="001909B6"/>
    <w:rsid w:val="00192C86"/>
    <w:rsid w:val="00192EBD"/>
    <w:rsid w:val="001937CD"/>
    <w:rsid w:val="00193DEB"/>
    <w:rsid w:val="001951E7"/>
    <w:rsid w:val="00195716"/>
    <w:rsid w:val="00195C73"/>
    <w:rsid w:val="00196104"/>
    <w:rsid w:val="001A1A59"/>
    <w:rsid w:val="001A2229"/>
    <w:rsid w:val="001A3484"/>
    <w:rsid w:val="001A650F"/>
    <w:rsid w:val="001A6EB8"/>
    <w:rsid w:val="001A75FF"/>
    <w:rsid w:val="001A76FB"/>
    <w:rsid w:val="001A7FDA"/>
    <w:rsid w:val="001A7FF5"/>
    <w:rsid w:val="001B1485"/>
    <w:rsid w:val="001B189A"/>
    <w:rsid w:val="001B19B9"/>
    <w:rsid w:val="001B3B31"/>
    <w:rsid w:val="001B415F"/>
    <w:rsid w:val="001B5913"/>
    <w:rsid w:val="001B667D"/>
    <w:rsid w:val="001C03A9"/>
    <w:rsid w:val="001C050F"/>
    <w:rsid w:val="001C08E9"/>
    <w:rsid w:val="001C4218"/>
    <w:rsid w:val="001C42D6"/>
    <w:rsid w:val="001C4335"/>
    <w:rsid w:val="001C4DDF"/>
    <w:rsid w:val="001C5120"/>
    <w:rsid w:val="001C5DC2"/>
    <w:rsid w:val="001C7D5D"/>
    <w:rsid w:val="001D0233"/>
    <w:rsid w:val="001D13F6"/>
    <w:rsid w:val="001D1FBD"/>
    <w:rsid w:val="001D2FE0"/>
    <w:rsid w:val="001D394E"/>
    <w:rsid w:val="001D40F0"/>
    <w:rsid w:val="001D41FB"/>
    <w:rsid w:val="001D42B2"/>
    <w:rsid w:val="001D4B6D"/>
    <w:rsid w:val="001D4BD5"/>
    <w:rsid w:val="001D5466"/>
    <w:rsid w:val="001D79D6"/>
    <w:rsid w:val="001D7E60"/>
    <w:rsid w:val="001D7EA0"/>
    <w:rsid w:val="001E1AE7"/>
    <w:rsid w:val="001E24DB"/>
    <w:rsid w:val="001E24DF"/>
    <w:rsid w:val="001E5707"/>
    <w:rsid w:val="001E60C1"/>
    <w:rsid w:val="001E61D2"/>
    <w:rsid w:val="001E69B4"/>
    <w:rsid w:val="001E6C92"/>
    <w:rsid w:val="001F076B"/>
    <w:rsid w:val="001F09B6"/>
    <w:rsid w:val="001F113D"/>
    <w:rsid w:val="001F129B"/>
    <w:rsid w:val="001F1630"/>
    <w:rsid w:val="001F1659"/>
    <w:rsid w:val="001F2B08"/>
    <w:rsid w:val="001F38D0"/>
    <w:rsid w:val="001F3D08"/>
    <w:rsid w:val="001F5FA8"/>
    <w:rsid w:val="001F655E"/>
    <w:rsid w:val="001F680B"/>
    <w:rsid w:val="001F7725"/>
    <w:rsid w:val="00202E0E"/>
    <w:rsid w:val="00203679"/>
    <w:rsid w:val="00203D0D"/>
    <w:rsid w:val="0020613A"/>
    <w:rsid w:val="002072CC"/>
    <w:rsid w:val="0020792C"/>
    <w:rsid w:val="002113FE"/>
    <w:rsid w:val="002123B5"/>
    <w:rsid w:val="00212C1F"/>
    <w:rsid w:val="00213A7A"/>
    <w:rsid w:val="00213D04"/>
    <w:rsid w:val="00213E7F"/>
    <w:rsid w:val="0021502A"/>
    <w:rsid w:val="00215E58"/>
    <w:rsid w:val="002170A9"/>
    <w:rsid w:val="00217789"/>
    <w:rsid w:val="00220126"/>
    <w:rsid w:val="002206BD"/>
    <w:rsid w:val="00221D16"/>
    <w:rsid w:val="0022225E"/>
    <w:rsid w:val="00222BC3"/>
    <w:rsid w:val="00223800"/>
    <w:rsid w:val="00225491"/>
    <w:rsid w:val="00225C96"/>
    <w:rsid w:val="002276F8"/>
    <w:rsid w:val="002301F9"/>
    <w:rsid w:val="00230F4E"/>
    <w:rsid w:val="00231052"/>
    <w:rsid w:val="00233489"/>
    <w:rsid w:val="002334EC"/>
    <w:rsid w:val="002337CC"/>
    <w:rsid w:val="00234E61"/>
    <w:rsid w:val="002359DE"/>
    <w:rsid w:val="0023646F"/>
    <w:rsid w:val="002379E0"/>
    <w:rsid w:val="00240622"/>
    <w:rsid w:val="002409A2"/>
    <w:rsid w:val="00241303"/>
    <w:rsid w:val="00243EDF"/>
    <w:rsid w:val="00245062"/>
    <w:rsid w:val="002455D0"/>
    <w:rsid w:val="002455FA"/>
    <w:rsid w:val="0024590E"/>
    <w:rsid w:val="00245A13"/>
    <w:rsid w:val="00245B33"/>
    <w:rsid w:val="00245C57"/>
    <w:rsid w:val="0024743F"/>
    <w:rsid w:val="00250778"/>
    <w:rsid w:val="00253F21"/>
    <w:rsid w:val="002546FD"/>
    <w:rsid w:val="00255A02"/>
    <w:rsid w:val="002564FE"/>
    <w:rsid w:val="002567E0"/>
    <w:rsid w:val="00257E5F"/>
    <w:rsid w:val="00260090"/>
    <w:rsid w:val="0026051A"/>
    <w:rsid w:val="00260B27"/>
    <w:rsid w:val="00260D87"/>
    <w:rsid w:val="00261334"/>
    <w:rsid w:val="00261455"/>
    <w:rsid w:val="002615A2"/>
    <w:rsid w:val="00262373"/>
    <w:rsid w:val="0026371C"/>
    <w:rsid w:val="00264B31"/>
    <w:rsid w:val="002656C0"/>
    <w:rsid w:val="0026630E"/>
    <w:rsid w:val="00266569"/>
    <w:rsid w:val="0026658C"/>
    <w:rsid w:val="002672F5"/>
    <w:rsid w:val="00267582"/>
    <w:rsid w:val="0026758C"/>
    <w:rsid w:val="00267AB4"/>
    <w:rsid w:val="00267B1D"/>
    <w:rsid w:val="00267EF5"/>
    <w:rsid w:val="00270B08"/>
    <w:rsid w:val="002710C4"/>
    <w:rsid w:val="00273298"/>
    <w:rsid w:val="0027380C"/>
    <w:rsid w:val="00273CFB"/>
    <w:rsid w:val="0027535D"/>
    <w:rsid w:val="002754E8"/>
    <w:rsid w:val="002761C1"/>
    <w:rsid w:val="002763A9"/>
    <w:rsid w:val="002766FE"/>
    <w:rsid w:val="00282620"/>
    <w:rsid w:val="00282DDD"/>
    <w:rsid w:val="00283F79"/>
    <w:rsid w:val="002850B7"/>
    <w:rsid w:val="002854D3"/>
    <w:rsid w:val="00286A4E"/>
    <w:rsid w:val="0028799D"/>
    <w:rsid w:val="00287BC8"/>
    <w:rsid w:val="00290906"/>
    <w:rsid w:val="00291996"/>
    <w:rsid w:val="00292A1E"/>
    <w:rsid w:val="002933D1"/>
    <w:rsid w:val="002934E8"/>
    <w:rsid w:val="00294B20"/>
    <w:rsid w:val="002955E0"/>
    <w:rsid w:val="0029588B"/>
    <w:rsid w:val="00295B18"/>
    <w:rsid w:val="00296B28"/>
    <w:rsid w:val="00297462"/>
    <w:rsid w:val="002A08A1"/>
    <w:rsid w:val="002A107A"/>
    <w:rsid w:val="002A1F8F"/>
    <w:rsid w:val="002A23DF"/>
    <w:rsid w:val="002A3FE4"/>
    <w:rsid w:val="002A67CA"/>
    <w:rsid w:val="002A6DC5"/>
    <w:rsid w:val="002A72B1"/>
    <w:rsid w:val="002A7E12"/>
    <w:rsid w:val="002B0E92"/>
    <w:rsid w:val="002B1B17"/>
    <w:rsid w:val="002B4CB0"/>
    <w:rsid w:val="002B5422"/>
    <w:rsid w:val="002B6091"/>
    <w:rsid w:val="002B613E"/>
    <w:rsid w:val="002B73CC"/>
    <w:rsid w:val="002C0AD7"/>
    <w:rsid w:val="002C302B"/>
    <w:rsid w:val="002C37C4"/>
    <w:rsid w:val="002C38C3"/>
    <w:rsid w:val="002C3B6B"/>
    <w:rsid w:val="002C4D58"/>
    <w:rsid w:val="002C50A3"/>
    <w:rsid w:val="002C52CA"/>
    <w:rsid w:val="002C5DE0"/>
    <w:rsid w:val="002C5EC3"/>
    <w:rsid w:val="002C6B00"/>
    <w:rsid w:val="002C7416"/>
    <w:rsid w:val="002D090C"/>
    <w:rsid w:val="002D112F"/>
    <w:rsid w:val="002D16AA"/>
    <w:rsid w:val="002D2B1B"/>
    <w:rsid w:val="002D3739"/>
    <w:rsid w:val="002D4BEC"/>
    <w:rsid w:val="002D5721"/>
    <w:rsid w:val="002D5D31"/>
    <w:rsid w:val="002D5F3F"/>
    <w:rsid w:val="002D6420"/>
    <w:rsid w:val="002D690B"/>
    <w:rsid w:val="002E0125"/>
    <w:rsid w:val="002E0EDD"/>
    <w:rsid w:val="002E30EB"/>
    <w:rsid w:val="002E5740"/>
    <w:rsid w:val="002E6470"/>
    <w:rsid w:val="002E6ED9"/>
    <w:rsid w:val="002E6FCA"/>
    <w:rsid w:val="002E7159"/>
    <w:rsid w:val="002E7C1D"/>
    <w:rsid w:val="002F063B"/>
    <w:rsid w:val="002F0EBD"/>
    <w:rsid w:val="002F163D"/>
    <w:rsid w:val="002F3098"/>
    <w:rsid w:val="002F3214"/>
    <w:rsid w:val="002F388A"/>
    <w:rsid w:val="002F4056"/>
    <w:rsid w:val="002F4D53"/>
    <w:rsid w:val="002F653C"/>
    <w:rsid w:val="002F728D"/>
    <w:rsid w:val="0030166B"/>
    <w:rsid w:val="00302ECF"/>
    <w:rsid w:val="003031B1"/>
    <w:rsid w:val="0030459E"/>
    <w:rsid w:val="003047B5"/>
    <w:rsid w:val="00304837"/>
    <w:rsid w:val="00305448"/>
    <w:rsid w:val="00305BB9"/>
    <w:rsid w:val="00306376"/>
    <w:rsid w:val="00307325"/>
    <w:rsid w:val="003075AD"/>
    <w:rsid w:val="00311FA6"/>
    <w:rsid w:val="00312CC6"/>
    <w:rsid w:val="00314AB6"/>
    <w:rsid w:val="00316961"/>
    <w:rsid w:val="003178EF"/>
    <w:rsid w:val="003205E9"/>
    <w:rsid w:val="00320DE0"/>
    <w:rsid w:val="00320F9C"/>
    <w:rsid w:val="00321160"/>
    <w:rsid w:val="00322140"/>
    <w:rsid w:val="00322D7B"/>
    <w:rsid w:val="00323A91"/>
    <w:rsid w:val="0032580C"/>
    <w:rsid w:val="00326600"/>
    <w:rsid w:val="00326C2D"/>
    <w:rsid w:val="00326C80"/>
    <w:rsid w:val="00326EFB"/>
    <w:rsid w:val="003270A6"/>
    <w:rsid w:val="00332260"/>
    <w:rsid w:val="00332A50"/>
    <w:rsid w:val="003331FE"/>
    <w:rsid w:val="00333F84"/>
    <w:rsid w:val="003346AD"/>
    <w:rsid w:val="003353E0"/>
    <w:rsid w:val="003363ED"/>
    <w:rsid w:val="0033674A"/>
    <w:rsid w:val="0033745C"/>
    <w:rsid w:val="0033794E"/>
    <w:rsid w:val="00337CA0"/>
    <w:rsid w:val="0034010A"/>
    <w:rsid w:val="00340D34"/>
    <w:rsid w:val="00343624"/>
    <w:rsid w:val="00343F73"/>
    <w:rsid w:val="0034495F"/>
    <w:rsid w:val="0034547C"/>
    <w:rsid w:val="0034585B"/>
    <w:rsid w:val="00345A71"/>
    <w:rsid w:val="00345D7F"/>
    <w:rsid w:val="00345FA3"/>
    <w:rsid w:val="00346A55"/>
    <w:rsid w:val="00346C2F"/>
    <w:rsid w:val="0034759C"/>
    <w:rsid w:val="00350070"/>
    <w:rsid w:val="003500BC"/>
    <w:rsid w:val="00350731"/>
    <w:rsid w:val="00350F88"/>
    <w:rsid w:val="0035202E"/>
    <w:rsid w:val="0035403C"/>
    <w:rsid w:val="003554E1"/>
    <w:rsid w:val="00355A83"/>
    <w:rsid w:val="00355DE1"/>
    <w:rsid w:val="0035636B"/>
    <w:rsid w:val="003567C3"/>
    <w:rsid w:val="00360278"/>
    <w:rsid w:val="00360802"/>
    <w:rsid w:val="00360EE2"/>
    <w:rsid w:val="003612E1"/>
    <w:rsid w:val="00361B97"/>
    <w:rsid w:val="00361DD3"/>
    <w:rsid w:val="00362F35"/>
    <w:rsid w:val="00363D32"/>
    <w:rsid w:val="003657FD"/>
    <w:rsid w:val="00365FE0"/>
    <w:rsid w:val="0036626A"/>
    <w:rsid w:val="003662B2"/>
    <w:rsid w:val="003666FC"/>
    <w:rsid w:val="003668EF"/>
    <w:rsid w:val="00366FBE"/>
    <w:rsid w:val="00371790"/>
    <w:rsid w:val="003720C0"/>
    <w:rsid w:val="00372590"/>
    <w:rsid w:val="00372622"/>
    <w:rsid w:val="00373E7D"/>
    <w:rsid w:val="00373EF6"/>
    <w:rsid w:val="00375385"/>
    <w:rsid w:val="0037611F"/>
    <w:rsid w:val="003778EA"/>
    <w:rsid w:val="00380B46"/>
    <w:rsid w:val="00380D21"/>
    <w:rsid w:val="00380DBC"/>
    <w:rsid w:val="0038204F"/>
    <w:rsid w:val="00383AA1"/>
    <w:rsid w:val="00383BC0"/>
    <w:rsid w:val="00385629"/>
    <w:rsid w:val="00385713"/>
    <w:rsid w:val="00386F5D"/>
    <w:rsid w:val="00387925"/>
    <w:rsid w:val="00387D0B"/>
    <w:rsid w:val="00390766"/>
    <w:rsid w:val="0039095D"/>
    <w:rsid w:val="00391A51"/>
    <w:rsid w:val="003927E7"/>
    <w:rsid w:val="00392F5A"/>
    <w:rsid w:val="0039334A"/>
    <w:rsid w:val="00393C4D"/>
    <w:rsid w:val="00394122"/>
    <w:rsid w:val="0039553F"/>
    <w:rsid w:val="003957FC"/>
    <w:rsid w:val="00396656"/>
    <w:rsid w:val="0039689E"/>
    <w:rsid w:val="0039698D"/>
    <w:rsid w:val="00396E16"/>
    <w:rsid w:val="00397B86"/>
    <w:rsid w:val="003A3391"/>
    <w:rsid w:val="003A544D"/>
    <w:rsid w:val="003A5C0B"/>
    <w:rsid w:val="003A6ACA"/>
    <w:rsid w:val="003B08BE"/>
    <w:rsid w:val="003B2D2C"/>
    <w:rsid w:val="003B2D52"/>
    <w:rsid w:val="003B2E2D"/>
    <w:rsid w:val="003B4A41"/>
    <w:rsid w:val="003B4FB3"/>
    <w:rsid w:val="003B5FA0"/>
    <w:rsid w:val="003B636F"/>
    <w:rsid w:val="003B7206"/>
    <w:rsid w:val="003B7779"/>
    <w:rsid w:val="003C00CF"/>
    <w:rsid w:val="003C01A6"/>
    <w:rsid w:val="003C01BE"/>
    <w:rsid w:val="003C07D6"/>
    <w:rsid w:val="003C09B1"/>
    <w:rsid w:val="003C1368"/>
    <w:rsid w:val="003C1BEA"/>
    <w:rsid w:val="003C349F"/>
    <w:rsid w:val="003C4023"/>
    <w:rsid w:val="003C4B9F"/>
    <w:rsid w:val="003C5F28"/>
    <w:rsid w:val="003C6A05"/>
    <w:rsid w:val="003C7DF1"/>
    <w:rsid w:val="003D2280"/>
    <w:rsid w:val="003D2712"/>
    <w:rsid w:val="003D2FB8"/>
    <w:rsid w:val="003D3935"/>
    <w:rsid w:val="003D4039"/>
    <w:rsid w:val="003D5D16"/>
    <w:rsid w:val="003D5D53"/>
    <w:rsid w:val="003D7DB1"/>
    <w:rsid w:val="003D7ED4"/>
    <w:rsid w:val="003E0542"/>
    <w:rsid w:val="003E09C7"/>
    <w:rsid w:val="003E0BE9"/>
    <w:rsid w:val="003E2535"/>
    <w:rsid w:val="003E455B"/>
    <w:rsid w:val="003E572C"/>
    <w:rsid w:val="003E58D4"/>
    <w:rsid w:val="003E593B"/>
    <w:rsid w:val="003E5F89"/>
    <w:rsid w:val="003F2EE7"/>
    <w:rsid w:val="003F3A3C"/>
    <w:rsid w:val="003F3E5B"/>
    <w:rsid w:val="003F5036"/>
    <w:rsid w:val="003F55E9"/>
    <w:rsid w:val="003F62F2"/>
    <w:rsid w:val="003F64B3"/>
    <w:rsid w:val="003F6C77"/>
    <w:rsid w:val="00400957"/>
    <w:rsid w:val="004011C1"/>
    <w:rsid w:val="0040139C"/>
    <w:rsid w:val="004038D0"/>
    <w:rsid w:val="00406647"/>
    <w:rsid w:val="0040695B"/>
    <w:rsid w:val="00412DAA"/>
    <w:rsid w:val="00414161"/>
    <w:rsid w:val="00415601"/>
    <w:rsid w:val="00416D74"/>
    <w:rsid w:val="0042028F"/>
    <w:rsid w:val="0042049B"/>
    <w:rsid w:val="00420AD2"/>
    <w:rsid w:val="00420C48"/>
    <w:rsid w:val="00420C64"/>
    <w:rsid w:val="00420F5F"/>
    <w:rsid w:val="00422F0F"/>
    <w:rsid w:val="004247DD"/>
    <w:rsid w:val="004257A5"/>
    <w:rsid w:val="00425BFB"/>
    <w:rsid w:val="00425E7B"/>
    <w:rsid w:val="00430839"/>
    <w:rsid w:val="00430CDA"/>
    <w:rsid w:val="00430E6A"/>
    <w:rsid w:val="004317B5"/>
    <w:rsid w:val="004323C1"/>
    <w:rsid w:val="00432C4F"/>
    <w:rsid w:val="0043309F"/>
    <w:rsid w:val="00434E3A"/>
    <w:rsid w:val="00436185"/>
    <w:rsid w:val="00437DC3"/>
    <w:rsid w:val="00441888"/>
    <w:rsid w:val="004423CC"/>
    <w:rsid w:val="004447C4"/>
    <w:rsid w:val="00444C1B"/>
    <w:rsid w:val="00445004"/>
    <w:rsid w:val="00445DBC"/>
    <w:rsid w:val="0044622D"/>
    <w:rsid w:val="0044741C"/>
    <w:rsid w:val="004479D1"/>
    <w:rsid w:val="00447E58"/>
    <w:rsid w:val="00447E9A"/>
    <w:rsid w:val="004517C4"/>
    <w:rsid w:val="00451BDB"/>
    <w:rsid w:val="00451D89"/>
    <w:rsid w:val="0045247E"/>
    <w:rsid w:val="004528C9"/>
    <w:rsid w:val="00453A62"/>
    <w:rsid w:val="00454E95"/>
    <w:rsid w:val="00455B9B"/>
    <w:rsid w:val="00455CF3"/>
    <w:rsid w:val="0045600C"/>
    <w:rsid w:val="004562D6"/>
    <w:rsid w:val="004563D2"/>
    <w:rsid w:val="00456C8B"/>
    <w:rsid w:val="00457D25"/>
    <w:rsid w:val="0046152F"/>
    <w:rsid w:val="004630EC"/>
    <w:rsid w:val="00463872"/>
    <w:rsid w:val="004643F6"/>
    <w:rsid w:val="004651C9"/>
    <w:rsid w:val="00466698"/>
    <w:rsid w:val="00466C55"/>
    <w:rsid w:val="00467242"/>
    <w:rsid w:val="004674E9"/>
    <w:rsid w:val="00467855"/>
    <w:rsid w:val="00467CCE"/>
    <w:rsid w:val="00470353"/>
    <w:rsid w:val="00470481"/>
    <w:rsid w:val="004707B7"/>
    <w:rsid w:val="004713CA"/>
    <w:rsid w:val="0047187E"/>
    <w:rsid w:val="00471C12"/>
    <w:rsid w:val="00474266"/>
    <w:rsid w:val="00474407"/>
    <w:rsid w:val="0047483E"/>
    <w:rsid w:val="00474CEC"/>
    <w:rsid w:val="00475C94"/>
    <w:rsid w:val="004762C4"/>
    <w:rsid w:val="00477F73"/>
    <w:rsid w:val="00480F17"/>
    <w:rsid w:val="00481159"/>
    <w:rsid w:val="004834CB"/>
    <w:rsid w:val="004836D0"/>
    <w:rsid w:val="00483974"/>
    <w:rsid w:val="00483E5A"/>
    <w:rsid w:val="00485B73"/>
    <w:rsid w:val="0048663B"/>
    <w:rsid w:val="004878C7"/>
    <w:rsid w:val="00487C00"/>
    <w:rsid w:val="004914D5"/>
    <w:rsid w:val="00491B22"/>
    <w:rsid w:val="00491D56"/>
    <w:rsid w:val="004929D1"/>
    <w:rsid w:val="004938A4"/>
    <w:rsid w:val="004955B6"/>
    <w:rsid w:val="0049570D"/>
    <w:rsid w:val="00495AE7"/>
    <w:rsid w:val="00495F3D"/>
    <w:rsid w:val="0049666D"/>
    <w:rsid w:val="00496E7A"/>
    <w:rsid w:val="004970BD"/>
    <w:rsid w:val="004974D6"/>
    <w:rsid w:val="004979EB"/>
    <w:rsid w:val="004A21E8"/>
    <w:rsid w:val="004A353D"/>
    <w:rsid w:val="004A3A9F"/>
    <w:rsid w:val="004A4D9B"/>
    <w:rsid w:val="004A523A"/>
    <w:rsid w:val="004A6702"/>
    <w:rsid w:val="004A79A5"/>
    <w:rsid w:val="004B0C16"/>
    <w:rsid w:val="004B1325"/>
    <w:rsid w:val="004B180C"/>
    <w:rsid w:val="004B1893"/>
    <w:rsid w:val="004B1CDF"/>
    <w:rsid w:val="004B1EC1"/>
    <w:rsid w:val="004B2627"/>
    <w:rsid w:val="004B2793"/>
    <w:rsid w:val="004B28F6"/>
    <w:rsid w:val="004B30B1"/>
    <w:rsid w:val="004B34FE"/>
    <w:rsid w:val="004B3A65"/>
    <w:rsid w:val="004B3B67"/>
    <w:rsid w:val="004B3CDB"/>
    <w:rsid w:val="004B3FA1"/>
    <w:rsid w:val="004B5309"/>
    <w:rsid w:val="004B542B"/>
    <w:rsid w:val="004B5EBD"/>
    <w:rsid w:val="004B5F17"/>
    <w:rsid w:val="004B7750"/>
    <w:rsid w:val="004C0374"/>
    <w:rsid w:val="004C0A85"/>
    <w:rsid w:val="004C17AF"/>
    <w:rsid w:val="004C24C5"/>
    <w:rsid w:val="004C2753"/>
    <w:rsid w:val="004C2C7C"/>
    <w:rsid w:val="004C2F74"/>
    <w:rsid w:val="004C4D38"/>
    <w:rsid w:val="004C6A1F"/>
    <w:rsid w:val="004C7384"/>
    <w:rsid w:val="004C75BF"/>
    <w:rsid w:val="004C79DD"/>
    <w:rsid w:val="004D0EF7"/>
    <w:rsid w:val="004D1335"/>
    <w:rsid w:val="004D23CF"/>
    <w:rsid w:val="004D26EB"/>
    <w:rsid w:val="004D2904"/>
    <w:rsid w:val="004D2D5B"/>
    <w:rsid w:val="004D2F32"/>
    <w:rsid w:val="004D40DD"/>
    <w:rsid w:val="004D5888"/>
    <w:rsid w:val="004D59D4"/>
    <w:rsid w:val="004D5A16"/>
    <w:rsid w:val="004D6411"/>
    <w:rsid w:val="004D702E"/>
    <w:rsid w:val="004D71F8"/>
    <w:rsid w:val="004D7AA0"/>
    <w:rsid w:val="004E142C"/>
    <w:rsid w:val="004E1BDC"/>
    <w:rsid w:val="004E1D44"/>
    <w:rsid w:val="004E20CB"/>
    <w:rsid w:val="004E22E7"/>
    <w:rsid w:val="004E2443"/>
    <w:rsid w:val="004E2BD0"/>
    <w:rsid w:val="004E3905"/>
    <w:rsid w:val="004E3E7C"/>
    <w:rsid w:val="004E4E3D"/>
    <w:rsid w:val="004E4E82"/>
    <w:rsid w:val="004E65D9"/>
    <w:rsid w:val="004E6A87"/>
    <w:rsid w:val="004E7527"/>
    <w:rsid w:val="004F18DB"/>
    <w:rsid w:val="004F41A7"/>
    <w:rsid w:val="004F5671"/>
    <w:rsid w:val="004F61D0"/>
    <w:rsid w:val="004F629E"/>
    <w:rsid w:val="004F69E5"/>
    <w:rsid w:val="004F6EAF"/>
    <w:rsid w:val="004F75B4"/>
    <w:rsid w:val="005003D8"/>
    <w:rsid w:val="00500AD1"/>
    <w:rsid w:val="00501622"/>
    <w:rsid w:val="005023BF"/>
    <w:rsid w:val="00503024"/>
    <w:rsid w:val="0050462F"/>
    <w:rsid w:val="00504D09"/>
    <w:rsid w:val="00505775"/>
    <w:rsid w:val="0050763A"/>
    <w:rsid w:val="00507727"/>
    <w:rsid w:val="0051047C"/>
    <w:rsid w:val="00510577"/>
    <w:rsid w:val="005129B7"/>
    <w:rsid w:val="00513115"/>
    <w:rsid w:val="00514E7A"/>
    <w:rsid w:val="00515175"/>
    <w:rsid w:val="00515799"/>
    <w:rsid w:val="00515DE7"/>
    <w:rsid w:val="00515FC5"/>
    <w:rsid w:val="005166F6"/>
    <w:rsid w:val="00517D5F"/>
    <w:rsid w:val="00520A0E"/>
    <w:rsid w:val="00521960"/>
    <w:rsid w:val="00522290"/>
    <w:rsid w:val="0052261A"/>
    <w:rsid w:val="0052278B"/>
    <w:rsid w:val="00522C48"/>
    <w:rsid w:val="00523F3D"/>
    <w:rsid w:val="0052468B"/>
    <w:rsid w:val="005255E5"/>
    <w:rsid w:val="00525BD9"/>
    <w:rsid w:val="00526700"/>
    <w:rsid w:val="0052685C"/>
    <w:rsid w:val="005343CC"/>
    <w:rsid w:val="00535A60"/>
    <w:rsid w:val="00535EA1"/>
    <w:rsid w:val="00537D5F"/>
    <w:rsid w:val="005416C3"/>
    <w:rsid w:val="0054187E"/>
    <w:rsid w:val="0054334C"/>
    <w:rsid w:val="00543A4C"/>
    <w:rsid w:val="0054521C"/>
    <w:rsid w:val="00545A4F"/>
    <w:rsid w:val="00545ADA"/>
    <w:rsid w:val="0054698D"/>
    <w:rsid w:val="0054766C"/>
    <w:rsid w:val="005520C3"/>
    <w:rsid w:val="005535E5"/>
    <w:rsid w:val="005540D4"/>
    <w:rsid w:val="00555237"/>
    <w:rsid w:val="005555E7"/>
    <w:rsid w:val="00555CD0"/>
    <w:rsid w:val="00556A6F"/>
    <w:rsid w:val="00556BF5"/>
    <w:rsid w:val="00556DDB"/>
    <w:rsid w:val="0055761D"/>
    <w:rsid w:val="005625F0"/>
    <w:rsid w:val="005627DB"/>
    <w:rsid w:val="00564F2A"/>
    <w:rsid w:val="0056569E"/>
    <w:rsid w:val="00565747"/>
    <w:rsid w:val="00565F0D"/>
    <w:rsid w:val="0056628A"/>
    <w:rsid w:val="00567B72"/>
    <w:rsid w:val="005719C5"/>
    <w:rsid w:val="005725F0"/>
    <w:rsid w:val="00574078"/>
    <w:rsid w:val="00576AAA"/>
    <w:rsid w:val="0057720F"/>
    <w:rsid w:val="0058164E"/>
    <w:rsid w:val="00581D3C"/>
    <w:rsid w:val="00585DA0"/>
    <w:rsid w:val="00586B51"/>
    <w:rsid w:val="00586BC7"/>
    <w:rsid w:val="00586D37"/>
    <w:rsid w:val="00587D7D"/>
    <w:rsid w:val="00590781"/>
    <w:rsid w:val="00592886"/>
    <w:rsid w:val="005933CB"/>
    <w:rsid w:val="005937A1"/>
    <w:rsid w:val="00593F20"/>
    <w:rsid w:val="0059729B"/>
    <w:rsid w:val="00597833"/>
    <w:rsid w:val="005A0F64"/>
    <w:rsid w:val="005A2129"/>
    <w:rsid w:val="005A2D1B"/>
    <w:rsid w:val="005A306F"/>
    <w:rsid w:val="005A55A0"/>
    <w:rsid w:val="005A5DFB"/>
    <w:rsid w:val="005A668C"/>
    <w:rsid w:val="005A68A9"/>
    <w:rsid w:val="005B0B95"/>
    <w:rsid w:val="005B15D9"/>
    <w:rsid w:val="005B1BD7"/>
    <w:rsid w:val="005B2455"/>
    <w:rsid w:val="005B2D31"/>
    <w:rsid w:val="005B3294"/>
    <w:rsid w:val="005B3A5A"/>
    <w:rsid w:val="005B4442"/>
    <w:rsid w:val="005B45BB"/>
    <w:rsid w:val="005B5724"/>
    <w:rsid w:val="005C11F9"/>
    <w:rsid w:val="005C1F04"/>
    <w:rsid w:val="005C245E"/>
    <w:rsid w:val="005C3C5E"/>
    <w:rsid w:val="005C3DB0"/>
    <w:rsid w:val="005C3E23"/>
    <w:rsid w:val="005C41F0"/>
    <w:rsid w:val="005C437D"/>
    <w:rsid w:val="005C4D94"/>
    <w:rsid w:val="005D0064"/>
    <w:rsid w:val="005D0298"/>
    <w:rsid w:val="005D0C7A"/>
    <w:rsid w:val="005D134B"/>
    <w:rsid w:val="005D198A"/>
    <w:rsid w:val="005D2542"/>
    <w:rsid w:val="005D2930"/>
    <w:rsid w:val="005D2BC8"/>
    <w:rsid w:val="005D2E2C"/>
    <w:rsid w:val="005D39BC"/>
    <w:rsid w:val="005D43D0"/>
    <w:rsid w:val="005D4832"/>
    <w:rsid w:val="005D5022"/>
    <w:rsid w:val="005D55C4"/>
    <w:rsid w:val="005D6A3E"/>
    <w:rsid w:val="005D6DB1"/>
    <w:rsid w:val="005E03B4"/>
    <w:rsid w:val="005E0550"/>
    <w:rsid w:val="005E12AD"/>
    <w:rsid w:val="005E40A3"/>
    <w:rsid w:val="005E4CFB"/>
    <w:rsid w:val="005E54D3"/>
    <w:rsid w:val="005E5D32"/>
    <w:rsid w:val="005E650E"/>
    <w:rsid w:val="005E6DAD"/>
    <w:rsid w:val="005E72DD"/>
    <w:rsid w:val="005F06BA"/>
    <w:rsid w:val="005F182B"/>
    <w:rsid w:val="005F2266"/>
    <w:rsid w:val="005F274D"/>
    <w:rsid w:val="005F29BB"/>
    <w:rsid w:val="005F3200"/>
    <w:rsid w:val="005F3368"/>
    <w:rsid w:val="005F502A"/>
    <w:rsid w:val="005F5208"/>
    <w:rsid w:val="005F6D85"/>
    <w:rsid w:val="005F7D69"/>
    <w:rsid w:val="0060031A"/>
    <w:rsid w:val="00601C95"/>
    <w:rsid w:val="00601E7B"/>
    <w:rsid w:val="00601FDC"/>
    <w:rsid w:val="00604F43"/>
    <w:rsid w:val="00604FF8"/>
    <w:rsid w:val="00605836"/>
    <w:rsid w:val="0060699E"/>
    <w:rsid w:val="0061008D"/>
    <w:rsid w:val="00610816"/>
    <w:rsid w:val="00610B9B"/>
    <w:rsid w:val="00611168"/>
    <w:rsid w:val="006113CE"/>
    <w:rsid w:val="00612613"/>
    <w:rsid w:val="006129D3"/>
    <w:rsid w:val="00613AB2"/>
    <w:rsid w:val="0061408F"/>
    <w:rsid w:val="00614B2B"/>
    <w:rsid w:val="006159D2"/>
    <w:rsid w:val="00615ACF"/>
    <w:rsid w:val="006160B7"/>
    <w:rsid w:val="00617156"/>
    <w:rsid w:val="0061724F"/>
    <w:rsid w:val="0061743B"/>
    <w:rsid w:val="00620176"/>
    <w:rsid w:val="00620277"/>
    <w:rsid w:val="00620546"/>
    <w:rsid w:val="00620CB4"/>
    <w:rsid w:val="0062107D"/>
    <w:rsid w:val="006214A9"/>
    <w:rsid w:val="006216EF"/>
    <w:rsid w:val="00621960"/>
    <w:rsid w:val="006237B7"/>
    <w:rsid w:val="00623CFA"/>
    <w:rsid w:val="006308DB"/>
    <w:rsid w:val="00630B6E"/>
    <w:rsid w:val="0063353D"/>
    <w:rsid w:val="006364B5"/>
    <w:rsid w:val="00636EBE"/>
    <w:rsid w:val="006406DD"/>
    <w:rsid w:val="00641B80"/>
    <w:rsid w:val="00642915"/>
    <w:rsid w:val="00642BDE"/>
    <w:rsid w:val="00642D19"/>
    <w:rsid w:val="00643C89"/>
    <w:rsid w:val="0064441B"/>
    <w:rsid w:val="00645BF8"/>
    <w:rsid w:val="00651661"/>
    <w:rsid w:val="006519C9"/>
    <w:rsid w:val="00651AC5"/>
    <w:rsid w:val="006522DF"/>
    <w:rsid w:val="00653889"/>
    <w:rsid w:val="00661B75"/>
    <w:rsid w:val="00662A78"/>
    <w:rsid w:val="00663B5A"/>
    <w:rsid w:val="00664BC7"/>
    <w:rsid w:val="00664F8F"/>
    <w:rsid w:val="0066525A"/>
    <w:rsid w:val="00665D01"/>
    <w:rsid w:val="00665EFA"/>
    <w:rsid w:val="00667447"/>
    <w:rsid w:val="00671472"/>
    <w:rsid w:val="00672BED"/>
    <w:rsid w:val="006731D7"/>
    <w:rsid w:val="00673E4D"/>
    <w:rsid w:val="00674C0C"/>
    <w:rsid w:val="00675925"/>
    <w:rsid w:val="00675A71"/>
    <w:rsid w:val="006767E7"/>
    <w:rsid w:val="006828DA"/>
    <w:rsid w:val="006832ED"/>
    <w:rsid w:val="00683670"/>
    <w:rsid w:val="006842AC"/>
    <w:rsid w:val="00684975"/>
    <w:rsid w:val="00684CB3"/>
    <w:rsid w:val="006866C0"/>
    <w:rsid w:val="00687346"/>
    <w:rsid w:val="006904A5"/>
    <w:rsid w:val="00691574"/>
    <w:rsid w:val="006915E4"/>
    <w:rsid w:val="00691B7A"/>
    <w:rsid w:val="00691BBA"/>
    <w:rsid w:val="006924C4"/>
    <w:rsid w:val="00692991"/>
    <w:rsid w:val="00695FA4"/>
    <w:rsid w:val="0069655A"/>
    <w:rsid w:val="006972CF"/>
    <w:rsid w:val="00697F11"/>
    <w:rsid w:val="006A1906"/>
    <w:rsid w:val="006A1C0F"/>
    <w:rsid w:val="006A2336"/>
    <w:rsid w:val="006A2EEE"/>
    <w:rsid w:val="006A3029"/>
    <w:rsid w:val="006A3321"/>
    <w:rsid w:val="006A3A39"/>
    <w:rsid w:val="006A4948"/>
    <w:rsid w:val="006A5EF9"/>
    <w:rsid w:val="006A61C0"/>
    <w:rsid w:val="006A6C73"/>
    <w:rsid w:val="006A6DBF"/>
    <w:rsid w:val="006B0DED"/>
    <w:rsid w:val="006B143C"/>
    <w:rsid w:val="006B19DA"/>
    <w:rsid w:val="006B1CEF"/>
    <w:rsid w:val="006B3CAF"/>
    <w:rsid w:val="006B4F39"/>
    <w:rsid w:val="006B5F5B"/>
    <w:rsid w:val="006B63DB"/>
    <w:rsid w:val="006B69E0"/>
    <w:rsid w:val="006B6CBB"/>
    <w:rsid w:val="006B7E39"/>
    <w:rsid w:val="006C0083"/>
    <w:rsid w:val="006C1000"/>
    <w:rsid w:val="006C3E85"/>
    <w:rsid w:val="006C4CF2"/>
    <w:rsid w:val="006C65D0"/>
    <w:rsid w:val="006C699B"/>
    <w:rsid w:val="006C7240"/>
    <w:rsid w:val="006D0127"/>
    <w:rsid w:val="006D06C6"/>
    <w:rsid w:val="006D1913"/>
    <w:rsid w:val="006D309C"/>
    <w:rsid w:val="006D4CAD"/>
    <w:rsid w:val="006D4F61"/>
    <w:rsid w:val="006D5A9D"/>
    <w:rsid w:val="006D6026"/>
    <w:rsid w:val="006D76BC"/>
    <w:rsid w:val="006D7B1C"/>
    <w:rsid w:val="006D7B2E"/>
    <w:rsid w:val="006E01D0"/>
    <w:rsid w:val="006E1214"/>
    <w:rsid w:val="006E13C2"/>
    <w:rsid w:val="006E13DD"/>
    <w:rsid w:val="006E1E56"/>
    <w:rsid w:val="006E282C"/>
    <w:rsid w:val="006E3989"/>
    <w:rsid w:val="006E5380"/>
    <w:rsid w:val="006E5A83"/>
    <w:rsid w:val="006E638B"/>
    <w:rsid w:val="006E6654"/>
    <w:rsid w:val="006E667E"/>
    <w:rsid w:val="006E6DCC"/>
    <w:rsid w:val="006E701D"/>
    <w:rsid w:val="006E77DB"/>
    <w:rsid w:val="006E7CCC"/>
    <w:rsid w:val="006F0B9C"/>
    <w:rsid w:val="006F15ED"/>
    <w:rsid w:val="006F385D"/>
    <w:rsid w:val="006F3867"/>
    <w:rsid w:val="006F38A1"/>
    <w:rsid w:val="006F4183"/>
    <w:rsid w:val="006F5E4F"/>
    <w:rsid w:val="006F66C2"/>
    <w:rsid w:val="006F67E1"/>
    <w:rsid w:val="006F715C"/>
    <w:rsid w:val="00701B72"/>
    <w:rsid w:val="007026FF"/>
    <w:rsid w:val="00702FA9"/>
    <w:rsid w:val="00703138"/>
    <w:rsid w:val="0070396C"/>
    <w:rsid w:val="00704716"/>
    <w:rsid w:val="007052BA"/>
    <w:rsid w:val="00705458"/>
    <w:rsid w:val="00705A58"/>
    <w:rsid w:val="0070628F"/>
    <w:rsid w:val="00706477"/>
    <w:rsid w:val="007066AD"/>
    <w:rsid w:val="0070689F"/>
    <w:rsid w:val="00710540"/>
    <w:rsid w:val="00712522"/>
    <w:rsid w:val="0071300A"/>
    <w:rsid w:val="00713830"/>
    <w:rsid w:val="00715168"/>
    <w:rsid w:val="00715550"/>
    <w:rsid w:val="007166DC"/>
    <w:rsid w:val="00717B99"/>
    <w:rsid w:val="00720B37"/>
    <w:rsid w:val="00720B42"/>
    <w:rsid w:val="00721830"/>
    <w:rsid w:val="007228A9"/>
    <w:rsid w:val="00722E57"/>
    <w:rsid w:val="007277BC"/>
    <w:rsid w:val="00734863"/>
    <w:rsid w:val="007355FE"/>
    <w:rsid w:val="00736571"/>
    <w:rsid w:val="007366AC"/>
    <w:rsid w:val="00737544"/>
    <w:rsid w:val="007402B9"/>
    <w:rsid w:val="007404CA"/>
    <w:rsid w:val="00740BF5"/>
    <w:rsid w:val="00741823"/>
    <w:rsid w:val="00741B88"/>
    <w:rsid w:val="007425F4"/>
    <w:rsid w:val="00742838"/>
    <w:rsid w:val="00742C03"/>
    <w:rsid w:val="007435D4"/>
    <w:rsid w:val="00744AE9"/>
    <w:rsid w:val="00745393"/>
    <w:rsid w:val="007464DC"/>
    <w:rsid w:val="00747635"/>
    <w:rsid w:val="007479B3"/>
    <w:rsid w:val="007479E9"/>
    <w:rsid w:val="00747FB9"/>
    <w:rsid w:val="00751244"/>
    <w:rsid w:val="00751B36"/>
    <w:rsid w:val="00752374"/>
    <w:rsid w:val="0075257B"/>
    <w:rsid w:val="00752740"/>
    <w:rsid w:val="00752FAF"/>
    <w:rsid w:val="00753366"/>
    <w:rsid w:val="007536C4"/>
    <w:rsid w:val="00753ED2"/>
    <w:rsid w:val="00754784"/>
    <w:rsid w:val="007567E1"/>
    <w:rsid w:val="00756A29"/>
    <w:rsid w:val="007572DD"/>
    <w:rsid w:val="007577F9"/>
    <w:rsid w:val="00760508"/>
    <w:rsid w:val="00760DC1"/>
    <w:rsid w:val="00761D6B"/>
    <w:rsid w:val="0076201C"/>
    <w:rsid w:val="00762ACB"/>
    <w:rsid w:val="00765D5D"/>
    <w:rsid w:val="0076755D"/>
    <w:rsid w:val="00771B0D"/>
    <w:rsid w:val="0077359F"/>
    <w:rsid w:val="007738B9"/>
    <w:rsid w:val="00775299"/>
    <w:rsid w:val="007758AD"/>
    <w:rsid w:val="00775E1F"/>
    <w:rsid w:val="00776932"/>
    <w:rsid w:val="0078331F"/>
    <w:rsid w:val="00783D1F"/>
    <w:rsid w:val="00784A41"/>
    <w:rsid w:val="0078523F"/>
    <w:rsid w:val="0078537E"/>
    <w:rsid w:val="00786B35"/>
    <w:rsid w:val="00786CC5"/>
    <w:rsid w:val="00787F07"/>
    <w:rsid w:val="0079082E"/>
    <w:rsid w:val="00791F44"/>
    <w:rsid w:val="00792095"/>
    <w:rsid w:val="0079355E"/>
    <w:rsid w:val="00793917"/>
    <w:rsid w:val="007945E9"/>
    <w:rsid w:val="0079496D"/>
    <w:rsid w:val="00796099"/>
    <w:rsid w:val="00797828"/>
    <w:rsid w:val="00797AFA"/>
    <w:rsid w:val="007A3209"/>
    <w:rsid w:val="007A40C9"/>
    <w:rsid w:val="007A62B4"/>
    <w:rsid w:val="007B1750"/>
    <w:rsid w:val="007B228B"/>
    <w:rsid w:val="007B4FD9"/>
    <w:rsid w:val="007B56FE"/>
    <w:rsid w:val="007B6DCC"/>
    <w:rsid w:val="007B75B6"/>
    <w:rsid w:val="007B7FA2"/>
    <w:rsid w:val="007C0620"/>
    <w:rsid w:val="007C13D8"/>
    <w:rsid w:val="007C16BB"/>
    <w:rsid w:val="007C1FAF"/>
    <w:rsid w:val="007C3CC4"/>
    <w:rsid w:val="007C41F7"/>
    <w:rsid w:val="007C5662"/>
    <w:rsid w:val="007C6C94"/>
    <w:rsid w:val="007C7619"/>
    <w:rsid w:val="007C7EC4"/>
    <w:rsid w:val="007D007E"/>
    <w:rsid w:val="007D05AC"/>
    <w:rsid w:val="007D1EF9"/>
    <w:rsid w:val="007D4947"/>
    <w:rsid w:val="007D5593"/>
    <w:rsid w:val="007D5FB2"/>
    <w:rsid w:val="007D6261"/>
    <w:rsid w:val="007D63D8"/>
    <w:rsid w:val="007D785D"/>
    <w:rsid w:val="007E01B7"/>
    <w:rsid w:val="007E1B18"/>
    <w:rsid w:val="007E1B69"/>
    <w:rsid w:val="007E3891"/>
    <w:rsid w:val="007E394D"/>
    <w:rsid w:val="007E463D"/>
    <w:rsid w:val="007E46C0"/>
    <w:rsid w:val="007E4A46"/>
    <w:rsid w:val="007E4AED"/>
    <w:rsid w:val="007E5009"/>
    <w:rsid w:val="007E66A8"/>
    <w:rsid w:val="007F047B"/>
    <w:rsid w:val="007F0ABE"/>
    <w:rsid w:val="007F0B9C"/>
    <w:rsid w:val="007F17D7"/>
    <w:rsid w:val="007F4329"/>
    <w:rsid w:val="007F43ED"/>
    <w:rsid w:val="007F7087"/>
    <w:rsid w:val="007F750A"/>
    <w:rsid w:val="00800233"/>
    <w:rsid w:val="00801765"/>
    <w:rsid w:val="00801E93"/>
    <w:rsid w:val="00802C81"/>
    <w:rsid w:val="00802EEF"/>
    <w:rsid w:val="00803961"/>
    <w:rsid w:val="00804038"/>
    <w:rsid w:val="008052E8"/>
    <w:rsid w:val="008065E8"/>
    <w:rsid w:val="00810AF2"/>
    <w:rsid w:val="00810FDB"/>
    <w:rsid w:val="00814E67"/>
    <w:rsid w:val="00820467"/>
    <w:rsid w:val="008206A0"/>
    <w:rsid w:val="00820B34"/>
    <w:rsid w:val="00821130"/>
    <w:rsid w:val="008230BE"/>
    <w:rsid w:val="00823608"/>
    <w:rsid w:val="008239D6"/>
    <w:rsid w:val="00825630"/>
    <w:rsid w:val="008260D2"/>
    <w:rsid w:val="008310A4"/>
    <w:rsid w:val="008317F3"/>
    <w:rsid w:val="00832F0B"/>
    <w:rsid w:val="00832F7E"/>
    <w:rsid w:val="00833AE9"/>
    <w:rsid w:val="00833C3C"/>
    <w:rsid w:val="008364DA"/>
    <w:rsid w:val="00837C8A"/>
    <w:rsid w:val="00841B82"/>
    <w:rsid w:val="008426F6"/>
    <w:rsid w:val="008434F6"/>
    <w:rsid w:val="00843D6E"/>
    <w:rsid w:val="00844873"/>
    <w:rsid w:val="00844E89"/>
    <w:rsid w:val="00845E5D"/>
    <w:rsid w:val="00846630"/>
    <w:rsid w:val="00846941"/>
    <w:rsid w:val="00846BC3"/>
    <w:rsid w:val="00846FB9"/>
    <w:rsid w:val="00850936"/>
    <w:rsid w:val="00850DEA"/>
    <w:rsid w:val="00851403"/>
    <w:rsid w:val="008517D5"/>
    <w:rsid w:val="00852813"/>
    <w:rsid w:val="00852D9E"/>
    <w:rsid w:val="0085407C"/>
    <w:rsid w:val="00854614"/>
    <w:rsid w:val="008551DA"/>
    <w:rsid w:val="00856516"/>
    <w:rsid w:val="008568DA"/>
    <w:rsid w:val="00856B13"/>
    <w:rsid w:val="00862857"/>
    <w:rsid w:val="00863177"/>
    <w:rsid w:val="00865962"/>
    <w:rsid w:val="0086624E"/>
    <w:rsid w:val="00866708"/>
    <w:rsid w:val="0087086E"/>
    <w:rsid w:val="00872282"/>
    <w:rsid w:val="00873196"/>
    <w:rsid w:val="00873BAE"/>
    <w:rsid w:val="00873FD0"/>
    <w:rsid w:val="008745DA"/>
    <w:rsid w:val="00875106"/>
    <w:rsid w:val="00876DB7"/>
    <w:rsid w:val="008772E6"/>
    <w:rsid w:val="00877807"/>
    <w:rsid w:val="0088045F"/>
    <w:rsid w:val="00881E5F"/>
    <w:rsid w:val="0088368B"/>
    <w:rsid w:val="00884602"/>
    <w:rsid w:val="00884DC8"/>
    <w:rsid w:val="00886156"/>
    <w:rsid w:val="0088645E"/>
    <w:rsid w:val="00886722"/>
    <w:rsid w:val="008908D5"/>
    <w:rsid w:val="008922C0"/>
    <w:rsid w:val="00893CD5"/>
    <w:rsid w:val="00897A03"/>
    <w:rsid w:val="008A0239"/>
    <w:rsid w:val="008A063F"/>
    <w:rsid w:val="008A1F9E"/>
    <w:rsid w:val="008A202C"/>
    <w:rsid w:val="008A28AC"/>
    <w:rsid w:val="008A3493"/>
    <w:rsid w:val="008A4ACD"/>
    <w:rsid w:val="008A5070"/>
    <w:rsid w:val="008A54A1"/>
    <w:rsid w:val="008A5E30"/>
    <w:rsid w:val="008A64A8"/>
    <w:rsid w:val="008A6F43"/>
    <w:rsid w:val="008B0122"/>
    <w:rsid w:val="008B08D3"/>
    <w:rsid w:val="008B0C04"/>
    <w:rsid w:val="008B0F08"/>
    <w:rsid w:val="008B0FFC"/>
    <w:rsid w:val="008B15AE"/>
    <w:rsid w:val="008B1C78"/>
    <w:rsid w:val="008B239B"/>
    <w:rsid w:val="008B54FD"/>
    <w:rsid w:val="008B555D"/>
    <w:rsid w:val="008B592B"/>
    <w:rsid w:val="008B5997"/>
    <w:rsid w:val="008B5A19"/>
    <w:rsid w:val="008B5A7F"/>
    <w:rsid w:val="008B5D3A"/>
    <w:rsid w:val="008B71B7"/>
    <w:rsid w:val="008B7555"/>
    <w:rsid w:val="008B7611"/>
    <w:rsid w:val="008B7CCE"/>
    <w:rsid w:val="008C01DB"/>
    <w:rsid w:val="008C0E18"/>
    <w:rsid w:val="008C0F3E"/>
    <w:rsid w:val="008C1239"/>
    <w:rsid w:val="008C371B"/>
    <w:rsid w:val="008C41D5"/>
    <w:rsid w:val="008C6075"/>
    <w:rsid w:val="008C6AC2"/>
    <w:rsid w:val="008C74AB"/>
    <w:rsid w:val="008C7718"/>
    <w:rsid w:val="008D1462"/>
    <w:rsid w:val="008D28B0"/>
    <w:rsid w:val="008D28B4"/>
    <w:rsid w:val="008D4E99"/>
    <w:rsid w:val="008D4F76"/>
    <w:rsid w:val="008D534F"/>
    <w:rsid w:val="008D6695"/>
    <w:rsid w:val="008E003D"/>
    <w:rsid w:val="008E027E"/>
    <w:rsid w:val="008E0C2F"/>
    <w:rsid w:val="008E0D1E"/>
    <w:rsid w:val="008E0D3D"/>
    <w:rsid w:val="008E1E5E"/>
    <w:rsid w:val="008E2206"/>
    <w:rsid w:val="008E313F"/>
    <w:rsid w:val="008E326F"/>
    <w:rsid w:val="008E3826"/>
    <w:rsid w:val="008E3C71"/>
    <w:rsid w:val="008E536B"/>
    <w:rsid w:val="008E5370"/>
    <w:rsid w:val="008E6D3E"/>
    <w:rsid w:val="008E708F"/>
    <w:rsid w:val="008E77A7"/>
    <w:rsid w:val="008F1CA1"/>
    <w:rsid w:val="008F31FF"/>
    <w:rsid w:val="008F3A2E"/>
    <w:rsid w:val="008F3C2C"/>
    <w:rsid w:val="008F3D83"/>
    <w:rsid w:val="008F490B"/>
    <w:rsid w:val="008F7D32"/>
    <w:rsid w:val="0090006E"/>
    <w:rsid w:val="009000F7"/>
    <w:rsid w:val="00900E97"/>
    <w:rsid w:val="00903DE7"/>
    <w:rsid w:val="00903EAB"/>
    <w:rsid w:val="009043D5"/>
    <w:rsid w:val="0090622A"/>
    <w:rsid w:val="009069CC"/>
    <w:rsid w:val="00910268"/>
    <w:rsid w:val="009105D6"/>
    <w:rsid w:val="009108B0"/>
    <w:rsid w:val="00911366"/>
    <w:rsid w:val="00912582"/>
    <w:rsid w:val="009128DD"/>
    <w:rsid w:val="00912C06"/>
    <w:rsid w:val="0091366F"/>
    <w:rsid w:val="0091474B"/>
    <w:rsid w:val="00917D6C"/>
    <w:rsid w:val="00920030"/>
    <w:rsid w:val="0092006B"/>
    <w:rsid w:val="00921076"/>
    <w:rsid w:val="00921531"/>
    <w:rsid w:val="00921841"/>
    <w:rsid w:val="00921D5E"/>
    <w:rsid w:val="00922D38"/>
    <w:rsid w:val="00923084"/>
    <w:rsid w:val="00924868"/>
    <w:rsid w:val="00924D3D"/>
    <w:rsid w:val="00931F15"/>
    <w:rsid w:val="00932157"/>
    <w:rsid w:val="009323E1"/>
    <w:rsid w:val="00933C77"/>
    <w:rsid w:val="009348B1"/>
    <w:rsid w:val="00934EE5"/>
    <w:rsid w:val="00935A4F"/>
    <w:rsid w:val="00936360"/>
    <w:rsid w:val="0093675C"/>
    <w:rsid w:val="009367A8"/>
    <w:rsid w:val="009373C9"/>
    <w:rsid w:val="009376D5"/>
    <w:rsid w:val="00940050"/>
    <w:rsid w:val="009400EE"/>
    <w:rsid w:val="00940200"/>
    <w:rsid w:val="009404A6"/>
    <w:rsid w:val="00940B80"/>
    <w:rsid w:val="00940CE9"/>
    <w:rsid w:val="00942498"/>
    <w:rsid w:val="00943102"/>
    <w:rsid w:val="009431BD"/>
    <w:rsid w:val="00944D37"/>
    <w:rsid w:val="009451CC"/>
    <w:rsid w:val="009452A5"/>
    <w:rsid w:val="00945435"/>
    <w:rsid w:val="009464CB"/>
    <w:rsid w:val="00952078"/>
    <w:rsid w:val="0095291C"/>
    <w:rsid w:val="00952A42"/>
    <w:rsid w:val="00953D7B"/>
    <w:rsid w:val="00953F65"/>
    <w:rsid w:val="00954C29"/>
    <w:rsid w:val="00954C70"/>
    <w:rsid w:val="0095591B"/>
    <w:rsid w:val="00955FCC"/>
    <w:rsid w:val="00956FE8"/>
    <w:rsid w:val="0095710B"/>
    <w:rsid w:val="009578B7"/>
    <w:rsid w:val="00957E23"/>
    <w:rsid w:val="009623F8"/>
    <w:rsid w:val="009633F1"/>
    <w:rsid w:val="00963D5A"/>
    <w:rsid w:val="009644CC"/>
    <w:rsid w:val="009651DA"/>
    <w:rsid w:val="00965763"/>
    <w:rsid w:val="00965796"/>
    <w:rsid w:val="0096695C"/>
    <w:rsid w:val="00966BEC"/>
    <w:rsid w:val="00967D7E"/>
    <w:rsid w:val="009739AB"/>
    <w:rsid w:val="00974ABA"/>
    <w:rsid w:val="009760C0"/>
    <w:rsid w:val="00976BDE"/>
    <w:rsid w:val="00976C69"/>
    <w:rsid w:val="009775EB"/>
    <w:rsid w:val="0098004C"/>
    <w:rsid w:val="00980319"/>
    <w:rsid w:val="00982487"/>
    <w:rsid w:val="009834B9"/>
    <w:rsid w:val="00983559"/>
    <w:rsid w:val="00983D14"/>
    <w:rsid w:val="00984AD7"/>
    <w:rsid w:val="0098505B"/>
    <w:rsid w:val="009863A6"/>
    <w:rsid w:val="00986E58"/>
    <w:rsid w:val="00987213"/>
    <w:rsid w:val="0098779C"/>
    <w:rsid w:val="00987EBC"/>
    <w:rsid w:val="00990BC2"/>
    <w:rsid w:val="00991FF2"/>
    <w:rsid w:val="009944F6"/>
    <w:rsid w:val="009953C5"/>
    <w:rsid w:val="00995A29"/>
    <w:rsid w:val="00995CCF"/>
    <w:rsid w:val="009976D8"/>
    <w:rsid w:val="00997EC7"/>
    <w:rsid w:val="009A0E87"/>
    <w:rsid w:val="009A107C"/>
    <w:rsid w:val="009A2B84"/>
    <w:rsid w:val="009A2EF9"/>
    <w:rsid w:val="009A4B97"/>
    <w:rsid w:val="009A595C"/>
    <w:rsid w:val="009A5F76"/>
    <w:rsid w:val="009A6FBE"/>
    <w:rsid w:val="009A7ECD"/>
    <w:rsid w:val="009B008E"/>
    <w:rsid w:val="009B0A74"/>
    <w:rsid w:val="009B2F47"/>
    <w:rsid w:val="009B3809"/>
    <w:rsid w:val="009B3F4F"/>
    <w:rsid w:val="009B58FF"/>
    <w:rsid w:val="009B5B4F"/>
    <w:rsid w:val="009B650F"/>
    <w:rsid w:val="009B745E"/>
    <w:rsid w:val="009C00C4"/>
    <w:rsid w:val="009C04D4"/>
    <w:rsid w:val="009C06AA"/>
    <w:rsid w:val="009C16A3"/>
    <w:rsid w:val="009C2418"/>
    <w:rsid w:val="009C28FC"/>
    <w:rsid w:val="009C35D3"/>
    <w:rsid w:val="009C3EE6"/>
    <w:rsid w:val="009C4778"/>
    <w:rsid w:val="009C51F4"/>
    <w:rsid w:val="009C63A7"/>
    <w:rsid w:val="009C69A4"/>
    <w:rsid w:val="009C6C91"/>
    <w:rsid w:val="009C707E"/>
    <w:rsid w:val="009D0E9C"/>
    <w:rsid w:val="009D1233"/>
    <w:rsid w:val="009D2C8E"/>
    <w:rsid w:val="009D3806"/>
    <w:rsid w:val="009D455C"/>
    <w:rsid w:val="009D6607"/>
    <w:rsid w:val="009D6B9B"/>
    <w:rsid w:val="009D6E3B"/>
    <w:rsid w:val="009D76BA"/>
    <w:rsid w:val="009E0429"/>
    <w:rsid w:val="009E13B4"/>
    <w:rsid w:val="009E1FC5"/>
    <w:rsid w:val="009E228F"/>
    <w:rsid w:val="009E24BE"/>
    <w:rsid w:val="009E3618"/>
    <w:rsid w:val="009E3C0F"/>
    <w:rsid w:val="009E428D"/>
    <w:rsid w:val="009E5854"/>
    <w:rsid w:val="009E5A3D"/>
    <w:rsid w:val="009E6B11"/>
    <w:rsid w:val="009F0E28"/>
    <w:rsid w:val="009F218E"/>
    <w:rsid w:val="009F2B89"/>
    <w:rsid w:val="009F534B"/>
    <w:rsid w:val="009F5A8D"/>
    <w:rsid w:val="009F6E6A"/>
    <w:rsid w:val="009F7C86"/>
    <w:rsid w:val="00A006E5"/>
    <w:rsid w:val="00A015C1"/>
    <w:rsid w:val="00A015E9"/>
    <w:rsid w:val="00A02360"/>
    <w:rsid w:val="00A025F9"/>
    <w:rsid w:val="00A0380A"/>
    <w:rsid w:val="00A04F92"/>
    <w:rsid w:val="00A050FA"/>
    <w:rsid w:val="00A0534F"/>
    <w:rsid w:val="00A05569"/>
    <w:rsid w:val="00A05EF3"/>
    <w:rsid w:val="00A0737B"/>
    <w:rsid w:val="00A11DE5"/>
    <w:rsid w:val="00A123E0"/>
    <w:rsid w:val="00A12D76"/>
    <w:rsid w:val="00A1351E"/>
    <w:rsid w:val="00A135FC"/>
    <w:rsid w:val="00A13981"/>
    <w:rsid w:val="00A14CE2"/>
    <w:rsid w:val="00A15347"/>
    <w:rsid w:val="00A15489"/>
    <w:rsid w:val="00A16380"/>
    <w:rsid w:val="00A173E6"/>
    <w:rsid w:val="00A210CD"/>
    <w:rsid w:val="00A219F4"/>
    <w:rsid w:val="00A230DB"/>
    <w:rsid w:val="00A23549"/>
    <w:rsid w:val="00A23D60"/>
    <w:rsid w:val="00A24F34"/>
    <w:rsid w:val="00A25B62"/>
    <w:rsid w:val="00A26500"/>
    <w:rsid w:val="00A26799"/>
    <w:rsid w:val="00A27FC2"/>
    <w:rsid w:val="00A3075C"/>
    <w:rsid w:val="00A30F43"/>
    <w:rsid w:val="00A33E37"/>
    <w:rsid w:val="00A33E64"/>
    <w:rsid w:val="00A34134"/>
    <w:rsid w:val="00A34A06"/>
    <w:rsid w:val="00A35075"/>
    <w:rsid w:val="00A36FDA"/>
    <w:rsid w:val="00A372A4"/>
    <w:rsid w:val="00A376E9"/>
    <w:rsid w:val="00A37A3E"/>
    <w:rsid w:val="00A37C26"/>
    <w:rsid w:val="00A40BCB"/>
    <w:rsid w:val="00A40DEC"/>
    <w:rsid w:val="00A4120A"/>
    <w:rsid w:val="00A41CD5"/>
    <w:rsid w:val="00A427B5"/>
    <w:rsid w:val="00A42A37"/>
    <w:rsid w:val="00A42A50"/>
    <w:rsid w:val="00A42CE3"/>
    <w:rsid w:val="00A4422B"/>
    <w:rsid w:val="00A450C4"/>
    <w:rsid w:val="00A4553B"/>
    <w:rsid w:val="00A45899"/>
    <w:rsid w:val="00A470BD"/>
    <w:rsid w:val="00A47D02"/>
    <w:rsid w:val="00A50430"/>
    <w:rsid w:val="00A504E2"/>
    <w:rsid w:val="00A51514"/>
    <w:rsid w:val="00A53513"/>
    <w:rsid w:val="00A57AED"/>
    <w:rsid w:val="00A60FAC"/>
    <w:rsid w:val="00A621BC"/>
    <w:rsid w:val="00A626F0"/>
    <w:rsid w:val="00A63C1D"/>
    <w:rsid w:val="00A64487"/>
    <w:rsid w:val="00A64DD2"/>
    <w:rsid w:val="00A64E58"/>
    <w:rsid w:val="00A650DB"/>
    <w:rsid w:val="00A65BFB"/>
    <w:rsid w:val="00A66246"/>
    <w:rsid w:val="00A663D1"/>
    <w:rsid w:val="00A66F21"/>
    <w:rsid w:val="00A66F90"/>
    <w:rsid w:val="00A67F3B"/>
    <w:rsid w:val="00A73143"/>
    <w:rsid w:val="00A734CF"/>
    <w:rsid w:val="00A7378E"/>
    <w:rsid w:val="00A74A62"/>
    <w:rsid w:val="00A7501C"/>
    <w:rsid w:val="00A751DE"/>
    <w:rsid w:val="00A754EC"/>
    <w:rsid w:val="00A75838"/>
    <w:rsid w:val="00A76769"/>
    <w:rsid w:val="00A7750C"/>
    <w:rsid w:val="00A77FF8"/>
    <w:rsid w:val="00A80F0C"/>
    <w:rsid w:val="00A81480"/>
    <w:rsid w:val="00A81C79"/>
    <w:rsid w:val="00A81F5C"/>
    <w:rsid w:val="00A82523"/>
    <w:rsid w:val="00A84BF6"/>
    <w:rsid w:val="00A84EF1"/>
    <w:rsid w:val="00A858F5"/>
    <w:rsid w:val="00A86A8C"/>
    <w:rsid w:val="00A86DF5"/>
    <w:rsid w:val="00A90249"/>
    <w:rsid w:val="00A94591"/>
    <w:rsid w:val="00A94CE2"/>
    <w:rsid w:val="00A952BB"/>
    <w:rsid w:val="00A9655C"/>
    <w:rsid w:val="00A9676E"/>
    <w:rsid w:val="00A972F7"/>
    <w:rsid w:val="00AA00EB"/>
    <w:rsid w:val="00AA134C"/>
    <w:rsid w:val="00AA17AF"/>
    <w:rsid w:val="00AA2029"/>
    <w:rsid w:val="00AA2582"/>
    <w:rsid w:val="00AA38DD"/>
    <w:rsid w:val="00AA4B9A"/>
    <w:rsid w:val="00AA4E1C"/>
    <w:rsid w:val="00AA5B45"/>
    <w:rsid w:val="00AA6190"/>
    <w:rsid w:val="00AB0175"/>
    <w:rsid w:val="00AB0CAE"/>
    <w:rsid w:val="00AB1581"/>
    <w:rsid w:val="00AB1ECE"/>
    <w:rsid w:val="00AB2144"/>
    <w:rsid w:val="00AB2678"/>
    <w:rsid w:val="00AB2AC0"/>
    <w:rsid w:val="00AB3135"/>
    <w:rsid w:val="00AB3DE8"/>
    <w:rsid w:val="00AB4024"/>
    <w:rsid w:val="00AB4B1E"/>
    <w:rsid w:val="00AB59B3"/>
    <w:rsid w:val="00AB69CB"/>
    <w:rsid w:val="00AB6DFF"/>
    <w:rsid w:val="00AB7E02"/>
    <w:rsid w:val="00AC005A"/>
    <w:rsid w:val="00AC1493"/>
    <w:rsid w:val="00AC1514"/>
    <w:rsid w:val="00AC1872"/>
    <w:rsid w:val="00AC22C5"/>
    <w:rsid w:val="00AC2B66"/>
    <w:rsid w:val="00AC5A39"/>
    <w:rsid w:val="00AC5A4A"/>
    <w:rsid w:val="00AC68F5"/>
    <w:rsid w:val="00AC6906"/>
    <w:rsid w:val="00AC6C37"/>
    <w:rsid w:val="00AC724F"/>
    <w:rsid w:val="00AC779A"/>
    <w:rsid w:val="00AD05D5"/>
    <w:rsid w:val="00AD0AE5"/>
    <w:rsid w:val="00AD0D1C"/>
    <w:rsid w:val="00AD105C"/>
    <w:rsid w:val="00AD4AA4"/>
    <w:rsid w:val="00AD6215"/>
    <w:rsid w:val="00AD63DE"/>
    <w:rsid w:val="00AD7869"/>
    <w:rsid w:val="00AE0AE6"/>
    <w:rsid w:val="00AE0FC9"/>
    <w:rsid w:val="00AE231E"/>
    <w:rsid w:val="00AE383C"/>
    <w:rsid w:val="00AE398D"/>
    <w:rsid w:val="00AE4702"/>
    <w:rsid w:val="00AE4A4E"/>
    <w:rsid w:val="00AE4E13"/>
    <w:rsid w:val="00AF0711"/>
    <w:rsid w:val="00AF09A5"/>
    <w:rsid w:val="00AF1B40"/>
    <w:rsid w:val="00AF3292"/>
    <w:rsid w:val="00AF34DD"/>
    <w:rsid w:val="00AF35CB"/>
    <w:rsid w:val="00AF369F"/>
    <w:rsid w:val="00AF3E0B"/>
    <w:rsid w:val="00AF4F04"/>
    <w:rsid w:val="00AF550F"/>
    <w:rsid w:val="00B00676"/>
    <w:rsid w:val="00B00C40"/>
    <w:rsid w:val="00B00C9A"/>
    <w:rsid w:val="00B0120A"/>
    <w:rsid w:val="00B0214F"/>
    <w:rsid w:val="00B024E7"/>
    <w:rsid w:val="00B04E91"/>
    <w:rsid w:val="00B050E7"/>
    <w:rsid w:val="00B06C5F"/>
    <w:rsid w:val="00B0770B"/>
    <w:rsid w:val="00B10784"/>
    <w:rsid w:val="00B135E9"/>
    <w:rsid w:val="00B137D4"/>
    <w:rsid w:val="00B1528D"/>
    <w:rsid w:val="00B15300"/>
    <w:rsid w:val="00B158F6"/>
    <w:rsid w:val="00B15A38"/>
    <w:rsid w:val="00B15B29"/>
    <w:rsid w:val="00B16388"/>
    <w:rsid w:val="00B1645C"/>
    <w:rsid w:val="00B16616"/>
    <w:rsid w:val="00B173D7"/>
    <w:rsid w:val="00B173E4"/>
    <w:rsid w:val="00B173FC"/>
    <w:rsid w:val="00B207D1"/>
    <w:rsid w:val="00B2099C"/>
    <w:rsid w:val="00B211C3"/>
    <w:rsid w:val="00B218C5"/>
    <w:rsid w:val="00B21C62"/>
    <w:rsid w:val="00B21EFD"/>
    <w:rsid w:val="00B22A0F"/>
    <w:rsid w:val="00B22A84"/>
    <w:rsid w:val="00B2397C"/>
    <w:rsid w:val="00B239AB"/>
    <w:rsid w:val="00B23A90"/>
    <w:rsid w:val="00B23BD6"/>
    <w:rsid w:val="00B241F5"/>
    <w:rsid w:val="00B24438"/>
    <w:rsid w:val="00B24484"/>
    <w:rsid w:val="00B25160"/>
    <w:rsid w:val="00B25FDE"/>
    <w:rsid w:val="00B262BB"/>
    <w:rsid w:val="00B312FC"/>
    <w:rsid w:val="00B33625"/>
    <w:rsid w:val="00B35EC1"/>
    <w:rsid w:val="00B40BEE"/>
    <w:rsid w:val="00B41C1A"/>
    <w:rsid w:val="00B41F39"/>
    <w:rsid w:val="00B41FE4"/>
    <w:rsid w:val="00B4556A"/>
    <w:rsid w:val="00B46310"/>
    <w:rsid w:val="00B4661F"/>
    <w:rsid w:val="00B46CE2"/>
    <w:rsid w:val="00B478AF"/>
    <w:rsid w:val="00B47A63"/>
    <w:rsid w:val="00B508B4"/>
    <w:rsid w:val="00B52F2B"/>
    <w:rsid w:val="00B54506"/>
    <w:rsid w:val="00B64082"/>
    <w:rsid w:val="00B656A6"/>
    <w:rsid w:val="00B65844"/>
    <w:rsid w:val="00B66886"/>
    <w:rsid w:val="00B66B87"/>
    <w:rsid w:val="00B67588"/>
    <w:rsid w:val="00B67D3C"/>
    <w:rsid w:val="00B7113C"/>
    <w:rsid w:val="00B712F4"/>
    <w:rsid w:val="00B7140D"/>
    <w:rsid w:val="00B7178F"/>
    <w:rsid w:val="00B71991"/>
    <w:rsid w:val="00B71BEB"/>
    <w:rsid w:val="00B725E9"/>
    <w:rsid w:val="00B73462"/>
    <w:rsid w:val="00B73710"/>
    <w:rsid w:val="00B76382"/>
    <w:rsid w:val="00B77811"/>
    <w:rsid w:val="00B77FC1"/>
    <w:rsid w:val="00B804F3"/>
    <w:rsid w:val="00B81479"/>
    <w:rsid w:val="00B820F3"/>
    <w:rsid w:val="00B82950"/>
    <w:rsid w:val="00B83487"/>
    <w:rsid w:val="00B83FBF"/>
    <w:rsid w:val="00B86800"/>
    <w:rsid w:val="00B91E97"/>
    <w:rsid w:val="00B92B3B"/>
    <w:rsid w:val="00B948D2"/>
    <w:rsid w:val="00B94ADC"/>
    <w:rsid w:val="00B95438"/>
    <w:rsid w:val="00B96189"/>
    <w:rsid w:val="00B961A2"/>
    <w:rsid w:val="00B96B78"/>
    <w:rsid w:val="00B972CB"/>
    <w:rsid w:val="00B97364"/>
    <w:rsid w:val="00B97E5B"/>
    <w:rsid w:val="00BA0137"/>
    <w:rsid w:val="00BA1448"/>
    <w:rsid w:val="00BA1DE5"/>
    <w:rsid w:val="00BA2483"/>
    <w:rsid w:val="00BA298D"/>
    <w:rsid w:val="00BA41F1"/>
    <w:rsid w:val="00BA4DC5"/>
    <w:rsid w:val="00BA6565"/>
    <w:rsid w:val="00BA75BC"/>
    <w:rsid w:val="00BA76A8"/>
    <w:rsid w:val="00BA780C"/>
    <w:rsid w:val="00BA7F66"/>
    <w:rsid w:val="00BB121B"/>
    <w:rsid w:val="00BB2965"/>
    <w:rsid w:val="00BB2EEF"/>
    <w:rsid w:val="00BB30BD"/>
    <w:rsid w:val="00BB3195"/>
    <w:rsid w:val="00BB39EA"/>
    <w:rsid w:val="00BB3FFF"/>
    <w:rsid w:val="00BB49DF"/>
    <w:rsid w:val="00BB5845"/>
    <w:rsid w:val="00BB6613"/>
    <w:rsid w:val="00BB6B64"/>
    <w:rsid w:val="00BB6BBA"/>
    <w:rsid w:val="00BC002F"/>
    <w:rsid w:val="00BC0EFB"/>
    <w:rsid w:val="00BC1A95"/>
    <w:rsid w:val="00BC1CBB"/>
    <w:rsid w:val="00BC2237"/>
    <w:rsid w:val="00BC29BE"/>
    <w:rsid w:val="00BC3C1F"/>
    <w:rsid w:val="00BC3EA6"/>
    <w:rsid w:val="00BC53C4"/>
    <w:rsid w:val="00BC79FC"/>
    <w:rsid w:val="00BD0F62"/>
    <w:rsid w:val="00BD224C"/>
    <w:rsid w:val="00BD2423"/>
    <w:rsid w:val="00BD4C0A"/>
    <w:rsid w:val="00BD4C85"/>
    <w:rsid w:val="00BD54A8"/>
    <w:rsid w:val="00BD5B15"/>
    <w:rsid w:val="00BD5D22"/>
    <w:rsid w:val="00BD65DC"/>
    <w:rsid w:val="00BD69AD"/>
    <w:rsid w:val="00BE0CC8"/>
    <w:rsid w:val="00BE416E"/>
    <w:rsid w:val="00BE4FE6"/>
    <w:rsid w:val="00BE551F"/>
    <w:rsid w:val="00BE5C2C"/>
    <w:rsid w:val="00BE60F2"/>
    <w:rsid w:val="00BE61D8"/>
    <w:rsid w:val="00BE7A4C"/>
    <w:rsid w:val="00BF0090"/>
    <w:rsid w:val="00BF06F9"/>
    <w:rsid w:val="00BF44D9"/>
    <w:rsid w:val="00BF4DB0"/>
    <w:rsid w:val="00BF5043"/>
    <w:rsid w:val="00BF52A4"/>
    <w:rsid w:val="00BF7006"/>
    <w:rsid w:val="00C004C2"/>
    <w:rsid w:val="00C00546"/>
    <w:rsid w:val="00C054AE"/>
    <w:rsid w:val="00C05705"/>
    <w:rsid w:val="00C0598A"/>
    <w:rsid w:val="00C06335"/>
    <w:rsid w:val="00C07EF4"/>
    <w:rsid w:val="00C10AA3"/>
    <w:rsid w:val="00C10B9A"/>
    <w:rsid w:val="00C11315"/>
    <w:rsid w:val="00C11CD3"/>
    <w:rsid w:val="00C134DC"/>
    <w:rsid w:val="00C13774"/>
    <w:rsid w:val="00C1412E"/>
    <w:rsid w:val="00C16395"/>
    <w:rsid w:val="00C20A13"/>
    <w:rsid w:val="00C20D91"/>
    <w:rsid w:val="00C226E0"/>
    <w:rsid w:val="00C23D23"/>
    <w:rsid w:val="00C23DDD"/>
    <w:rsid w:val="00C24771"/>
    <w:rsid w:val="00C255B1"/>
    <w:rsid w:val="00C25706"/>
    <w:rsid w:val="00C25CA5"/>
    <w:rsid w:val="00C26740"/>
    <w:rsid w:val="00C26FB4"/>
    <w:rsid w:val="00C27AC9"/>
    <w:rsid w:val="00C30693"/>
    <w:rsid w:val="00C309D2"/>
    <w:rsid w:val="00C31A1B"/>
    <w:rsid w:val="00C32167"/>
    <w:rsid w:val="00C324AC"/>
    <w:rsid w:val="00C3269E"/>
    <w:rsid w:val="00C32B4A"/>
    <w:rsid w:val="00C33E01"/>
    <w:rsid w:val="00C34A93"/>
    <w:rsid w:val="00C34BCB"/>
    <w:rsid w:val="00C34F65"/>
    <w:rsid w:val="00C41440"/>
    <w:rsid w:val="00C415FE"/>
    <w:rsid w:val="00C4279D"/>
    <w:rsid w:val="00C43419"/>
    <w:rsid w:val="00C437B8"/>
    <w:rsid w:val="00C443DB"/>
    <w:rsid w:val="00C446BD"/>
    <w:rsid w:val="00C44EF0"/>
    <w:rsid w:val="00C45BAF"/>
    <w:rsid w:val="00C45F80"/>
    <w:rsid w:val="00C47848"/>
    <w:rsid w:val="00C51869"/>
    <w:rsid w:val="00C51A21"/>
    <w:rsid w:val="00C5239F"/>
    <w:rsid w:val="00C5243C"/>
    <w:rsid w:val="00C52F98"/>
    <w:rsid w:val="00C53098"/>
    <w:rsid w:val="00C531F2"/>
    <w:rsid w:val="00C5388A"/>
    <w:rsid w:val="00C5508A"/>
    <w:rsid w:val="00C56F68"/>
    <w:rsid w:val="00C57236"/>
    <w:rsid w:val="00C574A4"/>
    <w:rsid w:val="00C60150"/>
    <w:rsid w:val="00C601A8"/>
    <w:rsid w:val="00C621E7"/>
    <w:rsid w:val="00C642AB"/>
    <w:rsid w:val="00C645BB"/>
    <w:rsid w:val="00C65801"/>
    <w:rsid w:val="00C65BE7"/>
    <w:rsid w:val="00C67719"/>
    <w:rsid w:val="00C70000"/>
    <w:rsid w:val="00C701B8"/>
    <w:rsid w:val="00C70BDA"/>
    <w:rsid w:val="00C71022"/>
    <w:rsid w:val="00C71D9E"/>
    <w:rsid w:val="00C71E36"/>
    <w:rsid w:val="00C725A8"/>
    <w:rsid w:val="00C731E1"/>
    <w:rsid w:val="00C73DDD"/>
    <w:rsid w:val="00C7480E"/>
    <w:rsid w:val="00C74A5D"/>
    <w:rsid w:val="00C752AE"/>
    <w:rsid w:val="00C75F03"/>
    <w:rsid w:val="00C80392"/>
    <w:rsid w:val="00C80E6C"/>
    <w:rsid w:val="00C81270"/>
    <w:rsid w:val="00C8223D"/>
    <w:rsid w:val="00C82E17"/>
    <w:rsid w:val="00C83BB9"/>
    <w:rsid w:val="00C84C4C"/>
    <w:rsid w:val="00C870AB"/>
    <w:rsid w:val="00C91988"/>
    <w:rsid w:val="00C9374E"/>
    <w:rsid w:val="00C93A5D"/>
    <w:rsid w:val="00C944C1"/>
    <w:rsid w:val="00C94BE1"/>
    <w:rsid w:val="00C94FC5"/>
    <w:rsid w:val="00C97EF9"/>
    <w:rsid w:val="00CA0680"/>
    <w:rsid w:val="00CA1173"/>
    <w:rsid w:val="00CA1B47"/>
    <w:rsid w:val="00CA1F34"/>
    <w:rsid w:val="00CA5019"/>
    <w:rsid w:val="00CA7469"/>
    <w:rsid w:val="00CB0747"/>
    <w:rsid w:val="00CB1664"/>
    <w:rsid w:val="00CB1A67"/>
    <w:rsid w:val="00CB1CE1"/>
    <w:rsid w:val="00CB2874"/>
    <w:rsid w:val="00CB28D5"/>
    <w:rsid w:val="00CB37A2"/>
    <w:rsid w:val="00CB54DB"/>
    <w:rsid w:val="00CB614A"/>
    <w:rsid w:val="00CB64D8"/>
    <w:rsid w:val="00CB660B"/>
    <w:rsid w:val="00CB6912"/>
    <w:rsid w:val="00CC2088"/>
    <w:rsid w:val="00CC22F4"/>
    <w:rsid w:val="00CC30E7"/>
    <w:rsid w:val="00CC3508"/>
    <w:rsid w:val="00CC3E55"/>
    <w:rsid w:val="00CC47CE"/>
    <w:rsid w:val="00CC4B18"/>
    <w:rsid w:val="00CC5507"/>
    <w:rsid w:val="00CC7701"/>
    <w:rsid w:val="00CD019E"/>
    <w:rsid w:val="00CD1037"/>
    <w:rsid w:val="00CD51C5"/>
    <w:rsid w:val="00CD5629"/>
    <w:rsid w:val="00CD6867"/>
    <w:rsid w:val="00CD6891"/>
    <w:rsid w:val="00CD730E"/>
    <w:rsid w:val="00CD781F"/>
    <w:rsid w:val="00CE1381"/>
    <w:rsid w:val="00CE1472"/>
    <w:rsid w:val="00CE1DBD"/>
    <w:rsid w:val="00CE20F8"/>
    <w:rsid w:val="00CE232E"/>
    <w:rsid w:val="00CE2573"/>
    <w:rsid w:val="00CF0914"/>
    <w:rsid w:val="00CF53B6"/>
    <w:rsid w:val="00CF79B0"/>
    <w:rsid w:val="00D01FD4"/>
    <w:rsid w:val="00D02762"/>
    <w:rsid w:val="00D02E6D"/>
    <w:rsid w:val="00D02F00"/>
    <w:rsid w:val="00D03364"/>
    <w:rsid w:val="00D04ACD"/>
    <w:rsid w:val="00D061DF"/>
    <w:rsid w:val="00D06B63"/>
    <w:rsid w:val="00D07A11"/>
    <w:rsid w:val="00D1025B"/>
    <w:rsid w:val="00D112D2"/>
    <w:rsid w:val="00D1211A"/>
    <w:rsid w:val="00D129A2"/>
    <w:rsid w:val="00D14221"/>
    <w:rsid w:val="00D152D7"/>
    <w:rsid w:val="00D152FE"/>
    <w:rsid w:val="00D15DFE"/>
    <w:rsid w:val="00D15F31"/>
    <w:rsid w:val="00D16398"/>
    <w:rsid w:val="00D16E63"/>
    <w:rsid w:val="00D17564"/>
    <w:rsid w:val="00D211C1"/>
    <w:rsid w:val="00D222CB"/>
    <w:rsid w:val="00D22FF4"/>
    <w:rsid w:val="00D231CD"/>
    <w:rsid w:val="00D233CB"/>
    <w:rsid w:val="00D244FB"/>
    <w:rsid w:val="00D26131"/>
    <w:rsid w:val="00D2696B"/>
    <w:rsid w:val="00D272EE"/>
    <w:rsid w:val="00D306F2"/>
    <w:rsid w:val="00D312FF"/>
    <w:rsid w:val="00D31B0B"/>
    <w:rsid w:val="00D32E51"/>
    <w:rsid w:val="00D33D7F"/>
    <w:rsid w:val="00D347F4"/>
    <w:rsid w:val="00D34A48"/>
    <w:rsid w:val="00D3544F"/>
    <w:rsid w:val="00D367AC"/>
    <w:rsid w:val="00D371D1"/>
    <w:rsid w:val="00D3728C"/>
    <w:rsid w:val="00D37F37"/>
    <w:rsid w:val="00D448B1"/>
    <w:rsid w:val="00D44D3E"/>
    <w:rsid w:val="00D46067"/>
    <w:rsid w:val="00D469F8"/>
    <w:rsid w:val="00D46D7B"/>
    <w:rsid w:val="00D4750F"/>
    <w:rsid w:val="00D477A4"/>
    <w:rsid w:val="00D52761"/>
    <w:rsid w:val="00D52D17"/>
    <w:rsid w:val="00D52DEE"/>
    <w:rsid w:val="00D53534"/>
    <w:rsid w:val="00D53DAF"/>
    <w:rsid w:val="00D53EC4"/>
    <w:rsid w:val="00D5480E"/>
    <w:rsid w:val="00D560E6"/>
    <w:rsid w:val="00D60C3E"/>
    <w:rsid w:val="00D61451"/>
    <w:rsid w:val="00D61B26"/>
    <w:rsid w:val="00D62747"/>
    <w:rsid w:val="00D627E5"/>
    <w:rsid w:val="00D62ECF"/>
    <w:rsid w:val="00D63403"/>
    <w:rsid w:val="00D63625"/>
    <w:rsid w:val="00D64E5E"/>
    <w:rsid w:val="00D65BAA"/>
    <w:rsid w:val="00D66BB1"/>
    <w:rsid w:val="00D66CFF"/>
    <w:rsid w:val="00D67B84"/>
    <w:rsid w:val="00D67CCA"/>
    <w:rsid w:val="00D7047F"/>
    <w:rsid w:val="00D7048E"/>
    <w:rsid w:val="00D733D7"/>
    <w:rsid w:val="00D73697"/>
    <w:rsid w:val="00D73F4C"/>
    <w:rsid w:val="00D74554"/>
    <w:rsid w:val="00D76491"/>
    <w:rsid w:val="00D802A9"/>
    <w:rsid w:val="00D82074"/>
    <w:rsid w:val="00D8222C"/>
    <w:rsid w:val="00D822F3"/>
    <w:rsid w:val="00D8268B"/>
    <w:rsid w:val="00D827A0"/>
    <w:rsid w:val="00D82BD3"/>
    <w:rsid w:val="00D83F7B"/>
    <w:rsid w:val="00D84ADB"/>
    <w:rsid w:val="00D8588B"/>
    <w:rsid w:val="00D86441"/>
    <w:rsid w:val="00D86B5E"/>
    <w:rsid w:val="00D86D52"/>
    <w:rsid w:val="00D8739D"/>
    <w:rsid w:val="00D91206"/>
    <w:rsid w:val="00D92296"/>
    <w:rsid w:val="00D92306"/>
    <w:rsid w:val="00D9313C"/>
    <w:rsid w:val="00D93166"/>
    <w:rsid w:val="00D935FB"/>
    <w:rsid w:val="00D936D9"/>
    <w:rsid w:val="00D93CB1"/>
    <w:rsid w:val="00D9404B"/>
    <w:rsid w:val="00D945D3"/>
    <w:rsid w:val="00D9591A"/>
    <w:rsid w:val="00D9691A"/>
    <w:rsid w:val="00D96C93"/>
    <w:rsid w:val="00D978D1"/>
    <w:rsid w:val="00DA1253"/>
    <w:rsid w:val="00DA1602"/>
    <w:rsid w:val="00DA199E"/>
    <w:rsid w:val="00DA1B01"/>
    <w:rsid w:val="00DA2CC3"/>
    <w:rsid w:val="00DA3879"/>
    <w:rsid w:val="00DA47DF"/>
    <w:rsid w:val="00DA5803"/>
    <w:rsid w:val="00DA5D54"/>
    <w:rsid w:val="00DA60AB"/>
    <w:rsid w:val="00DA6690"/>
    <w:rsid w:val="00DA70F7"/>
    <w:rsid w:val="00DA7A42"/>
    <w:rsid w:val="00DB05AB"/>
    <w:rsid w:val="00DB1266"/>
    <w:rsid w:val="00DB2B00"/>
    <w:rsid w:val="00DB3C1A"/>
    <w:rsid w:val="00DB3C47"/>
    <w:rsid w:val="00DB4465"/>
    <w:rsid w:val="00DB454B"/>
    <w:rsid w:val="00DB4A75"/>
    <w:rsid w:val="00DB6116"/>
    <w:rsid w:val="00DB6ABC"/>
    <w:rsid w:val="00DB73A0"/>
    <w:rsid w:val="00DC0788"/>
    <w:rsid w:val="00DC08AA"/>
    <w:rsid w:val="00DC11D3"/>
    <w:rsid w:val="00DC12AD"/>
    <w:rsid w:val="00DC1C79"/>
    <w:rsid w:val="00DC38DF"/>
    <w:rsid w:val="00DC410F"/>
    <w:rsid w:val="00DC4FA2"/>
    <w:rsid w:val="00DC5733"/>
    <w:rsid w:val="00DC65F4"/>
    <w:rsid w:val="00DC6A3C"/>
    <w:rsid w:val="00DC6BEE"/>
    <w:rsid w:val="00DC6EDB"/>
    <w:rsid w:val="00DC7B3E"/>
    <w:rsid w:val="00DC7D9B"/>
    <w:rsid w:val="00DD0560"/>
    <w:rsid w:val="00DD164D"/>
    <w:rsid w:val="00DD1710"/>
    <w:rsid w:val="00DD1A4E"/>
    <w:rsid w:val="00DD309A"/>
    <w:rsid w:val="00DD42B1"/>
    <w:rsid w:val="00DD47E6"/>
    <w:rsid w:val="00DD6669"/>
    <w:rsid w:val="00DD70F9"/>
    <w:rsid w:val="00DE0F93"/>
    <w:rsid w:val="00DE1461"/>
    <w:rsid w:val="00DE14C7"/>
    <w:rsid w:val="00DE2213"/>
    <w:rsid w:val="00DE234B"/>
    <w:rsid w:val="00DE30E3"/>
    <w:rsid w:val="00DE340C"/>
    <w:rsid w:val="00DE50C3"/>
    <w:rsid w:val="00DE527A"/>
    <w:rsid w:val="00DE7E10"/>
    <w:rsid w:val="00DE7E9D"/>
    <w:rsid w:val="00DF198D"/>
    <w:rsid w:val="00DF279C"/>
    <w:rsid w:val="00DF2B94"/>
    <w:rsid w:val="00DF2C4B"/>
    <w:rsid w:val="00DF3907"/>
    <w:rsid w:val="00DF755D"/>
    <w:rsid w:val="00E00643"/>
    <w:rsid w:val="00E00C3F"/>
    <w:rsid w:val="00E00CBA"/>
    <w:rsid w:val="00E010CF"/>
    <w:rsid w:val="00E019D2"/>
    <w:rsid w:val="00E04A19"/>
    <w:rsid w:val="00E05012"/>
    <w:rsid w:val="00E05231"/>
    <w:rsid w:val="00E05552"/>
    <w:rsid w:val="00E070A7"/>
    <w:rsid w:val="00E07FD8"/>
    <w:rsid w:val="00E1182C"/>
    <w:rsid w:val="00E12479"/>
    <w:rsid w:val="00E126E1"/>
    <w:rsid w:val="00E12F4A"/>
    <w:rsid w:val="00E138D0"/>
    <w:rsid w:val="00E16DA2"/>
    <w:rsid w:val="00E21C54"/>
    <w:rsid w:val="00E2215D"/>
    <w:rsid w:val="00E226B3"/>
    <w:rsid w:val="00E234C8"/>
    <w:rsid w:val="00E23784"/>
    <w:rsid w:val="00E237C6"/>
    <w:rsid w:val="00E24060"/>
    <w:rsid w:val="00E24347"/>
    <w:rsid w:val="00E26A4A"/>
    <w:rsid w:val="00E27898"/>
    <w:rsid w:val="00E27FCB"/>
    <w:rsid w:val="00E3017B"/>
    <w:rsid w:val="00E32B35"/>
    <w:rsid w:val="00E3350E"/>
    <w:rsid w:val="00E33D13"/>
    <w:rsid w:val="00E33E98"/>
    <w:rsid w:val="00E34D50"/>
    <w:rsid w:val="00E3594D"/>
    <w:rsid w:val="00E367F0"/>
    <w:rsid w:val="00E3728E"/>
    <w:rsid w:val="00E376D1"/>
    <w:rsid w:val="00E37EFD"/>
    <w:rsid w:val="00E40960"/>
    <w:rsid w:val="00E418C3"/>
    <w:rsid w:val="00E43E0D"/>
    <w:rsid w:val="00E44923"/>
    <w:rsid w:val="00E45A1C"/>
    <w:rsid w:val="00E464D2"/>
    <w:rsid w:val="00E4773A"/>
    <w:rsid w:val="00E5076F"/>
    <w:rsid w:val="00E52E37"/>
    <w:rsid w:val="00E531CF"/>
    <w:rsid w:val="00E53329"/>
    <w:rsid w:val="00E5411C"/>
    <w:rsid w:val="00E5523B"/>
    <w:rsid w:val="00E56777"/>
    <w:rsid w:val="00E57775"/>
    <w:rsid w:val="00E57819"/>
    <w:rsid w:val="00E603CC"/>
    <w:rsid w:val="00E60706"/>
    <w:rsid w:val="00E60F59"/>
    <w:rsid w:val="00E62038"/>
    <w:rsid w:val="00E63F16"/>
    <w:rsid w:val="00E6452B"/>
    <w:rsid w:val="00E65252"/>
    <w:rsid w:val="00E652FC"/>
    <w:rsid w:val="00E65402"/>
    <w:rsid w:val="00E65CB1"/>
    <w:rsid w:val="00E65E3A"/>
    <w:rsid w:val="00E677EF"/>
    <w:rsid w:val="00E678C0"/>
    <w:rsid w:val="00E70F1D"/>
    <w:rsid w:val="00E7147F"/>
    <w:rsid w:val="00E71BC8"/>
    <w:rsid w:val="00E720A8"/>
    <w:rsid w:val="00E739DC"/>
    <w:rsid w:val="00E747B8"/>
    <w:rsid w:val="00E7515D"/>
    <w:rsid w:val="00E75410"/>
    <w:rsid w:val="00E76222"/>
    <w:rsid w:val="00E812ED"/>
    <w:rsid w:val="00E82556"/>
    <w:rsid w:val="00E845D3"/>
    <w:rsid w:val="00E847E5"/>
    <w:rsid w:val="00E84B96"/>
    <w:rsid w:val="00E858BD"/>
    <w:rsid w:val="00E85CE3"/>
    <w:rsid w:val="00E876D2"/>
    <w:rsid w:val="00E8774B"/>
    <w:rsid w:val="00E90BC5"/>
    <w:rsid w:val="00E90C2F"/>
    <w:rsid w:val="00E9215F"/>
    <w:rsid w:val="00E92254"/>
    <w:rsid w:val="00E934C3"/>
    <w:rsid w:val="00E9463B"/>
    <w:rsid w:val="00E94E6A"/>
    <w:rsid w:val="00E9512A"/>
    <w:rsid w:val="00E955DC"/>
    <w:rsid w:val="00E96B19"/>
    <w:rsid w:val="00E9703E"/>
    <w:rsid w:val="00E979B0"/>
    <w:rsid w:val="00EA2133"/>
    <w:rsid w:val="00EA3015"/>
    <w:rsid w:val="00EA394E"/>
    <w:rsid w:val="00EA3BD2"/>
    <w:rsid w:val="00EA4D38"/>
    <w:rsid w:val="00EA505A"/>
    <w:rsid w:val="00EA5126"/>
    <w:rsid w:val="00EA5799"/>
    <w:rsid w:val="00EA5C29"/>
    <w:rsid w:val="00EA5C36"/>
    <w:rsid w:val="00EA6129"/>
    <w:rsid w:val="00EA6FF5"/>
    <w:rsid w:val="00EA7170"/>
    <w:rsid w:val="00EA7B44"/>
    <w:rsid w:val="00EB0656"/>
    <w:rsid w:val="00EB086B"/>
    <w:rsid w:val="00EB0C78"/>
    <w:rsid w:val="00EB307D"/>
    <w:rsid w:val="00EB356C"/>
    <w:rsid w:val="00EB40BC"/>
    <w:rsid w:val="00EB4370"/>
    <w:rsid w:val="00EB46FC"/>
    <w:rsid w:val="00EB5356"/>
    <w:rsid w:val="00EB6AF6"/>
    <w:rsid w:val="00EB6C9F"/>
    <w:rsid w:val="00EB7DFA"/>
    <w:rsid w:val="00EC0A3F"/>
    <w:rsid w:val="00EC0BB3"/>
    <w:rsid w:val="00EC35D1"/>
    <w:rsid w:val="00EC384F"/>
    <w:rsid w:val="00EC38C2"/>
    <w:rsid w:val="00EC4486"/>
    <w:rsid w:val="00EC54F1"/>
    <w:rsid w:val="00EC62C0"/>
    <w:rsid w:val="00EC69F4"/>
    <w:rsid w:val="00ED012E"/>
    <w:rsid w:val="00ED1293"/>
    <w:rsid w:val="00ED1935"/>
    <w:rsid w:val="00ED2439"/>
    <w:rsid w:val="00ED29B1"/>
    <w:rsid w:val="00ED310B"/>
    <w:rsid w:val="00ED342C"/>
    <w:rsid w:val="00ED4836"/>
    <w:rsid w:val="00ED4FCE"/>
    <w:rsid w:val="00ED646D"/>
    <w:rsid w:val="00ED6F0B"/>
    <w:rsid w:val="00ED7268"/>
    <w:rsid w:val="00ED729D"/>
    <w:rsid w:val="00EE0D10"/>
    <w:rsid w:val="00EE1C9D"/>
    <w:rsid w:val="00EE2655"/>
    <w:rsid w:val="00EE2EDD"/>
    <w:rsid w:val="00EE378D"/>
    <w:rsid w:val="00EE4B61"/>
    <w:rsid w:val="00EE4BEF"/>
    <w:rsid w:val="00EE4D2D"/>
    <w:rsid w:val="00EE5FAB"/>
    <w:rsid w:val="00EE6043"/>
    <w:rsid w:val="00EE6D89"/>
    <w:rsid w:val="00EF03A5"/>
    <w:rsid w:val="00EF0AD7"/>
    <w:rsid w:val="00EF2505"/>
    <w:rsid w:val="00EF4895"/>
    <w:rsid w:val="00EF4AEC"/>
    <w:rsid w:val="00EF5B10"/>
    <w:rsid w:val="00EF6748"/>
    <w:rsid w:val="00EF70AF"/>
    <w:rsid w:val="00EF7D69"/>
    <w:rsid w:val="00F00F9A"/>
    <w:rsid w:val="00F014B0"/>
    <w:rsid w:val="00F02941"/>
    <w:rsid w:val="00F02BF3"/>
    <w:rsid w:val="00F03157"/>
    <w:rsid w:val="00F031C1"/>
    <w:rsid w:val="00F04569"/>
    <w:rsid w:val="00F046B3"/>
    <w:rsid w:val="00F05988"/>
    <w:rsid w:val="00F060E6"/>
    <w:rsid w:val="00F06634"/>
    <w:rsid w:val="00F0699A"/>
    <w:rsid w:val="00F0796F"/>
    <w:rsid w:val="00F07D85"/>
    <w:rsid w:val="00F1025F"/>
    <w:rsid w:val="00F10BAD"/>
    <w:rsid w:val="00F11DC8"/>
    <w:rsid w:val="00F1432E"/>
    <w:rsid w:val="00F14CB1"/>
    <w:rsid w:val="00F1609E"/>
    <w:rsid w:val="00F162DA"/>
    <w:rsid w:val="00F17993"/>
    <w:rsid w:val="00F179EE"/>
    <w:rsid w:val="00F21399"/>
    <w:rsid w:val="00F2204C"/>
    <w:rsid w:val="00F2364B"/>
    <w:rsid w:val="00F23842"/>
    <w:rsid w:val="00F23BAE"/>
    <w:rsid w:val="00F23C86"/>
    <w:rsid w:val="00F24424"/>
    <w:rsid w:val="00F27168"/>
    <w:rsid w:val="00F277A0"/>
    <w:rsid w:val="00F27DEB"/>
    <w:rsid w:val="00F305FB"/>
    <w:rsid w:val="00F3064A"/>
    <w:rsid w:val="00F31DC5"/>
    <w:rsid w:val="00F328B8"/>
    <w:rsid w:val="00F33855"/>
    <w:rsid w:val="00F342EB"/>
    <w:rsid w:val="00F34345"/>
    <w:rsid w:val="00F344A2"/>
    <w:rsid w:val="00F348E3"/>
    <w:rsid w:val="00F34CCD"/>
    <w:rsid w:val="00F36CEF"/>
    <w:rsid w:val="00F40224"/>
    <w:rsid w:val="00F4039E"/>
    <w:rsid w:val="00F40B71"/>
    <w:rsid w:val="00F42826"/>
    <w:rsid w:val="00F42B83"/>
    <w:rsid w:val="00F44E89"/>
    <w:rsid w:val="00F44E94"/>
    <w:rsid w:val="00F452BD"/>
    <w:rsid w:val="00F45367"/>
    <w:rsid w:val="00F456A1"/>
    <w:rsid w:val="00F45ECF"/>
    <w:rsid w:val="00F46301"/>
    <w:rsid w:val="00F466FB"/>
    <w:rsid w:val="00F46B57"/>
    <w:rsid w:val="00F472EE"/>
    <w:rsid w:val="00F478FB"/>
    <w:rsid w:val="00F511EA"/>
    <w:rsid w:val="00F5171F"/>
    <w:rsid w:val="00F51B73"/>
    <w:rsid w:val="00F51BE3"/>
    <w:rsid w:val="00F51F33"/>
    <w:rsid w:val="00F52E04"/>
    <w:rsid w:val="00F55037"/>
    <w:rsid w:val="00F55C56"/>
    <w:rsid w:val="00F55CDA"/>
    <w:rsid w:val="00F55FDF"/>
    <w:rsid w:val="00F56548"/>
    <w:rsid w:val="00F57150"/>
    <w:rsid w:val="00F57A0F"/>
    <w:rsid w:val="00F57CC1"/>
    <w:rsid w:val="00F601A7"/>
    <w:rsid w:val="00F608D2"/>
    <w:rsid w:val="00F60941"/>
    <w:rsid w:val="00F6159D"/>
    <w:rsid w:val="00F61AE4"/>
    <w:rsid w:val="00F62FF1"/>
    <w:rsid w:val="00F637C0"/>
    <w:rsid w:val="00F646A1"/>
    <w:rsid w:val="00F67885"/>
    <w:rsid w:val="00F67CE0"/>
    <w:rsid w:val="00F717D0"/>
    <w:rsid w:val="00F721E5"/>
    <w:rsid w:val="00F727E6"/>
    <w:rsid w:val="00F72CB7"/>
    <w:rsid w:val="00F74B8B"/>
    <w:rsid w:val="00F74D41"/>
    <w:rsid w:val="00F74EEA"/>
    <w:rsid w:val="00F75391"/>
    <w:rsid w:val="00F75AA0"/>
    <w:rsid w:val="00F75D73"/>
    <w:rsid w:val="00F75DF6"/>
    <w:rsid w:val="00F766CE"/>
    <w:rsid w:val="00F7734D"/>
    <w:rsid w:val="00F77EC3"/>
    <w:rsid w:val="00F80E4B"/>
    <w:rsid w:val="00F80F81"/>
    <w:rsid w:val="00F817D4"/>
    <w:rsid w:val="00F83822"/>
    <w:rsid w:val="00F83B4A"/>
    <w:rsid w:val="00F845F7"/>
    <w:rsid w:val="00F84842"/>
    <w:rsid w:val="00F84CD2"/>
    <w:rsid w:val="00F84F6A"/>
    <w:rsid w:val="00F850CA"/>
    <w:rsid w:val="00F857D8"/>
    <w:rsid w:val="00F85F1E"/>
    <w:rsid w:val="00F862F4"/>
    <w:rsid w:val="00F87458"/>
    <w:rsid w:val="00F9126F"/>
    <w:rsid w:val="00F91880"/>
    <w:rsid w:val="00F91A8F"/>
    <w:rsid w:val="00F91D70"/>
    <w:rsid w:val="00F91F33"/>
    <w:rsid w:val="00F929A8"/>
    <w:rsid w:val="00F93588"/>
    <w:rsid w:val="00F9359D"/>
    <w:rsid w:val="00F94BA2"/>
    <w:rsid w:val="00F94C01"/>
    <w:rsid w:val="00F94F88"/>
    <w:rsid w:val="00F950A7"/>
    <w:rsid w:val="00F97C59"/>
    <w:rsid w:val="00FA0329"/>
    <w:rsid w:val="00FA2F21"/>
    <w:rsid w:val="00FA3CB7"/>
    <w:rsid w:val="00FA3CE7"/>
    <w:rsid w:val="00FA68FB"/>
    <w:rsid w:val="00FA6CFE"/>
    <w:rsid w:val="00FA73A3"/>
    <w:rsid w:val="00FB0D77"/>
    <w:rsid w:val="00FB1294"/>
    <w:rsid w:val="00FB31E8"/>
    <w:rsid w:val="00FB3E01"/>
    <w:rsid w:val="00FB3E49"/>
    <w:rsid w:val="00FB5ED2"/>
    <w:rsid w:val="00FB6CA6"/>
    <w:rsid w:val="00FC172A"/>
    <w:rsid w:val="00FC1D82"/>
    <w:rsid w:val="00FC276A"/>
    <w:rsid w:val="00FC2C65"/>
    <w:rsid w:val="00FC3D3E"/>
    <w:rsid w:val="00FC43B1"/>
    <w:rsid w:val="00FC5030"/>
    <w:rsid w:val="00FC521A"/>
    <w:rsid w:val="00FC55D1"/>
    <w:rsid w:val="00FC560C"/>
    <w:rsid w:val="00FC66A3"/>
    <w:rsid w:val="00FC7987"/>
    <w:rsid w:val="00FD111A"/>
    <w:rsid w:val="00FD3818"/>
    <w:rsid w:val="00FD3FE6"/>
    <w:rsid w:val="00FD4494"/>
    <w:rsid w:val="00FD5EEC"/>
    <w:rsid w:val="00FE195C"/>
    <w:rsid w:val="00FE5297"/>
    <w:rsid w:val="00FE543B"/>
    <w:rsid w:val="00FE62FD"/>
    <w:rsid w:val="00FF0A53"/>
    <w:rsid w:val="00FF0C2F"/>
    <w:rsid w:val="00FF1CBC"/>
    <w:rsid w:val="00FF1D8E"/>
    <w:rsid w:val="00FF319F"/>
    <w:rsid w:val="00FF3CD1"/>
    <w:rsid w:val="00FF4A5F"/>
    <w:rsid w:val="00FF4FF9"/>
    <w:rsid w:val="00FF5051"/>
    <w:rsid w:val="021B8FAC"/>
    <w:rsid w:val="03462DDB"/>
    <w:rsid w:val="0370FF93"/>
    <w:rsid w:val="03A64868"/>
    <w:rsid w:val="048A1C8E"/>
    <w:rsid w:val="0558C453"/>
    <w:rsid w:val="05939ECC"/>
    <w:rsid w:val="06C23EDB"/>
    <w:rsid w:val="06FD83EB"/>
    <w:rsid w:val="09850B10"/>
    <w:rsid w:val="0A0FFC10"/>
    <w:rsid w:val="0A540AEF"/>
    <w:rsid w:val="0AC04977"/>
    <w:rsid w:val="0B7E5F64"/>
    <w:rsid w:val="0C90D5AB"/>
    <w:rsid w:val="0CA4E0AE"/>
    <w:rsid w:val="0CC8FA75"/>
    <w:rsid w:val="0D2F9896"/>
    <w:rsid w:val="0DA02268"/>
    <w:rsid w:val="0E6DE6CA"/>
    <w:rsid w:val="0F19F197"/>
    <w:rsid w:val="126A182B"/>
    <w:rsid w:val="12C2C6A2"/>
    <w:rsid w:val="12C3E526"/>
    <w:rsid w:val="12F123FA"/>
    <w:rsid w:val="13D8719A"/>
    <w:rsid w:val="14613E09"/>
    <w:rsid w:val="148D76F0"/>
    <w:rsid w:val="14FAB0AE"/>
    <w:rsid w:val="14FD465E"/>
    <w:rsid w:val="154C7AE7"/>
    <w:rsid w:val="16099965"/>
    <w:rsid w:val="162ED6B5"/>
    <w:rsid w:val="1646C51C"/>
    <w:rsid w:val="167C7F35"/>
    <w:rsid w:val="1749A454"/>
    <w:rsid w:val="185DBA11"/>
    <w:rsid w:val="18F1DAAD"/>
    <w:rsid w:val="1906E6BF"/>
    <w:rsid w:val="19ED53F0"/>
    <w:rsid w:val="1A0F5431"/>
    <w:rsid w:val="1A3DA72A"/>
    <w:rsid w:val="1A7FF987"/>
    <w:rsid w:val="1A835F61"/>
    <w:rsid w:val="1B461524"/>
    <w:rsid w:val="1BD3A1DA"/>
    <w:rsid w:val="1BDB6A83"/>
    <w:rsid w:val="1E588518"/>
    <w:rsid w:val="2036AD0F"/>
    <w:rsid w:val="22307AD6"/>
    <w:rsid w:val="22A4E2A9"/>
    <w:rsid w:val="22CB0197"/>
    <w:rsid w:val="23E855BB"/>
    <w:rsid w:val="2497078A"/>
    <w:rsid w:val="24A91BD9"/>
    <w:rsid w:val="25B7AC16"/>
    <w:rsid w:val="25B986B4"/>
    <w:rsid w:val="25DC2D60"/>
    <w:rsid w:val="2716B96A"/>
    <w:rsid w:val="27A944B2"/>
    <w:rsid w:val="28594F6C"/>
    <w:rsid w:val="2861738D"/>
    <w:rsid w:val="28681C9C"/>
    <w:rsid w:val="2AAF6D3C"/>
    <w:rsid w:val="2ADAE131"/>
    <w:rsid w:val="2AFB0E05"/>
    <w:rsid w:val="2B0D3BF5"/>
    <w:rsid w:val="2B6F3579"/>
    <w:rsid w:val="2B9A6920"/>
    <w:rsid w:val="2CB778B0"/>
    <w:rsid w:val="2DC96E9C"/>
    <w:rsid w:val="2DDAE0A7"/>
    <w:rsid w:val="2E12193C"/>
    <w:rsid w:val="2E138885"/>
    <w:rsid w:val="33F483A8"/>
    <w:rsid w:val="3454EAB8"/>
    <w:rsid w:val="348924D1"/>
    <w:rsid w:val="34F08FF8"/>
    <w:rsid w:val="35175A2C"/>
    <w:rsid w:val="352A958F"/>
    <w:rsid w:val="3541D021"/>
    <w:rsid w:val="35923414"/>
    <w:rsid w:val="365ECA1A"/>
    <w:rsid w:val="3767F72B"/>
    <w:rsid w:val="37D2108F"/>
    <w:rsid w:val="3928EFBF"/>
    <w:rsid w:val="3940B572"/>
    <w:rsid w:val="399E23D8"/>
    <w:rsid w:val="3ACF4ACE"/>
    <w:rsid w:val="3B2C070F"/>
    <w:rsid w:val="3C3C78B8"/>
    <w:rsid w:val="3DC4AF4D"/>
    <w:rsid w:val="3DF549D0"/>
    <w:rsid w:val="3E636CEF"/>
    <w:rsid w:val="400C4C8C"/>
    <w:rsid w:val="40247890"/>
    <w:rsid w:val="4204F068"/>
    <w:rsid w:val="42F57BB7"/>
    <w:rsid w:val="43125144"/>
    <w:rsid w:val="43CF78F3"/>
    <w:rsid w:val="4519E1A3"/>
    <w:rsid w:val="460F1DC3"/>
    <w:rsid w:val="469975BC"/>
    <w:rsid w:val="4751C5DE"/>
    <w:rsid w:val="49491F5E"/>
    <w:rsid w:val="49545577"/>
    <w:rsid w:val="4A2B4B11"/>
    <w:rsid w:val="4B5605A7"/>
    <w:rsid w:val="4B7C6020"/>
    <w:rsid w:val="4CF2E22E"/>
    <w:rsid w:val="4DD6D164"/>
    <w:rsid w:val="4DD84408"/>
    <w:rsid w:val="4F45625D"/>
    <w:rsid w:val="50AA5844"/>
    <w:rsid w:val="512F3CDA"/>
    <w:rsid w:val="5186CCDD"/>
    <w:rsid w:val="51CF6822"/>
    <w:rsid w:val="52205615"/>
    <w:rsid w:val="528A969A"/>
    <w:rsid w:val="5318DB34"/>
    <w:rsid w:val="5510A1AD"/>
    <w:rsid w:val="55CD07F2"/>
    <w:rsid w:val="5679B17A"/>
    <w:rsid w:val="57080FF4"/>
    <w:rsid w:val="571D13FB"/>
    <w:rsid w:val="5804A0F2"/>
    <w:rsid w:val="58899848"/>
    <w:rsid w:val="59A15533"/>
    <w:rsid w:val="5AB0F291"/>
    <w:rsid w:val="5BB909B3"/>
    <w:rsid w:val="5BF6EF2F"/>
    <w:rsid w:val="5C5FEA38"/>
    <w:rsid w:val="5D91E0EF"/>
    <w:rsid w:val="5EC27295"/>
    <w:rsid w:val="5ECFECA4"/>
    <w:rsid w:val="5FC314A7"/>
    <w:rsid w:val="604424B8"/>
    <w:rsid w:val="61EDFCF8"/>
    <w:rsid w:val="63B97896"/>
    <w:rsid w:val="65553426"/>
    <w:rsid w:val="658DC804"/>
    <w:rsid w:val="661727C3"/>
    <w:rsid w:val="66A2F644"/>
    <w:rsid w:val="66B1272E"/>
    <w:rsid w:val="678D96CC"/>
    <w:rsid w:val="68BA6FD2"/>
    <w:rsid w:val="68F0282C"/>
    <w:rsid w:val="6932717B"/>
    <w:rsid w:val="6996AD92"/>
    <w:rsid w:val="69D818F7"/>
    <w:rsid w:val="6BEB5403"/>
    <w:rsid w:val="6C205635"/>
    <w:rsid w:val="6D689ADE"/>
    <w:rsid w:val="6DF82678"/>
    <w:rsid w:val="6E8F1996"/>
    <w:rsid w:val="6EA1DA82"/>
    <w:rsid w:val="6EB46C25"/>
    <w:rsid w:val="6F78B48D"/>
    <w:rsid w:val="6FEF7D9D"/>
    <w:rsid w:val="6FFA8D8E"/>
    <w:rsid w:val="70FC3806"/>
    <w:rsid w:val="72607AE7"/>
    <w:rsid w:val="75A367CA"/>
    <w:rsid w:val="75D94E0C"/>
    <w:rsid w:val="76CC929B"/>
    <w:rsid w:val="76FA4994"/>
    <w:rsid w:val="76FFE275"/>
    <w:rsid w:val="77783E52"/>
    <w:rsid w:val="7793306D"/>
    <w:rsid w:val="77B5E16D"/>
    <w:rsid w:val="796D5A61"/>
    <w:rsid w:val="7A4018B8"/>
    <w:rsid w:val="7B6AB379"/>
    <w:rsid w:val="7C1F526B"/>
    <w:rsid w:val="7CE8D1F9"/>
    <w:rsid w:val="7D8A8E39"/>
    <w:rsid w:val="7DCA701F"/>
    <w:rsid w:val="7EA1C8F1"/>
  </w:rsids>
  <m:mathPr>
    <m:mathFont m:val="Cambria Math"/>
    <m:brkBin m:val="before"/>
    <m:brkBinSub m:val="--"/>
    <m:smallFrac m:val="0"/>
    <m:dispDef/>
    <m:lMargin m:val="0"/>
    <m:rMargin m:val="0"/>
    <m:defJc m:val="centerGroup"/>
    <m:wrapIndent m:val="1440"/>
    <m:intLim m:val="subSup"/>
    <m:naryLim m:val="undOvr"/>
  </m:mathPr>
  <w:themeFontLang w:val="en-AU"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1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uppressAutoHyphens/>
      </w:pPr>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08A"/>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qFormat/>
    <w:rsid w:val="00124A51"/>
    <w:pPr>
      <w:keepNext/>
      <w:spacing w:before="240" w:after="60"/>
      <w:outlineLvl w:val="3"/>
    </w:pPr>
    <w:rPr>
      <w:b/>
      <w:bCs/>
      <w:i/>
      <w:sz w:val="26"/>
      <w:szCs w:val="28"/>
    </w:rPr>
  </w:style>
  <w:style w:type="paragraph" w:styleId="Heading5">
    <w:name w:val="heading 5"/>
    <w:basedOn w:val="Normal"/>
    <w:next w:val="Normal"/>
    <w:qFormat/>
    <w:rsid w:val="00124A51"/>
    <w:pPr>
      <w:spacing w:before="240" w:after="60"/>
      <w:outlineLvl w:val="4"/>
    </w:pPr>
    <w:rPr>
      <w:b/>
      <w:bCs/>
      <w:iCs/>
      <w:sz w:val="26"/>
      <w:szCs w:val="26"/>
    </w:rPr>
  </w:style>
  <w:style w:type="paragraph" w:styleId="Heading6">
    <w:name w:val="heading 6"/>
    <w:basedOn w:val="Normal"/>
    <w:next w:val="Normal"/>
    <w:qFormat/>
    <w:rsid w:val="00124A51"/>
    <w:pPr>
      <w:spacing w:before="240" w:after="60"/>
      <w:outlineLvl w:val="5"/>
    </w:pPr>
    <w:rPr>
      <w:b/>
      <w:bCs/>
      <w:i/>
    </w:rPr>
  </w:style>
  <w:style w:type="paragraph" w:styleId="Heading7">
    <w:name w:val="heading 7"/>
    <w:basedOn w:val="Normal"/>
    <w:next w:val="Normal"/>
    <w:link w:val="Heading7Char"/>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sid w:val="001B204E"/>
    <w:rPr>
      <w:rFonts w:ascii="Calibri" w:hAnsi="Calibri" w:cs="Arial"/>
      <w:b/>
      <w:i/>
      <w:sz w:val="28"/>
      <w:szCs w:val="22"/>
      <w:lang w:eastAsia="en-US"/>
    </w:rPr>
  </w:style>
  <w:style w:type="character" w:customStyle="1" w:styleId="Heading7Char">
    <w:name w:val="Heading 7 Char"/>
    <w:basedOn w:val="DefaultParagraphFont"/>
    <w:link w:val="Heading7"/>
    <w:qFormat/>
    <w:rsid w:val="00124A51"/>
    <w:rPr>
      <w:rFonts w:ascii="Arial" w:hAnsi="Arial"/>
      <w:b/>
      <w:lang w:eastAsia="en-US"/>
    </w:rPr>
  </w:style>
  <w:style w:type="character" w:customStyle="1" w:styleId="Heading8Char">
    <w:name w:val="Heading 8 Char"/>
    <w:basedOn w:val="DefaultParagraphFont"/>
    <w:link w:val="Heading8"/>
    <w:qFormat/>
    <w:rsid w:val="00124A51"/>
    <w:rPr>
      <w:b/>
      <w:sz w:val="24"/>
      <w:lang w:eastAsia="en-US"/>
    </w:rPr>
  </w:style>
  <w:style w:type="character" w:customStyle="1" w:styleId="Heading9Char">
    <w:name w:val="Heading 9 Char"/>
    <w:basedOn w:val="DefaultParagraphFont"/>
    <w:link w:val="Heading9"/>
    <w:qFormat/>
    <w:rsid w:val="00124A51"/>
    <w:rPr>
      <w:rFonts w:ascii="Arial" w:hAnsi="Arial"/>
      <w:b/>
      <w:color w:val="000000"/>
      <w:lang w:eastAsia="en-US"/>
    </w:rPr>
  </w:style>
  <w:style w:type="character" w:customStyle="1" w:styleId="TableFooterChar">
    <w:name w:val="Table Footer Char"/>
    <w:link w:val="TableFooter"/>
    <w:qFormat/>
    <w:rsid w:val="00322846"/>
    <w:rPr>
      <w:rFonts w:ascii="Arial Narrow" w:hAnsi="Arial Narrow" w:cs="Arial"/>
      <w:sz w:val="18"/>
      <w:lang w:eastAsia="en-US"/>
    </w:rPr>
  </w:style>
  <w:style w:type="character" w:customStyle="1" w:styleId="CaptionChar">
    <w:name w:val="Caption Char"/>
    <w:link w:val="Caption"/>
    <w:uiPriority w:val="35"/>
    <w:qFormat/>
    <w:rsid w:val="00E16AD8"/>
    <w:rPr>
      <w:rFonts w:ascii="Arial Narrow" w:hAnsi="Arial Narrow" w:cs="Arial"/>
      <w:b/>
      <w:bCs/>
      <w:szCs w:val="18"/>
    </w:rPr>
  </w:style>
  <w:style w:type="character" w:customStyle="1" w:styleId="TitleChar">
    <w:name w:val="Title Char"/>
    <w:basedOn w:val="DefaultParagraphFont"/>
    <w:link w:val="Title"/>
    <w:qFormat/>
    <w:rsid w:val="00124A51"/>
    <w:rPr>
      <w:rFonts w:ascii="Cambria" w:hAnsi="Cambria"/>
      <w:b/>
      <w:bCs/>
      <w:kern w:val="2"/>
      <w:sz w:val="32"/>
      <w:szCs w:val="32"/>
      <w:lang w:eastAsia="en-US"/>
    </w:rPr>
  </w:style>
  <w:style w:type="character" w:customStyle="1" w:styleId="BodyTextChar">
    <w:name w:val="Body Text Char"/>
    <w:basedOn w:val="DefaultParagraphFont"/>
    <w:link w:val="BodyText"/>
    <w:qFormat/>
    <w:rsid w:val="004B3DDB"/>
    <w:rPr>
      <w:rFonts w:ascii="Arial" w:hAnsi="Arial" w:cs="Arial"/>
      <w:sz w:val="22"/>
      <w:lang w:eastAsia="en-US"/>
    </w:rPr>
  </w:style>
  <w:style w:type="character" w:customStyle="1" w:styleId="ListParagraphChar">
    <w:name w:val="List Paragraph Char"/>
    <w:aliases w:val="BulletPoints Char,Footnote Char,Bullet point Char,List Paragraph1 Char,List Paragraph11 Char,Recommendation Char,Numbered para Char,ES Paragraph Char,PBAC ES Paragraph Char,PBAC normal points Char,Bullet List Char,Figure_name Char"/>
    <w:basedOn w:val="DefaultParagraphFont"/>
    <w:link w:val="ListParagraph"/>
    <w:uiPriority w:val="34"/>
    <w:qFormat/>
    <w:locked/>
    <w:rsid w:val="004C3B02"/>
    <w:rPr>
      <w:rFonts w:asciiTheme="minorHAnsi" w:hAnsiTheme="minorHAnsi" w:cs="Arial"/>
      <w:sz w:val="24"/>
      <w:szCs w:val="24"/>
    </w:rPr>
  </w:style>
  <w:style w:type="character" w:customStyle="1" w:styleId="RegularTextChar">
    <w:name w:val="Regular Text Char"/>
    <w:basedOn w:val="BodyTextChar"/>
    <w:link w:val="RegularText"/>
    <w:qFormat/>
    <w:rsid w:val="00124A51"/>
    <w:rPr>
      <w:rFonts w:ascii="Arial" w:hAnsi="Arial" w:cs="Arial"/>
      <w:b/>
      <w:sz w:val="22"/>
      <w:lang w:eastAsia="en-US"/>
    </w:rPr>
  </w:style>
  <w:style w:type="character" w:customStyle="1" w:styleId="HeaderChar">
    <w:name w:val="Header Char"/>
    <w:basedOn w:val="DefaultParagraphFont"/>
    <w:link w:val="Header"/>
    <w:qFormat/>
    <w:rsid w:val="004C3B02"/>
    <w:rPr>
      <w:rFonts w:ascii="Calibri" w:hAnsi="Calibri" w:cs="Arial"/>
      <w:i/>
      <w:iCs/>
      <w:sz w:val="24"/>
      <w:szCs w:val="24"/>
    </w:rPr>
  </w:style>
  <w:style w:type="character" w:customStyle="1" w:styleId="FooterChar">
    <w:name w:val="Footer Char"/>
    <w:basedOn w:val="DefaultParagraphFont"/>
    <w:link w:val="Footer"/>
    <w:uiPriority w:val="99"/>
    <w:qFormat/>
    <w:rsid w:val="00124A51"/>
    <w:rPr>
      <w:rFonts w:ascii="Arial" w:hAnsi="Arial" w:cs="Arial"/>
      <w:sz w:val="22"/>
      <w:lang w:eastAsia="en-US"/>
    </w:rPr>
  </w:style>
  <w:style w:type="character" w:styleId="CommentReference">
    <w:name w:val="annotation reference"/>
    <w:aliases w:val="Table Title"/>
    <w:uiPriority w:val="99"/>
    <w:qFormat/>
    <w:rsid w:val="001E30D4"/>
    <w:rPr>
      <w:rFonts w:ascii="Arial Narrow" w:hAnsi="Arial Narrow"/>
      <w:b/>
      <w:sz w:val="20"/>
      <w:szCs w:val="16"/>
    </w:rPr>
  </w:style>
  <w:style w:type="character" w:customStyle="1" w:styleId="TabletextChar">
    <w:name w:val="Table text Char"/>
    <w:link w:val="Tabletext"/>
    <w:qFormat/>
    <w:rsid w:val="00A518F3"/>
    <w:rPr>
      <w:rFonts w:ascii="Arial Narrow" w:hAnsi="Arial Narrow"/>
      <w:lang w:eastAsia="en-US"/>
    </w:rPr>
  </w:style>
  <w:style w:type="character" w:styleId="Hyperlink">
    <w:name w:val="Hyperlink"/>
    <w:basedOn w:val="DefaultParagraphFont"/>
    <w:uiPriority w:val="99"/>
    <w:unhideWhenUsed/>
    <w:rsid w:val="00621477"/>
    <w:rPr>
      <w:color w:val="0000FF" w:themeColor="hyperlink"/>
      <w:u w:val="single"/>
    </w:rPr>
  </w:style>
  <w:style w:type="character" w:customStyle="1" w:styleId="CommentTextChar">
    <w:name w:val="Comment Text Char"/>
    <w:basedOn w:val="DefaultParagraphFont"/>
    <w:link w:val="CommentText"/>
    <w:qFormat/>
    <w:rsid w:val="00FD2100"/>
    <w:rPr>
      <w:lang w:eastAsia="en-US"/>
    </w:rPr>
  </w:style>
  <w:style w:type="character" w:customStyle="1" w:styleId="CommentSubjectChar">
    <w:name w:val="Comment Subject Char"/>
    <w:basedOn w:val="CommentTextChar"/>
    <w:link w:val="CommentSubject"/>
    <w:qFormat/>
    <w:rsid w:val="004319F8"/>
    <w:rPr>
      <w:rFonts w:ascii="Arial" w:hAnsi="Arial" w:cs="Arial"/>
      <w:b/>
      <w:bCs/>
      <w:lang w:eastAsia="en-US"/>
    </w:rPr>
  </w:style>
  <w:style w:type="character" w:customStyle="1" w:styleId="BodyTextIndentChar">
    <w:name w:val="Body Text Indent Char"/>
    <w:basedOn w:val="DefaultParagraphFont"/>
    <w:link w:val="BodyTextIndent"/>
    <w:qFormat/>
    <w:rsid w:val="00E41E30"/>
    <w:rPr>
      <w:rFonts w:ascii="Arial" w:hAnsi="Arial" w:cs="Arial"/>
      <w:sz w:val="22"/>
      <w:lang w:eastAsia="en-US"/>
    </w:rPr>
  </w:style>
  <w:style w:type="character" w:customStyle="1" w:styleId="SubtitleChar">
    <w:name w:val="Subtitle Char"/>
    <w:link w:val="Subtitle"/>
    <w:qFormat/>
    <w:rsid w:val="00B50DB8"/>
    <w:rPr>
      <w:lang w:eastAsia="en-US"/>
    </w:rPr>
  </w:style>
  <w:style w:type="character" w:customStyle="1" w:styleId="SubtitleChar1">
    <w:name w:val="Subtitle Char1"/>
    <w:basedOn w:val="DefaultParagraphFont"/>
    <w:qFormat/>
    <w:rsid w:val="00B50DB8"/>
    <w:rPr>
      <w:rFonts w:asciiTheme="majorHAnsi" w:eastAsiaTheme="majorEastAsia" w:hAnsiTheme="majorHAnsi" w:cstheme="majorBidi"/>
      <w:i/>
      <w:iCs/>
      <w:color w:val="4F81BD" w:themeColor="accent1"/>
      <w:spacing w:val="15"/>
      <w:sz w:val="24"/>
      <w:szCs w:val="24"/>
      <w:lang w:eastAsia="en-US"/>
    </w:r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BalloonTextChar">
    <w:name w:val="Balloon Text Char"/>
    <w:basedOn w:val="DefaultParagraphFont"/>
    <w:link w:val="BalloonText"/>
    <w:semiHidden/>
    <w:qFormat/>
    <w:rsid w:val="00B34FE2"/>
    <w:rPr>
      <w:rFonts w:ascii="Tahoma" w:hAnsi="Tahoma" w:cs="Tahoma"/>
      <w:sz w:val="16"/>
      <w:szCs w:val="16"/>
      <w:lang w:eastAsia="en-US"/>
    </w:rPr>
  </w:style>
  <w:style w:type="character" w:customStyle="1" w:styleId="V50TablenameChar">
    <w:name w:val="V5.0 Table name Char"/>
    <w:basedOn w:val="DefaultParagraphFont"/>
    <w:link w:val="V50Tablename"/>
    <w:qFormat/>
    <w:rsid w:val="001A178E"/>
    <w:rPr>
      <w:rFonts w:asciiTheme="minorHAnsi" w:eastAsiaTheme="minorHAnsi" w:hAnsiTheme="minorHAnsi" w:cstheme="minorBidi"/>
      <w:b/>
      <w:szCs w:val="24"/>
      <w:lang w:val="en-US" w:eastAsia="en-US"/>
    </w:rPr>
  </w:style>
  <w:style w:type="character" w:customStyle="1" w:styleId="1-MainHeadingChar">
    <w:name w:val="1-Main Heading Char"/>
    <w:basedOn w:val="DefaultParagraphFont"/>
    <w:link w:val="1-MainHeading"/>
    <w:qFormat/>
    <w:rsid w:val="004C3B02"/>
    <w:rPr>
      <w:rFonts w:asciiTheme="minorHAnsi" w:eastAsiaTheme="majorEastAsia" w:hAnsiTheme="minorHAnsi" w:cstheme="majorBidi"/>
      <w:b/>
      <w:spacing w:val="5"/>
      <w:kern w:val="2"/>
      <w:sz w:val="36"/>
      <w:szCs w:val="36"/>
    </w:rPr>
  </w:style>
  <w:style w:type="character" w:customStyle="1" w:styleId="TableFigureHeadingChar">
    <w:name w:val="Table/Figure Heading Char"/>
    <w:basedOn w:val="DefaultParagraphFont"/>
    <w:link w:val="TableFigureHeading"/>
    <w:qFormat/>
    <w:rsid w:val="004C3B02"/>
    <w:rPr>
      <w:rFonts w:ascii="Arial Narrow" w:eastAsiaTheme="majorEastAsia" w:hAnsi="Arial Narrow" w:cstheme="majorBidi"/>
      <w:b/>
      <w:bCs/>
      <w:szCs w:val="24"/>
    </w:rPr>
  </w:style>
  <w:style w:type="character" w:customStyle="1" w:styleId="3-BodyTextChar">
    <w:name w:val="3-Body Text Char"/>
    <w:basedOn w:val="ListParagraphChar"/>
    <w:link w:val="3-BodyText"/>
    <w:qFormat/>
    <w:rsid w:val="004C3B02"/>
    <w:rPr>
      <w:rFonts w:asciiTheme="minorHAnsi" w:eastAsiaTheme="minorHAnsi" w:hAnsiTheme="minorHAnsi" w:cstheme="minorBidi"/>
      <w:sz w:val="24"/>
      <w:szCs w:val="22"/>
    </w:rPr>
  </w:style>
  <w:style w:type="character" w:customStyle="1" w:styleId="PageFooterChar">
    <w:name w:val="Page Footer Char"/>
    <w:basedOn w:val="DefaultParagraphFont"/>
    <w:link w:val="PageFooter"/>
    <w:qFormat/>
    <w:rsid w:val="004C3B02"/>
    <w:rPr>
      <w:rFonts w:ascii="Calibri" w:hAnsi="Calibri" w:cs="Arial"/>
      <w:b/>
      <w:sz w:val="24"/>
      <w:szCs w:val="24"/>
    </w:rPr>
  </w:style>
  <w:style w:type="character" w:customStyle="1" w:styleId="FooterTableFigureChar">
    <w:name w:val="Footer Table/Figure Char"/>
    <w:link w:val="FooterTableFigure"/>
    <w:qFormat/>
    <w:rsid w:val="00EC5836"/>
    <w:rPr>
      <w:rFonts w:ascii="Arial Narrow" w:hAnsi="Arial Narrow" w:cs="Arial"/>
      <w:sz w:val="18"/>
      <w:szCs w:val="22"/>
    </w:rPr>
  </w:style>
  <w:style w:type="character" w:customStyle="1" w:styleId="4-SubsectionHeadingChar">
    <w:name w:val="4-Subsection Heading Char"/>
    <w:basedOn w:val="Heading2Char"/>
    <w:link w:val="4-SubsectionHeading"/>
    <w:qFormat/>
    <w:rsid w:val="00401847"/>
    <w:rPr>
      <w:rFonts w:asciiTheme="minorHAnsi" w:eastAsiaTheme="majorEastAsia" w:hAnsiTheme="minorHAnsi" w:cstheme="majorBidi"/>
      <w:b/>
      <w:i/>
      <w:color w:val="000000" w:themeColor="text1"/>
      <w:spacing w:val="5"/>
      <w:kern w:val="2"/>
      <w:sz w:val="28"/>
      <w:szCs w:val="36"/>
      <w:lang w:eastAsia="en-US"/>
    </w:rPr>
  </w:style>
  <w:style w:type="character" w:customStyle="1" w:styleId="5-SubsectionSubheadingChar">
    <w:name w:val="5-Subsection Subheading Char"/>
    <w:basedOn w:val="DefaultParagraphFont"/>
    <w:link w:val="5-SubsectionSubheading"/>
    <w:qFormat/>
    <w:rsid w:val="004C3B02"/>
    <w:rPr>
      <w:rFonts w:asciiTheme="minorHAnsi" w:eastAsiaTheme="majorEastAsia" w:hAnsiTheme="minorHAnsi" w:cstheme="majorBidi"/>
      <w:b/>
      <w:color w:val="000000" w:themeColor="text1"/>
      <w:sz w:val="24"/>
      <w:szCs w:val="24"/>
    </w:rPr>
  </w:style>
  <w:style w:type="character" w:customStyle="1" w:styleId="TableTextChar1">
    <w:name w:val="Table Text Char1"/>
    <w:basedOn w:val="DefaultParagraphFont"/>
    <w:link w:val="TableText1"/>
    <w:qFormat/>
    <w:rsid w:val="00B75A4D"/>
    <w:rPr>
      <w:rFonts w:ascii="Arial Narrow" w:eastAsiaTheme="majorEastAsia" w:hAnsi="Arial Narrow" w:cstheme="majorBidi"/>
      <w:bCs/>
      <w:iCs/>
      <w:szCs w:val="24"/>
    </w:rPr>
  </w:style>
  <w:style w:type="character" w:customStyle="1" w:styleId="ExecSumBodyTextChar">
    <w:name w:val="Exec Sum Body Text Char"/>
    <w:basedOn w:val="DefaultParagraphFont"/>
    <w:link w:val="ExecSumBodyText"/>
    <w:uiPriority w:val="99"/>
    <w:qFormat/>
    <w:rsid w:val="00D30D5B"/>
    <w:rPr>
      <w:rFonts w:asciiTheme="minorHAnsi" w:hAnsiTheme="minorHAnsi" w:cs="Arial"/>
      <w:sz w:val="24"/>
      <w:szCs w:val="24"/>
    </w:rPr>
  </w:style>
  <w:style w:type="character" w:customStyle="1" w:styleId="bulletChar">
    <w:name w:val="bullet Char"/>
    <w:basedOn w:val="DefaultParagraphFont"/>
    <w:link w:val="bullet"/>
    <w:qFormat/>
    <w:rsid w:val="00D30D5B"/>
    <w:rPr>
      <w:rFonts w:ascii="Calibri" w:hAnsi="Calibri" w:cstheme="minorBidi"/>
      <w:i/>
      <w:sz w:val="22"/>
      <w:szCs w:val="22"/>
      <w:lang w:eastAsia="en-US"/>
    </w:rPr>
  </w:style>
  <w:style w:type="character" w:customStyle="1" w:styleId="TableFigureFooterChar">
    <w:name w:val="Table/Figure Footer Char"/>
    <w:link w:val="TableFigureFooter"/>
    <w:qFormat/>
    <w:rsid w:val="00AC6F81"/>
    <w:rPr>
      <w:rFonts w:ascii="Arial Narrow" w:hAnsi="Arial Narrow" w:cs="Arial"/>
      <w:bCs/>
      <w:iCs/>
      <w:sz w:val="18"/>
      <w:szCs w:val="22"/>
    </w:rPr>
  </w:style>
  <w:style w:type="character" w:customStyle="1" w:styleId="FootnoteTextChar">
    <w:name w:val="Footnote Text Char"/>
    <w:basedOn w:val="DefaultParagraphFont"/>
    <w:link w:val="FootnoteText"/>
    <w:semiHidden/>
    <w:qFormat/>
    <w:rsid w:val="00214183"/>
    <w:rPr>
      <w:rFonts w:ascii="Calibri" w:hAnsi="Calibri" w:cs="Arial"/>
    </w:rPr>
  </w:style>
  <w:style w:type="character" w:customStyle="1" w:styleId="FootnoteCharacters">
    <w:name w:val="Footnote Characters"/>
    <w:basedOn w:val="DefaultParagraphFont"/>
    <w:semiHidden/>
    <w:unhideWhenUsed/>
    <w:qFormat/>
    <w:rsid w:val="00214183"/>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B05744"/>
    <w:rPr>
      <w:color w:val="605E5C"/>
      <w:shd w:val="clear" w:color="auto" w:fill="E1DFDD"/>
    </w:rPr>
  </w:style>
  <w:style w:type="character" w:customStyle="1" w:styleId="cf01">
    <w:name w:val="cf01"/>
    <w:basedOn w:val="DefaultParagraphFont"/>
    <w:qFormat/>
    <w:rsid w:val="004444AE"/>
    <w:rPr>
      <w:rFonts w:ascii="Segoe UI" w:hAnsi="Segoe UI" w:cs="Segoe UI"/>
      <w:sz w:val="18"/>
      <w:szCs w:val="18"/>
    </w:rPr>
  </w:style>
  <w:style w:type="character" w:styleId="Strong">
    <w:name w:val="Strong"/>
    <w:qFormat/>
    <w:rsid w:val="00CE1A56"/>
    <w:rPr>
      <w:rFonts w:ascii="Calibri" w:eastAsiaTheme="minorHAnsi" w:hAnsi="Calibri" w:cs="Arial"/>
      <w:b w:val="0"/>
      <w:bCs w:val="0"/>
      <w:szCs w:val="22"/>
      <w:u w:val="single"/>
      <w:lang w:val="en-GB"/>
    </w:rPr>
  </w:style>
  <w:style w:type="character" w:customStyle="1" w:styleId="SyneviNormalChar">
    <w:name w:val="Synevi Normal Char"/>
    <w:basedOn w:val="DefaultParagraphFont"/>
    <w:link w:val="SyneviNormal"/>
    <w:qFormat/>
    <w:rsid w:val="00DC7E94"/>
    <w:rPr>
      <w:rFonts w:asciiTheme="minorHAnsi" w:hAnsiTheme="minorHAnsi"/>
      <w:sz w:val="22"/>
      <w:lang w:val="en-US" w:eastAsia="en-US"/>
    </w:rPr>
  </w:style>
  <w:style w:type="character" w:styleId="Mention">
    <w:name w:val="Mention"/>
    <w:basedOn w:val="DefaultParagraphFont"/>
    <w:uiPriority w:val="99"/>
    <w:unhideWhenUsed/>
    <w:qFormat/>
    <w:rsid w:val="00F364D2"/>
    <w:rPr>
      <w:color w:val="2B579A"/>
      <w:shd w:val="clear" w:color="auto" w:fill="E1DFDD"/>
    </w:rPr>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4B3DDB"/>
    <w:pPr>
      <w:jc w:val="left"/>
    </w:pPr>
  </w:style>
  <w:style w:type="paragraph" w:styleId="List">
    <w:name w:val="List"/>
    <w:basedOn w:val="BodyText"/>
    <w:rPr>
      <w:rFonts w:cs="Lucida Sans"/>
    </w:rPr>
  </w:style>
  <w:style w:type="paragraph" w:styleId="Caption">
    <w:name w:val="caption"/>
    <w:basedOn w:val="Normal"/>
    <w:next w:val="Normal"/>
    <w:link w:val="CaptionChar"/>
    <w:uiPriority w:val="35"/>
    <w:unhideWhenUsed/>
    <w:qFormat/>
    <w:rsid w:val="00E16AD8"/>
    <w:pPr>
      <w:keepNext/>
      <w:keepLines/>
    </w:pPr>
    <w:rPr>
      <w:rFonts w:ascii="Arial Narrow" w:hAnsi="Arial Narrow"/>
      <w:b/>
      <w:bCs/>
      <w:sz w:val="20"/>
      <w:szCs w:val="18"/>
    </w:rPr>
  </w:style>
  <w:style w:type="paragraph" w:customStyle="1" w:styleId="Index">
    <w:name w:val="Index"/>
    <w:basedOn w:val="Normal"/>
    <w:qFormat/>
    <w:pPr>
      <w:suppressLineNumbers/>
    </w:pPr>
    <w:rPr>
      <w:rFonts w:cs="Lucida Sans"/>
    </w:rPr>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uiPriority w:val="3"/>
    <w:qFormat/>
    <w:rsid w:val="000D1BFC"/>
    <w:rPr>
      <w:b/>
      <w:sz w:val="20"/>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
      <w:sz w:val="32"/>
      <w:szCs w:val="32"/>
    </w:rPr>
  </w:style>
  <w:style w:type="paragraph" w:styleId="ListParagraph">
    <w:name w:val="List Paragraph"/>
    <w:aliases w:val="BulletPoints,Footnote,Bullet point,List Paragraph1,List Paragraph11,Recommendation,Numbered para,ES Paragraph,PBAC ES Paragraph,PBAC normal points,Bullet List,Figure_name,Numbered Indented Text,Bullet- First level,List NUmber,Listenabsatz"/>
    <w:link w:val="ListParagraphChar"/>
    <w:uiPriority w:val="34"/>
    <w:qFormat/>
    <w:rsid w:val="004C3B02"/>
    <w:pPr>
      <w:numPr>
        <w:numId w:val="4"/>
      </w:numPr>
      <w:spacing w:after="120"/>
    </w:pPr>
    <w:rPr>
      <w:rFonts w:asciiTheme="minorHAnsi" w:hAnsiTheme="minorHAnsi" w:cs="Arial"/>
      <w:sz w:val="24"/>
      <w:szCs w:val="24"/>
    </w:rPr>
  </w:style>
  <w:style w:type="paragraph" w:customStyle="1" w:styleId="RegularText">
    <w:name w:val="Regular Text"/>
    <w:basedOn w:val="BodyText"/>
    <w:link w:val="RegularTextChar"/>
    <w:qFormat/>
    <w:rsid w:val="00124A51"/>
    <w:rPr>
      <w:b/>
    </w:rPr>
  </w:style>
  <w:style w:type="paragraph" w:styleId="NoSpacing">
    <w:name w:val="No Spacing"/>
    <w:uiPriority w:val="1"/>
    <w:qFormat/>
    <w:rsid w:val="00124A51"/>
    <w:pPr>
      <w:widowControl w:val="0"/>
      <w:jc w:val="both"/>
    </w:pPr>
    <w:rPr>
      <w:rFonts w:ascii="Arial" w:hAnsi="Arial" w:cs="Arial"/>
      <w:sz w:val="22"/>
      <w:lang w:eastAsia="en-US"/>
    </w:rPr>
  </w:style>
  <w:style w:type="paragraph" w:customStyle="1" w:styleId="HeaderandFooter">
    <w:name w:val="Header and Footer"/>
    <w:basedOn w:val="Normal"/>
    <w:qFormat/>
  </w:style>
  <w:style w:type="paragraph" w:styleId="Header">
    <w:name w:val="header"/>
    <w:basedOn w:val="Normal"/>
    <w:link w:val="HeaderChar"/>
    <w:qFormat/>
    <w:rsid w:val="004C3B02"/>
    <w:pPr>
      <w:keepNext/>
      <w:tabs>
        <w:tab w:val="center" w:pos="4513"/>
        <w:tab w:val="right" w:pos="9026"/>
      </w:tabs>
      <w:jc w:val="center"/>
    </w:pPr>
    <w:rPr>
      <w:i/>
      <w:iCs/>
    </w:rPr>
  </w:style>
  <w:style w:type="paragraph" w:styleId="Footer">
    <w:name w:val="footer"/>
    <w:basedOn w:val="Normal"/>
    <w:link w:val="FooterChar"/>
    <w:uiPriority w:val="99"/>
    <w:rsid w:val="00124A51"/>
    <w:pPr>
      <w:tabs>
        <w:tab w:val="center" w:pos="4513"/>
        <w:tab w:val="right" w:pos="9026"/>
      </w:tabs>
    </w:pPr>
  </w:style>
  <w:style w:type="paragraph" w:customStyle="1" w:styleId="Tabletext">
    <w:name w:val="Table text"/>
    <w:basedOn w:val="Normal"/>
    <w:link w:val="TabletextChar"/>
    <w:qFormat/>
    <w:rsid w:val="00A518F3"/>
    <w:pPr>
      <w:jc w:val="left"/>
    </w:pPr>
    <w:rPr>
      <w:rFonts w:ascii="Arial Narrow" w:hAnsi="Arial Narrow" w:cs="Times New Roman"/>
      <w:sz w:val="20"/>
    </w:rPr>
  </w:style>
  <w:style w:type="paragraph" w:customStyle="1" w:styleId="TableHeading">
    <w:name w:val="TableHeading"/>
    <w:basedOn w:val="Normal"/>
    <w:qFormat/>
    <w:rsid w:val="00A56B6A"/>
    <w:pPr>
      <w:keepNext/>
      <w:spacing w:before="40" w:after="40"/>
      <w:jc w:val="left"/>
    </w:pPr>
    <w:rPr>
      <w:rFonts w:ascii="Arial Narrow" w:hAnsi="Arial Narrow" w:cs="Arial Narrow"/>
      <w:b/>
      <w:bCs/>
      <w:sz w:val="20"/>
    </w:rPr>
  </w:style>
  <w:style w:type="paragraph" w:customStyle="1" w:styleId="Corpsdetextemarge">
    <w:name w:val="Corps de texte marge"/>
    <w:basedOn w:val="BodyText"/>
    <w:uiPriority w:val="99"/>
    <w:qFormat/>
    <w:rsid w:val="008F48EB"/>
    <w:pPr>
      <w:jc w:val="both"/>
    </w:pPr>
    <w:rPr>
      <w:rFonts w:ascii="Times" w:hAnsi="Times" w:cs="Times New Roman"/>
      <w:lang w:val="en-US"/>
    </w:rPr>
  </w:style>
  <w:style w:type="paragraph" w:styleId="NormalWeb">
    <w:name w:val="Normal (Web)"/>
    <w:basedOn w:val="Normal"/>
    <w:uiPriority w:val="99"/>
    <w:qFormat/>
    <w:rsid w:val="008F48EB"/>
    <w:pPr>
      <w:spacing w:before="100" w:after="100"/>
      <w:jc w:val="left"/>
    </w:pPr>
    <w:rPr>
      <w:rFonts w:ascii="Times New Roman" w:hAnsi="Times New Roman" w:cs="Times New Roman"/>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IndexHeading">
    <w:name w:val="index heading"/>
    <w:basedOn w:val="Heading"/>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qFormat/>
    <w:rsid w:val="00CA7B09"/>
    <w:pPr>
      <w:keepNext/>
      <w:spacing w:before="120" w:after="120"/>
      <w:ind w:left="1800" w:hanging="1080"/>
      <w:jc w:val="left"/>
    </w:pPr>
    <w:rPr>
      <w:rFonts w:ascii="Arial Narrow" w:hAnsi="Arial Narrow" w:cs="Arial Narrow"/>
      <w:b/>
      <w:bCs/>
    </w:rPr>
  </w:style>
  <w:style w:type="paragraph" w:customStyle="1" w:styleId="TableNotes18">
    <w:name w:val="TableNotes+18"/>
    <w:basedOn w:val="Normal"/>
    <w:qFormat/>
    <w:rsid w:val="002C5099"/>
    <w:pPr>
      <w:keepLines/>
      <w:spacing w:after="360"/>
      <w:ind w:left="720"/>
      <w:jc w:val="left"/>
    </w:pPr>
    <w:rPr>
      <w:rFonts w:ascii="Arial Narrow" w:hAnsi="Arial Narrow" w:cs="Arial Narrow"/>
      <w:sz w:val="18"/>
      <w:szCs w:val="18"/>
    </w:rPr>
  </w:style>
  <w:style w:type="paragraph" w:customStyle="1" w:styleId="TableNotes0">
    <w:name w:val="TableNotes+0"/>
    <w:basedOn w:val="TableNotes18"/>
    <w:qFormat/>
    <w:rsid w:val="00CA7B09"/>
    <w:pPr>
      <w:keepNext/>
      <w:spacing w:after="0"/>
    </w:pPr>
  </w:style>
  <w:style w:type="paragraph" w:styleId="CommentSubject">
    <w:name w:val="annotation subject"/>
    <w:basedOn w:val="CommentText"/>
    <w:next w:val="CommentText"/>
    <w:link w:val="CommentSubjectChar"/>
    <w:qFormat/>
    <w:rsid w:val="004319F8"/>
    <w:rPr>
      <w:rFonts w:ascii="Arial" w:hAnsi="Arial" w:cs="Arial"/>
      <w:b/>
      <w:bCs/>
    </w:rPr>
  </w:style>
  <w:style w:type="paragraph" w:styleId="Revision">
    <w:name w:val="Revision"/>
    <w:uiPriority w:val="99"/>
    <w:semiHidden/>
    <w:qFormat/>
    <w:rsid w:val="00043C37"/>
    <w:rPr>
      <w:rFonts w:ascii="Arial" w:hAnsi="Arial" w:cs="Arial"/>
      <w:sz w:val="22"/>
      <w:lang w:eastAsia="en-US"/>
    </w:rPr>
  </w:style>
  <w:style w:type="paragraph" w:styleId="BodyTextIndent">
    <w:name w:val="Body Text Indent"/>
    <w:basedOn w:val="Normal"/>
    <w:link w:val="BodyTextIndentChar"/>
    <w:rsid w:val="00E41E30"/>
    <w:pPr>
      <w:spacing w:after="120"/>
      <w:ind w:left="283"/>
    </w:pPr>
  </w:style>
  <w:style w:type="paragraph" w:customStyle="1" w:styleId="Char1CharCharChar">
    <w:name w:val="Char1 Char Char Char"/>
    <w:basedOn w:val="Normal"/>
    <w:qFormat/>
    <w:rsid w:val="00B94945"/>
    <w:pPr>
      <w:spacing w:after="160" w:line="240" w:lineRule="exact"/>
      <w:jc w:val="left"/>
    </w:pPr>
    <w:rPr>
      <w:rFonts w:ascii="Verdana" w:eastAsia="MS Mincho" w:hAnsi="Verdana" w:cs="Verdana"/>
      <w:sz w:val="20"/>
      <w:lang w:val="en-US"/>
    </w:rPr>
  </w:style>
  <w:style w:type="paragraph" w:styleId="Subtitle">
    <w:name w:val="Subtitle"/>
    <w:basedOn w:val="Normal"/>
    <w:link w:val="SubtitleChar"/>
    <w:qFormat/>
    <w:rsid w:val="00B50DB8"/>
    <w:rPr>
      <w:rFonts w:ascii="Times New Roman" w:hAnsi="Times New Roman" w:cs="Times New Roman"/>
      <w:sz w:val="20"/>
    </w:rPr>
  </w:style>
  <w:style w:type="paragraph" w:customStyle="1" w:styleId="PBACHeading1">
    <w:name w:val="PBAC Heading 1"/>
    <w:qFormat/>
    <w:rsid w:val="003C5542"/>
    <w:pPr>
      <w:outlineLvl w:val="0"/>
    </w:pPr>
    <w:rPr>
      <w:rFonts w:ascii="Calibri" w:hAnsi="Calibri" w:cs="Arial"/>
      <w:b/>
      <w:sz w:val="32"/>
      <w:szCs w:val="22"/>
      <w:lang w:eastAsia="en-US"/>
    </w:rPr>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qFormat/>
    <w:rsid w:val="00B34FE2"/>
    <w:rPr>
      <w:rFonts w:ascii="Tahoma" w:hAnsi="Tahoma" w:cs="Tahoma"/>
      <w:sz w:val="16"/>
      <w:szCs w:val="16"/>
    </w:rPr>
  </w:style>
  <w:style w:type="paragraph" w:customStyle="1" w:styleId="TableText1">
    <w:name w:val="Table Text1"/>
    <w:link w:val="TableTextChar1"/>
    <w:qFormat/>
    <w:rsid w:val="00B75A4D"/>
    <w:pPr>
      <w:keepNext/>
      <w:keepLines/>
    </w:pPr>
    <w:rPr>
      <w:rFonts w:ascii="Arial Narrow" w:eastAsiaTheme="majorEastAsia" w:hAnsi="Arial Narrow" w:cstheme="majorBidi"/>
      <w:bCs/>
      <w:iCs/>
      <w:szCs w:val="24"/>
    </w:rPr>
  </w:style>
  <w:style w:type="paragraph" w:customStyle="1" w:styleId="V50Tablename">
    <w:name w:val="V5.0 Table name"/>
    <w:basedOn w:val="Normal"/>
    <w:link w:val="V50TablenameChar"/>
    <w:qFormat/>
    <w:rsid w:val="001A178E"/>
    <w:pPr>
      <w:keepNext/>
      <w:jc w:val="left"/>
    </w:pPr>
    <w:rPr>
      <w:rFonts w:asciiTheme="minorHAnsi" w:eastAsiaTheme="minorHAnsi" w:hAnsiTheme="minorHAnsi" w:cstheme="minorBidi"/>
      <w:b/>
      <w:sz w:val="20"/>
      <w:lang w:val="en-US"/>
    </w:rPr>
  </w:style>
  <w:style w:type="paragraph" w:customStyle="1" w:styleId="GeneralHeading">
    <w:name w:val="General Heading"/>
    <w:qFormat/>
    <w:rsid w:val="004C3B02"/>
    <w:pPr>
      <w:keepNext/>
      <w:spacing w:before="120" w:after="120"/>
      <w:ind w:left="720" w:hanging="720"/>
      <w:outlineLvl w:val="0"/>
    </w:pPr>
    <w:rPr>
      <w:rFonts w:ascii="Calibri" w:hAnsi="Calibri" w:cs="Arial"/>
      <w:b/>
      <w:sz w:val="28"/>
      <w:szCs w:val="22"/>
    </w:rPr>
  </w:style>
  <w:style w:type="paragraph" w:customStyle="1" w:styleId="In-tableHeading">
    <w:name w:val="In-table Heading"/>
    <w:qFormat/>
    <w:rsid w:val="00EA2626"/>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spacing w:before="240" w:after="120"/>
      <w:outlineLvl w:val="0"/>
    </w:pPr>
    <w:rPr>
      <w:rFonts w:asciiTheme="minorHAnsi" w:hAnsiTheme="minorHAnsi" w:cs="Arial"/>
      <w:b/>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paragraph" w:customStyle="1" w:styleId="3-BodyText">
    <w:name w:val="3-Body Text"/>
    <w:link w:val="3-BodyTextChar"/>
    <w:qFormat/>
    <w:rsid w:val="004C3B02"/>
    <w:pPr>
      <w:spacing w:before="60" w:after="60"/>
      <w:jc w:val="both"/>
    </w:pPr>
    <w:rPr>
      <w:rFonts w:asciiTheme="minorHAnsi" w:eastAsiaTheme="minorHAnsi" w:hAnsiTheme="minorHAnsi" w:cstheme="minorBidi"/>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z w:val="18"/>
      <w:szCs w:val="22"/>
    </w:rPr>
  </w:style>
  <w:style w:type="paragraph" w:customStyle="1" w:styleId="4-SubsectionHeading">
    <w:name w:val="4-Subsection Heading"/>
    <w:basedOn w:val="Heading2"/>
    <w:next w:val="3-BodyText"/>
    <w:link w:val="4-SubsectionHeadingChar"/>
    <w:autoRedefine/>
    <w:qFormat/>
    <w:rsid w:val="00401847"/>
    <w:pPr>
      <w:keepNext/>
      <w:spacing w:before="120" w:after="120"/>
    </w:pPr>
    <w:rPr>
      <w:rFonts w:asciiTheme="minorHAnsi" w:eastAsiaTheme="majorEastAsia" w:hAnsiTheme="minorHAnsi" w:cstheme="majorBidi"/>
      <w:color w:val="000000" w:themeColor="text1"/>
      <w:spacing w:val="5"/>
      <w:kern w:val="2"/>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paragraph" w:styleId="ListBullet">
    <w:name w:val="List Bullet"/>
    <w:basedOn w:val="Normal"/>
    <w:unhideWhenUsed/>
    <w:rsid w:val="00EE1996"/>
    <w:pPr>
      <w:contextualSpacing/>
    </w:pPr>
  </w:style>
  <w:style w:type="paragraph" w:customStyle="1" w:styleId="ExecSumBodyText">
    <w:name w:val="Exec Sum Body Text"/>
    <w:basedOn w:val="Normal"/>
    <w:link w:val="ExecSumBodyTextChar"/>
    <w:uiPriority w:val="99"/>
    <w:qFormat/>
    <w:rsid w:val="00D30D5B"/>
    <w:pPr>
      <w:spacing w:after="120"/>
      <w:ind w:left="720" w:hanging="720"/>
    </w:pPr>
    <w:rPr>
      <w:rFonts w:asciiTheme="minorHAnsi" w:hAnsiTheme="minorHAnsi"/>
    </w:rPr>
  </w:style>
  <w:style w:type="paragraph" w:customStyle="1" w:styleId="bullet">
    <w:name w:val="bullet"/>
    <w:basedOn w:val="ListParagraph"/>
    <w:link w:val="bulletChar"/>
    <w:qFormat/>
    <w:rsid w:val="00D30D5B"/>
    <w:pPr>
      <w:numPr>
        <w:numId w:val="3"/>
      </w:numPr>
    </w:pPr>
    <w:rPr>
      <w:rFonts w:ascii="Calibri" w:hAnsi="Calibri" w:cstheme="minorBidi"/>
      <w:i/>
      <w:sz w:val="22"/>
      <w:szCs w:val="22"/>
      <w:lang w:eastAsia="en-US"/>
    </w:rPr>
  </w:style>
  <w:style w:type="paragraph" w:customStyle="1" w:styleId="Default">
    <w:name w:val="Default"/>
    <w:qFormat/>
    <w:rsid w:val="00AB11AD"/>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AC6F81"/>
    <w:pPr>
      <w:keepLines/>
      <w:spacing w:after="120"/>
      <w:contextualSpacing/>
      <w:jc w:val="left"/>
    </w:pPr>
    <w:rPr>
      <w:rFonts w:ascii="Arial Narrow" w:hAnsi="Arial Narrow"/>
      <w:bCs/>
      <w:iCs/>
      <w:sz w:val="18"/>
      <w:szCs w:val="22"/>
    </w:rPr>
  </w:style>
  <w:style w:type="paragraph" w:customStyle="1" w:styleId="Tablefooter1">
    <w:name w:val="Table footer1"/>
    <w:basedOn w:val="Normal"/>
    <w:qFormat/>
    <w:rsid w:val="005D259A"/>
    <w:rPr>
      <w:rFonts w:eastAsia="Calibri" w:cs="Times New Roman"/>
      <w:sz w:val="18"/>
      <w:szCs w:val="22"/>
      <w:lang w:eastAsia="en-US"/>
    </w:rPr>
  </w:style>
  <w:style w:type="paragraph" w:customStyle="1" w:styleId="Sources">
    <w:name w:val="Sources"/>
    <w:basedOn w:val="Normal"/>
    <w:qFormat/>
    <w:rsid w:val="00C34411"/>
    <w:rPr>
      <w:rFonts w:eastAsiaTheme="minorHAnsi" w:cstheme="minorBidi"/>
      <w:sz w:val="18"/>
      <w:szCs w:val="22"/>
      <w:lang w:eastAsia="en-US"/>
    </w:rPr>
  </w:style>
  <w:style w:type="paragraph" w:styleId="FootnoteText">
    <w:name w:val="footnote text"/>
    <w:basedOn w:val="Normal"/>
    <w:link w:val="FootnoteTextChar"/>
    <w:semiHidden/>
    <w:unhideWhenUsed/>
    <w:rsid w:val="00214183"/>
    <w:rPr>
      <w:sz w:val="20"/>
      <w:szCs w:val="20"/>
    </w:rPr>
  </w:style>
  <w:style w:type="paragraph" w:customStyle="1" w:styleId="Tableheading0">
    <w:name w:val="Table heading"/>
    <w:basedOn w:val="Normal"/>
    <w:qFormat/>
    <w:rsid w:val="00CC08D2"/>
    <w:pPr>
      <w:widowControl w:val="0"/>
      <w:tabs>
        <w:tab w:val="left" w:pos="316"/>
        <w:tab w:val="left" w:pos="416"/>
        <w:tab w:val="left" w:pos="442"/>
        <w:tab w:val="left" w:pos="582"/>
      </w:tabs>
      <w:jc w:val="center"/>
    </w:pPr>
    <w:rPr>
      <w:rFonts w:eastAsia="Calibri"/>
      <w:b/>
      <w:sz w:val="20"/>
      <w:szCs w:val="20"/>
    </w:rPr>
  </w:style>
  <w:style w:type="paragraph" w:customStyle="1" w:styleId="Tab1table">
    <w:name w:val="Tab1 table"/>
    <w:basedOn w:val="Normal"/>
    <w:qFormat/>
    <w:rsid w:val="00CC08D2"/>
    <w:pPr>
      <w:widowControl w:val="0"/>
      <w:tabs>
        <w:tab w:val="left" w:pos="416"/>
        <w:tab w:val="left" w:pos="582"/>
      </w:tabs>
      <w:ind w:left="283"/>
      <w:contextualSpacing/>
      <w:jc w:val="left"/>
    </w:pPr>
    <w:rPr>
      <w:rFonts w:cs="Times New Roman"/>
      <w:sz w:val="20"/>
      <w:szCs w:val="20"/>
    </w:rPr>
  </w:style>
  <w:style w:type="paragraph" w:customStyle="1" w:styleId="Tablecentre">
    <w:name w:val="Table centre"/>
    <w:basedOn w:val="Tabletext"/>
    <w:qFormat/>
    <w:rsid w:val="00CC08D2"/>
    <w:pPr>
      <w:widowControl w:val="0"/>
      <w:jc w:val="center"/>
    </w:pPr>
    <w:rPr>
      <w:rFonts w:ascii="Calibri" w:eastAsia="Calibri" w:hAnsi="Calibri" w:cs="Arial"/>
      <w:szCs w:val="20"/>
    </w:rPr>
  </w:style>
  <w:style w:type="paragraph" w:customStyle="1" w:styleId="Btable">
    <w:name w:val="B table"/>
    <w:basedOn w:val="Normal"/>
    <w:qFormat/>
    <w:rsid w:val="00161432"/>
    <w:pPr>
      <w:widowControl w:val="0"/>
      <w:tabs>
        <w:tab w:val="left" w:pos="316"/>
        <w:tab w:val="left" w:pos="416"/>
        <w:tab w:val="left" w:pos="442"/>
        <w:tab w:val="left" w:pos="582"/>
      </w:tabs>
      <w:jc w:val="left"/>
    </w:pPr>
    <w:rPr>
      <w:rFonts w:eastAsia="Calibri"/>
      <w:b/>
      <w:sz w:val="20"/>
      <w:szCs w:val="20"/>
    </w:rPr>
  </w:style>
  <w:style w:type="paragraph" w:customStyle="1" w:styleId="pf1">
    <w:name w:val="pf1"/>
    <w:basedOn w:val="Normal"/>
    <w:qFormat/>
    <w:rsid w:val="004444AE"/>
    <w:pPr>
      <w:spacing w:beforeAutospacing="1" w:afterAutospacing="1"/>
      <w:jc w:val="left"/>
    </w:pPr>
    <w:rPr>
      <w:rFonts w:ascii="Times New Roman" w:hAnsi="Times New Roman" w:cs="Times New Roman"/>
    </w:rPr>
  </w:style>
  <w:style w:type="paragraph" w:customStyle="1" w:styleId="pf0">
    <w:name w:val="pf0"/>
    <w:basedOn w:val="Normal"/>
    <w:qFormat/>
    <w:rsid w:val="004444AE"/>
    <w:pPr>
      <w:spacing w:beforeAutospacing="1" w:afterAutospacing="1"/>
      <w:jc w:val="left"/>
    </w:pPr>
    <w:rPr>
      <w:rFonts w:ascii="Times New Roman" w:hAnsi="Times New Roman" w:cs="Times New Roman"/>
    </w:rPr>
  </w:style>
  <w:style w:type="paragraph" w:customStyle="1" w:styleId="TableContents">
    <w:name w:val="Table Contents"/>
    <w:basedOn w:val="Normal"/>
    <w:qFormat/>
  </w:style>
  <w:style w:type="paragraph" w:customStyle="1" w:styleId="TableHeading1">
    <w:name w:val="Table Heading1"/>
    <w:basedOn w:val="Normal"/>
    <w:qFormat/>
    <w:rsid w:val="00CE1A56"/>
    <w:pPr>
      <w:keepNext/>
      <w:spacing w:after="60"/>
      <w:jc w:val="left"/>
    </w:pPr>
    <w:rPr>
      <w:rFonts w:ascii="Arial Narrow" w:eastAsiaTheme="minorHAnsi" w:hAnsi="Arial Narrow" w:cstheme="minorBidi"/>
      <w:b/>
      <w:sz w:val="20"/>
      <w:szCs w:val="22"/>
      <w:lang w:eastAsia="en-US"/>
    </w:rPr>
  </w:style>
  <w:style w:type="paragraph" w:customStyle="1" w:styleId="SyneviNormal">
    <w:name w:val="Synevi Normal"/>
    <w:basedOn w:val="Normal"/>
    <w:link w:val="SyneviNormalChar"/>
    <w:qFormat/>
    <w:rsid w:val="00DC7E94"/>
    <w:pPr>
      <w:spacing w:line="360" w:lineRule="auto"/>
    </w:pPr>
    <w:rPr>
      <w:rFonts w:asciiTheme="minorHAnsi" w:hAnsiTheme="minorHAnsi" w:cs="Times New Roman"/>
      <w:sz w:val="22"/>
      <w:szCs w:val="20"/>
      <w:lang w:val="en-US" w:eastAsia="en-US"/>
    </w:rPr>
  </w:style>
  <w:style w:type="paragraph" w:customStyle="1" w:styleId="FrameContents">
    <w:name w:val="Frame Contents"/>
    <w:basedOn w:val="Normal"/>
    <w:qFormat/>
  </w:style>
  <w:style w:type="paragraph" w:customStyle="1" w:styleId="Comment">
    <w:name w:val="Comment"/>
    <w:basedOn w:val="Normal"/>
    <w:qFormat/>
    <w:pPr>
      <w:spacing w:before="56"/>
      <w:ind w:left="57" w:right="57"/>
    </w:pPr>
    <w:rPr>
      <w:sz w:val="20"/>
      <w:szCs w:val="20"/>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AZTable1">
    <w:name w:val="AZ Table1"/>
    <w:basedOn w:val="TableNormal"/>
    <w:uiPriority w:val="99"/>
    <w:rsid w:val="00CA6DDF"/>
    <w:rPr>
      <w:rFonts w:eastAsiaTheme="minorHAnsi"/>
      <w:sz w:val="22"/>
      <w:szCs w:val="22"/>
      <w:lang w:eastAsia="en-US"/>
    </w:rPr>
    <w:tblPr/>
    <w:tblStylePr w:type="firstRow">
      <w:pPr>
        <w:jc w:val="left"/>
      </w:pPr>
      <w:rPr>
        <w:b w:val="0"/>
      </w:rPr>
    </w:tblStylePr>
  </w:style>
  <w:style w:type="table" w:customStyle="1" w:styleId="TableGrid8">
    <w:name w:val="Table Grid8"/>
    <w:basedOn w:val="TableNormal"/>
    <w:rsid w:val="00F9063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400EE"/>
    <w:pPr>
      <w:suppressAutoHyphens w:val="0"/>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9400EE"/>
  </w:style>
  <w:style w:type="character" w:customStyle="1" w:styleId="eop">
    <w:name w:val="eop"/>
    <w:basedOn w:val="DefaultParagraphFont"/>
    <w:rsid w:val="0094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AD58F794-AC11-4150-AD9B-6EE20CAAC492}">
  <ds:schemaRefs>
    <ds:schemaRef ds:uri="http://schemas.openxmlformats.org/officeDocument/2006/bibliography"/>
  </ds:schemaRefs>
</ds:datastoreItem>
</file>

<file path=customXml/itemProps2.xml><?xml version="1.0" encoding="utf-8"?>
<ds:datastoreItem xmlns:ds="http://schemas.openxmlformats.org/officeDocument/2006/customXml" ds:itemID="{21C50478-91F5-4F42-9D1F-1B2CA02E5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FAFD6C-D100-4ED6-8940-38567459282E}">
  <ds:schemaRefs>
    <ds:schemaRef ds:uri="http://schemas.microsoft.com/sharepoint/v3/contenttype/forms"/>
  </ds:schemaRefs>
</ds:datastoreItem>
</file>

<file path=customXml/itemProps4.xml><?xml version="1.0" encoding="utf-8"?>
<ds:datastoreItem xmlns:ds="http://schemas.openxmlformats.org/officeDocument/2006/customXml" ds:itemID="{19CBE193-FD00-47A0-9F14-BC1E62EFE367}">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7a1fa97c-71fe-4f42-a823-eab0b6012858}" enabled="0" method="" siteId="{7a1fa97c-71fe-4f42-a823-eab0b6012858}" removed="1"/>
  <clbl:label id="{cfb47f1f-2c8f-4e85-a121-5f8dcdaeecec}" enabled="1" method="Privileged" siteId="{30615e74-f8fc-4c90-9bc8-cee5666a8b8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63</Pages>
  <Words>29559</Words>
  <Characters>169377</Characters>
  <Application>Microsoft Office Word</Application>
  <DocSecurity>0</DocSecurity>
  <Lines>3849</Lines>
  <Paragraphs>2116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2026-07-08T00:45:00Z</dcterms:created>
  <dcterms:modified xsi:type="dcterms:W3CDTF">2026-07-08T00:45:00Z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66fd15d9,70757685,73aa29c3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7dcac12d,77d59d14,754375ab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2026-04-17T05:56:08Z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09b1e2e2-75ae-4a7b-839e-4ff8ed2994e8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y fmtid="{D5CDD505-2E9C-101B-9397-08002B2CF9AE}" pid="22" name="Order">
    <vt:r8>59821200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ies>
</file>