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868F" w14:textId="6AB223C4" w:rsidR="00AE1DA9" w:rsidRPr="00AE1DA9" w:rsidRDefault="00AE1DA9" w:rsidP="00AE1DA9">
      <w:pPr>
        <w:pStyle w:val="3-BodyText"/>
        <w:numPr>
          <w:ilvl w:val="0"/>
          <w:numId w:val="0"/>
        </w:numPr>
        <w:rPr>
          <w:color w:val="FF0000"/>
        </w:rPr>
      </w:pPr>
      <w:bookmarkStart w:id="0" w:name="_Toc208988048"/>
      <w:r w:rsidRPr="00AE1DA9">
        <w:rPr>
          <w:color w:val="FF0000"/>
        </w:rPr>
        <w:t xml:space="preserve">An </w:t>
      </w:r>
      <w:r w:rsidR="00E10F33">
        <w:rPr>
          <w:color w:val="FF0000"/>
        </w:rPr>
        <w:t>A</w:t>
      </w:r>
      <w:r w:rsidRPr="00AE1DA9">
        <w:rPr>
          <w:color w:val="FF0000"/>
        </w:rPr>
        <w:t>ddendum to this Public Summary Document has been included at the end of this document.</w:t>
      </w:r>
    </w:p>
    <w:p w14:paraId="356A4470" w14:textId="51908072" w:rsidR="008047AE" w:rsidRPr="00D30537" w:rsidRDefault="00481740" w:rsidP="008047AE">
      <w:pPr>
        <w:pStyle w:val="1-MainHeading"/>
      </w:pPr>
      <w:r w:rsidRPr="00D30537">
        <w:t>5.10</w:t>
      </w:r>
      <w:r w:rsidR="008047AE" w:rsidRPr="00D30537">
        <w:tab/>
        <w:t>RETIFANLIMAB,</w:t>
      </w:r>
      <w:r w:rsidR="008047AE" w:rsidRPr="00D30537">
        <w:br/>
        <w:t>Solution concentrate for I.V. infusion,</w:t>
      </w:r>
      <w:r w:rsidR="008047AE" w:rsidRPr="00D30537">
        <w:br/>
        <w:t>500 mg in 20 mL,</w:t>
      </w:r>
      <w:r w:rsidR="008047AE" w:rsidRPr="00D30537">
        <w:br/>
        <w:t>Zynyz</w:t>
      </w:r>
      <w:r w:rsidR="008047AE" w:rsidRPr="00D30537">
        <w:rPr>
          <w:vertAlign w:val="superscript"/>
        </w:rPr>
        <w:t>®</w:t>
      </w:r>
      <w:r w:rsidR="008047AE" w:rsidRPr="00D30537">
        <w:t>,</w:t>
      </w:r>
      <w:r w:rsidR="008047AE" w:rsidRPr="00D30537">
        <w:br/>
        <w:t>SPECIALISED THERAPEUTICS ALIM PTY LTD.</w:t>
      </w:r>
      <w:bookmarkEnd w:id="0"/>
      <w:r w:rsidR="008047AE" w:rsidRPr="00D30537">
        <w:t xml:space="preserve"> </w:t>
      </w:r>
    </w:p>
    <w:p w14:paraId="7A2B173D" w14:textId="77777777" w:rsidR="008047AE" w:rsidRPr="00D30537" w:rsidRDefault="008047AE" w:rsidP="00070872">
      <w:pPr>
        <w:pStyle w:val="2-SectionHeading"/>
      </w:pPr>
      <w:bookmarkStart w:id="1" w:name="_Toc208988050"/>
      <w:r w:rsidRPr="00D30537">
        <w:t>Purpose of submission</w:t>
      </w:r>
      <w:bookmarkEnd w:id="1"/>
    </w:p>
    <w:p w14:paraId="62277851" w14:textId="14ED5F36" w:rsidR="008047AE" w:rsidRPr="00D30537" w:rsidRDefault="008047AE" w:rsidP="007F5B56">
      <w:pPr>
        <w:pStyle w:val="3-BodyText"/>
        <w:ind w:left="709"/>
      </w:pPr>
      <w:r w:rsidRPr="00D30537">
        <w:t xml:space="preserve">The </w:t>
      </w:r>
      <w:r w:rsidR="005E21E5" w:rsidRPr="00D30537">
        <w:t>Category 1 submission</w:t>
      </w:r>
      <w:r w:rsidRPr="00D30537">
        <w:t xml:space="preserve"> requested a Section 100 (Efficient Funding of Chemotherapy Program), Authority Required (STREAMLINED) listing for retifanlimab for the treatment of metastatic or recurrent, locally advanced </w:t>
      </w:r>
      <w:r w:rsidR="00FB1685" w:rsidRPr="00D30537">
        <w:t>Merkel cell carcinoma (</w:t>
      </w:r>
      <w:r w:rsidRPr="00D30537">
        <w:t>MCC</w:t>
      </w:r>
      <w:r w:rsidR="00FB1685" w:rsidRPr="00D30537">
        <w:t>)</w:t>
      </w:r>
      <w:r w:rsidRPr="00D30537">
        <w:t xml:space="preserve"> not amenable to curative surgery or radiation.</w:t>
      </w:r>
      <w:r w:rsidRPr="00D30537">
        <w:rPr>
          <w:color w:val="0066FF"/>
        </w:rPr>
        <w:t xml:space="preserve"> </w:t>
      </w:r>
    </w:p>
    <w:p w14:paraId="1F3FB0B1" w14:textId="77777777" w:rsidR="008047AE" w:rsidRPr="00D30537" w:rsidRDefault="008047AE" w:rsidP="007F5B56">
      <w:pPr>
        <w:pStyle w:val="3-BodyText"/>
        <w:ind w:left="709"/>
      </w:pPr>
      <w:r w:rsidRPr="00D30537">
        <w:t xml:space="preserve">Listing was requested </w:t>
      </w:r>
      <w:proofErr w:type="gramStart"/>
      <w:r w:rsidRPr="00D30537">
        <w:t>on the basis of</w:t>
      </w:r>
      <w:proofErr w:type="gramEnd"/>
      <w:r w:rsidRPr="00D30537">
        <w:t xml:space="preserve"> a cost-effectiveness analysis versus avelumab. </w:t>
      </w:r>
    </w:p>
    <w:p w14:paraId="0D2EF025" w14:textId="1DAEE86D" w:rsidR="008047AE" w:rsidRPr="00D30537" w:rsidRDefault="008047AE" w:rsidP="008047AE">
      <w:pPr>
        <w:pStyle w:val="TableFigureHeading"/>
        <w:keepLines/>
        <w:rPr>
          <w:rStyle w:val="CommentReference"/>
          <w:b/>
          <w:szCs w:val="24"/>
        </w:rPr>
      </w:pPr>
      <w:r w:rsidRPr="00D30537">
        <w:t xml:space="preserve">Table </w:t>
      </w:r>
      <w:fldSimple w:instr=" SEQ Table \* ARABIC ">
        <w:r w:rsidR="00652388">
          <w:rPr>
            <w:noProof/>
          </w:rPr>
          <w:t>1</w:t>
        </w:r>
      </w:fldSimple>
      <w:r w:rsidRPr="00D30537">
        <w:t>:</w:t>
      </w:r>
      <w:r w:rsidRPr="00D30537">
        <w:rPr>
          <w:rStyle w:val="CommentReference"/>
          <w:b/>
          <w:szCs w:val="24"/>
        </w:rPr>
        <w:t xml:space="preserve"> Key components of the clinical issue addressed by the submission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Pr>
      <w:tblGrid>
        <w:gridCol w:w="1980"/>
        <w:gridCol w:w="7037"/>
      </w:tblGrid>
      <w:tr w:rsidR="008047AE" w:rsidRPr="00D30537" w14:paraId="164E946C" w14:textId="77777777" w:rsidTr="00653B48">
        <w:tc>
          <w:tcPr>
            <w:tcW w:w="1098" w:type="pct"/>
          </w:tcPr>
          <w:p w14:paraId="5CBF7044" w14:textId="77777777" w:rsidR="008047AE" w:rsidRPr="00D30537" w:rsidRDefault="008047AE" w:rsidP="00653B48">
            <w:pPr>
              <w:keepNext/>
              <w:keepLines/>
              <w:rPr>
                <w:rFonts w:ascii="Arial Narrow" w:eastAsiaTheme="majorEastAsia" w:hAnsi="Arial Narrow" w:cs="Times New Roman"/>
                <w:b/>
                <w:bCs/>
                <w:sz w:val="20"/>
              </w:rPr>
            </w:pPr>
            <w:r w:rsidRPr="00D30537">
              <w:rPr>
                <w:rFonts w:ascii="Arial Narrow" w:eastAsiaTheme="majorEastAsia" w:hAnsi="Arial Narrow" w:cs="Times New Roman"/>
                <w:b/>
                <w:bCs/>
                <w:sz w:val="20"/>
              </w:rPr>
              <w:t>Component</w:t>
            </w:r>
          </w:p>
        </w:tc>
        <w:tc>
          <w:tcPr>
            <w:tcW w:w="3902" w:type="pct"/>
          </w:tcPr>
          <w:p w14:paraId="3742BCB7" w14:textId="77777777" w:rsidR="008047AE" w:rsidRPr="00D30537" w:rsidRDefault="008047AE" w:rsidP="00653B48">
            <w:pPr>
              <w:keepNext/>
              <w:keepLines/>
              <w:rPr>
                <w:rFonts w:ascii="Arial Narrow" w:eastAsiaTheme="majorEastAsia" w:hAnsi="Arial Narrow" w:cs="Times New Roman"/>
                <w:b/>
                <w:bCs/>
                <w:sz w:val="20"/>
              </w:rPr>
            </w:pPr>
            <w:r w:rsidRPr="00D30537">
              <w:rPr>
                <w:rFonts w:ascii="Arial Narrow" w:eastAsiaTheme="majorEastAsia" w:hAnsi="Arial Narrow" w:cs="Times New Roman"/>
                <w:b/>
                <w:bCs/>
                <w:sz w:val="20"/>
              </w:rPr>
              <w:t>Description</w:t>
            </w:r>
          </w:p>
        </w:tc>
      </w:tr>
      <w:tr w:rsidR="008047AE" w:rsidRPr="00D30537" w14:paraId="75F4ECE0" w14:textId="77777777" w:rsidTr="00653B48">
        <w:tc>
          <w:tcPr>
            <w:tcW w:w="1098" w:type="pct"/>
          </w:tcPr>
          <w:p w14:paraId="5FA0A1D7"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Population</w:t>
            </w:r>
          </w:p>
        </w:tc>
        <w:tc>
          <w:tcPr>
            <w:tcW w:w="3902" w:type="pct"/>
          </w:tcPr>
          <w:p w14:paraId="306D8E32" w14:textId="1B4CE4EE"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 xml:space="preserve">Metastatic (Stage IV) </w:t>
            </w:r>
            <w:r w:rsidR="00621C5B" w:rsidRPr="00D30537">
              <w:rPr>
                <w:rFonts w:ascii="Arial Narrow" w:eastAsiaTheme="majorEastAsia" w:hAnsi="Arial Narrow" w:cs="Times New Roman"/>
                <w:bCs/>
                <w:sz w:val="20"/>
              </w:rPr>
              <w:t xml:space="preserve">Merkel Cell Carcinoma (MCC) </w:t>
            </w:r>
            <w:r w:rsidRPr="00D30537">
              <w:rPr>
                <w:rFonts w:ascii="Arial Narrow" w:eastAsiaTheme="majorEastAsia" w:hAnsi="Arial Narrow" w:cs="Times New Roman"/>
                <w:bCs/>
                <w:sz w:val="20"/>
              </w:rPr>
              <w:t xml:space="preserve">or recurrent locally advanced </w:t>
            </w:r>
            <w:r w:rsidR="00621C5B" w:rsidRPr="00D30537">
              <w:rPr>
                <w:rFonts w:ascii="Arial Narrow" w:eastAsiaTheme="majorEastAsia" w:hAnsi="Arial Narrow" w:cs="Times New Roman"/>
                <w:bCs/>
                <w:sz w:val="20"/>
              </w:rPr>
              <w:t xml:space="preserve">MCC </w:t>
            </w:r>
            <w:r w:rsidRPr="00D30537">
              <w:rPr>
                <w:rFonts w:ascii="Arial Narrow" w:eastAsiaTheme="majorEastAsia" w:hAnsi="Arial Narrow" w:cs="Times New Roman"/>
                <w:bCs/>
                <w:sz w:val="20"/>
              </w:rPr>
              <w:t>not amenable to curative surgery or radiation therapy.</w:t>
            </w:r>
          </w:p>
        </w:tc>
      </w:tr>
      <w:tr w:rsidR="008047AE" w:rsidRPr="00D30537" w14:paraId="0343D674" w14:textId="77777777" w:rsidTr="00653B48">
        <w:tc>
          <w:tcPr>
            <w:tcW w:w="1098" w:type="pct"/>
          </w:tcPr>
          <w:p w14:paraId="50304FF9"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Intervention</w:t>
            </w:r>
          </w:p>
        </w:tc>
        <w:tc>
          <w:tcPr>
            <w:tcW w:w="3902" w:type="pct"/>
          </w:tcPr>
          <w:p w14:paraId="6878F45F"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Retifanlimab 500 mg intravenously once every 4 weeks until disease progression, unacceptable toxicity, or up to 24 months.</w:t>
            </w:r>
          </w:p>
        </w:tc>
      </w:tr>
      <w:tr w:rsidR="008047AE" w:rsidRPr="00D30537" w14:paraId="750DC265" w14:textId="77777777" w:rsidTr="00653B48">
        <w:tc>
          <w:tcPr>
            <w:tcW w:w="1098" w:type="pct"/>
          </w:tcPr>
          <w:p w14:paraId="5C86CFDE"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Comparator</w:t>
            </w:r>
          </w:p>
        </w:tc>
        <w:tc>
          <w:tcPr>
            <w:tcW w:w="3902" w:type="pct"/>
          </w:tcPr>
          <w:p w14:paraId="3AE16C8A" w14:textId="77777777" w:rsidR="008047AE" w:rsidRPr="00D30537" w:rsidRDefault="008047AE" w:rsidP="00653B48">
            <w:pPr>
              <w:keepNext/>
              <w:keepLines/>
              <w:rPr>
                <w:rFonts w:ascii="Arial Narrow" w:eastAsiaTheme="majorEastAsia" w:hAnsi="Arial Narrow" w:cs="Times New Roman"/>
                <w:bCs/>
                <w:sz w:val="22"/>
                <w:szCs w:val="28"/>
                <w:vertAlign w:val="superscript"/>
              </w:rPr>
            </w:pPr>
            <w:r w:rsidRPr="00D30537">
              <w:rPr>
                <w:rFonts w:ascii="Arial Narrow" w:eastAsiaTheme="majorEastAsia" w:hAnsi="Arial Narrow" w:cs="Times New Roman"/>
                <w:bCs/>
                <w:sz w:val="20"/>
              </w:rPr>
              <w:t xml:space="preserve">Avelumab 10 mg/kg body weight or 800 mg intravenously every 2 weeks until disease progression or unacceptable </w:t>
            </w:r>
            <w:r w:rsidRPr="00D30537" w:rsidDel="005E13AE">
              <w:rPr>
                <w:rFonts w:ascii="Arial Narrow" w:eastAsiaTheme="majorEastAsia" w:hAnsi="Arial Narrow" w:cs="Times New Roman"/>
                <w:bCs/>
                <w:sz w:val="20"/>
              </w:rPr>
              <w:t>toxicity</w:t>
            </w:r>
            <w:r w:rsidRPr="00D30537">
              <w:rPr>
                <w:rFonts w:ascii="Arial Narrow" w:eastAsiaTheme="majorEastAsia" w:hAnsi="Arial Narrow" w:cs="Times New Roman"/>
                <w:bCs/>
                <w:sz w:val="20"/>
              </w:rPr>
              <w:t xml:space="preserve">. </w:t>
            </w:r>
            <w:r w:rsidRPr="00D30537">
              <w:rPr>
                <w:rFonts w:ascii="Arial Narrow" w:eastAsiaTheme="majorEastAsia" w:hAnsi="Arial Narrow" w:cs="Times New Roman"/>
                <w:bCs/>
                <w:sz w:val="20"/>
                <w:vertAlign w:val="superscript"/>
              </w:rPr>
              <w:t>a</w:t>
            </w:r>
          </w:p>
        </w:tc>
      </w:tr>
      <w:tr w:rsidR="008047AE" w:rsidRPr="00D30537" w14:paraId="78E5B467" w14:textId="77777777" w:rsidTr="00653B48">
        <w:tc>
          <w:tcPr>
            <w:tcW w:w="1098" w:type="pct"/>
            <w:tcBorders>
              <w:bottom w:val="single" w:sz="4" w:space="0" w:color="auto"/>
            </w:tcBorders>
          </w:tcPr>
          <w:p w14:paraId="2BE79BD9"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Outcomes</w:t>
            </w:r>
          </w:p>
        </w:tc>
        <w:tc>
          <w:tcPr>
            <w:tcW w:w="3902" w:type="pct"/>
            <w:tcBorders>
              <w:bottom w:val="single" w:sz="4" w:space="0" w:color="auto"/>
            </w:tcBorders>
          </w:tcPr>
          <w:p w14:paraId="6F5290BF"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Efficacy</w:t>
            </w:r>
          </w:p>
          <w:p w14:paraId="4D87E313"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Objective response rate</w:t>
            </w:r>
          </w:p>
          <w:p w14:paraId="711F3B1F"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Overall survival</w:t>
            </w:r>
          </w:p>
          <w:p w14:paraId="562C11B1"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Progression-free survival</w:t>
            </w:r>
          </w:p>
          <w:p w14:paraId="73AF8FD6"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Safety</w:t>
            </w:r>
          </w:p>
          <w:p w14:paraId="312DEB18"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Treatment-emergent adverse events (TEAEs)</w:t>
            </w:r>
          </w:p>
          <w:p w14:paraId="49A0D65A"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Treatment-related TEAEs</w:t>
            </w:r>
          </w:p>
          <w:p w14:paraId="3A4C2458"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Serious TEAEs</w:t>
            </w:r>
          </w:p>
          <w:p w14:paraId="161B2228"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TEAEs leading to treatment discontinuation</w:t>
            </w:r>
          </w:p>
          <w:p w14:paraId="29FA185F"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Immune-related adverse events</w:t>
            </w:r>
          </w:p>
          <w:p w14:paraId="7A85C50E" w14:textId="77777777" w:rsidR="008047AE" w:rsidRPr="00D30537" w:rsidRDefault="008047AE" w:rsidP="003D6682">
            <w:pPr>
              <w:keepNext/>
              <w:keepLines/>
              <w:numPr>
                <w:ilvl w:val="0"/>
                <w:numId w:val="6"/>
              </w:numPr>
              <w:rPr>
                <w:rFonts w:ascii="Arial Narrow" w:eastAsiaTheme="majorEastAsia" w:hAnsi="Arial Narrow" w:cs="Times New Roman"/>
                <w:bCs/>
                <w:sz w:val="20"/>
              </w:rPr>
            </w:pPr>
            <w:r w:rsidRPr="00D30537">
              <w:rPr>
                <w:rFonts w:ascii="Arial Narrow" w:eastAsiaTheme="majorEastAsia" w:hAnsi="Arial Narrow" w:cs="Times New Roman"/>
                <w:bCs/>
                <w:sz w:val="20"/>
              </w:rPr>
              <w:t>Infusion-related reactions</w:t>
            </w:r>
          </w:p>
        </w:tc>
      </w:tr>
      <w:tr w:rsidR="008047AE" w:rsidRPr="00D30537" w14:paraId="0C7F5E13" w14:textId="77777777" w:rsidTr="00653B48">
        <w:tc>
          <w:tcPr>
            <w:tcW w:w="1098" w:type="pct"/>
            <w:tcBorders>
              <w:bottom w:val="single" w:sz="4" w:space="0" w:color="auto"/>
            </w:tcBorders>
          </w:tcPr>
          <w:p w14:paraId="1F46B93F"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Clinical claim</w:t>
            </w:r>
          </w:p>
        </w:tc>
        <w:tc>
          <w:tcPr>
            <w:tcW w:w="3902" w:type="pct"/>
            <w:tcBorders>
              <w:bottom w:val="single" w:sz="4" w:space="0" w:color="auto"/>
            </w:tcBorders>
          </w:tcPr>
          <w:p w14:paraId="773D7A07" w14:textId="77777777" w:rsidR="008047AE" w:rsidRPr="00D30537" w:rsidRDefault="008047AE" w:rsidP="00653B48">
            <w:pPr>
              <w:keepNext/>
              <w:keepLines/>
              <w:rPr>
                <w:rFonts w:ascii="Arial Narrow" w:eastAsiaTheme="majorEastAsia" w:hAnsi="Arial Narrow" w:cs="Times New Roman"/>
                <w:bCs/>
                <w:sz w:val="20"/>
              </w:rPr>
            </w:pPr>
            <w:r w:rsidRPr="00D30537">
              <w:rPr>
                <w:rFonts w:ascii="Arial Narrow" w:eastAsiaTheme="majorEastAsia" w:hAnsi="Arial Narrow" w:cs="Times New Roman"/>
                <w:bCs/>
                <w:sz w:val="20"/>
              </w:rPr>
              <w:t xml:space="preserve">Relative to avelumab, retifanlimab is associated with superior efficacy and superior safety in patients with metastatic MCC. </w:t>
            </w:r>
          </w:p>
        </w:tc>
      </w:tr>
    </w:tbl>
    <w:p w14:paraId="0D48B860" w14:textId="77777777" w:rsidR="008047AE" w:rsidRPr="00D30537" w:rsidRDefault="008047AE" w:rsidP="008047AE">
      <w:pPr>
        <w:keepNext/>
        <w:keepLines/>
        <w:rPr>
          <w:rFonts w:ascii="Arial Narrow" w:eastAsiaTheme="majorEastAsia" w:hAnsi="Arial Narrow" w:cs="Times New Roman"/>
          <w:bCs/>
          <w:sz w:val="18"/>
          <w:szCs w:val="18"/>
        </w:rPr>
      </w:pPr>
      <w:r w:rsidRPr="00D30537">
        <w:rPr>
          <w:rFonts w:ascii="Arial Narrow" w:eastAsiaTheme="majorEastAsia" w:hAnsi="Arial Narrow" w:cs="Times New Roman"/>
          <w:bCs/>
          <w:sz w:val="18"/>
          <w:szCs w:val="18"/>
        </w:rPr>
        <w:t>Source: Table 1, p10 of the submission</w:t>
      </w:r>
    </w:p>
    <w:p w14:paraId="39D5FA91" w14:textId="77777777" w:rsidR="008047AE" w:rsidRPr="00D30537" w:rsidRDefault="008047AE" w:rsidP="008047AE">
      <w:pPr>
        <w:keepNext/>
        <w:keepLines/>
        <w:rPr>
          <w:rFonts w:ascii="Arial Narrow" w:eastAsiaTheme="majorEastAsia" w:hAnsi="Arial Narrow" w:cs="Times New Roman"/>
          <w:bCs/>
          <w:sz w:val="18"/>
          <w:szCs w:val="18"/>
        </w:rPr>
      </w:pPr>
      <w:proofErr w:type="spellStart"/>
      <w:r w:rsidRPr="00D30537">
        <w:rPr>
          <w:rFonts w:ascii="Arial Narrow" w:eastAsiaTheme="majorEastAsia" w:hAnsi="Arial Narrow" w:cs="Times New Roman"/>
          <w:bCs/>
          <w:sz w:val="18"/>
          <w:szCs w:val="18"/>
          <w:vertAlign w:val="superscript"/>
        </w:rPr>
        <w:t>a</w:t>
      </w:r>
      <w:proofErr w:type="spellEnd"/>
      <w:r w:rsidRPr="00D30537">
        <w:rPr>
          <w:rFonts w:ascii="Arial Narrow" w:eastAsiaTheme="majorEastAsia" w:hAnsi="Arial Narrow" w:cs="Times New Roman"/>
          <w:bCs/>
          <w:sz w:val="18"/>
          <w:szCs w:val="18"/>
          <w:vertAlign w:val="superscript"/>
        </w:rPr>
        <w:t xml:space="preserve"> </w:t>
      </w:r>
      <w:r w:rsidRPr="00D30537">
        <w:rPr>
          <w:rFonts w:ascii="Arial Narrow" w:eastAsiaTheme="majorEastAsia" w:hAnsi="Arial Narrow" w:cs="Times New Roman"/>
          <w:bCs/>
          <w:sz w:val="18"/>
          <w:szCs w:val="18"/>
        </w:rPr>
        <w:t>In the recurrent locally advanced MCC population (not amenable to curative surgery or radiation therapy), the comparator is standard of care chemotherapy regimens. The submission claimed that due to this being a small population (making up approximately 10% of the proposed population based on the POD1UM-201 study), a formal clinical and cost-effectiveness analysis was not presented.</w:t>
      </w:r>
    </w:p>
    <w:p w14:paraId="60FA4F49" w14:textId="77777777" w:rsidR="008047AE" w:rsidRPr="00D30537" w:rsidRDefault="008047AE" w:rsidP="008047AE">
      <w:pPr>
        <w:pStyle w:val="2-SectionHeading"/>
      </w:pPr>
      <w:bookmarkStart w:id="2" w:name="_Toc208988051"/>
      <w:r w:rsidRPr="00D30537">
        <w:t>Background</w:t>
      </w:r>
      <w:bookmarkEnd w:id="2"/>
    </w:p>
    <w:p w14:paraId="7DC08FB6" w14:textId="348657DB" w:rsidR="008047AE" w:rsidRPr="00DD35D1" w:rsidRDefault="008047AE" w:rsidP="000461E7">
      <w:pPr>
        <w:pStyle w:val="4-SubsectionHeading"/>
      </w:pPr>
      <w:bookmarkStart w:id="3" w:name="_Toc22897638"/>
      <w:bookmarkStart w:id="4" w:name="_Toc208988052"/>
      <w:r w:rsidRPr="00DD35D1">
        <w:t>Registration status</w:t>
      </w:r>
      <w:bookmarkEnd w:id="3"/>
      <w:bookmarkEnd w:id="4"/>
    </w:p>
    <w:p w14:paraId="5F564468" w14:textId="169706DE" w:rsidR="008047AE" w:rsidRPr="00DD35D1" w:rsidRDefault="008047AE" w:rsidP="006119F9">
      <w:pPr>
        <w:pStyle w:val="3-BodyText"/>
        <w:ind w:left="709"/>
      </w:pPr>
      <w:r w:rsidRPr="00DD35D1">
        <w:lastRenderedPageBreak/>
        <w:t xml:space="preserve">The submission was made under the </w:t>
      </w:r>
      <w:r w:rsidR="004D2AFB" w:rsidRPr="00DD35D1">
        <w:t>Therapeutic Goods Administration (</w:t>
      </w:r>
      <w:r w:rsidRPr="00DD35D1">
        <w:t>TGA</w:t>
      </w:r>
      <w:r w:rsidR="004D2AFB" w:rsidRPr="00DD35D1">
        <w:t xml:space="preserve">) </w:t>
      </w:r>
      <w:r w:rsidRPr="00DD35D1">
        <w:t>/</w:t>
      </w:r>
      <w:r w:rsidR="004D2AFB" w:rsidRPr="00DD35D1">
        <w:t xml:space="preserve"> Pharmaceutical Benefits Advisory Committee (</w:t>
      </w:r>
      <w:r w:rsidRPr="00DD35D1">
        <w:t>PBAC</w:t>
      </w:r>
      <w:r w:rsidR="004D2AFB" w:rsidRPr="00DD35D1">
        <w:t>)</w:t>
      </w:r>
      <w:r w:rsidRPr="00DD35D1">
        <w:t xml:space="preserve"> Parallel Process. A TGA application was lodged on 30 April 2025 under the Project ORBIS program, and the delegate’s overview </w:t>
      </w:r>
      <w:r w:rsidR="0003108D">
        <w:t>was</w:t>
      </w:r>
      <w:r w:rsidR="0003108D" w:rsidRPr="00DD35D1">
        <w:t xml:space="preserve"> </w:t>
      </w:r>
      <w:r w:rsidRPr="00DD35D1">
        <w:t xml:space="preserve">expected </w:t>
      </w:r>
      <w:r w:rsidR="00C40446" w:rsidRPr="00DD35D1">
        <w:t xml:space="preserve">in </w:t>
      </w:r>
      <w:r w:rsidRPr="00DD35D1">
        <w:t>March 2026. Retifanlimab received orphan drug designation for MCC</w:t>
      </w:r>
      <w:r w:rsidR="005B32F8" w:rsidRPr="00DD35D1">
        <w:t>.</w:t>
      </w:r>
    </w:p>
    <w:p w14:paraId="7CECAA93" w14:textId="523DE20D" w:rsidR="00FA403F" w:rsidRPr="00D30537" w:rsidRDefault="00FA403F" w:rsidP="006119F9">
      <w:pPr>
        <w:pStyle w:val="3-BodyText"/>
        <w:ind w:left="709"/>
      </w:pPr>
      <w:r w:rsidRPr="00D30537">
        <w:t xml:space="preserve">The proposed TGA indication is </w:t>
      </w:r>
      <w:r w:rsidR="00813442" w:rsidRPr="00D30537">
        <w:t xml:space="preserve">“for the treatment of adult patients with metastatic or recurrent locally advanced MCC”. </w:t>
      </w:r>
      <w:r w:rsidR="00DC734A" w:rsidRPr="00DD35D1">
        <w:t>The TGA Clinical Evaluation Report (CER) – Round 1 wa</w:t>
      </w:r>
      <w:r w:rsidR="004E0DA5">
        <w:t>s available at the time of PBAC consideration. T</w:t>
      </w:r>
      <w:r w:rsidR="00DC734A" w:rsidRPr="00DD35D1">
        <w:t>he Clinical Evaluator ha</w:t>
      </w:r>
      <w:r w:rsidR="00E5779F">
        <w:t>d</w:t>
      </w:r>
      <w:r w:rsidR="00DC734A" w:rsidRPr="00DD35D1">
        <w:t xml:space="preserve"> no objection to approval of retifanlimab for th</w:t>
      </w:r>
      <w:r w:rsidR="004E0BCC" w:rsidRPr="00DD35D1">
        <w:t>is</w:t>
      </w:r>
      <w:r w:rsidR="00DC734A" w:rsidRPr="00DD35D1">
        <w:t xml:space="preserve"> indication</w:t>
      </w:r>
      <w:r w:rsidR="00E5779F">
        <w:t>.</w:t>
      </w:r>
      <w:r w:rsidR="00DD35D1">
        <w:t xml:space="preserve"> </w:t>
      </w:r>
    </w:p>
    <w:p w14:paraId="5BCB2A9B" w14:textId="77777777" w:rsidR="00CB20CB" w:rsidRPr="00D30537" w:rsidRDefault="00CB20CB" w:rsidP="00914E61">
      <w:pPr>
        <w:pStyle w:val="3-BodyText"/>
        <w:numPr>
          <w:ilvl w:val="0"/>
          <w:numId w:val="0"/>
        </w:numPr>
        <w:ind w:left="-11"/>
        <w:rPr>
          <w:i/>
          <w:iCs/>
        </w:rPr>
      </w:pPr>
      <w:bookmarkStart w:id="5" w:name="_Hlk76375324"/>
    </w:p>
    <w:p w14:paraId="00195531" w14:textId="4189BAAC" w:rsidR="00914E61" w:rsidRPr="00D30537" w:rsidRDefault="00914E61" w:rsidP="008C11CB">
      <w:pPr>
        <w:pStyle w:val="3-BodyText"/>
        <w:numPr>
          <w:ilvl w:val="0"/>
          <w:numId w:val="0"/>
        </w:numPr>
        <w:ind w:left="-11" w:firstLine="720"/>
        <w:rPr>
          <w:i/>
          <w:iCs/>
        </w:rPr>
      </w:pPr>
      <w:r w:rsidRPr="00D30537">
        <w:rPr>
          <w:i/>
          <w:iCs/>
        </w:rPr>
        <w:t>For more detail on PBAC’s view, see section 7 PBAC outcome.</w:t>
      </w:r>
    </w:p>
    <w:p w14:paraId="7ED376A5" w14:textId="77777777" w:rsidR="008047AE" w:rsidRDefault="008047AE" w:rsidP="008047AE">
      <w:pPr>
        <w:pStyle w:val="2-SectionHeading"/>
      </w:pPr>
      <w:bookmarkStart w:id="6" w:name="_Toc107902078"/>
      <w:bookmarkStart w:id="7" w:name="_Toc208988053"/>
      <w:bookmarkEnd w:id="5"/>
      <w:bookmarkEnd w:id="6"/>
      <w:r w:rsidRPr="00D30537">
        <w:t>Requested listing</w:t>
      </w:r>
      <w:bookmarkEnd w:id="7"/>
    </w:p>
    <w:p w14:paraId="7EA30ADF" w14:textId="6C5E66CE" w:rsidR="0021776C" w:rsidRPr="0021776C" w:rsidRDefault="0021776C" w:rsidP="00E5779F">
      <w:pPr>
        <w:pStyle w:val="3-BodyText"/>
        <w:ind w:left="709"/>
      </w:pPr>
      <w:r w:rsidRPr="0021776C">
        <w:t>Secretariat 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ested listing"/>
      </w:tblPr>
      <w:tblGrid>
        <w:gridCol w:w="2278"/>
        <w:gridCol w:w="1140"/>
        <w:gridCol w:w="1426"/>
        <w:gridCol w:w="2279"/>
        <w:gridCol w:w="1894"/>
      </w:tblGrid>
      <w:tr w:rsidR="008047AE" w:rsidRPr="00D30537" w14:paraId="16244FCC" w14:textId="77777777" w:rsidTr="00B6498D">
        <w:trPr>
          <w:trHeight w:val="454"/>
          <w:tblHeader/>
        </w:trPr>
        <w:tc>
          <w:tcPr>
            <w:tcW w:w="1263" w:type="pct"/>
            <w:tcBorders>
              <w:top w:val="single" w:sz="4" w:space="0" w:color="auto"/>
              <w:left w:val="single" w:sz="4" w:space="0" w:color="auto"/>
              <w:bottom w:val="single" w:sz="4" w:space="0" w:color="auto"/>
              <w:right w:val="single" w:sz="4" w:space="0" w:color="auto"/>
            </w:tcBorders>
            <w:vAlign w:val="center"/>
            <w:hideMark/>
          </w:tcPr>
          <w:p w14:paraId="117B924D" w14:textId="77777777" w:rsidR="008047AE" w:rsidRPr="00D30537" w:rsidRDefault="008047AE" w:rsidP="000E3BF7">
            <w:pPr>
              <w:pStyle w:val="TableFooter"/>
              <w:keepNext/>
              <w:keepLines/>
              <w:jc w:val="center"/>
              <w:rPr>
                <w:b/>
                <w:bCs/>
                <w:sz w:val="20"/>
                <w:szCs w:val="20"/>
              </w:rPr>
            </w:pPr>
            <w:bookmarkStart w:id="8" w:name="_Hlk104809082"/>
            <w:r w:rsidRPr="00D30537">
              <w:rPr>
                <w:b/>
                <w:bCs/>
                <w:sz w:val="20"/>
                <w:szCs w:val="20"/>
              </w:rPr>
              <w:lastRenderedPageBreak/>
              <w:t>Name, restriction, manner of administration, form</w:t>
            </w:r>
          </w:p>
        </w:tc>
        <w:tc>
          <w:tcPr>
            <w:tcW w:w="632" w:type="pct"/>
            <w:tcBorders>
              <w:top w:val="single" w:sz="4" w:space="0" w:color="auto"/>
              <w:left w:val="single" w:sz="4" w:space="0" w:color="auto"/>
              <w:bottom w:val="single" w:sz="4" w:space="0" w:color="auto"/>
              <w:right w:val="single" w:sz="4" w:space="0" w:color="auto"/>
            </w:tcBorders>
            <w:vAlign w:val="center"/>
            <w:hideMark/>
          </w:tcPr>
          <w:p w14:paraId="4CA85F46" w14:textId="77777777" w:rsidR="008047AE" w:rsidRPr="00D30537" w:rsidRDefault="008047AE" w:rsidP="000E3BF7">
            <w:pPr>
              <w:pStyle w:val="TableFooter"/>
              <w:keepNext/>
              <w:keepLines/>
              <w:jc w:val="center"/>
              <w:rPr>
                <w:b/>
                <w:bCs/>
                <w:sz w:val="20"/>
                <w:szCs w:val="20"/>
              </w:rPr>
            </w:pPr>
            <w:r w:rsidRPr="00D30537">
              <w:rPr>
                <w:b/>
                <w:bCs/>
                <w:sz w:val="20"/>
                <w:szCs w:val="20"/>
              </w:rPr>
              <w:t>Maximum amount</w:t>
            </w:r>
          </w:p>
        </w:tc>
        <w:tc>
          <w:tcPr>
            <w:tcW w:w="791" w:type="pct"/>
            <w:tcBorders>
              <w:top w:val="single" w:sz="4" w:space="0" w:color="auto"/>
              <w:left w:val="single" w:sz="4" w:space="0" w:color="auto"/>
              <w:bottom w:val="single" w:sz="4" w:space="0" w:color="auto"/>
              <w:right w:val="single" w:sz="4" w:space="0" w:color="auto"/>
            </w:tcBorders>
            <w:vAlign w:val="center"/>
            <w:hideMark/>
          </w:tcPr>
          <w:p w14:paraId="725BEF52" w14:textId="77777777" w:rsidR="008047AE" w:rsidRPr="00D30537" w:rsidRDefault="008047AE" w:rsidP="000E3BF7">
            <w:pPr>
              <w:pStyle w:val="TableFooter"/>
              <w:keepNext/>
              <w:keepLines/>
              <w:jc w:val="center"/>
              <w:rPr>
                <w:b/>
                <w:bCs/>
                <w:sz w:val="20"/>
                <w:szCs w:val="20"/>
              </w:rPr>
            </w:pPr>
            <w:r w:rsidRPr="00D30537">
              <w:rPr>
                <w:b/>
                <w:bCs/>
                <w:sz w:val="20"/>
                <w:szCs w:val="20"/>
              </w:rPr>
              <w:t>No. of repeats</w:t>
            </w:r>
          </w:p>
        </w:tc>
        <w:tc>
          <w:tcPr>
            <w:tcW w:w="1264" w:type="pct"/>
            <w:tcBorders>
              <w:top w:val="single" w:sz="4" w:space="0" w:color="auto"/>
              <w:left w:val="single" w:sz="4" w:space="0" w:color="auto"/>
              <w:bottom w:val="single" w:sz="4" w:space="0" w:color="auto"/>
              <w:right w:val="single" w:sz="4" w:space="0" w:color="auto"/>
            </w:tcBorders>
            <w:vAlign w:val="center"/>
            <w:hideMark/>
          </w:tcPr>
          <w:p w14:paraId="4BF91666" w14:textId="77777777" w:rsidR="008047AE" w:rsidRPr="00D30537" w:rsidRDefault="008047AE" w:rsidP="000E3BF7">
            <w:pPr>
              <w:pStyle w:val="TableFooter"/>
              <w:keepNext/>
              <w:keepLines/>
              <w:jc w:val="center"/>
              <w:rPr>
                <w:b/>
                <w:bCs/>
                <w:sz w:val="20"/>
                <w:szCs w:val="20"/>
                <w:vertAlign w:val="superscript"/>
              </w:rPr>
            </w:pPr>
            <w:r w:rsidRPr="00D30537">
              <w:rPr>
                <w:b/>
                <w:bCs/>
                <w:sz w:val="20"/>
                <w:szCs w:val="20"/>
              </w:rPr>
              <w:t xml:space="preserve">Dispensed price for maximum amount </w:t>
            </w:r>
            <w:r w:rsidRPr="00D30537">
              <w:rPr>
                <w:b/>
                <w:bCs/>
                <w:sz w:val="20"/>
                <w:szCs w:val="20"/>
                <w:vertAlign w:val="superscript"/>
              </w:rPr>
              <w:t>a</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DDD1967" w14:textId="77777777" w:rsidR="008047AE" w:rsidRPr="00D30537" w:rsidRDefault="008047AE" w:rsidP="000E3BF7">
            <w:pPr>
              <w:pStyle w:val="TableFooter"/>
              <w:keepNext/>
              <w:keepLines/>
              <w:jc w:val="center"/>
              <w:rPr>
                <w:b/>
                <w:bCs/>
                <w:sz w:val="20"/>
                <w:szCs w:val="20"/>
              </w:rPr>
            </w:pPr>
            <w:r w:rsidRPr="00D30537">
              <w:rPr>
                <w:b/>
                <w:bCs/>
                <w:sz w:val="20"/>
                <w:szCs w:val="20"/>
              </w:rPr>
              <w:t>Proprietary name and manufacturer</w:t>
            </w:r>
          </w:p>
        </w:tc>
      </w:tr>
      <w:tr w:rsidR="008047AE" w:rsidRPr="00D30537" w14:paraId="69E8F16E" w14:textId="77777777" w:rsidTr="00B6498D">
        <w:trPr>
          <w:trHeight w:val="70"/>
        </w:trPr>
        <w:tc>
          <w:tcPr>
            <w:tcW w:w="1263" w:type="pct"/>
            <w:tcBorders>
              <w:top w:val="single" w:sz="4" w:space="0" w:color="auto"/>
              <w:left w:val="single" w:sz="4" w:space="0" w:color="auto"/>
              <w:bottom w:val="single" w:sz="4" w:space="0" w:color="auto"/>
              <w:right w:val="single" w:sz="4" w:space="0" w:color="auto"/>
            </w:tcBorders>
            <w:vAlign w:val="center"/>
            <w:hideMark/>
          </w:tcPr>
          <w:p w14:paraId="0A16149D" w14:textId="77777777" w:rsidR="008047AE" w:rsidRPr="00D30537" w:rsidRDefault="008047AE" w:rsidP="000E3BF7">
            <w:pPr>
              <w:pStyle w:val="TableFooter"/>
              <w:keepNext/>
              <w:keepLines/>
              <w:jc w:val="left"/>
              <w:rPr>
                <w:sz w:val="20"/>
                <w:szCs w:val="20"/>
              </w:rPr>
            </w:pPr>
            <w:r w:rsidRPr="00D30537">
              <w:rPr>
                <w:sz w:val="20"/>
                <w:szCs w:val="20"/>
              </w:rPr>
              <w:t>Retifanlimab</w:t>
            </w:r>
          </w:p>
          <w:p w14:paraId="0C2173CD" w14:textId="77777777" w:rsidR="008047AE" w:rsidRPr="00D30537" w:rsidRDefault="008047AE" w:rsidP="000E3BF7">
            <w:pPr>
              <w:pStyle w:val="TableFooter"/>
              <w:keepNext/>
              <w:keepLines/>
              <w:jc w:val="left"/>
              <w:rPr>
                <w:sz w:val="20"/>
                <w:szCs w:val="20"/>
              </w:rPr>
            </w:pPr>
            <w:r w:rsidRPr="00D30537">
              <w:rPr>
                <w:sz w:val="20"/>
                <w:szCs w:val="20"/>
              </w:rPr>
              <w:t>25 mg/mL 20mL vial</w:t>
            </w:r>
          </w:p>
        </w:tc>
        <w:tc>
          <w:tcPr>
            <w:tcW w:w="632" w:type="pct"/>
            <w:tcBorders>
              <w:top w:val="single" w:sz="4" w:space="0" w:color="auto"/>
              <w:left w:val="single" w:sz="4" w:space="0" w:color="auto"/>
              <w:bottom w:val="single" w:sz="4" w:space="0" w:color="auto"/>
              <w:right w:val="single" w:sz="4" w:space="0" w:color="auto"/>
            </w:tcBorders>
            <w:vAlign w:val="center"/>
            <w:hideMark/>
          </w:tcPr>
          <w:p w14:paraId="7A642BC1" w14:textId="77777777" w:rsidR="008047AE" w:rsidRPr="00D30537" w:rsidRDefault="008047AE" w:rsidP="000E3BF7">
            <w:pPr>
              <w:pStyle w:val="TableFooter"/>
              <w:keepNext/>
              <w:keepLines/>
              <w:jc w:val="left"/>
              <w:rPr>
                <w:sz w:val="20"/>
                <w:szCs w:val="20"/>
              </w:rPr>
            </w:pPr>
            <w:r w:rsidRPr="00D30537">
              <w:rPr>
                <w:sz w:val="20"/>
                <w:szCs w:val="20"/>
              </w:rPr>
              <w:t>500 mg</w:t>
            </w:r>
          </w:p>
        </w:tc>
        <w:tc>
          <w:tcPr>
            <w:tcW w:w="791" w:type="pct"/>
            <w:tcBorders>
              <w:top w:val="single" w:sz="4" w:space="0" w:color="auto"/>
              <w:left w:val="single" w:sz="4" w:space="0" w:color="auto"/>
              <w:bottom w:val="single" w:sz="4" w:space="0" w:color="auto"/>
              <w:right w:val="single" w:sz="4" w:space="0" w:color="auto"/>
            </w:tcBorders>
            <w:vAlign w:val="center"/>
            <w:hideMark/>
          </w:tcPr>
          <w:p w14:paraId="6FEF725D" w14:textId="77777777" w:rsidR="008047AE" w:rsidRPr="00D30537" w:rsidRDefault="008047AE" w:rsidP="000E3BF7">
            <w:pPr>
              <w:pStyle w:val="TableFooter"/>
              <w:keepNext/>
              <w:keepLines/>
              <w:jc w:val="left"/>
              <w:rPr>
                <w:sz w:val="20"/>
                <w:szCs w:val="20"/>
              </w:rPr>
            </w:pPr>
            <w:r w:rsidRPr="00D30537">
              <w:rPr>
                <w:sz w:val="20"/>
                <w:szCs w:val="20"/>
              </w:rPr>
              <w:t xml:space="preserve">5 </w:t>
            </w:r>
          </w:p>
        </w:tc>
        <w:tc>
          <w:tcPr>
            <w:tcW w:w="1264" w:type="pct"/>
            <w:tcBorders>
              <w:top w:val="single" w:sz="4" w:space="0" w:color="auto"/>
              <w:left w:val="single" w:sz="4" w:space="0" w:color="auto"/>
              <w:bottom w:val="single" w:sz="4" w:space="0" w:color="auto"/>
              <w:right w:val="single" w:sz="4" w:space="0" w:color="auto"/>
            </w:tcBorders>
            <w:vAlign w:val="center"/>
            <w:hideMark/>
          </w:tcPr>
          <w:p w14:paraId="50033F50" w14:textId="77777777" w:rsidR="008047AE" w:rsidRPr="00D30537" w:rsidRDefault="008047AE" w:rsidP="000E3BF7">
            <w:pPr>
              <w:pStyle w:val="TableFooter"/>
              <w:keepNext/>
              <w:keepLines/>
              <w:jc w:val="left"/>
              <w:rPr>
                <w:b/>
                <w:sz w:val="20"/>
                <w:szCs w:val="20"/>
              </w:rPr>
            </w:pPr>
            <w:r w:rsidRPr="00D30537">
              <w:rPr>
                <w:b/>
                <w:sz w:val="20"/>
                <w:szCs w:val="20"/>
              </w:rPr>
              <w:t>Published:</w:t>
            </w:r>
          </w:p>
          <w:p w14:paraId="27A0BEB3" w14:textId="77777777" w:rsidR="008047AE" w:rsidRPr="00D30537" w:rsidRDefault="008047AE" w:rsidP="000E3BF7">
            <w:pPr>
              <w:pStyle w:val="TableFooter"/>
              <w:keepNext/>
              <w:keepLines/>
              <w:jc w:val="left"/>
              <w:rPr>
                <w:sz w:val="20"/>
                <w:szCs w:val="20"/>
              </w:rPr>
            </w:pPr>
            <w:r w:rsidRPr="00D30537">
              <w:rPr>
                <w:sz w:val="20"/>
                <w:szCs w:val="20"/>
              </w:rPr>
              <w:t>Public: $22,091.23</w:t>
            </w:r>
          </w:p>
          <w:p w14:paraId="5CC09C50" w14:textId="77777777" w:rsidR="008047AE" w:rsidRPr="00D30537" w:rsidRDefault="008047AE" w:rsidP="000E3BF7">
            <w:pPr>
              <w:pStyle w:val="TableFooter"/>
              <w:keepNext/>
              <w:keepLines/>
              <w:jc w:val="left"/>
              <w:rPr>
                <w:sz w:val="20"/>
                <w:szCs w:val="20"/>
              </w:rPr>
            </w:pPr>
            <w:r w:rsidRPr="00D30537">
              <w:rPr>
                <w:sz w:val="20"/>
                <w:szCs w:val="20"/>
              </w:rPr>
              <w:t>Private: $22,444.90</w:t>
            </w:r>
          </w:p>
          <w:p w14:paraId="6439873F" w14:textId="77777777" w:rsidR="008047AE" w:rsidRPr="00D30537" w:rsidRDefault="008047AE" w:rsidP="000E3BF7">
            <w:pPr>
              <w:pStyle w:val="TableFooter"/>
              <w:keepNext/>
              <w:keepLines/>
              <w:jc w:val="left"/>
              <w:rPr>
                <w:b/>
                <w:sz w:val="20"/>
                <w:szCs w:val="20"/>
              </w:rPr>
            </w:pPr>
            <w:r w:rsidRPr="00D30537">
              <w:rPr>
                <w:b/>
                <w:sz w:val="20"/>
                <w:szCs w:val="20"/>
              </w:rPr>
              <w:t>Effective:</w:t>
            </w:r>
          </w:p>
          <w:p w14:paraId="0E066218" w14:textId="572EA9BC" w:rsidR="008047AE" w:rsidRPr="00D30537" w:rsidRDefault="008047AE" w:rsidP="000E3BF7">
            <w:pPr>
              <w:pStyle w:val="TableFooter"/>
              <w:keepNext/>
              <w:keepLines/>
              <w:jc w:val="left"/>
              <w:rPr>
                <w:sz w:val="20"/>
                <w:szCs w:val="20"/>
              </w:rPr>
            </w:pPr>
            <w:r w:rsidRPr="00D30537">
              <w:rPr>
                <w:sz w:val="20"/>
                <w:szCs w:val="20"/>
              </w:rPr>
              <w:t>Public: $</w:t>
            </w:r>
            <w:r w:rsidR="00D863F0" w:rsidRPr="00D863F0">
              <w:rPr>
                <w:sz w:val="20"/>
                <w:szCs w:val="20"/>
                <w:highlight w:val="black"/>
              </w:rPr>
              <w:t>&amp;&amp;&amp;&amp;</w:t>
            </w:r>
          </w:p>
          <w:p w14:paraId="25EDDCE8" w14:textId="0F3918E3" w:rsidR="008047AE" w:rsidRPr="00D30537" w:rsidRDefault="008047AE" w:rsidP="000E3BF7">
            <w:pPr>
              <w:pStyle w:val="TableFooter"/>
              <w:keepNext/>
              <w:keepLines/>
              <w:jc w:val="left"/>
              <w:rPr>
                <w:sz w:val="20"/>
                <w:szCs w:val="20"/>
              </w:rPr>
            </w:pPr>
            <w:r w:rsidRPr="00D30537">
              <w:rPr>
                <w:sz w:val="20"/>
                <w:szCs w:val="20"/>
              </w:rPr>
              <w:t>Private: $</w:t>
            </w:r>
            <w:r w:rsidR="00D863F0" w:rsidRPr="00D863F0">
              <w:rPr>
                <w:sz w:val="20"/>
                <w:szCs w:val="20"/>
                <w:highlight w:val="black"/>
              </w:rPr>
              <w:t>&amp;&amp;&amp;&amp;</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1406DE0" w14:textId="77777777" w:rsidR="008047AE" w:rsidRPr="00D30537" w:rsidRDefault="008047AE" w:rsidP="000E3BF7">
            <w:pPr>
              <w:pStyle w:val="TableFooter"/>
              <w:keepNext/>
              <w:keepLines/>
              <w:jc w:val="left"/>
              <w:rPr>
                <w:sz w:val="20"/>
                <w:szCs w:val="20"/>
              </w:rPr>
            </w:pPr>
            <w:r w:rsidRPr="00D30537">
              <w:rPr>
                <w:sz w:val="20"/>
                <w:szCs w:val="20"/>
              </w:rPr>
              <w:t>ZYNYZ</w:t>
            </w:r>
            <w:r w:rsidRPr="00D30537">
              <w:rPr>
                <w:sz w:val="20"/>
                <w:szCs w:val="20"/>
                <w:vertAlign w:val="superscript"/>
              </w:rPr>
              <w:t>®</w:t>
            </w:r>
          </w:p>
          <w:p w14:paraId="0FC3E9B1" w14:textId="77777777" w:rsidR="008047AE" w:rsidRPr="00D30537" w:rsidRDefault="008047AE" w:rsidP="000E3BF7">
            <w:pPr>
              <w:pStyle w:val="TableFooter"/>
              <w:keepNext/>
              <w:keepLines/>
              <w:jc w:val="left"/>
              <w:rPr>
                <w:sz w:val="20"/>
                <w:szCs w:val="20"/>
              </w:rPr>
            </w:pPr>
            <w:r w:rsidRPr="00D30537">
              <w:rPr>
                <w:sz w:val="20"/>
                <w:szCs w:val="20"/>
              </w:rPr>
              <w:t>Specialised Therapeutics Alim Pty Ltd</w:t>
            </w:r>
          </w:p>
        </w:tc>
      </w:tr>
    </w:tbl>
    <w:p w14:paraId="3172B8FF" w14:textId="77777777" w:rsidR="00E5779F" w:rsidRDefault="00E5779F" w:rsidP="000E3BF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E5779F" w:rsidRPr="00D30537" w14:paraId="1FC3B452" w14:textId="77777777" w:rsidTr="00E5779F">
        <w:trPr>
          <w:cantSplit/>
          <w:trHeight w:val="20"/>
        </w:trPr>
        <w:tc>
          <w:tcPr>
            <w:tcW w:w="5000" w:type="pct"/>
          </w:tcPr>
          <w:p w14:paraId="249FC134" w14:textId="3449E59A" w:rsidR="00E5779F" w:rsidRPr="00272773" w:rsidRDefault="00E5779F" w:rsidP="000E3BF7">
            <w:pPr>
              <w:keepNext/>
              <w:keepLines/>
              <w:rPr>
                <w:rFonts w:ascii="Arial Narrow" w:hAnsi="Arial Narrow"/>
                <w:sz w:val="20"/>
                <w:szCs w:val="20"/>
              </w:rPr>
            </w:pPr>
            <w:r w:rsidRPr="00272773">
              <w:rPr>
                <w:rFonts w:ascii="Arial Narrow" w:hAnsi="Arial Narrow"/>
                <w:b/>
                <w:sz w:val="20"/>
                <w:szCs w:val="20"/>
              </w:rPr>
              <w:t xml:space="preserve">Category / Program: </w:t>
            </w:r>
            <w:r w:rsidRPr="00272773">
              <w:rPr>
                <w:rFonts w:ascii="Arial Narrow" w:hAnsi="Arial Narrow"/>
                <w:sz w:val="20"/>
                <w:szCs w:val="20"/>
              </w:rPr>
              <w:t>Section 100 – Efficient Funding of Chemotherapy Public/Private hospitals</w:t>
            </w:r>
          </w:p>
        </w:tc>
      </w:tr>
      <w:tr w:rsidR="00E5779F" w:rsidRPr="00D30537" w14:paraId="071F07F6" w14:textId="77777777" w:rsidTr="00E5779F">
        <w:trPr>
          <w:cantSplit/>
          <w:trHeight w:val="20"/>
        </w:trPr>
        <w:tc>
          <w:tcPr>
            <w:tcW w:w="5000" w:type="pct"/>
          </w:tcPr>
          <w:p w14:paraId="62D7AD44" w14:textId="77777777" w:rsidR="00E5779F" w:rsidRPr="00272773" w:rsidRDefault="00E5779F" w:rsidP="000E3BF7">
            <w:pPr>
              <w:keepNext/>
              <w:keepLines/>
              <w:rPr>
                <w:rFonts w:ascii="Arial Narrow" w:hAnsi="Arial Narrow"/>
                <w:b/>
                <w:sz w:val="20"/>
                <w:szCs w:val="20"/>
              </w:rPr>
            </w:pPr>
            <w:r w:rsidRPr="00272773">
              <w:rPr>
                <w:rFonts w:ascii="Arial Narrow" w:hAnsi="Arial Narrow"/>
                <w:b/>
                <w:sz w:val="20"/>
                <w:szCs w:val="20"/>
              </w:rPr>
              <w:t xml:space="preserve">Prescriber type: </w:t>
            </w:r>
            <w:r w:rsidRPr="00272773">
              <w:rPr>
                <w:rFonts w:ascii="Arial Narrow" w:hAnsi="Arial Narrow"/>
                <w:sz w:val="20"/>
                <w:szCs w:val="20"/>
              </w:rPr>
              <w:fldChar w:fldCharType="begin">
                <w:ffData>
                  <w:name w:val=""/>
                  <w:enabled/>
                  <w:calcOnExit w:val="0"/>
                  <w:checkBox>
                    <w:sizeAuto/>
                    <w:default w:val="1"/>
                  </w:checkBox>
                </w:ffData>
              </w:fldChar>
            </w:r>
            <w:r w:rsidRPr="00272773">
              <w:rPr>
                <w:rFonts w:ascii="Arial Narrow" w:hAnsi="Arial Narrow"/>
                <w:sz w:val="20"/>
                <w:szCs w:val="20"/>
              </w:rPr>
              <w:instrText xml:space="preserve"> FORMCHECKBOX </w:instrText>
            </w:r>
            <w:r w:rsidRPr="00272773">
              <w:rPr>
                <w:rFonts w:ascii="Arial Narrow" w:hAnsi="Arial Narrow"/>
                <w:sz w:val="20"/>
                <w:szCs w:val="20"/>
              </w:rPr>
            </w:r>
            <w:r w:rsidRPr="00272773">
              <w:rPr>
                <w:rFonts w:ascii="Arial Narrow" w:hAnsi="Arial Narrow"/>
                <w:sz w:val="20"/>
                <w:szCs w:val="20"/>
              </w:rPr>
              <w:fldChar w:fldCharType="separate"/>
            </w:r>
            <w:r w:rsidRPr="00272773">
              <w:rPr>
                <w:rFonts w:ascii="Arial Narrow" w:hAnsi="Arial Narrow"/>
                <w:sz w:val="20"/>
                <w:szCs w:val="20"/>
              </w:rPr>
              <w:fldChar w:fldCharType="end"/>
            </w:r>
            <w:r w:rsidRPr="00272773">
              <w:rPr>
                <w:rFonts w:ascii="Arial Narrow" w:hAnsi="Arial Narrow"/>
                <w:sz w:val="20"/>
                <w:szCs w:val="20"/>
              </w:rPr>
              <w:t xml:space="preserve">Medical Practitioners </w:t>
            </w:r>
          </w:p>
        </w:tc>
      </w:tr>
      <w:tr w:rsidR="00E5779F" w:rsidRPr="00D30537" w14:paraId="6DFD87DB" w14:textId="77777777" w:rsidTr="00E5779F">
        <w:trPr>
          <w:cantSplit/>
          <w:trHeight w:val="20"/>
        </w:trPr>
        <w:tc>
          <w:tcPr>
            <w:tcW w:w="5000" w:type="pct"/>
          </w:tcPr>
          <w:p w14:paraId="1074DAE0" w14:textId="77777777" w:rsidR="00E5779F" w:rsidRPr="00272773" w:rsidRDefault="00E5779F" w:rsidP="000E3BF7">
            <w:pPr>
              <w:keepNext/>
              <w:keepLines/>
              <w:rPr>
                <w:rFonts w:ascii="Arial Narrow" w:eastAsia="Calibri" w:hAnsi="Arial Narrow"/>
                <w:sz w:val="20"/>
                <w:szCs w:val="20"/>
              </w:rPr>
            </w:pPr>
            <w:r w:rsidRPr="00272773">
              <w:rPr>
                <w:rFonts w:ascii="Arial Narrow" w:hAnsi="Arial Narrow"/>
                <w:b/>
                <w:sz w:val="20"/>
                <w:szCs w:val="20"/>
              </w:rPr>
              <w:t xml:space="preserve">Restriction type: </w:t>
            </w:r>
            <w:r w:rsidRPr="00272773">
              <w:rPr>
                <w:rFonts w:ascii="Arial Narrow" w:eastAsia="Calibri" w:hAnsi="Arial Narrow"/>
                <w:sz w:val="20"/>
                <w:szCs w:val="20"/>
              </w:rPr>
              <w:fldChar w:fldCharType="begin">
                <w:ffData>
                  <w:name w:val=""/>
                  <w:enabled/>
                  <w:calcOnExit w:val="0"/>
                  <w:checkBox>
                    <w:sizeAuto/>
                    <w:default w:val="1"/>
                  </w:checkBox>
                </w:ffData>
              </w:fldChar>
            </w:r>
            <w:r w:rsidRPr="00272773">
              <w:rPr>
                <w:rFonts w:ascii="Arial Narrow" w:eastAsia="Calibri" w:hAnsi="Arial Narrow"/>
                <w:sz w:val="20"/>
                <w:szCs w:val="20"/>
              </w:rPr>
              <w:instrText xml:space="preserve"> FORMCHECKBOX </w:instrText>
            </w:r>
            <w:r w:rsidRPr="00272773">
              <w:rPr>
                <w:rFonts w:ascii="Arial Narrow" w:eastAsia="Calibri" w:hAnsi="Arial Narrow"/>
                <w:sz w:val="20"/>
                <w:szCs w:val="20"/>
              </w:rPr>
            </w:r>
            <w:r w:rsidRPr="00272773">
              <w:rPr>
                <w:rFonts w:ascii="Arial Narrow" w:eastAsia="Calibri" w:hAnsi="Arial Narrow"/>
                <w:sz w:val="20"/>
                <w:szCs w:val="20"/>
              </w:rPr>
              <w:fldChar w:fldCharType="separate"/>
            </w:r>
            <w:r w:rsidRPr="00272773">
              <w:rPr>
                <w:rFonts w:ascii="Arial Narrow" w:eastAsia="Calibri" w:hAnsi="Arial Narrow"/>
                <w:sz w:val="20"/>
                <w:szCs w:val="20"/>
              </w:rPr>
              <w:fldChar w:fldCharType="end"/>
            </w:r>
            <w:r w:rsidRPr="00272773">
              <w:rPr>
                <w:rFonts w:ascii="Arial Narrow" w:eastAsia="Calibri" w:hAnsi="Arial Narrow"/>
                <w:sz w:val="20"/>
                <w:szCs w:val="20"/>
              </w:rPr>
              <w:t xml:space="preserve">Authority Required (STREAMLINED) NEW </w:t>
            </w:r>
          </w:p>
        </w:tc>
      </w:tr>
      <w:tr w:rsidR="00E5779F" w:rsidRPr="00D30537" w14:paraId="6E396F53" w14:textId="77777777" w:rsidTr="00E5779F">
        <w:trPr>
          <w:trHeight w:val="20"/>
        </w:trPr>
        <w:tc>
          <w:tcPr>
            <w:tcW w:w="5000" w:type="pct"/>
            <w:vAlign w:val="center"/>
          </w:tcPr>
          <w:p w14:paraId="1B56DBC2" w14:textId="77777777" w:rsidR="00E5779F" w:rsidRPr="00272773" w:rsidRDefault="00E5779F" w:rsidP="000E3BF7">
            <w:pPr>
              <w:keepNext/>
              <w:keepLines/>
              <w:rPr>
                <w:rFonts w:ascii="Arial Narrow" w:hAnsi="Arial Narrow"/>
                <w:b/>
                <w:bCs/>
                <w:i/>
                <w:iCs/>
                <w:sz w:val="20"/>
                <w:szCs w:val="20"/>
              </w:rPr>
            </w:pPr>
            <w:r w:rsidRPr="00272773">
              <w:rPr>
                <w:rFonts w:ascii="Arial Narrow" w:hAnsi="Arial Narrow"/>
                <w:b/>
                <w:i/>
                <w:iCs/>
                <w:sz w:val="20"/>
                <w:szCs w:val="20"/>
              </w:rPr>
              <w:t>Administrative Advice:</w:t>
            </w:r>
            <w:r w:rsidRPr="00272773">
              <w:rPr>
                <w:rFonts w:ascii="Arial Narrow" w:hAnsi="Arial Narrow"/>
                <w:bCs/>
                <w:i/>
                <w:iCs/>
                <w:sz w:val="20"/>
                <w:szCs w:val="20"/>
              </w:rPr>
              <w:t xml:space="preserve"> </w:t>
            </w:r>
            <w:r w:rsidRPr="00272773">
              <w:rPr>
                <w:rFonts w:ascii="Arial Narrow" w:hAnsi="Arial Narrow"/>
                <w:i/>
                <w:iCs/>
                <w:sz w:val="20"/>
                <w:szCs w:val="20"/>
              </w:rPr>
              <w:t>No increase in the maximum amount or number of units may be authorised.</w:t>
            </w:r>
          </w:p>
        </w:tc>
      </w:tr>
      <w:tr w:rsidR="00E5779F" w:rsidRPr="00D30537" w14:paraId="2085CBB9" w14:textId="77777777" w:rsidTr="00E5779F">
        <w:trPr>
          <w:trHeight w:val="20"/>
        </w:trPr>
        <w:tc>
          <w:tcPr>
            <w:tcW w:w="5000" w:type="pct"/>
            <w:vAlign w:val="center"/>
          </w:tcPr>
          <w:p w14:paraId="45BA8B7B"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 xml:space="preserve">Administrative Advice: </w:t>
            </w:r>
            <w:r w:rsidRPr="00272773">
              <w:rPr>
                <w:rFonts w:ascii="Arial Narrow" w:hAnsi="Arial Narrow"/>
                <w:bCs/>
                <w:sz w:val="20"/>
                <w:szCs w:val="20"/>
              </w:rPr>
              <w:t>No increase in the maximum number of repeats may be authorised.</w:t>
            </w:r>
          </w:p>
        </w:tc>
      </w:tr>
      <w:tr w:rsidR="00E5779F" w:rsidRPr="00D30537" w14:paraId="37C239C3" w14:textId="77777777" w:rsidTr="00E5779F">
        <w:trPr>
          <w:trHeight w:val="20"/>
        </w:trPr>
        <w:tc>
          <w:tcPr>
            <w:tcW w:w="5000" w:type="pct"/>
            <w:vAlign w:val="center"/>
          </w:tcPr>
          <w:p w14:paraId="70CE5C92"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sz w:val="20"/>
                <w:szCs w:val="20"/>
              </w:rPr>
              <w:t xml:space="preserve">Administrative Advice: </w:t>
            </w:r>
            <w:r w:rsidRPr="00272773">
              <w:rPr>
                <w:rFonts w:ascii="Arial Narrow" w:hAnsi="Arial Narrow"/>
                <w:bCs/>
                <w:sz w:val="20"/>
                <w:szCs w:val="20"/>
              </w:rPr>
              <w:t>Special Pricing Arrangements apply.</w:t>
            </w:r>
          </w:p>
        </w:tc>
      </w:tr>
      <w:tr w:rsidR="00E5779F" w:rsidRPr="00D30537" w14:paraId="603022FB" w14:textId="77777777" w:rsidTr="00E5779F">
        <w:trPr>
          <w:cantSplit/>
          <w:trHeight w:val="20"/>
        </w:trPr>
        <w:tc>
          <w:tcPr>
            <w:tcW w:w="5000" w:type="pct"/>
            <w:vAlign w:val="center"/>
          </w:tcPr>
          <w:p w14:paraId="682B4CDA" w14:textId="77777777" w:rsidR="00E5779F" w:rsidRPr="00272773" w:rsidRDefault="00E5779F" w:rsidP="000E3BF7">
            <w:pPr>
              <w:keepNext/>
              <w:keepLines/>
              <w:rPr>
                <w:rFonts w:ascii="Arial Narrow" w:hAnsi="Arial Narrow"/>
                <w:bCs/>
                <w:sz w:val="20"/>
                <w:szCs w:val="20"/>
              </w:rPr>
            </w:pPr>
            <w:r w:rsidRPr="00272773">
              <w:rPr>
                <w:rFonts w:ascii="Arial Narrow" w:hAnsi="Arial Narrow"/>
                <w:b/>
                <w:bCs/>
                <w:sz w:val="20"/>
                <w:szCs w:val="20"/>
              </w:rPr>
              <w:t xml:space="preserve">Episodicity: </w:t>
            </w:r>
            <w:r w:rsidRPr="00272773">
              <w:rPr>
                <w:rFonts w:ascii="Arial Narrow" w:hAnsi="Arial Narrow"/>
                <w:bCs/>
                <w:sz w:val="20"/>
                <w:szCs w:val="20"/>
              </w:rPr>
              <w:t>BLANK</w:t>
            </w:r>
          </w:p>
        </w:tc>
      </w:tr>
      <w:tr w:rsidR="00E5779F" w:rsidRPr="00D30537" w14:paraId="4D180E0C" w14:textId="77777777" w:rsidTr="00E5779F">
        <w:trPr>
          <w:cantSplit/>
          <w:trHeight w:val="20"/>
        </w:trPr>
        <w:tc>
          <w:tcPr>
            <w:tcW w:w="5000" w:type="pct"/>
            <w:vAlign w:val="center"/>
          </w:tcPr>
          <w:p w14:paraId="69DFE318"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sz w:val="20"/>
                <w:szCs w:val="20"/>
              </w:rPr>
              <w:t xml:space="preserve">Severity: </w:t>
            </w:r>
            <w:r w:rsidRPr="00272773">
              <w:rPr>
                <w:rFonts w:ascii="Arial Narrow" w:hAnsi="Arial Narrow"/>
                <w:i/>
                <w:iCs/>
                <w:sz w:val="20"/>
                <w:szCs w:val="20"/>
              </w:rPr>
              <w:t xml:space="preserve">Recurrent locally advanced or </w:t>
            </w:r>
            <w:r w:rsidRPr="00272773">
              <w:rPr>
                <w:rFonts w:ascii="Arial Narrow" w:hAnsi="Arial Narrow"/>
                <w:bCs/>
                <w:i/>
                <w:iCs/>
                <w:sz w:val="20"/>
                <w:szCs w:val="20"/>
              </w:rPr>
              <w:t>Stage IV (metastatic)</w:t>
            </w:r>
          </w:p>
        </w:tc>
      </w:tr>
      <w:tr w:rsidR="00E5779F" w:rsidRPr="00D30537" w14:paraId="01261625" w14:textId="77777777" w:rsidTr="00E5779F">
        <w:trPr>
          <w:cantSplit/>
          <w:trHeight w:val="20"/>
        </w:trPr>
        <w:tc>
          <w:tcPr>
            <w:tcW w:w="5000" w:type="pct"/>
            <w:vAlign w:val="center"/>
          </w:tcPr>
          <w:p w14:paraId="59ADF1E7"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sz w:val="20"/>
                <w:szCs w:val="20"/>
              </w:rPr>
              <w:t xml:space="preserve">Condition: </w:t>
            </w:r>
            <w:r w:rsidRPr="00272773">
              <w:rPr>
                <w:rFonts w:ascii="Arial Narrow" w:hAnsi="Arial Narrow"/>
                <w:sz w:val="20"/>
                <w:szCs w:val="20"/>
              </w:rPr>
              <w:t>Merkel Cell Carcinoma</w:t>
            </w:r>
          </w:p>
        </w:tc>
      </w:tr>
      <w:tr w:rsidR="00E5779F" w:rsidRPr="00D30537" w14:paraId="10B19DF0" w14:textId="77777777" w:rsidTr="00E5779F">
        <w:trPr>
          <w:cantSplit/>
          <w:trHeight w:val="20"/>
        </w:trPr>
        <w:tc>
          <w:tcPr>
            <w:tcW w:w="5000" w:type="pct"/>
            <w:vAlign w:val="center"/>
            <w:hideMark/>
          </w:tcPr>
          <w:p w14:paraId="14BF79D5"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Indication:</w:t>
            </w:r>
            <w:r w:rsidRPr="00272773">
              <w:rPr>
                <w:rFonts w:ascii="Arial Narrow" w:hAnsi="Arial Narrow"/>
                <w:sz w:val="20"/>
                <w:szCs w:val="20"/>
              </w:rPr>
              <w:t xml:space="preserve"> Recurrent</w:t>
            </w:r>
            <w:r w:rsidRPr="00272773">
              <w:rPr>
                <w:rFonts w:ascii="Arial Narrow" w:hAnsi="Arial Narrow"/>
                <w:strike/>
                <w:sz w:val="20"/>
                <w:szCs w:val="20"/>
              </w:rPr>
              <w:t>,</w:t>
            </w:r>
            <w:r w:rsidRPr="00272773">
              <w:rPr>
                <w:rFonts w:ascii="Arial Narrow" w:hAnsi="Arial Narrow"/>
                <w:sz w:val="20"/>
                <w:szCs w:val="20"/>
              </w:rPr>
              <w:t xml:space="preserve"> locally advanced</w:t>
            </w:r>
            <w:r w:rsidRPr="00272773">
              <w:rPr>
                <w:rFonts w:ascii="Arial Narrow" w:hAnsi="Arial Narrow"/>
                <w:strike/>
                <w:sz w:val="20"/>
                <w:szCs w:val="20"/>
              </w:rPr>
              <w:t xml:space="preserve"> disease not amenable to surgery or radiation and</w:t>
            </w:r>
            <w:r w:rsidRPr="00272773">
              <w:rPr>
                <w:rFonts w:ascii="Arial Narrow" w:hAnsi="Arial Narrow"/>
                <w:sz w:val="20"/>
                <w:szCs w:val="20"/>
              </w:rPr>
              <w:t xml:space="preserve"> </w:t>
            </w:r>
            <w:r w:rsidRPr="00272773">
              <w:rPr>
                <w:rFonts w:ascii="Arial Narrow" w:hAnsi="Arial Narrow"/>
                <w:i/>
                <w:iCs/>
                <w:sz w:val="20"/>
                <w:szCs w:val="20"/>
              </w:rPr>
              <w:t>or</w:t>
            </w:r>
            <w:r w:rsidRPr="00272773">
              <w:rPr>
                <w:rFonts w:ascii="Arial Narrow" w:hAnsi="Arial Narrow"/>
                <w:sz w:val="20"/>
                <w:szCs w:val="20"/>
              </w:rPr>
              <w:t xml:space="preserve"> Stage IV (metastatic) Merkel Cell Carcinoma</w:t>
            </w:r>
          </w:p>
        </w:tc>
      </w:tr>
      <w:tr w:rsidR="00E5779F" w:rsidRPr="00D30537" w14:paraId="02415A27" w14:textId="77777777" w:rsidTr="00E5779F">
        <w:trPr>
          <w:cantSplit/>
          <w:trHeight w:val="20"/>
        </w:trPr>
        <w:tc>
          <w:tcPr>
            <w:tcW w:w="5000" w:type="pct"/>
            <w:vAlign w:val="center"/>
            <w:hideMark/>
          </w:tcPr>
          <w:p w14:paraId="12CDF51F"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Treatment Phase:</w:t>
            </w:r>
            <w:r w:rsidRPr="00272773">
              <w:rPr>
                <w:rFonts w:ascii="Arial Narrow" w:hAnsi="Arial Narrow"/>
                <w:sz w:val="20"/>
                <w:szCs w:val="20"/>
              </w:rPr>
              <w:t xml:space="preserve"> </w:t>
            </w:r>
            <w:r w:rsidRPr="00272773">
              <w:rPr>
                <w:rFonts w:ascii="Arial Narrow" w:hAnsi="Arial Narrow"/>
                <w:strike/>
                <w:sz w:val="20"/>
                <w:szCs w:val="20"/>
              </w:rPr>
              <w:t>All treatment</w:t>
            </w:r>
          </w:p>
        </w:tc>
      </w:tr>
      <w:tr w:rsidR="00E5779F" w:rsidRPr="00D30537" w14:paraId="147A746A" w14:textId="77777777" w:rsidTr="00E5779F">
        <w:trPr>
          <w:cantSplit/>
          <w:trHeight w:val="20"/>
        </w:trPr>
        <w:tc>
          <w:tcPr>
            <w:tcW w:w="5000" w:type="pct"/>
            <w:vAlign w:val="center"/>
          </w:tcPr>
          <w:p w14:paraId="5DEAD1AB"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
                <w:bCs/>
                <w:i/>
                <w:iCs/>
                <w:sz w:val="20"/>
                <w:szCs w:val="20"/>
              </w:rPr>
              <w:t>Population criteria:</w:t>
            </w:r>
          </w:p>
        </w:tc>
      </w:tr>
      <w:tr w:rsidR="00E5779F" w:rsidRPr="00D30537" w:rsidDel="00DF1C9D" w14:paraId="08E8DFC0" w14:textId="77777777" w:rsidTr="00E5779F">
        <w:trPr>
          <w:cantSplit/>
          <w:trHeight w:val="20"/>
        </w:trPr>
        <w:tc>
          <w:tcPr>
            <w:tcW w:w="5000" w:type="pct"/>
            <w:vAlign w:val="center"/>
          </w:tcPr>
          <w:p w14:paraId="39DDB155" w14:textId="77777777" w:rsidR="00E5779F" w:rsidRPr="00272773" w:rsidDel="00DF1C9D" w:rsidRDefault="00E5779F" w:rsidP="000E3BF7">
            <w:pPr>
              <w:keepNext/>
              <w:keepLines/>
              <w:rPr>
                <w:rFonts w:ascii="Arial Narrow" w:hAnsi="Arial Narrow"/>
                <w:i/>
                <w:iCs/>
                <w:sz w:val="20"/>
                <w:szCs w:val="20"/>
              </w:rPr>
            </w:pPr>
            <w:r w:rsidRPr="00272773">
              <w:rPr>
                <w:rFonts w:ascii="Arial Narrow" w:hAnsi="Arial Narrow"/>
                <w:i/>
                <w:iCs/>
                <w:sz w:val="20"/>
                <w:szCs w:val="20"/>
              </w:rPr>
              <w:t>Patient must have either of the following at treatment initiation: (i) recurrent locally advanced disease not amenable to surgery or radiotherapy, (ii) metastatic disease</w:t>
            </w:r>
          </w:p>
        </w:tc>
      </w:tr>
      <w:tr w:rsidR="00E5779F" w:rsidRPr="00D30537" w14:paraId="167CD373" w14:textId="77777777" w:rsidTr="00E5779F">
        <w:trPr>
          <w:cantSplit/>
          <w:trHeight w:val="20"/>
        </w:trPr>
        <w:tc>
          <w:tcPr>
            <w:tcW w:w="5000" w:type="pct"/>
            <w:vAlign w:val="center"/>
          </w:tcPr>
          <w:p w14:paraId="6E824423" w14:textId="77777777" w:rsidR="00E5779F" w:rsidRPr="00272773" w:rsidRDefault="00E5779F" w:rsidP="000E3BF7">
            <w:pPr>
              <w:keepNext/>
              <w:keepLines/>
              <w:rPr>
                <w:rFonts w:ascii="Arial Narrow" w:hAnsi="Arial Narrow"/>
                <w:i/>
                <w:iCs/>
                <w:sz w:val="20"/>
                <w:szCs w:val="20"/>
              </w:rPr>
            </w:pPr>
            <w:r w:rsidRPr="00272773">
              <w:rPr>
                <w:rFonts w:ascii="Arial Narrow" w:hAnsi="Arial Narrow"/>
                <w:b/>
                <w:bCs/>
                <w:i/>
                <w:iCs/>
                <w:sz w:val="20"/>
                <w:szCs w:val="20"/>
              </w:rPr>
              <w:t>AND</w:t>
            </w:r>
          </w:p>
        </w:tc>
      </w:tr>
      <w:tr w:rsidR="00E5779F" w:rsidRPr="00D30537" w14:paraId="252966EC" w14:textId="77777777" w:rsidTr="00E5779F">
        <w:trPr>
          <w:cantSplit/>
          <w:trHeight w:val="20"/>
        </w:trPr>
        <w:tc>
          <w:tcPr>
            <w:tcW w:w="5000" w:type="pct"/>
            <w:vAlign w:val="center"/>
            <w:hideMark/>
          </w:tcPr>
          <w:p w14:paraId="2618EC2E"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Clinical criteria:</w:t>
            </w:r>
          </w:p>
        </w:tc>
      </w:tr>
      <w:tr w:rsidR="00E5779F" w:rsidRPr="00D30537" w14:paraId="35D7B33B" w14:textId="77777777" w:rsidTr="00E5779F">
        <w:trPr>
          <w:cantSplit/>
          <w:trHeight w:val="20"/>
        </w:trPr>
        <w:tc>
          <w:tcPr>
            <w:tcW w:w="5000" w:type="pct"/>
            <w:vAlign w:val="center"/>
          </w:tcPr>
          <w:p w14:paraId="77027F39" w14:textId="77777777" w:rsidR="00E5779F" w:rsidRPr="00272773" w:rsidRDefault="00E5779F" w:rsidP="000E3BF7">
            <w:pPr>
              <w:keepNext/>
              <w:keepLines/>
              <w:rPr>
                <w:rFonts w:ascii="Arial Narrow" w:hAnsi="Arial Narrow"/>
                <w:b/>
                <w:bCs/>
                <w:sz w:val="20"/>
                <w:szCs w:val="20"/>
              </w:rPr>
            </w:pPr>
            <w:r w:rsidRPr="00272773">
              <w:rPr>
                <w:rFonts w:ascii="Arial Narrow" w:hAnsi="Arial Narrow"/>
                <w:bCs/>
                <w:sz w:val="20"/>
                <w:szCs w:val="20"/>
              </w:rPr>
              <w:t xml:space="preserve">The treatment must be the sole PBS-subsidised </w:t>
            </w:r>
            <w:r w:rsidRPr="00272773">
              <w:rPr>
                <w:rFonts w:ascii="Arial Narrow" w:hAnsi="Arial Narrow"/>
                <w:bCs/>
                <w:i/>
                <w:iCs/>
                <w:sz w:val="20"/>
                <w:szCs w:val="20"/>
              </w:rPr>
              <w:t xml:space="preserve">systemic anti-cancer </w:t>
            </w:r>
            <w:r w:rsidRPr="00272773">
              <w:rPr>
                <w:rFonts w:ascii="Arial Narrow" w:hAnsi="Arial Narrow"/>
                <w:bCs/>
                <w:sz w:val="20"/>
                <w:szCs w:val="20"/>
              </w:rPr>
              <w:t>therapy for this condition</w:t>
            </w:r>
          </w:p>
        </w:tc>
      </w:tr>
      <w:tr w:rsidR="00E5779F" w:rsidRPr="00D30537" w14:paraId="6D03BB54" w14:textId="77777777" w:rsidTr="00E5779F">
        <w:trPr>
          <w:cantSplit/>
          <w:trHeight w:val="20"/>
        </w:trPr>
        <w:tc>
          <w:tcPr>
            <w:tcW w:w="5000" w:type="pct"/>
            <w:vAlign w:val="center"/>
            <w:hideMark/>
          </w:tcPr>
          <w:p w14:paraId="3AF53BCB"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AND</w:t>
            </w:r>
          </w:p>
        </w:tc>
      </w:tr>
      <w:tr w:rsidR="00E5779F" w:rsidRPr="00D30537" w14:paraId="64CB24C7" w14:textId="77777777" w:rsidTr="00E5779F">
        <w:trPr>
          <w:cantSplit/>
          <w:trHeight w:val="20"/>
        </w:trPr>
        <w:tc>
          <w:tcPr>
            <w:tcW w:w="5000" w:type="pct"/>
            <w:vAlign w:val="center"/>
            <w:hideMark/>
          </w:tcPr>
          <w:p w14:paraId="18BB4ECF"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Clinical criteria:</w:t>
            </w:r>
          </w:p>
        </w:tc>
      </w:tr>
      <w:tr w:rsidR="00E5779F" w:rsidRPr="00D30537" w14:paraId="732318CB" w14:textId="77777777" w:rsidTr="00E5779F">
        <w:trPr>
          <w:cantSplit/>
          <w:trHeight w:val="20"/>
        </w:trPr>
        <w:tc>
          <w:tcPr>
            <w:tcW w:w="5000" w:type="pct"/>
            <w:vAlign w:val="center"/>
            <w:hideMark/>
          </w:tcPr>
          <w:p w14:paraId="4A4FD174" w14:textId="67A3B201" w:rsidR="00E5779F" w:rsidRPr="00272773" w:rsidRDefault="00E5779F" w:rsidP="000E3BF7">
            <w:pPr>
              <w:keepNext/>
              <w:keepLines/>
              <w:rPr>
                <w:rFonts w:ascii="Arial Narrow" w:hAnsi="Arial Narrow"/>
                <w:sz w:val="20"/>
                <w:szCs w:val="20"/>
              </w:rPr>
            </w:pPr>
            <w:r w:rsidRPr="00272773">
              <w:rPr>
                <w:rFonts w:ascii="Arial Narrow" w:hAnsi="Arial Narrow"/>
                <w:sz w:val="20"/>
                <w:szCs w:val="20"/>
              </w:rPr>
              <w:t>The treatment must not exceed a total of</w:t>
            </w:r>
            <w:r w:rsidRPr="00272773">
              <w:rPr>
                <w:rFonts w:ascii="Arial Narrow" w:hAnsi="Arial Narrow"/>
                <w:i/>
                <w:iCs/>
                <w:sz w:val="20"/>
                <w:szCs w:val="20"/>
              </w:rPr>
              <w:t xml:space="preserve"> (i)</w:t>
            </w:r>
            <w:r w:rsidRPr="00272773">
              <w:rPr>
                <w:rFonts w:ascii="Arial Narrow" w:hAnsi="Arial Narrow"/>
                <w:sz w:val="20"/>
                <w:szCs w:val="20"/>
              </w:rPr>
              <w:t xml:space="preserve"> </w:t>
            </w:r>
            <w:r w:rsidRPr="00272773">
              <w:rPr>
                <w:rFonts w:ascii="Arial Narrow" w:hAnsi="Arial Narrow"/>
                <w:i/>
                <w:iCs/>
                <w:sz w:val="20"/>
                <w:szCs w:val="20"/>
              </w:rPr>
              <w:t xml:space="preserve">cumulative </w:t>
            </w:r>
            <w:r w:rsidRPr="00272773">
              <w:rPr>
                <w:rFonts w:ascii="Arial Narrow" w:hAnsi="Arial Narrow"/>
                <w:sz w:val="20"/>
                <w:szCs w:val="20"/>
              </w:rPr>
              <w:t>24 months</w:t>
            </w:r>
            <w:r w:rsidRPr="00272773">
              <w:rPr>
                <w:rFonts w:ascii="Arial Narrow" w:hAnsi="Arial Narrow"/>
                <w:i/>
                <w:iCs/>
                <w:sz w:val="20"/>
                <w:szCs w:val="20"/>
              </w:rPr>
              <w:t>, (ii) 26 doses</w:t>
            </w:r>
            <w:r w:rsidRPr="00272773">
              <w:rPr>
                <w:rFonts w:ascii="Arial Narrow" w:hAnsi="Arial Narrow"/>
                <w:sz w:val="20"/>
                <w:szCs w:val="20"/>
              </w:rPr>
              <w:t xml:space="preserve"> </w:t>
            </w:r>
            <w:r w:rsidRPr="00272773">
              <w:rPr>
                <w:rFonts w:ascii="Arial Narrow" w:hAnsi="Arial Narrow"/>
                <w:strike/>
                <w:sz w:val="20"/>
                <w:szCs w:val="20"/>
              </w:rPr>
              <w:t>under this restriction</w:t>
            </w:r>
            <w:r w:rsidR="008D62D0">
              <w:rPr>
                <w:rFonts w:ascii="Arial Narrow" w:hAnsi="Arial Narrow"/>
                <w:strike/>
                <w:sz w:val="20"/>
                <w:szCs w:val="20"/>
              </w:rPr>
              <w:t xml:space="preserve"> </w:t>
            </w:r>
            <w:r w:rsidRPr="00272773">
              <w:rPr>
                <w:rFonts w:ascii="Arial Narrow" w:hAnsi="Arial Narrow"/>
                <w:bCs/>
                <w:i/>
                <w:iCs/>
                <w:sz w:val="20"/>
                <w:szCs w:val="20"/>
              </w:rPr>
              <w:t xml:space="preserve">whichever comes first from the first dose of this drug </w:t>
            </w:r>
            <w:proofErr w:type="gramStart"/>
            <w:r w:rsidRPr="00272773">
              <w:rPr>
                <w:rFonts w:ascii="Arial Narrow" w:hAnsi="Arial Narrow"/>
                <w:bCs/>
                <w:i/>
                <w:iCs/>
                <w:sz w:val="20"/>
                <w:szCs w:val="20"/>
              </w:rPr>
              <w:t>regardless</w:t>
            </w:r>
            <w:proofErr w:type="gramEnd"/>
            <w:r w:rsidRPr="00272773">
              <w:rPr>
                <w:rFonts w:ascii="Arial Narrow" w:hAnsi="Arial Narrow"/>
                <w:bCs/>
                <w:i/>
                <w:iCs/>
                <w:sz w:val="20"/>
                <w:szCs w:val="20"/>
              </w:rPr>
              <w:t xml:space="preserve"> if it was PBS/non-PBS subsidised</w:t>
            </w:r>
          </w:p>
        </w:tc>
      </w:tr>
      <w:tr w:rsidR="00E5779F" w:rsidRPr="00D30537" w14:paraId="50643472" w14:textId="77777777" w:rsidTr="00E5779F">
        <w:trPr>
          <w:cantSplit/>
          <w:trHeight w:val="20"/>
        </w:trPr>
        <w:tc>
          <w:tcPr>
            <w:tcW w:w="5000" w:type="pct"/>
            <w:vAlign w:val="center"/>
            <w:hideMark/>
          </w:tcPr>
          <w:p w14:paraId="208CB0B8"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AND</w:t>
            </w:r>
          </w:p>
        </w:tc>
      </w:tr>
      <w:tr w:rsidR="00E5779F" w:rsidRPr="00D30537" w14:paraId="7DB48621" w14:textId="77777777" w:rsidTr="00E5779F">
        <w:trPr>
          <w:cantSplit/>
          <w:trHeight w:val="20"/>
        </w:trPr>
        <w:tc>
          <w:tcPr>
            <w:tcW w:w="5000" w:type="pct"/>
            <w:vAlign w:val="center"/>
            <w:hideMark/>
          </w:tcPr>
          <w:p w14:paraId="4CEB65FD" w14:textId="77777777" w:rsidR="00E5779F" w:rsidRPr="00272773" w:rsidRDefault="00E5779F" w:rsidP="000E3BF7">
            <w:pPr>
              <w:keepNext/>
              <w:keepLines/>
              <w:rPr>
                <w:rFonts w:ascii="Arial Narrow" w:hAnsi="Arial Narrow"/>
                <w:sz w:val="20"/>
                <w:szCs w:val="20"/>
              </w:rPr>
            </w:pPr>
            <w:r w:rsidRPr="00272773">
              <w:rPr>
                <w:rFonts w:ascii="Arial Narrow" w:hAnsi="Arial Narrow"/>
                <w:b/>
                <w:bCs/>
                <w:sz w:val="20"/>
                <w:szCs w:val="20"/>
              </w:rPr>
              <w:t>Clinical criteria:</w:t>
            </w:r>
          </w:p>
        </w:tc>
      </w:tr>
      <w:tr w:rsidR="00E5779F" w:rsidRPr="00D30537" w14:paraId="31F0E0D6" w14:textId="77777777" w:rsidTr="00E5779F">
        <w:trPr>
          <w:cantSplit/>
          <w:trHeight w:val="20"/>
        </w:trPr>
        <w:tc>
          <w:tcPr>
            <w:tcW w:w="5000" w:type="pct"/>
            <w:vAlign w:val="center"/>
            <w:hideMark/>
          </w:tcPr>
          <w:p w14:paraId="0DC5EE69" w14:textId="77777777" w:rsidR="00E5779F" w:rsidRPr="00272773" w:rsidRDefault="00E5779F" w:rsidP="000E3BF7">
            <w:pPr>
              <w:keepNext/>
              <w:keepLines/>
              <w:rPr>
                <w:rFonts w:ascii="Arial Narrow" w:hAnsi="Arial Narrow"/>
                <w:bCs/>
                <w:i/>
                <w:iCs/>
                <w:sz w:val="20"/>
                <w:szCs w:val="20"/>
              </w:rPr>
            </w:pPr>
            <w:r w:rsidRPr="00272773">
              <w:rPr>
                <w:rFonts w:ascii="Arial Narrow" w:hAnsi="Arial Narrow"/>
                <w:strike/>
                <w:sz w:val="20"/>
                <w:szCs w:val="20"/>
              </w:rPr>
              <w:t>Patient who has progressive disease when treated with this drug for this condition is no longer eligible for PBS-subsidised treatment with this drug for this condition.</w:t>
            </w:r>
            <w:r w:rsidRPr="00272773">
              <w:rPr>
                <w:rFonts w:ascii="Arial Narrow" w:hAnsi="Arial Narrow"/>
                <w:bCs/>
                <w:i/>
                <w:iCs/>
                <w:sz w:val="20"/>
                <w:szCs w:val="20"/>
              </w:rPr>
              <w:t xml:space="preserve"> </w:t>
            </w:r>
          </w:p>
          <w:p w14:paraId="7D57F221" w14:textId="77777777" w:rsidR="00E5779F" w:rsidRPr="00272773" w:rsidRDefault="00E5779F" w:rsidP="000E3BF7">
            <w:pPr>
              <w:keepNext/>
              <w:keepLines/>
              <w:rPr>
                <w:rFonts w:ascii="Arial Narrow" w:hAnsi="Arial Narrow"/>
                <w:strike/>
                <w:sz w:val="20"/>
                <w:szCs w:val="20"/>
              </w:rPr>
            </w:pPr>
            <w:r w:rsidRPr="00272773">
              <w:rPr>
                <w:rFonts w:ascii="Arial Narrow" w:hAnsi="Arial Narrow"/>
                <w:bCs/>
                <w:i/>
                <w:iCs/>
                <w:sz w:val="20"/>
                <w:szCs w:val="20"/>
              </w:rPr>
              <w:t>Patient must not have experienced disease progression while being treated with this drug for this condition</w:t>
            </w:r>
          </w:p>
        </w:tc>
      </w:tr>
      <w:tr w:rsidR="00E5779F" w:rsidRPr="00272773" w14:paraId="7F0CA704" w14:textId="77777777" w:rsidTr="00E5779F">
        <w:trPr>
          <w:cantSplit/>
          <w:trHeight w:val="20"/>
        </w:trPr>
        <w:tc>
          <w:tcPr>
            <w:tcW w:w="5000" w:type="pct"/>
            <w:vAlign w:val="center"/>
          </w:tcPr>
          <w:p w14:paraId="51212170" w14:textId="77777777" w:rsidR="00E5779F" w:rsidRPr="00272773" w:rsidRDefault="00E5779F" w:rsidP="000E3BF7">
            <w:pPr>
              <w:keepNext/>
              <w:keepLines/>
              <w:rPr>
                <w:rFonts w:ascii="Arial Narrow" w:hAnsi="Arial Narrow"/>
                <w:strike/>
                <w:sz w:val="20"/>
                <w:szCs w:val="20"/>
              </w:rPr>
            </w:pPr>
            <w:r w:rsidRPr="00272773">
              <w:rPr>
                <w:rFonts w:ascii="Arial Narrow" w:hAnsi="Arial Narrow"/>
                <w:b/>
                <w:i/>
                <w:iCs/>
                <w:sz w:val="20"/>
                <w:szCs w:val="20"/>
              </w:rPr>
              <w:t>AND</w:t>
            </w:r>
          </w:p>
        </w:tc>
      </w:tr>
      <w:tr w:rsidR="00E5779F" w:rsidRPr="00272773" w14:paraId="303A4EA8" w14:textId="77777777" w:rsidTr="00E5779F">
        <w:trPr>
          <w:cantSplit/>
          <w:trHeight w:val="20"/>
        </w:trPr>
        <w:tc>
          <w:tcPr>
            <w:tcW w:w="5000" w:type="pct"/>
          </w:tcPr>
          <w:p w14:paraId="2676A23A" w14:textId="77777777" w:rsidR="00E5779F" w:rsidRPr="00272773" w:rsidRDefault="00E5779F" w:rsidP="000E3BF7">
            <w:pPr>
              <w:keepNext/>
              <w:keepLines/>
              <w:autoSpaceDE w:val="0"/>
              <w:autoSpaceDN w:val="0"/>
              <w:adjustRightInd w:val="0"/>
              <w:rPr>
                <w:rFonts w:ascii="Arial Narrow" w:hAnsi="Arial Narrow" w:cs="Open Sans"/>
                <w:b/>
                <w:bCs/>
                <w:strike/>
                <w:sz w:val="20"/>
                <w:szCs w:val="20"/>
              </w:rPr>
            </w:pPr>
            <w:r w:rsidRPr="00272773">
              <w:rPr>
                <w:rFonts w:ascii="Arial Narrow" w:hAnsi="Arial Narrow"/>
                <w:b/>
                <w:bCs/>
                <w:i/>
                <w:iCs/>
                <w:sz w:val="20"/>
                <w:szCs w:val="20"/>
              </w:rPr>
              <w:t>Clinical criteria:</w:t>
            </w:r>
            <w:r w:rsidRPr="00272773">
              <w:rPr>
                <w:rFonts w:ascii="Arial Narrow" w:hAnsi="Arial Narrow"/>
                <w:b/>
                <w:bCs/>
                <w:sz w:val="20"/>
                <w:szCs w:val="20"/>
              </w:rPr>
              <w:t xml:space="preserve"> </w:t>
            </w:r>
            <w:r w:rsidRPr="00272773">
              <w:rPr>
                <w:rFonts w:ascii="Arial Narrow" w:hAnsi="Arial Narrow" w:cs="Open Sans"/>
                <w:b/>
                <w:bCs/>
                <w:strike/>
                <w:sz w:val="20"/>
                <w:szCs w:val="20"/>
              </w:rPr>
              <w:t xml:space="preserve">Notes: </w:t>
            </w:r>
            <w:r w:rsidRPr="00272773">
              <w:rPr>
                <w:rFonts w:ascii="Arial Narrow" w:hAnsi="Arial Narrow" w:cs="Open Sans"/>
                <w:strike/>
                <w:sz w:val="20"/>
                <w:szCs w:val="20"/>
              </w:rPr>
              <w:t>Treatment with a PD-1 and PD-L1 for this condition is limited to once per lifetime of the patient.</w:t>
            </w:r>
          </w:p>
        </w:tc>
      </w:tr>
      <w:tr w:rsidR="00E5779F" w:rsidRPr="00272773" w14:paraId="2AA92FEE" w14:textId="77777777" w:rsidTr="00E5779F">
        <w:trPr>
          <w:cantSplit/>
          <w:trHeight w:val="20"/>
        </w:trPr>
        <w:tc>
          <w:tcPr>
            <w:tcW w:w="5000" w:type="pct"/>
          </w:tcPr>
          <w:p w14:paraId="3753F34A" w14:textId="77777777" w:rsidR="00E5779F" w:rsidRPr="00272773" w:rsidRDefault="00E5779F" w:rsidP="000E3BF7">
            <w:pPr>
              <w:keepNext/>
              <w:keepLines/>
              <w:autoSpaceDE w:val="0"/>
              <w:autoSpaceDN w:val="0"/>
              <w:adjustRightInd w:val="0"/>
              <w:rPr>
                <w:rFonts w:ascii="Arial Narrow" w:hAnsi="Arial Narrow" w:cs="Open Sans"/>
                <w:b/>
                <w:bCs/>
                <w:strike/>
                <w:sz w:val="20"/>
                <w:szCs w:val="20"/>
              </w:rPr>
            </w:pPr>
            <w:r w:rsidRPr="00272773">
              <w:rPr>
                <w:rFonts w:ascii="Arial Narrow" w:hAnsi="Arial Narrow"/>
                <w:i/>
                <w:iCs/>
                <w:sz w:val="20"/>
                <w:szCs w:val="20"/>
              </w:rPr>
              <w:t>Patient must be untreated with programmed cell death-1/ligand 1 (PD-1/PD-L1) inhibitor therapy at initiation therapy for this indication;</w:t>
            </w:r>
          </w:p>
        </w:tc>
      </w:tr>
      <w:tr w:rsidR="00E5779F" w:rsidRPr="00272773" w14:paraId="217E4521" w14:textId="77777777" w:rsidTr="00E5779F">
        <w:trPr>
          <w:cantSplit/>
          <w:trHeight w:val="20"/>
        </w:trPr>
        <w:tc>
          <w:tcPr>
            <w:tcW w:w="5000" w:type="pct"/>
          </w:tcPr>
          <w:p w14:paraId="2640DD80" w14:textId="77777777" w:rsidR="00E5779F" w:rsidRPr="00272773" w:rsidRDefault="00E5779F" w:rsidP="000E3BF7">
            <w:pPr>
              <w:keepNext/>
              <w:keepLines/>
              <w:autoSpaceDE w:val="0"/>
              <w:autoSpaceDN w:val="0"/>
              <w:adjustRightInd w:val="0"/>
              <w:rPr>
                <w:rFonts w:ascii="Arial Narrow" w:hAnsi="Arial Narrow" w:cs="Open Sans"/>
                <w:i/>
                <w:iCs/>
                <w:strike/>
                <w:sz w:val="20"/>
                <w:szCs w:val="20"/>
              </w:rPr>
            </w:pPr>
            <w:r w:rsidRPr="00272773">
              <w:rPr>
                <w:rFonts w:ascii="Arial Narrow" w:hAnsi="Arial Narrow" w:cs="Open Sans"/>
                <w:b/>
                <w:bCs/>
                <w:strike/>
                <w:sz w:val="20"/>
                <w:szCs w:val="20"/>
              </w:rPr>
              <w:t xml:space="preserve">Notes: </w:t>
            </w:r>
            <w:r w:rsidRPr="00272773">
              <w:rPr>
                <w:rFonts w:ascii="Arial Narrow" w:hAnsi="Arial Narrow" w:cs="Open Sans"/>
                <w:strike/>
                <w:sz w:val="20"/>
                <w:szCs w:val="20"/>
              </w:rPr>
              <w:t>Patients who have developed intolerance to avelumab of a severity necessitating permanent treatment withdrawal are eligible to receive PBS-subsidised retifanlimab</w:t>
            </w:r>
          </w:p>
        </w:tc>
      </w:tr>
    </w:tbl>
    <w:p w14:paraId="6533EBC1" w14:textId="77777777" w:rsidR="0067555F" w:rsidRPr="00D30537" w:rsidRDefault="0067555F" w:rsidP="0067555F">
      <w:pPr>
        <w:pStyle w:val="FooterTableFigure"/>
      </w:pPr>
    </w:p>
    <w:p w14:paraId="2BD2E767" w14:textId="40231EBA" w:rsidR="00AF0C4A" w:rsidRDefault="008047AE" w:rsidP="006119F9">
      <w:pPr>
        <w:pStyle w:val="3-BodyText"/>
        <w:ind w:left="709"/>
      </w:pPr>
      <w:bookmarkStart w:id="9" w:name="_Ref214454869"/>
      <w:bookmarkEnd w:id="8"/>
      <w:r w:rsidRPr="00D30537">
        <w:t xml:space="preserve">A special pricing arrangement (SPA) was requested for retifanlimab with a published approved </w:t>
      </w:r>
      <w:r w:rsidR="00E13E4A" w:rsidRPr="00D30537">
        <w:t>e</w:t>
      </w:r>
      <w:r w:rsidRPr="00D30537">
        <w:t>x-manufacturer price (AEMP) of $22,000 per 500 mg vial</w:t>
      </w:r>
      <w:r w:rsidR="005657DB" w:rsidRPr="00D30537">
        <w:t xml:space="preserve"> and an effective </w:t>
      </w:r>
      <w:r w:rsidR="007305B2">
        <w:t>AEMP</w:t>
      </w:r>
      <w:r w:rsidR="007305B2" w:rsidRPr="00D30537">
        <w:t xml:space="preserve"> </w:t>
      </w:r>
      <w:r w:rsidR="005657DB" w:rsidRPr="00D30537">
        <w:t>of $</w:t>
      </w:r>
      <w:r w:rsidR="00D863F0" w:rsidRPr="00D863F0">
        <w:rPr>
          <w:highlight w:val="black"/>
        </w:rPr>
        <w:t>&amp;&amp;&amp;&amp;</w:t>
      </w:r>
      <w:r w:rsidR="005657DB" w:rsidRPr="00D30537">
        <w:t xml:space="preserve"> per 500 mg vial</w:t>
      </w:r>
      <w:r w:rsidRPr="00D30537">
        <w:t xml:space="preserve">. </w:t>
      </w:r>
    </w:p>
    <w:p w14:paraId="3393D59F" w14:textId="2CD96A61" w:rsidR="008047AE" w:rsidRPr="00D30537" w:rsidRDefault="009A515F" w:rsidP="006119F9">
      <w:pPr>
        <w:pStyle w:val="3-BodyText"/>
        <w:ind w:left="709"/>
      </w:pPr>
      <w:bookmarkStart w:id="10" w:name="_Ref216102818"/>
      <w:r w:rsidRPr="007D1018">
        <w:t>As flat based dosing was proposed, the Secretariat suggested including no increases to quantity/amount be added to the restrictions.</w:t>
      </w:r>
      <w:bookmarkEnd w:id="9"/>
      <w:bookmarkEnd w:id="10"/>
    </w:p>
    <w:p w14:paraId="497713C5" w14:textId="17ED471A" w:rsidR="008047AE" w:rsidRPr="00D30537" w:rsidRDefault="008047AE" w:rsidP="006119F9">
      <w:pPr>
        <w:pStyle w:val="3-BodyText"/>
        <w:ind w:left="709"/>
      </w:pPr>
      <w:bookmarkStart w:id="11" w:name="_Ref211335035"/>
      <w:r w:rsidRPr="00D30537">
        <w:lastRenderedPageBreak/>
        <w:t>The proposed restriction is broader than the existing avelumab PBS indication</w:t>
      </w:r>
      <w:r w:rsidR="00665CD8" w:rsidRPr="00D30537">
        <w:t>,</w:t>
      </w:r>
      <w:r w:rsidRPr="00D30537">
        <w:t xml:space="preserve"> which is limited to patients with metastatic (Stage IV) MCC, whereas the requested listing for retifanlimab </w:t>
      </w:r>
      <w:r w:rsidR="003229F9" w:rsidRPr="00D30537">
        <w:t xml:space="preserve">also </w:t>
      </w:r>
      <w:r w:rsidRPr="00D30537">
        <w:t xml:space="preserve">includes recurrent locally advanced disease not amenable to surgery or radiation. </w:t>
      </w:r>
      <w:r w:rsidR="00CE793D" w:rsidRPr="00D30537">
        <w:t xml:space="preserve">No </w:t>
      </w:r>
      <w:r w:rsidR="00B945D6" w:rsidRPr="00D30537">
        <w:t>comparative clinical evidence or</w:t>
      </w:r>
      <w:r w:rsidRPr="00D30537">
        <w:t xml:space="preserve"> economic evaluation was presented for this population</w:t>
      </w:r>
      <w:r w:rsidR="00212EF0" w:rsidRPr="00D30537">
        <w:t xml:space="preserve">, as </w:t>
      </w:r>
      <w:r w:rsidR="00CD6BB2" w:rsidRPr="00D30537">
        <w:t xml:space="preserve">the </w:t>
      </w:r>
      <w:r w:rsidR="00A604AE" w:rsidRPr="00D30537">
        <w:t xml:space="preserve">submission claimed </w:t>
      </w:r>
      <w:r w:rsidR="00212EF0" w:rsidRPr="00D30537">
        <w:t>it</w:t>
      </w:r>
      <w:r w:rsidR="00A604AE" w:rsidRPr="00D30537">
        <w:t xml:space="preserve"> is expected to be small (approximately 10%) based on the POD1UM-201 study (10 of 101 chemotherapy naïve patients). </w:t>
      </w:r>
      <w:r w:rsidRPr="00D30537">
        <w:t>The submission requested that the PBAC consider a broader listing extended to these patients given the high clinical need in recurrent locally advanced MCC not amenable to surgery or radiation.</w:t>
      </w:r>
      <w:r w:rsidR="008D446B" w:rsidRPr="00D30537">
        <w:t xml:space="preserve"> </w:t>
      </w:r>
      <w:r w:rsidR="00576A61" w:rsidRPr="00D30537">
        <w:t>T</w:t>
      </w:r>
      <w:r w:rsidR="00846794" w:rsidRPr="00D30537">
        <w:t xml:space="preserve">he ESC considered it likely that </w:t>
      </w:r>
      <w:r w:rsidR="000F0A45" w:rsidRPr="00D30537">
        <w:t>a</w:t>
      </w:r>
      <w:r w:rsidR="008D446B" w:rsidRPr="00D30537">
        <w:t xml:space="preserve">velumab </w:t>
      </w:r>
      <w:r w:rsidR="00846794" w:rsidRPr="00D30537">
        <w:t>is already</w:t>
      </w:r>
      <w:r w:rsidR="008D446B" w:rsidRPr="00D30537">
        <w:t xml:space="preserve"> being used in</w:t>
      </w:r>
      <w:r w:rsidR="004627B7" w:rsidRPr="00D30537">
        <w:t xml:space="preserve"> a significant proportion of</w:t>
      </w:r>
      <w:r w:rsidR="008D446B" w:rsidRPr="00D30537">
        <w:t xml:space="preserve"> the </w:t>
      </w:r>
      <w:r w:rsidR="005D4A3C" w:rsidRPr="00D30537">
        <w:t>unresectable locally advanced population</w:t>
      </w:r>
      <w:r w:rsidR="004627B7" w:rsidRPr="00D30537">
        <w:t>, as these patients (with unresectable disease) are essentially managed the same as for patients with metastatic patients in clinical practice</w:t>
      </w:r>
      <w:r w:rsidR="00A604AE" w:rsidRPr="00D30537">
        <w:t>.</w:t>
      </w:r>
      <w:bookmarkEnd w:id="11"/>
    </w:p>
    <w:p w14:paraId="5381F501" w14:textId="6750A0F2" w:rsidR="008E2302" w:rsidRPr="00D30537" w:rsidRDefault="008047AE" w:rsidP="006119F9">
      <w:pPr>
        <w:pStyle w:val="3-BodyText"/>
        <w:ind w:left="709"/>
      </w:pPr>
      <w:bookmarkStart w:id="12" w:name="_Ref214454662"/>
      <w:r w:rsidRPr="00D30537">
        <w:t>The proposed indication was broader than the POD1UM-201 study</w:t>
      </w:r>
      <w:r w:rsidR="00252114" w:rsidRPr="00D30537">
        <w:t>,</w:t>
      </w:r>
      <w:r w:rsidRPr="00D30537">
        <w:t xml:space="preserve"> which </w:t>
      </w:r>
      <w:r w:rsidR="007F53DC" w:rsidRPr="00D30537">
        <w:t xml:space="preserve">enrolled only patients with Eastern Cooperative Oncology Group (ECOG) performance status 0-1, </w:t>
      </w:r>
      <w:r w:rsidRPr="00D30537">
        <w:t>excluded immunosuppressed patients and patients with prior systemic therapy, including chemotherapy and prior Programmed Death 1 (PD-1) and Programmed Death Ligand (PD-L1) inhibitor therapy.</w:t>
      </w:r>
      <w:r w:rsidR="007F53DC" w:rsidRPr="00D30537">
        <w:t xml:space="preserve"> The </w:t>
      </w:r>
      <w:r w:rsidR="00972501">
        <w:t>omission of</w:t>
      </w:r>
      <w:r w:rsidR="00835D29" w:rsidRPr="00D30537">
        <w:t xml:space="preserve"> ECOG performance status </w:t>
      </w:r>
      <w:r w:rsidR="00D17CB7" w:rsidRPr="00D30537">
        <w:t xml:space="preserve">in the </w:t>
      </w:r>
      <w:r w:rsidR="00835D29" w:rsidRPr="00D30537">
        <w:t>restrictio</w:t>
      </w:r>
      <w:r w:rsidR="00D17CB7" w:rsidRPr="00D30537">
        <w:t xml:space="preserve">n </w:t>
      </w:r>
      <w:r w:rsidR="00835D29" w:rsidRPr="00D30537">
        <w:t xml:space="preserve">was </w:t>
      </w:r>
      <w:r w:rsidR="00835D29" w:rsidRPr="00D30537">
        <w:rPr>
          <w:color w:val="000000" w:themeColor="text1"/>
        </w:rPr>
        <w:t>consistent with the current restriction of avelumab</w:t>
      </w:r>
      <w:r w:rsidR="00DA325B">
        <w:rPr>
          <w:color w:val="000000" w:themeColor="text1"/>
        </w:rPr>
        <w:t xml:space="preserve">, which the DUSC and </w:t>
      </w:r>
      <w:r w:rsidR="00DA325B" w:rsidRPr="002326FC">
        <w:t>ESC considered reasonable</w:t>
      </w:r>
      <w:r w:rsidR="003E2A08" w:rsidRPr="002326FC">
        <w:t>.</w:t>
      </w:r>
      <w:bookmarkEnd w:id="12"/>
    </w:p>
    <w:p w14:paraId="09F7403F" w14:textId="4CF8ED0C" w:rsidR="008047AE" w:rsidRDefault="00072C7E">
      <w:pPr>
        <w:pStyle w:val="3-BodyText"/>
        <w:ind w:left="709"/>
      </w:pPr>
      <w:bookmarkStart w:id="13" w:name="_Ref214444809"/>
      <w:r w:rsidRPr="007D1018">
        <w:t xml:space="preserve">The submission </w:t>
      </w:r>
      <w:r w:rsidR="009300C0" w:rsidRPr="007D1018">
        <w:t>proposed</w:t>
      </w:r>
      <w:r w:rsidR="007F1ED3">
        <w:t xml:space="preserve"> a</w:t>
      </w:r>
      <w:r w:rsidR="009300C0" w:rsidRPr="007D1018">
        <w:t xml:space="preserve"> restriction</w:t>
      </w:r>
      <w:r w:rsidR="007F1ED3">
        <w:t xml:space="preserve"> </w:t>
      </w:r>
      <w:r w:rsidRPr="007D1018">
        <w:t>require</w:t>
      </w:r>
      <w:r w:rsidR="007F1ED3">
        <w:t>ment that</w:t>
      </w:r>
      <w:r w:rsidRPr="007D1018">
        <w:t xml:space="preserve"> patients to be untreated with PD-1 and PD-L1 inhibitors at initiation for this indication</w:t>
      </w:r>
      <w:r w:rsidR="009300C0">
        <w:t xml:space="preserve">, </w:t>
      </w:r>
      <w:r w:rsidRPr="007D1018">
        <w:t>stat</w:t>
      </w:r>
      <w:r w:rsidR="009300C0">
        <w:t>ing</w:t>
      </w:r>
      <w:r w:rsidRPr="007D1018">
        <w:t xml:space="preserve"> that “no trial evidence exist to date describing the efficacy and safety of subsequent use of a PD-1 and PD-L1 in the proposed patient population”. </w:t>
      </w:r>
      <w:r>
        <w:t>However, t</w:t>
      </w:r>
      <w:r w:rsidR="008047AE" w:rsidRPr="00D30537">
        <w:t>he proposed restriction included a clause for patients who have developed intolerance to avelumab to receive PBS</w:t>
      </w:r>
      <w:r w:rsidR="00E13E4A" w:rsidRPr="00D30537">
        <w:t xml:space="preserve"> </w:t>
      </w:r>
      <w:r w:rsidR="008047AE" w:rsidRPr="00D30537">
        <w:t xml:space="preserve">subsidised retifanlimab. The submission proposed that the same criteria (vice versa) be included in an amended avelumab restriction. </w:t>
      </w:r>
      <w:r w:rsidR="00095A62" w:rsidRPr="00D30537">
        <w:t xml:space="preserve">However, </w:t>
      </w:r>
      <w:r w:rsidR="004E5347" w:rsidRPr="00D30537">
        <w:t xml:space="preserve">the ESC </w:t>
      </w:r>
      <w:r w:rsidR="00675741">
        <w:t xml:space="preserve">and DUSC </w:t>
      </w:r>
      <w:r w:rsidR="002E6257" w:rsidRPr="00D30537">
        <w:t xml:space="preserve">considered that </w:t>
      </w:r>
      <w:r w:rsidR="00095A62" w:rsidRPr="00D30537">
        <w:t>treatment switching</w:t>
      </w:r>
      <w:r w:rsidR="008047AE" w:rsidRPr="00D30537">
        <w:t xml:space="preserve"> may not be reasonable</w:t>
      </w:r>
      <w:r w:rsidR="002E6257" w:rsidRPr="00D30537">
        <w:t>, as t</w:t>
      </w:r>
      <w:r w:rsidR="008047AE" w:rsidRPr="00D30537">
        <w:t>here was no clinical evidence provided for the sequential usage of retifanlimab</w:t>
      </w:r>
      <w:r w:rsidR="00835D29" w:rsidRPr="00D30537">
        <w:t xml:space="preserve"> and avelumab</w:t>
      </w:r>
      <w:r w:rsidR="00E63EA5" w:rsidRPr="00D30537">
        <w:t xml:space="preserve"> (</w:t>
      </w:r>
      <w:r w:rsidR="008047AE" w:rsidRPr="00D30537">
        <w:t>patients enrolled in POD1UM-1 were required to be naïve to PD-(L)1 inhibitor treatment</w:t>
      </w:r>
      <w:r w:rsidR="00E63EA5" w:rsidRPr="00D30537">
        <w:t>)</w:t>
      </w:r>
      <w:r w:rsidR="00492FE5" w:rsidRPr="00D30537">
        <w:t>,</w:t>
      </w:r>
      <w:r w:rsidR="004E5347" w:rsidRPr="00D30537">
        <w:t xml:space="preserve"> and no current restriction allows switching between PD-(L)1 therapies for reasons of intolerance or convenience</w:t>
      </w:r>
      <w:r w:rsidR="00C1422E" w:rsidRPr="00D30537">
        <w:t xml:space="preserve">. </w:t>
      </w:r>
      <w:r w:rsidR="005210A3" w:rsidRPr="00D30537">
        <w:t>Further, t</w:t>
      </w:r>
      <w:r w:rsidR="00C1422E" w:rsidRPr="00D30537">
        <w:t>he ESC noted</w:t>
      </w:r>
      <w:r w:rsidR="000E3194" w:rsidRPr="00D30537">
        <w:t xml:space="preserve"> switching due to</w:t>
      </w:r>
      <w:r w:rsidR="007157C3" w:rsidRPr="00D30537">
        <w:t xml:space="preserve"> immune adverse events (AEs)</w:t>
      </w:r>
      <w:r w:rsidR="000E3194" w:rsidRPr="00D30537">
        <w:t xml:space="preserve"> was not reasonable as they </w:t>
      </w:r>
      <w:r w:rsidR="007157C3" w:rsidRPr="00D30537">
        <w:t>are</w:t>
      </w:r>
      <w:r w:rsidR="00EF4977" w:rsidRPr="00D30537">
        <w:t xml:space="preserve"> </w:t>
      </w:r>
      <w:r w:rsidR="007157C3" w:rsidRPr="00D30537">
        <w:t xml:space="preserve">likely to occur with </w:t>
      </w:r>
      <w:r w:rsidR="0083688C" w:rsidRPr="00D30537">
        <w:t xml:space="preserve">alternative </w:t>
      </w:r>
      <w:r w:rsidR="007157C3" w:rsidRPr="00D30537">
        <w:t>PD</w:t>
      </w:r>
      <w:r w:rsidR="00EF4977" w:rsidRPr="00D30537">
        <w:t>-</w:t>
      </w:r>
      <w:r w:rsidR="007157C3" w:rsidRPr="00D30537">
        <w:t>L</w:t>
      </w:r>
      <w:r w:rsidR="00EF4977" w:rsidRPr="00D30537">
        <w:t>1s/PD-1s</w:t>
      </w:r>
      <w:r w:rsidR="008047AE" w:rsidRPr="00D30537">
        <w:t>.</w:t>
      </w:r>
      <w:bookmarkEnd w:id="13"/>
    </w:p>
    <w:p w14:paraId="30DB44E7" w14:textId="28F990B9" w:rsidR="00CB20CB" w:rsidRPr="007D1018" w:rsidRDefault="007D1018" w:rsidP="006E2CF1">
      <w:pPr>
        <w:pStyle w:val="3-BodyText"/>
        <w:ind w:left="709"/>
      </w:pPr>
      <w:bookmarkStart w:id="14" w:name="_Ref214454872"/>
      <w:r w:rsidRPr="007D1018">
        <w:t xml:space="preserve">The </w:t>
      </w:r>
      <w:r w:rsidR="003B47C9">
        <w:t xml:space="preserve">proposed restriction </w:t>
      </w:r>
      <w:r w:rsidR="00702B74">
        <w:t>included a criterion that “</w:t>
      </w:r>
      <w:r w:rsidR="00702B74" w:rsidRPr="00702B74">
        <w:t>The treatment must not exceed a total of 24 months</w:t>
      </w:r>
      <w:r w:rsidR="00702B74">
        <w:t>…”</w:t>
      </w:r>
      <w:r w:rsidR="00BC5A93">
        <w:t xml:space="preserve">, however the </w:t>
      </w:r>
      <w:r w:rsidR="00E9745C">
        <w:t>S</w:t>
      </w:r>
      <w:r w:rsidRPr="007D1018">
        <w:t xml:space="preserve">ecretariat </w:t>
      </w:r>
      <w:r w:rsidR="00BC5A93">
        <w:t>recommended</w:t>
      </w:r>
      <w:r w:rsidR="004D5730">
        <w:t xml:space="preserve"> specifying this as a</w:t>
      </w:r>
      <w:r w:rsidR="008D62D0">
        <w:t xml:space="preserve"> </w:t>
      </w:r>
      <w:r w:rsidRPr="007D1018">
        <w:t xml:space="preserve">cumulative 24 months </w:t>
      </w:r>
      <w:r w:rsidR="004D5730">
        <w:t>(</w:t>
      </w:r>
      <w:r w:rsidRPr="007D1018">
        <w:t>or 26 doses</w:t>
      </w:r>
      <w:r w:rsidR="004D5730">
        <w:t xml:space="preserve">) </w:t>
      </w:r>
      <w:proofErr w:type="gramStart"/>
      <w:r w:rsidR="004D5730">
        <w:t>in order to</w:t>
      </w:r>
      <w:proofErr w:type="gramEnd"/>
      <w:r w:rsidR="004D5730">
        <w:t xml:space="preserve"> </w:t>
      </w:r>
      <w:r w:rsidR="005C5DE9">
        <w:t>account for any breaks in treatment</w:t>
      </w:r>
      <w:r w:rsidRPr="007D1018">
        <w:t>.</w:t>
      </w:r>
      <w:bookmarkEnd w:id="14"/>
      <w:r w:rsidRPr="007D1018">
        <w:t xml:space="preserve"> </w:t>
      </w:r>
    </w:p>
    <w:p w14:paraId="66EF2E3A" w14:textId="77777777" w:rsidR="00CB20CB" w:rsidRPr="00D30537" w:rsidRDefault="00CB20CB" w:rsidP="008C11CB">
      <w:pPr>
        <w:pStyle w:val="3-BodyText"/>
        <w:numPr>
          <w:ilvl w:val="0"/>
          <w:numId w:val="0"/>
        </w:numPr>
        <w:ind w:firstLine="709"/>
        <w:rPr>
          <w:i/>
          <w:iCs/>
        </w:rPr>
      </w:pPr>
      <w:r w:rsidRPr="00D30537">
        <w:rPr>
          <w:i/>
          <w:iCs/>
        </w:rPr>
        <w:t>For more detail on PBAC’s view, see section 7 PBAC outcome.</w:t>
      </w:r>
    </w:p>
    <w:p w14:paraId="5B06FCA0" w14:textId="77777777" w:rsidR="008047AE" w:rsidRPr="00D30537" w:rsidDel="00195452" w:rsidRDefault="008047AE" w:rsidP="008047AE">
      <w:pPr>
        <w:pStyle w:val="2-SectionHeading"/>
      </w:pPr>
      <w:bookmarkStart w:id="15" w:name="_Toc208988054"/>
      <w:r w:rsidRPr="00D30537" w:rsidDel="00195452">
        <w:t>Population and disease</w:t>
      </w:r>
      <w:bookmarkEnd w:id="15"/>
    </w:p>
    <w:p w14:paraId="36166E0D" w14:textId="690C9CBE" w:rsidR="008047AE" w:rsidRPr="00D30537" w:rsidRDefault="008047AE" w:rsidP="006119F9">
      <w:pPr>
        <w:pStyle w:val="3-BodyText"/>
        <w:ind w:left="709"/>
      </w:pPr>
      <w:r w:rsidRPr="00D30537">
        <w:t>MCC, also known as primary cutaneous neuroendocrine carcinoma, is a rare and aggressive neuroendocrine tumour of the skin. Australia</w:t>
      </w:r>
      <w:r w:rsidR="00C06FF3">
        <w:t xml:space="preserve"> has</w:t>
      </w:r>
      <w:r w:rsidRPr="00D30537">
        <w:t xml:space="preserve"> the highest incidence of MCC in the world, which may be associated with the higher UV index compared with </w:t>
      </w:r>
      <w:r w:rsidRPr="00D30537">
        <w:lastRenderedPageBreak/>
        <w:t>other countries</w:t>
      </w:r>
      <w:r w:rsidR="0059615A" w:rsidRPr="00D30537">
        <w:t xml:space="preserve"> (Wang 2023)</w:t>
      </w:r>
      <w:r w:rsidR="001D5F5A" w:rsidRPr="00D30537">
        <w:rPr>
          <w:rStyle w:val="FootnoteReference"/>
        </w:rPr>
        <w:footnoteReference w:id="1"/>
      </w:r>
      <w:r w:rsidRPr="00D30537">
        <w:t>. Studies investigating the incidence of MCC across Queensland, Victoria and Western Australia reported incidence rates of 0.8 – 2.5 per 100,000, compared to a global incidence of 0.6 new cases per 100,000 people</w:t>
      </w:r>
      <w:r w:rsidR="0059615A" w:rsidRPr="00D30537">
        <w:t xml:space="preserve"> (Li 2024)</w:t>
      </w:r>
      <w:r w:rsidR="001D5F5A" w:rsidRPr="00D30537">
        <w:rPr>
          <w:rStyle w:val="FootnoteReference"/>
        </w:rPr>
        <w:footnoteReference w:id="2"/>
      </w:r>
      <w:r w:rsidRPr="00D30537">
        <w:t>.</w:t>
      </w:r>
    </w:p>
    <w:p w14:paraId="1588C018" w14:textId="25A2974A" w:rsidR="008047AE" w:rsidRPr="00D30537" w:rsidRDefault="008047AE" w:rsidP="006119F9">
      <w:pPr>
        <w:pStyle w:val="3-BodyText"/>
        <w:ind w:left="709"/>
      </w:pPr>
      <w:r w:rsidRPr="00D30537">
        <w:t>Characteristics of Australian patients with MCC (any stage) show a higher proportion of males (59%–</w:t>
      </w:r>
      <w:r w:rsidR="0037233D" w:rsidRPr="00D30537">
        <w:t>69</w:t>
      </w:r>
      <w:r w:rsidRPr="00D30537">
        <w:t xml:space="preserve">%) than females, a </w:t>
      </w:r>
      <w:r w:rsidR="0037233D" w:rsidRPr="00D30537">
        <w:t xml:space="preserve">median </w:t>
      </w:r>
      <w:r w:rsidRPr="00D30537">
        <w:t>age of diagnosis between 77–79 years, and the most common site at diagnosis being the face/ears.</w:t>
      </w:r>
      <w:r w:rsidR="00A8707A" w:rsidRPr="00D30537">
        <w:rPr>
          <w:rStyle w:val="FootnoteReference"/>
        </w:rPr>
        <w:footnoteReference w:id="3"/>
      </w:r>
      <w:r w:rsidR="00A8707A" w:rsidRPr="00D30537">
        <w:rPr>
          <w:vertAlign w:val="superscript"/>
        </w:rPr>
        <w:t>,</w:t>
      </w:r>
      <w:r w:rsidR="00A8707A" w:rsidRPr="00D30537">
        <w:rPr>
          <w:rStyle w:val="FootnoteReference"/>
        </w:rPr>
        <w:footnoteReference w:id="4"/>
      </w:r>
      <w:r w:rsidR="00A8707A" w:rsidRPr="00D30537">
        <w:rPr>
          <w:vertAlign w:val="superscript"/>
        </w:rPr>
        <w:t>,</w:t>
      </w:r>
      <w:r w:rsidR="00A8707A" w:rsidRPr="00D30537">
        <w:rPr>
          <w:rStyle w:val="FootnoteReference"/>
        </w:rPr>
        <w:footnoteReference w:id="5"/>
      </w:r>
      <w:r w:rsidRPr="00D30537">
        <w:t xml:space="preserve"> </w:t>
      </w:r>
      <w:r w:rsidR="008F310A" w:rsidRPr="00D30537">
        <w:t>Most patients in Australia are diagnosed with stage I</w:t>
      </w:r>
      <w:r w:rsidR="00544241" w:rsidRPr="00D30537">
        <w:t>/</w:t>
      </w:r>
      <w:r w:rsidR="008F310A" w:rsidRPr="00D30537">
        <w:t>II disease</w:t>
      </w:r>
      <w:r w:rsidR="00CA1DE1" w:rsidRPr="00D30537">
        <w:t xml:space="preserve"> (</w:t>
      </w:r>
      <w:r w:rsidR="00544241" w:rsidRPr="00D30537">
        <w:t xml:space="preserve">57% to </w:t>
      </w:r>
      <w:r w:rsidR="00CA1DE1" w:rsidRPr="00D30537">
        <w:t>85</w:t>
      </w:r>
      <w:r w:rsidR="008F310A" w:rsidRPr="00D30537">
        <w:t>%</w:t>
      </w:r>
      <w:r w:rsidR="00CA1DE1" w:rsidRPr="00D30537">
        <w:t xml:space="preserve">, </w:t>
      </w:r>
      <w:r w:rsidR="00544241" w:rsidRPr="00D30537">
        <w:t xml:space="preserve">Wang 2023 and </w:t>
      </w:r>
      <w:r w:rsidR="00CA1DE1" w:rsidRPr="00D30537">
        <w:t>Girschik 2011</w:t>
      </w:r>
      <w:r w:rsidR="00544241" w:rsidRPr="00D30537">
        <w:t>, respectively).</w:t>
      </w:r>
      <w:r w:rsidR="00CA1DE1" w:rsidRPr="00D30537">
        <w:t xml:space="preserve"> </w:t>
      </w:r>
    </w:p>
    <w:p w14:paraId="3A3E0441" w14:textId="65F87A84" w:rsidR="008047AE" w:rsidRPr="00D30537" w:rsidRDefault="00FE1F54" w:rsidP="006119F9">
      <w:pPr>
        <w:pStyle w:val="3-BodyText"/>
        <w:ind w:left="709"/>
      </w:pPr>
      <w:bookmarkStart w:id="16" w:name="_Hlk207969230"/>
      <w:r w:rsidRPr="00D30537">
        <w:t xml:space="preserve">The evaluation noted that </w:t>
      </w:r>
      <w:r w:rsidR="00982C2C" w:rsidRPr="00D30537">
        <w:t>Marcos 2022</w:t>
      </w:r>
      <w:r w:rsidR="00982C2C" w:rsidRPr="00D30537">
        <w:rPr>
          <w:rStyle w:val="FootnoteReference"/>
        </w:rPr>
        <w:footnoteReference w:id="6"/>
      </w:r>
      <w:r w:rsidR="00982C2C" w:rsidRPr="00D30537">
        <w:t xml:space="preserve"> reported a</w:t>
      </w:r>
      <w:r w:rsidR="006B61DD" w:rsidRPr="00D30537">
        <w:t xml:space="preserve"> retrospective analysis of patients with MCC (N=2010) from the Surveillance, Epidemiology and End Results (SEER) database between 2000 and 2018</w:t>
      </w:r>
      <w:r w:rsidR="00982C2C" w:rsidRPr="00D30537">
        <w:t>.</w:t>
      </w:r>
      <w:r w:rsidR="006B61DD" w:rsidRPr="00D30537">
        <w:t xml:space="preserve"> </w:t>
      </w:r>
      <w:r w:rsidR="00982C2C" w:rsidRPr="00D30537">
        <w:t xml:space="preserve">The five-year survival was 17.2% for patients with any type of distant metastases (excluding only bone metastasis). Survival for patients without distant metastases or only regional (lymph node) </w:t>
      </w:r>
      <w:r w:rsidR="004A764B" w:rsidRPr="00D30537">
        <w:t>disease</w:t>
      </w:r>
      <w:r w:rsidR="00982C2C" w:rsidRPr="00D30537">
        <w:t xml:space="preserve"> was higher, with a 64.4% and 50.7% five-year survival, respectively.</w:t>
      </w:r>
      <w:r w:rsidR="00CC1120" w:rsidRPr="00D30537">
        <w:t xml:space="preserve"> However, </w:t>
      </w:r>
      <w:r w:rsidRPr="00D30537">
        <w:t xml:space="preserve">the evaluation </w:t>
      </w:r>
      <w:r w:rsidR="00AD3AA7" w:rsidRPr="00D30537">
        <w:t>considered</w:t>
      </w:r>
      <w:r w:rsidRPr="00D30537">
        <w:t xml:space="preserve"> that </w:t>
      </w:r>
      <w:r w:rsidR="00CC1120" w:rsidRPr="00D30537">
        <w:t xml:space="preserve">most survival outcomes described in this study </w:t>
      </w:r>
      <w:r w:rsidR="00AD3AA7" w:rsidRPr="00D30537">
        <w:t xml:space="preserve">may be underestimated as it </w:t>
      </w:r>
      <w:r w:rsidR="00CC1120" w:rsidRPr="00D30537">
        <w:t>preced</w:t>
      </w:r>
      <w:r w:rsidR="00AD3AA7" w:rsidRPr="00D30537">
        <w:t>ed</w:t>
      </w:r>
      <w:r w:rsidR="00CC1120" w:rsidRPr="00D30537">
        <w:t xml:space="preserve"> the availability of immunotherapy treatment in MCC.</w:t>
      </w:r>
      <w:r w:rsidR="00684B6F" w:rsidRPr="00D30537">
        <w:t xml:space="preserve"> </w:t>
      </w:r>
      <w:bookmarkEnd w:id="16"/>
    </w:p>
    <w:p w14:paraId="7A875328" w14:textId="099D7DC5" w:rsidR="008047AE" w:rsidRPr="00D30537" w:rsidRDefault="008047AE" w:rsidP="006119F9">
      <w:pPr>
        <w:pStyle w:val="3-BodyText"/>
        <w:ind w:left="709"/>
      </w:pPr>
      <w:r w:rsidRPr="00D30537">
        <w:t xml:space="preserve">The proposed clinical management algorithm included the addition of retifanlimab in </w:t>
      </w:r>
      <w:r w:rsidR="004A736E">
        <w:t>first-line (</w:t>
      </w:r>
      <w:r w:rsidRPr="00D30537">
        <w:t>1L</w:t>
      </w:r>
      <w:r w:rsidR="004A736E">
        <w:t>)</w:t>
      </w:r>
      <w:r w:rsidRPr="00D30537">
        <w:t xml:space="preserve"> as an alternative to chemotherapy for recurrent, locally advanced MCC (not amenable for surgery or radiation) and as an alternative to avelumab for metastatic MCC.</w:t>
      </w:r>
    </w:p>
    <w:p w14:paraId="040B83E3" w14:textId="77777777" w:rsidR="004220B9" w:rsidRPr="00D30537" w:rsidRDefault="008047AE" w:rsidP="006119F9">
      <w:pPr>
        <w:pStyle w:val="3-BodyText"/>
        <w:ind w:left="709"/>
        <w:rPr>
          <w:i/>
          <w:iCs/>
        </w:rPr>
      </w:pPr>
      <w:r w:rsidRPr="00D30537">
        <w:t xml:space="preserve">Retifanlimab is a humanised, hinge-stabilised immunoglobulin (Ig) G4κ, anti-PD-1 antibody. Retifanlimab binds to the PD-1 receptor, blocks interaction with its ligands </w:t>
      </w:r>
      <w:r w:rsidR="00082F94" w:rsidRPr="00D30537">
        <w:t xml:space="preserve">programmed cell death-ligand 1 (PD-L1) </w:t>
      </w:r>
      <w:r w:rsidRPr="00D30537">
        <w:t>and PD-L2, and potentiates T-cell activity.</w:t>
      </w:r>
      <w:r w:rsidR="005E1638" w:rsidRPr="00D30537">
        <w:t xml:space="preserve"> The nominated comparator, avelumab, is a PD-L1 inhibitor and as such has a similar mechanism of action to retifanlimab </w:t>
      </w:r>
      <w:r w:rsidR="00E64E3A" w:rsidRPr="00D30537">
        <w:t xml:space="preserve">in blocking the interaction of </w:t>
      </w:r>
      <w:r w:rsidR="00250EF4" w:rsidRPr="00D30537">
        <w:t xml:space="preserve">PD-L1 with its receptor and </w:t>
      </w:r>
      <w:r w:rsidR="00EF0856" w:rsidRPr="00D30537">
        <w:t>potentiating T-cell activity</w:t>
      </w:r>
      <w:r w:rsidR="005E1638" w:rsidRPr="00D30537">
        <w:t xml:space="preserve">. </w:t>
      </w:r>
    </w:p>
    <w:p w14:paraId="0EADF632" w14:textId="77777777" w:rsidR="00CB20CB" w:rsidRPr="00D30537" w:rsidRDefault="00CB20CB" w:rsidP="008C11CB">
      <w:pPr>
        <w:pStyle w:val="3-BodyText"/>
        <w:numPr>
          <w:ilvl w:val="0"/>
          <w:numId w:val="0"/>
        </w:numPr>
        <w:ind w:left="-11" w:firstLine="720"/>
        <w:rPr>
          <w:i/>
          <w:iCs/>
        </w:rPr>
      </w:pPr>
      <w:r w:rsidRPr="00D30537">
        <w:rPr>
          <w:i/>
          <w:iCs/>
        </w:rPr>
        <w:t>For more detail on PBAC’s view, see section 7 PBAC outcome.</w:t>
      </w:r>
    </w:p>
    <w:p w14:paraId="49ACAD40" w14:textId="77777777" w:rsidR="008047AE" w:rsidRPr="00D30537" w:rsidRDefault="008047AE" w:rsidP="008047AE">
      <w:pPr>
        <w:pStyle w:val="2-SectionHeading"/>
      </w:pPr>
      <w:bookmarkStart w:id="17" w:name="_Toc208988055"/>
      <w:r w:rsidRPr="00D30537">
        <w:lastRenderedPageBreak/>
        <w:t>Comparator</w:t>
      </w:r>
      <w:bookmarkEnd w:id="17"/>
    </w:p>
    <w:p w14:paraId="544BB9DF" w14:textId="2045DA18" w:rsidR="002E158F" w:rsidRPr="00D30537" w:rsidRDefault="008047AE" w:rsidP="006119F9">
      <w:pPr>
        <w:pStyle w:val="3-BodyText"/>
        <w:ind w:left="709"/>
      </w:pPr>
      <w:r w:rsidRPr="00D30537">
        <w:t>The submission nominated avelumab as the main comparator</w:t>
      </w:r>
      <w:r w:rsidR="00AD1AA0" w:rsidRPr="00D30537">
        <w:t xml:space="preserve"> in metastatic MCC</w:t>
      </w:r>
      <w:r w:rsidRPr="00D30537">
        <w:t xml:space="preserve">. </w:t>
      </w:r>
    </w:p>
    <w:p w14:paraId="42FD797A" w14:textId="5639DF10" w:rsidR="00585651" w:rsidRPr="00A32620" w:rsidRDefault="00585651" w:rsidP="006119F9">
      <w:pPr>
        <w:pStyle w:val="3-BodyText"/>
        <w:ind w:left="709"/>
      </w:pPr>
      <w:r w:rsidRPr="00A32620">
        <w:t>In Australia, current first-line treatment of patients with metastatic MCC consists of avelumab</w:t>
      </w:r>
      <w:r w:rsidR="00A86EDF" w:rsidRPr="00A32620">
        <w:t>,</w:t>
      </w:r>
      <w:r w:rsidRPr="00A32620">
        <w:t xml:space="preserve"> which is listed on the PBS specifically for these patients. Avelumab has a line agnostic listing and therefore may be used in</w:t>
      </w:r>
      <w:r w:rsidR="008D62D0">
        <w:t xml:space="preserve"> </w:t>
      </w:r>
      <w:r w:rsidRPr="00A32620">
        <w:t>1</w:t>
      </w:r>
      <w:r w:rsidR="004A736E">
        <w:t>L</w:t>
      </w:r>
      <w:r w:rsidRPr="00A32620">
        <w:t xml:space="preserve"> or later lines of therapy, however, the submission assumed that </w:t>
      </w:r>
      <w:proofErr w:type="gramStart"/>
      <w:r w:rsidRPr="00A32620">
        <w:t>the majority of</w:t>
      </w:r>
      <w:proofErr w:type="gramEnd"/>
      <w:r w:rsidRPr="00A32620">
        <w:t xml:space="preserve"> patients would use avelumab in 1L. T</w:t>
      </w:r>
      <w:r w:rsidR="00805B69" w:rsidRPr="00A32620">
        <w:t>he evaluation considered that t</w:t>
      </w:r>
      <w:r w:rsidRPr="00A32620">
        <w:t>his was reasonable</w:t>
      </w:r>
      <w:r w:rsidR="00805B69" w:rsidRPr="00A32620">
        <w:t>, as t</w:t>
      </w:r>
      <w:r w:rsidRPr="00A32620">
        <w:t>he PBAC previously considered that clinician</w:t>
      </w:r>
      <w:r w:rsidR="00F17743" w:rsidRPr="00A32620">
        <w:t>s would likely</w:t>
      </w:r>
      <w:r w:rsidRPr="00A32620">
        <w:t xml:space="preserve"> preference use in the 1L </w:t>
      </w:r>
      <w:r w:rsidR="00A5550B" w:rsidRPr="00A32620">
        <w:t>setting</w:t>
      </w:r>
      <w:r w:rsidR="00F17743" w:rsidRPr="00A32620">
        <w:t>,</w:t>
      </w:r>
      <w:r w:rsidR="00A5550B" w:rsidRPr="00A32620">
        <w:t xml:space="preserve"> </w:t>
      </w:r>
      <w:r w:rsidRPr="00A32620">
        <w:t xml:space="preserve">given the low efficacy and high toxicity in using chemotherapy to treat metastatic MCC (paragraph 2.2, avelumab </w:t>
      </w:r>
      <w:r w:rsidR="0097287E">
        <w:t>Public Summary Document [</w:t>
      </w:r>
      <w:r w:rsidRPr="00A32620">
        <w:t>PSD</w:t>
      </w:r>
      <w:r w:rsidR="0097287E">
        <w:t>]</w:t>
      </w:r>
      <w:r w:rsidRPr="00A32620">
        <w:t>, July 2018 PBAC Meeting).</w:t>
      </w:r>
      <w:r w:rsidR="001C2279" w:rsidRPr="00A32620">
        <w:t xml:space="preserve"> The </w:t>
      </w:r>
      <w:r w:rsidR="0060115A" w:rsidRPr="00A32620">
        <w:t xml:space="preserve">ESC </w:t>
      </w:r>
      <w:r w:rsidR="00D7643F" w:rsidRPr="00A32620">
        <w:t xml:space="preserve">considered that the </w:t>
      </w:r>
      <w:r w:rsidR="001C2279" w:rsidRPr="00A32620">
        <w:t>nominated comparator of avelumab was reasonable for the metastatic MCC population.</w:t>
      </w:r>
    </w:p>
    <w:p w14:paraId="229BBBD7" w14:textId="0803A062" w:rsidR="000D0C3A" w:rsidRPr="00926D81" w:rsidRDefault="009A6A26" w:rsidP="001B00E5">
      <w:pPr>
        <w:pStyle w:val="3-BodyText"/>
        <w:ind w:left="709"/>
      </w:pPr>
      <w:bookmarkStart w:id="18" w:name="_Ref211335060"/>
      <w:r w:rsidRPr="00926D81">
        <w:rPr>
          <w:color w:val="000000" w:themeColor="text1"/>
        </w:rPr>
        <w:t xml:space="preserve">In patients with recurrent, locally advanced MCC (not amenable to surgery or RT), there are currently no PBS-listed immunotherapies, meaning patients are limited to 1L treatment with </w:t>
      </w:r>
      <w:r w:rsidR="004A264A" w:rsidRPr="00926D81">
        <w:rPr>
          <w:color w:val="000000" w:themeColor="text1"/>
        </w:rPr>
        <w:t>standard of care (</w:t>
      </w:r>
      <w:r w:rsidRPr="00926D81">
        <w:rPr>
          <w:color w:val="000000" w:themeColor="text1"/>
        </w:rPr>
        <w:t>SoC</w:t>
      </w:r>
      <w:r w:rsidR="004A264A" w:rsidRPr="00926D81">
        <w:rPr>
          <w:color w:val="000000" w:themeColor="text1"/>
        </w:rPr>
        <w:t>)</w:t>
      </w:r>
      <w:r w:rsidRPr="00926D81">
        <w:rPr>
          <w:color w:val="000000" w:themeColor="text1"/>
        </w:rPr>
        <w:t xml:space="preserve"> chemotherapy. As such, </w:t>
      </w:r>
      <w:r w:rsidR="008047AE" w:rsidRPr="00926D81">
        <w:t>the submission stated that SoC chemotherapy is the comparator</w:t>
      </w:r>
      <w:r w:rsidR="00CE72F4" w:rsidRPr="00926D81">
        <w:t xml:space="preserve"> for this population, which</w:t>
      </w:r>
      <w:r w:rsidR="00A017E2" w:rsidRPr="00926D81">
        <w:t xml:space="preserve"> t</w:t>
      </w:r>
      <w:r w:rsidR="00D7643F" w:rsidRPr="00926D81">
        <w:t xml:space="preserve">he evaluation considered </w:t>
      </w:r>
      <w:r w:rsidR="004A264A" w:rsidRPr="00926D81">
        <w:t>reasonable</w:t>
      </w:r>
      <w:r w:rsidR="00BA1666" w:rsidRPr="00926D81">
        <w:t>. H</w:t>
      </w:r>
      <w:r w:rsidR="008047AE" w:rsidRPr="00926D81">
        <w:t>owever, no formal clinical comparison or cost effectiv</w:t>
      </w:r>
      <w:r w:rsidR="00F81AD7" w:rsidRPr="00926D81">
        <w:t>e</w:t>
      </w:r>
      <w:r w:rsidR="00A1328E" w:rsidRPr="00926D81">
        <w:t>ness</w:t>
      </w:r>
      <w:r w:rsidR="008047AE" w:rsidRPr="00926D81">
        <w:t xml:space="preserve"> analysis of retifanlimab compared with chemotherapy was presented by the submission.</w:t>
      </w:r>
      <w:r w:rsidR="002F22A0" w:rsidRPr="00926D81">
        <w:t xml:space="preserve"> </w:t>
      </w:r>
      <w:r w:rsidR="004A264A" w:rsidRPr="00926D81">
        <w:t>Moreover,</w:t>
      </w:r>
      <w:r w:rsidR="002F22A0" w:rsidRPr="00926D81">
        <w:t xml:space="preserve"> </w:t>
      </w:r>
      <w:r w:rsidR="00AF7967" w:rsidRPr="00926D81">
        <w:t xml:space="preserve">the ESC considered it very likely </w:t>
      </w:r>
      <w:r w:rsidR="002F22A0" w:rsidRPr="00926D81">
        <w:t xml:space="preserve">that avelumab </w:t>
      </w:r>
      <w:r w:rsidR="00AF7967" w:rsidRPr="00926D81">
        <w:t xml:space="preserve">is </w:t>
      </w:r>
      <w:r w:rsidR="0006088E" w:rsidRPr="00926D81">
        <w:t>currently be</w:t>
      </w:r>
      <w:r w:rsidR="00AF7967" w:rsidRPr="00926D81">
        <w:t>ing</w:t>
      </w:r>
      <w:r w:rsidR="0006088E" w:rsidRPr="00926D81">
        <w:t xml:space="preserve"> used in these patients </w:t>
      </w:r>
      <w:r w:rsidR="004E2452" w:rsidRPr="00926D81">
        <w:t xml:space="preserve">(see also </w:t>
      </w:r>
      <w:r w:rsidR="003B0F7D" w:rsidRPr="00926D81">
        <w:t xml:space="preserve">paragraph </w:t>
      </w:r>
      <w:r w:rsidR="004E2452" w:rsidRPr="00926D81">
        <w:fldChar w:fldCharType="begin"/>
      </w:r>
      <w:r w:rsidR="004E2452" w:rsidRPr="00926D81">
        <w:instrText xml:space="preserve"> REF _Ref211335035 \r \h </w:instrText>
      </w:r>
      <w:r w:rsidR="00926D81" w:rsidRPr="00926D81">
        <w:instrText xml:space="preserve"> \* MERGEFORMAT </w:instrText>
      </w:r>
      <w:r w:rsidR="004E2452" w:rsidRPr="00926D81">
        <w:fldChar w:fldCharType="separate"/>
      </w:r>
      <w:r w:rsidR="008D62D0">
        <w:t>3.4</w:t>
      </w:r>
      <w:r w:rsidR="004E2452" w:rsidRPr="00926D81">
        <w:fldChar w:fldCharType="end"/>
      </w:r>
      <w:r w:rsidR="004E2452" w:rsidRPr="00926D81">
        <w:t>)</w:t>
      </w:r>
      <w:r w:rsidR="0006088E" w:rsidRPr="00926D81">
        <w:t xml:space="preserve">. </w:t>
      </w:r>
      <w:r w:rsidR="00AE427C" w:rsidRPr="00926D81">
        <w:t>The submission</w:t>
      </w:r>
      <w:r w:rsidR="00355C25" w:rsidRPr="00926D81">
        <w:t xml:space="preserve"> and the ESC</w:t>
      </w:r>
      <w:r w:rsidR="00AE427C" w:rsidRPr="00926D81">
        <w:t xml:space="preserve"> noted the eviQ guidelines (as well as the National Comprehensive Cancer Network [NCCN] and European Society For Medical Oncology [ESMO] guidelines) recommend avelumab for unresectable MCC</w:t>
      </w:r>
      <w:r w:rsidR="00D537E3" w:rsidRPr="00926D81">
        <w:t xml:space="preserve">; </w:t>
      </w:r>
      <w:r w:rsidR="00AE427C" w:rsidRPr="00926D81">
        <w:t>however the TGA indication for avelumab is currently limited to metastatic MCC.</w:t>
      </w:r>
      <w:bookmarkEnd w:id="18"/>
      <w:r w:rsidR="00CA37B0" w:rsidRPr="00926D81">
        <w:t xml:space="preserve"> </w:t>
      </w:r>
      <w:r w:rsidR="008047AE" w:rsidRPr="00926D81">
        <w:t xml:space="preserve">The submission </w:t>
      </w:r>
      <w:r w:rsidR="006C4599" w:rsidRPr="00926D81">
        <w:t xml:space="preserve">and the ESC </w:t>
      </w:r>
      <w:r w:rsidR="008047AE" w:rsidRPr="00926D81">
        <w:t xml:space="preserve">noted other regimens </w:t>
      </w:r>
      <w:r w:rsidR="00C105B1" w:rsidRPr="00926D81">
        <w:t xml:space="preserve">recommended </w:t>
      </w:r>
      <w:r w:rsidR="008047AE" w:rsidRPr="00926D81">
        <w:t>to treat MCC presented in NCCN and ESMO guidelines include nivolumab and pembrolizumab</w:t>
      </w:r>
      <w:r w:rsidR="000D0C3A" w:rsidRPr="00926D81">
        <w:t>:</w:t>
      </w:r>
    </w:p>
    <w:p w14:paraId="18190AA2" w14:textId="18C49990" w:rsidR="000D0C3A" w:rsidRPr="00557CFE" w:rsidRDefault="008047AE" w:rsidP="00AE30FA">
      <w:pPr>
        <w:pStyle w:val="ListParagraph"/>
        <w:jc w:val="both"/>
      </w:pPr>
      <w:r w:rsidRPr="00557CFE">
        <w:t xml:space="preserve">Nivolumab is not TGA-approved for the proposed indication and is not currently undergoing </w:t>
      </w:r>
      <w:r w:rsidR="005F7893" w:rsidRPr="00557CFE">
        <w:t xml:space="preserve">TGA </w:t>
      </w:r>
      <w:r w:rsidRPr="00557CFE">
        <w:t xml:space="preserve">evaluation. </w:t>
      </w:r>
      <w:r w:rsidR="000D0C3A" w:rsidRPr="00557CFE">
        <w:t xml:space="preserve">The ESC noted that </w:t>
      </w:r>
      <w:r w:rsidR="00982845" w:rsidRPr="00557CFE">
        <w:t xml:space="preserve">at its September 2025 intracycle meeting, </w:t>
      </w:r>
      <w:r w:rsidR="002C6717" w:rsidRPr="00557CFE">
        <w:t xml:space="preserve">the PBAC considered </w:t>
      </w:r>
      <w:r w:rsidR="00CB4CAA" w:rsidRPr="00557CFE">
        <w:t xml:space="preserve">a </w:t>
      </w:r>
      <w:r w:rsidR="0002762F" w:rsidRPr="00557CFE">
        <w:t>proposal</w:t>
      </w:r>
      <w:r w:rsidR="00CB4CAA" w:rsidRPr="00557CFE">
        <w:t xml:space="preserve"> for </w:t>
      </w:r>
      <w:r w:rsidR="002C6717" w:rsidRPr="00557CFE">
        <w:t xml:space="preserve">nivolumab + </w:t>
      </w:r>
      <w:r w:rsidR="00A179F2" w:rsidRPr="00557CFE">
        <w:t>ipilimumab</w:t>
      </w:r>
      <w:r w:rsidR="002C6717" w:rsidRPr="00557CFE">
        <w:t xml:space="preserve"> </w:t>
      </w:r>
      <w:r w:rsidR="00CB4CAA" w:rsidRPr="00557CFE">
        <w:t>as an</w:t>
      </w:r>
      <w:r w:rsidR="002C6717" w:rsidRPr="00557CFE">
        <w:t xml:space="preserve"> ‘</w:t>
      </w:r>
      <w:r w:rsidR="00982845" w:rsidRPr="00557CFE">
        <w:t>expanded listing to facilitate broad access for the treatment of unresectable advanced and metastatic cancer’</w:t>
      </w:r>
      <w:r w:rsidR="0064543E" w:rsidRPr="00557CFE">
        <w:rPr>
          <w:rStyle w:val="FootnoteReference"/>
        </w:rPr>
        <w:footnoteReference w:id="7"/>
      </w:r>
      <w:r w:rsidR="00994F79" w:rsidRPr="00557CFE">
        <w:t xml:space="preserve">. </w:t>
      </w:r>
      <w:r w:rsidR="00A16A49">
        <w:t xml:space="preserve">At </w:t>
      </w:r>
      <w:r w:rsidR="00B24B61">
        <w:t>that meeting “The PBAC recommended a multi-indication (broad) listing for nivolumab and ipilimumab in advanced or metastatic cancers”</w:t>
      </w:r>
      <w:r w:rsidR="00B24B61">
        <w:rPr>
          <w:rStyle w:val="FootnoteReference"/>
        </w:rPr>
        <w:footnoteReference w:id="8"/>
      </w:r>
      <w:r w:rsidR="00B24B61">
        <w:t>.</w:t>
      </w:r>
    </w:p>
    <w:p w14:paraId="57D15C84" w14:textId="3793E420" w:rsidR="00D44DB9" w:rsidRPr="00817854" w:rsidRDefault="008047AE" w:rsidP="000D0C3A">
      <w:pPr>
        <w:pStyle w:val="ListParagraph"/>
      </w:pPr>
      <w:r w:rsidRPr="00817854">
        <w:lastRenderedPageBreak/>
        <w:t xml:space="preserve">Pembrolizumab </w:t>
      </w:r>
      <w:r w:rsidR="00FE0947" w:rsidRPr="00817854">
        <w:t>was approved by the</w:t>
      </w:r>
      <w:r w:rsidRPr="00817854">
        <w:t xml:space="preserve"> TGA</w:t>
      </w:r>
      <w:r w:rsidR="00FE0947" w:rsidRPr="00817854">
        <w:t xml:space="preserve"> </w:t>
      </w:r>
      <w:r w:rsidR="00EA4CEB" w:rsidRPr="00817854">
        <w:t xml:space="preserve">in July 2025 </w:t>
      </w:r>
      <w:r w:rsidRPr="00817854">
        <w:t xml:space="preserve">for the treatment </w:t>
      </w:r>
      <w:r w:rsidR="00A43C26" w:rsidRPr="00817854">
        <w:t xml:space="preserve">(as monotherapy) </w:t>
      </w:r>
      <w:r w:rsidRPr="00817854">
        <w:t>of recurrent locally advanced or metastatic MCC</w:t>
      </w:r>
      <w:r w:rsidR="00A43C26" w:rsidRPr="00817854">
        <w:t xml:space="preserve"> in pat</w:t>
      </w:r>
      <w:r w:rsidR="006E2FC8" w:rsidRPr="00817854">
        <w:t>ients 12 years and older</w:t>
      </w:r>
      <w:r w:rsidRPr="00817854">
        <w:t xml:space="preserve">. </w:t>
      </w:r>
    </w:p>
    <w:p w14:paraId="6D445C9C" w14:textId="3A2A3695" w:rsidR="008047AE" w:rsidRPr="00D30537" w:rsidRDefault="008047AE" w:rsidP="00401BD2">
      <w:pPr>
        <w:ind w:left="720"/>
        <w:rPr>
          <w:i/>
          <w:iCs/>
        </w:rPr>
      </w:pPr>
      <w:r w:rsidRPr="00D30537">
        <w:t>However, these were not considered as near-market comparators by the submission.</w:t>
      </w:r>
      <w:r w:rsidRPr="00D30537">
        <w:rPr>
          <w:i/>
          <w:iCs/>
        </w:rPr>
        <w:t xml:space="preserve"> </w:t>
      </w:r>
    </w:p>
    <w:p w14:paraId="33CE51C4" w14:textId="36B1AAB2" w:rsidR="00BE7C25" w:rsidRPr="00D30537" w:rsidRDefault="00CB20CB" w:rsidP="003F2C7D">
      <w:pPr>
        <w:pStyle w:val="3-BodyText"/>
        <w:numPr>
          <w:ilvl w:val="0"/>
          <w:numId w:val="0"/>
        </w:numPr>
        <w:ind w:left="-11"/>
      </w:pPr>
      <w:r w:rsidRPr="00D30537">
        <w:rPr>
          <w:i/>
          <w:iCs/>
        </w:rPr>
        <w:t>For more detail on PBAC’s view, see section 7 PBAC outcome.</w:t>
      </w:r>
    </w:p>
    <w:p w14:paraId="72A1C916" w14:textId="77777777" w:rsidR="008047AE" w:rsidRPr="00D30537" w:rsidRDefault="008047AE" w:rsidP="008047AE">
      <w:pPr>
        <w:pStyle w:val="2-SectionHeading"/>
      </w:pPr>
      <w:bookmarkStart w:id="19" w:name="_Toc208988056"/>
      <w:bookmarkStart w:id="20" w:name="_Toc22897640"/>
      <w:r w:rsidRPr="00D30537">
        <w:t>Consideration of the evidence</w:t>
      </w:r>
      <w:bookmarkEnd w:id="19"/>
    </w:p>
    <w:p w14:paraId="1A1EB002" w14:textId="77777777" w:rsidR="00383489" w:rsidRPr="00D30537" w:rsidRDefault="00383489" w:rsidP="00383489">
      <w:pPr>
        <w:pStyle w:val="3-SubsectionHeading"/>
        <w:rPr>
          <w:lang w:eastAsia="en-AU"/>
        </w:rPr>
      </w:pPr>
      <w:bookmarkStart w:id="21" w:name="_Hlk76375935"/>
      <w:bookmarkStart w:id="22" w:name="_Toc208988057"/>
      <w:r w:rsidRPr="00D30537">
        <w:rPr>
          <w:lang w:eastAsia="en-AU"/>
        </w:rPr>
        <w:t>Sponsor hearing</w:t>
      </w:r>
    </w:p>
    <w:p w14:paraId="59904D23" w14:textId="091DF65D" w:rsidR="00383489" w:rsidRPr="00E3032D" w:rsidRDefault="00383489" w:rsidP="00383489">
      <w:pPr>
        <w:widowControl w:val="0"/>
        <w:numPr>
          <w:ilvl w:val="1"/>
          <w:numId w:val="1"/>
        </w:numPr>
        <w:spacing w:after="120"/>
        <w:ind w:left="720"/>
        <w:rPr>
          <w:rFonts w:cs="Calibri"/>
          <w:bCs/>
          <w:snapToGrid w:val="0"/>
        </w:rPr>
      </w:pPr>
      <w:r w:rsidRPr="00E3032D">
        <w:rPr>
          <w:rFonts w:cs="Calibri"/>
          <w:bCs/>
          <w:snapToGrid w:val="0"/>
        </w:rPr>
        <w:t>There was no hearing for this item.</w:t>
      </w:r>
    </w:p>
    <w:p w14:paraId="6DC0ADE3" w14:textId="77777777" w:rsidR="00383489" w:rsidRPr="00D30537" w:rsidRDefault="00383489" w:rsidP="008C7040">
      <w:pPr>
        <w:pStyle w:val="4-SubsectionHeading"/>
      </w:pPr>
      <w:r w:rsidRPr="00D30537">
        <w:t>Consumer comments</w:t>
      </w:r>
    </w:p>
    <w:p w14:paraId="556B4A54" w14:textId="008A38F1" w:rsidR="00BF1506" w:rsidRPr="00AF10FB" w:rsidRDefault="00383489" w:rsidP="00BC407F">
      <w:pPr>
        <w:widowControl w:val="0"/>
        <w:numPr>
          <w:ilvl w:val="1"/>
          <w:numId w:val="1"/>
        </w:numPr>
        <w:spacing w:after="120"/>
        <w:ind w:left="720"/>
        <w:rPr>
          <w:rFonts w:asciiTheme="minorHAnsi" w:hAnsiTheme="minorHAnsi"/>
          <w:bCs/>
          <w:snapToGrid w:val="0"/>
        </w:rPr>
      </w:pPr>
      <w:bookmarkStart w:id="23" w:name="_Ref214283874"/>
      <w:bookmarkStart w:id="24" w:name="_Hlk76382618"/>
      <w:r w:rsidRPr="00AF10FB">
        <w:rPr>
          <w:rFonts w:asciiTheme="minorHAnsi" w:hAnsiTheme="minorHAnsi"/>
          <w:bCs/>
          <w:snapToGrid w:val="0"/>
        </w:rPr>
        <w:t>The PBAC noted and welcomed the input from individuals (4), health care professionals (7) and organisations (</w:t>
      </w:r>
      <w:r w:rsidR="00213697" w:rsidRPr="00AF10FB">
        <w:rPr>
          <w:rFonts w:asciiTheme="minorHAnsi" w:hAnsiTheme="minorHAnsi"/>
          <w:bCs/>
          <w:snapToGrid w:val="0"/>
        </w:rPr>
        <w:t>5</w:t>
      </w:r>
      <w:r w:rsidRPr="00AF10FB">
        <w:rPr>
          <w:rFonts w:asciiTheme="minorHAnsi" w:hAnsiTheme="minorHAnsi"/>
          <w:bCs/>
          <w:snapToGrid w:val="0"/>
        </w:rPr>
        <w:t xml:space="preserve">) via the Consumer Comments facility on the PBS website. </w:t>
      </w:r>
      <w:r w:rsidR="00F00F3E" w:rsidRPr="00AF10FB">
        <w:rPr>
          <w:bCs/>
          <w:snapToGrid w:val="0"/>
        </w:rPr>
        <w:t xml:space="preserve">The PBAC noted the advice received from Rare Cancers Australia, NeuroEndocrine Cancer Australia, Melanoma &amp; Skin Cancer Advocacy network, Melanoma </w:t>
      </w:r>
      <w:r w:rsidR="001A33E3">
        <w:rPr>
          <w:bCs/>
          <w:snapToGrid w:val="0"/>
        </w:rPr>
        <w:t xml:space="preserve">and </w:t>
      </w:r>
      <w:r w:rsidR="00F00F3E" w:rsidRPr="00AF10FB">
        <w:rPr>
          <w:bCs/>
          <w:snapToGrid w:val="0"/>
        </w:rPr>
        <w:t>Skin Cancer</w:t>
      </w:r>
      <w:r w:rsidR="001A33E3">
        <w:rPr>
          <w:bCs/>
          <w:snapToGrid w:val="0"/>
        </w:rPr>
        <w:t xml:space="preserve"> Trials Limited</w:t>
      </w:r>
      <w:r w:rsidR="00F00F3E" w:rsidRPr="00AF10FB">
        <w:rPr>
          <w:bCs/>
          <w:snapToGrid w:val="0"/>
        </w:rPr>
        <w:t xml:space="preserve"> </w:t>
      </w:r>
      <w:r w:rsidR="00F00F3E" w:rsidRPr="00AF10FB">
        <w:rPr>
          <w:rFonts w:asciiTheme="minorHAnsi" w:hAnsiTheme="minorHAnsi"/>
          <w:bCs/>
          <w:snapToGrid w:val="0"/>
        </w:rPr>
        <w:t xml:space="preserve">clarifying the likely use of </w:t>
      </w:r>
      <w:r w:rsidR="00F00F3E" w:rsidRPr="00AF10FB">
        <w:rPr>
          <w:bCs/>
          <w:snapToGrid w:val="0"/>
        </w:rPr>
        <w:t>retifanlimab</w:t>
      </w:r>
      <w:r w:rsidR="00F00F3E" w:rsidRPr="00AF10FB">
        <w:rPr>
          <w:rFonts w:asciiTheme="minorHAnsi" w:hAnsiTheme="minorHAnsi"/>
          <w:bCs/>
          <w:snapToGrid w:val="0"/>
        </w:rPr>
        <w:t xml:space="preserve"> in clinical practice.</w:t>
      </w:r>
      <w:r w:rsidR="008D62D0">
        <w:rPr>
          <w:rFonts w:asciiTheme="minorHAnsi" w:hAnsiTheme="minorHAnsi"/>
          <w:bCs/>
          <w:snapToGrid w:val="0"/>
        </w:rPr>
        <w:t xml:space="preserve"> </w:t>
      </w:r>
      <w:r w:rsidR="00E96641">
        <w:rPr>
          <w:rFonts w:asciiTheme="minorHAnsi" w:hAnsiTheme="minorHAnsi"/>
          <w:bCs/>
          <w:snapToGrid w:val="0"/>
        </w:rPr>
        <w:t>Input</w:t>
      </w:r>
      <w:r w:rsidRPr="00AF10FB">
        <w:rPr>
          <w:rFonts w:asciiTheme="minorHAnsi" w:hAnsiTheme="minorHAnsi"/>
          <w:bCs/>
          <w:snapToGrid w:val="0"/>
        </w:rPr>
        <w:t xml:space="preserve"> </w:t>
      </w:r>
      <w:r w:rsidR="00275675" w:rsidRPr="00AF10FB">
        <w:rPr>
          <w:rFonts w:asciiTheme="minorHAnsi" w:hAnsiTheme="minorHAnsi"/>
          <w:bCs/>
          <w:snapToGrid w:val="0"/>
        </w:rPr>
        <w:t xml:space="preserve">noted </w:t>
      </w:r>
      <w:bookmarkEnd w:id="23"/>
      <w:r w:rsidR="00A55ABB">
        <w:rPr>
          <w:rFonts w:asciiTheme="minorHAnsi" w:hAnsiTheme="minorHAnsi"/>
          <w:bCs/>
          <w:snapToGrid w:val="0"/>
        </w:rPr>
        <w:t>limited</w:t>
      </w:r>
      <w:r w:rsidR="009F76FB" w:rsidRPr="00AF10FB">
        <w:rPr>
          <w:rFonts w:asciiTheme="minorHAnsi" w:hAnsiTheme="minorHAnsi"/>
          <w:bCs/>
          <w:snapToGrid w:val="0"/>
        </w:rPr>
        <w:t xml:space="preserve"> treatment options</w:t>
      </w:r>
      <w:r w:rsidR="00A55ABB">
        <w:rPr>
          <w:rFonts w:asciiTheme="minorHAnsi" w:hAnsiTheme="minorHAnsi"/>
          <w:bCs/>
          <w:snapToGrid w:val="0"/>
        </w:rPr>
        <w:t xml:space="preserve"> for MCC</w:t>
      </w:r>
      <w:r w:rsidR="008A1B0A" w:rsidRPr="00AF10FB">
        <w:rPr>
          <w:rFonts w:asciiTheme="minorHAnsi" w:hAnsiTheme="minorHAnsi"/>
          <w:bCs/>
          <w:snapToGrid w:val="0"/>
        </w:rPr>
        <w:t>, indicat</w:t>
      </w:r>
      <w:r w:rsidR="00A55ABB">
        <w:rPr>
          <w:rFonts w:asciiTheme="minorHAnsi" w:hAnsiTheme="minorHAnsi"/>
          <w:bCs/>
          <w:snapToGrid w:val="0"/>
        </w:rPr>
        <w:t>ing</w:t>
      </w:r>
      <w:r w:rsidR="008A1B0A" w:rsidRPr="00AF10FB">
        <w:rPr>
          <w:rFonts w:asciiTheme="minorHAnsi" w:hAnsiTheme="minorHAnsi"/>
          <w:bCs/>
          <w:snapToGrid w:val="0"/>
        </w:rPr>
        <w:t xml:space="preserve"> that there is a</w:t>
      </w:r>
      <w:r w:rsidR="0029489C" w:rsidRPr="00AF10FB">
        <w:rPr>
          <w:rFonts w:asciiTheme="minorHAnsi" w:hAnsiTheme="minorHAnsi"/>
          <w:bCs/>
          <w:snapToGrid w:val="0"/>
        </w:rPr>
        <w:t xml:space="preserve"> </w:t>
      </w:r>
      <w:r w:rsidR="0020721F" w:rsidRPr="00AF10FB">
        <w:rPr>
          <w:rFonts w:asciiTheme="minorHAnsi" w:hAnsiTheme="minorHAnsi"/>
          <w:bCs/>
          <w:snapToGrid w:val="0"/>
        </w:rPr>
        <w:t>clinical need for new therapies</w:t>
      </w:r>
      <w:r w:rsidR="008A1B0A" w:rsidRPr="00AF10FB">
        <w:rPr>
          <w:rFonts w:asciiTheme="minorHAnsi" w:hAnsiTheme="minorHAnsi"/>
          <w:bCs/>
          <w:snapToGrid w:val="0"/>
        </w:rPr>
        <w:t xml:space="preserve">. </w:t>
      </w:r>
      <w:r w:rsidR="00275675" w:rsidRPr="00AF10FB">
        <w:rPr>
          <w:rFonts w:asciiTheme="minorHAnsi" w:hAnsiTheme="minorHAnsi"/>
          <w:bCs/>
          <w:snapToGrid w:val="0"/>
        </w:rPr>
        <w:t xml:space="preserve">Comments described </w:t>
      </w:r>
      <w:r w:rsidR="0020721F" w:rsidRPr="00AF10FB">
        <w:rPr>
          <w:rFonts w:asciiTheme="minorHAnsi" w:hAnsiTheme="minorHAnsi"/>
          <w:bCs/>
          <w:snapToGrid w:val="0"/>
        </w:rPr>
        <w:t xml:space="preserve">potential benefits associated with </w:t>
      </w:r>
      <w:r w:rsidR="00402BF9" w:rsidRPr="00AF10FB">
        <w:rPr>
          <w:rFonts w:asciiTheme="minorHAnsi" w:hAnsiTheme="minorHAnsi"/>
          <w:bCs/>
          <w:snapToGrid w:val="0"/>
        </w:rPr>
        <w:t xml:space="preserve">retifanlimab </w:t>
      </w:r>
      <w:r w:rsidR="00370354" w:rsidRPr="00AF10FB">
        <w:rPr>
          <w:rFonts w:asciiTheme="minorHAnsi" w:hAnsiTheme="minorHAnsi"/>
          <w:bCs/>
          <w:snapToGrid w:val="0"/>
        </w:rPr>
        <w:t xml:space="preserve">including </w:t>
      </w:r>
      <w:r w:rsidR="008159DC" w:rsidRPr="00AF10FB">
        <w:rPr>
          <w:rFonts w:asciiTheme="minorHAnsi" w:hAnsiTheme="minorHAnsi"/>
          <w:bCs/>
          <w:snapToGrid w:val="0"/>
        </w:rPr>
        <w:t>less frequent dosing (</w:t>
      </w:r>
      <w:r w:rsidR="0020721F" w:rsidRPr="00AF10FB">
        <w:rPr>
          <w:rFonts w:asciiTheme="minorHAnsi" w:hAnsiTheme="minorHAnsi"/>
          <w:bCs/>
          <w:snapToGrid w:val="0"/>
        </w:rPr>
        <w:t>Q4W</w:t>
      </w:r>
      <w:r w:rsidR="008159DC" w:rsidRPr="00AF10FB">
        <w:rPr>
          <w:rFonts w:asciiTheme="minorHAnsi" w:hAnsiTheme="minorHAnsi"/>
          <w:bCs/>
          <w:snapToGrid w:val="0"/>
        </w:rPr>
        <w:t xml:space="preserve">), </w:t>
      </w:r>
      <w:r w:rsidR="0020721F" w:rsidRPr="00AF10FB">
        <w:rPr>
          <w:rFonts w:asciiTheme="minorHAnsi" w:hAnsiTheme="minorHAnsi"/>
          <w:bCs/>
          <w:snapToGrid w:val="0"/>
        </w:rPr>
        <w:t xml:space="preserve">and a faster infusion rate </w:t>
      </w:r>
      <w:r w:rsidR="008159DC" w:rsidRPr="00AF10FB">
        <w:rPr>
          <w:rFonts w:asciiTheme="minorHAnsi" w:hAnsiTheme="minorHAnsi"/>
          <w:bCs/>
          <w:snapToGrid w:val="0"/>
        </w:rPr>
        <w:t>(</w:t>
      </w:r>
      <w:r w:rsidR="006472EE" w:rsidRPr="00AF10FB">
        <w:rPr>
          <w:rFonts w:asciiTheme="minorHAnsi" w:hAnsiTheme="minorHAnsi"/>
          <w:bCs/>
          <w:snapToGrid w:val="0"/>
        </w:rPr>
        <w:t>30 minutes)</w:t>
      </w:r>
      <w:r w:rsidR="0020721F" w:rsidRPr="00AF10FB">
        <w:rPr>
          <w:rFonts w:asciiTheme="minorHAnsi" w:hAnsiTheme="minorHAnsi"/>
          <w:bCs/>
          <w:snapToGrid w:val="0"/>
        </w:rPr>
        <w:t>, compared to for avelumab</w:t>
      </w:r>
      <w:r w:rsidR="006472EE" w:rsidRPr="00AF10FB">
        <w:rPr>
          <w:rFonts w:asciiTheme="minorHAnsi" w:hAnsiTheme="minorHAnsi"/>
          <w:bCs/>
          <w:snapToGrid w:val="0"/>
        </w:rPr>
        <w:t xml:space="preserve"> (Q2W dosing</w:t>
      </w:r>
      <w:r w:rsidR="00A774BF" w:rsidRPr="00AF10FB">
        <w:rPr>
          <w:rFonts w:asciiTheme="minorHAnsi" w:hAnsiTheme="minorHAnsi"/>
          <w:bCs/>
          <w:snapToGrid w:val="0"/>
        </w:rPr>
        <w:t xml:space="preserve"> and 60 minute infusion),</w:t>
      </w:r>
      <w:r w:rsidR="00BF1506" w:rsidRPr="00AF10FB">
        <w:rPr>
          <w:rFonts w:asciiTheme="minorHAnsi" w:hAnsiTheme="minorHAnsi"/>
          <w:bCs/>
          <w:snapToGrid w:val="0"/>
        </w:rPr>
        <w:t xml:space="preserve"> </w:t>
      </w:r>
      <w:r w:rsidR="000A0944">
        <w:rPr>
          <w:rFonts w:asciiTheme="minorHAnsi" w:hAnsiTheme="minorHAnsi"/>
          <w:bCs/>
          <w:snapToGrid w:val="0"/>
        </w:rPr>
        <w:t xml:space="preserve">as well as </w:t>
      </w:r>
      <w:r w:rsidR="000A0944" w:rsidRPr="000A0944">
        <w:rPr>
          <w:rFonts w:asciiTheme="minorHAnsi" w:hAnsiTheme="minorHAnsi"/>
          <w:bCs/>
          <w:snapToGrid w:val="0"/>
        </w:rPr>
        <w:t>a broader restriction (including locally advanced not amenable to surgery or radiotherapy</w:t>
      </w:r>
      <w:r w:rsidR="000A0944">
        <w:rPr>
          <w:rFonts w:asciiTheme="minorHAnsi" w:hAnsiTheme="minorHAnsi"/>
          <w:bCs/>
          <w:snapToGrid w:val="0"/>
        </w:rPr>
        <w:t>). Comments</w:t>
      </w:r>
      <w:r w:rsidR="000A0944" w:rsidRPr="000A0944">
        <w:rPr>
          <w:rFonts w:asciiTheme="minorHAnsi" w:hAnsiTheme="minorHAnsi"/>
          <w:bCs/>
          <w:snapToGrid w:val="0"/>
        </w:rPr>
        <w:t xml:space="preserve"> </w:t>
      </w:r>
      <w:r w:rsidR="00BF1506" w:rsidRPr="00AF10FB">
        <w:rPr>
          <w:rFonts w:asciiTheme="minorHAnsi" w:hAnsiTheme="minorHAnsi"/>
          <w:bCs/>
          <w:snapToGrid w:val="0"/>
        </w:rPr>
        <w:t xml:space="preserve">suggested </w:t>
      </w:r>
      <w:r w:rsidR="00655FDF" w:rsidRPr="00AF10FB">
        <w:rPr>
          <w:rFonts w:asciiTheme="minorHAnsi" w:hAnsiTheme="minorHAnsi"/>
          <w:bCs/>
          <w:snapToGrid w:val="0"/>
        </w:rPr>
        <w:t>that retifanlimab is associated with lower toxicity and infusion reactions, and greater efficacy</w:t>
      </w:r>
      <w:r w:rsidR="009F76FB" w:rsidRPr="00AF10FB">
        <w:rPr>
          <w:rFonts w:asciiTheme="minorHAnsi" w:hAnsiTheme="minorHAnsi"/>
          <w:bCs/>
          <w:snapToGrid w:val="0"/>
        </w:rPr>
        <w:t xml:space="preserve"> compared with other immune checkpoint inhibitors</w:t>
      </w:r>
      <w:r w:rsidR="00655FDF" w:rsidRPr="00AF10FB">
        <w:rPr>
          <w:rFonts w:asciiTheme="minorHAnsi" w:hAnsiTheme="minorHAnsi"/>
          <w:bCs/>
          <w:snapToGrid w:val="0"/>
        </w:rPr>
        <w:t>.</w:t>
      </w:r>
      <w:r w:rsidR="009F76FB" w:rsidRPr="00AF10FB">
        <w:rPr>
          <w:rFonts w:asciiTheme="minorHAnsi" w:hAnsiTheme="minorHAnsi"/>
          <w:bCs/>
          <w:snapToGrid w:val="0"/>
        </w:rPr>
        <w:t xml:space="preserve"> </w:t>
      </w:r>
      <w:r w:rsidR="001A33E3" w:rsidRPr="00AF10FB">
        <w:rPr>
          <w:bCs/>
          <w:snapToGrid w:val="0"/>
        </w:rPr>
        <w:t xml:space="preserve">Melanoma </w:t>
      </w:r>
      <w:r w:rsidR="001A33E3">
        <w:rPr>
          <w:bCs/>
          <w:snapToGrid w:val="0"/>
        </w:rPr>
        <w:t xml:space="preserve">and </w:t>
      </w:r>
      <w:r w:rsidR="001A33E3" w:rsidRPr="00AF10FB">
        <w:rPr>
          <w:bCs/>
          <w:snapToGrid w:val="0"/>
        </w:rPr>
        <w:t>Skin Cancer</w:t>
      </w:r>
      <w:r w:rsidR="001A33E3">
        <w:rPr>
          <w:bCs/>
          <w:snapToGrid w:val="0"/>
        </w:rPr>
        <w:t xml:space="preserve"> Trials Limited</w:t>
      </w:r>
      <w:r w:rsidR="001A33E3" w:rsidRPr="00AF10FB">
        <w:rPr>
          <w:bCs/>
          <w:snapToGrid w:val="0"/>
        </w:rPr>
        <w:t xml:space="preserve"> </w:t>
      </w:r>
      <w:r w:rsidR="001A33E3">
        <w:rPr>
          <w:bCs/>
          <w:snapToGrid w:val="0"/>
        </w:rPr>
        <w:t xml:space="preserve">noted that </w:t>
      </w:r>
      <w:r w:rsidR="00E96641" w:rsidRPr="00E96641">
        <w:rPr>
          <w:rFonts w:asciiTheme="minorHAnsi" w:hAnsiTheme="minorHAnsi"/>
          <w:bCs/>
          <w:snapToGrid w:val="0"/>
        </w:rPr>
        <w:t>Australia has the highest global incidence of MCC, which is a rare but highly aggressive neuroendocrine skin cancer</w:t>
      </w:r>
      <w:r w:rsidR="001A33E3">
        <w:rPr>
          <w:rFonts w:asciiTheme="minorHAnsi" w:hAnsiTheme="minorHAnsi"/>
          <w:bCs/>
          <w:snapToGrid w:val="0"/>
        </w:rPr>
        <w:t xml:space="preserve">. </w:t>
      </w:r>
    </w:p>
    <w:bookmarkEnd w:id="21"/>
    <w:bookmarkEnd w:id="24"/>
    <w:p w14:paraId="1CA92544" w14:textId="779D0685" w:rsidR="00383489" w:rsidRPr="00197CBA" w:rsidRDefault="00383489" w:rsidP="00197CBA">
      <w:pPr>
        <w:widowControl w:val="0"/>
        <w:numPr>
          <w:ilvl w:val="1"/>
          <w:numId w:val="1"/>
        </w:numPr>
        <w:spacing w:after="120"/>
        <w:ind w:left="720"/>
        <w:rPr>
          <w:rFonts w:asciiTheme="minorHAnsi" w:hAnsiTheme="minorHAnsi"/>
          <w:bCs/>
          <w:snapToGrid w:val="0"/>
        </w:rPr>
      </w:pPr>
      <w:r w:rsidRPr="00197CBA">
        <w:rPr>
          <w:rFonts w:asciiTheme="minorHAnsi" w:hAnsiTheme="minorHAnsi"/>
          <w:bCs/>
          <w:snapToGrid w:val="0"/>
        </w:rPr>
        <w:t xml:space="preserve">The Medical Oncology Group of Australia (MOGA) also expressed its strong support for the </w:t>
      </w:r>
      <w:r w:rsidR="00144C66" w:rsidRPr="00197CBA">
        <w:rPr>
          <w:rFonts w:asciiTheme="minorHAnsi" w:hAnsiTheme="minorHAnsi"/>
          <w:bCs/>
          <w:snapToGrid w:val="0"/>
        </w:rPr>
        <w:t>retifanlimab</w:t>
      </w:r>
      <w:r w:rsidR="005055E0">
        <w:rPr>
          <w:rFonts w:asciiTheme="minorHAnsi" w:hAnsiTheme="minorHAnsi"/>
          <w:bCs/>
          <w:snapToGrid w:val="0"/>
        </w:rPr>
        <w:t xml:space="preserve"> </w:t>
      </w:r>
      <w:r w:rsidRPr="00197CBA">
        <w:rPr>
          <w:rFonts w:asciiTheme="minorHAnsi" w:hAnsiTheme="minorHAnsi"/>
          <w:bCs/>
          <w:snapToGrid w:val="0"/>
        </w:rPr>
        <w:t xml:space="preserve">submission, categorising it as one of the therapies of “high priority for PBS listing” </w:t>
      </w:r>
      <w:proofErr w:type="gramStart"/>
      <w:r w:rsidRPr="00197CBA">
        <w:rPr>
          <w:rFonts w:asciiTheme="minorHAnsi" w:hAnsiTheme="minorHAnsi"/>
          <w:bCs/>
          <w:snapToGrid w:val="0"/>
        </w:rPr>
        <w:t>on the basis of</w:t>
      </w:r>
      <w:proofErr w:type="gramEnd"/>
      <w:r w:rsidRPr="00197CBA">
        <w:rPr>
          <w:rFonts w:asciiTheme="minorHAnsi" w:hAnsiTheme="minorHAnsi"/>
          <w:bCs/>
          <w:snapToGrid w:val="0"/>
        </w:rPr>
        <w:t xml:space="preserve"> </w:t>
      </w:r>
      <w:r w:rsidR="00577003">
        <w:rPr>
          <w:rFonts w:asciiTheme="minorHAnsi" w:hAnsiTheme="minorHAnsi"/>
          <w:bCs/>
          <w:snapToGrid w:val="0"/>
        </w:rPr>
        <w:t>an</w:t>
      </w:r>
      <w:r w:rsidR="00D35DDC">
        <w:rPr>
          <w:rFonts w:asciiTheme="minorHAnsi" w:hAnsiTheme="minorHAnsi"/>
          <w:bCs/>
          <w:snapToGrid w:val="0"/>
        </w:rPr>
        <w:t xml:space="preserve"> </w:t>
      </w:r>
      <w:r w:rsidR="00D35DDC" w:rsidRPr="00D30537">
        <w:t>objective response rate</w:t>
      </w:r>
      <w:r w:rsidR="00577003">
        <w:rPr>
          <w:rFonts w:asciiTheme="minorHAnsi" w:hAnsiTheme="minorHAnsi"/>
          <w:bCs/>
          <w:snapToGrid w:val="0"/>
        </w:rPr>
        <w:t xml:space="preserve"> </w:t>
      </w:r>
      <w:r w:rsidR="00D35DDC">
        <w:rPr>
          <w:rFonts w:asciiTheme="minorHAnsi" w:hAnsiTheme="minorHAnsi"/>
          <w:bCs/>
          <w:snapToGrid w:val="0"/>
        </w:rPr>
        <w:t>(</w:t>
      </w:r>
      <w:r w:rsidR="00577003">
        <w:rPr>
          <w:rFonts w:asciiTheme="minorHAnsi" w:hAnsiTheme="minorHAnsi"/>
          <w:bCs/>
          <w:snapToGrid w:val="0"/>
        </w:rPr>
        <w:t>ORR</w:t>
      </w:r>
      <w:r w:rsidR="00D35DDC">
        <w:rPr>
          <w:rFonts w:asciiTheme="minorHAnsi" w:hAnsiTheme="minorHAnsi"/>
          <w:bCs/>
          <w:snapToGrid w:val="0"/>
        </w:rPr>
        <w:t xml:space="preserve">) </w:t>
      </w:r>
      <w:r w:rsidR="00577003">
        <w:rPr>
          <w:rFonts w:asciiTheme="minorHAnsi" w:hAnsiTheme="minorHAnsi"/>
          <w:bCs/>
          <w:snapToGrid w:val="0"/>
        </w:rPr>
        <w:t xml:space="preserve">of 55% in </w:t>
      </w:r>
      <w:r w:rsidRPr="00197CBA">
        <w:rPr>
          <w:rFonts w:asciiTheme="minorHAnsi" w:hAnsiTheme="minorHAnsi"/>
          <w:bCs/>
          <w:snapToGrid w:val="0"/>
        </w:rPr>
        <w:t xml:space="preserve">the </w:t>
      </w:r>
      <w:r w:rsidR="00144C66" w:rsidRPr="00197CBA">
        <w:rPr>
          <w:rFonts w:asciiTheme="minorHAnsi" w:hAnsiTheme="minorHAnsi"/>
          <w:bCs/>
          <w:snapToGrid w:val="0"/>
        </w:rPr>
        <w:t>POD</w:t>
      </w:r>
      <w:r w:rsidR="003340E8">
        <w:rPr>
          <w:rFonts w:asciiTheme="minorHAnsi" w:hAnsiTheme="minorHAnsi"/>
          <w:bCs/>
          <w:snapToGrid w:val="0"/>
        </w:rPr>
        <w:t>1</w:t>
      </w:r>
      <w:r w:rsidR="00144C66" w:rsidRPr="00197CBA">
        <w:rPr>
          <w:rFonts w:asciiTheme="minorHAnsi" w:hAnsiTheme="minorHAnsi"/>
          <w:bCs/>
          <w:snapToGrid w:val="0"/>
        </w:rPr>
        <w:t>UM</w:t>
      </w:r>
      <w:r w:rsidR="003340E8">
        <w:rPr>
          <w:rFonts w:asciiTheme="minorHAnsi" w:hAnsiTheme="minorHAnsi"/>
          <w:bCs/>
          <w:snapToGrid w:val="0"/>
        </w:rPr>
        <w:t>-</w:t>
      </w:r>
      <w:r w:rsidR="0068034A" w:rsidRPr="00197CBA">
        <w:rPr>
          <w:rFonts w:asciiTheme="minorHAnsi" w:hAnsiTheme="minorHAnsi"/>
          <w:bCs/>
          <w:snapToGrid w:val="0"/>
        </w:rPr>
        <w:t>201</w:t>
      </w:r>
      <w:r w:rsidRPr="00197CBA">
        <w:rPr>
          <w:rFonts w:asciiTheme="minorHAnsi" w:hAnsiTheme="minorHAnsi"/>
          <w:bCs/>
          <w:snapToGrid w:val="0"/>
        </w:rPr>
        <w:t xml:space="preserve"> trial. The PBAC noted that the MOGA presented a European Society for Medical Oncology Magnitude of Clinical Benefit Scale (ESMO-MCBS) for </w:t>
      </w:r>
      <w:r w:rsidR="0068034A" w:rsidRPr="00197CBA">
        <w:rPr>
          <w:rFonts w:asciiTheme="minorHAnsi" w:hAnsiTheme="minorHAnsi"/>
          <w:bCs/>
          <w:snapToGrid w:val="0"/>
        </w:rPr>
        <w:t>retifanlimab</w:t>
      </w:r>
      <w:r w:rsidRPr="00197CBA">
        <w:rPr>
          <w:rFonts w:asciiTheme="minorHAnsi" w:hAnsiTheme="minorHAnsi"/>
          <w:bCs/>
          <w:snapToGrid w:val="0"/>
        </w:rPr>
        <w:t xml:space="preserve">, which was limited to </w:t>
      </w:r>
      <w:r w:rsidR="00972EA3" w:rsidRPr="00197CBA">
        <w:rPr>
          <w:rFonts w:asciiTheme="minorHAnsi" w:hAnsiTheme="minorHAnsi"/>
          <w:bCs/>
          <w:snapToGrid w:val="0"/>
        </w:rPr>
        <w:t>3</w:t>
      </w:r>
      <w:r w:rsidRPr="00197CBA">
        <w:rPr>
          <w:rFonts w:asciiTheme="minorHAnsi" w:hAnsiTheme="minorHAnsi"/>
          <w:bCs/>
          <w:snapToGrid w:val="0"/>
        </w:rPr>
        <w:t xml:space="preserve"> (out of a maximum of 5, where 5 and 4 represent the grades with substantial improvement)</w:t>
      </w:r>
      <w:r w:rsidR="00972EA3" w:rsidRPr="00197CBA">
        <w:rPr>
          <w:rFonts w:asciiTheme="minorHAnsi" w:hAnsiTheme="minorHAnsi"/>
          <w:bCs/>
          <w:snapToGrid w:val="0"/>
        </w:rPr>
        <w:t xml:space="preserve"> </w:t>
      </w:r>
      <w:r w:rsidR="00972EA3" w:rsidRPr="005750FD">
        <w:rPr>
          <w:vertAlign w:val="superscript"/>
        </w:rPr>
        <w:footnoteReference w:id="9"/>
      </w:r>
      <w:r w:rsidRPr="00197CBA">
        <w:rPr>
          <w:rFonts w:asciiTheme="minorHAnsi" w:hAnsiTheme="minorHAnsi"/>
          <w:bCs/>
          <w:snapToGrid w:val="0"/>
        </w:rPr>
        <w:t xml:space="preserve">, based on </w:t>
      </w:r>
      <w:r w:rsidR="003C558D">
        <w:rPr>
          <w:rFonts w:asciiTheme="minorHAnsi" w:hAnsiTheme="minorHAnsi"/>
          <w:bCs/>
          <w:snapToGrid w:val="0"/>
        </w:rPr>
        <w:t>the single arm trial</w:t>
      </w:r>
      <w:r w:rsidRPr="00197CBA">
        <w:rPr>
          <w:rFonts w:asciiTheme="minorHAnsi" w:hAnsiTheme="minorHAnsi"/>
          <w:bCs/>
          <w:snapToGrid w:val="0"/>
        </w:rPr>
        <w:t>.</w:t>
      </w:r>
    </w:p>
    <w:p w14:paraId="43AC55B1" w14:textId="03146E22" w:rsidR="008047AE" w:rsidRPr="00D30537" w:rsidRDefault="008047AE" w:rsidP="000461E7">
      <w:pPr>
        <w:pStyle w:val="4-SubsectionHeading"/>
      </w:pPr>
      <w:r w:rsidRPr="00D30537">
        <w:t>Clinical studies</w:t>
      </w:r>
      <w:bookmarkEnd w:id="20"/>
      <w:bookmarkEnd w:id="22"/>
    </w:p>
    <w:p w14:paraId="16E3E872" w14:textId="574F934D" w:rsidR="008047AE" w:rsidRPr="00D30537" w:rsidRDefault="008047AE" w:rsidP="00813528">
      <w:pPr>
        <w:pStyle w:val="3-BodyText"/>
        <w:ind w:left="709"/>
        <w:rPr>
          <w:color w:val="0066FF"/>
        </w:rPr>
      </w:pPr>
      <w:bookmarkStart w:id="25" w:name="_Ref214458160"/>
      <w:r w:rsidRPr="00D30537">
        <w:t xml:space="preserve">The submission was based on two single arm, Phase 2 studies of retifanlimab (POD1UM-201) and avelumab (JM200 Part B) in adults with MCC. The POD1UM-201 </w:t>
      </w:r>
      <w:r w:rsidRPr="00D30537">
        <w:lastRenderedPageBreak/>
        <w:t xml:space="preserve">study included metastatic and recurrent locally advanced MCC patients (not amenable to curative surgery or radiation) (N=107). </w:t>
      </w:r>
      <w:r w:rsidR="00396098" w:rsidRPr="00D30537">
        <w:t xml:space="preserve">Six patients in POD1UM-201 were not chemotherapy naïve, and </w:t>
      </w:r>
      <w:r w:rsidR="00935666" w:rsidRPr="00D30537">
        <w:t xml:space="preserve">10 chemotherapy naïve patients had locally advanced disease. </w:t>
      </w:r>
      <w:r w:rsidRPr="00D30537">
        <w:t>Only the chemotherapy naïve metastatic population of POD1UM-201 (n=91) was used in the indirect comparisons</w:t>
      </w:r>
      <w:r w:rsidR="00935666" w:rsidRPr="00D30537">
        <w:t xml:space="preserve"> with avelumab</w:t>
      </w:r>
      <w:r w:rsidRPr="00D30537">
        <w:t>.</w:t>
      </w:r>
      <w:r w:rsidR="00396098" w:rsidRPr="00D30537">
        <w:t xml:space="preserve"> JM200 study enrolled patients with chemotherapy-naïve metastatic MCC (N=116)</w:t>
      </w:r>
      <w:bookmarkEnd w:id="25"/>
    </w:p>
    <w:p w14:paraId="002B22EC" w14:textId="798E696C" w:rsidR="00F43ECD" w:rsidRPr="00D30537" w:rsidRDefault="00F43ECD" w:rsidP="00813528">
      <w:pPr>
        <w:pStyle w:val="3-BodyText"/>
        <w:ind w:left="709"/>
        <w:rPr>
          <w:color w:val="000000" w:themeColor="text1"/>
        </w:rPr>
      </w:pPr>
      <w:r w:rsidRPr="00D30537">
        <w:rPr>
          <w:color w:val="000000" w:themeColor="text1"/>
        </w:rPr>
        <w:t>The JM200 Part B study</w:t>
      </w:r>
      <w:r w:rsidR="00935666" w:rsidRPr="00D30537">
        <w:rPr>
          <w:color w:val="000000" w:themeColor="text1"/>
        </w:rPr>
        <w:t xml:space="preserve"> (three months of follow-up only)</w:t>
      </w:r>
      <w:r w:rsidRPr="00D30537">
        <w:rPr>
          <w:color w:val="000000" w:themeColor="text1"/>
        </w:rPr>
        <w:t xml:space="preserve"> was previously considered at the July 2018 PBAC Meeting for avelumab for the treatment of metastatic MCC. </w:t>
      </w:r>
      <w:r w:rsidR="009C5EA7" w:rsidRPr="00D30537">
        <w:rPr>
          <w:color w:val="000000" w:themeColor="text1"/>
        </w:rPr>
        <w:t>Th</w:t>
      </w:r>
      <w:r w:rsidR="00023473" w:rsidRPr="00D30537">
        <w:rPr>
          <w:color w:val="000000" w:themeColor="text1"/>
        </w:rPr>
        <w:t>is</w:t>
      </w:r>
      <w:r w:rsidR="009C5EA7" w:rsidRPr="00D30537">
        <w:rPr>
          <w:color w:val="000000" w:themeColor="text1"/>
        </w:rPr>
        <w:t xml:space="preserve"> submission </w:t>
      </w:r>
      <w:r w:rsidR="00FE3371" w:rsidRPr="00D30537">
        <w:rPr>
          <w:color w:val="000000" w:themeColor="text1"/>
        </w:rPr>
        <w:t>presented d</w:t>
      </w:r>
      <w:r w:rsidRPr="00D30537">
        <w:rPr>
          <w:color w:val="000000" w:themeColor="text1"/>
        </w:rPr>
        <w:t>ata with longer follow-up from JM200 Part B</w:t>
      </w:r>
      <w:r w:rsidR="00D34E8C" w:rsidRPr="00D30537">
        <w:rPr>
          <w:color w:val="000000" w:themeColor="text1"/>
        </w:rPr>
        <w:t>,</w:t>
      </w:r>
      <w:r w:rsidRPr="00D30537">
        <w:rPr>
          <w:color w:val="000000" w:themeColor="text1"/>
        </w:rPr>
        <w:t xml:space="preserve"> includ</w:t>
      </w:r>
      <w:r w:rsidR="00D34E8C" w:rsidRPr="00D30537">
        <w:rPr>
          <w:color w:val="000000" w:themeColor="text1"/>
        </w:rPr>
        <w:t>ing</w:t>
      </w:r>
      <w:r w:rsidRPr="00D30537">
        <w:rPr>
          <w:color w:val="000000" w:themeColor="text1"/>
        </w:rPr>
        <w:t xml:space="preserve"> the primary analysis, which assessed all efficacy and safety outcomes at 21.2 month follow-up (data cutoff date of 2 May 2019) (D'Angelo 2021); and the updated analysis of </w:t>
      </w:r>
      <w:r w:rsidR="00105933" w:rsidRPr="00D30537">
        <w:rPr>
          <w:color w:val="000000" w:themeColor="text1"/>
        </w:rPr>
        <w:t>overall survival (</w:t>
      </w:r>
      <w:r w:rsidRPr="00D30537">
        <w:rPr>
          <w:color w:val="000000" w:themeColor="text1"/>
        </w:rPr>
        <w:t>OS</w:t>
      </w:r>
      <w:r w:rsidR="00105933" w:rsidRPr="00D30537">
        <w:rPr>
          <w:color w:val="000000" w:themeColor="text1"/>
        </w:rPr>
        <w:t>)</w:t>
      </w:r>
      <w:r w:rsidRPr="00D30537">
        <w:rPr>
          <w:color w:val="000000" w:themeColor="text1"/>
        </w:rPr>
        <w:t xml:space="preserve"> at a 54.3</w:t>
      </w:r>
      <w:r w:rsidR="00935666" w:rsidRPr="00D30537">
        <w:rPr>
          <w:color w:val="000000" w:themeColor="text1"/>
        </w:rPr>
        <w:t>-</w:t>
      </w:r>
      <w:r w:rsidRPr="00D30537">
        <w:rPr>
          <w:color w:val="000000" w:themeColor="text1"/>
        </w:rPr>
        <w:t>months follow-up (data cutoff date of 21 January 2022) (D'Angelo 2024).</w:t>
      </w:r>
    </w:p>
    <w:p w14:paraId="405917A2" w14:textId="0F5C4AC4" w:rsidR="008047AE" w:rsidRPr="00D30537" w:rsidRDefault="008047AE" w:rsidP="00813528">
      <w:pPr>
        <w:pStyle w:val="3-BodyText"/>
        <w:ind w:left="709"/>
      </w:pPr>
      <w:r w:rsidRPr="00D30537">
        <w:t xml:space="preserve">Details of the studies presented in the submission are provided in </w:t>
      </w:r>
      <w:r w:rsidRPr="00D30537">
        <w:fldChar w:fldCharType="begin"/>
      </w:r>
      <w:r w:rsidRPr="00D30537">
        <w:instrText xml:space="preserve"> REF _Ref104803956 \h </w:instrText>
      </w:r>
      <w:r w:rsidR="001201DF" w:rsidRPr="00D30537">
        <w:instrText xml:space="preserve"> \* MERGEFORMAT </w:instrText>
      </w:r>
      <w:r w:rsidRPr="00D30537">
        <w:fldChar w:fldCharType="separate"/>
      </w:r>
      <w:r w:rsidR="00652388" w:rsidRPr="00D30537">
        <w:t xml:space="preserve">Table </w:t>
      </w:r>
      <w:r w:rsidR="00652388">
        <w:t>2</w:t>
      </w:r>
      <w:r w:rsidRPr="00D30537">
        <w:fldChar w:fldCharType="end"/>
      </w:r>
      <w:r w:rsidRPr="00D30537">
        <w:t>.</w:t>
      </w:r>
    </w:p>
    <w:p w14:paraId="34EC80DD" w14:textId="06B9F3D8" w:rsidR="008047AE" w:rsidRPr="00D30537" w:rsidRDefault="008047AE" w:rsidP="00DA6000">
      <w:pPr>
        <w:pStyle w:val="TableFigureHeading"/>
        <w:keepLines/>
        <w:rPr>
          <w:rStyle w:val="CommentReference"/>
          <w:b/>
          <w:szCs w:val="24"/>
        </w:rPr>
      </w:pPr>
      <w:bookmarkStart w:id="26" w:name="_Ref104803956"/>
      <w:r w:rsidRPr="00D30537">
        <w:t xml:space="preserve">Table </w:t>
      </w:r>
      <w:fldSimple w:instr=" SEQ Table \* ARABIC ">
        <w:r w:rsidR="00652388">
          <w:rPr>
            <w:noProof/>
          </w:rPr>
          <w:t>2</w:t>
        </w:r>
      </w:fldSimple>
      <w:bookmarkEnd w:id="26"/>
      <w:r w:rsidRPr="00D30537">
        <w:t>:</w:t>
      </w:r>
      <w:r w:rsidRPr="00D30537">
        <w:rPr>
          <w:rStyle w:val="CommentReference"/>
          <w:b/>
          <w:szCs w:val="24"/>
        </w:rPr>
        <w:t xml:space="preserve">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Studies and associated reports presented in the submission"/>
      </w:tblPr>
      <w:tblGrid>
        <w:gridCol w:w="1129"/>
        <w:gridCol w:w="5670"/>
        <w:gridCol w:w="2218"/>
      </w:tblGrid>
      <w:tr w:rsidR="008047AE" w:rsidRPr="00D30537" w14:paraId="2B294D7B" w14:textId="77777777" w:rsidTr="00653B48">
        <w:trPr>
          <w:tblHeader/>
        </w:trPr>
        <w:tc>
          <w:tcPr>
            <w:tcW w:w="626" w:type="pct"/>
            <w:tcBorders>
              <w:bottom w:val="single" w:sz="4" w:space="0" w:color="auto"/>
            </w:tcBorders>
            <w:vAlign w:val="center"/>
          </w:tcPr>
          <w:p w14:paraId="70185E0C" w14:textId="77777777" w:rsidR="008047AE" w:rsidRPr="00D30537" w:rsidRDefault="008047AE" w:rsidP="00DA6000">
            <w:pPr>
              <w:keepNext/>
              <w:keepLines/>
              <w:rPr>
                <w:rFonts w:ascii="Arial Narrow" w:hAnsi="Arial Narrow"/>
                <w:b/>
                <w:bCs/>
                <w:sz w:val="20"/>
                <w:szCs w:val="20"/>
              </w:rPr>
            </w:pPr>
            <w:r w:rsidRPr="00D30537">
              <w:rPr>
                <w:rFonts w:ascii="Arial Narrow" w:hAnsi="Arial Narrow"/>
                <w:b/>
                <w:bCs/>
                <w:sz w:val="20"/>
                <w:szCs w:val="20"/>
              </w:rPr>
              <w:t>Trial ID</w:t>
            </w:r>
          </w:p>
        </w:tc>
        <w:tc>
          <w:tcPr>
            <w:tcW w:w="3144" w:type="pct"/>
            <w:tcBorders>
              <w:bottom w:val="single" w:sz="4" w:space="0" w:color="auto"/>
            </w:tcBorders>
            <w:vAlign w:val="center"/>
          </w:tcPr>
          <w:p w14:paraId="71DCE24D" w14:textId="77777777" w:rsidR="008047AE" w:rsidRPr="00D30537" w:rsidRDefault="008047AE" w:rsidP="00DA6000">
            <w:pPr>
              <w:keepNext/>
              <w:keepLines/>
              <w:rPr>
                <w:rFonts w:ascii="Arial Narrow" w:hAnsi="Arial Narrow"/>
                <w:b/>
                <w:bCs/>
                <w:sz w:val="20"/>
                <w:szCs w:val="20"/>
              </w:rPr>
            </w:pPr>
            <w:r w:rsidRPr="00D30537">
              <w:rPr>
                <w:rFonts w:ascii="Arial Narrow" w:hAnsi="Arial Narrow"/>
                <w:b/>
                <w:bCs/>
                <w:sz w:val="20"/>
                <w:szCs w:val="20"/>
              </w:rPr>
              <w:t>Protocol title/ Publication title</w:t>
            </w:r>
          </w:p>
        </w:tc>
        <w:tc>
          <w:tcPr>
            <w:tcW w:w="1230" w:type="pct"/>
            <w:tcBorders>
              <w:bottom w:val="single" w:sz="4" w:space="0" w:color="auto"/>
            </w:tcBorders>
            <w:vAlign w:val="center"/>
          </w:tcPr>
          <w:p w14:paraId="41E28C33" w14:textId="77777777" w:rsidR="008047AE" w:rsidRPr="00D30537" w:rsidRDefault="008047AE" w:rsidP="00DA6000">
            <w:pPr>
              <w:keepNext/>
              <w:keepLines/>
              <w:rPr>
                <w:rFonts w:ascii="Arial Narrow" w:hAnsi="Arial Narrow"/>
                <w:b/>
                <w:bCs/>
                <w:sz w:val="20"/>
                <w:szCs w:val="20"/>
              </w:rPr>
            </w:pPr>
            <w:r w:rsidRPr="00D30537">
              <w:rPr>
                <w:rFonts w:ascii="Arial Narrow" w:hAnsi="Arial Narrow"/>
                <w:b/>
                <w:bCs/>
                <w:sz w:val="20"/>
                <w:szCs w:val="20"/>
              </w:rPr>
              <w:t>Publication citation</w:t>
            </w:r>
          </w:p>
        </w:tc>
      </w:tr>
      <w:tr w:rsidR="008047AE" w:rsidRPr="00D30537" w14:paraId="5630B21F" w14:textId="77777777" w:rsidTr="00653B48">
        <w:tc>
          <w:tcPr>
            <w:tcW w:w="626" w:type="pct"/>
            <w:tcBorders>
              <w:bottom w:val="nil"/>
            </w:tcBorders>
            <w:vAlign w:val="center"/>
          </w:tcPr>
          <w:p w14:paraId="0EC27DF6" w14:textId="77777777" w:rsidR="008047AE" w:rsidRPr="00D30537" w:rsidRDefault="008047AE" w:rsidP="00DA6000">
            <w:pPr>
              <w:keepNext/>
              <w:keepLines/>
              <w:rPr>
                <w:rFonts w:ascii="Arial Narrow" w:hAnsi="Arial Narrow"/>
                <w:sz w:val="20"/>
                <w:szCs w:val="20"/>
              </w:rPr>
            </w:pPr>
            <w:r w:rsidRPr="00D30537">
              <w:rPr>
                <w:rFonts w:ascii="Arial Narrow" w:hAnsi="Arial Narrow"/>
                <w:sz w:val="20"/>
                <w:szCs w:val="20"/>
              </w:rPr>
              <w:t>POD1UM-201</w:t>
            </w:r>
          </w:p>
          <w:p w14:paraId="4EB0A1C4" w14:textId="77777777" w:rsidR="00D96703" w:rsidRPr="00D30537" w:rsidRDefault="00D96703" w:rsidP="00DA6000">
            <w:pPr>
              <w:keepNext/>
              <w:keepLines/>
              <w:rPr>
                <w:rFonts w:ascii="Arial Narrow" w:hAnsi="Arial Narrow"/>
                <w:sz w:val="20"/>
                <w:szCs w:val="20"/>
              </w:rPr>
            </w:pPr>
          </w:p>
          <w:p w14:paraId="6A8E3010" w14:textId="677D5848" w:rsidR="008047AE" w:rsidRPr="00D30537" w:rsidRDefault="00D96703" w:rsidP="00DA6000">
            <w:pPr>
              <w:keepNext/>
              <w:keepLines/>
              <w:rPr>
                <w:rFonts w:ascii="Arial Narrow" w:hAnsi="Arial Narrow"/>
                <w:sz w:val="20"/>
                <w:szCs w:val="20"/>
              </w:rPr>
            </w:pPr>
            <w:r w:rsidRPr="00D30537">
              <w:rPr>
                <w:rFonts w:ascii="Arial Narrow" w:hAnsi="Arial Narrow"/>
                <w:sz w:val="20"/>
                <w:szCs w:val="20"/>
              </w:rPr>
              <w:t>NCT03599713</w:t>
            </w:r>
          </w:p>
        </w:tc>
        <w:tc>
          <w:tcPr>
            <w:tcW w:w="3144" w:type="pct"/>
            <w:tcBorders>
              <w:bottom w:val="nil"/>
            </w:tcBorders>
            <w:vAlign w:val="center"/>
          </w:tcPr>
          <w:p w14:paraId="6BD6C17B"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bCs/>
                <w:sz w:val="20"/>
                <w:szCs w:val="20"/>
              </w:rPr>
              <w:t xml:space="preserve">A Phase 2 Study of INCMGA00012 in Participants With Metastatic Merkel Cell Carcinoma (POD1UM-201). Primary analysis. </w:t>
            </w:r>
          </w:p>
        </w:tc>
        <w:tc>
          <w:tcPr>
            <w:tcW w:w="1230" w:type="pct"/>
            <w:tcBorders>
              <w:bottom w:val="nil"/>
            </w:tcBorders>
            <w:vAlign w:val="center"/>
          </w:tcPr>
          <w:p w14:paraId="28C98C90"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Clinical study report</w:t>
            </w:r>
          </w:p>
          <w:p w14:paraId="572233F9"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bCs/>
                <w:sz w:val="20"/>
                <w:szCs w:val="20"/>
              </w:rPr>
              <w:t>24 June 2022</w:t>
            </w:r>
          </w:p>
        </w:tc>
      </w:tr>
      <w:tr w:rsidR="008047AE" w:rsidRPr="00D30537" w14:paraId="54B3A834" w14:textId="77777777" w:rsidTr="00653B48">
        <w:tc>
          <w:tcPr>
            <w:tcW w:w="626" w:type="pct"/>
            <w:tcBorders>
              <w:top w:val="nil"/>
              <w:bottom w:val="nil"/>
            </w:tcBorders>
            <w:vAlign w:val="center"/>
          </w:tcPr>
          <w:p w14:paraId="252E20DC"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75AF6A57"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bCs/>
                <w:sz w:val="20"/>
                <w:szCs w:val="20"/>
              </w:rPr>
              <w:t xml:space="preserve">A Phase 2 Study of INCMGA00012 in Participants With Metastatic Merkel Cell Carcinoma (POD1UM-201). Final analysis. </w:t>
            </w:r>
          </w:p>
        </w:tc>
        <w:tc>
          <w:tcPr>
            <w:tcW w:w="1230" w:type="pct"/>
            <w:tcBorders>
              <w:top w:val="nil"/>
              <w:bottom w:val="nil"/>
            </w:tcBorders>
            <w:vAlign w:val="center"/>
          </w:tcPr>
          <w:p w14:paraId="658F8450"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Clinical study report</w:t>
            </w:r>
          </w:p>
          <w:p w14:paraId="4DD3E2E1"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14 February 2025</w:t>
            </w:r>
          </w:p>
        </w:tc>
      </w:tr>
      <w:tr w:rsidR="008047AE" w:rsidRPr="00D30537" w14:paraId="3250C5BC" w14:textId="77777777" w:rsidTr="00653B48">
        <w:tc>
          <w:tcPr>
            <w:tcW w:w="626" w:type="pct"/>
            <w:tcBorders>
              <w:top w:val="nil"/>
              <w:bottom w:val="nil"/>
            </w:tcBorders>
            <w:vAlign w:val="center"/>
          </w:tcPr>
          <w:p w14:paraId="0B48C443"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019DEB00"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Grignani G, et al.(2025) Final Results of POD1UM-201, a Phase 2 Study of Retifanlimab, a Humanized Anti-PD-1 Antibody, in Patients with Advanced or Metastatic Merkel Cell Carcinoma. </w:t>
            </w:r>
          </w:p>
        </w:tc>
        <w:tc>
          <w:tcPr>
            <w:tcW w:w="1230" w:type="pct"/>
            <w:tcBorders>
              <w:top w:val="nil"/>
              <w:bottom w:val="nil"/>
            </w:tcBorders>
            <w:vAlign w:val="center"/>
          </w:tcPr>
          <w:p w14:paraId="224D1C5E"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Conference abstract</w:t>
            </w:r>
          </w:p>
          <w:p w14:paraId="034612ED"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ASCO 2025 Annual Meeting; 9536</w:t>
            </w:r>
          </w:p>
        </w:tc>
      </w:tr>
      <w:tr w:rsidR="008047AE" w:rsidRPr="00D30537" w14:paraId="14BD98B5" w14:textId="77777777" w:rsidTr="00653B48">
        <w:tc>
          <w:tcPr>
            <w:tcW w:w="626" w:type="pct"/>
            <w:tcBorders>
              <w:top w:val="nil"/>
              <w:bottom w:val="single" w:sz="4" w:space="0" w:color="auto"/>
            </w:tcBorders>
            <w:vAlign w:val="center"/>
          </w:tcPr>
          <w:p w14:paraId="5FBE7EE6" w14:textId="77777777" w:rsidR="008047AE" w:rsidRPr="00D30537" w:rsidRDefault="008047AE" w:rsidP="00DA6000">
            <w:pPr>
              <w:keepNext/>
              <w:keepLines/>
              <w:rPr>
                <w:rFonts w:ascii="Arial Narrow" w:hAnsi="Arial Narrow"/>
                <w:sz w:val="20"/>
                <w:szCs w:val="20"/>
              </w:rPr>
            </w:pPr>
          </w:p>
        </w:tc>
        <w:tc>
          <w:tcPr>
            <w:tcW w:w="3144" w:type="pct"/>
            <w:tcBorders>
              <w:top w:val="nil"/>
              <w:bottom w:val="single" w:sz="4" w:space="0" w:color="auto"/>
            </w:tcBorders>
            <w:vAlign w:val="center"/>
          </w:tcPr>
          <w:p w14:paraId="0D035C76"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AdRes Health Economics &amp; Outcomes Research. Retifanlimab for the treatment of metastatic Merkel Cell Carcinoma: Matching-Adjusted Indirect Comparison. Technical Report Version 2.1. </w:t>
            </w:r>
          </w:p>
          <w:p w14:paraId="4BCDE531" w14:textId="77777777" w:rsidR="00AB1C2A" w:rsidRPr="00D30537" w:rsidRDefault="00AB1C2A" w:rsidP="00DA6000">
            <w:pPr>
              <w:keepNext/>
              <w:keepLines/>
              <w:jc w:val="left"/>
              <w:rPr>
                <w:rFonts w:ascii="Arial Narrow" w:hAnsi="Arial Narrow"/>
                <w:sz w:val="20"/>
                <w:szCs w:val="20"/>
              </w:rPr>
            </w:pPr>
          </w:p>
          <w:p w14:paraId="2A171C3A" w14:textId="0DDBA2CE" w:rsidR="00F9529B" w:rsidRPr="00D30537" w:rsidRDefault="00D97F68" w:rsidP="00DA6000">
            <w:pPr>
              <w:keepNext/>
              <w:keepLines/>
              <w:jc w:val="left"/>
              <w:rPr>
                <w:rFonts w:ascii="Arial Narrow" w:hAnsi="Arial Narrow"/>
                <w:sz w:val="20"/>
                <w:szCs w:val="20"/>
              </w:rPr>
            </w:pPr>
            <w:r w:rsidRPr="00D30537">
              <w:rPr>
                <w:rFonts w:ascii="Arial Narrow" w:hAnsi="Arial Narrow"/>
                <w:sz w:val="20"/>
                <w:szCs w:val="20"/>
              </w:rPr>
              <w:t xml:space="preserve">Grignani, G et al. </w:t>
            </w:r>
            <w:r w:rsidR="00F9529B" w:rsidRPr="00D30537">
              <w:rPr>
                <w:rFonts w:ascii="Arial Narrow" w:hAnsi="Arial Narrow"/>
                <w:sz w:val="20"/>
                <w:szCs w:val="20"/>
              </w:rPr>
              <w:t>Phase II study of retifanlimab in patients with recurrent locally advanced or metastatic Merkel cell carcinoma (POD</w:t>
            </w:r>
            <w:r w:rsidR="00893800" w:rsidRPr="00D30537">
              <w:rPr>
                <w:rFonts w:ascii="Arial Narrow" w:hAnsi="Arial Narrow"/>
                <w:sz w:val="20"/>
                <w:szCs w:val="20"/>
              </w:rPr>
              <w:t>1</w:t>
            </w:r>
            <w:r w:rsidR="00F9529B" w:rsidRPr="00D30537">
              <w:rPr>
                <w:rFonts w:ascii="Arial Narrow" w:hAnsi="Arial Narrow"/>
                <w:sz w:val="20"/>
                <w:szCs w:val="20"/>
              </w:rPr>
              <w:t>UM</w:t>
            </w:r>
            <w:r w:rsidRPr="00D30537">
              <w:rPr>
                <w:rFonts w:ascii="Arial Narrow" w:hAnsi="Arial Narrow"/>
                <w:sz w:val="20"/>
                <w:szCs w:val="20"/>
              </w:rPr>
              <w:t>-201).</w:t>
            </w:r>
            <w:r w:rsidR="00401BD2" w:rsidRPr="00D30537">
              <w:rPr>
                <w:rFonts w:ascii="Arial Narrow" w:hAnsi="Arial Narrow"/>
                <w:sz w:val="20"/>
                <w:szCs w:val="20"/>
                <w:vertAlign w:val="superscript"/>
              </w:rPr>
              <w:t>a</w:t>
            </w:r>
          </w:p>
        </w:tc>
        <w:tc>
          <w:tcPr>
            <w:tcW w:w="1230" w:type="pct"/>
            <w:tcBorders>
              <w:top w:val="nil"/>
              <w:bottom w:val="single" w:sz="4" w:space="0" w:color="auto"/>
            </w:tcBorders>
            <w:vAlign w:val="center"/>
          </w:tcPr>
          <w:p w14:paraId="53A2B6FC" w14:textId="3FEED1E9"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MAIC report</w:t>
            </w:r>
          </w:p>
          <w:p w14:paraId="464A9397"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19 May 2025</w:t>
            </w:r>
          </w:p>
          <w:p w14:paraId="41CC025A" w14:textId="77777777" w:rsidR="00D97F68" w:rsidRPr="00D30537" w:rsidRDefault="00D97F68" w:rsidP="00DA6000">
            <w:pPr>
              <w:keepNext/>
              <w:keepLines/>
              <w:jc w:val="left"/>
              <w:rPr>
                <w:rFonts w:ascii="Arial Narrow" w:hAnsi="Arial Narrow"/>
                <w:sz w:val="20"/>
                <w:szCs w:val="20"/>
              </w:rPr>
            </w:pPr>
          </w:p>
          <w:p w14:paraId="2452BA30" w14:textId="34495C82" w:rsidR="00D97F68" w:rsidRPr="00D30537" w:rsidRDefault="00633B95" w:rsidP="00DA6000">
            <w:pPr>
              <w:keepNext/>
              <w:keepLines/>
              <w:jc w:val="left"/>
              <w:rPr>
                <w:rFonts w:ascii="Arial Narrow" w:hAnsi="Arial Narrow"/>
                <w:sz w:val="20"/>
                <w:szCs w:val="20"/>
              </w:rPr>
            </w:pPr>
            <w:r w:rsidRPr="00D30537">
              <w:rPr>
                <w:rFonts w:ascii="Arial Narrow" w:hAnsi="Arial Narrow"/>
                <w:sz w:val="20"/>
                <w:szCs w:val="20"/>
              </w:rPr>
              <w:t>Journal for ImmunoTherapy of Cancer 2025;13:e012478. doi:10.1136/jitc-2025-012478</w:t>
            </w:r>
          </w:p>
        </w:tc>
      </w:tr>
      <w:tr w:rsidR="008047AE" w:rsidRPr="00D30537" w14:paraId="3975F528" w14:textId="77777777" w:rsidTr="00653B48">
        <w:tc>
          <w:tcPr>
            <w:tcW w:w="626" w:type="pct"/>
            <w:tcBorders>
              <w:top w:val="nil"/>
              <w:bottom w:val="nil"/>
            </w:tcBorders>
            <w:vAlign w:val="center"/>
          </w:tcPr>
          <w:p w14:paraId="3D3EA34A" w14:textId="0519121A" w:rsidR="008047AE" w:rsidRPr="00D30537" w:rsidRDefault="008047AE" w:rsidP="00DA6000">
            <w:pPr>
              <w:keepNext/>
              <w:keepLines/>
              <w:rPr>
                <w:rFonts w:ascii="Arial Narrow" w:hAnsi="Arial Narrow"/>
                <w:sz w:val="20"/>
                <w:szCs w:val="20"/>
              </w:rPr>
            </w:pPr>
            <w:r w:rsidRPr="00D30537">
              <w:rPr>
                <w:rFonts w:ascii="Arial Narrow" w:hAnsi="Arial Narrow"/>
                <w:sz w:val="20"/>
                <w:szCs w:val="20"/>
              </w:rPr>
              <w:t>JM200 Part B</w:t>
            </w:r>
          </w:p>
          <w:p w14:paraId="09A259F2" w14:textId="77777777" w:rsidR="00C67362" w:rsidRPr="00D30537" w:rsidRDefault="00C67362" w:rsidP="00DA6000">
            <w:pPr>
              <w:keepNext/>
              <w:keepLines/>
              <w:rPr>
                <w:rFonts w:ascii="Arial Narrow" w:hAnsi="Arial Narrow"/>
                <w:sz w:val="20"/>
                <w:szCs w:val="20"/>
              </w:rPr>
            </w:pPr>
          </w:p>
          <w:p w14:paraId="4898265A" w14:textId="3062D367" w:rsidR="008047AE" w:rsidRPr="00D30537" w:rsidRDefault="00C67362" w:rsidP="00DA6000">
            <w:pPr>
              <w:keepNext/>
              <w:keepLines/>
              <w:rPr>
                <w:rFonts w:ascii="Arial Narrow" w:hAnsi="Arial Narrow"/>
                <w:sz w:val="20"/>
                <w:szCs w:val="20"/>
              </w:rPr>
            </w:pPr>
            <w:r w:rsidRPr="00D30537">
              <w:rPr>
                <w:rFonts w:ascii="Arial Narrow" w:hAnsi="Arial Narrow"/>
                <w:sz w:val="20"/>
                <w:szCs w:val="20"/>
              </w:rPr>
              <w:t>NCT02155647</w:t>
            </w:r>
          </w:p>
        </w:tc>
        <w:tc>
          <w:tcPr>
            <w:tcW w:w="3144" w:type="pct"/>
            <w:tcBorders>
              <w:top w:val="nil"/>
              <w:bottom w:val="nil"/>
            </w:tcBorders>
            <w:vAlign w:val="center"/>
          </w:tcPr>
          <w:p w14:paraId="1004394B"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D'Angelo SP, et al. (2018). Efficacy and Safety of First-line Avelumab Treatment in Patients With Stage IV Metastatic Merkel Cell Carcinoma: a Preplanned Interim Analysis of a Clinical Trial. </w:t>
            </w:r>
          </w:p>
        </w:tc>
        <w:tc>
          <w:tcPr>
            <w:tcW w:w="1230" w:type="pct"/>
            <w:tcBorders>
              <w:top w:val="nil"/>
              <w:bottom w:val="nil"/>
            </w:tcBorders>
            <w:vAlign w:val="center"/>
          </w:tcPr>
          <w:p w14:paraId="0D16A99F"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JAMA oncology 2018; 4(9): e180077. </w:t>
            </w:r>
          </w:p>
        </w:tc>
      </w:tr>
      <w:tr w:rsidR="008047AE" w:rsidRPr="00D30537" w14:paraId="6E8AD468" w14:textId="77777777" w:rsidTr="00653B48">
        <w:tc>
          <w:tcPr>
            <w:tcW w:w="626" w:type="pct"/>
            <w:tcBorders>
              <w:top w:val="nil"/>
              <w:bottom w:val="nil"/>
            </w:tcBorders>
            <w:vAlign w:val="center"/>
          </w:tcPr>
          <w:p w14:paraId="7D4AC270"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38124AC2"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D'Angelo SP, et al. (2021) First-line avelumab in a cohort of 116 patients with metastatic Merkel Cell Carcinoma (JAVELIN Merkel 200): Primary and biomarker analyses of a phase II study. </w:t>
            </w:r>
          </w:p>
        </w:tc>
        <w:tc>
          <w:tcPr>
            <w:tcW w:w="1230" w:type="pct"/>
            <w:tcBorders>
              <w:top w:val="nil"/>
              <w:bottom w:val="nil"/>
            </w:tcBorders>
            <w:vAlign w:val="center"/>
          </w:tcPr>
          <w:p w14:paraId="30CAC8EC"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Journal for ImmunoTherapy of Cancer 2021: 9(7). </w:t>
            </w:r>
          </w:p>
        </w:tc>
      </w:tr>
      <w:tr w:rsidR="008047AE" w:rsidRPr="00D30537" w14:paraId="56320A9E" w14:textId="77777777" w:rsidTr="00653B48">
        <w:tc>
          <w:tcPr>
            <w:tcW w:w="626" w:type="pct"/>
            <w:tcBorders>
              <w:top w:val="nil"/>
              <w:bottom w:val="nil"/>
            </w:tcBorders>
            <w:vAlign w:val="center"/>
          </w:tcPr>
          <w:p w14:paraId="5F038F58"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269EFCA9"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D'Angelo SP, et al. (2024) First-line avelumab treatment in patients with metastatic Merkel Cell Carcinoma: 4-year follow-up from part B of the JAVELIN Merkel 200 study.</w:t>
            </w:r>
          </w:p>
        </w:tc>
        <w:tc>
          <w:tcPr>
            <w:tcW w:w="1230" w:type="pct"/>
            <w:tcBorders>
              <w:top w:val="nil"/>
              <w:bottom w:val="nil"/>
            </w:tcBorders>
            <w:vAlign w:val="center"/>
          </w:tcPr>
          <w:p w14:paraId="3C4FA321"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ESMO Open 2024: 9(5).</w:t>
            </w:r>
          </w:p>
        </w:tc>
      </w:tr>
      <w:tr w:rsidR="008047AE" w:rsidRPr="00D30537" w14:paraId="0D5F718B" w14:textId="77777777" w:rsidTr="00653B48">
        <w:tc>
          <w:tcPr>
            <w:tcW w:w="626" w:type="pct"/>
            <w:tcBorders>
              <w:top w:val="nil"/>
              <w:bottom w:val="nil"/>
            </w:tcBorders>
            <w:vAlign w:val="center"/>
          </w:tcPr>
          <w:p w14:paraId="58CE433D" w14:textId="77777777" w:rsidR="008047AE" w:rsidRPr="00D30537" w:rsidRDefault="008047AE" w:rsidP="00DA6000">
            <w:pPr>
              <w:keepNext/>
              <w:keepLines/>
              <w:rPr>
                <w:rFonts w:ascii="Arial Narrow" w:hAnsi="Arial Narrow"/>
                <w:sz w:val="20"/>
                <w:szCs w:val="20"/>
              </w:rPr>
            </w:pPr>
          </w:p>
        </w:tc>
        <w:tc>
          <w:tcPr>
            <w:tcW w:w="3144" w:type="pct"/>
            <w:tcBorders>
              <w:top w:val="nil"/>
              <w:bottom w:val="nil"/>
            </w:tcBorders>
            <w:vAlign w:val="center"/>
          </w:tcPr>
          <w:p w14:paraId="7BF64DF4"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D'Angelo S, et al. (2019) First-line avelumab treatment in patients with metastatic Merkel Cell Carcinoma: Primary analysis after ≥15 months of follow-up from JAVELIN Merkel 200, a registrational phase 2 trial. </w:t>
            </w:r>
          </w:p>
        </w:tc>
        <w:tc>
          <w:tcPr>
            <w:tcW w:w="1230" w:type="pct"/>
            <w:tcBorders>
              <w:top w:val="nil"/>
              <w:bottom w:val="nil"/>
            </w:tcBorders>
            <w:vAlign w:val="center"/>
          </w:tcPr>
          <w:p w14:paraId="33197ED4"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Conference abstract</w:t>
            </w:r>
          </w:p>
          <w:p w14:paraId="74236826"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Journal for ImmunoTherapy of Cancer 2019: 7</w:t>
            </w:r>
          </w:p>
        </w:tc>
      </w:tr>
      <w:tr w:rsidR="008047AE" w:rsidRPr="00D30537" w14:paraId="0037480B" w14:textId="77777777" w:rsidTr="00653B48">
        <w:tc>
          <w:tcPr>
            <w:tcW w:w="626" w:type="pct"/>
            <w:tcBorders>
              <w:top w:val="nil"/>
              <w:bottom w:val="single" w:sz="4" w:space="0" w:color="auto"/>
            </w:tcBorders>
            <w:vAlign w:val="center"/>
          </w:tcPr>
          <w:p w14:paraId="21939F2A" w14:textId="77777777" w:rsidR="008047AE" w:rsidRPr="00D30537" w:rsidRDefault="008047AE" w:rsidP="00DA6000">
            <w:pPr>
              <w:keepNext/>
              <w:keepLines/>
              <w:rPr>
                <w:rFonts w:ascii="Arial Narrow" w:hAnsi="Arial Narrow"/>
                <w:sz w:val="20"/>
                <w:szCs w:val="20"/>
              </w:rPr>
            </w:pPr>
          </w:p>
        </w:tc>
        <w:tc>
          <w:tcPr>
            <w:tcW w:w="3144" w:type="pct"/>
            <w:tcBorders>
              <w:top w:val="nil"/>
              <w:bottom w:val="single" w:sz="4" w:space="0" w:color="auto"/>
            </w:tcBorders>
            <w:vAlign w:val="center"/>
          </w:tcPr>
          <w:p w14:paraId="374DD48B"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Bharmal M et al. Health-related quality of life trajectory of treatment-naïve patients with Merkel Cell Carcinoma receiving avelumab. </w:t>
            </w:r>
          </w:p>
        </w:tc>
        <w:tc>
          <w:tcPr>
            <w:tcW w:w="1230" w:type="pct"/>
            <w:tcBorders>
              <w:top w:val="nil"/>
              <w:bottom w:val="single" w:sz="4" w:space="0" w:color="auto"/>
            </w:tcBorders>
            <w:vAlign w:val="center"/>
          </w:tcPr>
          <w:p w14:paraId="3FDF9A82" w14:textId="77777777" w:rsidR="008047AE" w:rsidRPr="00D30537" w:rsidRDefault="008047AE" w:rsidP="00DA6000">
            <w:pPr>
              <w:keepNext/>
              <w:keepLines/>
              <w:jc w:val="left"/>
              <w:rPr>
                <w:rFonts w:ascii="Arial Narrow" w:hAnsi="Arial Narrow"/>
                <w:sz w:val="20"/>
                <w:szCs w:val="20"/>
              </w:rPr>
            </w:pPr>
            <w:r w:rsidRPr="00D30537">
              <w:rPr>
                <w:rFonts w:ascii="Arial Narrow" w:hAnsi="Arial Narrow"/>
                <w:sz w:val="20"/>
                <w:szCs w:val="20"/>
              </w:rPr>
              <w:t xml:space="preserve">Future Oncology 2020; 16(27): 2089-2099. </w:t>
            </w:r>
          </w:p>
        </w:tc>
      </w:tr>
    </w:tbl>
    <w:p w14:paraId="63D3872A" w14:textId="77777777" w:rsidR="008047AE" w:rsidRPr="00D30537" w:rsidRDefault="008047AE" w:rsidP="00DA6000">
      <w:pPr>
        <w:pStyle w:val="FooterTableFigure"/>
        <w:keepNext/>
        <w:keepLines/>
      </w:pPr>
      <w:r w:rsidRPr="00D30537">
        <w:t>Source: Table 19, pp49-51 of the submission</w:t>
      </w:r>
    </w:p>
    <w:p w14:paraId="34E3ADF0" w14:textId="57F7D195" w:rsidR="00633B95" w:rsidRPr="00D30537" w:rsidRDefault="00401BD2" w:rsidP="00633B95">
      <w:pPr>
        <w:pStyle w:val="FooterTableFigure"/>
        <w:keepNext/>
        <w:keepLines/>
        <w:rPr>
          <w:szCs w:val="20"/>
        </w:rPr>
      </w:pPr>
      <w:r w:rsidRPr="00D30537">
        <w:rPr>
          <w:sz w:val="16"/>
          <w:szCs w:val="20"/>
        </w:rPr>
        <w:t>a</w:t>
      </w:r>
      <w:r w:rsidR="00633B95" w:rsidRPr="00D30537">
        <w:rPr>
          <w:sz w:val="16"/>
          <w:szCs w:val="20"/>
        </w:rPr>
        <w:t xml:space="preserve">. Identified during evaluation </w:t>
      </w:r>
    </w:p>
    <w:p w14:paraId="44F546CD" w14:textId="2A6F4F24" w:rsidR="008047AE" w:rsidRPr="001F0F20" w:rsidRDefault="008047AE" w:rsidP="001F0F20">
      <w:pPr>
        <w:pStyle w:val="3-BodyText"/>
        <w:ind w:left="709"/>
      </w:pPr>
      <w:r w:rsidRPr="00D30537">
        <w:t xml:space="preserve">The key features of the </w:t>
      </w:r>
      <w:r w:rsidR="00DA6000" w:rsidRPr="00D30537">
        <w:t>included</w:t>
      </w:r>
      <w:r w:rsidRPr="00D30537">
        <w:t xml:space="preserve"> studies are summarised in </w:t>
      </w:r>
      <w:r w:rsidRPr="00D30537">
        <w:fldChar w:fldCharType="begin"/>
      </w:r>
      <w:r w:rsidRPr="00D30537">
        <w:instrText xml:space="preserve"> REF _Ref104804098 \h  \* MERGEFORMAT </w:instrText>
      </w:r>
      <w:r w:rsidRPr="00D30537">
        <w:fldChar w:fldCharType="separate"/>
      </w:r>
      <w:r w:rsidR="00652388" w:rsidRPr="00652388">
        <w:t>Table 3</w:t>
      </w:r>
      <w:r w:rsidRPr="00D30537">
        <w:fldChar w:fldCharType="end"/>
      </w:r>
      <w:r w:rsidRPr="00D30537">
        <w:t>.</w:t>
      </w:r>
    </w:p>
    <w:p w14:paraId="10AA07F5" w14:textId="0B1927CA" w:rsidR="008047AE" w:rsidRPr="00D30537" w:rsidRDefault="008047AE" w:rsidP="000D6582">
      <w:pPr>
        <w:pStyle w:val="Caption"/>
        <w:rPr>
          <w:rStyle w:val="CommentReference"/>
          <w:rFonts w:eastAsiaTheme="majorEastAsia" w:cstheme="majorBidi"/>
          <w:b/>
          <w:szCs w:val="24"/>
        </w:rPr>
      </w:pPr>
      <w:bookmarkStart w:id="27" w:name="_Ref104804098"/>
      <w:r w:rsidRPr="00D30537">
        <w:rPr>
          <w:rStyle w:val="CommentReference"/>
          <w:rFonts w:eastAsiaTheme="majorEastAsia" w:cstheme="majorBidi"/>
          <w:b/>
          <w:szCs w:val="24"/>
        </w:rPr>
        <w:lastRenderedPageBreak/>
        <w:t xml:space="preserve">Table </w:t>
      </w:r>
      <w:r w:rsidRPr="00D30537">
        <w:rPr>
          <w:rStyle w:val="CommentReference"/>
          <w:rFonts w:eastAsiaTheme="majorEastAsia" w:cstheme="majorBidi"/>
          <w:b/>
          <w:szCs w:val="24"/>
        </w:rPr>
        <w:fldChar w:fldCharType="begin"/>
      </w:r>
      <w:r w:rsidRPr="00D30537">
        <w:rPr>
          <w:rStyle w:val="CommentReference"/>
          <w:rFonts w:eastAsiaTheme="majorEastAsia" w:cstheme="majorBidi"/>
          <w:b/>
          <w:szCs w:val="24"/>
        </w:rPr>
        <w:instrText xml:space="preserve"> SEQ Table \* ARABIC </w:instrText>
      </w:r>
      <w:r w:rsidRPr="00D30537">
        <w:rPr>
          <w:rStyle w:val="CommentReference"/>
          <w:rFonts w:eastAsiaTheme="majorEastAsia" w:cstheme="majorBidi"/>
          <w:b/>
          <w:szCs w:val="24"/>
        </w:rPr>
        <w:fldChar w:fldCharType="separate"/>
      </w:r>
      <w:r w:rsidR="00652388">
        <w:rPr>
          <w:rStyle w:val="CommentReference"/>
          <w:rFonts w:eastAsiaTheme="majorEastAsia" w:cstheme="majorBidi"/>
          <w:b/>
          <w:noProof/>
          <w:szCs w:val="24"/>
        </w:rPr>
        <w:t>3</w:t>
      </w:r>
      <w:r w:rsidRPr="00D30537">
        <w:rPr>
          <w:rStyle w:val="CommentReference"/>
          <w:rFonts w:eastAsiaTheme="majorEastAsia" w:cstheme="majorBidi"/>
          <w:b/>
          <w:szCs w:val="24"/>
        </w:rPr>
        <w:fldChar w:fldCharType="end"/>
      </w:r>
      <w:bookmarkEnd w:id="27"/>
      <w:r w:rsidRPr="00D30537">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90"/>
        <w:gridCol w:w="840"/>
        <w:gridCol w:w="1549"/>
        <w:gridCol w:w="855"/>
        <w:gridCol w:w="2126"/>
        <w:gridCol w:w="992"/>
        <w:gridCol w:w="1365"/>
      </w:tblGrid>
      <w:tr w:rsidR="008047AE" w:rsidRPr="00D30537" w14:paraId="5A0C1D1E" w14:textId="77777777" w:rsidTr="00653B48">
        <w:trPr>
          <w:cantSplit/>
          <w:tblHeader/>
        </w:trPr>
        <w:tc>
          <w:tcPr>
            <w:tcW w:w="715" w:type="pct"/>
            <w:vAlign w:val="center"/>
          </w:tcPr>
          <w:p w14:paraId="6600018B" w14:textId="77777777" w:rsidR="008047AE" w:rsidRPr="00D30537" w:rsidRDefault="008047AE" w:rsidP="000D6582">
            <w:pPr>
              <w:pStyle w:val="In-tableHeading"/>
            </w:pPr>
            <w:r w:rsidRPr="00D30537">
              <w:t>Trial</w:t>
            </w:r>
          </w:p>
        </w:tc>
        <w:tc>
          <w:tcPr>
            <w:tcW w:w="466" w:type="pct"/>
            <w:vAlign w:val="center"/>
          </w:tcPr>
          <w:p w14:paraId="29480C89" w14:textId="77777777" w:rsidR="008047AE" w:rsidRPr="00D30537" w:rsidRDefault="008047AE" w:rsidP="000D6582">
            <w:pPr>
              <w:pStyle w:val="In-tableHeading"/>
            </w:pPr>
            <w:r w:rsidRPr="00D30537">
              <w:t>N</w:t>
            </w:r>
          </w:p>
        </w:tc>
        <w:tc>
          <w:tcPr>
            <w:tcW w:w="859" w:type="pct"/>
            <w:vAlign w:val="center"/>
          </w:tcPr>
          <w:p w14:paraId="4C15B1D8" w14:textId="77777777" w:rsidR="008047AE" w:rsidRPr="00D30537" w:rsidRDefault="008047AE" w:rsidP="000D6582">
            <w:pPr>
              <w:pStyle w:val="In-tableHeading"/>
            </w:pPr>
            <w:r w:rsidRPr="00D30537">
              <w:t>Design/ duration</w:t>
            </w:r>
          </w:p>
        </w:tc>
        <w:tc>
          <w:tcPr>
            <w:tcW w:w="474" w:type="pct"/>
            <w:vAlign w:val="center"/>
          </w:tcPr>
          <w:p w14:paraId="77548FA5" w14:textId="77777777" w:rsidR="008047AE" w:rsidRPr="00D30537" w:rsidRDefault="008047AE" w:rsidP="000D6582">
            <w:pPr>
              <w:pStyle w:val="In-tableHeading"/>
            </w:pPr>
            <w:r w:rsidRPr="00D30537">
              <w:t>Risk of bias</w:t>
            </w:r>
          </w:p>
        </w:tc>
        <w:tc>
          <w:tcPr>
            <w:tcW w:w="1179" w:type="pct"/>
            <w:vAlign w:val="center"/>
          </w:tcPr>
          <w:p w14:paraId="0217A787" w14:textId="77777777" w:rsidR="008047AE" w:rsidRPr="00D30537" w:rsidRDefault="008047AE" w:rsidP="000D6582">
            <w:pPr>
              <w:pStyle w:val="In-tableHeading"/>
            </w:pPr>
            <w:r w:rsidRPr="00D30537">
              <w:t>Patient population</w:t>
            </w:r>
          </w:p>
        </w:tc>
        <w:tc>
          <w:tcPr>
            <w:tcW w:w="550" w:type="pct"/>
            <w:vAlign w:val="center"/>
          </w:tcPr>
          <w:p w14:paraId="60829FD0" w14:textId="77777777" w:rsidR="008047AE" w:rsidRPr="00D30537" w:rsidRDefault="008047AE" w:rsidP="000D6582">
            <w:pPr>
              <w:pStyle w:val="In-tableHeading"/>
            </w:pPr>
            <w:r w:rsidRPr="00D30537">
              <w:t>Outcome(s)</w:t>
            </w:r>
          </w:p>
        </w:tc>
        <w:tc>
          <w:tcPr>
            <w:tcW w:w="756" w:type="pct"/>
            <w:vAlign w:val="center"/>
          </w:tcPr>
          <w:p w14:paraId="0E39CA21" w14:textId="77777777" w:rsidR="008047AE" w:rsidRPr="00D30537" w:rsidRDefault="008047AE" w:rsidP="000D6582">
            <w:pPr>
              <w:pStyle w:val="In-tableHeading"/>
            </w:pPr>
            <w:r w:rsidRPr="00D30537">
              <w:t>Use in modelled evaluation</w:t>
            </w:r>
          </w:p>
        </w:tc>
      </w:tr>
      <w:tr w:rsidR="008047AE" w:rsidRPr="00D30537" w14:paraId="4D0FCEB5" w14:textId="77777777" w:rsidTr="00653B48">
        <w:trPr>
          <w:cantSplit/>
        </w:trPr>
        <w:tc>
          <w:tcPr>
            <w:tcW w:w="5000" w:type="pct"/>
            <w:gridSpan w:val="7"/>
            <w:vAlign w:val="center"/>
          </w:tcPr>
          <w:p w14:paraId="1DC5EC88" w14:textId="77777777" w:rsidR="008047AE" w:rsidRPr="00D30537" w:rsidRDefault="008047AE" w:rsidP="000D6582">
            <w:pPr>
              <w:pStyle w:val="In-tableHeading"/>
            </w:pPr>
            <w:r w:rsidRPr="00D30537">
              <w:t>Retifanlimab</w:t>
            </w:r>
          </w:p>
        </w:tc>
      </w:tr>
      <w:tr w:rsidR="008047AE" w:rsidRPr="00D30537" w14:paraId="164413B0" w14:textId="77777777" w:rsidTr="00105933">
        <w:trPr>
          <w:cantSplit/>
        </w:trPr>
        <w:tc>
          <w:tcPr>
            <w:tcW w:w="715" w:type="pct"/>
            <w:vAlign w:val="center"/>
          </w:tcPr>
          <w:p w14:paraId="7279E385" w14:textId="77777777" w:rsidR="008047AE" w:rsidRPr="00D30537" w:rsidRDefault="008047AE" w:rsidP="000D6582">
            <w:pPr>
              <w:pStyle w:val="TableText0"/>
            </w:pPr>
            <w:r w:rsidRPr="00D30537">
              <w:t>POD1UM-201</w:t>
            </w:r>
          </w:p>
        </w:tc>
        <w:tc>
          <w:tcPr>
            <w:tcW w:w="466" w:type="pct"/>
            <w:vAlign w:val="center"/>
          </w:tcPr>
          <w:p w14:paraId="491A697D" w14:textId="77777777" w:rsidR="008047AE" w:rsidRPr="00D30537" w:rsidRDefault="008047AE" w:rsidP="000D6582">
            <w:pPr>
              <w:pStyle w:val="TableText0"/>
              <w:jc w:val="center"/>
            </w:pPr>
            <w:r w:rsidRPr="00D30537">
              <w:t>107</w:t>
            </w:r>
          </w:p>
        </w:tc>
        <w:tc>
          <w:tcPr>
            <w:tcW w:w="859" w:type="pct"/>
            <w:vAlign w:val="center"/>
          </w:tcPr>
          <w:p w14:paraId="154DCA23" w14:textId="16615C66" w:rsidR="008047AE" w:rsidRPr="00D30537" w:rsidRDefault="008047AE" w:rsidP="000D6582">
            <w:pPr>
              <w:pStyle w:val="TableText0"/>
              <w:jc w:val="center"/>
            </w:pPr>
            <w:r w:rsidRPr="00D30537">
              <w:t>OL, SA,</w:t>
            </w:r>
          </w:p>
          <w:p w14:paraId="64505F81" w14:textId="77777777" w:rsidR="008047AE" w:rsidRPr="00D30537" w:rsidRDefault="008047AE" w:rsidP="000D6582">
            <w:pPr>
              <w:pStyle w:val="TableText0"/>
              <w:jc w:val="center"/>
              <w:rPr>
                <w:vertAlign w:val="superscript"/>
              </w:rPr>
            </w:pPr>
            <w:r w:rsidRPr="00D30537">
              <w:t xml:space="preserve">35.7 months follow-up </w:t>
            </w:r>
            <w:r w:rsidRPr="00D30537">
              <w:rPr>
                <w:vertAlign w:val="superscript"/>
              </w:rPr>
              <w:t>a</w:t>
            </w:r>
          </w:p>
        </w:tc>
        <w:tc>
          <w:tcPr>
            <w:tcW w:w="474" w:type="pct"/>
            <w:vAlign w:val="center"/>
          </w:tcPr>
          <w:p w14:paraId="7A6CB9F1" w14:textId="77777777" w:rsidR="008047AE" w:rsidRPr="00D30537" w:rsidRDefault="008047AE" w:rsidP="000D6582">
            <w:pPr>
              <w:pStyle w:val="TableText0"/>
              <w:jc w:val="center"/>
            </w:pPr>
            <w:r w:rsidRPr="00D30537">
              <w:t>High</w:t>
            </w:r>
          </w:p>
        </w:tc>
        <w:tc>
          <w:tcPr>
            <w:tcW w:w="1179" w:type="pct"/>
            <w:vAlign w:val="center"/>
          </w:tcPr>
          <w:p w14:paraId="382649D6" w14:textId="77777777" w:rsidR="008047AE" w:rsidRPr="00D30537" w:rsidRDefault="008047AE" w:rsidP="000D6582">
            <w:pPr>
              <w:pStyle w:val="TableText0"/>
              <w:jc w:val="center"/>
            </w:pPr>
            <w:r w:rsidRPr="00D30537">
              <w:t>Treatment naïve advanced (n=10)</w:t>
            </w:r>
          </w:p>
          <w:p w14:paraId="2FEB772D" w14:textId="77777777" w:rsidR="008047AE" w:rsidRPr="00D30537" w:rsidRDefault="008047AE" w:rsidP="000D6582">
            <w:pPr>
              <w:pStyle w:val="TableText0"/>
              <w:jc w:val="center"/>
            </w:pPr>
            <w:r w:rsidRPr="00D30537">
              <w:t>Treatment naïve metastatic (n=91)</w:t>
            </w:r>
          </w:p>
          <w:p w14:paraId="7747CA6B" w14:textId="77777777" w:rsidR="008047AE" w:rsidRPr="00D30537" w:rsidRDefault="008047AE" w:rsidP="000D6582">
            <w:pPr>
              <w:pStyle w:val="TableText0"/>
              <w:jc w:val="center"/>
            </w:pPr>
            <w:r w:rsidRPr="00D30537">
              <w:t>Chemotherapy refractory (n=6)</w:t>
            </w:r>
          </w:p>
        </w:tc>
        <w:tc>
          <w:tcPr>
            <w:tcW w:w="550" w:type="pct"/>
            <w:vAlign w:val="center"/>
          </w:tcPr>
          <w:p w14:paraId="182D593E" w14:textId="298FF2BE" w:rsidR="008047AE" w:rsidRPr="00D30537" w:rsidRDefault="008047AE" w:rsidP="000D6582">
            <w:pPr>
              <w:pStyle w:val="TableText0"/>
              <w:jc w:val="center"/>
            </w:pPr>
            <w:r w:rsidRPr="00D30537">
              <w:t>ORR</w:t>
            </w:r>
            <w:r w:rsidR="00553395" w:rsidRPr="00D30537">
              <w:t xml:space="preserve"> </w:t>
            </w:r>
            <w:r w:rsidR="00553395" w:rsidRPr="00D30537">
              <w:rPr>
                <w:vertAlign w:val="superscript"/>
              </w:rPr>
              <w:t>b</w:t>
            </w:r>
            <w:r w:rsidRPr="00D30537">
              <w:t>, PFS, OS, Safety</w:t>
            </w:r>
          </w:p>
        </w:tc>
        <w:tc>
          <w:tcPr>
            <w:tcW w:w="756" w:type="pct"/>
            <w:vAlign w:val="center"/>
          </w:tcPr>
          <w:p w14:paraId="1EC5686E" w14:textId="334214E8" w:rsidR="008047AE" w:rsidRPr="00D30537" w:rsidRDefault="008047AE" w:rsidP="000D6582">
            <w:pPr>
              <w:pStyle w:val="TableText0"/>
              <w:jc w:val="center"/>
            </w:pPr>
            <w:r w:rsidRPr="00D30537">
              <w:t>MAIC HRs, applied relative to avelumab arm</w:t>
            </w:r>
            <w:r w:rsidR="00333D44" w:rsidRPr="00D30537">
              <w:t xml:space="preserve"> (POD1UM-201 data not directly used)</w:t>
            </w:r>
          </w:p>
        </w:tc>
      </w:tr>
      <w:tr w:rsidR="008047AE" w:rsidRPr="00D30537" w14:paraId="31217498" w14:textId="77777777" w:rsidTr="00653B48">
        <w:trPr>
          <w:cantSplit/>
        </w:trPr>
        <w:tc>
          <w:tcPr>
            <w:tcW w:w="5000" w:type="pct"/>
            <w:gridSpan w:val="7"/>
            <w:vAlign w:val="center"/>
          </w:tcPr>
          <w:p w14:paraId="4CB4049A" w14:textId="77777777" w:rsidR="008047AE" w:rsidRPr="00D30537" w:rsidRDefault="008047AE" w:rsidP="000D6582">
            <w:pPr>
              <w:pStyle w:val="TableText0"/>
              <w:rPr>
                <w:b/>
                <w:bCs w:val="0"/>
              </w:rPr>
            </w:pPr>
            <w:r w:rsidRPr="00D30537">
              <w:rPr>
                <w:b/>
                <w:bCs w:val="0"/>
              </w:rPr>
              <w:t>Avelumab</w:t>
            </w:r>
          </w:p>
        </w:tc>
      </w:tr>
      <w:tr w:rsidR="008047AE" w:rsidRPr="00D30537" w14:paraId="60D675D1" w14:textId="77777777" w:rsidTr="00105933">
        <w:trPr>
          <w:cantSplit/>
        </w:trPr>
        <w:tc>
          <w:tcPr>
            <w:tcW w:w="715" w:type="pct"/>
            <w:vAlign w:val="center"/>
          </w:tcPr>
          <w:p w14:paraId="6B82AD3A" w14:textId="77777777" w:rsidR="008047AE" w:rsidRPr="00D30537" w:rsidRDefault="008047AE" w:rsidP="000D6582">
            <w:pPr>
              <w:pStyle w:val="TableText0"/>
            </w:pPr>
            <w:r w:rsidRPr="00D30537">
              <w:t>JM200 Part B</w:t>
            </w:r>
          </w:p>
        </w:tc>
        <w:tc>
          <w:tcPr>
            <w:tcW w:w="466" w:type="pct"/>
            <w:vAlign w:val="center"/>
          </w:tcPr>
          <w:p w14:paraId="0F3C8B40" w14:textId="77777777" w:rsidR="008047AE" w:rsidRPr="00D30537" w:rsidRDefault="008047AE" w:rsidP="000D6582">
            <w:pPr>
              <w:pStyle w:val="TableText0"/>
              <w:jc w:val="center"/>
            </w:pPr>
            <w:r w:rsidRPr="00D30537">
              <w:t>116</w:t>
            </w:r>
          </w:p>
        </w:tc>
        <w:tc>
          <w:tcPr>
            <w:tcW w:w="859" w:type="pct"/>
            <w:vAlign w:val="center"/>
          </w:tcPr>
          <w:p w14:paraId="20B6CF6C" w14:textId="77777777" w:rsidR="008047AE" w:rsidRPr="00D30537" w:rsidRDefault="008047AE" w:rsidP="000D6582">
            <w:pPr>
              <w:pStyle w:val="TableText0"/>
              <w:jc w:val="center"/>
            </w:pPr>
            <w:r w:rsidRPr="00D30537">
              <w:t>OL, SA,</w:t>
            </w:r>
          </w:p>
          <w:p w14:paraId="20402C6A" w14:textId="77777777" w:rsidR="008047AE" w:rsidRPr="00D30537" w:rsidRDefault="008047AE" w:rsidP="000D6582">
            <w:pPr>
              <w:pStyle w:val="TableText0"/>
              <w:jc w:val="center"/>
            </w:pPr>
            <w:r w:rsidRPr="00D30537">
              <w:t>21.2 months follow-up (ORR and PFS)</w:t>
            </w:r>
          </w:p>
          <w:p w14:paraId="58F4B19A" w14:textId="77777777" w:rsidR="008047AE" w:rsidRPr="00D30537" w:rsidRDefault="008047AE" w:rsidP="000D6582">
            <w:pPr>
              <w:pStyle w:val="TableText0"/>
              <w:jc w:val="center"/>
            </w:pPr>
            <w:r w:rsidRPr="00D30537">
              <w:t>54.3 months follow-up (OS)</w:t>
            </w:r>
          </w:p>
        </w:tc>
        <w:tc>
          <w:tcPr>
            <w:tcW w:w="474" w:type="pct"/>
            <w:vAlign w:val="center"/>
          </w:tcPr>
          <w:p w14:paraId="3E4E4BA5" w14:textId="77777777" w:rsidR="008047AE" w:rsidRPr="00D30537" w:rsidRDefault="008047AE" w:rsidP="000D6582">
            <w:pPr>
              <w:pStyle w:val="TableText0"/>
              <w:jc w:val="center"/>
            </w:pPr>
            <w:r w:rsidRPr="00D30537">
              <w:t>High</w:t>
            </w:r>
          </w:p>
        </w:tc>
        <w:tc>
          <w:tcPr>
            <w:tcW w:w="1179" w:type="pct"/>
            <w:vAlign w:val="center"/>
          </w:tcPr>
          <w:p w14:paraId="5CB8C597" w14:textId="77777777" w:rsidR="008047AE" w:rsidRPr="00D30537" w:rsidRDefault="008047AE" w:rsidP="000D6582">
            <w:pPr>
              <w:pStyle w:val="TableText0"/>
              <w:jc w:val="center"/>
            </w:pPr>
            <w:r w:rsidRPr="00D30537">
              <w:t>Treatment naïve metastatic</w:t>
            </w:r>
          </w:p>
        </w:tc>
        <w:tc>
          <w:tcPr>
            <w:tcW w:w="550" w:type="pct"/>
            <w:vAlign w:val="center"/>
          </w:tcPr>
          <w:p w14:paraId="37812B17" w14:textId="6B18E87D" w:rsidR="008047AE" w:rsidRPr="00D30537" w:rsidRDefault="00553395" w:rsidP="000D6582">
            <w:pPr>
              <w:pStyle w:val="TableText0"/>
              <w:jc w:val="center"/>
            </w:pPr>
            <w:r w:rsidRPr="00D30537">
              <w:t xml:space="preserve">DOR </w:t>
            </w:r>
            <w:r w:rsidRPr="00D30537">
              <w:rPr>
                <w:vertAlign w:val="superscript"/>
              </w:rPr>
              <w:t>b</w:t>
            </w:r>
            <w:r w:rsidRPr="00D30537">
              <w:t xml:space="preserve"> </w:t>
            </w:r>
            <w:r w:rsidR="008047AE" w:rsidRPr="00D30537">
              <w:t>ORR, PFS, OS, Safety</w:t>
            </w:r>
          </w:p>
        </w:tc>
        <w:tc>
          <w:tcPr>
            <w:tcW w:w="756" w:type="pct"/>
            <w:vAlign w:val="center"/>
          </w:tcPr>
          <w:p w14:paraId="715EE725" w14:textId="77777777" w:rsidR="008047AE" w:rsidRPr="00D30537" w:rsidRDefault="008047AE" w:rsidP="000D6582">
            <w:pPr>
              <w:pStyle w:val="TableText0"/>
              <w:jc w:val="center"/>
            </w:pPr>
            <w:r w:rsidRPr="00D30537">
              <w:t>PFS, OS</w:t>
            </w:r>
          </w:p>
        </w:tc>
      </w:tr>
    </w:tbl>
    <w:p w14:paraId="1E72CB0A" w14:textId="77777777" w:rsidR="008047AE" w:rsidRPr="00D30537" w:rsidRDefault="008047AE" w:rsidP="000D6582">
      <w:pPr>
        <w:pStyle w:val="FooterTableFigure"/>
        <w:keepNext/>
        <w:keepLines/>
      </w:pPr>
      <w:r w:rsidRPr="00D30537">
        <w:t>Source: Compiled during evaluation using information from Tables 21, 24, 31 and 32 of the submission.</w:t>
      </w:r>
    </w:p>
    <w:p w14:paraId="34E3F8A1" w14:textId="52FE74AF" w:rsidR="008047AE" w:rsidRPr="00D30537" w:rsidRDefault="008047AE" w:rsidP="000D6582">
      <w:pPr>
        <w:pStyle w:val="FooterTableFigure"/>
        <w:keepNext/>
        <w:keepLines/>
      </w:pPr>
      <w:r w:rsidRPr="00D30537">
        <w:t>DOR = duration of response; HR = hazard ratio; MAIC = matched adjusted indirect comparison; OL = open label; ORR = objective response rate; OS = overall survival; PFS = progression-free survival; SA = single arm</w:t>
      </w:r>
    </w:p>
    <w:p w14:paraId="28C60298" w14:textId="77777777" w:rsidR="008047AE" w:rsidRPr="00D30537" w:rsidRDefault="008047AE" w:rsidP="000D6582">
      <w:pPr>
        <w:pStyle w:val="FooterTableFigure"/>
        <w:keepNext/>
        <w:keepLines/>
        <w:rPr>
          <w:szCs w:val="18"/>
        </w:rPr>
      </w:pPr>
      <w:proofErr w:type="spellStart"/>
      <w:r w:rsidRPr="00D30537">
        <w:rPr>
          <w:szCs w:val="18"/>
          <w:vertAlign w:val="superscript"/>
        </w:rPr>
        <w:t>a</w:t>
      </w:r>
      <w:proofErr w:type="spellEnd"/>
      <w:r w:rsidRPr="00D30537">
        <w:rPr>
          <w:szCs w:val="18"/>
        </w:rPr>
        <w:t xml:space="preserve"> The median study follow-up was not reported in either the primary or final CSR for POD1UM-201, therefore the submission assumed the median follow-up for OS to be equivalent to the median follow-up for the study overall.</w:t>
      </w:r>
    </w:p>
    <w:p w14:paraId="7F037DFF" w14:textId="359BE75E" w:rsidR="00553395" w:rsidRPr="00D30537" w:rsidRDefault="00553395" w:rsidP="000D6582">
      <w:pPr>
        <w:pStyle w:val="FooterTableFigure"/>
        <w:keepNext/>
        <w:keepLines/>
        <w:rPr>
          <w:szCs w:val="18"/>
        </w:rPr>
      </w:pPr>
      <w:r w:rsidRPr="00D30537">
        <w:rPr>
          <w:szCs w:val="18"/>
          <w:vertAlign w:val="superscript"/>
        </w:rPr>
        <w:t xml:space="preserve">b </w:t>
      </w:r>
      <w:r w:rsidRPr="00D30537">
        <w:rPr>
          <w:szCs w:val="18"/>
        </w:rPr>
        <w:t>Primary outcome. All other outcomes are secondary outcomes.</w:t>
      </w:r>
    </w:p>
    <w:p w14:paraId="4F5E4D58" w14:textId="47107126" w:rsidR="008047AE" w:rsidRPr="00D30537" w:rsidRDefault="0021415A" w:rsidP="00813528">
      <w:pPr>
        <w:pStyle w:val="3-BodyText"/>
        <w:ind w:left="709"/>
        <w:rPr>
          <w:color w:val="000000" w:themeColor="text1"/>
        </w:rPr>
      </w:pPr>
      <w:bookmarkStart w:id="28" w:name="_Ref214458601"/>
      <w:r w:rsidRPr="00D30537">
        <w:rPr>
          <w:color w:val="000000" w:themeColor="text1"/>
        </w:rPr>
        <w:t>POD1UM-201 and JM200 Part B formed the bas</w:t>
      </w:r>
      <w:r w:rsidR="00DF03AF" w:rsidRPr="00D30537">
        <w:rPr>
          <w:color w:val="000000" w:themeColor="text1"/>
        </w:rPr>
        <w:t>is</w:t>
      </w:r>
      <w:r w:rsidRPr="00D30537">
        <w:rPr>
          <w:color w:val="000000" w:themeColor="text1"/>
        </w:rPr>
        <w:t xml:space="preserve"> of an unanchored matched</w:t>
      </w:r>
      <w:r w:rsidR="00DF03AF" w:rsidRPr="00D30537">
        <w:rPr>
          <w:color w:val="000000" w:themeColor="text1"/>
        </w:rPr>
        <w:t xml:space="preserve"> adjusted</w:t>
      </w:r>
      <w:r w:rsidRPr="00D30537">
        <w:rPr>
          <w:color w:val="000000" w:themeColor="text1"/>
        </w:rPr>
        <w:t xml:space="preserve"> indirect comparison (MAIC) of retifanlimab versus avelumab </w:t>
      </w:r>
      <w:r w:rsidR="004B3D50" w:rsidRPr="00D30537">
        <w:rPr>
          <w:color w:val="000000" w:themeColor="text1"/>
        </w:rPr>
        <w:t xml:space="preserve">in </w:t>
      </w:r>
      <w:r w:rsidR="004B3D50" w:rsidRPr="00D30537">
        <w:t>metastatic</w:t>
      </w:r>
      <w:r w:rsidR="004B3D50" w:rsidRPr="00D30537">
        <w:rPr>
          <w:color w:val="000000" w:themeColor="text1"/>
        </w:rPr>
        <w:t xml:space="preserve"> MCC </w:t>
      </w:r>
      <w:r w:rsidRPr="00D30537">
        <w:rPr>
          <w:color w:val="000000" w:themeColor="text1"/>
        </w:rPr>
        <w:t xml:space="preserve">on the outcomes of </w:t>
      </w:r>
      <w:r w:rsidR="002143D9" w:rsidRPr="00D30537">
        <w:rPr>
          <w:color w:val="000000" w:themeColor="text1"/>
        </w:rPr>
        <w:t>overall survival (OS), progression free survival (PFS) and objective response rate (ORR).</w:t>
      </w:r>
      <w:r w:rsidRPr="00D30537">
        <w:rPr>
          <w:color w:val="000000" w:themeColor="text1"/>
        </w:rPr>
        <w:t xml:space="preserve"> </w:t>
      </w:r>
      <w:r w:rsidR="008047AE" w:rsidRPr="00D30537">
        <w:rPr>
          <w:color w:val="000000" w:themeColor="text1"/>
        </w:rPr>
        <w:t>Given the single-arm open-label design of the two studies,</w:t>
      </w:r>
      <w:r w:rsidR="001201DF" w:rsidRPr="00D30537">
        <w:rPr>
          <w:color w:val="000000" w:themeColor="text1"/>
        </w:rPr>
        <w:t xml:space="preserve"> the evaluation considered that</w:t>
      </w:r>
      <w:r w:rsidR="008047AE" w:rsidRPr="00D30537">
        <w:rPr>
          <w:color w:val="000000" w:themeColor="text1"/>
        </w:rPr>
        <w:t xml:space="preserve"> these studies were prone to a high risk of bias</w:t>
      </w:r>
      <w:r w:rsidR="006A11EE" w:rsidRPr="00D30537">
        <w:rPr>
          <w:color w:val="000000" w:themeColor="text1"/>
        </w:rPr>
        <w:t>.</w:t>
      </w:r>
      <w:r w:rsidR="008047AE" w:rsidRPr="00D30537">
        <w:rPr>
          <w:color w:val="000000" w:themeColor="text1"/>
        </w:rPr>
        <w:t xml:space="preserve"> </w:t>
      </w:r>
      <w:r w:rsidR="00640FDB" w:rsidRPr="00D30537">
        <w:rPr>
          <w:color w:val="000000" w:themeColor="text1"/>
        </w:rPr>
        <w:t>Therefore,</w:t>
      </w:r>
      <w:r w:rsidR="008047AE" w:rsidRPr="00D30537">
        <w:rPr>
          <w:color w:val="000000" w:themeColor="text1"/>
        </w:rPr>
        <w:t xml:space="preserve"> </w:t>
      </w:r>
      <w:r w:rsidR="001201DF" w:rsidRPr="00D30537">
        <w:rPr>
          <w:color w:val="000000" w:themeColor="text1"/>
        </w:rPr>
        <w:t xml:space="preserve">the evaluation considered </w:t>
      </w:r>
      <w:r w:rsidR="00F24D68" w:rsidRPr="00D30537">
        <w:rPr>
          <w:color w:val="000000" w:themeColor="text1"/>
        </w:rPr>
        <w:t xml:space="preserve">that </w:t>
      </w:r>
      <w:r w:rsidR="008047AE" w:rsidRPr="00D30537">
        <w:rPr>
          <w:color w:val="000000" w:themeColor="text1"/>
        </w:rPr>
        <w:t xml:space="preserve">the comparative efficacy of retifanlimab versus avelumab based on an unanchored MAIC </w:t>
      </w:r>
      <w:r w:rsidR="000E2A4F" w:rsidRPr="00D30537">
        <w:rPr>
          <w:color w:val="000000" w:themeColor="text1"/>
        </w:rPr>
        <w:t xml:space="preserve">and </w:t>
      </w:r>
      <w:r w:rsidR="007E030E" w:rsidRPr="00D30537">
        <w:rPr>
          <w:color w:val="000000" w:themeColor="text1"/>
        </w:rPr>
        <w:t xml:space="preserve">comparative safety based on an </w:t>
      </w:r>
      <w:r w:rsidR="000E2A4F" w:rsidRPr="00D30537">
        <w:rPr>
          <w:color w:val="000000" w:themeColor="text1"/>
        </w:rPr>
        <w:t>unanchored</w:t>
      </w:r>
      <w:r w:rsidR="005C094F" w:rsidRPr="00D30537">
        <w:rPr>
          <w:color w:val="000000" w:themeColor="text1"/>
        </w:rPr>
        <w:t xml:space="preserve"> </w:t>
      </w:r>
      <w:r w:rsidR="000E2A4F" w:rsidRPr="00D30537">
        <w:rPr>
          <w:color w:val="000000" w:themeColor="text1"/>
        </w:rPr>
        <w:t xml:space="preserve">indirect comparison </w:t>
      </w:r>
      <w:r w:rsidR="008047AE" w:rsidRPr="00D30537">
        <w:rPr>
          <w:color w:val="000000" w:themeColor="text1"/>
        </w:rPr>
        <w:t>of these two studies</w:t>
      </w:r>
      <w:r w:rsidR="00F24D68" w:rsidRPr="00D30537">
        <w:rPr>
          <w:color w:val="000000" w:themeColor="text1"/>
        </w:rPr>
        <w:t xml:space="preserve"> is</w:t>
      </w:r>
      <w:r w:rsidR="008047AE" w:rsidRPr="00D30537">
        <w:rPr>
          <w:color w:val="000000" w:themeColor="text1"/>
        </w:rPr>
        <w:t xml:space="preserve"> uncertain.</w:t>
      </w:r>
      <w:bookmarkEnd w:id="28"/>
    </w:p>
    <w:p w14:paraId="31BBB065" w14:textId="28E33A33" w:rsidR="004B3D50" w:rsidRPr="00D30537" w:rsidRDefault="004B3D50" w:rsidP="00813528">
      <w:pPr>
        <w:pStyle w:val="3-BodyText"/>
        <w:ind w:left="709"/>
      </w:pPr>
      <w:r w:rsidRPr="00D30537">
        <w:t>No clinical comparison of efficacy for retifanlimab versus SoC chemotherapy was presented in the submission for the locally advanced MCC population.</w:t>
      </w:r>
    </w:p>
    <w:p w14:paraId="0F709158" w14:textId="7F98A96E" w:rsidR="007E7040" w:rsidRPr="00D30537" w:rsidRDefault="00F24D68" w:rsidP="00813528">
      <w:pPr>
        <w:pStyle w:val="3-BodyText"/>
        <w:ind w:left="709"/>
        <w:rPr>
          <w:color w:val="000000" w:themeColor="text1"/>
        </w:rPr>
      </w:pPr>
      <w:bookmarkStart w:id="29" w:name="_Ref209438225"/>
      <w:r w:rsidRPr="00D30537">
        <w:rPr>
          <w:color w:val="000000" w:themeColor="text1"/>
        </w:rPr>
        <w:t xml:space="preserve">The </w:t>
      </w:r>
      <w:r w:rsidR="007E7040" w:rsidRPr="00D30537">
        <w:rPr>
          <w:color w:val="000000" w:themeColor="text1"/>
        </w:rPr>
        <w:t>evaluation</w:t>
      </w:r>
      <w:r w:rsidRPr="00D30537">
        <w:rPr>
          <w:color w:val="000000" w:themeColor="text1"/>
        </w:rPr>
        <w:t xml:space="preserve"> identified</w:t>
      </w:r>
      <w:r w:rsidR="007E7040" w:rsidRPr="00D30537">
        <w:rPr>
          <w:color w:val="000000" w:themeColor="text1"/>
        </w:rPr>
        <w:t xml:space="preserve"> a </w:t>
      </w:r>
      <w:r w:rsidR="006F7ECE">
        <w:rPr>
          <w:snapToGrid w:val="0"/>
        </w:rPr>
        <w:t>p</w:t>
      </w:r>
      <w:r w:rsidR="006F7ECE" w:rsidRPr="007E7040">
        <w:t>opulation-adjusted</w:t>
      </w:r>
      <w:r w:rsidR="006F7ECE">
        <w:t xml:space="preserve"> </w:t>
      </w:r>
      <w:r w:rsidR="006F7ECE" w:rsidRPr="007E7040">
        <w:t xml:space="preserve">indirect comparison (PAIC) </w:t>
      </w:r>
      <w:r w:rsidR="007E7040" w:rsidRPr="00D30537">
        <w:rPr>
          <w:color w:val="000000" w:themeColor="text1"/>
        </w:rPr>
        <w:t>of avelumab and retifanlimab (Kearney 2025</w:t>
      </w:r>
      <w:r w:rsidR="007E7040" w:rsidRPr="00D30537">
        <w:rPr>
          <w:rStyle w:val="FootnoteReference"/>
          <w:color w:val="000000" w:themeColor="text1"/>
        </w:rPr>
        <w:footnoteReference w:id="10"/>
      </w:r>
      <w:r w:rsidR="007E7040" w:rsidRPr="00D30537">
        <w:rPr>
          <w:color w:val="000000" w:themeColor="text1"/>
        </w:rPr>
        <w:t>)</w:t>
      </w:r>
      <w:r w:rsidRPr="00D30537">
        <w:rPr>
          <w:color w:val="000000" w:themeColor="text1"/>
        </w:rPr>
        <w:t xml:space="preserve">, which it </w:t>
      </w:r>
      <w:r w:rsidR="007E7040" w:rsidRPr="00D30537">
        <w:rPr>
          <w:color w:val="000000" w:themeColor="text1"/>
        </w:rPr>
        <w:t xml:space="preserve">considered relevant to the </w:t>
      </w:r>
      <w:r w:rsidR="007E7040" w:rsidRPr="00D30537">
        <w:t>submission</w:t>
      </w:r>
      <w:r w:rsidR="00290B1D" w:rsidRPr="00D30537">
        <w:rPr>
          <w:color w:val="000000" w:themeColor="text1"/>
        </w:rPr>
        <w:t xml:space="preserve">, available as </w:t>
      </w:r>
      <w:r w:rsidR="00B57A10" w:rsidRPr="00D30537">
        <w:rPr>
          <w:color w:val="000000" w:themeColor="text1"/>
        </w:rPr>
        <w:t xml:space="preserve">conference </w:t>
      </w:r>
      <w:r w:rsidR="00290B1D" w:rsidRPr="00D30537">
        <w:rPr>
          <w:color w:val="000000" w:themeColor="text1"/>
        </w:rPr>
        <w:t>abstract only</w:t>
      </w:r>
      <w:r w:rsidR="007E7040" w:rsidRPr="00D30537">
        <w:rPr>
          <w:color w:val="000000" w:themeColor="text1"/>
        </w:rPr>
        <w:t>.</w:t>
      </w:r>
      <w:bookmarkEnd w:id="29"/>
    </w:p>
    <w:p w14:paraId="6FCA17C9" w14:textId="77777777" w:rsidR="008047AE" w:rsidRPr="00D30537" w:rsidRDefault="008047AE" w:rsidP="000461E7">
      <w:pPr>
        <w:pStyle w:val="4-SubsectionHeading"/>
      </w:pPr>
      <w:bookmarkStart w:id="30" w:name="_Toc22897641"/>
      <w:bookmarkStart w:id="31" w:name="_Toc208988058"/>
      <w:r w:rsidRPr="00D30537">
        <w:t>Comparative effectiveness</w:t>
      </w:r>
      <w:bookmarkEnd w:id="30"/>
      <w:bookmarkEnd w:id="31"/>
    </w:p>
    <w:p w14:paraId="36FF6CA9" w14:textId="04F1B1C8" w:rsidR="008047AE" w:rsidRPr="00D30537" w:rsidRDefault="008047AE" w:rsidP="00813528">
      <w:pPr>
        <w:pStyle w:val="3-BodyText"/>
        <w:ind w:left="709"/>
        <w:rPr>
          <w:color w:val="000000" w:themeColor="text1"/>
        </w:rPr>
      </w:pPr>
      <w:r w:rsidRPr="00D30537">
        <w:rPr>
          <w:color w:val="000000" w:themeColor="text1"/>
        </w:rPr>
        <w:t xml:space="preserve">The OS and PFS results from the POD1UM-201 study are </w:t>
      </w:r>
      <w:r w:rsidR="008829AA" w:rsidRPr="00D30537">
        <w:rPr>
          <w:color w:val="000000" w:themeColor="text1"/>
        </w:rPr>
        <w:t>summarised</w:t>
      </w:r>
      <w:r w:rsidRPr="00D30537">
        <w:rPr>
          <w:color w:val="000000" w:themeColor="text1"/>
        </w:rPr>
        <w:t xml:space="preserve"> in</w:t>
      </w:r>
      <w:r w:rsidR="00F43ECD" w:rsidRPr="00D30537">
        <w:rPr>
          <w:color w:val="000000" w:themeColor="text1"/>
        </w:rPr>
        <w:t xml:space="preserve"> </w:t>
      </w:r>
      <w:r w:rsidR="00F43ECD" w:rsidRPr="00D30537">
        <w:rPr>
          <w:color w:val="000000" w:themeColor="text1"/>
        </w:rPr>
        <w:fldChar w:fldCharType="begin"/>
      </w:r>
      <w:r w:rsidR="00F43ECD" w:rsidRPr="00D30537">
        <w:rPr>
          <w:color w:val="000000" w:themeColor="text1"/>
        </w:rPr>
        <w:instrText xml:space="preserve"> REF _Ref206158230 \h  \* MERGEFORMAT </w:instrText>
      </w:r>
      <w:r w:rsidR="00F43ECD" w:rsidRPr="00D30537">
        <w:rPr>
          <w:color w:val="000000" w:themeColor="text1"/>
        </w:rPr>
      </w:r>
      <w:r w:rsidR="00F43ECD" w:rsidRPr="00D30537">
        <w:rPr>
          <w:color w:val="000000" w:themeColor="text1"/>
        </w:rPr>
        <w:fldChar w:fldCharType="separate"/>
      </w:r>
      <w:r w:rsidR="00652388" w:rsidRPr="00D30537">
        <w:t xml:space="preserve">Table </w:t>
      </w:r>
      <w:r w:rsidR="00652388">
        <w:t>4</w:t>
      </w:r>
      <w:r w:rsidR="00F43ECD" w:rsidRPr="00D30537">
        <w:rPr>
          <w:color w:val="000000" w:themeColor="text1"/>
        </w:rPr>
        <w:fldChar w:fldCharType="end"/>
      </w:r>
      <w:r w:rsidRPr="00D30537">
        <w:rPr>
          <w:color w:val="000000" w:themeColor="text1"/>
        </w:rPr>
        <w:t xml:space="preserve">. </w:t>
      </w:r>
      <w:r w:rsidRPr="00D30537">
        <w:t>The</w:t>
      </w:r>
      <w:r w:rsidRPr="00D30537">
        <w:rPr>
          <w:color w:val="000000" w:themeColor="text1"/>
        </w:rPr>
        <w:t xml:space="preserve"> Kaplan-Meier</w:t>
      </w:r>
      <w:r w:rsidR="00C8625B" w:rsidRPr="00D30537">
        <w:rPr>
          <w:color w:val="000000" w:themeColor="text1"/>
        </w:rPr>
        <w:t xml:space="preserve"> (KM)</w:t>
      </w:r>
      <w:r w:rsidRPr="00D30537">
        <w:rPr>
          <w:color w:val="000000" w:themeColor="text1"/>
        </w:rPr>
        <w:t xml:space="preserve"> OS and PFS curves are shown in</w:t>
      </w:r>
      <w:r w:rsidR="00F43ECD" w:rsidRPr="00D30537">
        <w:rPr>
          <w:color w:val="000000" w:themeColor="text1"/>
        </w:rPr>
        <w:t xml:space="preserve"> </w:t>
      </w:r>
      <w:r w:rsidR="00F43ECD" w:rsidRPr="00D30537">
        <w:rPr>
          <w:color w:val="000000" w:themeColor="text1"/>
        </w:rPr>
        <w:fldChar w:fldCharType="begin"/>
      </w:r>
      <w:r w:rsidR="00F43ECD" w:rsidRPr="00D30537">
        <w:rPr>
          <w:color w:val="000000" w:themeColor="text1"/>
        </w:rPr>
        <w:instrText xml:space="preserve"> REF _Ref206158261 \h </w:instrText>
      </w:r>
      <w:r w:rsidR="00F43ECD" w:rsidRPr="00D30537">
        <w:rPr>
          <w:color w:val="000000" w:themeColor="text1"/>
        </w:rPr>
      </w:r>
      <w:r w:rsidR="00F43ECD" w:rsidRPr="00D30537">
        <w:rPr>
          <w:color w:val="000000" w:themeColor="text1"/>
        </w:rPr>
        <w:fldChar w:fldCharType="separate"/>
      </w:r>
      <w:r w:rsidR="00652388" w:rsidRPr="00D30537">
        <w:t xml:space="preserve">Figure </w:t>
      </w:r>
      <w:r w:rsidR="00652388">
        <w:rPr>
          <w:noProof/>
        </w:rPr>
        <w:t>1</w:t>
      </w:r>
      <w:r w:rsidR="00F43ECD" w:rsidRPr="00D30537">
        <w:rPr>
          <w:color w:val="000000" w:themeColor="text1"/>
        </w:rPr>
        <w:fldChar w:fldCharType="end"/>
      </w:r>
      <w:r w:rsidR="00F43ECD" w:rsidRPr="00D30537">
        <w:rPr>
          <w:color w:val="000000" w:themeColor="text1"/>
        </w:rPr>
        <w:t xml:space="preserve"> and </w:t>
      </w:r>
      <w:r w:rsidR="00F43ECD" w:rsidRPr="00D30537">
        <w:rPr>
          <w:color w:val="000000" w:themeColor="text1"/>
        </w:rPr>
        <w:fldChar w:fldCharType="begin"/>
      </w:r>
      <w:r w:rsidR="00F43ECD" w:rsidRPr="00D30537">
        <w:rPr>
          <w:color w:val="000000" w:themeColor="text1"/>
        </w:rPr>
        <w:instrText xml:space="preserve"> REF _Ref206158264 \h </w:instrText>
      </w:r>
      <w:r w:rsidR="00F43ECD" w:rsidRPr="00D30537">
        <w:rPr>
          <w:color w:val="000000" w:themeColor="text1"/>
        </w:rPr>
      </w:r>
      <w:r w:rsidR="00F43ECD" w:rsidRPr="00D30537">
        <w:rPr>
          <w:color w:val="000000" w:themeColor="text1"/>
        </w:rPr>
        <w:fldChar w:fldCharType="separate"/>
      </w:r>
      <w:r w:rsidR="00652388" w:rsidRPr="00D30537">
        <w:t xml:space="preserve">Figure </w:t>
      </w:r>
      <w:r w:rsidR="00652388">
        <w:rPr>
          <w:noProof/>
        </w:rPr>
        <w:t>2</w:t>
      </w:r>
      <w:r w:rsidR="00F43ECD" w:rsidRPr="00D30537">
        <w:rPr>
          <w:color w:val="000000" w:themeColor="text1"/>
        </w:rPr>
        <w:fldChar w:fldCharType="end"/>
      </w:r>
      <w:r w:rsidR="00F43ECD" w:rsidRPr="00D30537">
        <w:rPr>
          <w:color w:val="000000" w:themeColor="text1"/>
        </w:rPr>
        <w:t>, respectively.</w:t>
      </w:r>
    </w:p>
    <w:p w14:paraId="7FF865EF" w14:textId="2C0AB1BE" w:rsidR="008047AE" w:rsidRPr="00D30537" w:rsidRDefault="008047AE" w:rsidP="005D1B48">
      <w:pPr>
        <w:pStyle w:val="Caption"/>
      </w:pPr>
      <w:bookmarkStart w:id="32" w:name="_Ref206158230"/>
      <w:r w:rsidRPr="00D30537">
        <w:lastRenderedPageBreak/>
        <w:t xml:space="preserve">Table </w:t>
      </w:r>
      <w:fldSimple w:instr=" SEQ Table \* ARABIC ">
        <w:r w:rsidR="00652388">
          <w:rPr>
            <w:noProof/>
          </w:rPr>
          <w:t>4</w:t>
        </w:r>
      </w:fldSimple>
      <w:bookmarkEnd w:id="32"/>
      <w:r w:rsidRPr="00D30537">
        <w:t xml:space="preserve">: Overall survival in the POD1UM-201 study </w:t>
      </w:r>
    </w:p>
    <w:tbl>
      <w:tblPr>
        <w:tblStyle w:val="TableGrid"/>
        <w:tblW w:w="5000" w:type="pct"/>
        <w:tblLook w:val="04A0" w:firstRow="1" w:lastRow="0" w:firstColumn="1" w:lastColumn="0" w:noHBand="0" w:noVBand="1"/>
        <w:tblCaption w:val="Table 4: Overall survival in the POD1UM-201 study "/>
      </w:tblPr>
      <w:tblGrid>
        <w:gridCol w:w="2122"/>
        <w:gridCol w:w="1379"/>
        <w:gridCol w:w="1379"/>
        <w:gridCol w:w="1379"/>
        <w:gridCol w:w="1379"/>
        <w:gridCol w:w="1379"/>
      </w:tblGrid>
      <w:tr w:rsidR="008047AE" w:rsidRPr="00D30537" w14:paraId="1EAE3880" w14:textId="77777777" w:rsidTr="00935666">
        <w:trPr>
          <w:trHeight w:val="336"/>
        </w:trPr>
        <w:tc>
          <w:tcPr>
            <w:tcW w:w="2122" w:type="dxa"/>
            <w:tcBorders>
              <w:bottom w:val="single" w:sz="4" w:space="0" w:color="auto"/>
            </w:tcBorders>
            <w:vAlign w:val="center"/>
          </w:tcPr>
          <w:p w14:paraId="09B3DBD7"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Treatment arm</w:t>
            </w:r>
          </w:p>
        </w:tc>
        <w:tc>
          <w:tcPr>
            <w:tcW w:w="1379" w:type="dxa"/>
            <w:tcBorders>
              <w:bottom w:val="single" w:sz="4" w:space="0" w:color="auto"/>
            </w:tcBorders>
            <w:vAlign w:val="center"/>
          </w:tcPr>
          <w:p w14:paraId="54057124"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Chemo-naïve advanced (N=10)</w:t>
            </w:r>
          </w:p>
        </w:tc>
        <w:tc>
          <w:tcPr>
            <w:tcW w:w="1379" w:type="dxa"/>
            <w:tcBorders>
              <w:bottom w:val="single" w:sz="4" w:space="0" w:color="auto"/>
            </w:tcBorders>
            <w:vAlign w:val="center"/>
          </w:tcPr>
          <w:p w14:paraId="6FD24818"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Chemo-naïve metastatic (N=91)</w:t>
            </w:r>
          </w:p>
        </w:tc>
        <w:tc>
          <w:tcPr>
            <w:tcW w:w="1379" w:type="dxa"/>
            <w:tcBorders>
              <w:bottom w:val="single" w:sz="4" w:space="0" w:color="auto"/>
            </w:tcBorders>
            <w:vAlign w:val="center"/>
          </w:tcPr>
          <w:p w14:paraId="7124AEA3"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Chemo-naïve total (N=101)</w:t>
            </w:r>
          </w:p>
        </w:tc>
        <w:tc>
          <w:tcPr>
            <w:tcW w:w="1379" w:type="dxa"/>
            <w:tcBorders>
              <w:bottom w:val="single" w:sz="4" w:space="0" w:color="auto"/>
            </w:tcBorders>
            <w:vAlign w:val="center"/>
          </w:tcPr>
          <w:p w14:paraId="274C8F0A"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Chemo-refractory total (N=6)</w:t>
            </w:r>
          </w:p>
        </w:tc>
        <w:tc>
          <w:tcPr>
            <w:tcW w:w="1379" w:type="dxa"/>
            <w:tcBorders>
              <w:bottom w:val="single" w:sz="4" w:space="0" w:color="auto"/>
            </w:tcBorders>
            <w:vAlign w:val="center"/>
          </w:tcPr>
          <w:p w14:paraId="3F1834CB" w14:textId="77777777" w:rsidR="008047AE" w:rsidRPr="00D30537" w:rsidRDefault="008047AE" w:rsidP="005D1B48">
            <w:pPr>
              <w:keepNext/>
              <w:keepLines/>
              <w:jc w:val="center"/>
              <w:rPr>
                <w:rFonts w:ascii="Arial Narrow" w:hAnsi="Arial Narrow"/>
                <w:b/>
                <w:bCs/>
                <w:sz w:val="20"/>
                <w:szCs w:val="20"/>
              </w:rPr>
            </w:pPr>
            <w:r w:rsidRPr="00D30537">
              <w:rPr>
                <w:rFonts w:ascii="Arial Narrow" w:hAnsi="Arial Narrow"/>
                <w:b/>
                <w:bCs/>
                <w:sz w:val="20"/>
                <w:szCs w:val="20"/>
              </w:rPr>
              <w:t>Total (N=107)</w:t>
            </w:r>
          </w:p>
        </w:tc>
      </w:tr>
      <w:tr w:rsidR="008047AE" w:rsidRPr="00D30537" w14:paraId="2EED41E4" w14:textId="77777777" w:rsidTr="00653B48">
        <w:tc>
          <w:tcPr>
            <w:tcW w:w="9017" w:type="dxa"/>
            <w:gridSpan w:val="6"/>
            <w:tcBorders>
              <w:bottom w:val="dotted" w:sz="4" w:space="0" w:color="auto"/>
            </w:tcBorders>
          </w:tcPr>
          <w:p w14:paraId="1CBA376E" w14:textId="77777777" w:rsidR="008047AE" w:rsidRPr="00D30537" w:rsidRDefault="008047AE" w:rsidP="005D1B48">
            <w:pPr>
              <w:keepNext/>
              <w:keepLines/>
              <w:rPr>
                <w:rFonts w:ascii="Arial Narrow" w:hAnsi="Arial Narrow"/>
                <w:b/>
                <w:bCs/>
                <w:sz w:val="20"/>
                <w:szCs w:val="20"/>
              </w:rPr>
            </w:pPr>
            <w:r w:rsidRPr="00D30537">
              <w:rPr>
                <w:rFonts w:ascii="Arial Narrow" w:hAnsi="Arial Narrow"/>
                <w:b/>
                <w:bCs/>
                <w:sz w:val="20"/>
                <w:szCs w:val="20"/>
              </w:rPr>
              <w:t>Overall Survival</w:t>
            </w:r>
          </w:p>
        </w:tc>
      </w:tr>
      <w:tr w:rsidR="008047AE" w:rsidRPr="00D30537" w14:paraId="54F3F5BA" w14:textId="77777777" w:rsidTr="00935666">
        <w:trPr>
          <w:trHeight w:val="202"/>
        </w:trPr>
        <w:tc>
          <w:tcPr>
            <w:tcW w:w="2122" w:type="dxa"/>
            <w:tcBorders>
              <w:top w:val="single" w:sz="4" w:space="0" w:color="auto"/>
              <w:bottom w:val="single" w:sz="4" w:space="0" w:color="auto"/>
            </w:tcBorders>
            <w:vAlign w:val="center"/>
          </w:tcPr>
          <w:p w14:paraId="5F0593E1" w14:textId="77777777" w:rsidR="008047AE" w:rsidRPr="00D30537" w:rsidRDefault="008047AE" w:rsidP="005D1B48">
            <w:pPr>
              <w:keepNext/>
              <w:keepLines/>
              <w:rPr>
                <w:rFonts w:ascii="Arial Narrow" w:hAnsi="Arial Narrow"/>
                <w:sz w:val="20"/>
                <w:szCs w:val="20"/>
              </w:rPr>
            </w:pPr>
            <w:r w:rsidRPr="00D30537">
              <w:rPr>
                <w:rFonts w:ascii="Arial Narrow" w:hAnsi="Arial Narrow"/>
                <w:sz w:val="20"/>
                <w:szCs w:val="20"/>
              </w:rPr>
              <w:t>Median follow-up (range)</w:t>
            </w:r>
          </w:p>
        </w:tc>
        <w:tc>
          <w:tcPr>
            <w:tcW w:w="1379" w:type="dxa"/>
            <w:tcBorders>
              <w:top w:val="single" w:sz="4" w:space="0" w:color="auto"/>
              <w:bottom w:val="single" w:sz="4" w:space="0" w:color="auto"/>
            </w:tcBorders>
            <w:vAlign w:val="center"/>
          </w:tcPr>
          <w:p w14:paraId="74070696"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36.4 (3.4, 51.5)</w:t>
            </w:r>
          </w:p>
        </w:tc>
        <w:tc>
          <w:tcPr>
            <w:tcW w:w="1379" w:type="dxa"/>
            <w:tcBorders>
              <w:top w:val="single" w:sz="4" w:space="0" w:color="auto"/>
              <w:bottom w:val="single" w:sz="4" w:space="0" w:color="auto"/>
            </w:tcBorders>
            <w:vAlign w:val="center"/>
          </w:tcPr>
          <w:p w14:paraId="4C949F41"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35.7 (0.7, 60.4+)</w:t>
            </w:r>
          </w:p>
        </w:tc>
        <w:tc>
          <w:tcPr>
            <w:tcW w:w="1379" w:type="dxa"/>
            <w:tcBorders>
              <w:top w:val="single" w:sz="4" w:space="0" w:color="auto"/>
              <w:bottom w:val="single" w:sz="4" w:space="0" w:color="auto"/>
            </w:tcBorders>
            <w:vAlign w:val="center"/>
          </w:tcPr>
          <w:p w14:paraId="7CAE56B4"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35.7 (0.7, 60.4+)</w:t>
            </w:r>
          </w:p>
        </w:tc>
        <w:tc>
          <w:tcPr>
            <w:tcW w:w="1379" w:type="dxa"/>
            <w:tcBorders>
              <w:top w:val="single" w:sz="4" w:space="0" w:color="auto"/>
              <w:bottom w:val="single" w:sz="4" w:space="0" w:color="auto"/>
            </w:tcBorders>
            <w:vAlign w:val="center"/>
          </w:tcPr>
          <w:p w14:paraId="47412C47"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25.5 (0.3, 57.5)</w:t>
            </w:r>
          </w:p>
        </w:tc>
        <w:tc>
          <w:tcPr>
            <w:tcW w:w="1379" w:type="dxa"/>
            <w:tcBorders>
              <w:top w:val="single" w:sz="4" w:space="0" w:color="auto"/>
              <w:bottom w:val="single" w:sz="4" w:space="0" w:color="auto"/>
            </w:tcBorders>
            <w:vAlign w:val="center"/>
          </w:tcPr>
          <w:p w14:paraId="2A4C876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35.7 (0.3, 60.4)</w:t>
            </w:r>
          </w:p>
        </w:tc>
      </w:tr>
      <w:tr w:rsidR="008047AE" w:rsidRPr="00D30537" w14:paraId="78DB1E1B" w14:textId="77777777" w:rsidTr="00935666">
        <w:trPr>
          <w:trHeight w:val="202"/>
        </w:trPr>
        <w:tc>
          <w:tcPr>
            <w:tcW w:w="2122" w:type="dxa"/>
            <w:tcBorders>
              <w:top w:val="single" w:sz="4" w:space="0" w:color="auto"/>
              <w:bottom w:val="single" w:sz="4" w:space="0" w:color="auto"/>
            </w:tcBorders>
          </w:tcPr>
          <w:p w14:paraId="2E26C2F4" w14:textId="77777777" w:rsidR="008047AE" w:rsidRPr="00D30537" w:rsidRDefault="008047AE" w:rsidP="005D1B48">
            <w:pPr>
              <w:keepNext/>
              <w:keepLines/>
              <w:rPr>
                <w:rFonts w:ascii="Arial Narrow" w:hAnsi="Arial Narrow"/>
                <w:sz w:val="20"/>
                <w:szCs w:val="20"/>
              </w:rPr>
            </w:pPr>
            <w:r w:rsidRPr="00D30537">
              <w:rPr>
                <w:rFonts w:ascii="Arial Narrow" w:hAnsi="Arial Narrow"/>
                <w:sz w:val="20"/>
                <w:szCs w:val="20"/>
              </w:rPr>
              <w:t>Deaths (%)</w:t>
            </w:r>
          </w:p>
        </w:tc>
        <w:tc>
          <w:tcPr>
            <w:tcW w:w="1379" w:type="dxa"/>
            <w:tcBorders>
              <w:top w:val="single" w:sz="4" w:space="0" w:color="auto"/>
              <w:bottom w:val="single" w:sz="4" w:space="0" w:color="auto"/>
            </w:tcBorders>
            <w:vAlign w:val="center"/>
          </w:tcPr>
          <w:p w14:paraId="2011D113"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1 (10.0)</w:t>
            </w:r>
          </w:p>
        </w:tc>
        <w:tc>
          <w:tcPr>
            <w:tcW w:w="1379" w:type="dxa"/>
            <w:tcBorders>
              <w:top w:val="single" w:sz="4" w:space="0" w:color="auto"/>
              <w:bottom w:val="single" w:sz="4" w:space="0" w:color="auto"/>
            </w:tcBorders>
            <w:vAlign w:val="center"/>
          </w:tcPr>
          <w:p w14:paraId="668E95D9"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38 (41.8)</w:t>
            </w:r>
          </w:p>
        </w:tc>
        <w:tc>
          <w:tcPr>
            <w:tcW w:w="1379" w:type="dxa"/>
            <w:tcBorders>
              <w:top w:val="single" w:sz="4" w:space="0" w:color="auto"/>
              <w:bottom w:val="single" w:sz="4" w:space="0" w:color="auto"/>
            </w:tcBorders>
            <w:vAlign w:val="center"/>
          </w:tcPr>
          <w:p w14:paraId="07179EC5"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39 (38.6)</w:t>
            </w:r>
          </w:p>
        </w:tc>
        <w:tc>
          <w:tcPr>
            <w:tcW w:w="1379" w:type="dxa"/>
            <w:tcBorders>
              <w:top w:val="single" w:sz="4" w:space="0" w:color="auto"/>
              <w:bottom w:val="single" w:sz="4" w:space="0" w:color="auto"/>
            </w:tcBorders>
            <w:vAlign w:val="center"/>
          </w:tcPr>
          <w:p w14:paraId="3032A57D"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 (50.0)</w:t>
            </w:r>
          </w:p>
        </w:tc>
        <w:tc>
          <w:tcPr>
            <w:tcW w:w="1379" w:type="dxa"/>
            <w:tcBorders>
              <w:top w:val="single" w:sz="4" w:space="0" w:color="auto"/>
              <w:bottom w:val="single" w:sz="4" w:space="0" w:color="auto"/>
            </w:tcBorders>
            <w:vAlign w:val="center"/>
          </w:tcPr>
          <w:p w14:paraId="22036F8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42 (39.3)</w:t>
            </w:r>
          </w:p>
        </w:tc>
      </w:tr>
      <w:tr w:rsidR="008047AE" w:rsidRPr="00D30537" w14:paraId="5AB60504" w14:textId="77777777" w:rsidTr="00935666">
        <w:tc>
          <w:tcPr>
            <w:tcW w:w="2122" w:type="dxa"/>
            <w:tcBorders>
              <w:top w:val="single" w:sz="4" w:space="0" w:color="auto"/>
              <w:bottom w:val="single" w:sz="4" w:space="0" w:color="auto"/>
            </w:tcBorders>
          </w:tcPr>
          <w:p w14:paraId="091EE042" w14:textId="77777777" w:rsidR="008047AE" w:rsidRPr="00D30537" w:rsidRDefault="008047AE" w:rsidP="005D1B48">
            <w:pPr>
              <w:keepNext/>
              <w:keepLines/>
              <w:rPr>
                <w:rFonts w:ascii="Arial Narrow" w:hAnsi="Arial Narrow"/>
                <w:sz w:val="20"/>
                <w:szCs w:val="20"/>
              </w:rPr>
            </w:pPr>
            <w:r w:rsidRPr="00D30537">
              <w:rPr>
                <w:rFonts w:ascii="Arial Narrow" w:hAnsi="Arial Narrow"/>
                <w:sz w:val="20"/>
                <w:szCs w:val="20"/>
              </w:rPr>
              <w:t>Censored (%)</w:t>
            </w:r>
          </w:p>
        </w:tc>
        <w:tc>
          <w:tcPr>
            <w:tcW w:w="1379" w:type="dxa"/>
            <w:tcBorders>
              <w:top w:val="single" w:sz="4" w:space="0" w:color="auto"/>
              <w:bottom w:val="single" w:sz="4" w:space="0" w:color="auto"/>
            </w:tcBorders>
            <w:vAlign w:val="center"/>
          </w:tcPr>
          <w:p w14:paraId="008DED91"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9 (90.0)</w:t>
            </w:r>
          </w:p>
        </w:tc>
        <w:tc>
          <w:tcPr>
            <w:tcW w:w="1379" w:type="dxa"/>
            <w:tcBorders>
              <w:top w:val="single" w:sz="4" w:space="0" w:color="auto"/>
              <w:bottom w:val="single" w:sz="4" w:space="0" w:color="auto"/>
            </w:tcBorders>
            <w:vAlign w:val="center"/>
          </w:tcPr>
          <w:p w14:paraId="5FDF7FE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53 (58.2)</w:t>
            </w:r>
          </w:p>
        </w:tc>
        <w:tc>
          <w:tcPr>
            <w:tcW w:w="1379" w:type="dxa"/>
            <w:tcBorders>
              <w:top w:val="single" w:sz="4" w:space="0" w:color="auto"/>
              <w:bottom w:val="single" w:sz="4" w:space="0" w:color="auto"/>
            </w:tcBorders>
            <w:vAlign w:val="center"/>
          </w:tcPr>
          <w:p w14:paraId="1C39E163"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62 (61.4)</w:t>
            </w:r>
          </w:p>
        </w:tc>
        <w:tc>
          <w:tcPr>
            <w:tcW w:w="1379" w:type="dxa"/>
            <w:tcBorders>
              <w:top w:val="single" w:sz="4" w:space="0" w:color="auto"/>
              <w:bottom w:val="single" w:sz="4" w:space="0" w:color="auto"/>
            </w:tcBorders>
            <w:vAlign w:val="center"/>
          </w:tcPr>
          <w:p w14:paraId="73886190"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3 (50.0)</w:t>
            </w:r>
          </w:p>
        </w:tc>
        <w:tc>
          <w:tcPr>
            <w:tcW w:w="1379" w:type="dxa"/>
            <w:tcBorders>
              <w:top w:val="single" w:sz="4" w:space="0" w:color="auto"/>
              <w:bottom w:val="single" w:sz="4" w:space="0" w:color="auto"/>
            </w:tcBorders>
            <w:vAlign w:val="center"/>
          </w:tcPr>
          <w:p w14:paraId="5213BFE8"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65 (60.7)</w:t>
            </w:r>
          </w:p>
        </w:tc>
      </w:tr>
      <w:tr w:rsidR="008047AE" w:rsidRPr="00D30537" w14:paraId="3AE5F5F3" w14:textId="77777777" w:rsidTr="00935666">
        <w:tc>
          <w:tcPr>
            <w:tcW w:w="2122" w:type="dxa"/>
            <w:tcBorders>
              <w:bottom w:val="single" w:sz="4" w:space="0" w:color="auto"/>
            </w:tcBorders>
            <w:vAlign w:val="center"/>
          </w:tcPr>
          <w:p w14:paraId="13EB4D36" w14:textId="77777777" w:rsidR="008047AE" w:rsidRPr="00D30537" w:rsidRDefault="008047AE" w:rsidP="005D1B48">
            <w:pPr>
              <w:keepNext/>
              <w:keepLines/>
              <w:jc w:val="left"/>
              <w:rPr>
                <w:rFonts w:ascii="Arial Narrow" w:hAnsi="Arial Narrow"/>
                <w:sz w:val="20"/>
                <w:szCs w:val="20"/>
                <w:vertAlign w:val="superscript"/>
              </w:rPr>
            </w:pPr>
            <w:r w:rsidRPr="00D30537">
              <w:rPr>
                <w:rFonts w:ascii="Arial Narrow" w:hAnsi="Arial Narrow"/>
                <w:sz w:val="20"/>
                <w:szCs w:val="20"/>
              </w:rPr>
              <w:t>Median OS (months) (95% CI)</w:t>
            </w:r>
          </w:p>
        </w:tc>
        <w:tc>
          <w:tcPr>
            <w:tcW w:w="1379" w:type="dxa"/>
            <w:tcBorders>
              <w:bottom w:val="single" w:sz="4" w:space="0" w:color="auto"/>
            </w:tcBorders>
            <w:vAlign w:val="center"/>
          </w:tcPr>
          <w:p w14:paraId="44FDD387"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(17.08, NE)</w:t>
            </w:r>
          </w:p>
        </w:tc>
        <w:tc>
          <w:tcPr>
            <w:tcW w:w="1379" w:type="dxa"/>
            <w:tcBorders>
              <w:bottom w:val="single" w:sz="4" w:space="0" w:color="auto"/>
            </w:tcBorders>
            <w:vAlign w:val="center"/>
          </w:tcPr>
          <w:p w14:paraId="58A8C3C0"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(32.46, NE)</w:t>
            </w:r>
          </w:p>
        </w:tc>
        <w:tc>
          <w:tcPr>
            <w:tcW w:w="1379" w:type="dxa"/>
            <w:tcBorders>
              <w:bottom w:val="single" w:sz="4" w:space="0" w:color="auto"/>
            </w:tcBorders>
            <w:vAlign w:val="center"/>
          </w:tcPr>
          <w:p w14:paraId="5D6A7131"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(45.24, NE)</w:t>
            </w:r>
          </w:p>
        </w:tc>
        <w:tc>
          <w:tcPr>
            <w:tcW w:w="1379" w:type="dxa"/>
            <w:tcBorders>
              <w:bottom w:val="single" w:sz="4" w:space="0" w:color="auto"/>
            </w:tcBorders>
            <w:vAlign w:val="center"/>
          </w:tcPr>
          <w:p w14:paraId="578559D6"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(0.26, NE)</w:t>
            </w:r>
          </w:p>
        </w:tc>
        <w:tc>
          <w:tcPr>
            <w:tcW w:w="1379" w:type="dxa"/>
            <w:tcBorders>
              <w:bottom w:val="single" w:sz="4" w:space="0" w:color="auto"/>
            </w:tcBorders>
            <w:vAlign w:val="center"/>
          </w:tcPr>
          <w:p w14:paraId="31D45C4E"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sz w:val="20"/>
                <w:szCs w:val="20"/>
              </w:rPr>
              <w:t>NR (45.24, NE)</w:t>
            </w:r>
          </w:p>
        </w:tc>
      </w:tr>
      <w:tr w:rsidR="008047AE" w:rsidRPr="00D30537" w14:paraId="52784604" w14:textId="77777777" w:rsidTr="00653B48">
        <w:tc>
          <w:tcPr>
            <w:tcW w:w="9017" w:type="dxa"/>
            <w:gridSpan w:val="6"/>
            <w:tcBorders>
              <w:top w:val="single" w:sz="4" w:space="0" w:color="auto"/>
              <w:bottom w:val="single" w:sz="4" w:space="0" w:color="auto"/>
            </w:tcBorders>
            <w:vAlign w:val="center"/>
          </w:tcPr>
          <w:p w14:paraId="7D6623CC" w14:textId="77777777" w:rsidR="008047AE" w:rsidRPr="00D30537" w:rsidRDefault="008047AE" w:rsidP="005D1B48">
            <w:pPr>
              <w:keepNext/>
              <w:keepLines/>
              <w:rPr>
                <w:rFonts w:ascii="Arial Narrow" w:hAnsi="Arial Narrow"/>
                <w:b/>
                <w:bCs/>
                <w:sz w:val="20"/>
                <w:szCs w:val="20"/>
              </w:rPr>
            </w:pPr>
            <w:r w:rsidRPr="00D30537">
              <w:rPr>
                <w:rFonts w:ascii="Arial Narrow" w:hAnsi="Arial Narrow"/>
                <w:b/>
                <w:bCs/>
                <w:sz w:val="20"/>
                <w:szCs w:val="20"/>
              </w:rPr>
              <w:t>Progression Free Survival</w:t>
            </w:r>
          </w:p>
        </w:tc>
      </w:tr>
      <w:tr w:rsidR="008047AE" w:rsidRPr="00D30537" w14:paraId="329F6B07" w14:textId="77777777" w:rsidTr="00935666">
        <w:tc>
          <w:tcPr>
            <w:tcW w:w="2122" w:type="dxa"/>
            <w:tcBorders>
              <w:top w:val="single" w:sz="4" w:space="0" w:color="auto"/>
            </w:tcBorders>
          </w:tcPr>
          <w:p w14:paraId="6B22D97F" w14:textId="77777777" w:rsidR="008047AE" w:rsidRPr="00D30537" w:rsidRDefault="008047AE" w:rsidP="005D1B48">
            <w:pPr>
              <w:keepNext/>
              <w:keepLines/>
              <w:jc w:val="left"/>
              <w:rPr>
                <w:rFonts w:ascii="Arial Narrow" w:hAnsi="Arial Narrow" w:cstheme="minorHAnsi"/>
                <w:sz w:val="20"/>
                <w:szCs w:val="20"/>
              </w:rPr>
            </w:pPr>
            <w:r w:rsidRPr="00D30537">
              <w:rPr>
                <w:rFonts w:ascii="Arial Narrow" w:hAnsi="Arial Narrow" w:cstheme="minorHAnsi"/>
                <w:sz w:val="20"/>
                <w:szCs w:val="20"/>
              </w:rPr>
              <w:t>Median follow-up (range)</w:t>
            </w:r>
          </w:p>
        </w:tc>
        <w:tc>
          <w:tcPr>
            <w:tcW w:w="1379" w:type="dxa"/>
            <w:tcBorders>
              <w:top w:val="single" w:sz="4" w:space="0" w:color="auto"/>
            </w:tcBorders>
            <w:vAlign w:val="center"/>
          </w:tcPr>
          <w:p w14:paraId="32FED95E"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20.8 (1.8, 51.4)</w:t>
            </w:r>
          </w:p>
        </w:tc>
        <w:tc>
          <w:tcPr>
            <w:tcW w:w="1379" w:type="dxa"/>
            <w:tcBorders>
              <w:top w:val="single" w:sz="4" w:space="0" w:color="auto"/>
            </w:tcBorders>
            <w:vAlign w:val="center"/>
          </w:tcPr>
          <w:p w14:paraId="75E5CB47"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9.0 (0.0, 57.1)</w:t>
            </w:r>
          </w:p>
        </w:tc>
        <w:tc>
          <w:tcPr>
            <w:tcW w:w="1379" w:type="dxa"/>
            <w:tcBorders>
              <w:top w:val="single" w:sz="4" w:space="0" w:color="auto"/>
            </w:tcBorders>
            <w:vAlign w:val="center"/>
          </w:tcPr>
          <w:p w14:paraId="0BB464B9"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9.3 (0.0, 57.1)</w:t>
            </w:r>
          </w:p>
        </w:tc>
        <w:tc>
          <w:tcPr>
            <w:tcW w:w="1379" w:type="dxa"/>
            <w:tcBorders>
              <w:top w:val="single" w:sz="4" w:space="0" w:color="auto"/>
            </w:tcBorders>
            <w:vAlign w:val="center"/>
          </w:tcPr>
          <w:p w14:paraId="2288BF7C"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25.5 (0.3, 57.3)</w:t>
            </w:r>
          </w:p>
        </w:tc>
        <w:tc>
          <w:tcPr>
            <w:tcW w:w="1379" w:type="dxa"/>
            <w:tcBorders>
              <w:top w:val="single" w:sz="4" w:space="0" w:color="auto"/>
            </w:tcBorders>
            <w:vAlign w:val="center"/>
          </w:tcPr>
          <w:p w14:paraId="7326CD50" w14:textId="77777777" w:rsidR="008047AE" w:rsidRPr="00D30537" w:rsidRDefault="008047AE" w:rsidP="005D1B48">
            <w:pPr>
              <w:keepNext/>
              <w:keepLines/>
              <w:jc w:val="center"/>
              <w:rPr>
                <w:rFonts w:ascii="Arial Narrow" w:hAnsi="Arial Narrow" w:cstheme="minorHAnsi"/>
                <w:sz w:val="20"/>
                <w:szCs w:val="20"/>
              </w:rPr>
            </w:pPr>
            <w:r w:rsidRPr="00D30537">
              <w:rPr>
                <w:rFonts w:ascii="Arial Narrow" w:hAnsi="Arial Narrow" w:cstheme="minorHAnsi"/>
                <w:sz w:val="20"/>
                <w:szCs w:val="20"/>
              </w:rPr>
              <w:t>9.3 (0.0, 57.3)</w:t>
            </w:r>
          </w:p>
        </w:tc>
      </w:tr>
      <w:tr w:rsidR="008047AE" w:rsidRPr="00D30537" w14:paraId="3C694AAC" w14:textId="77777777" w:rsidTr="00935666">
        <w:tc>
          <w:tcPr>
            <w:tcW w:w="2122" w:type="dxa"/>
            <w:tcBorders>
              <w:bottom w:val="single" w:sz="4" w:space="0" w:color="auto"/>
            </w:tcBorders>
          </w:tcPr>
          <w:p w14:paraId="28D9B3DA" w14:textId="77777777" w:rsidR="008047AE" w:rsidRPr="00D30537" w:rsidRDefault="008047AE" w:rsidP="005D1B48">
            <w:pPr>
              <w:keepNext/>
              <w:keepLines/>
              <w:jc w:val="left"/>
              <w:rPr>
                <w:rFonts w:ascii="Arial Narrow" w:hAnsi="Arial Narrow"/>
                <w:sz w:val="20"/>
                <w:szCs w:val="20"/>
              </w:rPr>
            </w:pPr>
            <w:r w:rsidRPr="00D30537">
              <w:rPr>
                <w:rFonts w:ascii="Arial Narrow" w:hAnsi="Arial Narrow" w:cstheme="minorHAnsi"/>
                <w:sz w:val="20"/>
                <w:szCs w:val="20"/>
              </w:rPr>
              <w:t>Number (%) of patients with events</w:t>
            </w:r>
          </w:p>
        </w:tc>
        <w:tc>
          <w:tcPr>
            <w:tcW w:w="1379" w:type="dxa"/>
            <w:tcBorders>
              <w:bottom w:val="single" w:sz="4" w:space="0" w:color="auto"/>
            </w:tcBorders>
            <w:vAlign w:val="center"/>
          </w:tcPr>
          <w:p w14:paraId="42D57089"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 (30.0)</w:t>
            </w:r>
          </w:p>
        </w:tc>
        <w:tc>
          <w:tcPr>
            <w:tcW w:w="1379" w:type="dxa"/>
            <w:tcBorders>
              <w:bottom w:val="single" w:sz="4" w:space="0" w:color="auto"/>
            </w:tcBorders>
            <w:vAlign w:val="center"/>
          </w:tcPr>
          <w:p w14:paraId="114B1668"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52 (57.1)</w:t>
            </w:r>
          </w:p>
        </w:tc>
        <w:tc>
          <w:tcPr>
            <w:tcW w:w="1379" w:type="dxa"/>
            <w:tcBorders>
              <w:bottom w:val="single" w:sz="4" w:space="0" w:color="auto"/>
            </w:tcBorders>
            <w:vAlign w:val="center"/>
          </w:tcPr>
          <w:p w14:paraId="08A7571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55 (54.5)</w:t>
            </w:r>
          </w:p>
        </w:tc>
        <w:tc>
          <w:tcPr>
            <w:tcW w:w="1379" w:type="dxa"/>
            <w:tcBorders>
              <w:bottom w:val="single" w:sz="4" w:space="0" w:color="auto"/>
            </w:tcBorders>
            <w:vAlign w:val="center"/>
          </w:tcPr>
          <w:p w14:paraId="16C4055D"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 (50.0)</w:t>
            </w:r>
          </w:p>
        </w:tc>
        <w:tc>
          <w:tcPr>
            <w:tcW w:w="1379" w:type="dxa"/>
            <w:tcBorders>
              <w:bottom w:val="single" w:sz="4" w:space="0" w:color="auto"/>
            </w:tcBorders>
            <w:vAlign w:val="center"/>
          </w:tcPr>
          <w:p w14:paraId="790E809F"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58 (54.2)</w:t>
            </w:r>
          </w:p>
        </w:tc>
      </w:tr>
      <w:tr w:rsidR="008047AE" w:rsidRPr="00D30537" w14:paraId="797A475B" w14:textId="77777777" w:rsidTr="00935666">
        <w:tc>
          <w:tcPr>
            <w:tcW w:w="2122" w:type="dxa"/>
          </w:tcPr>
          <w:p w14:paraId="2E628C84" w14:textId="77777777" w:rsidR="008047AE" w:rsidRPr="00D30537" w:rsidRDefault="008047AE" w:rsidP="005D1B48">
            <w:pPr>
              <w:keepNext/>
              <w:keepLines/>
              <w:jc w:val="left"/>
              <w:rPr>
                <w:rFonts w:ascii="Arial Narrow" w:hAnsi="Arial Narrow"/>
                <w:sz w:val="20"/>
                <w:szCs w:val="20"/>
              </w:rPr>
            </w:pPr>
            <w:r w:rsidRPr="00D30537">
              <w:rPr>
                <w:rFonts w:ascii="Arial Narrow" w:hAnsi="Arial Narrow"/>
                <w:sz w:val="20"/>
                <w:szCs w:val="20"/>
              </w:rPr>
              <w:t>Censored (%)</w:t>
            </w:r>
          </w:p>
        </w:tc>
        <w:tc>
          <w:tcPr>
            <w:tcW w:w="1379" w:type="dxa"/>
            <w:vAlign w:val="center"/>
          </w:tcPr>
          <w:p w14:paraId="15B56A3D"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7 (70.0)</w:t>
            </w:r>
          </w:p>
        </w:tc>
        <w:tc>
          <w:tcPr>
            <w:tcW w:w="1379" w:type="dxa"/>
            <w:vAlign w:val="center"/>
          </w:tcPr>
          <w:p w14:paraId="6BB9682B"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39 (42.9)</w:t>
            </w:r>
          </w:p>
        </w:tc>
        <w:tc>
          <w:tcPr>
            <w:tcW w:w="1379" w:type="dxa"/>
            <w:vAlign w:val="center"/>
          </w:tcPr>
          <w:p w14:paraId="42DE3AC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46 (45.5)</w:t>
            </w:r>
          </w:p>
        </w:tc>
        <w:tc>
          <w:tcPr>
            <w:tcW w:w="1379" w:type="dxa"/>
            <w:vAlign w:val="center"/>
          </w:tcPr>
          <w:p w14:paraId="628283A4"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3 (50.0)</w:t>
            </w:r>
          </w:p>
        </w:tc>
        <w:tc>
          <w:tcPr>
            <w:tcW w:w="1379" w:type="dxa"/>
            <w:vAlign w:val="center"/>
          </w:tcPr>
          <w:p w14:paraId="44011B1F"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49 (45.8)</w:t>
            </w:r>
          </w:p>
        </w:tc>
      </w:tr>
      <w:tr w:rsidR="008047AE" w:rsidRPr="00D30537" w14:paraId="628FD075" w14:textId="77777777" w:rsidTr="00935666">
        <w:tc>
          <w:tcPr>
            <w:tcW w:w="2122" w:type="dxa"/>
          </w:tcPr>
          <w:p w14:paraId="631058C1" w14:textId="77777777" w:rsidR="008047AE" w:rsidRPr="00D30537" w:rsidRDefault="008047AE" w:rsidP="005D1B48">
            <w:pPr>
              <w:keepNext/>
              <w:keepLines/>
              <w:jc w:val="left"/>
              <w:rPr>
                <w:rFonts w:ascii="Arial Narrow" w:hAnsi="Arial Narrow"/>
                <w:sz w:val="20"/>
                <w:szCs w:val="20"/>
              </w:rPr>
            </w:pPr>
            <w:r w:rsidRPr="00D30537">
              <w:rPr>
                <w:rFonts w:ascii="Arial Narrow" w:hAnsi="Arial Narrow" w:cstheme="minorHAnsi"/>
                <w:sz w:val="20"/>
                <w:szCs w:val="20"/>
              </w:rPr>
              <w:t>Median PFS (months) (95% CI)</w:t>
            </w:r>
          </w:p>
        </w:tc>
        <w:tc>
          <w:tcPr>
            <w:tcW w:w="1379" w:type="dxa"/>
            <w:vAlign w:val="center"/>
          </w:tcPr>
          <w:p w14:paraId="0529D72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NR (1.84, NE)</w:t>
            </w:r>
          </w:p>
        </w:tc>
        <w:tc>
          <w:tcPr>
            <w:tcW w:w="1379" w:type="dxa"/>
            <w:vAlign w:val="center"/>
          </w:tcPr>
          <w:p w14:paraId="312EDFDC"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13.83 (6.74, 27.10)</w:t>
            </w:r>
          </w:p>
        </w:tc>
        <w:tc>
          <w:tcPr>
            <w:tcW w:w="1379" w:type="dxa"/>
            <w:vAlign w:val="center"/>
          </w:tcPr>
          <w:p w14:paraId="6E4ED0B6"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16.03 (9.03, 32.23)</w:t>
            </w:r>
          </w:p>
        </w:tc>
        <w:tc>
          <w:tcPr>
            <w:tcW w:w="1379" w:type="dxa"/>
            <w:vAlign w:val="center"/>
          </w:tcPr>
          <w:p w14:paraId="60A9D57E"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NE (0.26, NE)</w:t>
            </w:r>
          </w:p>
        </w:tc>
        <w:tc>
          <w:tcPr>
            <w:tcW w:w="1379" w:type="dxa"/>
            <w:vAlign w:val="center"/>
          </w:tcPr>
          <w:p w14:paraId="6E703AE2" w14:textId="77777777" w:rsidR="008047AE" w:rsidRPr="00D30537" w:rsidRDefault="008047AE" w:rsidP="005D1B48">
            <w:pPr>
              <w:keepNext/>
              <w:keepLines/>
              <w:jc w:val="center"/>
              <w:rPr>
                <w:rFonts w:ascii="Arial Narrow" w:hAnsi="Arial Narrow"/>
                <w:sz w:val="20"/>
                <w:szCs w:val="20"/>
              </w:rPr>
            </w:pPr>
            <w:r w:rsidRPr="00D30537">
              <w:rPr>
                <w:rFonts w:ascii="Arial Narrow" w:hAnsi="Arial Narrow" w:cstheme="minorHAnsi"/>
                <w:sz w:val="20"/>
                <w:szCs w:val="20"/>
              </w:rPr>
              <w:t>16.03 (9.03, 32.23)</w:t>
            </w:r>
          </w:p>
        </w:tc>
      </w:tr>
    </w:tbl>
    <w:p w14:paraId="440E4C65" w14:textId="77777777" w:rsidR="00002937" w:rsidRPr="00D30537" w:rsidRDefault="00002937" w:rsidP="00002937">
      <w:pPr>
        <w:pStyle w:val="FooterTableFigure"/>
        <w:keepNext/>
        <w:keepLines/>
      </w:pPr>
      <w:r w:rsidRPr="00D30537">
        <w:t>Source: Table 25 and Table 38, p100 and 105 of the submission</w:t>
      </w:r>
    </w:p>
    <w:p w14:paraId="3D80D01E" w14:textId="6D8C3A2E" w:rsidR="008047AE" w:rsidRPr="00D30537" w:rsidRDefault="008047AE" w:rsidP="005D1B48">
      <w:pPr>
        <w:pStyle w:val="FooterTableFigure"/>
        <w:keepNext/>
        <w:keepLines/>
      </w:pPr>
      <w:r w:rsidRPr="00D30537">
        <w:t>CI = confidence interval; NE = not estimable; NR = not reached; OS = overall survival; PFS = progression free survival</w:t>
      </w:r>
    </w:p>
    <w:p w14:paraId="18FCB808" w14:textId="77777777" w:rsidR="008047AE" w:rsidRPr="00D30537" w:rsidRDefault="008047AE" w:rsidP="00D44497">
      <w:pPr>
        <w:pStyle w:val="FooterTableFigure"/>
        <w:keepLines/>
      </w:pPr>
      <w:r w:rsidRPr="00D30537">
        <w:t>Notes: + indicates ongoing response</w:t>
      </w:r>
    </w:p>
    <w:p w14:paraId="322CC31B" w14:textId="53EDF1AA" w:rsidR="008047AE" w:rsidRPr="00D30537" w:rsidRDefault="008047AE" w:rsidP="008047AE">
      <w:pPr>
        <w:pStyle w:val="Caption"/>
      </w:pPr>
      <w:bookmarkStart w:id="33" w:name="_Ref206158261"/>
      <w:r w:rsidRPr="00D30537">
        <w:t xml:space="preserve">Figure </w:t>
      </w:r>
      <w:fldSimple w:instr=" SEQ Figure \* ARABIC ">
        <w:r w:rsidR="00652388">
          <w:rPr>
            <w:noProof/>
          </w:rPr>
          <w:t>1</w:t>
        </w:r>
      </w:fldSimple>
      <w:bookmarkEnd w:id="33"/>
      <w:r w:rsidRPr="00D30537">
        <w:t>: Kaplan-Meier estimates of overall survival in the POD1UM-201 study (chemotherapy-naïve, safety evaluable population)</w:t>
      </w:r>
    </w:p>
    <w:p w14:paraId="7A459F1F" w14:textId="77777777" w:rsidR="008047AE" w:rsidRPr="00D30537" w:rsidRDefault="008047AE" w:rsidP="008047AE">
      <w:pPr>
        <w:pStyle w:val="TableFigureHeading"/>
      </w:pPr>
      <w:r w:rsidRPr="00D30537">
        <w:rPr>
          <w:noProof/>
        </w:rPr>
        <w:drawing>
          <wp:inline distT="0" distB="0" distL="0" distR="0" wp14:anchorId="6D689CD2" wp14:editId="7455D273">
            <wp:extent cx="5739012" cy="2914650"/>
            <wp:effectExtent l="0" t="0" r="0" b="0"/>
            <wp:docPr id="15350427" name="Picture 1" descr="Figure 1: Kaplan-Meier estimates of overall survival in the POD1UM-201 study (chemotherapy-naïve, safety evaluab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427" name="Picture 1" descr="Figure 1: Kaplan-Meier estimates of overall survival in the POD1UM-201 study (chemotherapy-naïve, safety evaluable population)"/>
                    <pic:cNvPicPr/>
                  </pic:nvPicPr>
                  <pic:blipFill>
                    <a:blip r:embed="rId11"/>
                    <a:stretch>
                      <a:fillRect/>
                    </a:stretch>
                  </pic:blipFill>
                  <pic:spPr>
                    <a:xfrm>
                      <a:off x="0" y="0"/>
                      <a:ext cx="5777865" cy="2934382"/>
                    </a:xfrm>
                    <a:prstGeom prst="rect">
                      <a:avLst/>
                    </a:prstGeom>
                  </pic:spPr>
                </pic:pic>
              </a:graphicData>
            </a:graphic>
          </wp:inline>
        </w:drawing>
      </w:r>
    </w:p>
    <w:p w14:paraId="71715834" w14:textId="77777777" w:rsidR="00002937" w:rsidRPr="00D30537" w:rsidRDefault="00002937" w:rsidP="00002937">
      <w:pPr>
        <w:pStyle w:val="TableFigureFooter"/>
      </w:pPr>
      <w:r w:rsidRPr="00D30537">
        <w:t>Source: Figure 10, p 101 of the submission.</w:t>
      </w:r>
    </w:p>
    <w:p w14:paraId="5BF670EE" w14:textId="0559390C" w:rsidR="008047AE" w:rsidRPr="00D30537" w:rsidRDefault="008047AE" w:rsidP="008047AE">
      <w:pPr>
        <w:pStyle w:val="TableFigureFooter"/>
      </w:pPr>
      <w:r w:rsidRPr="00D30537">
        <w:t>CI = confidence intervals; NE = not estimable</w:t>
      </w:r>
    </w:p>
    <w:p w14:paraId="664A2AF3" w14:textId="6771F2E2" w:rsidR="008047AE" w:rsidRPr="00D30537" w:rsidRDefault="008047AE" w:rsidP="008047AE">
      <w:pPr>
        <w:pStyle w:val="Caption"/>
      </w:pPr>
      <w:bookmarkStart w:id="34" w:name="_Ref206158264"/>
      <w:r w:rsidRPr="00D30537">
        <w:lastRenderedPageBreak/>
        <w:t xml:space="preserve">Figure </w:t>
      </w:r>
      <w:fldSimple w:instr=" SEQ Figure \* ARABIC ">
        <w:r w:rsidR="00652388">
          <w:rPr>
            <w:noProof/>
          </w:rPr>
          <w:t>2</w:t>
        </w:r>
      </w:fldSimple>
      <w:bookmarkEnd w:id="34"/>
      <w:r w:rsidRPr="00D30537">
        <w:t>: Kaplan-Meier estimates of progression-free survival in POD1UM-201 (chemotherapy-naïve, safety evaluable population)</w:t>
      </w:r>
    </w:p>
    <w:p w14:paraId="465EA4D6" w14:textId="77777777" w:rsidR="008047AE" w:rsidRPr="00D30537" w:rsidRDefault="008047AE" w:rsidP="008047AE">
      <w:pPr>
        <w:pStyle w:val="TableFigureHeading"/>
      </w:pPr>
      <w:r w:rsidRPr="00D30537">
        <w:rPr>
          <w:noProof/>
        </w:rPr>
        <w:drawing>
          <wp:inline distT="0" distB="0" distL="0" distR="0" wp14:anchorId="156F40AF" wp14:editId="68817238">
            <wp:extent cx="5714005" cy="2901950"/>
            <wp:effectExtent l="0" t="0" r="1270" b="0"/>
            <wp:docPr id="1476621128" name="Picture 1" descr="Figure 2: Kaplan-Meier estimates of progression-free survival in POD1UM-201 (chemotherapy-naïve, safety evaluab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21128" name="Picture 1" descr="Figure 2: Kaplan-Meier estimates of progression-free survival in POD1UM-201 (chemotherapy-naïve, safety evaluable population)"/>
                    <pic:cNvPicPr/>
                  </pic:nvPicPr>
                  <pic:blipFill>
                    <a:blip r:embed="rId12"/>
                    <a:stretch>
                      <a:fillRect/>
                    </a:stretch>
                  </pic:blipFill>
                  <pic:spPr>
                    <a:xfrm>
                      <a:off x="0" y="0"/>
                      <a:ext cx="5748048" cy="2919239"/>
                    </a:xfrm>
                    <a:prstGeom prst="rect">
                      <a:avLst/>
                    </a:prstGeom>
                  </pic:spPr>
                </pic:pic>
              </a:graphicData>
            </a:graphic>
          </wp:inline>
        </w:drawing>
      </w:r>
    </w:p>
    <w:p w14:paraId="3F81EA57" w14:textId="77777777" w:rsidR="00002937" w:rsidRPr="00D30537" w:rsidRDefault="00002937" w:rsidP="00002937">
      <w:pPr>
        <w:pStyle w:val="TableFigureFooter"/>
      </w:pPr>
      <w:r w:rsidRPr="00D30537">
        <w:t>Source: Figure 12, p106 of the submission</w:t>
      </w:r>
    </w:p>
    <w:p w14:paraId="37E6898C" w14:textId="4E06AF86" w:rsidR="008047AE" w:rsidRPr="00D30537" w:rsidRDefault="008047AE" w:rsidP="008047AE">
      <w:pPr>
        <w:pStyle w:val="TableFigureFooter"/>
      </w:pPr>
      <w:r w:rsidRPr="00D30537">
        <w:t>CI = confidence interval; NE = not estimable.</w:t>
      </w:r>
    </w:p>
    <w:p w14:paraId="49BFBD52" w14:textId="51B771AD" w:rsidR="008047AE" w:rsidRPr="00D30537" w:rsidRDefault="008047AE" w:rsidP="00813528">
      <w:pPr>
        <w:pStyle w:val="3-BodyText"/>
        <w:ind w:left="709"/>
        <w:rPr>
          <w:color w:val="000000" w:themeColor="text1"/>
        </w:rPr>
      </w:pPr>
      <w:r w:rsidRPr="00D30537">
        <w:rPr>
          <w:color w:val="000000" w:themeColor="text1"/>
        </w:rPr>
        <w:t xml:space="preserve">The KM estimates showed a smaller decline in OS and PFS was observed in the </w:t>
      </w:r>
      <w:r w:rsidRPr="00D30537">
        <w:t>recurrent</w:t>
      </w:r>
      <w:r w:rsidRPr="00D30537">
        <w:rPr>
          <w:color w:val="000000" w:themeColor="text1"/>
        </w:rPr>
        <w:t xml:space="preserve"> advanced cohort (n=10) compared with the metastatic cohort (n=91) at all time points. Greater survival benefits in this cohort may be expected given these patients may have less severe disease compared with the metastatic cohort; however, </w:t>
      </w:r>
      <w:r w:rsidR="00651670" w:rsidRPr="00D30537">
        <w:rPr>
          <w:color w:val="000000" w:themeColor="text1"/>
        </w:rPr>
        <w:t xml:space="preserve">evaluation considered that </w:t>
      </w:r>
      <w:r w:rsidRPr="00D30537">
        <w:rPr>
          <w:color w:val="000000" w:themeColor="text1"/>
        </w:rPr>
        <w:t xml:space="preserve">this comparison should be interpreted with caution given the small sample size of the </w:t>
      </w:r>
      <w:r w:rsidR="00553395" w:rsidRPr="00D30537">
        <w:rPr>
          <w:color w:val="000000" w:themeColor="text1"/>
        </w:rPr>
        <w:t xml:space="preserve">recurrent locally </w:t>
      </w:r>
      <w:r w:rsidRPr="00D30537">
        <w:rPr>
          <w:color w:val="000000" w:themeColor="text1"/>
        </w:rPr>
        <w:t>advanced population.</w:t>
      </w:r>
    </w:p>
    <w:p w14:paraId="5BCECC7A" w14:textId="001BDFB1" w:rsidR="008047AE" w:rsidRPr="00D30537" w:rsidRDefault="008047AE" w:rsidP="00813528">
      <w:pPr>
        <w:pStyle w:val="3-BodyText"/>
        <w:ind w:left="709"/>
        <w:rPr>
          <w:color w:val="000000" w:themeColor="text1"/>
        </w:rPr>
      </w:pPr>
      <w:r w:rsidRPr="00D30537">
        <w:t>The</w:t>
      </w:r>
      <w:r w:rsidRPr="00D30537">
        <w:rPr>
          <w:color w:val="000000" w:themeColor="text1"/>
        </w:rPr>
        <w:t xml:space="preserve"> </w:t>
      </w:r>
      <w:r w:rsidR="00025135" w:rsidRPr="00D30537">
        <w:rPr>
          <w:color w:val="000000" w:themeColor="text1"/>
        </w:rPr>
        <w:t>objective response rate (</w:t>
      </w:r>
      <w:r w:rsidRPr="00D30537">
        <w:rPr>
          <w:color w:val="000000" w:themeColor="text1"/>
        </w:rPr>
        <w:t>ORR</w:t>
      </w:r>
      <w:r w:rsidR="00025135" w:rsidRPr="00D30537">
        <w:rPr>
          <w:color w:val="000000" w:themeColor="text1"/>
        </w:rPr>
        <w:t>)</w:t>
      </w:r>
      <w:r w:rsidRPr="00D30537">
        <w:rPr>
          <w:color w:val="000000" w:themeColor="text1"/>
        </w:rPr>
        <w:t xml:space="preserve"> results from the POD1UM-201 study </w:t>
      </w:r>
      <w:r w:rsidR="0064560A" w:rsidRPr="00D30537">
        <w:rPr>
          <w:color w:val="000000" w:themeColor="text1"/>
        </w:rPr>
        <w:t xml:space="preserve">are </w:t>
      </w:r>
      <w:r w:rsidR="008829AA" w:rsidRPr="00D30537">
        <w:rPr>
          <w:color w:val="000000" w:themeColor="text1"/>
        </w:rPr>
        <w:t>summarised</w:t>
      </w:r>
      <w:r w:rsidRPr="00D30537">
        <w:rPr>
          <w:color w:val="000000" w:themeColor="text1"/>
        </w:rPr>
        <w:t xml:space="preserve"> in </w:t>
      </w:r>
      <w:r w:rsidR="00F43ECD" w:rsidRPr="00D30537">
        <w:rPr>
          <w:color w:val="000000" w:themeColor="text1"/>
          <w:highlight w:val="green"/>
        </w:rPr>
        <w:fldChar w:fldCharType="begin"/>
      </w:r>
      <w:r w:rsidR="00F43ECD" w:rsidRPr="00D30537">
        <w:rPr>
          <w:color w:val="000000" w:themeColor="text1"/>
        </w:rPr>
        <w:instrText xml:space="preserve"> REF _Ref206158311 \h </w:instrText>
      </w:r>
      <w:r w:rsidR="00F43ECD" w:rsidRPr="00D30537">
        <w:rPr>
          <w:color w:val="000000" w:themeColor="text1"/>
          <w:highlight w:val="green"/>
        </w:rPr>
      </w:r>
      <w:r w:rsidR="00F43ECD" w:rsidRPr="00D30537">
        <w:rPr>
          <w:color w:val="000000" w:themeColor="text1"/>
          <w:highlight w:val="green"/>
        </w:rPr>
        <w:fldChar w:fldCharType="separate"/>
      </w:r>
      <w:r w:rsidR="00652388" w:rsidRPr="00D30537">
        <w:t xml:space="preserve">Table </w:t>
      </w:r>
      <w:r w:rsidR="00652388">
        <w:rPr>
          <w:noProof/>
        </w:rPr>
        <w:t>5</w:t>
      </w:r>
      <w:r w:rsidR="00F43ECD" w:rsidRPr="00D30537">
        <w:rPr>
          <w:color w:val="000000" w:themeColor="text1"/>
          <w:highlight w:val="green"/>
        </w:rPr>
        <w:fldChar w:fldCharType="end"/>
      </w:r>
      <w:r w:rsidR="00F43ECD" w:rsidRPr="00D30537">
        <w:rPr>
          <w:color w:val="000000" w:themeColor="text1"/>
        </w:rPr>
        <w:t>.</w:t>
      </w:r>
    </w:p>
    <w:p w14:paraId="27874E6C" w14:textId="4C3925E8" w:rsidR="008047AE" w:rsidRPr="00D30537" w:rsidRDefault="008047AE" w:rsidP="008047AE">
      <w:pPr>
        <w:pStyle w:val="Caption"/>
      </w:pPr>
      <w:bookmarkStart w:id="35" w:name="_Ref206158311"/>
      <w:r w:rsidRPr="00D30537">
        <w:t xml:space="preserve">Table </w:t>
      </w:r>
      <w:fldSimple w:instr=" SEQ Table \* ARABIC ">
        <w:r w:rsidR="00652388">
          <w:rPr>
            <w:noProof/>
          </w:rPr>
          <w:t>5</w:t>
        </w:r>
      </w:fldSimple>
      <w:bookmarkEnd w:id="35"/>
      <w:r w:rsidRPr="00D30537">
        <w:t>: Objective response rate and disease control rate based on ICR according to RECIST v1.1 in the POD1UM-201 study (safety evaluable population)</w:t>
      </w:r>
    </w:p>
    <w:tbl>
      <w:tblPr>
        <w:tblStyle w:val="TableGrid"/>
        <w:tblW w:w="0" w:type="auto"/>
        <w:tblLook w:val="04A0" w:firstRow="1" w:lastRow="0" w:firstColumn="1" w:lastColumn="0" w:noHBand="0" w:noVBand="1"/>
        <w:tblCaption w:val="Table 5: Objective response rate and disease control rate based on ICR according to RECIST v1.1 in the POD1UM-201 study (safety evaluable population)"/>
      </w:tblPr>
      <w:tblGrid>
        <w:gridCol w:w="2245"/>
        <w:gridCol w:w="1354"/>
        <w:gridCol w:w="1354"/>
        <w:gridCol w:w="1354"/>
        <w:gridCol w:w="1354"/>
        <w:gridCol w:w="1355"/>
      </w:tblGrid>
      <w:tr w:rsidR="008047AE" w:rsidRPr="00D30537" w14:paraId="0FF430A8" w14:textId="77777777" w:rsidTr="00653B48">
        <w:tc>
          <w:tcPr>
            <w:tcW w:w="2245" w:type="dxa"/>
            <w:tcBorders>
              <w:bottom w:val="single" w:sz="4" w:space="0" w:color="auto"/>
            </w:tcBorders>
          </w:tcPr>
          <w:p w14:paraId="4EC353A9"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Treatment arm</w:t>
            </w:r>
          </w:p>
        </w:tc>
        <w:tc>
          <w:tcPr>
            <w:tcW w:w="1354" w:type="dxa"/>
            <w:tcBorders>
              <w:bottom w:val="single" w:sz="4" w:space="0" w:color="auto"/>
            </w:tcBorders>
          </w:tcPr>
          <w:p w14:paraId="366D4BC4"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Chemo-naïve advanced (N=10)</w:t>
            </w:r>
          </w:p>
        </w:tc>
        <w:tc>
          <w:tcPr>
            <w:tcW w:w="1354" w:type="dxa"/>
            <w:tcBorders>
              <w:bottom w:val="single" w:sz="4" w:space="0" w:color="auto"/>
            </w:tcBorders>
          </w:tcPr>
          <w:p w14:paraId="1A008216"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Chemo-naïve metastatic (N=91)</w:t>
            </w:r>
          </w:p>
        </w:tc>
        <w:tc>
          <w:tcPr>
            <w:tcW w:w="1354" w:type="dxa"/>
            <w:tcBorders>
              <w:bottom w:val="single" w:sz="4" w:space="0" w:color="auto"/>
            </w:tcBorders>
          </w:tcPr>
          <w:p w14:paraId="208B3E57"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 xml:space="preserve">Chemo-naïve total </w:t>
            </w:r>
          </w:p>
          <w:p w14:paraId="18E359DD"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(N=101)</w:t>
            </w:r>
          </w:p>
        </w:tc>
        <w:tc>
          <w:tcPr>
            <w:tcW w:w="1354" w:type="dxa"/>
            <w:tcBorders>
              <w:bottom w:val="single" w:sz="4" w:space="0" w:color="auto"/>
            </w:tcBorders>
          </w:tcPr>
          <w:p w14:paraId="64FB26FC"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Chemo-refractory total (N=6)</w:t>
            </w:r>
          </w:p>
        </w:tc>
        <w:tc>
          <w:tcPr>
            <w:tcW w:w="1355" w:type="dxa"/>
            <w:tcBorders>
              <w:bottom w:val="single" w:sz="4" w:space="0" w:color="auto"/>
            </w:tcBorders>
          </w:tcPr>
          <w:p w14:paraId="12137820"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Total (N=107)</w:t>
            </w:r>
          </w:p>
        </w:tc>
      </w:tr>
      <w:tr w:rsidR="008047AE" w:rsidRPr="00D30537" w14:paraId="33B9EF01" w14:textId="77777777" w:rsidTr="00653B48">
        <w:tc>
          <w:tcPr>
            <w:tcW w:w="9016" w:type="dxa"/>
            <w:gridSpan w:val="6"/>
            <w:tcBorders>
              <w:bottom w:val="single" w:sz="4" w:space="0" w:color="auto"/>
            </w:tcBorders>
          </w:tcPr>
          <w:p w14:paraId="25FB4605" w14:textId="77777777" w:rsidR="008047AE" w:rsidRPr="00D30537" w:rsidRDefault="008047AE" w:rsidP="00653B48">
            <w:pPr>
              <w:keepNext/>
              <w:keepLines/>
              <w:rPr>
                <w:rFonts w:ascii="Arial Narrow" w:hAnsi="Arial Narrow"/>
                <w:sz w:val="20"/>
                <w:szCs w:val="20"/>
                <w:vertAlign w:val="superscript"/>
              </w:rPr>
            </w:pPr>
            <w:r w:rsidRPr="00D30537">
              <w:rPr>
                <w:rFonts w:ascii="Arial Narrow" w:hAnsi="Arial Narrow"/>
                <w:sz w:val="20"/>
                <w:szCs w:val="20"/>
              </w:rPr>
              <w:t xml:space="preserve">Best overall response, n (%) </w:t>
            </w:r>
          </w:p>
        </w:tc>
      </w:tr>
      <w:tr w:rsidR="008047AE" w:rsidRPr="00D30537" w14:paraId="456A6A7C" w14:textId="77777777" w:rsidTr="00653B48">
        <w:tc>
          <w:tcPr>
            <w:tcW w:w="2245" w:type="dxa"/>
            <w:tcBorders>
              <w:top w:val="single" w:sz="4" w:space="0" w:color="auto"/>
              <w:bottom w:val="single" w:sz="4" w:space="0" w:color="auto"/>
            </w:tcBorders>
          </w:tcPr>
          <w:p w14:paraId="7F12D43F"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CR</w:t>
            </w:r>
          </w:p>
        </w:tc>
        <w:tc>
          <w:tcPr>
            <w:tcW w:w="1354" w:type="dxa"/>
            <w:tcBorders>
              <w:top w:val="single" w:sz="4" w:space="0" w:color="auto"/>
              <w:bottom w:val="single" w:sz="4" w:space="0" w:color="auto"/>
            </w:tcBorders>
          </w:tcPr>
          <w:p w14:paraId="106581C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(30.0)</w:t>
            </w:r>
          </w:p>
        </w:tc>
        <w:tc>
          <w:tcPr>
            <w:tcW w:w="1354" w:type="dxa"/>
            <w:tcBorders>
              <w:top w:val="single" w:sz="4" w:space="0" w:color="auto"/>
              <w:bottom w:val="single" w:sz="4" w:space="0" w:color="auto"/>
            </w:tcBorders>
          </w:tcPr>
          <w:p w14:paraId="212F8F2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 (16.5)</w:t>
            </w:r>
          </w:p>
        </w:tc>
        <w:tc>
          <w:tcPr>
            <w:tcW w:w="1354" w:type="dxa"/>
            <w:tcBorders>
              <w:top w:val="single" w:sz="4" w:space="0" w:color="auto"/>
              <w:bottom w:val="single" w:sz="4" w:space="0" w:color="auto"/>
            </w:tcBorders>
          </w:tcPr>
          <w:p w14:paraId="38945E7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18 (17.8)</w:t>
            </w:r>
          </w:p>
        </w:tc>
        <w:tc>
          <w:tcPr>
            <w:tcW w:w="1354" w:type="dxa"/>
            <w:tcBorders>
              <w:top w:val="single" w:sz="4" w:space="0" w:color="auto"/>
              <w:bottom w:val="single" w:sz="4" w:space="0" w:color="auto"/>
            </w:tcBorders>
          </w:tcPr>
          <w:p w14:paraId="2EF86F5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 (16.7)</w:t>
            </w:r>
          </w:p>
        </w:tc>
        <w:tc>
          <w:tcPr>
            <w:tcW w:w="1355" w:type="dxa"/>
            <w:tcBorders>
              <w:top w:val="single" w:sz="4" w:space="0" w:color="auto"/>
              <w:bottom w:val="single" w:sz="4" w:space="0" w:color="auto"/>
            </w:tcBorders>
          </w:tcPr>
          <w:p w14:paraId="0BD354D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19 (17.8)</w:t>
            </w:r>
          </w:p>
        </w:tc>
      </w:tr>
      <w:tr w:rsidR="008047AE" w:rsidRPr="00D30537" w14:paraId="09B6CAC0" w14:textId="77777777" w:rsidTr="00653B48">
        <w:tc>
          <w:tcPr>
            <w:tcW w:w="2245" w:type="dxa"/>
            <w:tcBorders>
              <w:top w:val="single" w:sz="4" w:space="0" w:color="auto"/>
              <w:bottom w:val="single" w:sz="4" w:space="0" w:color="auto"/>
            </w:tcBorders>
          </w:tcPr>
          <w:p w14:paraId="1E840199"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PR</w:t>
            </w:r>
          </w:p>
        </w:tc>
        <w:tc>
          <w:tcPr>
            <w:tcW w:w="1354" w:type="dxa"/>
            <w:tcBorders>
              <w:top w:val="single" w:sz="4" w:space="0" w:color="auto"/>
              <w:bottom w:val="single" w:sz="4" w:space="0" w:color="auto"/>
            </w:tcBorders>
          </w:tcPr>
          <w:p w14:paraId="493E094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(30.0)</w:t>
            </w:r>
          </w:p>
        </w:tc>
        <w:tc>
          <w:tcPr>
            <w:tcW w:w="1354" w:type="dxa"/>
            <w:tcBorders>
              <w:top w:val="single" w:sz="4" w:space="0" w:color="auto"/>
              <w:bottom w:val="single" w:sz="4" w:space="0" w:color="auto"/>
            </w:tcBorders>
          </w:tcPr>
          <w:p w14:paraId="6BF783B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34 (37.4)</w:t>
            </w:r>
          </w:p>
        </w:tc>
        <w:tc>
          <w:tcPr>
            <w:tcW w:w="1354" w:type="dxa"/>
            <w:tcBorders>
              <w:top w:val="single" w:sz="4" w:space="0" w:color="auto"/>
              <w:bottom w:val="single" w:sz="4" w:space="0" w:color="auto"/>
            </w:tcBorders>
          </w:tcPr>
          <w:p w14:paraId="1185254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37 (36.6)</w:t>
            </w:r>
          </w:p>
        </w:tc>
        <w:tc>
          <w:tcPr>
            <w:tcW w:w="1354" w:type="dxa"/>
            <w:tcBorders>
              <w:top w:val="single" w:sz="4" w:space="0" w:color="auto"/>
              <w:bottom w:val="single" w:sz="4" w:space="0" w:color="auto"/>
            </w:tcBorders>
          </w:tcPr>
          <w:p w14:paraId="3BF2E862"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 (33.3)</w:t>
            </w:r>
          </w:p>
        </w:tc>
        <w:tc>
          <w:tcPr>
            <w:tcW w:w="1355" w:type="dxa"/>
            <w:tcBorders>
              <w:top w:val="single" w:sz="4" w:space="0" w:color="auto"/>
              <w:bottom w:val="single" w:sz="4" w:space="0" w:color="auto"/>
            </w:tcBorders>
          </w:tcPr>
          <w:p w14:paraId="70C9D32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39 (36.4)</w:t>
            </w:r>
          </w:p>
        </w:tc>
      </w:tr>
      <w:tr w:rsidR="008047AE" w:rsidRPr="00D30537" w14:paraId="41F7F417" w14:textId="77777777" w:rsidTr="00653B48">
        <w:tc>
          <w:tcPr>
            <w:tcW w:w="2245" w:type="dxa"/>
            <w:tcBorders>
              <w:top w:val="single" w:sz="4" w:space="0" w:color="auto"/>
              <w:bottom w:val="single" w:sz="4" w:space="0" w:color="auto"/>
            </w:tcBorders>
          </w:tcPr>
          <w:p w14:paraId="448CEF28"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SD</w:t>
            </w:r>
          </w:p>
        </w:tc>
        <w:tc>
          <w:tcPr>
            <w:tcW w:w="1354" w:type="dxa"/>
            <w:tcBorders>
              <w:top w:val="single" w:sz="4" w:space="0" w:color="auto"/>
              <w:bottom w:val="single" w:sz="4" w:space="0" w:color="auto"/>
            </w:tcBorders>
          </w:tcPr>
          <w:p w14:paraId="6DBFAF5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(30.0)</w:t>
            </w:r>
          </w:p>
        </w:tc>
        <w:tc>
          <w:tcPr>
            <w:tcW w:w="1354" w:type="dxa"/>
            <w:tcBorders>
              <w:top w:val="single" w:sz="4" w:space="0" w:color="auto"/>
              <w:bottom w:val="single" w:sz="4" w:space="0" w:color="auto"/>
            </w:tcBorders>
          </w:tcPr>
          <w:p w14:paraId="6DB68654"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12 (13.2)</w:t>
            </w:r>
          </w:p>
        </w:tc>
        <w:tc>
          <w:tcPr>
            <w:tcW w:w="1354" w:type="dxa"/>
            <w:tcBorders>
              <w:top w:val="single" w:sz="4" w:space="0" w:color="auto"/>
              <w:bottom w:val="single" w:sz="4" w:space="0" w:color="auto"/>
            </w:tcBorders>
          </w:tcPr>
          <w:p w14:paraId="0E4C29B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 (14.9)</w:t>
            </w:r>
          </w:p>
        </w:tc>
        <w:tc>
          <w:tcPr>
            <w:tcW w:w="1354" w:type="dxa"/>
            <w:tcBorders>
              <w:top w:val="single" w:sz="4" w:space="0" w:color="auto"/>
              <w:bottom w:val="single" w:sz="4" w:space="0" w:color="auto"/>
            </w:tcBorders>
          </w:tcPr>
          <w:p w14:paraId="1AEA472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5" w:type="dxa"/>
            <w:tcBorders>
              <w:top w:val="single" w:sz="4" w:space="0" w:color="auto"/>
              <w:bottom w:val="single" w:sz="4" w:space="0" w:color="auto"/>
            </w:tcBorders>
          </w:tcPr>
          <w:p w14:paraId="28B85094"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 (14.0)</w:t>
            </w:r>
          </w:p>
        </w:tc>
      </w:tr>
      <w:tr w:rsidR="008047AE" w:rsidRPr="00D30537" w14:paraId="780CC4A4" w14:textId="77777777" w:rsidTr="00653B48">
        <w:tc>
          <w:tcPr>
            <w:tcW w:w="2245" w:type="dxa"/>
            <w:tcBorders>
              <w:top w:val="single" w:sz="4" w:space="0" w:color="auto"/>
              <w:bottom w:val="single" w:sz="4" w:space="0" w:color="auto"/>
            </w:tcBorders>
          </w:tcPr>
          <w:p w14:paraId="605BE447"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PD</w:t>
            </w:r>
          </w:p>
        </w:tc>
        <w:tc>
          <w:tcPr>
            <w:tcW w:w="1354" w:type="dxa"/>
            <w:tcBorders>
              <w:top w:val="single" w:sz="4" w:space="0" w:color="auto"/>
              <w:bottom w:val="single" w:sz="4" w:space="0" w:color="auto"/>
            </w:tcBorders>
          </w:tcPr>
          <w:p w14:paraId="40517466"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 (10.0)</w:t>
            </w:r>
          </w:p>
        </w:tc>
        <w:tc>
          <w:tcPr>
            <w:tcW w:w="1354" w:type="dxa"/>
            <w:tcBorders>
              <w:top w:val="single" w:sz="4" w:space="0" w:color="auto"/>
              <w:bottom w:val="single" w:sz="4" w:space="0" w:color="auto"/>
            </w:tcBorders>
          </w:tcPr>
          <w:p w14:paraId="0FEB498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20 (22.0)</w:t>
            </w:r>
          </w:p>
        </w:tc>
        <w:tc>
          <w:tcPr>
            <w:tcW w:w="1354" w:type="dxa"/>
            <w:tcBorders>
              <w:top w:val="single" w:sz="4" w:space="0" w:color="auto"/>
              <w:bottom w:val="single" w:sz="4" w:space="0" w:color="auto"/>
            </w:tcBorders>
          </w:tcPr>
          <w:p w14:paraId="50702C56"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21 (20.8)</w:t>
            </w:r>
          </w:p>
        </w:tc>
        <w:tc>
          <w:tcPr>
            <w:tcW w:w="1354" w:type="dxa"/>
            <w:tcBorders>
              <w:top w:val="single" w:sz="4" w:space="0" w:color="auto"/>
              <w:bottom w:val="single" w:sz="4" w:space="0" w:color="auto"/>
            </w:tcBorders>
          </w:tcPr>
          <w:p w14:paraId="7A61C1D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5" w:type="dxa"/>
            <w:tcBorders>
              <w:top w:val="single" w:sz="4" w:space="0" w:color="auto"/>
              <w:bottom w:val="single" w:sz="4" w:space="0" w:color="auto"/>
            </w:tcBorders>
          </w:tcPr>
          <w:p w14:paraId="13567D2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21 (19.6)</w:t>
            </w:r>
          </w:p>
        </w:tc>
      </w:tr>
      <w:tr w:rsidR="008047AE" w:rsidRPr="00D30537" w14:paraId="2C4A72B2" w14:textId="77777777" w:rsidTr="00653B48">
        <w:tc>
          <w:tcPr>
            <w:tcW w:w="2245" w:type="dxa"/>
            <w:tcBorders>
              <w:top w:val="single" w:sz="4" w:space="0" w:color="auto"/>
              <w:bottom w:val="single" w:sz="4" w:space="0" w:color="auto"/>
            </w:tcBorders>
          </w:tcPr>
          <w:p w14:paraId="1CE0C89B"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Not evaluable</w:t>
            </w:r>
          </w:p>
        </w:tc>
        <w:tc>
          <w:tcPr>
            <w:tcW w:w="1354" w:type="dxa"/>
            <w:tcBorders>
              <w:top w:val="single" w:sz="4" w:space="0" w:color="auto"/>
              <w:bottom w:val="single" w:sz="4" w:space="0" w:color="auto"/>
            </w:tcBorders>
          </w:tcPr>
          <w:p w14:paraId="767CB40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29145D72"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0D51A8A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10C0823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 (33.3)</w:t>
            </w:r>
          </w:p>
        </w:tc>
        <w:tc>
          <w:tcPr>
            <w:tcW w:w="1355" w:type="dxa"/>
            <w:tcBorders>
              <w:top w:val="single" w:sz="4" w:space="0" w:color="auto"/>
              <w:bottom w:val="single" w:sz="4" w:space="0" w:color="auto"/>
            </w:tcBorders>
          </w:tcPr>
          <w:p w14:paraId="444F2BA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 (1.9)</w:t>
            </w:r>
          </w:p>
        </w:tc>
      </w:tr>
      <w:tr w:rsidR="008047AE" w:rsidRPr="00D30537" w14:paraId="68ED3F38" w14:textId="77777777" w:rsidTr="00653B48">
        <w:tc>
          <w:tcPr>
            <w:tcW w:w="2245" w:type="dxa"/>
            <w:tcBorders>
              <w:top w:val="single" w:sz="4" w:space="0" w:color="auto"/>
              <w:bottom w:val="single" w:sz="4" w:space="0" w:color="auto"/>
            </w:tcBorders>
          </w:tcPr>
          <w:p w14:paraId="3F1EE603"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Missing</w:t>
            </w:r>
          </w:p>
        </w:tc>
        <w:tc>
          <w:tcPr>
            <w:tcW w:w="1354" w:type="dxa"/>
            <w:tcBorders>
              <w:top w:val="single" w:sz="4" w:space="0" w:color="auto"/>
              <w:bottom w:val="single" w:sz="4" w:space="0" w:color="auto"/>
            </w:tcBorders>
          </w:tcPr>
          <w:p w14:paraId="1F6AE8A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 (0.0)</w:t>
            </w:r>
          </w:p>
        </w:tc>
        <w:tc>
          <w:tcPr>
            <w:tcW w:w="1354" w:type="dxa"/>
            <w:tcBorders>
              <w:top w:val="single" w:sz="4" w:space="0" w:color="auto"/>
              <w:bottom w:val="single" w:sz="4" w:space="0" w:color="auto"/>
            </w:tcBorders>
          </w:tcPr>
          <w:p w14:paraId="636BB67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10 (11.0)</w:t>
            </w:r>
          </w:p>
        </w:tc>
        <w:tc>
          <w:tcPr>
            <w:tcW w:w="1354" w:type="dxa"/>
            <w:tcBorders>
              <w:top w:val="single" w:sz="4" w:space="0" w:color="auto"/>
              <w:bottom w:val="single" w:sz="4" w:space="0" w:color="auto"/>
            </w:tcBorders>
          </w:tcPr>
          <w:p w14:paraId="3643D9B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10 (9.9)</w:t>
            </w:r>
          </w:p>
        </w:tc>
        <w:tc>
          <w:tcPr>
            <w:tcW w:w="1354" w:type="dxa"/>
            <w:tcBorders>
              <w:top w:val="single" w:sz="4" w:space="0" w:color="auto"/>
              <w:bottom w:val="single" w:sz="4" w:space="0" w:color="auto"/>
            </w:tcBorders>
          </w:tcPr>
          <w:p w14:paraId="6404C75A"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 (16.7)</w:t>
            </w:r>
          </w:p>
        </w:tc>
        <w:tc>
          <w:tcPr>
            <w:tcW w:w="1355" w:type="dxa"/>
            <w:tcBorders>
              <w:top w:val="single" w:sz="4" w:space="0" w:color="auto"/>
              <w:bottom w:val="single" w:sz="4" w:space="0" w:color="auto"/>
            </w:tcBorders>
          </w:tcPr>
          <w:p w14:paraId="2660C18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11 (10.3)</w:t>
            </w:r>
          </w:p>
        </w:tc>
      </w:tr>
      <w:tr w:rsidR="008047AE" w:rsidRPr="00D30537" w14:paraId="025116A1" w14:textId="77777777" w:rsidTr="00653B48">
        <w:tc>
          <w:tcPr>
            <w:tcW w:w="2245" w:type="dxa"/>
            <w:tcBorders>
              <w:bottom w:val="single" w:sz="4" w:space="0" w:color="auto"/>
            </w:tcBorders>
          </w:tcPr>
          <w:p w14:paraId="709F25C0"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ORR, n (%)</w:t>
            </w:r>
          </w:p>
        </w:tc>
        <w:tc>
          <w:tcPr>
            <w:tcW w:w="1354" w:type="dxa"/>
            <w:tcBorders>
              <w:bottom w:val="single" w:sz="4" w:space="0" w:color="auto"/>
            </w:tcBorders>
          </w:tcPr>
          <w:p w14:paraId="247831D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6 (60.0)</w:t>
            </w:r>
          </w:p>
        </w:tc>
        <w:tc>
          <w:tcPr>
            <w:tcW w:w="1354" w:type="dxa"/>
            <w:tcBorders>
              <w:bottom w:val="single" w:sz="4" w:space="0" w:color="auto"/>
            </w:tcBorders>
          </w:tcPr>
          <w:p w14:paraId="321D892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49 (53.8)</w:t>
            </w:r>
          </w:p>
        </w:tc>
        <w:tc>
          <w:tcPr>
            <w:tcW w:w="1354" w:type="dxa"/>
            <w:tcBorders>
              <w:bottom w:val="single" w:sz="4" w:space="0" w:color="auto"/>
            </w:tcBorders>
          </w:tcPr>
          <w:p w14:paraId="322495C2"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55 (54.5)</w:t>
            </w:r>
          </w:p>
        </w:tc>
        <w:tc>
          <w:tcPr>
            <w:tcW w:w="1354" w:type="dxa"/>
            <w:tcBorders>
              <w:bottom w:val="single" w:sz="4" w:space="0" w:color="auto"/>
            </w:tcBorders>
          </w:tcPr>
          <w:p w14:paraId="40920A7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3 (50.0)</w:t>
            </w:r>
          </w:p>
        </w:tc>
        <w:tc>
          <w:tcPr>
            <w:tcW w:w="1355" w:type="dxa"/>
            <w:tcBorders>
              <w:bottom w:val="single" w:sz="4" w:space="0" w:color="auto"/>
            </w:tcBorders>
          </w:tcPr>
          <w:p w14:paraId="3DA87303"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58 (54.2)</w:t>
            </w:r>
          </w:p>
        </w:tc>
      </w:tr>
      <w:tr w:rsidR="008047AE" w:rsidRPr="00D30537" w14:paraId="25D3D972" w14:textId="77777777" w:rsidTr="00653B48">
        <w:tc>
          <w:tcPr>
            <w:tcW w:w="2245" w:type="dxa"/>
            <w:tcBorders>
              <w:top w:val="single" w:sz="4" w:space="0" w:color="auto"/>
              <w:bottom w:val="single" w:sz="4" w:space="0" w:color="auto"/>
            </w:tcBorders>
          </w:tcPr>
          <w:p w14:paraId="7BDDDE79" w14:textId="77777777" w:rsidR="008047AE" w:rsidRPr="00D30537" w:rsidRDefault="008047AE" w:rsidP="00653B48">
            <w:pPr>
              <w:keepNext/>
              <w:keepLines/>
              <w:ind w:left="316"/>
              <w:rPr>
                <w:rFonts w:ascii="Arial Narrow" w:hAnsi="Arial Narrow"/>
                <w:sz w:val="20"/>
                <w:szCs w:val="20"/>
              </w:rPr>
            </w:pPr>
            <w:r w:rsidRPr="00D30537">
              <w:rPr>
                <w:rFonts w:ascii="Arial Narrow" w:hAnsi="Arial Narrow"/>
                <w:sz w:val="20"/>
                <w:szCs w:val="20"/>
              </w:rPr>
              <w:t>95% CI for ORR</w:t>
            </w:r>
          </w:p>
        </w:tc>
        <w:tc>
          <w:tcPr>
            <w:tcW w:w="1354" w:type="dxa"/>
            <w:tcBorders>
              <w:top w:val="single" w:sz="4" w:space="0" w:color="auto"/>
              <w:bottom w:val="single" w:sz="4" w:space="0" w:color="auto"/>
            </w:tcBorders>
          </w:tcPr>
          <w:p w14:paraId="09ACCCD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26.2, 87.8</w:t>
            </w:r>
          </w:p>
        </w:tc>
        <w:tc>
          <w:tcPr>
            <w:tcW w:w="1354" w:type="dxa"/>
            <w:tcBorders>
              <w:top w:val="single" w:sz="4" w:space="0" w:color="auto"/>
              <w:bottom w:val="single" w:sz="4" w:space="0" w:color="auto"/>
            </w:tcBorders>
          </w:tcPr>
          <w:p w14:paraId="4539ED8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43.1, 64.4</w:t>
            </w:r>
          </w:p>
        </w:tc>
        <w:tc>
          <w:tcPr>
            <w:tcW w:w="1354" w:type="dxa"/>
            <w:tcBorders>
              <w:top w:val="single" w:sz="4" w:space="0" w:color="auto"/>
              <w:bottom w:val="single" w:sz="4" w:space="0" w:color="auto"/>
            </w:tcBorders>
          </w:tcPr>
          <w:p w14:paraId="5A5B179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44.2, 64.4</w:t>
            </w:r>
          </w:p>
        </w:tc>
        <w:tc>
          <w:tcPr>
            <w:tcW w:w="1354" w:type="dxa"/>
            <w:tcBorders>
              <w:top w:val="single" w:sz="4" w:space="0" w:color="auto"/>
              <w:bottom w:val="single" w:sz="4" w:space="0" w:color="auto"/>
            </w:tcBorders>
          </w:tcPr>
          <w:p w14:paraId="73A4956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11.8, 88.2</w:t>
            </w:r>
          </w:p>
        </w:tc>
        <w:tc>
          <w:tcPr>
            <w:tcW w:w="1355" w:type="dxa"/>
            <w:tcBorders>
              <w:top w:val="single" w:sz="4" w:space="0" w:color="auto"/>
              <w:bottom w:val="single" w:sz="4" w:space="0" w:color="auto"/>
            </w:tcBorders>
          </w:tcPr>
          <w:p w14:paraId="0C048E4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44.3, 63.9</w:t>
            </w:r>
          </w:p>
        </w:tc>
      </w:tr>
    </w:tbl>
    <w:p w14:paraId="4ED97FAE" w14:textId="77777777" w:rsidR="00002937" w:rsidRPr="00D30537" w:rsidRDefault="00002937" w:rsidP="00002937">
      <w:pPr>
        <w:pStyle w:val="TableFigureFooter"/>
      </w:pPr>
      <w:r w:rsidRPr="00D30537">
        <w:t>Source: Table 36, p102 of the submission</w:t>
      </w:r>
    </w:p>
    <w:p w14:paraId="4B49AA1A" w14:textId="6B8E8AAA" w:rsidR="008047AE" w:rsidRPr="00D30537" w:rsidRDefault="008047AE" w:rsidP="008047AE">
      <w:pPr>
        <w:pStyle w:val="TableFigureFooter"/>
      </w:pPr>
      <w:r w:rsidRPr="00D30537">
        <w:t>CI = confidence interval; CR = complete response; DCR = disease control rate; ICR = Independent Central Review; ORR = objective response rate; PD = progressive disease; PR = partial response; SD = stable disease.</w:t>
      </w:r>
    </w:p>
    <w:p w14:paraId="25152D34" w14:textId="61CB72AC" w:rsidR="0007446C" w:rsidRPr="00D30537" w:rsidRDefault="0007446C" w:rsidP="00813528">
      <w:pPr>
        <w:pStyle w:val="3-BodyText"/>
        <w:ind w:left="709"/>
      </w:pPr>
      <w:r w:rsidRPr="00D30537">
        <w:t xml:space="preserve">The submission presented quality of life data using a Visual Analogue Scale (VAS) from the EQ-5D Five Level (EQ-5D-5L) and the Functional Assessment of Cancer Therapy – </w:t>
      </w:r>
      <w:r w:rsidRPr="00D30537">
        <w:lastRenderedPageBreak/>
        <w:t xml:space="preserve">Melanoma (FACT-M) questionnaires. </w:t>
      </w:r>
      <w:r w:rsidR="00C8625B" w:rsidRPr="00D30537">
        <w:t>Q</w:t>
      </w:r>
      <w:r w:rsidRPr="00D30537">
        <w:t xml:space="preserve">uality of life improved marginally throughout the </w:t>
      </w:r>
      <w:r w:rsidR="00361225" w:rsidRPr="00D30537">
        <w:rPr>
          <w:color w:val="000000" w:themeColor="text1"/>
        </w:rPr>
        <w:t xml:space="preserve">POD1UM-201 </w:t>
      </w:r>
      <w:r w:rsidRPr="00D30537">
        <w:t xml:space="preserve">study until end of treatment, where quality of life values </w:t>
      </w:r>
      <w:r w:rsidR="00C8625B" w:rsidRPr="00D30537">
        <w:t>fell</w:t>
      </w:r>
      <w:r w:rsidRPr="00D30537">
        <w:t xml:space="preserve"> below baseline levels. Th</w:t>
      </w:r>
      <w:r w:rsidR="00C8625B" w:rsidRPr="00D30537">
        <w:t>e submission</w:t>
      </w:r>
      <w:r w:rsidRPr="00D30537">
        <w:t xml:space="preserve"> claimed t</w:t>
      </w:r>
      <w:r w:rsidR="00C8625B" w:rsidRPr="00D30537">
        <w:t>his would</w:t>
      </w:r>
      <w:r w:rsidRPr="00D30537">
        <w:t xml:space="preserve"> be expected, given patients are likely to cease treatment once they have experienced progressed disease or intolerable toxicity. The submission did not utilise quality-of-life data from POD1UM-201 in the economic model</w:t>
      </w:r>
      <w:r w:rsidR="00C8625B" w:rsidRPr="00D30537">
        <w:t xml:space="preserve"> (see </w:t>
      </w:r>
      <w:r w:rsidR="00C8625B" w:rsidRPr="00D30537">
        <w:fldChar w:fldCharType="begin"/>
      </w:r>
      <w:r w:rsidR="00C8625B" w:rsidRPr="00D30537">
        <w:instrText xml:space="preserve"> REF _Ref205979245 \h  \* MERGEFORMAT </w:instrText>
      </w:r>
      <w:r w:rsidR="00C8625B" w:rsidRPr="00D30537">
        <w:fldChar w:fldCharType="separate"/>
      </w:r>
      <w:r w:rsidR="00652388" w:rsidRPr="00D30537">
        <w:t xml:space="preserve">Table </w:t>
      </w:r>
      <w:r w:rsidR="00652388">
        <w:t>10</w:t>
      </w:r>
      <w:r w:rsidR="00C8625B" w:rsidRPr="00D30537">
        <w:fldChar w:fldCharType="end"/>
      </w:r>
      <w:r w:rsidR="00C8625B" w:rsidRPr="00D30537">
        <w:t>).</w:t>
      </w:r>
    </w:p>
    <w:p w14:paraId="79B1AE1A" w14:textId="01D879C4" w:rsidR="00026202" w:rsidRPr="00D30537" w:rsidRDefault="00026202" w:rsidP="00813528">
      <w:pPr>
        <w:pStyle w:val="3-BodyText"/>
        <w:ind w:left="709"/>
      </w:pPr>
      <w:r w:rsidRPr="00D30537">
        <w:t xml:space="preserve">The </w:t>
      </w:r>
      <w:r w:rsidR="00893EAA" w:rsidRPr="00D30537">
        <w:t xml:space="preserve">unadjusted </w:t>
      </w:r>
      <w:r w:rsidRPr="00D30537">
        <w:t xml:space="preserve">unanchored indirect comparison for the outcomes of OS, PFS and ORR </w:t>
      </w:r>
      <w:r w:rsidR="005C6323" w:rsidRPr="00D30537">
        <w:t xml:space="preserve">in POD1UM-201 </w:t>
      </w:r>
      <w:r w:rsidR="00DF03AF" w:rsidRPr="00D30537">
        <w:t xml:space="preserve">(metastatic patients, n=91) </w:t>
      </w:r>
      <w:r w:rsidR="005C6323" w:rsidRPr="00D30537">
        <w:t xml:space="preserve">and JM200 Part B </w:t>
      </w:r>
      <w:r w:rsidRPr="00D30537">
        <w:t>are summarised in</w:t>
      </w:r>
      <w:r w:rsidR="005C6323" w:rsidRPr="00D30537">
        <w:t xml:space="preserve"> </w:t>
      </w:r>
      <w:r w:rsidR="005C6323" w:rsidRPr="00D30537">
        <w:fldChar w:fldCharType="begin"/>
      </w:r>
      <w:r w:rsidR="005C6323" w:rsidRPr="00D30537">
        <w:instrText xml:space="preserve"> REF _Ref207977069 \h </w:instrText>
      </w:r>
      <w:r w:rsidR="001A6486" w:rsidRPr="00D30537">
        <w:instrText xml:space="preserve"> \* MERGEFORMAT </w:instrText>
      </w:r>
      <w:r w:rsidR="005C6323" w:rsidRPr="00D30537">
        <w:fldChar w:fldCharType="separate"/>
      </w:r>
      <w:r w:rsidR="00652388" w:rsidRPr="00D30537">
        <w:t xml:space="preserve">Table </w:t>
      </w:r>
      <w:r w:rsidR="00652388">
        <w:t>6</w:t>
      </w:r>
      <w:r w:rsidR="005C6323" w:rsidRPr="00D30537">
        <w:fldChar w:fldCharType="end"/>
      </w:r>
      <w:r w:rsidRPr="00D30537">
        <w:t xml:space="preserve">. </w:t>
      </w:r>
    </w:p>
    <w:p w14:paraId="7C542BB2" w14:textId="534A239C" w:rsidR="00026202" w:rsidRPr="00D30537" w:rsidRDefault="00026202" w:rsidP="00B15780">
      <w:pPr>
        <w:pStyle w:val="Caption"/>
      </w:pPr>
      <w:bookmarkStart w:id="36" w:name="_Ref207977069"/>
      <w:r w:rsidRPr="00D30537">
        <w:t xml:space="preserve">Table </w:t>
      </w:r>
      <w:fldSimple w:instr=" SEQ Table \* ARABIC ">
        <w:r w:rsidR="00652388">
          <w:rPr>
            <w:noProof/>
          </w:rPr>
          <w:t>6</w:t>
        </w:r>
      </w:fldSimple>
      <w:bookmarkEnd w:id="36"/>
      <w:r w:rsidRPr="00D30537">
        <w:t>:</w:t>
      </w:r>
      <w:r w:rsidR="005C6323" w:rsidRPr="00D30537">
        <w:t xml:space="preserve"> </w:t>
      </w:r>
      <w:r w:rsidR="00E06CC0" w:rsidRPr="00D30537">
        <w:t xml:space="preserve">Unanchored </w:t>
      </w:r>
      <w:r w:rsidR="005C6323" w:rsidRPr="00D30537">
        <w:t>comparison of retifanlimab versus avelumab</w:t>
      </w:r>
    </w:p>
    <w:tbl>
      <w:tblPr>
        <w:tblStyle w:val="TableGrid"/>
        <w:tblW w:w="5000" w:type="pct"/>
        <w:tblLook w:val="04A0" w:firstRow="1" w:lastRow="0" w:firstColumn="1" w:lastColumn="0" w:noHBand="0" w:noVBand="1"/>
        <w:tblCaption w:val="Table 6: Unanchored comparison of retifanlimab versus avelumab"/>
      </w:tblPr>
      <w:tblGrid>
        <w:gridCol w:w="3821"/>
        <w:gridCol w:w="1701"/>
        <w:gridCol w:w="1701"/>
        <w:gridCol w:w="1794"/>
      </w:tblGrid>
      <w:tr w:rsidR="005C6323" w:rsidRPr="00D30537" w14:paraId="1301F19C" w14:textId="77777777" w:rsidTr="005C6323">
        <w:trPr>
          <w:trHeight w:val="336"/>
          <w:tblHeader/>
        </w:trPr>
        <w:tc>
          <w:tcPr>
            <w:tcW w:w="2119" w:type="pct"/>
          </w:tcPr>
          <w:p w14:paraId="2DF4D536" w14:textId="77777777" w:rsidR="005C6323" w:rsidRPr="00D30537" w:rsidRDefault="005C6323" w:rsidP="00B15780">
            <w:pPr>
              <w:keepNext/>
              <w:keepLines/>
              <w:rPr>
                <w:rFonts w:ascii="Arial Narrow" w:hAnsi="Arial Narrow"/>
                <w:bCs/>
                <w:sz w:val="20"/>
                <w:szCs w:val="20"/>
              </w:rPr>
            </w:pPr>
            <w:r w:rsidRPr="00D30537">
              <w:rPr>
                <w:rFonts w:ascii="Arial Narrow" w:hAnsi="Arial Narrow"/>
                <w:b/>
                <w:bCs/>
                <w:sz w:val="20"/>
                <w:szCs w:val="20"/>
              </w:rPr>
              <w:t>Study ID</w:t>
            </w:r>
          </w:p>
        </w:tc>
        <w:tc>
          <w:tcPr>
            <w:tcW w:w="943" w:type="pct"/>
            <w:vAlign w:val="center"/>
          </w:tcPr>
          <w:p w14:paraId="24A44379"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POD1UM-201</w:t>
            </w:r>
          </w:p>
        </w:tc>
        <w:tc>
          <w:tcPr>
            <w:tcW w:w="1938" w:type="pct"/>
            <w:gridSpan w:val="2"/>
            <w:vAlign w:val="center"/>
          </w:tcPr>
          <w:p w14:paraId="4CBD3E0A"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JM200 Part B</w:t>
            </w:r>
          </w:p>
        </w:tc>
      </w:tr>
      <w:tr w:rsidR="005C6323" w:rsidRPr="00D30537" w14:paraId="15F7F122" w14:textId="77777777" w:rsidTr="005C6323">
        <w:trPr>
          <w:trHeight w:val="336"/>
          <w:tblHeader/>
        </w:trPr>
        <w:tc>
          <w:tcPr>
            <w:tcW w:w="2119" w:type="pct"/>
          </w:tcPr>
          <w:p w14:paraId="4C9E9755" w14:textId="77777777" w:rsidR="005C6323" w:rsidRPr="00D30537" w:rsidRDefault="005C6323" w:rsidP="00B15780">
            <w:pPr>
              <w:keepNext/>
              <w:keepLines/>
              <w:rPr>
                <w:rFonts w:ascii="Arial Narrow" w:hAnsi="Arial Narrow"/>
                <w:bCs/>
                <w:sz w:val="20"/>
                <w:szCs w:val="20"/>
              </w:rPr>
            </w:pPr>
            <w:r w:rsidRPr="00D30537">
              <w:rPr>
                <w:rFonts w:ascii="Arial Narrow" w:hAnsi="Arial Narrow"/>
                <w:b/>
                <w:bCs/>
                <w:sz w:val="20"/>
                <w:szCs w:val="20"/>
              </w:rPr>
              <w:t>Treatment arm</w:t>
            </w:r>
          </w:p>
        </w:tc>
        <w:tc>
          <w:tcPr>
            <w:tcW w:w="943" w:type="pct"/>
            <w:vAlign w:val="center"/>
          </w:tcPr>
          <w:p w14:paraId="7B20716A"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Retifanlimab (N=91)</w:t>
            </w:r>
          </w:p>
        </w:tc>
        <w:tc>
          <w:tcPr>
            <w:tcW w:w="943" w:type="pct"/>
            <w:vAlign w:val="center"/>
          </w:tcPr>
          <w:p w14:paraId="26ABF209"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Avelumab (N=116)</w:t>
            </w:r>
          </w:p>
          <w:p w14:paraId="2D7106EE"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[primary analysis]</w:t>
            </w:r>
          </w:p>
        </w:tc>
        <w:tc>
          <w:tcPr>
            <w:tcW w:w="995" w:type="pct"/>
            <w:vAlign w:val="center"/>
          </w:tcPr>
          <w:p w14:paraId="6423B31F" w14:textId="77777777"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Avelumab (N=116)</w:t>
            </w:r>
          </w:p>
          <w:p w14:paraId="489BA439" w14:textId="4B2D36B2" w:rsidR="005C6323" w:rsidRPr="00D30537" w:rsidRDefault="005C6323" w:rsidP="00B15780">
            <w:pPr>
              <w:keepNext/>
              <w:keepLines/>
              <w:jc w:val="center"/>
              <w:rPr>
                <w:rFonts w:ascii="Arial Narrow" w:hAnsi="Arial Narrow"/>
                <w:bCs/>
                <w:sz w:val="20"/>
                <w:szCs w:val="20"/>
              </w:rPr>
            </w:pPr>
            <w:r w:rsidRPr="00D30537">
              <w:rPr>
                <w:rFonts w:ascii="Arial Narrow" w:hAnsi="Arial Narrow"/>
                <w:b/>
                <w:bCs/>
                <w:sz w:val="20"/>
                <w:szCs w:val="20"/>
              </w:rPr>
              <w:t>[updated OS]</w:t>
            </w:r>
          </w:p>
        </w:tc>
      </w:tr>
      <w:tr w:rsidR="005C6323" w:rsidRPr="00D30537" w14:paraId="2F3F1B9F" w14:textId="77777777">
        <w:tc>
          <w:tcPr>
            <w:tcW w:w="5000" w:type="pct"/>
            <w:gridSpan w:val="4"/>
          </w:tcPr>
          <w:p w14:paraId="63EA5155" w14:textId="77777777" w:rsidR="005C6323" w:rsidRPr="00D30537" w:rsidRDefault="005C6323" w:rsidP="00B15780">
            <w:pPr>
              <w:keepNext/>
              <w:keepLines/>
              <w:rPr>
                <w:rFonts w:ascii="Arial Narrow" w:hAnsi="Arial Narrow"/>
                <w:sz w:val="20"/>
                <w:szCs w:val="20"/>
              </w:rPr>
            </w:pPr>
            <w:r w:rsidRPr="00D30537">
              <w:rPr>
                <w:rFonts w:ascii="Arial Narrow" w:hAnsi="Arial Narrow"/>
                <w:b/>
                <w:bCs/>
                <w:sz w:val="20"/>
                <w:szCs w:val="20"/>
              </w:rPr>
              <w:t>Overall Survival</w:t>
            </w:r>
          </w:p>
        </w:tc>
      </w:tr>
      <w:tr w:rsidR="005C6323" w:rsidRPr="00D30537" w14:paraId="57EAE580" w14:textId="77777777" w:rsidTr="005C6323">
        <w:tc>
          <w:tcPr>
            <w:tcW w:w="2119" w:type="pct"/>
          </w:tcPr>
          <w:p w14:paraId="23137243"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follow-up, months</w:t>
            </w:r>
          </w:p>
        </w:tc>
        <w:tc>
          <w:tcPr>
            <w:tcW w:w="943" w:type="pct"/>
            <w:vAlign w:val="center"/>
          </w:tcPr>
          <w:p w14:paraId="3C13437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35.7</w:t>
            </w:r>
          </w:p>
        </w:tc>
        <w:tc>
          <w:tcPr>
            <w:tcW w:w="943" w:type="pct"/>
            <w:vAlign w:val="center"/>
          </w:tcPr>
          <w:p w14:paraId="4A0FFEE0"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21.2</w:t>
            </w:r>
          </w:p>
        </w:tc>
        <w:tc>
          <w:tcPr>
            <w:tcW w:w="995" w:type="pct"/>
            <w:vAlign w:val="center"/>
          </w:tcPr>
          <w:p w14:paraId="62B1BEA0"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54.3</w:t>
            </w:r>
          </w:p>
        </w:tc>
      </w:tr>
      <w:tr w:rsidR="005C6323" w:rsidRPr="00D30537" w14:paraId="243F6244" w14:textId="77777777" w:rsidTr="005C6323">
        <w:tc>
          <w:tcPr>
            <w:tcW w:w="2119" w:type="pct"/>
          </w:tcPr>
          <w:p w14:paraId="6973567C"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OS (months) (95% CI)</w:t>
            </w:r>
          </w:p>
        </w:tc>
        <w:tc>
          <w:tcPr>
            <w:tcW w:w="943" w:type="pct"/>
            <w:vAlign w:val="center"/>
          </w:tcPr>
          <w:p w14:paraId="08C9BDF9"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 (32.46, NE)</w:t>
            </w:r>
          </w:p>
        </w:tc>
        <w:tc>
          <w:tcPr>
            <w:tcW w:w="943" w:type="pct"/>
            <w:vAlign w:val="center"/>
          </w:tcPr>
          <w:p w14:paraId="3E89B4A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20.3 (12.4, NE)</w:t>
            </w:r>
          </w:p>
        </w:tc>
        <w:tc>
          <w:tcPr>
            <w:tcW w:w="995" w:type="pct"/>
            <w:vAlign w:val="center"/>
          </w:tcPr>
          <w:p w14:paraId="43E4312D"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20.3 (12.4, 42.0)</w:t>
            </w:r>
          </w:p>
        </w:tc>
      </w:tr>
      <w:tr w:rsidR="005C6323" w:rsidRPr="00D30537" w14:paraId="6967B117" w14:textId="77777777" w:rsidTr="005C6323">
        <w:tc>
          <w:tcPr>
            <w:tcW w:w="2119" w:type="pct"/>
          </w:tcPr>
          <w:p w14:paraId="2EA99928"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6 OS rate, % (95% CI)</w:t>
            </w:r>
          </w:p>
        </w:tc>
        <w:tc>
          <w:tcPr>
            <w:tcW w:w="943" w:type="pct"/>
            <w:vAlign w:val="center"/>
          </w:tcPr>
          <w:p w14:paraId="3B654DD3"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87 (78, 92)</w:t>
            </w:r>
          </w:p>
        </w:tc>
        <w:tc>
          <w:tcPr>
            <w:tcW w:w="943" w:type="pct"/>
            <w:vAlign w:val="center"/>
          </w:tcPr>
          <w:p w14:paraId="38677DA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75 (66, 82)</w:t>
            </w:r>
          </w:p>
        </w:tc>
        <w:tc>
          <w:tcPr>
            <w:tcW w:w="995" w:type="pct"/>
            <w:vAlign w:val="center"/>
          </w:tcPr>
          <w:p w14:paraId="754B6B7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75 (66, 82)</w:t>
            </w:r>
          </w:p>
        </w:tc>
      </w:tr>
      <w:tr w:rsidR="005C6323" w:rsidRPr="00D30537" w14:paraId="59FEA3A7" w14:textId="77777777" w:rsidTr="005C6323">
        <w:tc>
          <w:tcPr>
            <w:tcW w:w="2119" w:type="pct"/>
          </w:tcPr>
          <w:p w14:paraId="4A01A3FC"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12 OS rate, % (95% CI)</w:t>
            </w:r>
          </w:p>
        </w:tc>
        <w:tc>
          <w:tcPr>
            <w:tcW w:w="943" w:type="pct"/>
            <w:vAlign w:val="center"/>
          </w:tcPr>
          <w:p w14:paraId="3BFCD23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76 (66, 84)</w:t>
            </w:r>
          </w:p>
        </w:tc>
        <w:tc>
          <w:tcPr>
            <w:tcW w:w="943" w:type="pct"/>
            <w:vAlign w:val="center"/>
          </w:tcPr>
          <w:p w14:paraId="6D194F62"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60 (50, 68)</w:t>
            </w:r>
          </w:p>
        </w:tc>
        <w:tc>
          <w:tcPr>
            <w:tcW w:w="995" w:type="pct"/>
            <w:vAlign w:val="center"/>
          </w:tcPr>
          <w:p w14:paraId="7F0766C6"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60 (50, 68)</w:t>
            </w:r>
          </w:p>
        </w:tc>
      </w:tr>
      <w:tr w:rsidR="005C6323" w:rsidRPr="00D30537" w14:paraId="12C5ADEC" w14:textId="77777777" w:rsidTr="005C6323">
        <w:tc>
          <w:tcPr>
            <w:tcW w:w="2119" w:type="pct"/>
          </w:tcPr>
          <w:p w14:paraId="18D922E6"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24 OS rate, % (95% CI)</w:t>
            </w:r>
          </w:p>
        </w:tc>
        <w:tc>
          <w:tcPr>
            <w:tcW w:w="943" w:type="pct"/>
            <w:vAlign w:val="center"/>
          </w:tcPr>
          <w:p w14:paraId="5D1C943D"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65 (54, 74)</w:t>
            </w:r>
          </w:p>
        </w:tc>
        <w:tc>
          <w:tcPr>
            <w:tcW w:w="943" w:type="pct"/>
            <w:vAlign w:val="center"/>
          </w:tcPr>
          <w:p w14:paraId="2C6FDB54"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5A3DDFF5"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49 (40, 58)</w:t>
            </w:r>
          </w:p>
        </w:tc>
      </w:tr>
      <w:tr w:rsidR="005C6323" w:rsidRPr="00D30537" w14:paraId="16AB676B" w14:textId="77777777" w:rsidTr="005C6323">
        <w:tc>
          <w:tcPr>
            <w:tcW w:w="2119" w:type="pct"/>
          </w:tcPr>
          <w:p w14:paraId="44ADEA23"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36 OS rate, % (95% CI)</w:t>
            </w:r>
          </w:p>
        </w:tc>
        <w:tc>
          <w:tcPr>
            <w:tcW w:w="943" w:type="pct"/>
            <w:vAlign w:val="center"/>
          </w:tcPr>
          <w:p w14:paraId="5EFC0B6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60 (49, 70)</w:t>
            </w:r>
          </w:p>
        </w:tc>
        <w:tc>
          <w:tcPr>
            <w:tcW w:w="943" w:type="pct"/>
            <w:vAlign w:val="center"/>
          </w:tcPr>
          <w:p w14:paraId="064EE563"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1BC2AE74"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44 (34, 53)</w:t>
            </w:r>
          </w:p>
        </w:tc>
      </w:tr>
      <w:tr w:rsidR="005C6323" w:rsidRPr="00D30537" w14:paraId="150FF492" w14:textId="77777777" w:rsidTr="005C6323">
        <w:tc>
          <w:tcPr>
            <w:tcW w:w="2119" w:type="pct"/>
          </w:tcPr>
          <w:p w14:paraId="48AB2E17"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48 OS rate, % (95% CI)</w:t>
            </w:r>
          </w:p>
        </w:tc>
        <w:tc>
          <w:tcPr>
            <w:tcW w:w="943" w:type="pct"/>
            <w:vAlign w:val="center"/>
          </w:tcPr>
          <w:p w14:paraId="6A14075D"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55 (43, 66)</w:t>
            </w:r>
          </w:p>
        </w:tc>
        <w:tc>
          <w:tcPr>
            <w:tcW w:w="943" w:type="pct"/>
            <w:vAlign w:val="center"/>
          </w:tcPr>
          <w:p w14:paraId="1D6B60EA"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3B71BA9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38 (29, 47)</w:t>
            </w:r>
          </w:p>
        </w:tc>
      </w:tr>
      <w:tr w:rsidR="005C6323" w:rsidRPr="00D30537" w14:paraId="770ABDD6" w14:textId="77777777">
        <w:tc>
          <w:tcPr>
            <w:tcW w:w="5000" w:type="pct"/>
            <w:gridSpan w:val="4"/>
          </w:tcPr>
          <w:p w14:paraId="202643FB" w14:textId="77777777" w:rsidR="005C6323" w:rsidRPr="00D30537" w:rsidRDefault="005C6323" w:rsidP="00B15780">
            <w:pPr>
              <w:keepNext/>
              <w:keepLines/>
              <w:rPr>
                <w:rFonts w:ascii="Arial Narrow" w:hAnsi="Arial Narrow"/>
                <w:sz w:val="20"/>
                <w:szCs w:val="20"/>
              </w:rPr>
            </w:pPr>
            <w:r w:rsidRPr="00D30537">
              <w:rPr>
                <w:rFonts w:ascii="Arial Narrow" w:hAnsi="Arial Narrow"/>
                <w:b/>
                <w:bCs/>
                <w:sz w:val="20"/>
                <w:szCs w:val="20"/>
              </w:rPr>
              <w:t>Progression Free Survival</w:t>
            </w:r>
          </w:p>
        </w:tc>
      </w:tr>
      <w:tr w:rsidR="005C6323" w:rsidRPr="00D30537" w14:paraId="6E53AF10" w14:textId="77777777" w:rsidTr="005C6323">
        <w:tc>
          <w:tcPr>
            <w:tcW w:w="2119" w:type="pct"/>
          </w:tcPr>
          <w:p w14:paraId="7221A9C8"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PFS (months) (95% CI)</w:t>
            </w:r>
          </w:p>
        </w:tc>
        <w:tc>
          <w:tcPr>
            <w:tcW w:w="943" w:type="pct"/>
          </w:tcPr>
          <w:p w14:paraId="107B655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13.83 (6.74, 27.10)</w:t>
            </w:r>
          </w:p>
        </w:tc>
        <w:tc>
          <w:tcPr>
            <w:tcW w:w="943" w:type="pct"/>
          </w:tcPr>
          <w:p w14:paraId="68EC05B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4.1 (1.4, 6.1)</w:t>
            </w:r>
          </w:p>
        </w:tc>
        <w:tc>
          <w:tcPr>
            <w:tcW w:w="995" w:type="pct"/>
            <w:vAlign w:val="center"/>
          </w:tcPr>
          <w:p w14:paraId="41A4E78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77A7DC90" w14:textId="77777777" w:rsidTr="005C6323">
        <w:tc>
          <w:tcPr>
            <w:tcW w:w="2119" w:type="pct"/>
          </w:tcPr>
          <w:p w14:paraId="1B6FE469"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Median follow-up (range)</w:t>
            </w:r>
          </w:p>
        </w:tc>
        <w:tc>
          <w:tcPr>
            <w:tcW w:w="943" w:type="pct"/>
          </w:tcPr>
          <w:p w14:paraId="2E9A63B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9.0 (0.0, 57.1)</w:t>
            </w:r>
          </w:p>
        </w:tc>
        <w:tc>
          <w:tcPr>
            <w:tcW w:w="943" w:type="pct"/>
          </w:tcPr>
          <w:p w14:paraId="73EF4514"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c>
          <w:tcPr>
            <w:tcW w:w="995" w:type="pct"/>
            <w:vAlign w:val="center"/>
          </w:tcPr>
          <w:p w14:paraId="3D3A10E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1B6151B1" w14:textId="77777777" w:rsidTr="005C6323">
        <w:tc>
          <w:tcPr>
            <w:tcW w:w="2119" w:type="pct"/>
          </w:tcPr>
          <w:p w14:paraId="7DC56E4E"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6 PFS rate, % (95% CI)</w:t>
            </w:r>
          </w:p>
        </w:tc>
        <w:tc>
          <w:tcPr>
            <w:tcW w:w="943" w:type="pct"/>
          </w:tcPr>
          <w:p w14:paraId="1A25990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63 (52, 72)</w:t>
            </w:r>
          </w:p>
        </w:tc>
        <w:tc>
          <w:tcPr>
            <w:tcW w:w="943" w:type="pct"/>
          </w:tcPr>
          <w:p w14:paraId="2F6D6529"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41 (32, 50)</w:t>
            </w:r>
          </w:p>
        </w:tc>
        <w:tc>
          <w:tcPr>
            <w:tcW w:w="995" w:type="pct"/>
            <w:vAlign w:val="center"/>
          </w:tcPr>
          <w:p w14:paraId="12CE9CC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583B746B" w14:textId="77777777" w:rsidTr="005C6323">
        <w:tc>
          <w:tcPr>
            <w:tcW w:w="2119" w:type="pct"/>
          </w:tcPr>
          <w:p w14:paraId="7F87AD24"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Month 12 PFS rate, % (95% CI)</w:t>
            </w:r>
          </w:p>
        </w:tc>
        <w:tc>
          <w:tcPr>
            <w:tcW w:w="943" w:type="pct"/>
          </w:tcPr>
          <w:p w14:paraId="130A46FA"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51 (40, 62)</w:t>
            </w:r>
          </w:p>
        </w:tc>
        <w:tc>
          <w:tcPr>
            <w:tcW w:w="943" w:type="pct"/>
          </w:tcPr>
          <w:p w14:paraId="0C5192E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31 (23, 40)</w:t>
            </w:r>
          </w:p>
        </w:tc>
        <w:tc>
          <w:tcPr>
            <w:tcW w:w="995" w:type="pct"/>
            <w:vAlign w:val="center"/>
          </w:tcPr>
          <w:p w14:paraId="307D769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2E81C6F1" w14:textId="77777777" w:rsidTr="005C6323">
        <w:tc>
          <w:tcPr>
            <w:tcW w:w="2119" w:type="pct"/>
          </w:tcPr>
          <w:p w14:paraId="7BEE067B" w14:textId="77777777" w:rsidR="005C6323" w:rsidRPr="00D30537" w:rsidRDefault="005C6323" w:rsidP="00B15780">
            <w:pPr>
              <w:keepNext/>
              <w:keepLines/>
              <w:rPr>
                <w:rFonts w:ascii="Arial Narrow" w:hAnsi="Arial Narrow"/>
                <w:b/>
                <w:bCs/>
                <w:sz w:val="20"/>
                <w:szCs w:val="20"/>
              </w:rPr>
            </w:pPr>
            <w:r w:rsidRPr="00D30537">
              <w:rPr>
                <w:rFonts w:ascii="Arial Narrow" w:hAnsi="Arial Narrow"/>
                <w:b/>
                <w:bCs/>
                <w:sz w:val="20"/>
                <w:szCs w:val="20"/>
              </w:rPr>
              <w:t>Best overall response, n (%)</w:t>
            </w:r>
          </w:p>
        </w:tc>
        <w:tc>
          <w:tcPr>
            <w:tcW w:w="943" w:type="pct"/>
          </w:tcPr>
          <w:p w14:paraId="757BA62D" w14:textId="77777777" w:rsidR="005C6323" w:rsidRPr="00D30537" w:rsidRDefault="005C6323" w:rsidP="00B15780">
            <w:pPr>
              <w:keepNext/>
              <w:keepLines/>
              <w:jc w:val="center"/>
              <w:rPr>
                <w:rFonts w:ascii="Arial Narrow" w:hAnsi="Arial Narrow"/>
                <w:sz w:val="20"/>
                <w:szCs w:val="20"/>
              </w:rPr>
            </w:pPr>
          </w:p>
        </w:tc>
        <w:tc>
          <w:tcPr>
            <w:tcW w:w="943" w:type="pct"/>
          </w:tcPr>
          <w:p w14:paraId="23A2F22D" w14:textId="77777777" w:rsidR="005C6323" w:rsidRPr="00D30537" w:rsidRDefault="005C6323" w:rsidP="00B15780">
            <w:pPr>
              <w:keepNext/>
              <w:keepLines/>
              <w:jc w:val="center"/>
              <w:rPr>
                <w:rFonts w:ascii="Arial Narrow" w:hAnsi="Arial Narrow"/>
                <w:sz w:val="20"/>
                <w:szCs w:val="20"/>
              </w:rPr>
            </w:pPr>
          </w:p>
        </w:tc>
        <w:tc>
          <w:tcPr>
            <w:tcW w:w="995" w:type="pct"/>
            <w:vAlign w:val="center"/>
          </w:tcPr>
          <w:p w14:paraId="3D317C7E" w14:textId="77777777" w:rsidR="005C6323" w:rsidRPr="00D30537" w:rsidRDefault="005C6323" w:rsidP="00B15780">
            <w:pPr>
              <w:keepNext/>
              <w:keepLines/>
              <w:jc w:val="center"/>
              <w:rPr>
                <w:rFonts w:ascii="Arial Narrow" w:hAnsi="Arial Narrow"/>
                <w:sz w:val="20"/>
                <w:szCs w:val="20"/>
              </w:rPr>
            </w:pPr>
          </w:p>
        </w:tc>
      </w:tr>
      <w:tr w:rsidR="005C6323" w:rsidRPr="00D30537" w14:paraId="3836B332" w14:textId="77777777" w:rsidTr="005C6323">
        <w:tc>
          <w:tcPr>
            <w:tcW w:w="2119" w:type="pct"/>
          </w:tcPr>
          <w:p w14:paraId="43B9C4DF"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CR</w:t>
            </w:r>
          </w:p>
        </w:tc>
        <w:tc>
          <w:tcPr>
            <w:tcW w:w="943" w:type="pct"/>
          </w:tcPr>
          <w:p w14:paraId="48C2772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15 (16.5)</w:t>
            </w:r>
          </w:p>
        </w:tc>
        <w:tc>
          <w:tcPr>
            <w:tcW w:w="943" w:type="pct"/>
          </w:tcPr>
          <w:p w14:paraId="6760F7D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19 (16.4)</w:t>
            </w:r>
          </w:p>
        </w:tc>
        <w:tc>
          <w:tcPr>
            <w:tcW w:w="995" w:type="pct"/>
            <w:vAlign w:val="center"/>
          </w:tcPr>
          <w:p w14:paraId="0E10DE8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7FC2102C" w14:textId="77777777" w:rsidTr="005C6323">
        <w:tc>
          <w:tcPr>
            <w:tcW w:w="2119" w:type="pct"/>
          </w:tcPr>
          <w:p w14:paraId="25855530"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PR</w:t>
            </w:r>
          </w:p>
        </w:tc>
        <w:tc>
          <w:tcPr>
            <w:tcW w:w="943" w:type="pct"/>
          </w:tcPr>
          <w:p w14:paraId="0721EBFB"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34 (37.4)</w:t>
            </w:r>
          </w:p>
        </w:tc>
        <w:tc>
          <w:tcPr>
            <w:tcW w:w="943" w:type="pct"/>
          </w:tcPr>
          <w:p w14:paraId="3B66B1F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27 (23.3)</w:t>
            </w:r>
          </w:p>
        </w:tc>
        <w:tc>
          <w:tcPr>
            <w:tcW w:w="995" w:type="pct"/>
            <w:vAlign w:val="center"/>
          </w:tcPr>
          <w:p w14:paraId="6DC6D40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6943FE16" w14:textId="77777777" w:rsidTr="005C6323">
        <w:tc>
          <w:tcPr>
            <w:tcW w:w="2119" w:type="pct"/>
          </w:tcPr>
          <w:p w14:paraId="52F36830"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SD</w:t>
            </w:r>
          </w:p>
        </w:tc>
        <w:tc>
          <w:tcPr>
            <w:tcW w:w="943" w:type="pct"/>
          </w:tcPr>
          <w:p w14:paraId="5EF0CB2F"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12 (13.2)</w:t>
            </w:r>
          </w:p>
        </w:tc>
        <w:tc>
          <w:tcPr>
            <w:tcW w:w="943" w:type="pct"/>
          </w:tcPr>
          <w:p w14:paraId="56AFAA6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12 (10.3)</w:t>
            </w:r>
          </w:p>
        </w:tc>
        <w:tc>
          <w:tcPr>
            <w:tcW w:w="995" w:type="pct"/>
            <w:vAlign w:val="center"/>
          </w:tcPr>
          <w:p w14:paraId="2C2A2E6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77CE6DB0" w14:textId="77777777" w:rsidTr="005C6323">
        <w:tc>
          <w:tcPr>
            <w:tcW w:w="2119" w:type="pct"/>
          </w:tcPr>
          <w:p w14:paraId="707780CF"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PD</w:t>
            </w:r>
          </w:p>
        </w:tc>
        <w:tc>
          <w:tcPr>
            <w:tcW w:w="943" w:type="pct"/>
          </w:tcPr>
          <w:p w14:paraId="339577D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20 (22.0)</w:t>
            </w:r>
          </w:p>
        </w:tc>
        <w:tc>
          <w:tcPr>
            <w:tcW w:w="943" w:type="pct"/>
          </w:tcPr>
          <w:p w14:paraId="082349A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48 (41.4)</w:t>
            </w:r>
          </w:p>
        </w:tc>
        <w:tc>
          <w:tcPr>
            <w:tcW w:w="995" w:type="pct"/>
            <w:vAlign w:val="center"/>
          </w:tcPr>
          <w:p w14:paraId="4CCD3747"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3DE272A4" w14:textId="77777777" w:rsidTr="005C6323">
        <w:tc>
          <w:tcPr>
            <w:tcW w:w="2119" w:type="pct"/>
          </w:tcPr>
          <w:p w14:paraId="45530368"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Missing</w:t>
            </w:r>
          </w:p>
        </w:tc>
        <w:tc>
          <w:tcPr>
            <w:tcW w:w="943" w:type="pct"/>
          </w:tcPr>
          <w:p w14:paraId="1CB67A09"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10 (11.0)</w:t>
            </w:r>
          </w:p>
        </w:tc>
        <w:tc>
          <w:tcPr>
            <w:tcW w:w="943" w:type="pct"/>
          </w:tcPr>
          <w:p w14:paraId="1F74692A"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9 (7.8)</w:t>
            </w:r>
          </w:p>
        </w:tc>
        <w:tc>
          <w:tcPr>
            <w:tcW w:w="995" w:type="pct"/>
            <w:vAlign w:val="center"/>
          </w:tcPr>
          <w:p w14:paraId="4FF32515"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0FBBC863" w14:textId="77777777" w:rsidTr="005C6323">
        <w:tc>
          <w:tcPr>
            <w:tcW w:w="2119" w:type="pct"/>
          </w:tcPr>
          <w:p w14:paraId="3354D984" w14:textId="77777777" w:rsidR="005C6323" w:rsidRPr="00D30537" w:rsidRDefault="005C6323" w:rsidP="00B15780">
            <w:pPr>
              <w:keepNext/>
              <w:keepLines/>
              <w:rPr>
                <w:rFonts w:ascii="Arial Narrow" w:hAnsi="Arial Narrow"/>
                <w:b/>
                <w:bCs/>
                <w:sz w:val="20"/>
                <w:szCs w:val="20"/>
              </w:rPr>
            </w:pPr>
            <w:r w:rsidRPr="00D30537">
              <w:rPr>
                <w:rFonts w:ascii="Arial Narrow" w:hAnsi="Arial Narrow"/>
                <w:b/>
                <w:bCs/>
                <w:sz w:val="20"/>
                <w:szCs w:val="20"/>
              </w:rPr>
              <w:t>Objective response, n (%)</w:t>
            </w:r>
          </w:p>
        </w:tc>
        <w:tc>
          <w:tcPr>
            <w:tcW w:w="943" w:type="pct"/>
          </w:tcPr>
          <w:p w14:paraId="592971EC"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49 (53.8)</w:t>
            </w:r>
          </w:p>
        </w:tc>
        <w:tc>
          <w:tcPr>
            <w:tcW w:w="943" w:type="pct"/>
          </w:tcPr>
          <w:p w14:paraId="260443D3"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46 (39.7)</w:t>
            </w:r>
          </w:p>
        </w:tc>
        <w:tc>
          <w:tcPr>
            <w:tcW w:w="995" w:type="pct"/>
            <w:vAlign w:val="center"/>
          </w:tcPr>
          <w:p w14:paraId="0CAACE5F"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2F56693C" w14:textId="77777777" w:rsidTr="005C6323">
        <w:tc>
          <w:tcPr>
            <w:tcW w:w="2119" w:type="pct"/>
          </w:tcPr>
          <w:p w14:paraId="32034872" w14:textId="77777777" w:rsidR="005C6323" w:rsidRPr="00D30537" w:rsidRDefault="005C6323" w:rsidP="00B15780">
            <w:pPr>
              <w:keepNext/>
              <w:keepLines/>
              <w:ind w:left="174"/>
              <w:rPr>
                <w:rFonts w:ascii="Arial Narrow" w:hAnsi="Arial Narrow"/>
                <w:sz w:val="20"/>
                <w:szCs w:val="20"/>
              </w:rPr>
            </w:pPr>
            <w:r w:rsidRPr="00D30537">
              <w:rPr>
                <w:rFonts w:ascii="Arial Narrow" w:hAnsi="Arial Narrow"/>
                <w:sz w:val="20"/>
                <w:szCs w:val="20"/>
              </w:rPr>
              <w:t>95% CI for ORR</w:t>
            </w:r>
          </w:p>
        </w:tc>
        <w:tc>
          <w:tcPr>
            <w:tcW w:w="943" w:type="pct"/>
          </w:tcPr>
          <w:p w14:paraId="42FF0605"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43.1, 64.4</w:t>
            </w:r>
          </w:p>
        </w:tc>
        <w:tc>
          <w:tcPr>
            <w:tcW w:w="943" w:type="pct"/>
          </w:tcPr>
          <w:p w14:paraId="4C96C808"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30.7, 49.2</w:t>
            </w:r>
          </w:p>
        </w:tc>
        <w:tc>
          <w:tcPr>
            <w:tcW w:w="995" w:type="pct"/>
            <w:vAlign w:val="center"/>
          </w:tcPr>
          <w:p w14:paraId="4F84A90E"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r w:rsidR="005C6323" w:rsidRPr="00D30537" w14:paraId="5D3CA6AC" w14:textId="77777777" w:rsidTr="005C6323">
        <w:tc>
          <w:tcPr>
            <w:tcW w:w="2119" w:type="pct"/>
          </w:tcPr>
          <w:p w14:paraId="210FF2E6" w14:textId="77777777" w:rsidR="005C6323" w:rsidRPr="00D30537" w:rsidRDefault="005C6323" w:rsidP="00B15780">
            <w:pPr>
              <w:keepNext/>
              <w:keepLines/>
              <w:rPr>
                <w:rFonts w:ascii="Arial Narrow" w:hAnsi="Arial Narrow"/>
                <w:sz w:val="20"/>
                <w:szCs w:val="20"/>
              </w:rPr>
            </w:pPr>
            <w:r w:rsidRPr="00D30537">
              <w:rPr>
                <w:rFonts w:ascii="Arial Narrow" w:hAnsi="Arial Narrow"/>
                <w:sz w:val="20"/>
                <w:szCs w:val="20"/>
              </w:rPr>
              <w:t>Number (%) of participants who had a response</w:t>
            </w:r>
          </w:p>
        </w:tc>
        <w:tc>
          <w:tcPr>
            <w:tcW w:w="943" w:type="pct"/>
            <w:vAlign w:val="center"/>
          </w:tcPr>
          <w:p w14:paraId="7BE61BB2"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49 (53.8)</w:t>
            </w:r>
          </w:p>
        </w:tc>
        <w:tc>
          <w:tcPr>
            <w:tcW w:w="943" w:type="pct"/>
            <w:vAlign w:val="center"/>
          </w:tcPr>
          <w:p w14:paraId="45C17A11"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46 (39.7)</w:t>
            </w:r>
          </w:p>
        </w:tc>
        <w:tc>
          <w:tcPr>
            <w:tcW w:w="995" w:type="pct"/>
            <w:vAlign w:val="center"/>
          </w:tcPr>
          <w:p w14:paraId="2A74C880" w14:textId="77777777" w:rsidR="005C6323" w:rsidRPr="00D30537" w:rsidRDefault="005C6323" w:rsidP="00B15780">
            <w:pPr>
              <w:keepNext/>
              <w:keepLines/>
              <w:jc w:val="center"/>
              <w:rPr>
                <w:rFonts w:ascii="Arial Narrow" w:hAnsi="Arial Narrow"/>
                <w:sz w:val="20"/>
                <w:szCs w:val="20"/>
              </w:rPr>
            </w:pPr>
            <w:r w:rsidRPr="00D30537">
              <w:rPr>
                <w:rFonts w:ascii="Arial Narrow" w:hAnsi="Arial Narrow"/>
                <w:sz w:val="20"/>
                <w:szCs w:val="20"/>
              </w:rPr>
              <w:t>NR</w:t>
            </w:r>
          </w:p>
        </w:tc>
      </w:tr>
    </w:tbl>
    <w:p w14:paraId="749994CA" w14:textId="77777777" w:rsidR="005C6323" w:rsidRPr="00D30537" w:rsidRDefault="005C6323" w:rsidP="00B15780">
      <w:pPr>
        <w:pStyle w:val="TableFigureFooter"/>
        <w:keepNext/>
      </w:pPr>
      <w:r w:rsidRPr="00D30537">
        <w:t>Source: Tables 58 – 61, pp141-145 of the submission</w:t>
      </w:r>
    </w:p>
    <w:p w14:paraId="67AF4E98" w14:textId="0F4FA981" w:rsidR="00026202" w:rsidRPr="00D30537" w:rsidRDefault="005C6323" w:rsidP="00B15780">
      <w:pPr>
        <w:pStyle w:val="TableFigureFooter"/>
        <w:keepNext/>
      </w:pPr>
      <w:r w:rsidRPr="00D30537">
        <w:t>CI = confidence intervals; CR = complete response; DCR = disease control rate; NE = not estimable; NR = not reported; ORR = objective response rate; OS = overall survival; PD = progressed disease; PFS = progression-free survival; PR = partial response; SD = stable disease.</w:t>
      </w:r>
    </w:p>
    <w:p w14:paraId="02698571" w14:textId="1135061D" w:rsidR="00A014A5" w:rsidRPr="00BD28CA" w:rsidRDefault="00A014A5" w:rsidP="007F05CF">
      <w:pPr>
        <w:pStyle w:val="3-BodyText"/>
        <w:ind w:left="709"/>
        <w:rPr>
          <w:color w:val="0066FF"/>
        </w:rPr>
      </w:pPr>
      <w:bookmarkStart w:id="37" w:name="_Ref207982688"/>
      <w:r w:rsidRPr="00BD28CA">
        <w:rPr>
          <w:color w:val="000000" w:themeColor="text1"/>
        </w:rPr>
        <w:t xml:space="preserve">The </w:t>
      </w:r>
      <w:r w:rsidR="001A6486" w:rsidRPr="00BD28CA">
        <w:rPr>
          <w:color w:val="000000" w:themeColor="text1"/>
        </w:rPr>
        <w:t xml:space="preserve">evaluation </w:t>
      </w:r>
      <w:r w:rsidR="0091487C" w:rsidRPr="00BD28CA">
        <w:rPr>
          <w:color w:val="000000" w:themeColor="text1"/>
        </w:rPr>
        <w:t xml:space="preserve">and the ESC </w:t>
      </w:r>
      <w:r w:rsidR="00A8592B" w:rsidRPr="00BD28CA">
        <w:rPr>
          <w:color w:val="000000" w:themeColor="text1"/>
        </w:rPr>
        <w:t>considered that</w:t>
      </w:r>
      <w:r w:rsidR="001A6486" w:rsidRPr="00BD28CA">
        <w:rPr>
          <w:color w:val="000000" w:themeColor="text1"/>
        </w:rPr>
        <w:t xml:space="preserve"> the </w:t>
      </w:r>
      <w:r w:rsidRPr="00BD28CA">
        <w:rPr>
          <w:color w:val="000000" w:themeColor="text1"/>
        </w:rPr>
        <w:t xml:space="preserve">following differences in </w:t>
      </w:r>
      <w:r w:rsidR="00C8625B" w:rsidRPr="00BD28CA">
        <w:rPr>
          <w:color w:val="000000" w:themeColor="text1"/>
        </w:rPr>
        <w:t>trial and patient</w:t>
      </w:r>
      <w:r w:rsidRPr="00BD28CA">
        <w:rPr>
          <w:color w:val="000000" w:themeColor="text1"/>
        </w:rPr>
        <w:t xml:space="preserve"> characteristics</w:t>
      </w:r>
      <w:r w:rsidR="001A6486" w:rsidRPr="00BD28CA">
        <w:rPr>
          <w:color w:val="000000" w:themeColor="text1"/>
        </w:rPr>
        <w:t>,</w:t>
      </w:r>
      <w:r w:rsidR="001512A9" w:rsidRPr="00BD28CA">
        <w:rPr>
          <w:color w:val="000000" w:themeColor="text1"/>
        </w:rPr>
        <w:t xml:space="preserve"> </w:t>
      </w:r>
      <w:r w:rsidR="0091487C" w:rsidRPr="00BD28CA">
        <w:rPr>
          <w:color w:val="000000" w:themeColor="text1"/>
        </w:rPr>
        <w:t xml:space="preserve">would </w:t>
      </w:r>
      <w:r w:rsidR="001A5919" w:rsidRPr="00BD28CA">
        <w:rPr>
          <w:color w:val="000000" w:themeColor="text1"/>
        </w:rPr>
        <w:t xml:space="preserve">have </w:t>
      </w:r>
      <w:r w:rsidRPr="00BD28CA">
        <w:rPr>
          <w:color w:val="000000" w:themeColor="text1"/>
        </w:rPr>
        <w:t>favour</w:t>
      </w:r>
      <w:r w:rsidR="001A5919" w:rsidRPr="00BD28CA">
        <w:rPr>
          <w:color w:val="000000" w:themeColor="text1"/>
        </w:rPr>
        <w:t>ed</w:t>
      </w:r>
      <w:r w:rsidR="00403292" w:rsidRPr="00BD28CA">
        <w:rPr>
          <w:color w:val="000000" w:themeColor="text1"/>
        </w:rPr>
        <w:t xml:space="preserve"> </w:t>
      </w:r>
      <w:r w:rsidRPr="00BD28CA">
        <w:rPr>
          <w:color w:val="000000" w:themeColor="text1"/>
        </w:rPr>
        <w:t>retifanlimab</w:t>
      </w:r>
      <w:r w:rsidR="00403292" w:rsidRPr="00BD28CA">
        <w:rPr>
          <w:color w:val="000000" w:themeColor="text1"/>
        </w:rPr>
        <w:t xml:space="preserve"> in an indirect </w:t>
      </w:r>
      <w:r w:rsidR="00403292" w:rsidRPr="00BD28CA">
        <w:t>comparison</w:t>
      </w:r>
      <w:r w:rsidRPr="00BD28CA">
        <w:rPr>
          <w:color w:val="000000" w:themeColor="text1"/>
        </w:rPr>
        <w:t>:</w:t>
      </w:r>
      <w:bookmarkEnd w:id="37"/>
    </w:p>
    <w:p w14:paraId="7350773A" w14:textId="42116DDD" w:rsidR="00A014A5" w:rsidRPr="00D30537" w:rsidRDefault="00A014A5" w:rsidP="003D6682">
      <w:pPr>
        <w:pStyle w:val="3-BodyText"/>
        <w:numPr>
          <w:ilvl w:val="0"/>
          <w:numId w:val="15"/>
        </w:numPr>
        <w:ind w:left="1134"/>
        <w:rPr>
          <w:color w:val="000000" w:themeColor="text1"/>
        </w:rPr>
      </w:pPr>
      <w:r w:rsidRPr="00D30537">
        <w:rPr>
          <w:color w:val="000000" w:themeColor="text1"/>
        </w:rPr>
        <w:t>More patients treated with retifanlimab had an ECOG PS of 0 than those treated with avelumab (70.3% vs 62.1%, respectively), and therefore may be healthier on average;</w:t>
      </w:r>
    </w:p>
    <w:p w14:paraId="70FAE2C1" w14:textId="204EB059" w:rsidR="00A014A5" w:rsidRPr="00D30537" w:rsidRDefault="00A014A5" w:rsidP="003D6682">
      <w:pPr>
        <w:pStyle w:val="3-BodyText"/>
        <w:numPr>
          <w:ilvl w:val="0"/>
          <w:numId w:val="15"/>
        </w:numPr>
        <w:ind w:left="1134"/>
        <w:rPr>
          <w:color w:val="000000" w:themeColor="text1"/>
        </w:rPr>
      </w:pPr>
      <w:r w:rsidRPr="00D30537">
        <w:rPr>
          <w:color w:val="000000" w:themeColor="text1"/>
        </w:rPr>
        <w:t xml:space="preserve">More patients treated with retifanlimab recorded a positive </w:t>
      </w:r>
      <w:r w:rsidR="00DF03AF" w:rsidRPr="00D30537">
        <w:rPr>
          <w:color w:val="000000" w:themeColor="text1"/>
        </w:rPr>
        <w:t>Merkel cell polyomavirus (</w:t>
      </w:r>
      <w:r w:rsidRPr="00D30537">
        <w:rPr>
          <w:color w:val="000000" w:themeColor="text1"/>
        </w:rPr>
        <w:t>MCPyV</w:t>
      </w:r>
      <w:r w:rsidR="00DF03AF" w:rsidRPr="00D30537">
        <w:rPr>
          <w:color w:val="000000" w:themeColor="text1"/>
        </w:rPr>
        <w:t>)</w:t>
      </w:r>
      <w:r w:rsidRPr="00D30537">
        <w:rPr>
          <w:color w:val="000000" w:themeColor="text1"/>
        </w:rPr>
        <w:t xml:space="preserve"> status than in those treated with avelumab (72.5% vs 60.3%, respectively), and positive MCPyV status may be associated with improved </w:t>
      </w:r>
      <w:r w:rsidRPr="00D30537">
        <w:rPr>
          <w:color w:val="000000" w:themeColor="text1"/>
        </w:rPr>
        <w:lastRenderedPageBreak/>
        <w:t xml:space="preserve">survival, although </w:t>
      </w:r>
      <w:r w:rsidRPr="00D30537">
        <w:t>studies that have investigated the impact of MCPyV on OS are inconsistent, reporting either a positive correlation or no association</w:t>
      </w:r>
      <w:r w:rsidRPr="00D30537">
        <w:rPr>
          <w:rStyle w:val="FootnoteReference"/>
        </w:rPr>
        <w:footnoteReference w:id="11"/>
      </w:r>
      <w:r w:rsidRPr="00D30537">
        <w:t>; and</w:t>
      </w:r>
    </w:p>
    <w:p w14:paraId="4076E652" w14:textId="6FD1D33E" w:rsidR="00DF03AF" w:rsidRPr="00D30537" w:rsidRDefault="00A014A5" w:rsidP="003D6682">
      <w:pPr>
        <w:pStyle w:val="3-BodyText"/>
        <w:numPr>
          <w:ilvl w:val="0"/>
          <w:numId w:val="15"/>
        </w:numPr>
        <w:ind w:left="1134"/>
        <w:rPr>
          <w:color w:val="000000" w:themeColor="text1"/>
        </w:rPr>
      </w:pPr>
      <w:r w:rsidRPr="00D30537">
        <w:rPr>
          <w:color w:val="000000" w:themeColor="text1"/>
        </w:rPr>
        <w:t>Fewer patients treated with retifanlimab recorded visceral metastases at baseline than those treated with avelumab (31.9% vs 68.1%, respectively), which may suggest less severe disease at baseline.</w:t>
      </w:r>
      <w:r w:rsidR="00C81B1B" w:rsidRPr="00D30537">
        <w:rPr>
          <w:color w:val="000000" w:themeColor="text1"/>
        </w:rPr>
        <w:t xml:space="preserve"> </w:t>
      </w:r>
    </w:p>
    <w:p w14:paraId="1D0A0A35" w14:textId="1FD1269F" w:rsidR="00DF03AF" w:rsidRPr="00D30537" w:rsidRDefault="001D45CF" w:rsidP="007F05CF">
      <w:pPr>
        <w:pStyle w:val="3-BodyText"/>
        <w:ind w:left="709"/>
        <w:rPr>
          <w:color w:val="0066FF"/>
        </w:rPr>
      </w:pPr>
      <w:r w:rsidRPr="00D30537">
        <w:t xml:space="preserve">Two </w:t>
      </w:r>
      <w:r w:rsidR="00DF03AF" w:rsidRPr="00D30537">
        <w:t>MAIC</w:t>
      </w:r>
      <w:r w:rsidR="0027556E" w:rsidRPr="00D30537">
        <w:t>s</w:t>
      </w:r>
      <w:r w:rsidR="00DF03AF" w:rsidRPr="00D30537">
        <w:t xml:space="preserve"> </w:t>
      </w:r>
      <w:r w:rsidRPr="00D30537">
        <w:t xml:space="preserve">were </w:t>
      </w:r>
      <w:r w:rsidR="00DF03AF" w:rsidRPr="00D30537">
        <w:t>presented in the submission</w:t>
      </w:r>
      <w:r w:rsidR="00271EC3" w:rsidRPr="00D30537">
        <w:t xml:space="preserve"> (summarised in </w:t>
      </w:r>
      <w:r w:rsidR="00271EC3" w:rsidRPr="00D30537">
        <w:fldChar w:fldCharType="begin"/>
      </w:r>
      <w:r w:rsidR="00271EC3" w:rsidRPr="00D30537">
        <w:instrText xml:space="preserve"> REF _Ref205977966 \h </w:instrText>
      </w:r>
      <w:r w:rsidR="00271EC3" w:rsidRPr="00D30537">
        <w:fldChar w:fldCharType="separate"/>
      </w:r>
      <w:r w:rsidR="00652388" w:rsidRPr="00D30537">
        <w:t xml:space="preserve">Table </w:t>
      </w:r>
      <w:r w:rsidR="00652388">
        <w:rPr>
          <w:noProof/>
        </w:rPr>
        <w:t>7</w:t>
      </w:r>
      <w:r w:rsidR="00271EC3" w:rsidRPr="00D30537">
        <w:fldChar w:fldCharType="end"/>
      </w:r>
      <w:r w:rsidR="00271EC3" w:rsidRPr="00D30537">
        <w:t>)</w:t>
      </w:r>
      <w:r w:rsidRPr="00D30537">
        <w:t>.</w:t>
      </w:r>
      <w:r w:rsidR="00DF03AF" w:rsidRPr="00D30537">
        <w:t xml:space="preserve"> </w:t>
      </w:r>
      <w:r w:rsidRPr="00D30537">
        <w:t xml:space="preserve">These </w:t>
      </w:r>
      <w:r w:rsidR="00DF03AF" w:rsidRPr="00D30537">
        <w:t>w</w:t>
      </w:r>
      <w:r w:rsidR="0027556E" w:rsidRPr="00D30537">
        <w:t>ere</w:t>
      </w:r>
      <w:r w:rsidR="008F3A13" w:rsidRPr="00D30537">
        <w:t xml:space="preserve"> </w:t>
      </w:r>
      <w:r w:rsidR="00DF03AF" w:rsidRPr="00D30537">
        <w:t xml:space="preserve">constructed using individual patient data (IPD) from </w:t>
      </w:r>
      <w:r w:rsidR="00565457" w:rsidRPr="00D30537">
        <w:t xml:space="preserve">the </w:t>
      </w:r>
      <w:r w:rsidR="00DF03AF" w:rsidRPr="00D30537">
        <w:t>POD1UM-201 (chemotherapy naïve metastatic cohort n=91)</w:t>
      </w:r>
      <w:r w:rsidR="00565457" w:rsidRPr="00D30537">
        <w:t>,</w:t>
      </w:r>
      <w:r w:rsidR="00DF03AF" w:rsidRPr="00D30537">
        <w:t xml:space="preserve"> and aggregate data available for the JM200 Part B study</w:t>
      </w:r>
      <w:r w:rsidR="00271EC3" w:rsidRPr="00D30537">
        <w:t xml:space="preserve">, and </w:t>
      </w:r>
      <w:r w:rsidR="00DF03AF" w:rsidRPr="00D30537">
        <w:t>based on clinical expert opinion of prognostic factors or treatment effect modifiers in MCC</w:t>
      </w:r>
      <w:r w:rsidR="008A241A" w:rsidRPr="00D30537">
        <w:t>.</w:t>
      </w:r>
      <w:r w:rsidRPr="00D30537">
        <w:t xml:space="preserve"> </w:t>
      </w:r>
    </w:p>
    <w:p w14:paraId="12D560E0" w14:textId="68EE1D26" w:rsidR="002013A6" w:rsidRPr="00D30537" w:rsidRDefault="002013A6" w:rsidP="007F05CF">
      <w:pPr>
        <w:pStyle w:val="3-BodyText"/>
        <w:ind w:left="709"/>
      </w:pPr>
      <w:bookmarkStart w:id="38" w:name="_Ref216092731"/>
      <w:r w:rsidRPr="00D30537">
        <w:t>Other limitations to both the MAIC1 and MAIC2 analyses included:</w:t>
      </w:r>
      <w:bookmarkEnd w:id="38"/>
    </w:p>
    <w:p w14:paraId="1EF21B30" w14:textId="635D814E" w:rsidR="002013A6" w:rsidRPr="00D30537" w:rsidRDefault="002013A6" w:rsidP="003D6682">
      <w:pPr>
        <w:pStyle w:val="ListParagraph"/>
        <w:numPr>
          <w:ilvl w:val="0"/>
          <w:numId w:val="12"/>
        </w:numPr>
        <w:ind w:left="1134" w:hanging="425"/>
        <w:rPr>
          <w:rFonts w:eastAsiaTheme="minorHAnsi" w:cstheme="minorBidi"/>
          <w:snapToGrid/>
          <w:szCs w:val="22"/>
        </w:rPr>
      </w:pPr>
      <w:r w:rsidRPr="00D30537">
        <w:rPr>
          <w:rFonts w:eastAsiaTheme="minorHAnsi" w:cstheme="minorBidi"/>
          <w:snapToGrid/>
          <w:szCs w:val="22"/>
        </w:rPr>
        <w:t>It was not possible to adjust for all known prognostic factors and effect modifiers, as they were not available or there was insufficient overlap between study populations</w:t>
      </w:r>
      <w:r w:rsidR="00DF4A24">
        <w:rPr>
          <w:rFonts w:eastAsiaTheme="minorHAnsi" w:cstheme="minorBidi"/>
          <w:snapToGrid/>
          <w:szCs w:val="22"/>
        </w:rPr>
        <w:t>.</w:t>
      </w:r>
    </w:p>
    <w:p w14:paraId="4909C18D" w14:textId="2D60C0D4" w:rsidR="002013A6" w:rsidRPr="00D30537" w:rsidRDefault="002013A6" w:rsidP="003D6682">
      <w:pPr>
        <w:pStyle w:val="3-BodyText"/>
        <w:numPr>
          <w:ilvl w:val="0"/>
          <w:numId w:val="12"/>
        </w:numPr>
        <w:ind w:left="1134" w:hanging="425"/>
      </w:pPr>
      <w:r w:rsidRPr="00D30537">
        <w:t>Differences in follow-up time between studies may impact the results, particularly for time-to-event endpoints. Retifanlimab had longer follow-up for PFS, which could lead to more events being captured and potentially underestimate treatment benefit. In contrast, shorter OS follow-up in retifanlimab may result in fewer deaths being observed, possibly overestimating survival.</w:t>
      </w:r>
    </w:p>
    <w:p w14:paraId="74EF069C" w14:textId="39038A23" w:rsidR="00CF0A36" w:rsidRPr="00B01885" w:rsidRDefault="00E54A31" w:rsidP="003D6682">
      <w:pPr>
        <w:pStyle w:val="3-BodyText"/>
        <w:numPr>
          <w:ilvl w:val="0"/>
          <w:numId w:val="12"/>
        </w:numPr>
        <w:ind w:left="1134" w:hanging="425"/>
        <w:rPr>
          <w:color w:val="000000" w:themeColor="text1"/>
        </w:rPr>
      </w:pPr>
      <w:r w:rsidRPr="00D30537">
        <w:rPr>
          <w:color w:val="000000" w:themeColor="text1"/>
        </w:rPr>
        <w:t>The evaluation considered that s</w:t>
      </w:r>
      <w:r w:rsidR="008047AE" w:rsidRPr="00D30537">
        <w:rPr>
          <w:color w:val="000000" w:themeColor="text1"/>
        </w:rPr>
        <w:t>mall values for ESS</w:t>
      </w:r>
      <w:r w:rsidR="00E32287" w:rsidRPr="00D30537">
        <w:rPr>
          <w:color w:val="000000" w:themeColor="text1"/>
        </w:rPr>
        <w:t xml:space="preserve"> (after matching)</w:t>
      </w:r>
      <w:r w:rsidR="008047AE" w:rsidRPr="00D30537">
        <w:rPr>
          <w:color w:val="000000" w:themeColor="text1"/>
        </w:rPr>
        <w:t xml:space="preserve"> indicated that the weights are highly variable due to a lack of </w:t>
      </w:r>
      <w:r w:rsidR="00D447C2" w:rsidRPr="00D30537">
        <w:rPr>
          <w:color w:val="000000" w:themeColor="text1"/>
        </w:rPr>
        <w:t xml:space="preserve">patients </w:t>
      </w:r>
      <w:r w:rsidR="00270BF2" w:rsidRPr="00D30537">
        <w:t>available</w:t>
      </w:r>
      <w:r w:rsidR="00270BF2" w:rsidRPr="00D30537">
        <w:rPr>
          <w:color w:val="000000" w:themeColor="text1"/>
        </w:rPr>
        <w:t xml:space="preserve"> for matching</w:t>
      </w:r>
      <w:r w:rsidR="008047AE" w:rsidRPr="00D30537">
        <w:rPr>
          <w:color w:val="000000" w:themeColor="text1"/>
        </w:rPr>
        <w:t xml:space="preserve">, and so the MAIC estimates may </w:t>
      </w:r>
      <w:r w:rsidR="008047AE" w:rsidRPr="00B01885">
        <w:rPr>
          <w:color w:val="000000" w:themeColor="text1"/>
        </w:rPr>
        <w:t xml:space="preserve">be unstable. </w:t>
      </w:r>
      <w:r w:rsidR="00CF0A36" w:rsidRPr="00B01885">
        <w:rPr>
          <w:color w:val="000000" w:themeColor="text1"/>
        </w:rPr>
        <w:t>The MAIC 1 and MAIC 2 had an informational value of approximately 46% (4</w:t>
      </w:r>
      <w:r w:rsidR="002A5186" w:rsidRPr="00B01885">
        <w:rPr>
          <w:color w:val="000000" w:themeColor="text1"/>
        </w:rPr>
        <w:t>1</w:t>
      </w:r>
      <w:r w:rsidR="00CF0A36" w:rsidRPr="00B01885">
        <w:rPr>
          <w:color w:val="000000" w:themeColor="text1"/>
        </w:rPr>
        <w:t xml:space="preserve">/91) and 39.6% (36/91) respectively, which was less than half of the original POD1UM-201 study. </w:t>
      </w:r>
    </w:p>
    <w:p w14:paraId="0D31A52A" w14:textId="2B2A4DEC" w:rsidR="001512A9" w:rsidRPr="00BC331B" w:rsidRDefault="001512A9" w:rsidP="00D733D5">
      <w:pPr>
        <w:pStyle w:val="3-BodyText"/>
        <w:ind w:left="709"/>
        <w:rPr>
          <w:color w:val="0066FF"/>
        </w:rPr>
      </w:pPr>
      <w:r w:rsidRPr="00BC331B">
        <w:rPr>
          <w:color w:val="000000" w:themeColor="text1"/>
        </w:rPr>
        <w:t xml:space="preserve">The submission considered that given the median time since initial diagnosis was different between cohorts at baseline (retifanlimab: 4.2 months; </w:t>
      </w:r>
      <w:r w:rsidRPr="00BC331B">
        <w:t>avelumab</w:t>
      </w:r>
      <w:r w:rsidRPr="00BC331B">
        <w:rPr>
          <w:color w:val="000000" w:themeColor="text1"/>
        </w:rPr>
        <w:t xml:space="preserve">: 10.6 months), the MAIC 2 analysis was more comprehensive in adjusting for population differences </w:t>
      </w:r>
      <w:r w:rsidR="00E25B2B" w:rsidRPr="00BC331B">
        <w:rPr>
          <w:color w:val="000000" w:themeColor="text1"/>
        </w:rPr>
        <w:t xml:space="preserve">(as it included time since diagnosis as a </w:t>
      </w:r>
      <w:r w:rsidR="00E73F2D" w:rsidRPr="00BC331B">
        <w:rPr>
          <w:color w:val="000000" w:themeColor="text1"/>
        </w:rPr>
        <w:t xml:space="preserve">covariate) </w:t>
      </w:r>
      <w:r w:rsidRPr="00BC331B">
        <w:rPr>
          <w:color w:val="000000" w:themeColor="text1"/>
        </w:rPr>
        <w:t xml:space="preserve">and may be considered more informative. </w:t>
      </w:r>
    </w:p>
    <w:p w14:paraId="4FBF46B6" w14:textId="77777777" w:rsidR="00296507" w:rsidRPr="00D30537" w:rsidRDefault="00011B78" w:rsidP="00D733D5">
      <w:pPr>
        <w:pStyle w:val="3-BodyText"/>
        <w:ind w:left="709"/>
      </w:pPr>
      <w:bookmarkStart w:id="39" w:name="_Ref206441663"/>
      <w:r w:rsidRPr="00D30537">
        <w:t xml:space="preserve">The results for MAIC2 were more favourable </w:t>
      </w:r>
      <w:r w:rsidR="00560DA4" w:rsidRPr="00D30537">
        <w:t xml:space="preserve">for retifanlimab </w:t>
      </w:r>
      <w:r w:rsidRPr="00D30537">
        <w:t>than MAIC1, and resulted in substantial changes to the OS and PFS</w:t>
      </w:r>
      <w:r w:rsidR="00624AEC" w:rsidRPr="00D30537">
        <w:t>,</w:t>
      </w:r>
      <w:r w:rsidRPr="00D30537">
        <w:t xml:space="preserve"> which </w:t>
      </w:r>
      <w:r w:rsidR="00624AEC" w:rsidRPr="00D30537">
        <w:t xml:space="preserve">the evaluation considered </w:t>
      </w:r>
      <w:r w:rsidRPr="00D30537">
        <w:t>may not be appropriate given</w:t>
      </w:r>
      <w:r w:rsidR="00296507" w:rsidRPr="00D30537">
        <w:t>:</w:t>
      </w:r>
    </w:p>
    <w:p w14:paraId="77B965D6" w14:textId="45F39621" w:rsidR="00296507" w:rsidRPr="00D30537" w:rsidRDefault="00011B78" w:rsidP="003D6682">
      <w:pPr>
        <w:pStyle w:val="3-BodyText"/>
        <w:numPr>
          <w:ilvl w:val="0"/>
          <w:numId w:val="12"/>
        </w:numPr>
        <w:ind w:left="1134" w:hanging="425"/>
      </w:pPr>
      <w:r w:rsidRPr="00D30537">
        <w:t xml:space="preserve">the difference between MAIC1 and MAIC2 were ‘low priority’ covariates. </w:t>
      </w:r>
    </w:p>
    <w:p w14:paraId="3589FA48" w14:textId="759082C9" w:rsidR="00200582" w:rsidRPr="00B01885" w:rsidRDefault="00011B78" w:rsidP="003D6682">
      <w:pPr>
        <w:pStyle w:val="3-BodyText"/>
        <w:numPr>
          <w:ilvl w:val="0"/>
          <w:numId w:val="12"/>
        </w:numPr>
        <w:ind w:left="1134" w:hanging="425"/>
      </w:pPr>
      <w:r w:rsidRPr="00D30537">
        <w:t xml:space="preserve">adjustments made in MAIC1 suggested that the retifanlimab treatment effect was likely overestimated </w:t>
      </w:r>
      <w:r w:rsidR="0020507F" w:rsidRPr="00D30537">
        <w:t xml:space="preserve">compared to the unadjusted model </w:t>
      </w:r>
      <w:r w:rsidRPr="00D30537">
        <w:t xml:space="preserve">(i.e. PFS and OS hazard ratios (HRs) in MAIC1 was less favourable). However, MAIC2 adjustments </w:t>
      </w:r>
      <w:r w:rsidR="003218ED" w:rsidRPr="00D30537">
        <w:t>shifted</w:t>
      </w:r>
      <w:r w:rsidRPr="00D30537">
        <w:t xml:space="preserve"> results back into </w:t>
      </w:r>
      <w:r w:rsidRPr="00B01885">
        <w:t xml:space="preserve">favouring retifanlimab, with a substantial magnitude of change </w:t>
      </w:r>
      <w:r w:rsidRPr="00B01885">
        <w:lastRenderedPageBreak/>
        <w:t>in the point estimate (e.g. OS HR decreased from 0.8 to 0.689 and PFS HR decreased from 0.59 to 0.519 for MAIC1 and MAIC2, respectively</w:t>
      </w:r>
      <w:r w:rsidR="004759F0" w:rsidRPr="00B01885">
        <w:t xml:space="preserve">, though both MAICs reported an OS HR which included </w:t>
      </w:r>
      <w:r w:rsidR="00137B1B" w:rsidRPr="00B01885">
        <w:t>the</w:t>
      </w:r>
      <w:r w:rsidR="004759F0" w:rsidRPr="00B01885">
        <w:t xml:space="preserve"> null in the 95% CI, suggesting there was no difference between retifanlimab and avelumab for OS</w:t>
      </w:r>
      <w:r w:rsidRPr="00B01885">
        <w:t xml:space="preserve">). </w:t>
      </w:r>
    </w:p>
    <w:p w14:paraId="73E8199C" w14:textId="37E05E2F" w:rsidR="00011B78" w:rsidRPr="00D30537" w:rsidRDefault="00011B78" w:rsidP="003D6682">
      <w:pPr>
        <w:pStyle w:val="3-BodyText"/>
        <w:numPr>
          <w:ilvl w:val="0"/>
          <w:numId w:val="12"/>
        </w:numPr>
        <w:ind w:left="1134" w:hanging="425"/>
      </w:pPr>
      <w:r w:rsidRPr="00B01885">
        <w:t xml:space="preserve">the point estimate for MAIC2 PFS </w:t>
      </w:r>
      <w:r w:rsidR="00F23ADD" w:rsidRPr="00B01885">
        <w:t>hazard ratio (</w:t>
      </w:r>
      <w:r w:rsidRPr="00B01885">
        <w:t>HR</w:t>
      </w:r>
      <w:r w:rsidR="00F23ADD" w:rsidRPr="00B01885">
        <w:t xml:space="preserve">, </w:t>
      </w:r>
      <w:r w:rsidRPr="00B01885">
        <w:t>0.519) was more favourable for retifanlimab than the unadjusted model (0.535), which lacked</w:t>
      </w:r>
      <w:r w:rsidRPr="00D30537">
        <w:t xml:space="preserve"> face validity given the number of known differences in baseline characteristic between the two studies which were in favour of retifanlimab (e.g. younger with better average ECOG and less visceral metastasis) as confirmed by MAIC1.</w:t>
      </w:r>
      <w:bookmarkEnd w:id="39"/>
    </w:p>
    <w:p w14:paraId="2A2B74D4" w14:textId="374EC1BF" w:rsidR="00011B78" w:rsidRPr="00D30537" w:rsidRDefault="00011B78" w:rsidP="00D733D5">
      <w:pPr>
        <w:pStyle w:val="3-BodyText"/>
        <w:ind w:left="709"/>
        <w:rPr>
          <w:color w:val="000000" w:themeColor="text1"/>
        </w:rPr>
      </w:pPr>
      <w:bookmarkStart w:id="40" w:name="_Ref206441180"/>
      <w:r w:rsidRPr="00D30537">
        <w:t>T</w:t>
      </w:r>
      <w:r w:rsidR="00FA02E0" w:rsidRPr="00D30537">
        <w:t xml:space="preserve">he evaluation considered </w:t>
      </w:r>
      <w:r w:rsidR="00FA02E0" w:rsidRPr="00D30537">
        <w:rPr>
          <w:color w:val="000000" w:themeColor="text1"/>
        </w:rPr>
        <w:t>that t</w:t>
      </w:r>
      <w:r w:rsidRPr="00D30537">
        <w:rPr>
          <w:color w:val="000000" w:themeColor="text1"/>
        </w:rPr>
        <w:t>h</w:t>
      </w:r>
      <w:r w:rsidR="004F3269" w:rsidRPr="00D30537">
        <w:rPr>
          <w:color w:val="000000" w:themeColor="text1"/>
        </w:rPr>
        <w:t>e</w:t>
      </w:r>
      <w:r w:rsidRPr="00D30537">
        <w:rPr>
          <w:color w:val="000000" w:themeColor="text1"/>
        </w:rPr>
        <w:t xml:space="preserve"> result</w:t>
      </w:r>
      <w:r w:rsidR="004F3269" w:rsidRPr="00D30537">
        <w:rPr>
          <w:color w:val="000000" w:themeColor="text1"/>
        </w:rPr>
        <w:t>s</w:t>
      </w:r>
      <w:r w:rsidRPr="00D30537">
        <w:rPr>
          <w:color w:val="000000" w:themeColor="text1"/>
        </w:rPr>
        <w:t xml:space="preserve"> of MAIC2 was likely driven by the </w:t>
      </w:r>
      <w:r w:rsidRPr="00D30537">
        <w:t>subgroup</w:t>
      </w:r>
      <w:r w:rsidRPr="00D30537">
        <w:rPr>
          <w:color w:val="000000" w:themeColor="text1"/>
        </w:rPr>
        <w:t xml:space="preserve"> results of POD1UM-201</w:t>
      </w:r>
      <w:r w:rsidR="00021E2C" w:rsidRPr="00D30537">
        <w:rPr>
          <w:color w:val="000000" w:themeColor="text1"/>
        </w:rPr>
        <w:t xml:space="preserve"> for race</w:t>
      </w:r>
      <w:r w:rsidR="00B02E62" w:rsidRPr="00D30537">
        <w:rPr>
          <w:color w:val="000000" w:themeColor="text1"/>
        </w:rPr>
        <w:t>.</w:t>
      </w:r>
      <w:r w:rsidRPr="00D30537">
        <w:rPr>
          <w:color w:val="000000" w:themeColor="text1"/>
        </w:rPr>
        <w:t xml:space="preserve"> </w:t>
      </w:r>
      <w:r w:rsidR="00021E2C" w:rsidRPr="00D30537">
        <w:rPr>
          <w:color w:val="000000" w:themeColor="text1"/>
        </w:rPr>
        <w:t>P</w:t>
      </w:r>
      <w:r w:rsidRPr="00D30537">
        <w:rPr>
          <w:color w:val="000000" w:themeColor="text1"/>
        </w:rPr>
        <w:t xml:space="preserve">atients with race classified as ‘others’ (n=23) had substantially better ORR </w:t>
      </w:r>
      <w:r w:rsidR="00B378E4" w:rsidRPr="00D30537">
        <w:rPr>
          <w:color w:val="000000" w:themeColor="text1"/>
        </w:rPr>
        <w:t>(</w:t>
      </w:r>
      <w:r w:rsidR="00394217" w:rsidRPr="00D30537">
        <w:rPr>
          <w:color w:val="000000" w:themeColor="text1"/>
        </w:rPr>
        <w:t xml:space="preserve">69.6%, 95% CI 47.1, 86.8) </w:t>
      </w:r>
      <w:r w:rsidRPr="00D30537">
        <w:rPr>
          <w:color w:val="000000" w:themeColor="text1"/>
        </w:rPr>
        <w:t>than Caucasians (n=78)</w:t>
      </w:r>
      <w:r w:rsidR="00394217" w:rsidRPr="00D30537">
        <w:rPr>
          <w:color w:val="000000" w:themeColor="text1"/>
        </w:rPr>
        <w:t xml:space="preserve"> (</w:t>
      </w:r>
      <w:r w:rsidR="005F3294" w:rsidRPr="00D30537">
        <w:rPr>
          <w:color w:val="000000" w:themeColor="text1"/>
        </w:rPr>
        <w:t>50%, 95%CI 38.5, 61.5)</w:t>
      </w:r>
      <w:r w:rsidRPr="00D30537">
        <w:rPr>
          <w:color w:val="000000" w:themeColor="text1"/>
        </w:rPr>
        <w:t xml:space="preserve">, </w:t>
      </w:r>
      <w:r w:rsidR="00221310" w:rsidRPr="00D30537">
        <w:rPr>
          <w:color w:val="000000" w:themeColor="text1"/>
        </w:rPr>
        <w:t xml:space="preserve">and </w:t>
      </w:r>
      <w:r w:rsidRPr="00D30537">
        <w:rPr>
          <w:color w:val="000000" w:themeColor="text1"/>
        </w:rPr>
        <w:t>MAIC2 reduced the proportion of Caucasians relative to the base case</w:t>
      </w:r>
      <w:r w:rsidR="008436FE" w:rsidRPr="00D30537">
        <w:rPr>
          <w:color w:val="000000" w:themeColor="text1"/>
        </w:rPr>
        <w:t xml:space="preserve"> </w:t>
      </w:r>
      <w:r w:rsidR="00DE534E" w:rsidRPr="00D30537">
        <w:rPr>
          <w:color w:val="000000" w:themeColor="text1"/>
        </w:rPr>
        <w:t>(from 81.3% to 64.7%)</w:t>
      </w:r>
      <w:r w:rsidRPr="00D30537">
        <w:rPr>
          <w:color w:val="000000" w:themeColor="text1"/>
        </w:rPr>
        <w:t>, which improved the efficacy of retifanlimab. However</w:t>
      </w:r>
      <w:r w:rsidR="002E5E8C" w:rsidRPr="00D30537">
        <w:rPr>
          <w:color w:val="000000" w:themeColor="text1"/>
        </w:rPr>
        <w:t>,</w:t>
      </w:r>
      <w:r w:rsidRPr="00D30537">
        <w:rPr>
          <w:color w:val="000000" w:themeColor="text1"/>
        </w:rPr>
        <w:t xml:space="preserve"> there was insufficient evidence to suggest that race was a treatment effect modifier.</w:t>
      </w:r>
      <w:bookmarkEnd w:id="40"/>
    </w:p>
    <w:p w14:paraId="47FC96B0" w14:textId="5E7F12FC" w:rsidR="008047AE" w:rsidRPr="00D30537" w:rsidRDefault="005145F3" w:rsidP="00D733D5">
      <w:pPr>
        <w:pStyle w:val="3-BodyText"/>
        <w:ind w:left="709"/>
        <w:rPr>
          <w:color w:val="000000" w:themeColor="text1"/>
        </w:rPr>
      </w:pPr>
      <w:r w:rsidRPr="00D30537">
        <w:t>Methodology</w:t>
      </w:r>
      <w:r w:rsidRPr="00D30537">
        <w:rPr>
          <w:color w:val="000000" w:themeColor="text1"/>
        </w:rPr>
        <w:t xml:space="preserve"> for the </w:t>
      </w:r>
      <w:r w:rsidR="008047AE" w:rsidRPr="00D30537">
        <w:rPr>
          <w:color w:val="000000" w:themeColor="text1"/>
        </w:rPr>
        <w:t>PAIC of avelumab and retifanlimab (Kearney 2025</w:t>
      </w:r>
      <w:r w:rsidRPr="00D30537">
        <w:rPr>
          <w:color w:val="000000" w:themeColor="text1"/>
        </w:rPr>
        <w:t xml:space="preserve"> – see paragraph </w:t>
      </w:r>
      <w:r w:rsidR="0060065C" w:rsidRPr="00D30537">
        <w:rPr>
          <w:color w:val="000000" w:themeColor="text1"/>
        </w:rPr>
        <w:fldChar w:fldCharType="begin"/>
      </w:r>
      <w:r w:rsidR="0060065C" w:rsidRPr="00D30537">
        <w:rPr>
          <w:color w:val="000000" w:themeColor="text1"/>
        </w:rPr>
        <w:instrText xml:space="preserve"> REF _Ref209438225 \r \h </w:instrText>
      </w:r>
      <w:r w:rsidR="00A3410A" w:rsidRPr="00D30537">
        <w:rPr>
          <w:color w:val="000000" w:themeColor="text1"/>
        </w:rPr>
        <w:instrText xml:space="preserve"> \* MERGEFORMAT </w:instrText>
      </w:r>
      <w:r w:rsidR="0060065C" w:rsidRPr="00D30537">
        <w:rPr>
          <w:color w:val="000000" w:themeColor="text1"/>
        </w:rPr>
      </w:r>
      <w:r w:rsidR="0060065C" w:rsidRPr="00D30537">
        <w:rPr>
          <w:color w:val="000000" w:themeColor="text1"/>
        </w:rPr>
        <w:fldChar w:fldCharType="separate"/>
      </w:r>
      <w:r w:rsidR="008D62D0">
        <w:rPr>
          <w:color w:val="000000" w:themeColor="text1"/>
        </w:rPr>
        <w:t>6.10</w:t>
      </w:r>
      <w:r w:rsidR="0060065C" w:rsidRPr="00D30537">
        <w:rPr>
          <w:color w:val="000000" w:themeColor="text1"/>
        </w:rPr>
        <w:fldChar w:fldCharType="end"/>
      </w:r>
      <w:r w:rsidR="008047AE" w:rsidRPr="00D30537">
        <w:rPr>
          <w:color w:val="000000" w:themeColor="text1"/>
        </w:rPr>
        <w:t xml:space="preserve">) </w:t>
      </w:r>
      <w:r w:rsidR="00692749" w:rsidRPr="00D30537">
        <w:rPr>
          <w:color w:val="000000" w:themeColor="text1"/>
        </w:rPr>
        <w:t>could not be assessed fully</w:t>
      </w:r>
      <w:r w:rsidR="002A481B" w:rsidRPr="00D30537">
        <w:rPr>
          <w:color w:val="000000" w:themeColor="text1"/>
        </w:rPr>
        <w:t xml:space="preserve"> due to </w:t>
      </w:r>
      <w:r w:rsidR="00E877C6" w:rsidRPr="00D30537">
        <w:rPr>
          <w:color w:val="000000" w:themeColor="text1"/>
        </w:rPr>
        <w:t>availability as a conference abstract only</w:t>
      </w:r>
      <w:r w:rsidR="00692749" w:rsidRPr="00D30537">
        <w:rPr>
          <w:color w:val="000000" w:themeColor="text1"/>
        </w:rPr>
        <w:t>.</w:t>
      </w:r>
      <w:r w:rsidR="008047AE" w:rsidRPr="00D30537">
        <w:rPr>
          <w:color w:val="000000" w:themeColor="text1"/>
        </w:rPr>
        <w:t xml:space="preserve"> </w:t>
      </w:r>
      <w:r w:rsidR="008047AE" w:rsidRPr="00D30537">
        <w:rPr>
          <w:color w:val="000000" w:themeColor="text1"/>
          <w:highlight w:val="green"/>
        </w:rPr>
        <w:fldChar w:fldCharType="begin"/>
      </w:r>
      <w:r w:rsidR="008047AE" w:rsidRPr="00D30537">
        <w:rPr>
          <w:color w:val="000000" w:themeColor="text1"/>
        </w:rPr>
        <w:instrText xml:space="preserve"> REF _Ref205977966 \h </w:instrText>
      </w:r>
      <w:r w:rsidR="008047AE" w:rsidRPr="00D30537">
        <w:rPr>
          <w:color w:val="000000" w:themeColor="text1"/>
          <w:highlight w:val="green"/>
        </w:rPr>
        <w:instrText xml:space="preserve"> \* MERGEFORMAT </w:instrText>
      </w:r>
      <w:r w:rsidR="008047AE" w:rsidRPr="00D30537">
        <w:rPr>
          <w:color w:val="000000" w:themeColor="text1"/>
          <w:highlight w:val="green"/>
        </w:rPr>
      </w:r>
      <w:r w:rsidR="008047AE" w:rsidRPr="00D30537">
        <w:rPr>
          <w:color w:val="000000" w:themeColor="text1"/>
          <w:highlight w:val="green"/>
        </w:rPr>
        <w:fldChar w:fldCharType="separate"/>
      </w:r>
      <w:r w:rsidR="00652388" w:rsidRPr="00D30537">
        <w:t xml:space="preserve">Table </w:t>
      </w:r>
      <w:r w:rsidR="00652388">
        <w:t>7</w:t>
      </w:r>
      <w:r w:rsidR="008047AE" w:rsidRPr="00D30537">
        <w:rPr>
          <w:color w:val="000000" w:themeColor="text1"/>
          <w:highlight w:val="green"/>
        </w:rPr>
        <w:fldChar w:fldCharType="end"/>
      </w:r>
      <w:r w:rsidR="008047AE" w:rsidRPr="00D30537">
        <w:rPr>
          <w:color w:val="000000" w:themeColor="text1"/>
        </w:rPr>
        <w:t xml:space="preserve"> summarises the key characteristics and </w:t>
      </w:r>
      <w:r w:rsidR="00403292" w:rsidRPr="00D30537">
        <w:rPr>
          <w:color w:val="000000" w:themeColor="text1"/>
        </w:rPr>
        <w:t>results</w:t>
      </w:r>
      <w:r w:rsidR="008047AE" w:rsidRPr="00D30537">
        <w:rPr>
          <w:color w:val="000000" w:themeColor="text1"/>
        </w:rPr>
        <w:t xml:space="preserve"> of the submission’s MAIC and Kearney 2025. </w:t>
      </w:r>
    </w:p>
    <w:p w14:paraId="402DAC63" w14:textId="26580CB2" w:rsidR="008047AE" w:rsidRPr="00D30537" w:rsidRDefault="008047AE" w:rsidP="008047AE">
      <w:pPr>
        <w:pStyle w:val="Caption"/>
      </w:pPr>
      <w:bookmarkStart w:id="41" w:name="_Ref205977966"/>
      <w:r w:rsidRPr="00D30537">
        <w:lastRenderedPageBreak/>
        <w:t xml:space="preserve">Table </w:t>
      </w:r>
      <w:fldSimple w:instr=" SEQ Table \* ARABIC ">
        <w:r w:rsidR="00652388">
          <w:rPr>
            <w:noProof/>
          </w:rPr>
          <w:t>7</w:t>
        </w:r>
      </w:fldSimple>
      <w:bookmarkEnd w:id="41"/>
      <w:r w:rsidRPr="00D30537">
        <w:t>: Key characteristics and results of the</w:t>
      </w:r>
      <w:r w:rsidR="000F1074" w:rsidRPr="00D30537">
        <w:t xml:space="preserve"> submission’s</w:t>
      </w:r>
      <w:r w:rsidRPr="00D30537">
        <w:t xml:space="preserve"> MAIC</w:t>
      </w:r>
      <w:r w:rsidR="000F1074" w:rsidRPr="00D30537">
        <w:t>s</w:t>
      </w:r>
      <w:r w:rsidRPr="00D30537">
        <w:t xml:space="preserve"> and Kearney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7: Key characteristics and results of the submission’s MAICs and Kearney 2025"/>
      </w:tblPr>
      <w:tblGrid>
        <w:gridCol w:w="1301"/>
        <w:gridCol w:w="2805"/>
        <w:gridCol w:w="2410"/>
        <w:gridCol w:w="2501"/>
      </w:tblGrid>
      <w:tr w:rsidR="008047AE" w:rsidRPr="00D30537" w14:paraId="7F788913" w14:textId="77777777" w:rsidTr="00E969B3">
        <w:tc>
          <w:tcPr>
            <w:tcW w:w="1301" w:type="dxa"/>
            <w:vMerge w:val="restart"/>
            <w:tcMar>
              <w:top w:w="0" w:type="dxa"/>
              <w:left w:w="108" w:type="dxa"/>
              <w:bottom w:w="0" w:type="dxa"/>
              <w:right w:w="108" w:type="dxa"/>
            </w:tcMar>
            <w:vAlign w:val="center"/>
          </w:tcPr>
          <w:p w14:paraId="333B32A0" w14:textId="77777777" w:rsidR="008047AE" w:rsidRPr="00D30537" w:rsidRDefault="008047AE" w:rsidP="00CD23C9">
            <w:pPr>
              <w:keepNext/>
              <w:keepLines/>
              <w:jc w:val="left"/>
              <w:rPr>
                <w:rFonts w:ascii="Arial Narrow" w:hAnsi="Arial Narrow"/>
                <w:color w:val="000000" w:themeColor="text1"/>
                <w:sz w:val="20"/>
                <w:szCs w:val="20"/>
              </w:rPr>
            </w:pPr>
          </w:p>
        </w:tc>
        <w:tc>
          <w:tcPr>
            <w:tcW w:w="5215" w:type="dxa"/>
            <w:gridSpan w:val="2"/>
            <w:tcMar>
              <w:top w:w="0" w:type="dxa"/>
              <w:left w:w="108" w:type="dxa"/>
              <w:bottom w:w="0" w:type="dxa"/>
              <w:right w:w="108" w:type="dxa"/>
            </w:tcMar>
            <w:vAlign w:val="center"/>
            <w:hideMark/>
          </w:tcPr>
          <w:p w14:paraId="0111E3BE"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Current submission</w:t>
            </w:r>
          </w:p>
        </w:tc>
        <w:tc>
          <w:tcPr>
            <w:tcW w:w="2501" w:type="dxa"/>
            <w:tcMar>
              <w:top w:w="0" w:type="dxa"/>
              <w:left w:w="108" w:type="dxa"/>
              <w:bottom w:w="0" w:type="dxa"/>
              <w:right w:w="108" w:type="dxa"/>
            </w:tcMar>
            <w:vAlign w:val="center"/>
            <w:hideMark/>
          </w:tcPr>
          <w:p w14:paraId="265AABAB"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Kearney 2025</w:t>
            </w:r>
          </w:p>
        </w:tc>
      </w:tr>
      <w:tr w:rsidR="008047AE" w:rsidRPr="00D30537" w14:paraId="23F21BD3" w14:textId="77777777" w:rsidTr="00E969B3">
        <w:tc>
          <w:tcPr>
            <w:tcW w:w="1301" w:type="dxa"/>
            <w:vMerge/>
            <w:vAlign w:val="center"/>
            <w:hideMark/>
          </w:tcPr>
          <w:p w14:paraId="4E2F8DF5" w14:textId="77777777" w:rsidR="008047AE" w:rsidRPr="00D30537" w:rsidRDefault="008047AE" w:rsidP="00CD23C9">
            <w:pPr>
              <w:keepNext/>
              <w:keepLines/>
              <w:jc w:val="left"/>
              <w:rPr>
                <w:rFonts w:ascii="Arial Narrow" w:hAnsi="Arial Narrow"/>
                <w:color w:val="000000" w:themeColor="text1"/>
                <w:sz w:val="20"/>
                <w:szCs w:val="20"/>
              </w:rPr>
            </w:pPr>
          </w:p>
        </w:tc>
        <w:tc>
          <w:tcPr>
            <w:tcW w:w="2805" w:type="dxa"/>
            <w:tcMar>
              <w:top w:w="0" w:type="dxa"/>
              <w:left w:w="108" w:type="dxa"/>
              <w:bottom w:w="0" w:type="dxa"/>
              <w:right w:w="108" w:type="dxa"/>
            </w:tcMar>
            <w:vAlign w:val="center"/>
            <w:hideMark/>
          </w:tcPr>
          <w:p w14:paraId="1165CF64"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MAIC 1</w:t>
            </w:r>
          </w:p>
        </w:tc>
        <w:tc>
          <w:tcPr>
            <w:tcW w:w="2410" w:type="dxa"/>
            <w:tcMar>
              <w:top w:w="0" w:type="dxa"/>
              <w:left w:w="108" w:type="dxa"/>
              <w:bottom w:w="0" w:type="dxa"/>
              <w:right w:w="108" w:type="dxa"/>
            </w:tcMar>
            <w:vAlign w:val="center"/>
            <w:hideMark/>
          </w:tcPr>
          <w:p w14:paraId="09D1EB93" w14:textId="77777777" w:rsidR="008047AE" w:rsidRPr="00D30537" w:rsidRDefault="008047AE"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MAIC 2</w:t>
            </w:r>
          </w:p>
        </w:tc>
        <w:tc>
          <w:tcPr>
            <w:tcW w:w="2501" w:type="dxa"/>
            <w:tcMar>
              <w:top w:w="0" w:type="dxa"/>
              <w:left w:w="108" w:type="dxa"/>
              <w:bottom w:w="0" w:type="dxa"/>
              <w:right w:w="108" w:type="dxa"/>
            </w:tcMar>
            <w:vAlign w:val="center"/>
          </w:tcPr>
          <w:p w14:paraId="55471B60" w14:textId="20F29015" w:rsidR="008047AE" w:rsidRPr="00D30537" w:rsidRDefault="00562C30" w:rsidP="00653B48">
            <w:pPr>
              <w:keepNext/>
              <w:keepLines/>
              <w:jc w:val="center"/>
              <w:rPr>
                <w:rFonts w:ascii="Arial Narrow" w:hAnsi="Arial Narrow"/>
                <w:b/>
                <w:bCs/>
                <w:color w:val="000000" w:themeColor="text1"/>
                <w:sz w:val="20"/>
                <w:szCs w:val="20"/>
              </w:rPr>
            </w:pPr>
            <w:r w:rsidRPr="00D30537">
              <w:rPr>
                <w:rFonts w:ascii="Arial Narrow" w:hAnsi="Arial Narrow"/>
                <w:b/>
                <w:bCs/>
                <w:color w:val="000000" w:themeColor="text1"/>
                <w:sz w:val="20"/>
                <w:szCs w:val="20"/>
              </w:rPr>
              <w:t>PAIC</w:t>
            </w:r>
          </w:p>
        </w:tc>
      </w:tr>
      <w:tr w:rsidR="008047AE" w:rsidRPr="00D30537" w14:paraId="14EF94E3" w14:textId="77777777" w:rsidTr="00E969B3">
        <w:tc>
          <w:tcPr>
            <w:tcW w:w="1301" w:type="dxa"/>
            <w:tcMar>
              <w:top w:w="0" w:type="dxa"/>
              <w:left w:w="108" w:type="dxa"/>
              <w:bottom w:w="0" w:type="dxa"/>
              <w:right w:w="108" w:type="dxa"/>
            </w:tcMar>
            <w:vAlign w:val="center"/>
            <w:hideMark/>
          </w:tcPr>
          <w:p w14:paraId="207B3E54" w14:textId="7A85A4C8" w:rsidR="008047AE" w:rsidRPr="00D30537" w:rsidRDefault="00C362B4"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Retifanlimab</w:t>
            </w:r>
            <w:r w:rsidR="008047AE" w:rsidRPr="00D30537">
              <w:rPr>
                <w:rFonts w:ascii="Arial Narrow" w:hAnsi="Arial Narrow"/>
                <w:color w:val="000000" w:themeColor="text1"/>
                <w:sz w:val="20"/>
                <w:szCs w:val="20"/>
              </w:rPr>
              <w:t xml:space="preserve"> data source</w:t>
            </w:r>
          </w:p>
        </w:tc>
        <w:tc>
          <w:tcPr>
            <w:tcW w:w="5215" w:type="dxa"/>
            <w:gridSpan w:val="2"/>
            <w:tcMar>
              <w:top w:w="0" w:type="dxa"/>
              <w:left w:w="108" w:type="dxa"/>
              <w:bottom w:w="0" w:type="dxa"/>
              <w:right w:w="108" w:type="dxa"/>
            </w:tcMar>
            <w:vAlign w:val="center"/>
            <w:hideMark/>
          </w:tcPr>
          <w:p w14:paraId="3312D6E3" w14:textId="7DCD2619"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 xml:space="preserve">POD1UM-201 individual </w:t>
            </w:r>
            <w:r w:rsidR="0026091F" w:rsidRPr="00D30537">
              <w:rPr>
                <w:rFonts w:ascii="Arial Narrow" w:hAnsi="Arial Narrow"/>
                <w:color w:val="000000" w:themeColor="text1"/>
                <w:sz w:val="20"/>
                <w:szCs w:val="20"/>
              </w:rPr>
              <w:t xml:space="preserve">metastatic </w:t>
            </w:r>
            <w:r w:rsidRPr="00D30537">
              <w:rPr>
                <w:rFonts w:ascii="Arial Narrow" w:hAnsi="Arial Narrow"/>
                <w:color w:val="000000" w:themeColor="text1"/>
                <w:sz w:val="20"/>
                <w:szCs w:val="20"/>
              </w:rPr>
              <w:t xml:space="preserve">patient data </w:t>
            </w:r>
            <w:r w:rsidR="0026091F" w:rsidRPr="00D30537">
              <w:rPr>
                <w:rFonts w:ascii="Arial Narrow" w:hAnsi="Arial Narrow"/>
                <w:color w:val="000000" w:themeColor="text1"/>
                <w:sz w:val="20"/>
                <w:szCs w:val="20"/>
              </w:rPr>
              <w:t>(n=91)</w:t>
            </w:r>
          </w:p>
          <w:p w14:paraId="74CA890B" w14:textId="77777777" w:rsidR="008047AE" w:rsidRPr="00D30537" w:rsidRDefault="008047AE" w:rsidP="00653B48">
            <w:pPr>
              <w:keepNext/>
              <w:keepLines/>
              <w:jc w:val="center"/>
              <w:rPr>
                <w:rFonts w:ascii="Arial Narrow" w:hAnsi="Arial Narrow"/>
                <w:color w:val="000000" w:themeColor="text1"/>
                <w:sz w:val="20"/>
                <w:szCs w:val="20"/>
                <w:vertAlign w:val="superscript"/>
              </w:rPr>
            </w:pPr>
            <w:r w:rsidRPr="00D30537">
              <w:rPr>
                <w:rFonts w:ascii="Arial Narrow" w:hAnsi="Arial Narrow"/>
                <w:color w:val="000000" w:themeColor="text1"/>
                <w:sz w:val="20"/>
                <w:szCs w:val="20"/>
              </w:rPr>
              <w:t xml:space="preserve">35.7 months follow up </w:t>
            </w:r>
            <w:r w:rsidRPr="00D30537">
              <w:rPr>
                <w:rFonts w:ascii="Arial Narrow" w:hAnsi="Arial Narrow"/>
                <w:color w:val="000000" w:themeColor="text1"/>
                <w:sz w:val="20"/>
                <w:szCs w:val="20"/>
                <w:vertAlign w:val="superscript"/>
              </w:rPr>
              <w:t>a</w:t>
            </w:r>
          </w:p>
        </w:tc>
        <w:tc>
          <w:tcPr>
            <w:tcW w:w="2501" w:type="dxa"/>
            <w:tcMar>
              <w:top w:w="0" w:type="dxa"/>
              <w:left w:w="108" w:type="dxa"/>
              <w:bottom w:w="0" w:type="dxa"/>
              <w:right w:w="108" w:type="dxa"/>
            </w:tcMar>
            <w:vAlign w:val="center"/>
            <w:hideMark/>
          </w:tcPr>
          <w:p w14:paraId="18F86F3F"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POD1UM-201 aggregate data follow up (N=91)</w:t>
            </w:r>
          </w:p>
          <w:p w14:paraId="0DD08E4B"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17.6 months follow up</w:t>
            </w:r>
          </w:p>
        </w:tc>
      </w:tr>
      <w:tr w:rsidR="008047AE" w:rsidRPr="00D30537" w14:paraId="643BFC0C" w14:textId="77777777" w:rsidTr="00E969B3">
        <w:tc>
          <w:tcPr>
            <w:tcW w:w="1301" w:type="dxa"/>
            <w:tcMar>
              <w:top w:w="0" w:type="dxa"/>
              <w:left w:w="108" w:type="dxa"/>
              <w:bottom w:w="0" w:type="dxa"/>
              <w:right w:w="108" w:type="dxa"/>
            </w:tcMar>
            <w:vAlign w:val="center"/>
            <w:hideMark/>
          </w:tcPr>
          <w:p w14:paraId="462F8070" w14:textId="77777777" w:rsidR="008047AE" w:rsidRPr="00D30537" w:rsidRDefault="008047AE"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Avelumab data source</w:t>
            </w:r>
          </w:p>
        </w:tc>
        <w:tc>
          <w:tcPr>
            <w:tcW w:w="5215" w:type="dxa"/>
            <w:gridSpan w:val="2"/>
            <w:tcMar>
              <w:top w:w="0" w:type="dxa"/>
              <w:left w:w="108" w:type="dxa"/>
              <w:bottom w:w="0" w:type="dxa"/>
              <w:right w:w="108" w:type="dxa"/>
            </w:tcMar>
            <w:vAlign w:val="center"/>
            <w:hideMark/>
          </w:tcPr>
          <w:p w14:paraId="275F1677" w14:textId="66CB861E"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JM200 Part B aggregate data</w:t>
            </w:r>
            <w:r w:rsidR="0026091F" w:rsidRPr="00D30537">
              <w:rPr>
                <w:rFonts w:ascii="Arial Narrow" w:hAnsi="Arial Narrow"/>
                <w:color w:val="000000" w:themeColor="text1"/>
                <w:sz w:val="20"/>
                <w:szCs w:val="20"/>
              </w:rPr>
              <w:t xml:space="preserve"> (N=116)</w:t>
            </w:r>
          </w:p>
          <w:p w14:paraId="05ED9B8A"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21.2 months follow up (ORR and PFS)</w:t>
            </w:r>
          </w:p>
          <w:p w14:paraId="0774BB7A"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54.3 months follow up (OS)</w:t>
            </w:r>
          </w:p>
        </w:tc>
        <w:tc>
          <w:tcPr>
            <w:tcW w:w="2501" w:type="dxa"/>
            <w:tcMar>
              <w:top w:w="0" w:type="dxa"/>
              <w:left w:w="108" w:type="dxa"/>
              <w:bottom w:w="0" w:type="dxa"/>
              <w:right w:w="108" w:type="dxa"/>
            </w:tcMar>
            <w:vAlign w:val="center"/>
            <w:hideMark/>
          </w:tcPr>
          <w:p w14:paraId="2448EF98"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JM200 Part B individual patient data (N=116)</w:t>
            </w:r>
          </w:p>
          <w:p w14:paraId="1D1C5D82"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54.3 months follow up</w:t>
            </w:r>
          </w:p>
        </w:tc>
      </w:tr>
      <w:tr w:rsidR="008047AE" w:rsidRPr="00D30537" w14:paraId="13B3A4B2" w14:textId="77777777" w:rsidTr="00E969B3">
        <w:tc>
          <w:tcPr>
            <w:tcW w:w="1301" w:type="dxa"/>
            <w:tcMar>
              <w:top w:w="0" w:type="dxa"/>
              <w:left w:w="108" w:type="dxa"/>
              <w:bottom w:w="0" w:type="dxa"/>
              <w:right w:w="108" w:type="dxa"/>
            </w:tcMar>
            <w:vAlign w:val="center"/>
            <w:hideMark/>
          </w:tcPr>
          <w:p w14:paraId="6C413E8F" w14:textId="77777777" w:rsidR="008047AE" w:rsidRPr="00D30537" w:rsidRDefault="008047AE"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Characteristics adjusted for</w:t>
            </w:r>
          </w:p>
        </w:tc>
        <w:tc>
          <w:tcPr>
            <w:tcW w:w="2805" w:type="dxa"/>
            <w:tcMar>
              <w:top w:w="0" w:type="dxa"/>
              <w:left w:w="108" w:type="dxa"/>
              <w:bottom w:w="0" w:type="dxa"/>
              <w:right w:w="108" w:type="dxa"/>
            </w:tcMar>
            <w:vAlign w:val="center"/>
          </w:tcPr>
          <w:p w14:paraId="1E09EADD"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Age (&lt; 65 years vs. ≥65 years)</w:t>
            </w:r>
          </w:p>
          <w:p w14:paraId="7D83DDF3"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ECOG PS (0 vs 1)</w:t>
            </w:r>
          </w:p>
          <w:p w14:paraId="46E69FEC"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PD-L1 status (≥1% vs neg.)</w:t>
            </w:r>
          </w:p>
          <w:p w14:paraId="18920943"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MCPyV status</w:t>
            </w:r>
          </w:p>
          <w:p w14:paraId="357A11BA"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Site of primary tumour (skin vs lymph node)</w:t>
            </w:r>
          </w:p>
          <w:p w14:paraId="2706E3DD" w14:textId="77777777" w:rsidR="008047AE" w:rsidRPr="00D30537" w:rsidRDefault="008047AE" w:rsidP="003D6682">
            <w:pPr>
              <w:pStyle w:val="ListParagraph"/>
              <w:keepNext/>
              <w:keepLines/>
              <w:numPr>
                <w:ilvl w:val="0"/>
                <w:numId w:val="7"/>
              </w:numPr>
              <w:spacing w:after="0"/>
              <w:ind w:left="315"/>
              <w:rPr>
                <w:rFonts w:ascii="Arial Narrow" w:hAnsi="Arial Narrow"/>
                <w:color w:val="000000" w:themeColor="text1"/>
                <w:sz w:val="20"/>
                <w:szCs w:val="20"/>
              </w:rPr>
            </w:pPr>
            <w:r w:rsidRPr="00D30537">
              <w:rPr>
                <w:rFonts w:ascii="Arial Narrow" w:hAnsi="Arial Narrow"/>
                <w:color w:val="000000" w:themeColor="text1"/>
                <w:sz w:val="20"/>
                <w:szCs w:val="20"/>
              </w:rPr>
              <w:t>Visceral metastasis at baseline (present vs absent)</w:t>
            </w:r>
          </w:p>
        </w:tc>
        <w:tc>
          <w:tcPr>
            <w:tcW w:w="2410" w:type="dxa"/>
            <w:tcMar>
              <w:top w:w="0" w:type="dxa"/>
              <w:left w:w="108" w:type="dxa"/>
              <w:bottom w:w="0" w:type="dxa"/>
              <w:right w:w="108" w:type="dxa"/>
            </w:tcMar>
            <w:vAlign w:val="center"/>
          </w:tcPr>
          <w:p w14:paraId="4E606037" w14:textId="0349BDE3" w:rsidR="008047AE" w:rsidRPr="00D30537" w:rsidRDefault="008047AE"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u w:val="single"/>
              </w:rPr>
              <w:t>All</w:t>
            </w:r>
            <w:r w:rsidRPr="00D30537">
              <w:rPr>
                <w:rFonts w:ascii="Arial Narrow" w:hAnsi="Arial Narrow"/>
                <w:color w:val="000000" w:themeColor="text1"/>
                <w:sz w:val="20"/>
                <w:szCs w:val="20"/>
              </w:rPr>
              <w:t xml:space="preserve"> covariates included in MAIC 1 plus</w:t>
            </w:r>
            <w:r w:rsidR="006A7405" w:rsidRPr="00D30537">
              <w:rPr>
                <w:rFonts w:ascii="Arial Narrow" w:hAnsi="Arial Narrow"/>
                <w:color w:val="000000" w:themeColor="text1"/>
                <w:sz w:val="20"/>
                <w:szCs w:val="20"/>
              </w:rPr>
              <w:t xml:space="preserve"> additional ‘low priority’ covariates</w:t>
            </w:r>
            <w:r w:rsidRPr="00D30537">
              <w:rPr>
                <w:rFonts w:ascii="Arial Narrow" w:hAnsi="Arial Narrow"/>
                <w:color w:val="000000" w:themeColor="text1"/>
                <w:sz w:val="20"/>
                <w:szCs w:val="20"/>
              </w:rPr>
              <w:t>:</w:t>
            </w:r>
          </w:p>
          <w:p w14:paraId="6257EA08" w14:textId="77777777" w:rsidR="008047AE" w:rsidRPr="00D30537" w:rsidRDefault="008047AE" w:rsidP="003D6682">
            <w:pPr>
              <w:pStyle w:val="ListParagraph"/>
              <w:keepNext/>
              <w:keepLines/>
              <w:numPr>
                <w:ilvl w:val="0"/>
                <w:numId w:val="8"/>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Race (White, Asian, other)</w:t>
            </w:r>
          </w:p>
          <w:p w14:paraId="61BA1CC1" w14:textId="77777777" w:rsidR="008047AE" w:rsidRPr="00D30537" w:rsidRDefault="008047AE" w:rsidP="003D6682">
            <w:pPr>
              <w:pStyle w:val="ListParagraph"/>
              <w:keepNext/>
              <w:keepLines/>
              <w:numPr>
                <w:ilvl w:val="0"/>
                <w:numId w:val="8"/>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Gender (male vs female)</w:t>
            </w:r>
          </w:p>
          <w:p w14:paraId="3BEE0EE0" w14:textId="77777777" w:rsidR="008047AE" w:rsidRPr="00D30537" w:rsidRDefault="008047AE" w:rsidP="003D6682">
            <w:pPr>
              <w:pStyle w:val="ListParagraph"/>
              <w:keepNext/>
              <w:keepLines/>
              <w:numPr>
                <w:ilvl w:val="0"/>
                <w:numId w:val="8"/>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Time since initial diagnosis (month)</w:t>
            </w:r>
          </w:p>
        </w:tc>
        <w:tc>
          <w:tcPr>
            <w:tcW w:w="2501" w:type="dxa"/>
            <w:tcMar>
              <w:top w:w="0" w:type="dxa"/>
              <w:left w:w="108" w:type="dxa"/>
              <w:bottom w:w="0" w:type="dxa"/>
              <w:right w:w="108" w:type="dxa"/>
            </w:tcMar>
            <w:vAlign w:val="center"/>
          </w:tcPr>
          <w:p w14:paraId="36BD7D65"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Age</w:t>
            </w:r>
          </w:p>
          <w:p w14:paraId="1E805340"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ECOG PS</w:t>
            </w:r>
          </w:p>
          <w:p w14:paraId="3C0683A2"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Baseline visceral metastases, PD-L1 status</w:t>
            </w:r>
          </w:p>
          <w:p w14:paraId="60F4BF55"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MCPyV status</w:t>
            </w:r>
          </w:p>
          <w:p w14:paraId="285D05C8" w14:textId="77777777" w:rsidR="008047AE" w:rsidRPr="00D30537" w:rsidRDefault="008047AE" w:rsidP="003D6682">
            <w:pPr>
              <w:pStyle w:val="ListParagraph"/>
              <w:keepNext/>
              <w:keepLines/>
              <w:numPr>
                <w:ilvl w:val="0"/>
                <w:numId w:val="9"/>
              </w:numPr>
              <w:spacing w:after="0"/>
              <w:ind w:left="318"/>
              <w:rPr>
                <w:rFonts w:ascii="Arial Narrow" w:hAnsi="Arial Narrow"/>
                <w:color w:val="000000" w:themeColor="text1"/>
                <w:sz w:val="20"/>
                <w:szCs w:val="20"/>
              </w:rPr>
            </w:pPr>
            <w:r w:rsidRPr="00D30537">
              <w:rPr>
                <w:rFonts w:ascii="Arial Narrow" w:hAnsi="Arial Narrow"/>
                <w:color w:val="000000" w:themeColor="text1"/>
                <w:sz w:val="20"/>
                <w:szCs w:val="20"/>
              </w:rPr>
              <w:t>Assessment schedule matching (to PFS only)</w:t>
            </w:r>
          </w:p>
        </w:tc>
      </w:tr>
      <w:tr w:rsidR="00725AEC" w:rsidRPr="00D30537" w14:paraId="2CFFF6A1" w14:textId="77777777" w:rsidTr="00E969B3">
        <w:tc>
          <w:tcPr>
            <w:tcW w:w="1301" w:type="dxa"/>
            <w:tcMar>
              <w:top w:w="0" w:type="dxa"/>
              <w:left w:w="108" w:type="dxa"/>
              <w:bottom w:w="0" w:type="dxa"/>
              <w:right w:w="108" w:type="dxa"/>
            </w:tcMar>
            <w:vAlign w:val="center"/>
          </w:tcPr>
          <w:p w14:paraId="5BDB9147" w14:textId="638F36FE" w:rsidR="00725AEC" w:rsidRPr="00D30537" w:rsidRDefault="00725AEC"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ESS after matching</w:t>
            </w:r>
          </w:p>
        </w:tc>
        <w:tc>
          <w:tcPr>
            <w:tcW w:w="2805" w:type="dxa"/>
            <w:tcMar>
              <w:top w:w="0" w:type="dxa"/>
              <w:left w:w="108" w:type="dxa"/>
              <w:bottom w:w="0" w:type="dxa"/>
              <w:right w:w="108" w:type="dxa"/>
            </w:tcMar>
            <w:vAlign w:val="center"/>
          </w:tcPr>
          <w:p w14:paraId="116126E4" w14:textId="020082CD" w:rsidR="00725AEC" w:rsidRPr="00D30537" w:rsidRDefault="00C258FC" w:rsidP="00BC331B">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41</w:t>
            </w:r>
          </w:p>
        </w:tc>
        <w:tc>
          <w:tcPr>
            <w:tcW w:w="2410" w:type="dxa"/>
            <w:tcMar>
              <w:top w:w="0" w:type="dxa"/>
              <w:left w:w="108" w:type="dxa"/>
              <w:bottom w:w="0" w:type="dxa"/>
              <w:right w:w="108" w:type="dxa"/>
            </w:tcMar>
            <w:vAlign w:val="center"/>
          </w:tcPr>
          <w:p w14:paraId="571DA0FD" w14:textId="53092195" w:rsidR="00725AEC" w:rsidRPr="00D30537" w:rsidRDefault="002A5186" w:rsidP="00BC331B">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36</w:t>
            </w:r>
          </w:p>
        </w:tc>
        <w:tc>
          <w:tcPr>
            <w:tcW w:w="2501" w:type="dxa"/>
            <w:tcMar>
              <w:top w:w="0" w:type="dxa"/>
              <w:left w:w="108" w:type="dxa"/>
              <w:bottom w:w="0" w:type="dxa"/>
              <w:right w:w="108" w:type="dxa"/>
            </w:tcMar>
            <w:vAlign w:val="center"/>
          </w:tcPr>
          <w:p w14:paraId="26B5F18A" w14:textId="77777777" w:rsidR="00725AEC" w:rsidRPr="00D30537" w:rsidRDefault="00725AEC" w:rsidP="00BC331B">
            <w:pPr>
              <w:keepNext/>
              <w:keepLines/>
              <w:jc w:val="center"/>
              <w:rPr>
                <w:rFonts w:ascii="Arial Narrow" w:hAnsi="Arial Narrow"/>
                <w:color w:val="000000" w:themeColor="text1"/>
                <w:sz w:val="20"/>
                <w:szCs w:val="20"/>
              </w:rPr>
            </w:pPr>
          </w:p>
        </w:tc>
      </w:tr>
      <w:tr w:rsidR="00CD23C9" w:rsidRPr="00D30537" w14:paraId="7E353827" w14:textId="77777777" w:rsidTr="00CD23C9">
        <w:tc>
          <w:tcPr>
            <w:tcW w:w="1301" w:type="dxa"/>
            <w:vMerge w:val="restart"/>
            <w:tcMar>
              <w:top w:w="0" w:type="dxa"/>
              <w:left w:w="108" w:type="dxa"/>
              <w:bottom w:w="0" w:type="dxa"/>
              <w:right w:w="108" w:type="dxa"/>
            </w:tcMar>
            <w:vAlign w:val="center"/>
          </w:tcPr>
          <w:p w14:paraId="6DC20EBD" w14:textId="77777777" w:rsidR="00CD23C9" w:rsidRPr="00D30537" w:rsidRDefault="00CD23C9"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OS results</w:t>
            </w:r>
          </w:p>
        </w:tc>
        <w:tc>
          <w:tcPr>
            <w:tcW w:w="7716" w:type="dxa"/>
            <w:gridSpan w:val="3"/>
            <w:tcMar>
              <w:top w:w="0" w:type="dxa"/>
              <w:left w:w="108" w:type="dxa"/>
              <w:bottom w:w="0" w:type="dxa"/>
              <w:right w:w="108" w:type="dxa"/>
            </w:tcMar>
            <w:vAlign w:val="center"/>
          </w:tcPr>
          <w:p w14:paraId="7ADCA866" w14:textId="6DBEDEE5" w:rsidR="00CD23C9" w:rsidRPr="00D30537" w:rsidRDefault="00CD23C9" w:rsidP="00E969B3">
            <w:pPr>
              <w:keepNext/>
              <w:keepLines/>
              <w:jc w:val="center"/>
              <w:rPr>
                <w:rFonts w:ascii="Arial Narrow" w:hAnsi="Arial Narrow"/>
                <w:color w:val="000000" w:themeColor="text1"/>
                <w:sz w:val="20"/>
                <w:szCs w:val="20"/>
                <w:vertAlign w:val="superscript"/>
              </w:rPr>
            </w:pPr>
            <w:r w:rsidRPr="00D30537">
              <w:rPr>
                <w:rFonts w:ascii="Arial Narrow" w:hAnsi="Arial Narrow"/>
                <w:color w:val="000000" w:themeColor="text1"/>
                <w:sz w:val="20"/>
                <w:szCs w:val="20"/>
              </w:rPr>
              <w:t xml:space="preserve">HR (95% CI) (HRs&lt;1 favour retifanlimab) </w:t>
            </w:r>
            <w:r w:rsidRPr="00D30537">
              <w:rPr>
                <w:rFonts w:ascii="Arial Narrow" w:hAnsi="Arial Narrow"/>
                <w:color w:val="000000" w:themeColor="text1"/>
                <w:sz w:val="20"/>
                <w:szCs w:val="20"/>
                <w:vertAlign w:val="superscript"/>
              </w:rPr>
              <w:t>b</w:t>
            </w:r>
          </w:p>
        </w:tc>
      </w:tr>
      <w:tr w:rsidR="008047AE" w:rsidRPr="00D30537" w14:paraId="4C8F90C5" w14:textId="77777777" w:rsidTr="00E969B3">
        <w:tc>
          <w:tcPr>
            <w:tcW w:w="1301" w:type="dxa"/>
            <w:vMerge/>
            <w:tcMar>
              <w:top w:w="0" w:type="dxa"/>
              <w:left w:w="108" w:type="dxa"/>
              <w:bottom w:w="0" w:type="dxa"/>
              <w:right w:w="108" w:type="dxa"/>
            </w:tcMar>
            <w:vAlign w:val="center"/>
            <w:hideMark/>
          </w:tcPr>
          <w:p w14:paraId="5AB82DF9" w14:textId="77777777" w:rsidR="008047AE" w:rsidRPr="00D30537" w:rsidRDefault="008047AE" w:rsidP="00CD23C9">
            <w:pPr>
              <w:keepNext/>
              <w:keepLines/>
              <w:jc w:val="left"/>
              <w:rPr>
                <w:rFonts w:ascii="Arial Narrow" w:hAnsi="Arial Narrow"/>
                <w:color w:val="000000" w:themeColor="text1"/>
                <w:sz w:val="20"/>
                <w:szCs w:val="20"/>
              </w:rPr>
            </w:pPr>
          </w:p>
        </w:tc>
        <w:tc>
          <w:tcPr>
            <w:tcW w:w="2805" w:type="dxa"/>
            <w:tcMar>
              <w:top w:w="0" w:type="dxa"/>
              <w:left w:w="108" w:type="dxa"/>
              <w:bottom w:w="0" w:type="dxa"/>
              <w:right w:w="108" w:type="dxa"/>
            </w:tcMar>
            <w:vAlign w:val="center"/>
          </w:tcPr>
          <w:p w14:paraId="66C88265"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353F4DD6"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0.601 (0.404, 0.894)</w:t>
            </w:r>
          </w:p>
          <w:p w14:paraId="5899C8DB"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1EBB69A7"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0.800 (0.492, 1.303)</w:t>
            </w:r>
          </w:p>
        </w:tc>
        <w:tc>
          <w:tcPr>
            <w:tcW w:w="2410" w:type="dxa"/>
            <w:tcMar>
              <w:top w:w="0" w:type="dxa"/>
              <w:left w:w="108" w:type="dxa"/>
              <w:bottom w:w="0" w:type="dxa"/>
              <w:right w:w="108" w:type="dxa"/>
            </w:tcMar>
            <w:vAlign w:val="center"/>
          </w:tcPr>
          <w:p w14:paraId="16D0FB52"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6A462F7C"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0.601 (0.404, 0.894)</w:t>
            </w:r>
          </w:p>
          <w:p w14:paraId="219898D1"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762B4B8F"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0.689 (0.405, 1.172)</w:t>
            </w:r>
          </w:p>
        </w:tc>
        <w:tc>
          <w:tcPr>
            <w:tcW w:w="2501" w:type="dxa"/>
            <w:tcMar>
              <w:top w:w="0" w:type="dxa"/>
              <w:left w:w="108" w:type="dxa"/>
              <w:bottom w:w="0" w:type="dxa"/>
              <w:right w:w="108" w:type="dxa"/>
            </w:tcMar>
            <w:vAlign w:val="center"/>
          </w:tcPr>
          <w:p w14:paraId="75FEB1A5"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Unadjusted:</w:t>
            </w:r>
          </w:p>
          <w:p w14:paraId="46F1FB28" w14:textId="5D39AFFF" w:rsidR="008047AE" w:rsidRPr="00D30537" w:rsidRDefault="0026091F"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0.45 (0.28, 0.71)</w:t>
            </w:r>
          </w:p>
          <w:p w14:paraId="4C3CFCE1"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Adjusted:</w:t>
            </w:r>
          </w:p>
          <w:p w14:paraId="5ABE2B4A" w14:textId="0921B0F7" w:rsidR="008047AE" w:rsidRPr="00D30537" w:rsidRDefault="0026091F"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1.07 (0.64, 1.79)</w:t>
            </w:r>
          </w:p>
        </w:tc>
      </w:tr>
      <w:tr w:rsidR="00CD23C9" w:rsidRPr="00D30537" w14:paraId="6CC7DAE6" w14:textId="77777777" w:rsidTr="00CD23C9">
        <w:tc>
          <w:tcPr>
            <w:tcW w:w="1301" w:type="dxa"/>
            <w:vMerge w:val="restart"/>
            <w:tcMar>
              <w:top w:w="0" w:type="dxa"/>
              <w:left w:w="108" w:type="dxa"/>
              <w:bottom w:w="0" w:type="dxa"/>
              <w:right w:w="108" w:type="dxa"/>
            </w:tcMar>
            <w:vAlign w:val="center"/>
          </w:tcPr>
          <w:p w14:paraId="3AB1BC12" w14:textId="77777777" w:rsidR="00CD23C9" w:rsidRPr="00D30537" w:rsidRDefault="00CD23C9" w:rsidP="00CD23C9">
            <w:pPr>
              <w:keepNext/>
              <w:keepLines/>
              <w:jc w:val="left"/>
              <w:rPr>
                <w:rFonts w:ascii="Arial Narrow" w:hAnsi="Arial Narrow"/>
                <w:color w:val="000000" w:themeColor="text1"/>
                <w:sz w:val="20"/>
                <w:szCs w:val="20"/>
              </w:rPr>
            </w:pPr>
            <w:r w:rsidRPr="00D30537">
              <w:rPr>
                <w:rFonts w:ascii="Arial Narrow" w:hAnsi="Arial Narrow"/>
                <w:color w:val="000000" w:themeColor="text1"/>
                <w:sz w:val="20"/>
                <w:szCs w:val="20"/>
              </w:rPr>
              <w:t>PFS results</w:t>
            </w:r>
          </w:p>
        </w:tc>
        <w:tc>
          <w:tcPr>
            <w:tcW w:w="7716" w:type="dxa"/>
            <w:gridSpan w:val="3"/>
            <w:tcMar>
              <w:top w:w="0" w:type="dxa"/>
              <w:left w:w="108" w:type="dxa"/>
              <w:bottom w:w="0" w:type="dxa"/>
              <w:right w:w="108" w:type="dxa"/>
            </w:tcMar>
            <w:vAlign w:val="center"/>
          </w:tcPr>
          <w:p w14:paraId="4CEAF50D" w14:textId="7DE0CC41" w:rsidR="00CD23C9" w:rsidRPr="00307AB5" w:rsidRDefault="00CD23C9" w:rsidP="00E969B3">
            <w:pPr>
              <w:keepNext/>
              <w:keepLines/>
              <w:jc w:val="center"/>
              <w:rPr>
                <w:rFonts w:ascii="Arial Narrow" w:hAnsi="Arial Narrow"/>
                <w:color w:val="000000" w:themeColor="text1"/>
                <w:sz w:val="20"/>
                <w:szCs w:val="20"/>
                <w:vertAlign w:val="superscript"/>
              </w:rPr>
            </w:pPr>
            <w:r w:rsidRPr="00307AB5">
              <w:rPr>
                <w:rFonts w:ascii="Arial Narrow" w:hAnsi="Arial Narrow"/>
                <w:color w:val="000000" w:themeColor="text1"/>
                <w:sz w:val="20"/>
                <w:szCs w:val="20"/>
              </w:rPr>
              <w:t xml:space="preserve">HR (95% CI) (HRs&lt;1 favour retifanlimab) </w:t>
            </w:r>
            <w:r w:rsidRPr="00307AB5">
              <w:rPr>
                <w:rFonts w:ascii="Arial Narrow" w:hAnsi="Arial Narrow"/>
                <w:color w:val="000000" w:themeColor="text1"/>
                <w:sz w:val="20"/>
                <w:szCs w:val="20"/>
                <w:vertAlign w:val="superscript"/>
              </w:rPr>
              <w:t>b</w:t>
            </w:r>
          </w:p>
        </w:tc>
      </w:tr>
      <w:tr w:rsidR="008047AE" w:rsidRPr="00D30537" w14:paraId="32359753" w14:textId="77777777" w:rsidTr="00E969B3">
        <w:tc>
          <w:tcPr>
            <w:tcW w:w="1301" w:type="dxa"/>
            <w:vMerge/>
            <w:tcMar>
              <w:top w:w="0" w:type="dxa"/>
              <w:left w:w="108" w:type="dxa"/>
              <w:bottom w:w="0" w:type="dxa"/>
              <w:right w:w="108" w:type="dxa"/>
            </w:tcMar>
            <w:vAlign w:val="center"/>
            <w:hideMark/>
          </w:tcPr>
          <w:p w14:paraId="4A2587F7" w14:textId="77777777" w:rsidR="008047AE" w:rsidRPr="00D30537" w:rsidRDefault="008047AE" w:rsidP="00CD23C9">
            <w:pPr>
              <w:keepNext/>
              <w:keepLines/>
              <w:jc w:val="left"/>
              <w:rPr>
                <w:rFonts w:ascii="Arial Narrow" w:hAnsi="Arial Narrow"/>
                <w:color w:val="000000" w:themeColor="text1"/>
                <w:sz w:val="20"/>
                <w:szCs w:val="20"/>
              </w:rPr>
            </w:pPr>
          </w:p>
        </w:tc>
        <w:tc>
          <w:tcPr>
            <w:tcW w:w="2805" w:type="dxa"/>
            <w:tcMar>
              <w:top w:w="0" w:type="dxa"/>
              <w:left w:w="108" w:type="dxa"/>
              <w:bottom w:w="0" w:type="dxa"/>
              <w:right w:w="108" w:type="dxa"/>
            </w:tcMar>
            <w:vAlign w:val="center"/>
          </w:tcPr>
          <w:p w14:paraId="1CDDE37A"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076C8382"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0.535 (0.375, 0.764)</w:t>
            </w:r>
          </w:p>
          <w:p w14:paraId="68FDD0F0"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6C4588A9"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0.590 (0.396, 0.881)</w:t>
            </w:r>
          </w:p>
        </w:tc>
        <w:tc>
          <w:tcPr>
            <w:tcW w:w="2410" w:type="dxa"/>
            <w:tcMar>
              <w:top w:w="0" w:type="dxa"/>
              <w:left w:w="108" w:type="dxa"/>
              <w:bottom w:w="0" w:type="dxa"/>
              <w:right w:w="108" w:type="dxa"/>
            </w:tcMar>
            <w:vAlign w:val="center"/>
          </w:tcPr>
          <w:p w14:paraId="4298B6CD"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Unadjusted Cox model:</w:t>
            </w:r>
          </w:p>
          <w:p w14:paraId="77A9B69A"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0.535 (0.375, 0.764)</w:t>
            </w:r>
          </w:p>
          <w:p w14:paraId="44CF33DF"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Weighted Cox model</w:t>
            </w:r>
          </w:p>
          <w:p w14:paraId="5C05CAA7" w14:textId="77777777" w:rsidR="008047AE" w:rsidRPr="00307AB5" w:rsidRDefault="008047AE" w:rsidP="00653B48">
            <w:pPr>
              <w:keepNext/>
              <w:keepLines/>
              <w:jc w:val="center"/>
              <w:rPr>
                <w:rFonts w:ascii="Arial Narrow" w:hAnsi="Arial Narrow"/>
                <w:color w:val="000000" w:themeColor="text1"/>
                <w:sz w:val="20"/>
                <w:szCs w:val="20"/>
              </w:rPr>
            </w:pPr>
            <w:r w:rsidRPr="00307AB5">
              <w:rPr>
                <w:rFonts w:ascii="Arial Narrow" w:hAnsi="Arial Narrow"/>
                <w:color w:val="000000" w:themeColor="text1"/>
                <w:sz w:val="20"/>
                <w:szCs w:val="20"/>
              </w:rPr>
              <w:t>0.519 (0.343, 0.786)</w:t>
            </w:r>
          </w:p>
        </w:tc>
        <w:tc>
          <w:tcPr>
            <w:tcW w:w="2501" w:type="dxa"/>
            <w:tcMar>
              <w:top w:w="0" w:type="dxa"/>
              <w:left w:w="108" w:type="dxa"/>
              <w:bottom w:w="0" w:type="dxa"/>
              <w:right w:w="108" w:type="dxa"/>
            </w:tcMar>
            <w:vAlign w:val="center"/>
          </w:tcPr>
          <w:p w14:paraId="653C3DEF"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Unadjusted</w:t>
            </w:r>
          </w:p>
          <w:p w14:paraId="70592E1A" w14:textId="14BB1E38" w:rsidR="00E22CC0" w:rsidRPr="00D30537" w:rsidRDefault="003F0A69"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0.60 (0.42, 0.86)</w:t>
            </w:r>
          </w:p>
          <w:p w14:paraId="3175839D" w14:textId="77777777" w:rsidR="008047AE" w:rsidRPr="00D30537" w:rsidRDefault="008047AE"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Adjusted</w:t>
            </w:r>
          </w:p>
          <w:p w14:paraId="0446FBC6" w14:textId="6982F739" w:rsidR="008047AE" w:rsidRPr="00D30537" w:rsidRDefault="003F0A69" w:rsidP="00653B48">
            <w:pPr>
              <w:keepNext/>
              <w:keepLines/>
              <w:jc w:val="center"/>
              <w:rPr>
                <w:rFonts w:ascii="Arial Narrow" w:hAnsi="Arial Narrow"/>
                <w:color w:val="000000" w:themeColor="text1"/>
                <w:sz w:val="20"/>
                <w:szCs w:val="20"/>
              </w:rPr>
            </w:pPr>
            <w:r w:rsidRPr="00D30537">
              <w:rPr>
                <w:rFonts w:ascii="Arial Narrow" w:hAnsi="Arial Narrow"/>
                <w:color w:val="000000" w:themeColor="text1"/>
                <w:sz w:val="20"/>
                <w:szCs w:val="20"/>
              </w:rPr>
              <w:t>1.05 (0.72, 1.51)</w:t>
            </w:r>
          </w:p>
        </w:tc>
      </w:tr>
    </w:tbl>
    <w:p w14:paraId="264F6DA0" w14:textId="77777777" w:rsidR="008047AE" w:rsidRPr="00D30537" w:rsidRDefault="008047AE" w:rsidP="008047AE">
      <w:pPr>
        <w:keepNext/>
        <w:keepLines/>
        <w:rPr>
          <w:rFonts w:ascii="Arial Narrow" w:hAnsi="Arial Narrow"/>
          <w:color w:val="000000" w:themeColor="text1"/>
          <w:sz w:val="18"/>
          <w:szCs w:val="18"/>
        </w:rPr>
      </w:pPr>
      <w:r w:rsidRPr="00D30537">
        <w:rPr>
          <w:rFonts w:ascii="Arial Narrow" w:hAnsi="Arial Narrow"/>
          <w:color w:val="000000" w:themeColor="text1"/>
          <w:sz w:val="18"/>
          <w:szCs w:val="18"/>
        </w:rPr>
        <w:t>Source: constructed during evaluation from Kearney 2025 and pp149-158 of the submission</w:t>
      </w:r>
    </w:p>
    <w:p w14:paraId="502D5A28" w14:textId="4ACB692A" w:rsidR="008047AE" w:rsidRPr="00D30537" w:rsidRDefault="008047AE" w:rsidP="008047AE">
      <w:pPr>
        <w:keepNext/>
        <w:keepLines/>
        <w:rPr>
          <w:rFonts w:ascii="Arial Narrow" w:hAnsi="Arial Narrow"/>
          <w:color w:val="000000" w:themeColor="text1"/>
          <w:sz w:val="18"/>
          <w:szCs w:val="18"/>
        </w:rPr>
      </w:pPr>
      <w:r w:rsidRPr="00D30537">
        <w:rPr>
          <w:rFonts w:ascii="Arial Narrow" w:hAnsi="Arial Narrow"/>
          <w:color w:val="000000" w:themeColor="text1"/>
          <w:sz w:val="18"/>
          <w:szCs w:val="18"/>
        </w:rPr>
        <w:t xml:space="preserve">CI = confidence interval; DOR = duration of response; ECOG PS = Eastern Cooperative Oncology Group Performance Status; </w:t>
      </w:r>
      <w:r w:rsidR="003D139F" w:rsidRPr="00D30537">
        <w:rPr>
          <w:rFonts w:ascii="Arial Narrow" w:hAnsi="Arial Narrow"/>
          <w:color w:val="000000" w:themeColor="text1"/>
          <w:sz w:val="18"/>
          <w:szCs w:val="18"/>
        </w:rPr>
        <w:t xml:space="preserve">ESS, effective sample size; </w:t>
      </w:r>
      <w:r w:rsidRPr="00D30537">
        <w:rPr>
          <w:rFonts w:ascii="Arial Narrow" w:hAnsi="Arial Narrow"/>
          <w:color w:val="000000" w:themeColor="text1"/>
          <w:sz w:val="18"/>
          <w:szCs w:val="18"/>
        </w:rPr>
        <w:t>HR = hazard ratio; MAIC = matched adjusted indirect comparison; MCPyV = Merkel cell polyomavirus; NR = not reported; OR = odds ratio; ORR = objective response rate; OS = overall survival; PAIC = population adjusted indirect comparison; PD-L1 = programmed cell death ligand 1; PFS = progression free survival</w:t>
      </w:r>
    </w:p>
    <w:p w14:paraId="76E891DC" w14:textId="77777777" w:rsidR="008047AE" w:rsidRPr="00D30537" w:rsidRDefault="008047AE" w:rsidP="008047AE">
      <w:pPr>
        <w:keepNext/>
        <w:keepLines/>
        <w:rPr>
          <w:rFonts w:ascii="Arial Narrow" w:hAnsi="Arial Narrow"/>
          <w:color w:val="000000" w:themeColor="text1"/>
          <w:sz w:val="18"/>
          <w:szCs w:val="18"/>
        </w:rPr>
      </w:pPr>
      <w:proofErr w:type="spellStart"/>
      <w:r w:rsidRPr="00D30537">
        <w:rPr>
          <w:rFonts w:ascii="Arial Narrow" w:hAnsi="Arial Narrow"/>
          <w:color w:val="000000" w:themeColor="text1"/>
          <w:sz w:val="18"/>
          <w:szCs w:val="18"/>
          <w:vertAlign w:val="superscript"/>
        </w:rPr>
        <w:t>a</w:t>
      </w:r>
      <w:proofErr w:type="spellEnd"/>
      <w:r w:rsidRPr="00D30537">
        <w:rPr>
          <w:rFonts w:ascii="Arial Narrow" w:hAnsi="Arial Narrow"/>
          <w:color w:val="000000" w:themeColor="text1"/>
          <w:sz w:val="18"/>
          <w:szCs w:val="18"/>
          <w:vertAlign w:val="superscript"/>
        </w:rPr>
        <w:t xml:space="preserve"> </w:t>
      </w:r>
      <w:r w:rsidRPr="00D30537">
        <w:rPr>
          <w:rFonts w:ascii="Arial Narrow" w:hAnsi="Arial Narrow"/>
          <w:color w:val="000000" w:themeColor="text1"/>
          <w:sz w:val="18"/>
          <w:szCs w:val="18"/>
        </w:rPr>
        <w:t>The median study follow-up was not reported in either the primary or final CSR for POD1UM-201, therefore the submission assumed the median follow-up for OS to be equivalent to the median follow-up for the study overall.</w:t>
      </w:r>
    </w:p>
    <w:p w14:paraId="3C650B17" w14:textId="403A0323" w:rsidR="0026091F" w:rsidRPr="00D30537" w:rsidRDefault="0026091F" w:rsidP="008047AE">
      <w:pPr>
        <w:keepNext/>
        <w:keepLines/>
        <w:rPr>
          <w:rFonts w:ascii="Arial Narrow" w:hAnsi="Arial Narrow"/>
          <w:color w:val="000000" w:themeColor="text1"/>
          <w:sz w:val="18"/>
          <w:szCs w:val="18"/>
        </w:rPr>
      </w:pPr>
      <w:r w:rsidRPr="00D30537">
        <w:rPr>
          <w:rFonts w:ascii="Arial Narrow" w:hAnsi="Arial Narrow"/>
          <w:color w:val="000000" w:themeColor="text1"/>
          <w:sz w:val="18"/>
          <w:szCs w:val="18"/>
          <w:vertAlign w:val="superscript"/>
        </w:rPr>
        <w:t xml:space="preserve">b </w:t>
      </w:r>
      <w:r w:rsidRPr="00D30537">
        <w:rPr>
          <w:rFonts w:ascii="Arial Narrow" w:hAnsi="Arial Narrow"/>
          <w:color w:val="000000" w:themeColor="text1"/>
          <w:sz w:val="18"/>
          <w:szCs w:val="18"/>
        </w:rPr>
        <w:t xml:space="preserve">HRs reported in Kearney 2025 were inverted so to align directionally with those reported in the submission. </w:t>
      </w:r>
    </w:p>
    <w:p w14:paraId="5AA1EF38" w14:textId="73B2678C" w:rsidR="00692749" w:rsidRPr="00D30537" w:rsidRDefault="00692749" w:rsidP="00D733D5">
      <w:pPr>
        <w:pStyle w:val="3-BodyText"/>
        <w:ind w:left="709"/>
      </w:pPr>
      <w:bookmarkStart w:id="42" w:name="_Ref206441665"/>
      <w:r w:rsidRPr="00D30537">
        <w:t>The submission’s MAIC</w:t>
      </w:r>
      <w:r w:rsidR="00364CFD" w:rsidRPr="00D30537">
        <w:t>s</w:t>
      </w:r>
      <w:r w:rsidRPr="00D30537">
        <w:t xml:space="preserve"> HRs </w:t>
      </w:r>
      <w:r w:rsidR="00251D73" w:rsidRPr="00D30537">
        <w:t xml:space="preserve">for OS and PFS </w:t>
      </w:r>
      <w:r w:rsidRPr="00D30537">
        <w:t>differed from those reported in Kearney 2025, with the MAIC’s weighted model numerically favouring retifanlimab, and the Kearney 2025 adjusted model numerically favouring avelumab. The</w:t>
      </w:r>
      <w:r w:rsidR="00400B73" w:rsidRPr="00D30537">
        <w:t xml:space="preserve"> </w:t>
      </w:r>
      <w:r w:rsidR="00400B73" w:rsidRPr="00DA7635">
        <w:t>ESC noted that</w:t>
      </w:r>
      <w:r w:rsidR="00400B73" w:rsidRPr="00D30537">
        <w:t xml:space="preserve"> the</w:t>
      </w:r>
      <w:r w:rsidRPr="00D30537">
        <w:t xml:space="preserve"> overall conclusions were also contradictory, with the submission’s MAIC</w:t>
      </w:r>
      <w:r w:rsidR="001D07C5" w:rsidRPr="00D30537">
        <w:t>s</w:t>
      </w:r>
      <w:r w:rsidRPr="00D30537">
        <w:t xml:space="preserve"> suggesting that retifanlimab was superior to avelumab in PFS and ORR (all 95% </w:t>
      </w:r>
      <w:r w:rsidR="00025135" w:rsidRPr="00D30537">
        <w:t>confidence intervals [</w:t>
      </w:r>
      <w:r w:rsidRPr="00D30537">
        <w:t>CIs</w:t>
      </w:r>
      <w:r w:rsidR="00025135" w:rsidRPr="00D30537">
        <w:t>]</w:t>
      </w:r>
      <w:r w:rsidRPr="00D30537">
        <w:t xml:space="preserve"> excluded the null)</w:t>
      </w:r>
      <w:r w:rsidR="001D07C5" w:rsidRPr="00D30537">
        <w:t>,</w:t>
      </w:r>
      <w:r w:rsidRPr="00D30537">
        <w:t xml:space="preserve"> but Kearney 2025 suggesting that there was no difference between the two in OS, PFS and </w:t>
      </w:r>
      <w:r w:rsidR="00025135" w:rsidRPr="00D30537">
        <w:t xml:space="preserve">duration of response </w:t>
      </w:r>
      <w:r w:rsidRPr="00D30537">
        <w:t xml:space="preserve">(all 95% CIs contained the null). </w:t>
      </w:r>
      <w:bookmarkEnd w:id="42"/>
    </w:p>
    <w:p w14:paraId="3EAA5BF8" w14:textId="5375502E" w:rsidR="00692749" w:rsidRPr="003E756F" w:rsidRDefault="00692749" w:rsidP="00D733D5">
      <w:pPr>
        <w:pStyle w:val="3-BodyText"/>
        <w:ind w:left="709"/>
      </w:pPr>
      <w:r w:rsidRPr="003E756F">
        <w:t xml:space="preserve">The </w:t>
      </w:r>
      <w:r w:rsidR="00CA2FD3" w:rsidRPr="003E756F">
        <w:t xml:space="preserve">ESC </w:t>
      </w:r>
      <w:r w:rsidR="00BA350C" w:rsidRPr="003E756F">
        <w:t xml:space="preserve">considered that the </w:t>
      </w:r>
      <w:r w:rsidRPr="003E756F">
        <w:t>respective results of the different adjusted indirect comparisons highlight</w:t>
      </w:r>
      <w:r w:rsidR="008F5829">
        <w:t>ed</w:t>
      </w:r>
      <w:r w:rsidRPr="003E756F">
        <w:t xml:space="preserve"> the high level of uncertainty associated with indirect comparisons with small sample sizes. As such, </w:t>
      </w:r>
      <w:r w:rsidR="00CA2FD3" w:rsidRPr="003E756F">
        <w:t>the ESC</w:t>
      </w:r>
      <w:r w:rsidR="00BA350C" w:rsidRPr="003E756F">
        <w:t xml:space="preserve"> considered that </w:t>
      </w:r>
      <w:r w:rsidRPr="003E756F">
        <w:t xml:space="preserve">no reliable conclusion on the comparative treatment efficacy of retifanlimab compared with avelumab for patients with chemotherapy-naïve metastatic MCC could be made from the available adjusted indirect comparisons, especially one of a claim of superior </w:t>
      </w:r>
      <w:r w:rsidRPr="003E756F">
        <w:lastRenderedPageBreak/>
        <w:t xml:space="preserve">effectiveness. However, </w:t>
      </w:r>
      <w:r w:rsidR="00BA350C" w:rsidRPr="003E756F">
        <w:t xml:space="preserve">the evaluation considered that </w:t>
      </w:r>
      <w:r w:rsidRPr="003E756F">
        <w:t>it was plausible that retifanlimab is at least as effective as avelumab in patients with chemotherapy naïve metastatic MCC given the MAIC in the submission and the PAIC by Kearney 2025 supported this, and avelumab and retifanlimab ha</w:t>
      </w:r>
      <w:r w:rsidR="00AE7823" w:rsidRPr="003E756F">
        <w:t>v</w:t>
      </w:r>
      <w:r w:rsidR="00236D5D" w:rsidRPr="003E756F">
        <w:t>e</w:t>
      </w:r>
      <w:r w:rsidRPr="003E756F">
        <w:t xml:space="preserve"> similar mechanisms of action as PD-(L)1 inhibitors. </w:t>
      </w:r>
      <w:r w:rsidR="00000355" w:rsidRPr="003E756F">
        <w:t xml:space="preserve">The </w:t>
      </w:r>
      <w:r w:rsidR="00DC45BF">
        <w:t>Pre-Sub-Committee Response (</w:t>
      </w:r>
      <w:r w:rsidR="00000355" w:rsidRPr="003E756F">
        <w:t>PSCR</w:t>
      </w:r>
      <w:r w:rsidR="00DC45BF">
        <w:t>)</w:t>
      </w:r>
      <w:r w:rsidR="00000355" w:rsidRPr="003E756F">
        <w:t xml:space="preserve"> contended that given the lack of details regarding </w:t>
      </w:r>
      <w:r w:rsidR="006B7AEE" w:rsidRPr="003E756F">
        <w:t xml:space="preserve">the PAIC, the </w:t>
      </w:r>
      <w:r w:rsidR="003C7143" w:rsidRPr="003E756F">
        <w:t xml:space="preserve">MAICs presented in the submission provide a more transparent and robust evidentiary basis to support PBAC’s decision-making. </w:t>
      </w:r>
      <w:r w:rsidR="006B7AEE" w:rsidRPr="003E756F">
        <w:t xml:space="preserve">However, the ESC considered that the </w:t>
      </w:r>
      <w:r w:rsidR="003C7143" w:rsidRPr="003E756F">
        <w:t>inconsistency in HR values emphasise</w:t>
      </w:r>
      <w:r w:rsidR="005D122B">
        <w:t>d</w:t>
      </w:r>
      <w:r w:rsidR="003C7143" w:rsidRPr="003E756F">
        <w:t xml:space="preserve"> the uncertainties in the MAIC analyses</w:t>
      </w:r>
      <w:r w:rsidR="00C6277C" w:rsidRPr="003E756F">
        <w:t xml:space="preserve">. </w:t>
      </w:r>
    </w:p>
    <w:p w14:paraId="0184366B" w14:textId="77777777" w:rsidR="008047AE" w:rsidRPr="00D30537" w:rsidRDefault="008047AE" w:rsidP="000461E7">
      <w:pPr>
        <w:pStyle w:val="4-SubsectionHeading"/>
      </w:pPr>
      <w:bookmarkStart w:id="43" w:name="_Toc22897642"/>
      <w:bookmarkStart w:id="44" w:name="_Toc208988059"/>
      <w:r w:rsidRPr="00D30537">
        <w:t>Comparative harms</w:t>
      </w:r>
      <w:bookmarkEnd w:id="43"/>
      <w:bookmarkEnd w:id="44"/>
    </w:p>
    <w:p w14:paraId="48284631" w14:textId="357FF63B" w:rsidR="008047AE" w:rsidRPr="00D30537" w:rsidRDefault="008047AE" w:rsidP="00D733D5">
      <w:pPr>
        <w:pStyle w:val="3-BodyText"/>
        <w:ind w:left="709"/>
        <w:rPr>
          <w:color w:val="000000" w:themeColor="text1"/>
        </w:rPr>
      </w:pPr>
      <w:r w:rsidRPr="00D30537">
        <w:rPr>
          <w:color w:val="000000" w:themeColor="text1"/>
        </w:rPr>
        <w:t>The submission presented a</w:t>
      </w:r>
      <w:r w:rsidR="00E62649" w:rsidRPr="00D30537">
        <w:rPr>
          <w:color w:val="000000" w:themeColor="text1"/>
        </w:rPr>
        <w:t>n unadjusted</w:t>
      </w:r>
      <w:r w:rsidRPr="00D30537">
        <w:rPr>
          <w:color w:val="000000" w:themeColor="text1"/>
        </w:rPr>
        <w:t xml:space="preserve"> side by side comparison of safety between </w:t>
      </w:r>
      <w:r w:rsidRPr="00D30537">
        <w:t>retifanlimab</w:t>
      </w:r>
      <w:r w:rsidRPr="00D30537">
        <w:rPr>
          <w:color w:val="000000" w:themeColor="text1"/>
        </w:rPr>
        <w:t xml:space="preserve"> and avelumab based on the chemotherapy-naïve metastatic cohort of the POD1UM-201 study and the total safety population of the JM200 Part B study.</w:t>
      </w:r>
      <w:r w:rsidR="009F1DDB" w:rsidRPr="00D30537">
        <w:rPr>
          <w:color w:val="000000" w:themeColor="text1"/>
        </w:rPr>
        <w:t xml:space="preserve"> Results from the total POD1UM-201 cohort were also included in </w:t>
      </w:r>
      <w:r w:rsidR="009F1DDB" w:rsidRPr="00D30537">
        <w:rPr>
          <w:color w:val="000000" w:themeColor="text1"/>
        </w:rPr>
        <w:fldChar w:fldCharType="begin"/>
      </w:r>
      <w:r w:rsidR="009F1DDB" w:rsidRPr="00D30537">
        <w:rPr>
          <w:color w:val="000000" w:themeColor="text1"/>
        </w:rPr>
        <w:instrText xml:space="preserve"> REF _Ref207980987 \h  \* MERGEFORMAT </w:instrText>
      </w:r>
      <w:r w:rsidR="009F1DDB" w:rsidRPr="00D30537">
        <w:rPr>
          <w:color w:val="000000" w:themeColor="text1"/>
        </w:rPr>
      </w:r>
      <w:r w:rsidR="009F1DDB" w:rsidRPr="00D30537">
        <w:rPr>
          <w:color w:val="000000" w:themeColor="text1"/>
        </w:rPr>
        <w:fldChar w:fldCharType="separate"/>
      </w:r>
      <w:r w:rsidR="00652388" w:rsidRPr="00D30537">
        <w:t xml:space="preserve">Table </w:t>
      </w:r>
      <w:r w:rsidR="00652388">
        <w:t>8</w:t>
      </w:r>
      <w:r w:rsidR="009F1DDB" w:rsidRPr="00D30537">
        <w:rPr>
          <w:color w:val="000000" w:themeColor="text1"/>
        </w:rPr>
        <w:fldChar w:fldCharType="end"/>
      </w:r>
      <w:r w:rsidR="009F1DDB" w:rsidRPr="00D30537">
        <w:rPr>
          <w:color w:val="000000" w:themeColor="text1"/>
        </w:rPr>
        <w:t xml:space="preserve"> for comparison.</w:t>
      </w:r>
    </w:p>
    <w:p w14:paraId="4C199CCB" w14:textId="5B61F459" w:rsidR="008047AE" w:rsidRPr="00D30537" w:rsidRDefault="008047AE" w:rsidP="00D272A5">
      <w:pPr>
        <w:pStyle w:val="TableFigureHeading"/>
        <w:keepLines/>
        <w:rPr>
          <w:rStyle w:val="CommentReference"/>
          <w:b/>
          <w:szCs w:val="24"/>
        </w:rPr>
      </w:pPr>
      <w:bookmarkStart w:id="45" w:name="_Ref207980987"/>
      <w:r w:rsidRPr="00D30537">
        <w:t xml:space="preserve">Table </w:t>
      </w:r>
      <w:fldSimple w:instr=" SEQ Table \* ARABIC ">
        <w:r w:rsidR="00652388">
          <w:rPr>
            <w:noProof/>
          </w:rPr>
          <w:t>8</w:t>
        </w:r>
      </w:fldSimple>
      <w:bookmarkEnd w:id="45"/>
      <w:r w:rsidRPr="00D30537">
        <w:t xml:space="preserve">: </w:t>
      </w:r>
      <w:r w:rsidRPr="00D30537">
        <w:rPr>
          <w:rStyle w:val="CommentReference"/>
          <w:b/>
          <w:szCs w:val="24"/>
        </w:rPr>
        <w:t>Overview of safety profile: naïve comparison of retifanlimab and avelumab</w:t>
      </w:r>
    </w:p>
    <w:tbl>
      <w:tblPr>
        <w:tblStyle w:val="TableGrid"/>
        <w:tblW w:w="5000" w:type="pct"/>
        <w:tblLook w:val="04A0" w:firstRow="1" w:lastRow="0" w:firstColumn="1" w:lastColumn="0" w:noHBand="0" w:noVBand="1"/>
        <w:tblCaption w:val="Table 8: Overview of safety profile: naïve comparison of retifanlimab and avelumab"/>
      </w:tblPr>
      <w:tblGrid>
        <w:gridCol w:w="3681"/>
        <w:gridCol w:w="1843"/>
        <w:gridCol w:w="1984"/>
        <w:gridCol w:w="1509"/>
      </w:tblGrid>
      <w:tr w:rsidR="008047AE" w:rsidRPr="00D30537" w14:paraId="33B696AA" w14:textId="77777777" w:rsidTr="004339E0">
        <w:trPr>
          <w:trHeight w:val="20"/>
        </w:trPr>
        <w:tc>
          <w:tcPr>
            <w:tcW w:w="2041" w:type="pct"/>
            <w:vAlign w:val="center"/>
          </w:tcPr>
          <w:p w14:paraId="0DA0F8A2" w14:textId="77777777" w:rsidR="008047AE" w:rsidRPr="00D30537" w:rsidRDefault="008047AE" w:rsidP="00D272A5">
            <w:pPr>
              <w:pStyle w:val="TableFigureHeading"/>
              <w:keepLines/>
              <w:rPr>
                <w:rFonts w:cstheme="minorHAnsi"/>
                <w:szCs w:val="20"/>
              </w:rPr>
            </w:pPr>
            <w:r w:rsidRPr="00D30537">
              <w:rPr>
                <w:rFonts w:cstheme="minorHAnsi"/>
                <w:szCs w:val="20"/>
              </w:rPr>
              <w:t>Study ID</w:t>
            </w:r>
          </w:p>
        </w:tc>
        <w:tc>
          <w:tcPr>
            <w:tcW w:w="2122" w:type="pct"/>
            <w:gridSpan w:val="2"/>
            <w:vAlign w:val="center"/>
          </w:tcPr>
          <w:p w14:paraId="736F0D01" w14:textId="77777777" w:rsidR="008047AE" w:rsidRPr="00D30537" w:rsidRDefault="008047AE" w:rsidP="00D272A5">
            <w:pPr>
              <w:pStyle w:val="TableFigureHeading"/>
              <w:keepLines/>
              <w:jc w:val="center"/>
              <w:rPr>
                <w:rFonts w:cstheme="minorHAnsi"/>
                <w:szCs w:val="20"/>
              </w:rPr>
            </w:pPr>
            <w:r w:rsidRPr="00D30537">
              <w:rPr>
                <w:rFonts w:cstheme="minorHAnsi"/>
                <w:szCs w:val="20"/>
              </w:rPr>
              <w:t>POD1UM-201</w:t>
            </w:r>
          </w:p>
        </w:tc>
        <w:tc>
          <w:tcPr>
            <w:tcW w:w="837" w:type="pct"/>
            <w:vAlign w:val="center"/>
          </w:tcPr>
          <w:p w14:paraId="0652DB60" w14:textId="77777777" w:rsidR="008047AE" w:rsidRPr="00D30537" w:rsidRDefault="008047AE" w:rsidP="00D272A5">
            <w:pPr>
              <w:pStyle w:val="TableFigureHeading"/>
              <w:keepLines/>
              <w:jc w:val="center"/>
              <w:rPr>
                <w:rFonts w:cstheme="minorHAnsi"/>
                <w:szCs w:val="20"/>
              </w:rPr>
            </w:pPr>
            <w:r w:rsidRPr="00D30537">
              <w:rPr>
                <w:rFonts w:cstheme="minorHAnsi"/>
                <w:szCs w:val="20"/>
              </w:rPr>
              <w:t>JM200 Part B</w:t>
            </w:r>
          </w:p>
        </w:tc>
      </w:tr>
      <w:tr w:rsidR="008047AE" w:rsidRPr="00D30537" w14:paraId="1DDF466F" w14:textId="77777777" w:rsidTr="00F103E5">
        <w:trPr>
          <w:trHeight w:val="20"/>
        </w:trPr>
        <w:tc>
          <w:tcPr>
            <w:tcW w:w="2041" w:type="pct"/>
            <w:vAlign w:val="center"/>
          </w:tcPr>
          <w:p w14:paraId="7EBED8B6" w14:textId="77777777" w:rsidR="008047AE" w:rsidRPr="00D30537" w:rsidRDefault="008047AE" w:rsidP="00D272A5">
            <w:pPr>
              <w:pStyle w:val="TableFigureHeading"/>
              <w:keepLines/>
              <w:rPr>
                <w:rFonts w:cstheme="minorHAnsi"/>
                <w:szCs w:val="20"/>
              </w:rPr>
            </w:pPr>
            <w:r w:rsidRPr="00D30537">
              <w:rPr>
                <w:rFonts w:cstheme="minorHAnsi"/>
                <w:szCs w:val="20"/>
              </w:rPr>
              <w:t>Treatment arm</w:t>
            </w:r>
          </w:p>
        </w:tc>
        <w:tc>
          <w:tcPr>
            <w:tcW w:w="1022" w:type="pct"/>
            <w:vAlign w:val="center"/>
          </w:tcPr>
          <w:p w14:paraId="7A8CBFF7" w14:textId="77777777" w:rsidR="008047AE" w:rsidRPr="00D30537" w:rsidRDefault="008047AE" w:rsidP="00D272A5">
            <w:pPr>
              <w:pStyle w:val="TableFigureHeading"/>
              <w:keepLines/>
              <w:jc w:val="center"/>
              <w:rPr>
                <w:rFonts w:cstheme="minorHAnsi"/>
                <w:szCs w:val="20"/>
              </w:rPr>
            </w:pPr>
            <w:r w:rsidRPr="00D30537">
              <w:rPr>
                <w:rFonts w:cstheme="minorHAnsi"/>
                <w:szCs w:val="20"/>
              </w:rPr>
              <w:t>Retifanlimab (N=107)</w:t>
            </w:r>
          </w:p>
          <w:p w14:paraId="04AD5EB2" w14:textId="77777777" w:rsidR="008047AE" w:rsidRPr="00D30537" w:rsidRDefault="008047AE" w:rsidP="00D272A5">
            <w:pPr>
              <w:pStyle w:val="TableFigureHeading"/>
              <w:keepLines/>
              <w:jc w:val="center"/>
              <w:rPr>
                <w:rFonts w:cstheme="minorHAnsi"/>
                <w:szCs w:val="20"/>
              </w:rPr>
            </w:pPr>
            <w:r w:rsidRPr="00D30537">
              <w:rPr>
                <w:rFonts w:cstheme="minorHAnsi"/>
                <w:szCs w:val="20"/>
              </w:rPr>
              <w:t>Total cohort</w:t>
            </w:r>
          </w:p>
        </w:tc>
        <w:tc>
          <w:tcPr>
            <w:tcW w:w="1100" w:type="pct"/>
            <w:vAlign w:val="center"/>
          </w:tcPr>
          <w:p w14:paraId="0A167ECD" w14:textId="77777777" w:rsidR="008047AE" w:rsidRPr="00D30537" w:rsidRDefault="008047AE" w:rsidP="00D272A5">
            <w:pPr>
              <w:pStyle w:val="TableFigureHeading"/>
              <w:keepLines/>
              <w:jc w:val="center"/>
              <w:rPr>
                <w:rFonts w:cstheme="minorHAnsi"/>
                <w:szCs w:val="20"/>
              </w:rPr>
            </w:pPr>
            <w:r w:rsidRPr="00D30537">
              <w:rPr>
                <w:rFonts w:cstheme="minorHAnsi"/>
                <w:szCs w:val="20"/>
              </w:rPr>
              <w:t>Retifanlimab (N=91)</w:t>
            </w:r>
          </w:p>
          <w:p w14:paraId="1C0B316D" w14:textId="77777777" w:rsidR="008047AE" w:rsidRPr="00D30537" w:rsidRDefault="008047AE" w:rsidP="00D272A5">
            <w:pPr>
              <w:pStyle w:val="TableFigureHeading"/>
              <w:keepLines/>
              <w:jc w:val="center"/>
              <w:rPr>
                <w:rFonts w:cstheme="minorHAnsi"/>
                <w:szCs w:val="20"/>
              </w:rPr>
            </w:pPr>
            <w:r w:rsidRPr="00D30537">
              <w:rPr>
                <w:rFonts w:cstheme="minorHAnsi"/>
                <w:szCs w:val="20"/>
              </w:rPr>
              <w:t>Chemotherapy-naïve metastatic cohort</w:t>
            </w:r>
          </w:p>
        </w:tc>
        <w:tc>
          <w:tcPr>
            <w:tcW w:w="837" w:type="pct"/>
            <w:vAlign w:val="center"/>
          </w:tcPr>
          <w:p w14:paraId="7473E9DA" w14:textId="77777777" w:rsidR="008047AE" w:rsidRPr="00D30537" w:rsidRDefault="008047AE" w:rsidP="00D272A5">
            <w:pPr>
              <w:pStyle w:val="TableFigureHeading"/>
              <w:keepLines/>
              <w:jc w:val="center"/>
              <w:rPr>
                <w:rFonts w:cstheme="minorHAnsi"/>
                <w:szCs w:val="20"/>
              </w:rPr>
            </w:pPr>
            <w:r w:rsidRPr="00D30537">
              <w:rPr>
                <w:rFonts w:cstheme="minorHAnsi"/>
                <w:szCs w:val="20"/>
              </w:rPr>
              <w:t>Avelumab (N=116)</w:t>
            </w:r>
          </w:p>
        </w:tc>
      </w:tr>
      <w:tr w:rsidR="008047AE" w:rsidRPr="00D30537" w14:paraId="41C6B84D" w14:textId="77777777" w:rsidTr="004339E0">
        <w:trPr>
          <w:trHeight w:val="20"/>
        </w:trPr>
        <w:tc>
          <w:tcPr>
            <w:tcW w:w="2041" w:type="pct"/>
            <w:vAlign w:val="center"/>
          </w:tcPr>
          <w:p w14:paraId="199DDC14" w14:textId="77777777"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Follow-up</w:t>
            </w:r>
          </w:p>
        </w:tc>
        <w:tc>
          <w:tcPr>
            <w:tcW w:w="2122" w:type="pct"/>
            <w:gridSpan w:val="2"/>
            <w:vAlign w:val="center"/>
          </w:tcPr>
          <w:p w14:paraId="5810B73E"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35.7 months</w:t>
            </w:r>
          </w:p>
        </w:tc>
        <w:tc>
          <w:tcPr>
            <w:tcW w:w="837" w:type="pct"/>
            <w:vAlign w:val="center"/>
          </w:tcPr>
          <w:p w14:paraId="1452A669"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21.2 months</w:t>
            </w:r>
          </w:p>
        </w:tc>
      </w:tr>
      <w:tr w:rsidR="008047AE" w:rsidRPr="00D30537" w14:paraId="3EDC8AA1" w14:textId="77777777" w:rsidTr="00F103E5">
        <w:trPr>
          <w:trHeight w:val="20"/>
        </w:trPr>
        <w:tc>
          <w:tcPr>
            <w:tcW w:w="2041" w:type="pct"/>
            <w:vAlign w:val="center"/>
          </w:tcPr>
          <w:p w14:paraId="7F99379D" w14:textId="32BD133C"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w:t>
            </w:r>
            <w:r w:rsidR="009F1DDB" w:rsidRPr="00D30537">
              <w:rPr>
                <w:rFonts w:cstheme="minorHAnsi"/>
                <w:b w:val="0"/>
                <w:bCs w:val="0"/>
                <w:szCs w:val="20"/>
              </w:rPr>
              <w:t>, n</w:t>
            </w:r>
            <w:r w:rsidR="00E22CC0" w:rsidRPr="00D30537">
              <w:rPr>
                <w:rFonts w:cstheme="minorHAnsi"/>
                <w:b w:val="0"/>
                <w:bCs w:val="0"/>
                <w:szCs w:val="20"/>
              </w:rPr>
              <w:t xml:space="preserve"> </w:t>
            </w:r>
            <w:r w:rsidR="009F1DDB" w:rsidRPr="00D30537">
              <w:rPr>
                <w:rFonts w:cstheme="minorHAnsi"/>
                <w:b w:val="0"/>
                <w:bCs w:val="0"/>
                <w:szCs w:val="20"/>
              </w:rPr>
              <w:t>(%)</w:t>
            </w:r>
          </w:p>
        </w:tc>
        <w:tc>
          <w:tcPr>
            <w:tcW w:w="1022" w:type="pct"/>
            <w:vAlign w:val="center"/>
          </w:tcPr>
          <w:p w14:paraId="33F7737A"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97 (90.7)</w:t>
            </w:r>
          </w:p>
        </w:tc>
        <w:tc>
          <w:tcPr>
            <w:tcW w:w="1100" w:type="pct"/>
            <w:vAlign w:val="center"/>
          </w:tcPr>
          <w:p w14:paraId="3715E976"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82 (90.1)</w:t>
            </w:r>
          </w:p>
        </w:tc>
        <w:tc>
          <w:tcPr>
            <w:tcW w:w="837" w:type="pct"/>
            <w:vAlign w:val="center"/>
          </w:tcPr>
          <w:p w14:paraId="5EAA1B0C"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116 (100.0)</w:t>
            </w:r>
          </w:p>
        </w:tc>
      </w:tr>
      <w:tr w:rsidR="008047AE" w:rsidRPr="00D30537" w14:paraId="736EA889" w14:textId="77777777" w:rsidTr="00F103E5">
        <w:trPr>
          <w:trHeight w:val="20"/>
        </w:trPr>
        <w:tc>
          <w:tcPr>
            <w:tcW w:w="2041" w:type="pct"/>
            <w:vAlign w:val="center"/>
          </w:tcPr>
          <w:p w14:paraId="2DBF1237" w14:textId="78E507CB"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Related TEAE</w:t>
            </w:r>
            <w:r w:rsidR="009F1DDB" w:rsidRPr="00D30537">
              <w:rPr>
                <w:rFonts w:cstheme="minorHAnsi"/>
                <w:b w:val="0"/>
                <w:bCs w:val="0"/>
                <w:szCs w:val="20"/>
              </w:rPr>
              <w:t>, n (%)</w:t>
            </w:r>
          </w:p>
        </w:tc>
        <w:tc>
          <w:tcPr>
            <w:tcW w:w="1022" w:type="pct"/>
            <w:vAlign w:val="center"/>
          </w:tcPr>
          <w:p w14:paraId="162A85A6"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72 (67.3)</w:t>
            </w:r>
          </w:p>
        </w:tc>
        <w:tc>
          <w:tcPr>
            <w:tcW w:w="1100" w:type="pct"/>
            <w:vAlign w:val="center"/>
          </w:tcPr>
          <w:p w14:paraId="7855F796"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57 (62.6)</w:t>
            </w:r>
          </w:p>
        </w:tc>
        <w:tc>
          <w:tcPr>
            <w:tcW w:w="837" w:type="pct"/>
            <w:vAlign w:val="center"/>
          </w:tcPr>
          <w:p w14:paraId="15081DDF"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94 (81.0)</w:t>
            </w:r>
          </w:p>
        </w:tc>
      </w:tr>
      <w:tr w:rsidR="008047AE" w:rsidRPr="00D30537" w14:paraId="75A0E24E" w14:textId="77777777" w:rsidTr="00F103E5">
        <w:trPr>
          <w:trHeight w:val="20"/>
        </w:trPr>
        <w:tc>
          <w:tcPr>
            <w:tcW w:w="2041" w:type="pct"/>
            <w:vAlign w:val="center"/>
          </w:tcPr>
          <w:p w14:paraId="77447645" w14:textId="487F75FC"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Serious TEAE</w:t>
            </w:r>
            <w:r w:rsidR="009F1DDB" w:rsidRPr="00D30537">
              <w:rPr>
                <w:rFonts w:cstheme="minorHAnsi"/>
                <w:b w:val="0"/>
                <w:bCs w:val="0"/>
                <w:szCs w:val="20"/>
              </w:rPr>
              <w:t>, n (%)</w:t>
            </w:r>
          </w:p>
        </w:tc>
        <w:tc>
          <w:tcPr>
            <w:tcW w:w="1022" w:type="pct"/>
            <w:vAlign w:val="center"/>
          </w:tcPr>
          <w:p w14:paraId="187A217E"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28 (26.2)</w:t>
            </w:r>
          </w:p>
        </w:tc>
        <w:tc>
          <w:tcPr>
            <w:tcW w:w="1100" w:type="pct"/>
            <w:vAlign w:val="center"/>
          </w:tcPr>
          <w:p w14:paraId="20638BF5"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24 (26.4)</w:t>
            </w:r>
          </w:p>
        </w:tc>
        <w:tc>
          <w:tcPr>
            <w:tcW w:w="837" w:type="pct"/>
            <w:vAlign w:val="center"/>
          </w:tcPr>
          <w:p w14:paraId="25FCFDCA"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58 (50.0)</w:t>
            </w:r>
          </w:p>
        </w:tc>
      </w:tr>
      <w:tr w:rsidR="008047AE" w:rsidRPr="00D30537" w14:paraId="7B182F1D" w14:textId="77777777" w:rsidTr="00F103E5">
        <w:trPr>
          <w:trHeight w:val="20"/>
        </w:trPr>
        <w:tc>
          <w:tcPr>
            <w:tcW w:w="2041" w:type="pct"/>
            <w:vAlign w:val="center"/>
          </w:tcPr>
          <w:p w14:paraId="3816C5D2" w14:textId="6FE94141"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Related serious TEAE</w:t>
            </w:r>
            <w:r w:rsidR="009F1DDB" w:rsidRPr="00D30537">
              <w:rPr>
                <w:rFonts w:cstheme="minorHAnsi"/>
                <w:b w:val="0"/>
                <w:bCs w:val="0"/>
                <w:szCs w:val="20"/>
              </w:rPr>
              <w:t>, n (%)</w:t>
            </w:r>
          </w:p>
        </w:tc>
        <w:tc>
          <w:tcPr>
            <w:tcW w:w="1022" w:type="pct"/>
            <w:vAlign w:val="center"/>
          </w:tcPr>
          <w:p w14:paraId="5CAFC9F3"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13 (12.1)</w:t>
            </w:r>
          </w:p>
        </w:tc>
        <w:tc>
          <w:tcPr>
            <w:tcW w:w="1100" w:type="pct"/>
            <w:vAlign w:val="center"/>
          </w:tcPr>
          <w:p w14:paraId="5EE3661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10 (11.0)</w:t>
            </w:r>
          </w:p>
        </w:tc>
        <w:tc>
          <w:tcPr>
            <w:tcW w:w="837" w:type="pct"/>
            <w:vAlign w:val="center"/>
          </w:tcPr>
          <w:p w14:paraId="54D14385"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17 (14.7)</w:t>
            </w:r>
          </w:p>
        </w:tc>
      </w:tr>
      <w:tr w:rsidR="008047AE" w:rsidRPr="00D30537" w14:paraId="1F242850" w14:textId="77777777" w:rsidTr="00F103E5">
        <w:trPr>
          <w:trHeight w:val="20"/>
        </w:trPr>
        <w:tc>
          <w:tcPr>
            <w:tcW w:w="2041" w:type="pct"/>
            <w:vAlign w:val="center"/>
          </w:tcPr>
          <w:p w14:paraId="69D457A8" w14:textId="5E4B0B03"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 grade ≥3</w:t>
            </w:r>
            <w:r w:rsidR="009F1DDB" w:rsidRPr="00D30537">
              <w:rPr>
                <w:rFonts w:cstheme="minorHAnsi"/>
                <w:b w:val="0"/>
                <w:bCs w:val="0"/>
                <w:szCs w:val="20"/>
              </w:rPr>
              <w:t>, n (%)</w:t>
            </w:r>
          </w:p>
        </w:tc>
        <w:tc>
          <w:tcPr>
            <w:tcW w:w="1022" w:type="pct"/>
            <w:vAlign w:val="center"/>
          </w:tcPr>
          <w:p w14:paraId="1233A612"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34 (31.8)</w:t>
            </w:r>
          </w:p>
        </w:tc>
        <w:tc>
          <w:tcPr>
            <w:tcW w:w="1100" w:type="pct"/>
            <w:vAlign w:val="center"/>
          </w:tcPr>
          <w:p w14:paraId="6276B271"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30 (33.0)</w:t>
            </w:r>
          </w:p>
        </w:tc>
        <w:tc>
          <w:tcPr>
            <w:tcW w:w="837" w:type="pct"/>
            <w:vAlign w:val="center"/>
          </w:tcPr>
          <w:p w14:paraId="7EA871D6"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70 (60.3)</w:t>
            </w:r>
          </w:p>
        </w:tc>
      </w:tr>
      <w:tr w:rsidR="008047AE" w:rsidRPr="00D30537" w14:paraId="0CF0FE5A" w14:textId="77777777" w:rsidTr="00F103E5">
        <w:trPr>
          <w:trHeight w:val="20"/>
        </w:trPr>
        <w:tc>
          <w:tcPr>
            <w:tcW w:w="2041" w:type="pct"/>
            <w:vAlign w:val="center"/>
          </w:tcPr>
          <w:p w14:paraId="492B4B6C" w14:textId="450AA080"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Related TEAE, grade ≥3</w:t>
            </w:r>
            <w:r w:rsidR="009F1DDB" w:rsidRPr="00D30537">
              <w:rPr>
                <w:rFonts w:cstheme="minorHAnsi"/>
                <w:b w:val="0"/>
                <w:bCs w:val="0"/>
                <w:szCs w:val="20"/>
              </w:rPr>
              <w:t>, n (%)</w:t>
            </w:r>
          </w:p>
        </w:tc>
        <w:tc>
          <w:tcPr>
            <w:tcW w:w="1022" w:type="pct"/>
            <w:vAlign w:val="center"/>
          </w:tcPr>
          <w:p w14:paraId="1CF93738"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18 (16.8)</w:t>
            </w:r>
          </w:p>
        </w:tc>
        <w:tc>
          <w:tcPr>
            <w:tcW w:w="1100" w:type="pct"/>
            <w:vAlign w:val="center"/>
          </w:tcPr>
          <w:p w14:paraId="1FC80FA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15 (16.5)</w:t>
            </w:r>
          </w:p>
        </w:tc>
        <w:tc>
          <w:tcPr>
            <w:tcW w:w="837" w:type="pct"/>
            <w:vAlign w:val="center"/>
          </w:tcPr>
          <w:p w14:paraId="590E1964"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21 (18.1)</w:t>
            </w:r>
          </w:p>
        </w:tc>
      </w:tr>
      <w:tr w:rsidR="008047AE" w:rsidRPr="00D30537" w14:paraId="6D9627EF" w14:textId="77777777" w:rsidTr="00F103E5">
        <w:trPr>
          <w:trHeight w:val="20"/>
        </w:trPr>
        <w:tc>
          <w:tcPr>
            <w:tcW w:w="2041" w:type="pct"/>
            <w:vAlign w:val="center"/>
          </w:tcPr>
          <w:p w14:paraId="145A8130" w14:textId="776EC2B7"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TEAE/TEAE leading to death</w:t>
            </w:r>
            <w:r w:rsidR="009F1DDB" w:rsidRPr="00D30537">
              <w:rPr>
                <w:rFonts w:cstheme="minorHAnsi"/>
                <w:b w:val="0"/>
                <w:bCs w:val="0"/>
                <w:szCs w:val="20"/>
              </w:rPr>
              <w:t>, n (%)</w:t>
            </w:r>
          </w:p>
        </w:tc>
        <w:tc>
          <w:tcPr>
            <w:tcW w:w="1022" w:type="pct"/>
            <w:vAlign w:val="center"/>
          </w:tcPr>
          <w:p w14:paraId="6F1AD4A5"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4 (3.7)</w:t>
            </w:r>
          </w:p>
        </w:tc>
        <w:tc>
          <w:tcPr>
            <w:tcW w:w="1100" w:type="pct"/>
            <w:vAlign w:val="center"/>
          </w:tcPr>
          <w:p w14:paraId="735C9F58"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4 (4.0)</w:t>
            </w:r>
          </w:p>
        </w:tc>
        <w:tc>
          <w:tcPr>
            <w:tcW w:w="837" w:type="pct"/>
            <w:vAlign w:val="center"/>
          </w:tcPr>
          <w:p w14:paraId="4359F844"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15 (12.9)</w:t>
            </w:r>
          </w:p>
        </w:tc>
      </w:tr>
      <w:tr w:rsidR="008047AE" w:rsidRPr="00D30537" w14:paraId="52AD8B29" w14:textId="77777777" w:rsidTr="00F103E5">
        <w:trPr>
          <w:trHeight w:val="20"/>
        </w:trPr>
        <w:tc>
          <w:tcPr>
            <w:tcW w:w="2041" w:type="pct"/>
            <w:vAlign w:val="center"/>
          </w:tcPr>
          <w:p w14:paraId="3C6669AA" w14:textId="31171623"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TEAE leading to permanent treatment discontinuation</w:t>
            </w:r>
            <w:r w:rsidR="009F1DDB" w:rsidRPr="00D30537">
              <w:rPr>
                <w:rFonts w:cstheme="minorHAnsi"/>
                <w:b w:val="0"/>
                <w:bCs w:val="0"/>
                <w:szCs w:val="20"/>
              </w:rPr>
              <w:t>, n (%)</w:t>
            </w:r>
          </w:p>
        </w:tc>
        <w:tc>
          <w:tcPr>
            <w:tcW w:w="1022" w:type="pct"/>
            <w:vAlign w:val="center"/>
          </w:tcPr>
          <w:p w14:paraId="3FF07D3E"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38 (35.5)</w:t>
            </w:r>
          </w:p>
        </w:tc>
        <w:tc>
          <w:tcPr>
            <w:tcW w:w="1100" w:type="pct"/>
            <w:vAlign w:val="center"/>
          </w:tcPr>
          <w:p w14:paraId="08018F3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19 (20.9)</w:t>
            </w:r>
          </w:p>
        </w:tc>
        <w:tc>
          <w:tcPr>
            <w:tcW w:w="837" w:type="pct"/>
            <w:vAlign w:val="center"/>
          </w:tcPr>
          <w:p w14:paraId="3EE0D739"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30 (25.9)</w:t>
            </w:r>
          </w:p>
        </w:tc>
      </w:tr>
      <w:tr w:rsidR="008047AE" w:rsidRPr="00D30537" w14:paraId="6DBCACC6" w14:textId="77777777" w:rsidTr="00F103E5">
        <w:trPr>
          <w:trHeight w:val="20"/>
        </w:trPr>
        <w:tc>
          <w:tcPr>
            <w:tcW w:w="2041" w:type="pct"/>
            <w:vAlign w:val="center"/>
          </w:tcPr>
          <w:p w14:paraId="116BD10C" w14:textId="2E281B4E"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Treatment-emergent irAE (any grade)</w:t>
            </w:r>
            <w:r w:rsidR="009F1DDB" w:rsidRPr="00D30537">
              <w:rPr>
                <w:rFonts w:cstheme="minorHAnsi"/>
                <w:b w:val="0"/>
                <w:bCs w:val="0"/>
                <w:szCs w:val="20"/>
              </w:rPr>
              <w:t>, n (%)</w:t>
            </w:r>
          </w:p>
        </w:tc>
        <w:tc>
          <w:tcPr>
            <w:tcW w:w="1022" w:type="pct"/>
            <w:vAlign w:val="center"/>
          </w:tcPr>
          <w:p w14:paraId="703F791F"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38 (35.5)</w:t>
            </w:r>
          </w:p>
        </w:tc>
        <w:tc>
          <w:tcPr>
            <w:tcW w:w="1100" w:type="pct"/>
            <w:vAlign w:val="center"/>
          </w:tcPr>
          <w:p w14:paraId="4E168A34"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32 (35.2)</w:t>
            </w:r>
          </w:p>
        </w:tc>
        <w:tc>
          <w:tcPr>
            <w:tcW w:w="837" w:type="pct"/>
            <w:vAlign w:val="center"/>
          </w:tcPr>
          <w:p w14:paraId="51C0D51D"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35 (30.2)</w:t>
            </w:r>
          </w:p>
        </w:tc>
      </w:tr>
      <w:tr w:rsidR="008047AE" w:rsidRPr="00D30537" w14:paraId="4D683842" w14:textId="77777777" w:rsidTr="00F103E5">
        <w:trPr>
          <w:trHeight w:val="20"/>
        </w:trPr>
        <w:tc>
          <w:tcPr>
            <w:tcW w:w="2041" w:type="pct"/>
            <w:tcBorders>
              <w:bottom w:val="single" w:sz="4" w:space="0" w:color="auto"/>
            </w:tcBorders>
            <w:vAlign w:val="center"/>
          </w:tcPr>
          <w:p w14:paraId="7A3D0FB4" w14:textId="3F3699B1" w:rsidR="008047AE" w:rsidRPr="00D30537" w:rsidRDefault="008047AE" w:rsidP="00D272A5">
            <w:pPr>
              <w:pStyle w:val="TableFigureHeading"/>
              <w:keepLines/>
              <w:rPr>
                <w:rFonts w:cstheme="minorHAnsi"/>
                <w:b w:val="0"/>
                <w:bCs w:val="0"/>
                <w:szCs w:val="20"/>
              </w:rPr>
            </w:pPr>
            <w:r w:rsidRPr="00D30537">
              <w:rPr>
                <w:rFonts w:cstheme="minorHAnsi"/>
                <w:b w:val="0"/>
                <w:bCs w:val="0"/>
                <w:szCs w:val="20"/>
              </w:rPr>
              <w:t>Treatment-emergent irAE, grade ≥3</w:t>
            </w:r>
            <w:r w:rsidR="009F1DDB" w:rsidRPr="00D30537">
              <w:rPr>
                <w:rFonts w:cstheme="minorHAnsi"/>
                <w:b w:val="0"/>
                <w:bCs w:val="0"/>
                <w:szCs w:val="20"/>
              </w:rPr>
              <w:t>, n (%)</w:t>
            </w:r>
          </w:p>
        </w:tc>
        <w:tc>
          <w:tcPr>
            <w:tcW w:w="1022" w:type="pct"/>
            <w:vAlign w:val="center"/>
          </w:tcPr>
          <w:p w14:paraId="13905C43" w14:textId="77777777" w:rsidR="008047AE" w:rsidRPr="00D30537" w:rsidRDefault="008047AE" w:rsidP="00D272A5">
            <w:pPr>
              <w:pStyle w:val="TableFigureHeading"/>
              <w:keepLines/>
              <w:jc w:val="center"/>
              <w:rPr>
                <w:rFonts w:cstheme="minorHAnsi"/>
                <w:b w:val="0"/>
                <w:bCs w:val="0"/>
                <w:szCs w:val="20"/>
              </w:rPr>
            </w:pPr>
            <w:r w:rsidRPr="00D30537">
              <w:rPr>
                <w:b w:val="0"/>
                <w:bCs w:val="0"/>
                <w:color w:val="000000" w:themeColor="text1"/>
                <w:szCs w:val="20"/>
              </w:rPr>
              <w:t>12 (11.2)</w:t>
            </w:r>
          </w:p>
        </w:tc>
        <w:tc>
          <w:tcPr>
            <w:tcW w:w="1100" w:type="pct"/>
            <w:tcBorders>
              <w:bottom w:val="single" w:sz="4" w:space="0" w:color="auto"/>
            </w:tcBorders>
            <w:vAlign w:val="center"/>
          </w:tcPr>
          <w:p w14:paraId="24303129"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10 (11.0)</w:t>
            </w:r>
          </w:p>
        </w:tc>
        <w:tc>
          <w:tcPr>
            <w:tcW w:w="837" w:type="pct"/>
            <w:tcBorders>
              <w:bottom w:val="single" w:sz="4" w:space="0" w:color="auto"/>
            </w:tcBorders>
            <w:vAlign w:val="center"/>
          </w:tcPr>
          <w:p w14:paraId="67DABBEC" w14:textId="77777777" w:rsidR="008047AE" w:rsidRPr="00D30537" w:rsidRDefault="008047AE" w:rsidP="00D272A5">
            <w:pPr>
              <w:pStyle w:val="TableFigureHeading"/>
              <w:keepLines/>
              <w:jc w:val="center"/>
              <w:rPr>
                <w:rFonts w:cstheme="minorHAnsi"/>
                <w:b w:val="0"/>
                <w:bCs w:val="0"/>
                <w:szCs w:val="20"/>
              </w:rPr>
            </w:pPr>
            <w:r w:rsidRPr="00D30537">
              <w:rPr>
                <w:rFonts w:cstheme="minorHAnsi"/>
                <w:b w:val="0"/>
                <w:bCs w:val="0"/>
                <w:szCs w:val="20"/>
              </w:rPr>
              <w:t>7 (6.0)</w:t>
            </w:r>
          </w:p>
        </w:tc>
      </w:tr>
      <w:tr w:rsidR="004339E0" w:rsidRPr="00D30537" w14:paraId="4C4B4D17" w14:textId="77777777" w:rsidTr="004339E0">
        <w:trPr>
          <w:trHeight w:val="20"/>
        </w:trPr>
        <w:tc>
          <w:tcPr>
            <w:tcW w:w="5000" w:type="pct"/>
            <w:gridSpan w:val="4"/>
            <w:vAlign w:val="center"/>
          </w:tcPr>
          <w:p w14:paraId="3A077CCB" w14:textId="715495A4" w:rsidR="004339E0" w:rsidRPr="00D30537" w:rsidRDefault="004339E0" w:rsidP="005A496B">
            <w:pPr>
              <w:pStyle w:val="TableFigureHeading"/>
              <w:keepLines/>
              <w:rPr>
                <w:b w:val="0"/>
                <w:bCs w:val="0"/>
              </w:rPr>
            </w:pPr>
            <w:r w:rsidRPr="00D30537">
              <w:t>Summary of infusion-related reactions (IRR)</w:t>
            </w:r>
          </w:p>
        </w:tc>
      </w:tr>
      <w:tr w:rsidR="008047AE" w:rsidRPr="00D30537" w14:paraId="4F436060" w14:textId="77777777" w:rsidTr="00F103E5">
        <w:trPr>
          <w:trHeight w:val="20"/>
        </w:trPr>
        <w:tc>
          <w:tcPr>
            <w:tcW w:w="2041" w:type="pct"/>
            <w:vAlign w:val="center"/>
          </w:tcPr>
          <w:p w14:paraId="7FD940EC" w14:textId="51D8CC83" w:rsidR="008047AE" w:rsidRPr="00D30537" w:rsidRDefault="008047AE" w:rsidP="00D272A5">
            <w:pPr>
              <w:pStyle w:val="TableFigureHeading"/>
              <w:keepLines/>
              <w:rPr>
                <w:rFonts w:cstheme="minorHAnsi"/>
                <w:b w:val="0"/>
                <w:bCs w:val="0"/>
                <w:szCs w:val="20"/>
              </w:rPr>
            </w:pPr>
            <w:r w:rsidRPr="00D30537">
              <w:rPr>
                <w:b w:val="0"/>
                <w:bCs w:val="0"/>
              </w:rPr>
              <w:t>Treatment-emergent IRR (any grade)</w:t>
            </w:r>
            <w:r w:rsidR="009F1DDB" w:rsidRPr="00D30537">
              <w:rPr>
                <w:rFonts w:cstheme="minorHAnsi"/>
                <w:b w:val="0"/>
                <w:bCs w:val="0"/>
                <w:szCs w:val="20"/>
              </w:rPr>
              <w:t>, n (%)</w:t>
            </w:r>
          </w:p>
        </w:tc>
        <w:tc>
          <w:tcPr>
            <w:tcW w:w="1022" w:type="pct"/>
            <w:vAlign w:val="center"/>
          </w:tcPr>
          <w:p w14:paraId="4C9C8835" w14:textId="77777777" w:rsidR="008047AE" w:rsidRPr="00D30537" w:rsidRDefault="008047AE" w:rsidP="00D272A5">
            <w:pPr>
              <w:pStyle w:val="TableFigureHeading"/>
              <w:keepLines/>
              <w:jc w:val="center"/>
              <w:rPr>
                <w:b w:val="0"/>
                <w:bCs w:val="0"/>
              </w:rPr>
            </w:pPr>
            <w:r w:rsidRPr="00D30537">
              <w:rPr>
                <w:b w:val="0"/>
                <w:bCs w:val="0"/>
                <w:color w:val="000000" w:themeColor="text1"/>
                <w:szCs w:val="20"/>
              </w:rPr>
              <w:t>5 (4.7)</w:t>
            </w:r>
          </w:p>
        </w:tc>
        <w:tc>
          <w:tcPr>
            <w:tcW w:w="1100" w:type="pct"/>
            <w:vAlign w:val="center"/>
          </w:tcPr>
          <w:p w14:paraId="2C223771" w14:textId="77777777" w:rsidR="008047AE" w:rsidRPr="00D30537" w:rsidRDefault="008047AE" w:rsidP="00D272A5">
            <w:pPr>
              <w:pStyle w:val="TableFigureHeading"/>
              <w:keepLines/>
              <w:jc w:val="center"/>
              <w:rPr>
                <w:rFonts w:cstheme="minorHAnsi"/>
                <w:b w:val="0"/>
                <w:bCs w:val="0"/>
                <w:szCs w:val="20"/>
                <w:vertAlign w:val="superscript"/>
              </w:rPr>
            </w:pPr>
            <w:r w:rsidRPr="00D30537">
              <w:rPr>
                <w:b w:val="0"/>
                <w:bCs w:val="0"/>
              </w:rPr>
              <w:t>3 (3.3)</w:t>
            </w:r>
          </w:p>
        </w:tc>
        <w:tc>
          <w:tcPr>
            <w:tcW w:w="837" w:type="pct"/>
            <w:vAlign w:val="center"/>
          </w:tcPr>
          <w:p w14:paraId="37B5A9E4" w14:textId="77777777" w:rsidR="008047AE" w:rsidRPr="00D30537" w:rsidRDefault="008047AE" w:rsidP="00D272A5">
            <w:pPr>
              <w:pStyle w:val="TableFigureHeading"/>
              <w:keepLines/>
              <w:jc w:val="center"/>
              <w:rPr>
                <w:rFonts w:cstheme="minorHAnsi"/>
                <w:b w:val="0"/>
                <w:bCs w:val="0"/>
                <w:szCs w:val="20"/>
                <w:vertAlign w:val="superscript"/>
              </w:rPr>
            </w:pPr>
            <w:r w:rsidRPr="00D30537">
              <w:rPr>
                <w:b w:val="0"/>
                <w:bCs w:val="0"/>
              </w:rPr>
              <w:t>34 (29.3)</w:t>
            </w:r>
          </w:p>
        </w:tc>
      </w:tr>
      <w:tr w:rsidR="008047AE" w:rsidRPr="00D30537" w14:paraId="6C0FF3EA" w14:textId="77777777" w:rsidTr="00F103E5">
        <w:trPr>
          <w:trHeight w:val="20"/>
        </w:trPr>
        <w:tc>
          <w:tcPr>
            <w:tcW w:w="2041" w:type="pct"/>
            <w:vAlign w:val="center"/>
          </w:tcPr>
          <w:p w14:paraId="66D526D4" w14:textId="052A9F13" w:rsidR="008047AE" w:rsidRPr="00D30537" w:rsidRDefault="008047AE" w:rsidP="00D272A5">
            <w:pPr>
              <w:pStyle w:val="TableFigureHeading"/>
              <w:keepLines/>
              <w:rPr>
                <w:b w:val="0"/>
                <w:bCs w:val="0"/>
              </w:rPr>
            </w:pPr>
            <w:r w:rsidRPr="00D30537">
              <w:rPr>
                <w:b w:val="0"/>
                <w:bCs w:val="0"/>
              </w:rPr>
              <w:t>Treatment-emergent IRR (grade ≥ 3)</w:t>
            </w:r>
            <w:r w:rsidR="009F1DDB" w:rsidRPr="00D30537">
              <w:rPr>
                <w:rFonts w:cstheme="minorHAnsi"/>
                <w:b w:val="0"/>
                <w:bCs w:val="0"/>
                <w:szCs w:val="20"/>
              </w:rPr>
              <w:t>, n (%)</w:t>
            </w:r>
          </w:p>
        </w:tc>
        <w:tc>
          <w:tcPr>
            <w:tcW w:w="1022" w:type="pct"/>
            <w:vAlign w:val="center"/>
          </w:tcPr>
          <w:p w14:paraId="1A3F78B2" w14:textId="77777777" w:rsidR="008047AE" w:rsidRPr="00D30537" w:rsidRDefault="008047AE" w:rsidP="00D272A5">
            <w:pPr>
              <w:pStyle w:val="TableFigureHeading"/>
              <w:keepLines/>
              <w:jc w:val="center"/>
              <w:rPr>
                <w:b w:val="0"/>
                <w:bCs w:val="0"/>
              </w:rPr>
            </w:pPr>
            <w:r w:rsidRPr="00D30537">
              <w:rPr>
                <w:b w:val="0"/>
                <w:bCs w:val="0"/>
                <w:color w:val="000000" w:themeColor="text1"/>
                <w:szCs w:val="20"/>
              </w:rPr>
              <w:t>2 (1.9)</w:t>
            </w:r>
          </w:p>
        </w:tc>
        <w:tc>
          <w:tcPr>
            <w:tcW w:w="1100" w:type="pct"/>
            <w:vAlign w:val="center"/>
          </w:tcPr>
          <w:p w14:paraId="10060ACD" w14:textId="77777777" w:rsidR="008047AE" w:rsidRPr="00D30537" w:rsidRDefault="008047AE" w:rsidP="00D272A5">
            <w:pPr>
              <w:pStyle w:val="TableFigureHeading"/>
              <w:keepLines/>
              <w:jc w:val="center"/>
              <w:rPr>
                <w:b w:val="0"/>
                <w:bCs w:val="0"/>
              </w:rPr>
            </w:pPr>
            <w:r w:rsidRPr="00D30537">
              <w:rPr>
                <w:b w:val="0"/>
                <w:bCs w:val="0"/>
              </w:rPr>
              <w:t>1 (1.1)</w:t>
            </w:r>
          </w:p>
        </w:tc>
        <w:tc>
          <w:tcPr>
            <w:tcW w:w="837" w:type="pct"/>
            <w:vAlign w:val="center"/>
          </w:tcPr>
          <w:p w14:paraId="52D90E8C" w14:textId="77777777" w:rsidR="008047AE" w:rsidRPr="00D30537" w:rsidRDefault="008047AE" w:rsidP="00D272A5">
            <w:pPr>
              <w:pStyle w:val="TableFigureHeading"/>
              <w:keepLines/>
              <w:jc w:val="center"/>
              <w:rPr>
                <w:b w:val="0"/>
                <w:bCs w:val="0"/>
                <w:vertAlign w:val="superscript"/>
              </w:rPr>
            </w:pPr>
            <w:r w:rsidRPr="00D30537">
              <w:rPr>
                <w:b w:val="0"/>
                <w:bCs w:val="0"/>
              </w:rPr>
              <w:t>1 (0.9)</w:t>
            </w:r>
          </w:p>
        </w:tc>
      </w:tr>
      <w:tr w:rsidR="008047AE" w:rsidRPr="00D30537" w14:paraId="5D8C266A" w14:textId="77777777" w:rsidTr="00F103E5">
        <w:trPr>
          <w:trHeight w:val="20"/>
        </w:trPr>
        <w:tc>
          <w:tcPr>
            <w:tcW w:w="2041" w:type="pct"/>
            <w:vAlign w:val="center"/>
          </w:tcPr>
          <w:p w14:paraId="3B0D36CB" w14:textId="4F255B71" w:rsidR="008047AE" w:rsidRPr="00D30537" w:rsidRDefault="008047AE" w:rsidP="00D272A5">
            <w:pPr>
              <w:pStyle w:val="TableFigureHeading"/>
              <w:keepLines/>
              <w:rPr>
                <w:b w:val="0"/>
                <w:bCs w:val="0"/>
              </w:rPr>
            </w:pPr>
            <w:r w:rsidRPr="00D30537">
              <w:rPr>
                <w:b w:val="0"/>
                <w:bCs w:val="0"/>
              </w:rPr>
              <w:t>Treatment-related IRR (any grade)</w:t>
            </w:r>
            <w:r w:rsidR="009F1DDB" w:rsidRPr="00D30537">
              <w:rPr>
                <w:rFonts w:cstheme="minorHAnsi"/>
                <w:b w:val="0"/>
                <w:bCs w:val="0"/>
                <w:szCs w:val="20"/>
              </w:rPr>
              <w:t>, n (%)</w:t>
            </w:r>
          </w:p>
        </w:tc>
        <w:tc>
          <w:tcPr>
            <w:tcW w:w="1022" w:type="pct"/>
            <w:vAlign w:val="center"/>
          </w:tcPr>
          <w:p w14:paraId="04FBDB0C" w14:textId="77777777" w:rsidR="008047AE" w:rsidRPr="00D30537" w:rsidRDefault="008047AE" w:rsidP="00D272A5">
            <w:pPr>
              <w:pStyle w:val="TableFigureHeading"/>
              <w:keepLines/>
              <w:jc w:val="center"/>
              <w:rPr>
                <w:b w:val="0"/>
                <w:bCs w:val="0"/>
              </w:rPr>
            </w:pPr>
            <w:r w:rsidRPr="00D30537">
              <w:rPr>
                <w:b w:val="0"/>
                <w:bCs w:val="0"/>
              </w:rPr>
              <w:t>5 (4.7)</w:t>
            </w:r>
          </w:p>
        </w:tc>
        <w:tc>
          <w:tcPr>
            <w:tcW w:w="1100" w:type="pct"/>
            <w:vAlign w:val="center"/>
          </w:tcPr>
          <w:p w14:paraId="4D0F11E8" w14:textId="77777777" w:rsidR="008047AE" w:rsidRPr="00D30537" w:rsidRDefault="008047AE" w:rsidP="00D272A5">
            <w:pPr>
              <w:pStyle w:val="TableFigureHeading"/>
              <w:keepLines/>
              <w:jc w:val="center"/>
              <w:rPr>
                <w:b w:val="0"/>
                <w:bCs w:val="0"/>
              </w:rPr>
            </w:pPr>
            <w:r w:rsidRPr="00D30537">
              <w:rPr>
                <w:b w:val="0"/>
                <w:bCs w:val="0"/>
              </w:rPr>
              <w:t>3 (3.3)</w:t>
            </w:r>
          </w:p>
        </w:tc>
        <w:tc>
          <w:tcPr>
            <w:tcW w:w="837" w:type="pct"/>
            <w:vAlign w:val="center"/>
          </w:tcPr>
          <w:p w14:paraId="562ED41C" w14:textId="77777777" w:rsidR="008047AE" w:rsidRPr="00D30537" w:rsidRDefault="008047AE" w:rsidP="00D272A5">
            <w:pPr>
              <w:pStyle w:val="TableFigureHeading"/>
              <w:keepLines/>
              <w:jc w:val="center"/>
              <w:rPr>
                <w:b w:val="0"/>
                <w:bCs w:val="0"/>
                <w:vertAlign w:val="superscript"/>
              </w:rPr>
            </w:pPr>
            <w:r w:rsidRPr="00D30537">
              <w:rPr>
                <w:b w:val="0"/>
                <w:bCs w:val="0"/>
              </w:rPr>
              <w:t xml:space="preserve">13 (11.2) </w:t>
            </w:r>
            <w:r w:rsidRPr="00D30537">
              <w:rPr>
                <w:b w:val="0"/>
                <w:bCs w:val="0"/>
                <w:vertAlign w:val="superscript"/>
              </w:rPr>
              <w:t>a</w:t>
            </w:r>
          </w:p>
        </w:tc>
      </w:tr>
      <w:tr w:rsidR="008047AE" w:rsidRPr="00D30537" w14:paraId="084600AF" w14:textId="77777777" w:rsidTr="00F103E5">
        <w:trPr>
          <w:trHeight w:val="20"/>
        </w:trPr>
        <w:tc>
          <w:tcPr>
            <w:tcW w:w="2041" w:type="pct"/>
            <w:vAlign w:val="center"/>
          </w:tcPr>
          <w:p w14:paraId="64AA8E17" w14:textId="2672A19D" w:rsidR="008047AE" w:rsidRPr="00D30537" w:rsidRDefault="008047AE" w:rsidP="00D272A5">
            <w:pPr>
              <w:pStyle w:val="TableFigureHeading"/>
              <w:keepLines/>
              <w:rPr>
                <w:b w:val="0"/>
                <w:bCs w:val="0"/>
              </w:rPr>
            </w:pPr>
            <w:r w:rsidRPr="00D30537">
              <w:rPr>
                <w:b w:val="0"/>
                <w:bCs w:val="0"/>
              </w:rPr>
              <w:t>Treatment-related IRR (grade ≥ 3)</w:t>
            </w:r>
            <w:r w:rsidR="009F1DDB" w:rsidRPr="00D30537">
              <w:rPr>
                <w:rFonts w:cstheme="minorHAnsi"/>
                <w:b w:val="0"/>
                <w:bCs w:val="0"/>
                <w:szCs w:val="20"/>
              </w:rPr>
              <w:t>, n (%)</w:t>
            </w:r>
          </w:p>
        </w:tc>
        <w:tc>
          <w:tcPr>
            <w:tcW w:w="1022" w:type="pct"/>
            <w:vAlign w:val="center"/>
          </w:tcPr>
          <w:p w14:paraId="7E1A0389" w14:textId="77777777" w:rsidR="008047AE" w:rsidRPr="00D30537" w:rsidRDefault="008047AE" w:rsidP="00D272A5">
            <w:pPr>
              <w:pStyle w:val="TableFigureHeading"/>
              <w:keepLines/>
              <w:jc w:val="center"/>
              <w:rPr>
                <w:b w:val="0"/>
                <w:bCs w:val="0"/>
              </w:rPr>
            </w:pPr>
            <w:r w:rsidRPr="00D30537">
              <w:rPr>
                <w:b w:val="0"/>
                <w:bCs w:val="0"/>
              </w:rPr>
              <w:t>2 (1.9)</w:t>
            </w:r>
          </w:p>
        </w:tc>
        <w:tc>
          <w:tcPr>
            <w:tcW w:w="1100" w:type="pct"/>
            <w:vAlign w:val="center"/>
          </w:tcPr>
          <w:p w14:paraId="47069049" w14:textId="77777777" w:rsidR="008047AE" w:rsidRPr="00D30537" w:rsidRDefault="008047AE" w:rsidP="00D272A5">
            <w:pPr>
              <w:pStyle w:val="TableFigureHeading"/>
              <w:keepLines/>
              <w:jc w:val="center"/>
              <w:rPr>
                <w:b w:val="0"/>
                <w:bCs w:val="0"/>
              </w:rPr>
            </w:pPr>
            <w:r w:rsidRPr="00D30537">
              <w:rPr>
                <w:b w:val="0"/>
                <w:bCs w:val="0"/>
              </w:rPr>
              <w:t>1 (1.1)</w:t>
            </w:r>
          </w:p>
        </w:tc>
        <w:tc>
          <w:tcPr>
            <w:tcW w:w="837" w:type="pct"/>
            <w:vAlign w:val="center"/>
          </w:tcPr>
          <w:p w14:paraId="61DA218D" w14:textId="77777777" w:rsidR="008047AE" w:rsidRPr="00D30537" w:rsidRDefault="008047AE" w:rsidP="00D272A5">
            <w:pPr>
              <w:pStyle w:val="TableFigureHeading"/>
              <w:keepLines/>
              <w:jc w:val="center"/>
              <w:rPr>
                <w:b w:val="0"/>
                <w:bCs w:val="0"/>
                <w:vertAlign w:val="superscript"/>
              </w:rPr>
            </w:pPr>
            <w:r w:rsidRPr="00D30537">
              <w:rPr>
                <w:b w:val="0"/>
                <w:bCs w:val="0"/>
              </w:rPr>
              <w:t xml:space="preserve">1 (0.9) </w:t>
            </w:r>
            <w:r w:rsidRPr="00D30537">
              <w:rPr>
                <w:b w:val="0"/>
                <w:bCs w:val="0"/>
                <w:vertAlign w:val="superscript"/>
              </w:rPr>
              <w:t>a</w:t>
            </w:r>
          </w:p>
        </w:tc>
      </w:tr>
    </w:tbl>
    <w:p w14:paraId="0094E09E" w14:textId="77777777" w:rsidR="008047AE" w:rsidRPr="00D30537" w:rsidRDefault="008047AE" w:rsidP="00D272A5">
      <w:pPr>
        <w:pStyle w:val="TableFigureFooter"/>
        <w:keepNext/>
      </w:pPr>
      <w:r w:rsidRPr="00D30537">
        <w:t>Source: Table 62, Table 65 p146 of the submission.</w:t>
      </w:r>
    </w:p>
    <w:p w14:paraId="6A79B2DC" w14:textId="3063098F" w:rsidR="008047AE" w:rsidRPr="00D30537" w:rsidRDefault="008047AE" w:rsidP="00D272A5">
      <w:pPr>
        <w:pStyle w:val="TableFigureFooter"/>
        <w:keepNext/>
      </w:pPr>
      <w:r w:rsidRPr="00D30537">
        <w:t>irAE = immune-related adverse event; IRR = infusion-related reaction; NR = not reported; TEAE = treatment-emergent adverse event.</w:t>
      </w:r>
      <w:r w:rsidRPr="00D30537">
        <w:br/>
      </w:r>
      <w:r w:rsidRPr="00D30537">
        <w:rPr>
          <w:vertAlign w:val="superscript"/>
        </w:rPr>
        <w:t>a</w:t>
      </w:r>
      <w:r w:rsidRPr="00D30537">
        <w:t xml:space="preserve"> Extracted from Supplementary Table 9 of D’Angelo 2021 during evaluation.</w:t>
      </w:r>
    </w:p>
    <w:p w14:paraId="59CF9B3B" w14:textId="04BC877C" w:rsidR="008047AE" w:rsidRPr="00D30537" w:rsidRDefault="008047AE" w:rsidP="00D733D5">
      <w:pPr>
        <w:pStyle w:val="3-BodyText"/>
        <w:ind w:left="709"/>
      </w:pPr>
      <w:r w:rsidRPr="00D30537">
        <w:rPr>
          <w:color w:val="000000" w:themeColor="text1"/>
        </w:rPr>
        <w:t xml:space="preserve">There were four (4.0%) fatal </w:t>
      </w:r>
      <w:r w:rsidR="00697199" w:rsidRPr="00D30537">
        <w:rPr>
          <w:color w:val="000000" w:themeColor="text1"/>
        </w:rPr>
        <w:t>treatment emergent adverse events (</w:t>
      </w:r>
      <w:r w:rsidRPr="00D30537">
        <w:rPr>
          <w:color w:val="000000" w:themeColor="text1"/>
        </w:rPr>
        <w:t>TEAEs</w:t>
      </w:r>
      <w:r w:rsidR="00697199" w:rsidRPr="00D30537">
        <w:rPr>
          <w:color w:val="000000" w:themeColor="text1"/>
        </w:rPr>
        <w:t>)</w:t>
      </w:r>
      <w:r w:rsidRPr="00D30537">
        <w:rPr>
          <w:color w:val="000000" w:themeColor="text1"/>
        </w:rPr>
        <w:t xml:space="preserve"> in the total population of POD1UM-201 (N=107)</w:t>
      </w:r>
      <w:r w:rsidR="00D272A5" w:rsidRPr="00D30537">
        <w:rPr>
          <w:color w:val="000000" w:themeColor="text1"/>
        </w:rPr>
        <w:t xml:space="preserve">, due to </w:t>
      </w:r>
      <w:r w:rsidRPr="00D30537">
        <w:rPr>
          <w:color w:val="000000" w:themeColor="text1"/>
        </w:rPr>
        <w:t>acute respiratory failure, asthenia, concomitant disease progression, and COVID-19, in one p</w:t>
      </w:r>
      <w:r w:rsidR="00D272A5" w:rsidRPr="00D30537">
        <w:rPr>
          <w:color w:val="000000" w:themeColor="text1"/>
        </w:rPr>
        <w:t>atien</w:t>
      </w:r>
      <w:r w:rsidRPr="00D30537">
        <w:rPr>
          <w:color w:val="000000" w:themeColor="text1"/>
        </w:rPr>
        <w:t xml:space="preserve">t each. For the fatal TEAE of concomitant disease progression, the Investigator </w:t>
      </w:r>
      <w:r w:rsidRPr="00D30537">
        <w:t>indicated</w:t>
      </w:r>
      <w:r w:rsidRPr="00D30537">
        <w:rPr>
          <w:color w:val="000000" w:themeColor="text1"/>
        </w:rPr>
        <w:t xml:space="preserve"> the possible relationship to retifanlimab could not be excluded. </w:t>
      </w:r>
    </w:p>
    <w:p w14:paraId="6D300622" w14:textId="28E9C5AC" w:rsidR="00297A01" w:rsidRPr="00D30537" w:rsidRDefault="00297A01" w:rsidP="00D733D5">
      <w:pPr>
        <w:pStyle w:val="3-BodyText"/>
        <w:ind w:left="709"/>
      </w:pPr>
      <w:r w:rsidRPr="00D30537">
        <w:t xml:space="preserve">In the total POD1UM-201 chemotherapy-naïve cohort, the most frequently reported TEAEs were asthenia (21.8%, 22/101), pruritus (21.8%, 22/101) and diarrhoea (18.8%, </w:t>
      </w:r>
      <w:r w:rsidRPr="00D30537">
        <w:lastRenderedPageBreak/>
        <w:t>19/101). The most frequent grade ≥3 TEAEs were COVID-19 and lipase increase, which occurred in three participants each (3.0%). The most common treatment-related TEAEs in the total chemotherapy-naïve cohort were pruritus (15.8%, 16/101), asthenia (12.9%, 13/101) and diarrhoea (9.9%, 10/101). The incidence of immune related AEs</w:t>
      </w:r>
      <w:r w:rsidR="00AC03CF" w:rsidRPr="00D30537">
        <w:t xml:space="preserve"> (</w:t>
      </w:r>
      <w:r w:rsidR="00F76EBF" w:rsidRPr="00D30537">
        <w:t>irAEs)</w:t>
      </w:r>
      <w:r w:rsidRPr="00D30537">
        <w:t xml:space="preserve"> was generally consistent cross the advanced and metastatic cohorts.</w:t>
      </w:r>
    </w:p>
    <w:p w14:paraId="64F5F2C6" w14:textId="77777777" w:rsidR="0092601E" w:rsidRPr="003E756F" w:rsidRDefault="00576697" w:rsidP="00D733D5">
      <w:pPr>
        <w:pStyle w:val="3-BodyText"/>
        <w:ind w:left="709"/>
      </w:pPr>
      <w:proofErr w:type="gramStart"/>
      <w:r w:rsidRPr="00D30537">
        <w:t xml:space="preserve">In </w:t>
      </w:r>
      <w:r w:rsidRPr="003E756F">
        <w:t>regard to</w:t>
      </w:r>
      <w:proofErr w:type="gramEnd"/>
      <w:r w:rsidRPr="003E756F">
        <w:t xml:space="preserve"> the</w:t>
      </w:r>
      <w:r w:rsidR="00F062E2" w:rsidRPr="003E756F">
        <w:t xml:space="preserve"> unanchored</w:t>
      </w:r>
      <w:r w:rsidRPr="003E756F">
        <w:t xml:space="preserve"> comparison</w:t>
      </w:r>
      <w:r w:rsidR="0092601E" w:rsidRPr="003E756F">
        <w:t>:</w:t>
      </w:r>
    </w:p>
    <w:p w14:paraId="679A060C" w14:textId="3B216ADA" w:rsidR="0092601E" w:rsidRPr="003E756F" w:rsidRDefault="00630DB9" w:rsidP="003D6682">
      <w:pPr>
        <w:pStyle w:val="ListParagraph"/>
        <w:numPr>
          <w:ilvl w:val="0"/>
          <w:numId w:val="13"/>
        </w:numPr>
        <w:ind w:left="1077" w:hanging="357"/>
        <w:jc w:val="both"/>
      </w:pPr>
      <w:r>
        <w:t>T</w:t>
      </w:r>
      <w:r w:rsidR="009F1DDB" w:rsidRPr="003E756F">
        <w:t xml:space="preserve">he submission stated </w:t>
      </w:r>
      <w:r w:rsidR="00576697" w:rsidRPr="003E756F">
        <w:t>t</w:t>
      </w:r>
      <w:r w:rsidR="008047AE" w:rsidRPr="003E756F">
        <w:t>here were fewer</w:t>
      </w:r>
      <w:r w:rsidR="009F1DDB" w:rsidRPr="003E756F">
        <w:t xml:space="preserve"> TEAEs (90.1% versus 100%),</w:t>
      </w:r>
      <w:r w:rsidR="008047AE" w:rsidRPr="003E756F">
        <w:t xml:space="preserve"> serious TEAEs (26.4% versus 50.0%), </w:t>
      </w:r>
      <w:r w:rsidR="008047AE" w:rsidRPr="003E756F">
        <w:rPr>
          <w:color w:val="000000" w:themeColor="text1"/>
        </w:rPr>
        <w:t>TEAEs</w:t>
      </w:r>
      <w:r w:rsidR="008047AE" w:rsidRPr="003E756F">
        <w:t xml:space="preserve"> grade ≥ 3 (33.0% versus 60.3%), and fatal TEAEs (4.0% versus 12.9%) in the retifanlimab cohort compared with the avelumab cohort</w:t>
      </w:r>
      <w:r w:rsidR="009307E3" w:rsidRPr="003E756F">
        <w:t xml:space="preserve">, but </w:t>
      </w:r>
      <w:r w:rsidR="00D1431B" w:rsidRPr="003E756F">
        <w:t xml:space="preserve">that the type of reported TEAEs experienced across the retifanlimab and avelumab cohorts were generally similar (i.e. &lt;5% differences). </w:t>
      </w:r>
      <w:r w:rsidR="0092601E" w:rsidRPr="003E756F">
        <w:t xml:space="preserve">However, the ESC considered </w:t>
      </w:r>
      <w:r w:rsidR="00D1431B" w:rsidRPr="003E756F">
        <w:t>safety</w:t>
      </w:r>
      <w:r w:rsidR="0092601E" w:rsidRPr="003E756F">
        <w:t xml:space="preserve"> results were confounded due to POD1UM patients being younger, fitter, and with less visceral metastasis. </w:t>
      </w:r>
    </w:p>
    <w:p w14:paraId="7D11BC3A" w14:textId="4AFBA42C" w:rsidR="009307E3" w:rsidRPr="003E756F" w:rsidRDefault="00630DB9" w:rsidP="003D6682">
      <w:pPr>
        <w:pStyle w:val="ListParagraph"/>
        <w:numPr>
          <w:ilvl w:val="0"/>
          <w:numId w:val="13"/>
        </w:numPr>
        <w:ind w:left="1077" w:hanging="357"/>
        <w:jc w:val="both"/>
      </w:pPr>
      <w:r>
        <w:t>T</w:t>
      </w:r>
      <w:r w:rsidR="00442000" w:rsidRPr="003E756F">
        <w:t>he ESC noted</w:t>
      </w:r>
      <w:r w:rsidR="00AD5B73" w:rsidRPr="003E756F">
        <w:t xml:space="preserve"> that </w:t>
      </w:r>
      <w:r w:rsidR="008047AE" w:rsidRPr="003E756F">
        <w:t>there were more irAEs and grade ≥3 irAEs in POD1UM-201 than JM200 Part B (35.2% versus 30.2%; 11% versus 6%, respectively)</w:t>
      </w:r>
      <w:r w:rsidR="00442000" w:rsidRPr="003E756F">
        <w:t>, and more TEAEs leading to discontinuation</w:t>
      </w:r>
      <w:r w:rsidR="008047AE" w:rsidRPr="003E756F">
        <w:t>.</w:t>
      </w:r>
      <w:r w:rsidR="00F76EBF" w:rsidRPr="003E756F">
        <w:t xml:space="preserve"> </w:t>
      </w:r>
    </w:p>
    <w:p w14:paraId="1AD63646" w14:textId="51C2685F" w:rsidR="008047AE" w:rsidRPr="003E756F" w:rsidRDefault="008047AE" w:rsidP="003D6682">
      <w:pPr>
        <w:pStyle w:val="ListParagraph"/>
        <w:numPr>
          <w:ilvl w:val="0"/>
          <w:numId w:val="13"/>
        </w:numPr>
        <w:ind w:left="1077" w:hanging="357"/>
        <w:jc w:val="both"/>
      </w:pPr>
      <w:r w:rsidRPr="003E756F">
        <w:t xml:space="preserve">The submission noted that fewer patients treated with retifanlimab experienced an infusion-related reaction (IRR) (3.3%) compared with avelumab (29.3%). </w:t>
      </w:r>
      <w:r w:rsidR="00584EED" w:rsidRPr="003E756F">
        <w:t>However, g</w:t>
      </w:r>
      <w:r w:rsidR="009B08AF" w:rsidRPr="003E756F">
        <w:t>iven that Grade ≥ 3 IRRs appeared</w:t>
      </w:r>
      <w:r w:rsidR="008C00B6" w:rsidRPr="003E756F">
        <w:t xml:space="preserve"> </w:t>
      </w:r>
      <w:r w:rsidR="009B08AF" w:rsidRPr="003E756F">
        <w:t xml:space="preserve">comparable between studies </w:t>
      </w:r>
      <w:r w:rsidR="00584EED" w:rsidRPr="003E756F">
        <w:t>(1%)</w:t>
      </w:r>
      <w:r w:rsidR="009B08AF" w:rsidRPr="003E756F">
        <w:t xml:space="preserve">, the evaluation considered it uncertain whether the differences in treatment-emergent IRRs may be confounded. The PSCR maintained that the lower incidence of IRRs </w:t>
      </w:r>
      <w:r w:rsidR="00EE06C2" w:rsidRPr="003E756F">
        <w:t xml:space="preserve">observed with retifanlimab </w:t>
      </w:r>
      <w:r w:rsidR="009B08AF" w:rsidRPr="003E756F">
        <w:t>compared with avelumab</w:t>
      </w:r>
      <w:r w:rsidR="008D62D0">
        <w:t xml:space="preserve"> </w:t>
      </w:r>
      <w:r w:rsidR="009B08AF" w:rsidRPr="003E756F">
        <w:t>is a benefit of the less frequent dosing regimen associated with retifanlimab (Q4W for 30 minutes vs Q2W for 60 minutes</w:t>
      </w:r>
      <w:r w:rsidR="00D36331" w:rsidRPr="003E756F">
        <w:t xml:space="preserve"> for avelumab</w:t>
      </w:r>
      <w:r w:rsidR="009B08AF" w:rsidRPr="003E756F">
        <w:t>). The PSCR noted that given the low incidence of IRRs in patients treated with retifanlimab, routine premedication is not warranted; however, patients treated with avelumab must be premedicated with an antihistamine and paracetamol prior to the first four infusions per the Australian Product Information.</w:t>
      </w:r>
    </w:p>
    <w:p w14:paraId="2CAB59A2" w14:textId="733A2BD6" w:rsidR="008047AE" w:rsidRPr="003E756F" w:rsidRDefault="00C438B9" w:rsidP="00515845">
      <w:pPr>
        <w:pStyle w:val="3-BodyText"/>
        <w:ind w:left="709"/>
      </w:pPr>
      <w:bookmarkStart w:id="46" w:name="_Ref206441460"/>
      <w:r w:rsidRPr="003E756F">
        <w:t>Overall, the results of the unanchored comparison of safety were difficult to interpret due to differences in baseline characteristics</w:t>
      </w:r>
      <w:r w:rsidR="005559E4" w:rsidRPr="003E756F">
        <w:t xml:space="preserve"> (see paragraph </w:t>
      </w:r>
      <w:r w:rsidR="005559E4" w:rsidRPr="003E756F">
        <w:fldChar w:fldCharType="begin"/>
      </w:r>
      <w:r w:rsidR="005559E4" w:rsidRPr="003E756F">
        <w:instrText xml:space="preserve"> REF _Ref207982688 \r \h </w:instrText>
      </w:r>
      <w:r w:rsidR="00823A81" w:rsidRPr="003E756F">
        <w:instrText xml:space="preserve"> \* MERGEFORMAT </w:instrText>
      </w:r>
      <w:r w:rsidR="005559E4" w:rsidRPr="003E756F">
        <w:fldChar w:fldCharType="separate"/>
      </w:r>
      <w:r w:rsidR="008D62D0">
        <w:t>6.16</w:t>
      </w:r>
      <w:r w:rsidR="005559E4" w:rsidRPr="003E756F">
        <w:fldChar w:fldCharType="end"/>
      </w:r>
      <w:r w:rsidR="005559E4" w:rsidRPr="003E756F">
        <w:t>)</w:t>
      </w:r>
      <w:r w:rsidRPr="003E756F">
        <w:t xml:space="preserve"> and risk of confounding.</w:t>
      </w:r>
      <w:r w:rsidR="005559E4" w:rsidRPr="003E756F">
        <w:t xml:space="preserve"> </w:t>
      </w:r>
      <w:r w:rsidR="00BB3EF0" w:rsidRPr="003E756F">
        <w:t>Notably, p</w:t>
      </w:r>
      <w:r w:rsidR="005559E4" w:rsidRPr="003E756F">
        <w:t xml:space="preserve">atients enrolled in POD1UM-201 were younger and potentially healthier (regarding ECOG scores and disease severity) on average than those enrolled in JM200 Part B, and therefore </w:t>
      </w:r>
      <w:r w:rsidR="001B1B9A" w:rsidRPr="003E756F">
        <w:t xml:space="preserve">the </w:t>
      </w:r>
      <w:r w:rsidR="00AC2219" w:rsidRPr="003E756F">
        <w:t xml:space="preserve">evaluation </w:t>
      </w:r>
      <w:r w:rsidR="001B1B9A" w:rsidRPr="003E756F">
        <w:t xml:space="preserve">considered that they </w:t>
      </w:r>
      <w:r w:rsidR="005559E4" w:rsidRPr="003E756F">
        <w:t>may have greater tolerability to treatment</w:t>
      </w:r>
      <w:r w:rsidR="00CB0D44" w:rsidRPr="003E756F">
        <w:t xml:space="preserve">. </w:t>
      </w:r>
      <w:r w:rsidR="00640FDB" w:rsidRPr="003E756F">
        <w:t>However,</w:t>
      </w:r>
      <w:r w:rsidR="00BB3EF0" w:rsidRPr="003E756F">
        <w:t xml:space="preserve"> the direction of bias (if any)</w:t>
      </w:r>
      <w:r w:rsidR="009E228D" w:rsidRPr="003E756F">
        <w:t xml:space="preserve"> was uncertain. </w:t>
      </w:r>
      <w:r w:rsidRPr="003E756F">
        <w:t>In addition, the included studies were both single arm open-label studies, which limited the assessment of</w:t>
      </w:r>
      <w:r w:rsidR="008D62D0">
        <w:t xml:space="preserve"> </w:t>
      </w:r>
      <w:r w:rsidRPr="003E756F">
        <w:t xml:space="preserve">AEs as the incremental safety associated with retifanlimab and avelumab could not be derived. </w:t>
      </w:r>
      <w:r w:rsidR="00823A81" w:rsidRPr="003E756F">
        <w:t>The evaluation considered that n</w:t>
      </w:r>
      <w:r w:rsidRPr="003E756F">
        <w:t>o informative conclusion could be made on the comparative safety of retifanlimab and avelumab. Acknowledging the low level of evidence available, given retifanlimab and avelumab are both PD-(L)1 inhibitors,</w:t>
      </w:r>
      <w:r w:rsidR="00823A81" w:rsidRPr="003E756F">
        <w:t xml:space="preserve"> the evaluation considered</w:t>
      </w:r>
      <w:r w:rsidRPr="003E756F">
        <w:t xml:space="preserve"> it was plausible that safety may be similar.</w:t>
      </w:r>
      <w:bookmarkEnd w:id="46"/>
      <w:r w:rsidRPr="003E756F">
        <w:t xml:space="preserve"> </w:t>
      </w:r>
    </w:p>
    <w:p w14:paraId="449A6236" w14:textId="77777777" w:rsidR="008047AE" w:rsidRPr="00D30537" w:rsidRDefault="008047AE" w:rsidP="000461E7">
      <w:pPr>
        <w:pStyle w:val="4-SubsectionHeading"/>
      </w:pPr>
      <w:bookmarkStart w:id="47" w:name="_Toc22897643"/>
      <w:bookmarkStart w:id="48" w:name="_Toc208988060"/>
      <w:r w:rsidRPr="00D30537">
        <w:lastRenderedPageBreak/>
        <w:t>Benefits/harms</w:t>
      </w:r>
      <w:bookmarkEnd w:id="47"/>
      <w:bookmarkEnd w:id="48"/>
    </w:p>
    <w:p w14:paraId="71B67A98" w14:textId="74A13D5F" w:rsidR="008047AE" w:rsidRPr="00D30537" w:rsidRDefault="008047AE" w:rsidP="00515845">
      <w:pPr>
        <w:pStyle w:val="3-BodyText"/>
        <w:ind w:left="709"/>
      </w:pPr>
      <w:r w:rsidRPr="00D30537">
        <w:t xml:space="preserve">The </w:t>
      </w:r>
      <w:r w:rsidR="00F46636" w:rsidRPr="00D30537">
        <w:t xml:space="preserve">unanchored </w:t>
      </w:r>
      <w:r w:rsidRPr="00D30537">
        <w:t>indirect comparison presented in the submission did not allow for a quantitative comparison of the benefits and harms of retifanlimab and avelumab. Accordingly, a benefits/harms table has not been presented.</w:t>
      </w:r>
    </w:p>
    <w:p w14:paraId="008A1647" w14:textId="77777777" w:rsidR="008047AE" w:rsidRPr="00D30537" w:rsidRDefault="008047AE" w:rsidP="000461E7">
      <w:pPr>
        <w:pStyle w:val="4-SubsectionHeading"/>
      </w:pPr>
      <w:bookmarkStart w:id="49" w:name="_Toc22897644"/>
      <w:bookmarkStart w:id="50" w:name="_Toc208988061"/>
      <w:r w:rsidRPr="00D30537">
        <w:t>Clinical claim</w:t>
      </w:r>
      <w:bookmarkEnd w:id="49"/>
      <w:bookmarkEnd w:id="50"/>
    </w:p>
    <w:p w14:paraId="4C855B6A" w14:textId="77777777" w:rsidR="008047AE" w:rsidRPr="00D30537" w:rsidRDefault="008047AE" w:rsidP="00515845">
      <w:pPr>
        <w:pStyle w:val="3-BodyText"/>
        <w:ind w:left="709"/>
        <w:rPr>
          <w:rFonts w:eastAsia="Calibri"/>
        </w:rPr>
      </w:pPr>
      <w:r w:rsidRPr="00D30537">
        <w:rPr>
          <w:rFonts w:eastAsia="Calibri"/>
        </w:rPr>
        <w:t xml:space="preserve">The submission described retifanlimab as superior in terms of effectiveness </w:t>
      </w:r>
      <w:r w:rsidRPr="00D30537">
        <w:t>compared</w:t>
      </w:r>
      <w:r w:rsidRPr="00D30537">
        <w:rPr>
          <w:rFonts w:eastAsia="Calibri"/>
        </w:rPr>
        <w:t xml:space="preserve"> to avelumab. </w:t>
      </w:r>
    </w:p>
    <w:p w14:paraId="136E4ACA" w14:textId="03F53C9D" w:rsidR="008047AE" w:rsidRPr="00D30537" w:rsidRDefault="008047AE">
      <w:pPr>
        <w:pStyle w:val="3-BodyText"/>
        <w:ind w:left="709"/>
        <w:rPr>
          <w:rFonts w:eastAsia="Calibri"/>
        </w:rPr>
      </w:pPr>
      <w:bookmarkStart w:id="51" w:name="_Ref207984022"/>
      <w:r w:rsidRPr="00D30537">
        <w:rPr>
          <w:rFonts w:eastAsia="Calibri"/>
        </w:rPr>
        <w:t>T</w:t>
      </w:r>
      <w:r w:rsidR="00823A81" w:rsidRPr="00D30537">
        <w:rPr>
          <w:rFonts w:eastAsia="Calibri"/>
        </w:rPr>
        <w:t xml:space="preserve">he </w:t>
      </w:r>
      <w:r w:rsidR="003C619B" w:rsidRPr="00D30537">
        <w:rPr>
          <w:rFonts w:eastAsia="Calibri"/>
        </w:rPr>
        <w:t xml:space="preserve">ESC </w:t>
      </w:r>
      <w:r w:rsidR="00823A81" w:rsidRPr="00D30537">
        <w:rPr>
          <w:rFonts w:eastAsia="Calibri"/>
        </w:rPr>
        <w:t xml:space="preserve">considered </w:t>
      </w:r>
      <w:r w:rsidR="00D51EC0" w:rsidRPr="00D30537">
        <w:rPr>
          <w:rFonts w:eastAsia="Calibri"/>
        </w:rPr>
        <w:t xml:space="preserve">the claim of superior efficacy </w:t>
      </w:r>
      <w:r w:rsidRPr="00D30537">
        <w:rPr>
          <w:rFonts w:eastAsia="Calibri"/>
        </w:rPr>
        <w:t>was not adequately supported by the clinical evidence presented in the submission</w:t>
      </w:r>
      <w:r w:rsidR="009D7B0A" w:rsidRPr="00D30537">
        <w:rPr>
          <w:rFonts w:eastAsia="Calibri"/>
        </w:rPr>
        <w:t xml:space="preserve"> as </w:t>
      </w:r>
      <w:bookmarkEnd w:id="51"/>
      <w:r w:rsidR="009D7B0A" w:rsidRPr="00D30537">
        <w:rPr>
          <w:rFonts w:eastAsia="Calibri"/>
        </w:rPr>
        <w:t xml:space="preserve">the </w:t>
      </w:r>
      <w:r w:rsidR="00384892" w:rsidRPr="00D30537">
        <w:rPr>
          <w:rFonts w:eastAsia="Calibri"/>
        </w:rPr>
        <w:t>results of the MAICs, particularly MAIC2, were highly uncertain and unreliable</w:t>
      </w:r>
      <w:r w:rsidR="00107502" w:rsidRPr="00D30537">
        <w:rPr>
          <w:rFonts w:eastAsia="Calibri"/>
        </w:rPr>
        <w:t xml:space="preserve"> as </w:t>
      </w:r>
      <w:r w:rsidR="0090165B" w:rsidRPr="00D30537">
        <w:rPr>
          <w:rFonts w:eastAsia="Calibri"/>
        </w:rPr>
        <w:t>differences which may not be treatment effect modifiers such as race were included</w:t>
      </w:r>
      <w:r w:rsidR="00384892" w:rsidRPr="00D30537">
        <w:rPr>
          <w:rFonts w:eastAsia="Calibri"/>
        </w:rPr>
        <w:t>, and likely biased in favour of retifanlimab</w:t>
      </w:r>
      <w:r w:rsidR="00885FB4" w:rsidRPr="00D30537">
        <w:rPr>
          <w:rFonts w:eastAsia="Calibri"/>
        </w:rPr>
        <w:t>.</w:t>
      </w:r>
    </w:p>
    <w:p w14:paraId="377183B7" w14:textId="43BEF949" w:rsidR="00384892" w:rsidRPr="00D30537" w:rsidRDefault="00384892" w:rsidP="00515845">
      <w:pPr>
        <w:pStyle w:val="3-BodyText"/>
        <w:ind w:left="709"/>
      </w:pPr>
      <w:bookmarkStart w:id="52" w:name="_Ref210926812"/>
      <w:r w:rsidRPr="00D30537">
        <w:t>However,</w:t>
      </w:r>
      <w:r w:rsidR="0047669B" w:rsidRPr="00D30537">
        <w:t xml:space="preserve"> the ESC </w:t>
      </w:r>
      <w:r w:rsidR="00823A81" w:rsidRPr="00D30537">
        <w:t>considered that</w:t>
      </w:r>
      <w:r w:rsidR="00FF5BB8" w:rsidRPr="00D30537">
        <w:t xml:space="preserve">, based on the evidence presented in the submission, </w:t>
      </w:r>
      <w:r w:rsidRPr="00D30537">
        <w:t>it was plausible that retifanlimab is at least as effective as avelumab in patients with chemotherapy naïve metastatic MCC</w:t>
      </w:r>
      <w:r w:rsidR="0035660A" w:rsidRPr="00D30537">
        <w:t>, also noting</w:t>
      </w:r>
      <w:r w:rsidRPr="00D30537">
        <w:t>, avelumab and retifanlimab had similar mechanisms of action as PD-(L)1 inhibitors.</w:t>
      </w:r>
      <w:bookmarkEnd w:id="52"/>
    </w:p>
    <w:p w14:paraId="42ADEF3C" w14:textId="77777777" w:rsidR="008047AE" w:rsidRPr="00D30537" w:rsidRDefault="008047AE" w:rsidP="00515845">
      <w:pPr>
        <w:pStyle w:val="3-BodyText"/>
        <w:ind w:left="709"/>
      </w:pPr>
      <w:r w:rsidRPr="00D30537">
        <w:rPr>
          <w:rFonts w:eastAsia="Calibri"/>
        </w:rPr>
        <w:t xml:space="preserve">The submission described retifanlimab as superior in terms of safety compared to </w:t>
      </w:r>
      <w:r w:rsidRPr="00D30537">
        <w:t xml:space="preserve">avelumab. </w:t>
      </w:r>
    </w:p>
    <w:p w14:paraId="7FEC4DB9" w14:textId="29225571" w:rsidR="00384892" w:rsidRPr="00D30537" w:rsidRDefault="008047AE" w:rsidP="003D6682">
      <w:pPr>
        <w:pStyle w:val="ListParagraph"/>
        <w:keepLines/>
        <w:numPr>
          <w:ilvl w:val="0"/>
          <w:numId w:val="14"/>
        </w:numPr>
        <w:ind w:left="709" w:hanging="357"/>
        <w:jc w:val="both"/>
        <w:rPr>
          <w:rFonts w:eastAsia="Calibri"/>
        </w:rPr>
      </w:pPr>
      <w:bookmarkStart w:id="53" w:name="_Ref206441005"/>
      <w:r w:rsidRPr="00D30537">
        <w:t>T</w:t>
      </w:r>
      <w:r w:rsidR="00823A81" w:rsidRPr="00D30537">
        <w:t>he</w:t>
      </w:r>
      <w:r w:rsidR="00823A81" w:rsidRPr="00D30537">
        <w:rPr>
          <w:rFonts w:eastAsia="Calibri"/>
        </w:rPr>
        <w:t xml:space="preserve"> </w:t>
      </w:r>
      <w:r w:rsidR="00940DE8" w:rsidRPr="00D30537">
        <w:rPr>
          <w:rFonts w:eastAsia="Calibri"/>
        </w:rPr>
        <w:t xml:space="preserve">ESC </w:t>
      </w:r>
      <w:r w:rsidR="00823A81" w:rsidRPr="00D30537">
        <w:rPr>
          <w:rFonts w:eastAsia="Calibri"/>
        </w:rPr>
        <w:t>considered that t</w:t>
      </w:r>
      <w:r w:rsidRPr="00D30537">
        <w:rPr>
          <w:rFonts w:eastAsia="Calibri"/>
        </w:rPr>
        <w:t>his claim was not adequately supported</w:t>
      </w:r>
      <w:r w:rsidR="00940DE8" w:rsidRPr="00D30537">
        <w:rPr>
          <w:rFonts w:eastAsia="Calibri"/>
        </w:rPr>
        <w:t xml:space="preserve">, as </w:t>
      </w:r>
      <w:r w:rsidR="00823A81" w:rsidRPr="00D30537">
        <w:rPr>
          <w:rFonts w:eastAsia="Calibri"/>
        </w:rPr>
        <w:t xml:space="preserve">the </w:t>
      </w:r>
      <w:r w:rsidR="00D352F1" w:rsidRPr="00D30537">
        <w:rPr>
          <w:rFonts w:eastAsia="Calibri"/>
        </w:rPr>
        <w:t>unanchored indirect comparison of safety was difficult to interpret due to differences in baseline characteristics and at risk of confounding.</w:t>
      </w:r>
      <w:r w:rsidR="00D352F1" w:rsidRPr="00D30537">
        <w:t xml:space="preserve"> In addition, the included studies were both single arm open-label studies, which limited the assessment of </w:t>
      </w:r>
      <w:r w:rsidR="003124FC" w:rsidRPr="00D30537">
        <w:t>TEAEs</w:t>
      </w:r>
      <w:r w:rsidR="00D352F1" w:rsidRPr="00D30537">
        <w:t xml:space="preserve"> as the incremental safety associated with retifanlimab and avelumab could not be derived.</w:t>
      </w:r>
      <w:r w:rsidR="00D352F1" w:rsidRPr="00D30537">
        <w:rPr>
          <w:rFonts w:eastAsia="Calibri"/>
        </w:rPr>
        <w:t xml:space="preserve"> </w:t>
      </w:r>
      <w:r w:rsidR="00384892" w:rsidRPr="00D30537">
        <w:rPr>
          <w:rFonts w:eastAsia="Calibri"/>
        </w:rPr>
        <w:t xml:space="preserve">However, acknowledging the low level of evidence available, given retifanlimab and avelumab are both PD-(L)1 inhibitors, </w:t>
      </w:r>
      <w:r w:rsidR="003124FC" w:rsidRPr="00417830">
        <w:rPr>
          <w:rFonts w:eastAsia="Calibri"/>
        </w:rPr>
        <w:t>the ESC</w:t>
      </w:r>
      <w:r w:rsidR="00F07314" w:rsidRPr="00D30537">
        <w:rPr>
          <w:rFonts w:eastAsia="Calibri"/>
        </w:rPr>
        <w:t xml:space="preserve"> considered that </w:t>
      </w:r>
      <w:r w:rsidR="00384892" w:rsidRPr="00D30537">
        <w:rPr>
          <w:rFonts w:eastAsia="Calibri"/>
        </w:rPr>
        <w:t>it was plausible that safety may be similar.</w:t>
      </w:r>
      <w:bookmarkEnd w:id="53"/>
      <w:r w:rsidR="00885FB4" w:rsidRPr="00D30537">
        <w:rPr>
          <w:bCs/>
        </w:rPr>
        <w:t xml:space="preserve"> The Pre-PBAC response contended that retifanlimab</w:t>
      </w:r>
      <w:r w:rsidR="00496290">
        <w:rPr>
          <w:bCs/>
        </w:rPr>
        <w:t>’s</w:t>
      </w:r>
      <w:r w:rsidR="00885FB4" w:rsidRPr="00D30537">
        <w:rPr>
          <w:bCs/>
        </w:rPr>
        <w:t xml:space="preserve"> less frequent dosing schedule confers superior safety due to “substantially lower incidence of infusion-related reactions (3.3% vs 29.3%)”, </w:t>
      </w:r>
      <w:proofErr w:type="gramStart"/>
      <w:r w:rsidR="00885FB4" w:rsidRPr="00D30537">
        <w:rPr>
          <w:bCs/>
        </w:rPr>
        <w:t>and also</w:t>
      </w:r>
      <w:proofErr w:type="gramEnd"/>
      <w:r w:rsidR="00885FB4" w:rsidRPr="00D30537">
        <w:rPr>
          <w:bCs/>
        </w:rPr>
        <w:t xml:space="preserve"> noted practical benefits noted by consumers associated with shorter infusion time (see paragraph </w:t>
      </w:r>
      <w:r w:rsidR="00885FB4" w:rsidRPr="00D30537">
        <w:rPr>
          <w:bCs/>
        </w:rPr>
        <w:fldChar w:fldCharType="begin"/>
      </w:r>
      <w:r w:rsidR="00885FB4" w:rsidRPr="00D30537">
        <w:rPr>
          <w:bCs/>
        </w:rPr>
        <w:instrText xml:space="preserve"> REF _Ref214283874 \r \h </w:instrText>
      </w:r>
      <w:r w:rsidR="00AD59B0" w:rsidRPr="00D30537">
        <w:rPr>
          <w:bCs/>
        </w:rPr>
        <w:instrText xml:space="preserve"> \* MERGEFORMAT </w:instrText>
      </w:r>
      <w:r w:rsidR="00885FB4" w:rsidRPr="00D30537">
        <w:rPr>
          <w:bCs/>
        </w:rPr>
      </w:r>
      <w:r w:rsidR="00885FB4" w:rsidRPr="00D30537">
        <w:rPr>
          <w:bCs/>
        </w:rPr>
        <w:fldChar w:fldCharType="separate"/>
      </w:r>
      <w:r w:rsidR="008D62D0">
        <w:rPr>
          <w:bCs/>
        </w:rPr>
        <w:t>6.2</w:t>
      </w:r>
      <w:r w:rsidR="00885FB4" w:rsidRPr="00D30537">
        <w:rPr>
          <w:bCs/>
        </w:rPr>
        <w:fldChar w:fldCharType="end"/>
      </w:r>
      <w:r w:rsidR="00885FB4" w:rsidRPr="00D30537">
        <w:rPr>
          <w:bCs/>
        </w:rPr>
        <w:t xml:space="preserve">). </w:t>
      </w:r>
    </w:p>
    <w:p w14:paraId="140AC6ED" w14:textId="0FF2E98D" w:rsidR="006320C5" w:rsidRPr="00D30537" w:rsidRDefault="006320C5" w:rsidP="006320C5">
      <w:pPr>
        <w:pStyle w:val="3-BodyText"/>
        <w:ind w:left="709"/>
        <w:rPr>
          <w:iCs/>
          <w:snapToGrid w:val="0"/>
          <w:szCs w:val="20"/>
        </w:rPr>
      </w:pPr>
      <w:bookmarkStart w:id="54" w:name="_Hlk76376200"/>
      <w:r w:rsidRPr="00D30537">
        <w:rPr>
          <w:iCs/>
          <w:snapToGrid w:val="0"/>
        </w:rPr>
        <w:t>The</w:t>
      </w:r>
      <w:r w:rsidRPr="00D30537">
        <w:rPr>
          <w:iCs/>
          <w:snapToGrid w:val="0"/>
          <w:szCs w:val="20"/>
        </w:rPr>
        <w:t xml:space="preserve"> PBAC considered that the claim of superior </w:t>
      </w:r>
      <w:r w:rsidRPr="00D30537">
        <w:rPr>
          <w:rFonts w:eastAsia="Calibri"/>
          <w:iCs/>
        </w:rPr>
        <w:t>comparative</w:t>
      </w:r>
      <w:r w:rsidRPr="00D30537">
        <w:rPr>
          <w:iCs/>
          <w:snapToGrid w:val="0"/>
          <w:szCs w:val="20"/>
        </w:rPr>
        <w:t xml:space="preserve"> effectiveness was not adequately supported by the data</w:t>
      </w:r>
      <w:r w:rsidR="00AD59B0" w:rsidRPr="00D30537">
        <w:rPr>
          <w:iCs/>
          <w:snapToGrid w:val="0"/>
          <w:szCs w:val="20"/>
        </w:rPr>
        <w:t>, but that it was reasonable to assume non-inferior effectiveness compared to avelumab</w:t>
      </w:r>
      <w:r w:rsidRPr="00D30537">
        <w:rPr>
          <w:iCs/>
          <w:snapToGrid w:val="0"/>
          <w:szCs w:val="20"/>
        </w:rPr>
        <w:t>.</w:t>
      </w:r>
    </w:p>
    <w:p w14:paraId="31AB4F37" w14:textId="0C33A642" w:rsidR="006320C5" w:rsidRPr="00A72862" w:rsidRDefault="006320C5">
      <w:pPr>
        <w:widowControl w:val="0"/>
        <w:numPr>
          <w:ilvl w:val="1"/>
          <w:numId w:val="1"/>
        </w:numPr>
        <w:spacing w:after="120"/>
        <w:ind w:left="709"/>
        <w:rPr>
          <w:rFonts w:eastAsia="Calibri"/>
        </w:rPr>
      </w:pPr>
      <w:r w:rsidRPr="00A72862">
        <w:rPr>
          <w:rFonts w:asciiTheme="minorHAnsi" w:hAnsiTheme="minorHAnsi"/>
          <w:iCs/>
          <w:snapToGrid w:val="0"/>
          <w:szCs w:val="20"/>
        </w:rPr>
        <w:t>The PBAC considered that the claim of superior comparative safety was not adequately supported by the data</w:t>
      </w:r>
      <w:r w:rsidR="00AD59B0" w:rsidRPr="00A72862">
        <w:rPr>
          <w:rFonts w:asciiTheme="minorHAnsi" w:hAnsiTheme="minorHAnsi"/>
          <w:iCs/>
          <w:snapToGrid w:val="0"/>
          <w:szCs w:val="20"/>
        </w:rPr>
        <w:t>, but that it was reasonable to assume non-inferior safety</w:t>
      </w:r>
      <w:r w:rsidRPr="00A72862">
        <w:rPr>
          <w:rFonts w:asciiTheme="minorHAnsi" w:hAnsiTheme="minorHAnsi"/>
          <w:iCs/>
          <w:snapToGrid w:val="0"/>
          <w:szCs w:val="20"/>
        </w:rPr>
        <w:t>.</w:t>
      </w:r>
      <w:bookmarkEnd w:id="54"/>
    </w:p>
    <w:p w14:paraId="45D3D772" w14:textId="77777777" w:rsidR="008047AE" w:rsidRPr="00D30537" w:rsidRDefault="008047AE" w:rsidP="000461E7">
      <w:pPr>
        <w:pStyle w:val="4-SubsectionHeading"/>
      </w:pPr>
      <w:bookmarkStart w:id="55" w:name="_Toc22897645"/>
      <w:bookmarkStart w:id="56" w:name="_Toc208988062"/>
      <w:r w:rsidRPr="00D30537">
        <w:t>Economic analysis</w:t>
      </w:r>
      <w:bookmarkEnd w:id="55"/>
      <w:bookmarkEnd w:id="56"/>
      <w:r w:rsidRPr="00D30537">
        <w:t xml:space="preserve"> </w:t>
      </w:r>
    </w:p>
    <w:p w14:paraId="571F9CF5" w14:textId="77777777" w:rsidR="00680418" w:rsidRPr="00D30537" w:rsidRDefault="008047AE" w:rsidP="00515845">
      <w:pPr>
        <w:pStyle w:val="3-BodyText"/>
        <w:ind w:left="709"/>
      </w:pPr>
      <w:r w:rsidRPr="00D30537">
        <w:rPr>
          <w:color w:val="000000" w:themeColor="text1"/>
        </w:rPr>
        <w:t xml:space="preserve">The submission presented a cost-utility analysis based on the </w:t>
      </w:r>
      <w:r w:rsidR="00175F12" w:rsidRPr="00D30537">
        <w:rPr>
          <w:color w:val="000000" w:themeColor="text1"/>
        </w:rPr>
        <w:t>results of the MAICs of POD1UM-201 (retifanlimab) and JM200 Part B (avelumab)</w:t>
      </w:r>
      <w:r w:rsidRPr="00D30537">
        <w:rPr>
          <w:color w:val="000000" w:themeColor="text1"/>
        </w:rPr>
        <w:t xml:space="preserve"> to estimate the cost-</w:t>
      </w:r>
      <w:r w:rsidRPr="00D30537">
        <w:rPr>
          <w:color w:val="000000" w:themeColor="text1"/>
        </w:rPr>
        <w:lastRenderedPageBreak/>
        <w:t xml:space="preserve">effectiveness of retifanlimab, with the incremental cost per </w:t>
      </w:r>
      <w:r w:rsidRPr="00D30537">
        <w:t>quality adjusted life year (QALY) gained as the main outcome of the evaluation.</w:t>
      </w:r>
      <w:r w:rsidR="00EE19E7" w:rsidRPr="00D30537">
        <w:t xml:space="preserve"> </w:t>
      </w:r>
    </w:p>
    <w:p w14:paraId="680B1326" w14:textId="244271FB" w:rsidR="001069E3" w:rsidRPr="00D30537" w:rsidRDefault="00EE19E7" w:rsidP="00515845">
      <w:pPr>
        <w:pStyle w:val="3-BodyText"/>
        <w:ind w:left="709"/>
        <w:rPr>
          <w:color w:val="000000" w:themeColor="text1"/>
        </w:rPr>
      </w:pPr>
      <w:r w:rsidRPr="00D30537">
        <w:t>However</w:t>
      </w:r>
      <w:r w:rsidRPr="00D30537">
        <w:rPr>
          <w:color w:val="000000" w:themeColor="text1"/>
        </w:rPr>
        <w:t xml:space="preserve">, the ESC considered the presented clinical evidence was insufficient to support a claim of superiority for retifanlimab versus avelumab, and therefore the presented cost-utility analysis </w:t>
      </w:r>
      <w:r w:rsidR="00573B3B" w:rsidRPr="00D30537">
        <w:rPr>
          <w:color w:val="000000" w:themeColor="text1"/>
        </w:rPr>
        <w:t>was not</w:t>
      </w:r>
      <w:r w:rsidRPr="00D30537">
        <w:rPr>
          <w:color w:val="000000" w:themeColor="text1"/>
        </w:rPr>
        <w:t xml:space="preserve"> reasonable</w:t>
      </w:r>
      <w:r w:rsidR="00113B8B" w:rsidRPr="00D30537">
        <w:rPr>
          <w:color w:val="000000" w:themeColor="text1"/>
        </w:rPr>
        <w:t xml:space="preserve"> or informative</w:t>
      </w:r>
      <w:r w:rsidRPr="00D30537">
        <w:rPr>
          <w:color w:val="000000" w:themeColor="text1"/>
        </w:rPr>
        <w:t xml:space="preserve">. </w:t>
      </w:r>
      <w:r w:rsidR="001069E3" w:rsidRPr="00D30537">
        <w:rPr>
          <w:color w:val="000000" w:themeColor="text1"/>
        </w:rPr>
        <w:t xml:space="preserve">The ESC considered that a cost minimisation approach (CMA) would be more reasonable given that the submission’s clinical claim of superiority was not adequately supported (paragraph </w:t>
      </w:r>
      <w:r w:rsidR="001069E3" w:rsidRPr="00D30537">
        <w:rPr>
          <w:color w:val="000000" w:themeColor="text1"/>
        </w:rPr>
        <w:fldChar w:fldCharType="begin"/>
      </w:r>
      <w:r w:rsidR="001069E3" w:rsidRPr="00D30537">
        <w:rPr>
          <w:color w:val="000000" w:themeColor="text1"/>
        </w:rPr>
        <w:instrText xml:space="preserve"> REF _Ref207984022 \r \h  \* MERGEFORMAT </w:instrText>
      </w:r>
      <w:r w:rsidR="001069E3" w:rsidRPr="00D30537">
        <w:rPr>
          <w:color w:val="000000" w:themeColor="text1"/>
        </w:rPr>
      </w:r>
      <w:r w:rsidR="001069E3" w:rsidRPr="00D30537">
        <w:rPr>
          <w:color w:val="000000" w:themeColor="text1"/>
        </w:rPr>
        <w:fldChar w:fldCharType="separate"/>
      </w:r>
      <w:r w:rsidR="008D62D0">
        <w:rPr>
          <w:color w:val="000000" w:themeColor="text1"/>
        </w:rPr>
        <w:t>6.32</w:t>
      </w:r>
      <w:r w:rsidR="001069E3" w:rsidRPr="00D30537">
        <w:rPr>
          <w:color w:val="000000" w:themeColor="text1"/>
        </w:rPr>
        <w:fldChar w:fldCharType="end"/>
      </w:r>
      <w:r w:rsidR="001069E3" w:rsidRPr="00D30537">
        <w:rPr>
          <w:color w:val="000000" w:themeColor="text1"/>
        </w:rPr>
        <w:t xml:space="preserve">), and it was plausible that retifanlimab is at least as effective and safe as avelumab in patients with chemotherapy naïve metastatic MCC (paragraph </w:t>
      </w:r>
      <w:r w:rsidR="001069E3" w:rsidRPr="00D30537">
        <w:rPr>
          <w:color w:val="000000" w:themeColor="text1"/>
        </w:rPr>
        <w:fldChar w:fldCharType="begin"/>
      </w:r>
      <w:r w:rsidR="001069E3" w:rsidRPr="00D30537">
        <w:rPr>
          <w:color w:val="000000" w:themeColor="text1"/>
        </w:rPr>
        <w:instrText xml:space="preserve"> REF _Ref210926812 \r \h  \* MERGEFORMAT </w:instrText>
      </w:r>
      <w:r w:rsidR="001069E3" w:rsidRPr="00D30537">
        <w:rPr>
          <w:color w:val="000000" w:themeColor="text1"/>
        </w:rPr>
      </w:r>
      <w:r w:rsidR="001069E3" w:rsidRPr="00D30537">
        <w:rPr>
          <w:color w:val="000000" w:themeColor="text1"/>
        </w:rPr>
        <w:fldChar w:fldCharType="separate"/>
      </w:r>
      <w:r w:rsidR="008D62D0">
        <w:rPr>
          <w:color w:val="000000" w:themeColor="text1"/>
        </w:rPr>
        <w:t>6.33</w:t>
      </w:r>
      <w:r w:rsidR="001069E3" w:rsidRPr="00D30537">
        <w:rPr>
          <w:color w:val="000000" w:themeColor="text1"/>
        </w:rPr>
        <w:fldChar w:fldCharType="end"/>
      </w:r>
      <w:r w:rsidR="001069E3" w:rsidRPr="00D30537">
        <w:rPr>
          <w:color w:val="000000" w:themeColor="text1"/>
        </w:rPr>
        <w:t>).</w:t>
      </w:r>
      <w:r w:rsidR="00AD59B0" w:rsidRPr="00D30537">
        <w:rPr>
          <w:color w:val="000000" w:themeColor="text1"/>
        </w:rPr>
        <w:t xml:space="preserve"> </w:t>
      </w:r>
      <w:r w:rsidR="00E81623">
        <w:rPr>
          <w:color w:val="000000" w:themeColor="text1"/>
        </w:rPr>
        <w:t xml:space="preserve">The Pre-PBAC response </w:t>
      </w:r>
      <w:r w:rsidR="00B54B82" w:rsidRPr="005D2C6E">
        <w:rPr>
          <w:color w:val="000000" w:themeColor="text1"/>
        </w:rPr>
        <w:t xml:space="preserve">maintained the sponsor’s </w:t>
      </w:r>
      <w:r w:rsidR="00FF567C" w:rsidRPr="005D2C6E">
        <w:rPr>
          <w:color w:val="000000" w:themeColor="text1"/>
        </w:rPr>
        <w:t>view that</w:t>
      </w:r>
      <w:r w:rsidR="00B54B82" w:rsidRPr="005D2C6E">
        <w:rPr>
          <w:color w:val="000000" w:themeColor="text1"/>
        </w:rPr>
        <w:t xml:space="preserve"> clinical evidence supporting the claim of superior effectiveness </w:t>
      </w:r>
      <w:r w:rsidR="00D003E1" w:rsidRPr="005D2C6E">
        <w:rPr>
          <w:color w:val="000000" w:themeColor="text1"/>
        </w:rPr>
        <w:t xml:space="preserve">of retifanlimab over avelumab </w:t>
      </w:r>
      <w:r w:rsidR="00B54B82" w:rsidRPr="005D2C6E">
        <w:rPr>
          <w:color w:val="000000" w:themeColor="text1"/>
        </w:rPr>
        <w:t>is of better quality and rigour than that accepted by the PBAC for avelumab in MCC</w:t>
      </w:r>
      <w:r w:rsidR="00D003E1" w:rsidRPr="005D2C6E">
        <w:rPr>
          <w:color w:val="000000" w:themeColor="text1"/>
        </w:rPr>
        <w:t xml:space="preserve">, but </w:t>
      </w:r>
      <w:r w:rsidR="007A5EB7" w:rsidRPr="005D2C6E">
        <w:rPr>
          <w:color w:val="000000" w:themeColor="text1"/>
        </w:rPr>
        <w:t>indicated ‘to ensure timely access to retifanlimab in MCC,</w:t>
      </w:r>
      <w:r w:rsidR="007A5EB7" w:rsidRPr="007A5EB7">
        <w:rPr>
          <w:color w:val="000000" w:themeColor="text1"/>
        </w:rPr>
        <w:t xml:space="preserve"> the Sponsor is ultimately willing to agree to pricing based on a cost-minimisation analysis (CMA) versus avelumab</w:t>
      </w:r>
      <w:r w:rsidR="007A5EB7">
        <w:rPr>
          <w:color w:val="000000" w:themeColor="text1"/>
        </w:rPr>
        <w:t xml:space="preserve">’. </w:t>
      </w:r>
    </w:p>
    <w:p w14:paraId="31778F52" w14:textId="02A2A739" w:rsidR="001069E3" w:rsidRPr="00D30537" w:rsidRDefault="000F7DC5" w:rsidP="000F7DC5">
      <w:pPr>
        <w:pStyle w:val="3-BodyText"/>
        <w:numPr>
          <w:ilvl w:val="0"/>
          <w:numId w:val="0"/>
        </w:numPr>
        <w:rPr>
          <w:color w:val="000000" w:themeColor="text1"/>
          <w:u w:val="single"/>
        </w:rPr>
      </w:pPr>
      <w:r w:rsidRPr="00D30537">
        <w:rPr>
          <w:color w:val="000000" w:themeColor="text1"/>
          <w:u w:val="single"/>
        </w:rPr>
        <w:t>Cost minimisation approach</w:t>
      </w:r>
    </w:p>
    <w:p w14:paraId="0417527A" w14:textId="77777777" w:rsidR="00903A8C" w:rsidRPr="00D30537" w:rsidRDefault="00903A8C" w:rsidP="00515845">
      <w:pPr>
        <w:pStyle w:val="3-BodyText"/>
        <w:ind w:left="709"/>
      </w:pPr>
      <w:bookmarkStart w:id="57" w:name="_Ref211440086"/>
      <w:r w:rsidRPr="00D30537">
        <w:t>The ESC considered that, for the purposes of the CMA, it was appropriate to assume:</w:t>
      </w:r>
      <w:bookmarkEnd w:id="57"/>
    </w:p>
    <w:p w14:paraId="0DC3C5CD" w14:textId="2F6F6053" w:rsidR="00903A8C" w:rsidRPr="00D30537" w:rsidRDefault="00243CFC" w:rsidP="003D6682">
      <w:pPr>
        <w:pStyle w:val="3-BodyText"/>
        <w:numPr>
          <w:ilvl w:val="0"/>
          <w:numId w:val="16"/>
        </w:numPr>
      </w:pPr>
      <w:r w:rsidRPr="00D30537">
        <w:t>T</w:t>
      </w:r>
      <w:r w:rsidR="009F0FD4" w:rsidRPr="00D30537">
        <w:t xml:space="preserve">he </w:t>
      </w:r>
      <w:r w:rsidR="00166030" w:rsidRPr="00D30537">
        <w:t xml:space="preserve">average </w:t>
      </w:r>
      <w:r w:rsidR="009F0FD4" w:rsidRPr="00D30537">
        <w:t>treatment duration for retifanlimab and avelumab were unlikely to</w:t>
      </w:r>
      <w:r w:rsidR="00166030" w:rsidRPr="00D30537">
        <w:t xml:space="preserve"> </w:t>
      </w:r>
      <w:r w:rsidR="009F0FD4" w:rsidRPr="00D30537">
        <w:t xml:space="preserve">be </w:t>
      </w:r>
      <w:r w:rsidR="00166030" w:rsidRPr="00D30537">
        <w:t xml:space="preserve">substantially </w:t>
      </w:r>
      <w:r w:rsidR="009F0FD4" w:rsidRPr="00D30537">
        <w:t xml:space="preserve">different </w:t>
      </w:r>
      <w:r w:rsidR="00166030" w:rsidRPr="00D30537">
        <w:t>in clinical practice</w:t>
      </w:r>
      <w:r w:rsidRPr="00D30537">
        <w:t>; and</w:t>
      </w:r>
    </w:p>
    <w:p w14:paraId="1C5CDE67" w14:textId="72FE132F" w:rsidR="00243CFC" w:rsidRPr="00D30537" w:rsidRDefault="00F05802" w:rsidP="003D6682">
      <w:pPr>
        <w:pStyle w:val="3-BodyText"/>
        <w:numPr>
          <w:ilvl w:val="0"/>
          <w:numId w:val="16"/>
        </w:numPr>
      </w:pPr>
      <w:r w:rsidRPr="00D30537">
        <w:t>Given the uncertainties regarding the average</w:t>
      </w:r>
      <w:r w:rsidR="00236549" w:rsidRPr="00D30537">
        <w:t xml:space="preserve"> dose</w:t>
      </w:r>
      <w:r w:rsidRPr="00D30537">
        <w:t xml:space="preserve"> for avelumab (see paragraph</w:t>
      </w:r>
      <w:r w:rsidR="00CA036F" w:rsidRPr="00D30537">
        <w:t xml:space="preserve"> </w:t>
      </w:r>
      <w:r w:rsidR="00CA036F" w:rsidRPr="00D30537">
        <w:fldChar w:fldCharType="begin"/>
      </w:r>
      <w:r w:rsidR="00CA036F" w:rsidRPr="00D30537">
        <w:instrText xml:space="preserve"> REF _Ref211603659 \r \h </w:instrText>
      </w:r>
      <w:r w:rsidR="00AD59B0" w:rsidRPr="00D30537">
        <w:instrText xml:space="preserve"> \* MERGEFORMAT </w:instrText>
      </w:r>
      <w:r w:rsidR="00CA036F" w:rsidRPr="00D30537">
        <w:fldChar w:fldCharType="separate"/>
      </w:r>
      <w:r w:rsidR="00652388">
        <w:t>6.45</w:t>
      </w:r>
      <w:r w:rsidR="00CA036F" w:rsidRPr="00D30537">
        <w:fldChar w:fldCharType="end"/>
      </w:r>
      <w:r w:rsidR="00CA036F" w:rsidRPr="00D30537">
        <w:t>)</w:t>
      </w:r>
      <w:r w:rsidRPr="00D30537">
        <w:t xml:space="preserve">, it was reasonable to </w:t>
      </w:r>
      <w:r w:rsidR="004F06B2" w:rsidRPr="00D30537">
        <w:t xml:space="preserve">assume </w:t>
      </w:r>
      <w:r w:rsidRPr="00D30537">
        <w:t xml:space="preserve">the </w:t>
      </w:r>
      <w:r w:rsidR="00236549" w:rsidRPr="00D30537">
        <w:t xml:space="preserve">recommended flat </w:t>
      </w:r>
      <w:r w:rsidRPr="00D30537">
        <w:t>doses in the Product Information document</w:t>
      </w:r>
      <w:r w:rsidR="00236549" w:rsidRPr="00D30537">
        <w:t>s for both retifanlimab and avelumab</w:t>
      </w:r>
      <w:r w:rsidR="004F06B2" w:rsidRPr="00D30537">
        <w:t>.</w:t>
      </w:r>
      <w:r w:rsidR="00236549" w:rsidRPr="00D30537">
        <w:t xml:space="preserve"> </w:t>
      </w:r>
    </w:p>
    <w:p w14:paraId="2A87F4C8" w14:textId="3B693971" w:rsidR="00903A8C" w:rsidRPr="00700B8F" w:rsidRDefault="00903A8C" w:rsidP="00515845">
      <w:pPr>
        <w:pStyle w:val="3-BodyText"/>
        <w:ind w:left="709"/>
      </w:pPr>
      <w:bookmarkStart w:id="58" w:name="_Ref211440088"/>
      <w:r w:rsidRPr="00700B8F">
        <w:t>The ESC considered the following equi-effective doses would be reasonable: retifanlimab 500 mg every 4 weeks is equi-effective to avelumab 800 mg every 2 weeks.</w:t>
      </w:r>
      <w:r w:rsidR="00B42FE3" w:rsidRPr="00700B8F">
        <w:t xml:space="preserve"> On the basis that the average treatment duration was unlikely to be substantially different, the ESC considered the CMA could be conducted over a 4 week treatment cycle.</w:t>
      </w:r>
      <w:bookmarkEnd w:id="58"/>
      <w:r w:rsidR="00B42FE3" w:rsidRPr="00700B8F">
        <w:t xml:space="preserve"> </w:t>
      </w:r>
    </w:p>
    <w:p w14:paraId="50719EBB" w14:textId="65391056" w:rsidR="00BA6DCA" w:rsidRPr="00700B8F" w:rsidRDefault="002A122B" w:rsidP="007C7B06">
      <w:pPr>
        <w:pStyle w:val="3-BodyText"/>
        <w:ind w:left="709"/>
      </w:pPr>
      <w:r w:rsidRPr="00700B8F">
        <w:t>A CMA</w:t>
      </w:r>
      <w:r w:rsidR="00BA6DCA" w:rsidRPr="00700B8F">
        <w:t xml:space="preserve"> (based on the published price of avelumab)</w:t>
      </w:r>
      <w:r w:rsidR="00655E26" w:rsidRPr="00700B8F">
        <w:t xml:space="preserve"> </w:t>
      </w:r>
      <w:r w:rsidRPr="00700B8F">
        <w:t xml:space="preserve">is presented in </w:t>
      </w:r>
      <w:r w:rsidRPr="00700B8F">
        <w:fldChar w:fldCharType="begin"/>
      </w:r>
      <w:r w:rsidRPr="00700B8F">
        <w:instrText xml:space="preserve"> REF _Ref211257965 \h  \* MERGEFORMAT </w:instrText>
      </w:r>
      <w:r w:rsidRPr="00700B8F">
        <w:fldChar w:fldCharType="separate"/>
      </w:r>
      <w:r w:rsidR="00652388" w:rsidRPr="00C9556E">
        <w:t xml:space="preserve">Table </w:t>
      </w:r>
      <w:r w:rsidR="00652388">
        <w:t>9</w:t>
      </w:r>
      <w:r w:rsidRPr="00700B8F">
        <w:fldChar w:fldCharType="end"/>
      </w:r>
      <w:r w:rsidR="00BA6DCA" w:rsidRPr="00700B8F">
        <w:t>.</w:t>
      </w:r>
      <w:r w:rsidR="00C85133" w:rsidRPr="00700B8F">
        <w:t xml:space="preserve"> </w:t>
      </w:r>
    </w:p>
    <w:p w14:paraId="6980C7A6" w14:textId="77777777" w:rsidR="007079A9" w:rsidRPr="00D30537" w:rsidRDefault="007079A9" w:rsidP="00414264">
      <w:pPr>
        <w:keepNext/>
        <w:keepLines/>
        <w:rPr>
          <w:rFonts w:eastAsiaTheme="minorHAnsi" w:cstheme="minorBidi"/>
          <w:color w:val="000000" w:themeColor="text1"/>
          <w:szCs w:val="22"/>
        </w:rPr>
      </w:pPr>
    </w:p>
    <w:p w14:paraId="42EF9836" w14:textId="176E5A94" w:rsidR="002A122B" w:rsidRPr="00C9556E" w:rsidRDefault="002A122B" w:rsidP="00414264">
      <w:pPr>
        <w:pStyle w:val="Caption"/>
      </w:pPr>
      <w:bookmarkStart w:id="59" w:name="_Ref211257965"/>
      <w:bookmarkStart w:id="60" w:name="_Ref211257962"/>
      <w:r w:rsidRPr="00C9556E">
        <w:t xml:space="preserve">Table </w:t>
      </w:r>
      <w:fldSimple w:instr=" SEQ Table \* ARABIC ">
        <w:r w:rsidR="00652388">
          <w:rPr>
            <w:noProof/>
          </w:rPr>
          <w:t>9</w:t>
        </w:r>
      </w:fldSimple>
      <w:bookmarkEnd w:id="59"/>
      <w:r w:rsidRPr="00C9556E">
        <w:t>: Cost Minimisation Analysis (CMA) of retifanlimab vs avelumab for advanced MCC</w:t>
      </w:r>
      <w:bookmarkEnd w:id="60"/>
      <w:r w:rsidRPr="00C9556E">
        <w:t>, using avelumab published price</w:t>
      </w:r>
    </w:p>
    <w:tbl>
      <w:tblPr>
        <w:tblW w:w="9072" w:type="dxa"/>
        <w:tblInd w:w="-10" w:type="dxa"/>
        <w:tblCellMar>
          <w:left w:w="0" w:type="dxa"/>
          <w:right w:w="0" w:type="dxa"/>
        </w:tblCellMar>
        <w:tblLook w:val="04A0" w:firstRow="1" w:lastRow="0" w:firstColumn="1" w:lastColumn="0" w:noHBand="0" w:noVBand="1"/>
        <w:tblCaption w:val="Table 9: Cost Minimisation Analysis (CMA) of retifanlimab vs avelumab for advanced MCC, using avelumab published price"/>
      </w:tblPr>
      <w:tblGrid>
        <w:gridCol w:w="3024"/>
        <w:gridCol w:w="3024"/>
        <w:gridCol w:w="3024"/>
      </w:tblGrid>
      <w:tr w:rsidR="002A122B" w:rsidRPr="00C9556E" w14:paraId="7D7FA633" w14:textId="77777777">
        <w:tc>
          <w:tcPr>
            <w:tcW w:w="3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F2ABA" w14:textId="77777777" w:rsidR="002A122B" w:rsidRPr="00C9556E" w:rsidRDefault="002A122B" w:rsidP="00414264">
            <w:pPr>
              <w:pStyle w:val="PBACTabletext0"/>
              <w:rPr>
                <w:rFonts w:eastAsiaTheme="minorHAnsi"/>
              </w:rPr>
            </w:pPr>
          </w:p>
        </w:tc>
        <w:tc>
          <w:tcPr>
            <w:tcW w:w="3024"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67071CFA" w14:textId="77777777" w:rsidR="002A122B" w:rsidRPr="00C9556E" w:rsidRDefault="002A122B" w:rsidP="00414264">
            <w:pPr>
              <w:pStyle w:val="PBACTabletext0"/>
              <w:rPr>
                <w:rFonts w:eastAsiaTheme="minorHAnsi"/>
                <w:b/>
                <w:bCs/>
              </w:rPr>
            </w:pPr>
            <w:r w:rsidRPr="00C9556E">
              <w:rPr>
                <w:rFonts w:eastAsiaTheme="minorHAnsi"/>
                <w:b/>
                <w:bCs/>
              </w:rPr>
              <w:t>Avelumab</w:t>
            </w:r>
          </w:p>
        </w:tc>
        <w:tc>
          <w:tcPr>
            <w:tcW w:w="3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F82F5" w14:textId="77777777" w:rsidR="002A122B" w:rsidRPr="00C9556E" w:rsidRDefault="002A122B" w:rsidP="00414264">
            <w:pPr>
              <w:pStyle w:val="PBACTabletext0"/>
              <w:rPr>
                <w:rFonts w:eastAsiaTheme="minorHAnsi"/>
                <w:b/>
                <w:bCs/>
              </w:rPr>
            </w:pPr>
            <w:r w:rsidRPr="00C9556E">
              <w:rPr>
                <w:rFonts w:eastAsiaTheme="minorHAnsi"/>
                <w:b/>
                <w:bCs/>
              </w:rPr>
              <w:t>Retifanlimab</w:t>
            </w:r>
          </w:p>
        </w:tc>
      </w:tr>
      <w:tr w:rsidR="002A122B" w:rsidRPr="00C9556E" w14:paraId="4C50D77E" w14:textId="77777777">
        <w:tc>
          <w:tcPr>
            <w:tcW w:w="30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7F162" w14:textId="77777777" w:rsidR="002A122B" w:rsidRPr="00C9556E" w:rsidRDefault="002A122B" w:rsidP="00414264">
            <w:pPr>
              <w:pStyle w:val="PBACTabletext0"/>
              <w:rPr>
                <w:rFonts w:eastAsiaTheme="minorHAnsi"/>
              </w:rPr>
            </w:pPr>
            <w:r w:rsidRPr="00C9556E">
              <w:rPr>
                <w:rFonts w:eastAsiaTheme="minorHAnsi"/>
              </w:rPr>
              <w:t>Dose</w:t>
            </w:r>
          </w:p>
        </w:tc>
        <w:tc>
          <w:tcPr>
            <w:tcW w:w="3024" w:type="dxa"/>
            <w:tcBorders>
              <w:top w:val="nil"/>
              <w:left w:val="nil"/>
              <w:bottom w:val="single" w:sz="8" w:space="0" w:color="auto"/>
              <w:right w:val="single" w:sz="4" w:space="0" w:color="auto"/>
            </w:tcBorders>
            <w:tcMar>
              <w:top w:w="0" w:type="dxa"/>
              <w:left w:w="108" w:type="dxa"/>
              <w:bottom w:w="0" w:type="dxa"/>
              <w:right w:w="108" w:type="dxa"/>
            </w:tcMar>
            <w:hideMark/>
          </w:tcPr>
          <w:p w14:paraId="22940403" w14:textId="5584DA58" w:rsidR="002A122B" w:rsidRPr="00C9556E" w:rsidRDefault="002A122B" w:rsidP="00414264">
            <w:pPr>
              <w:pStyle w:val="PBACTabletext0"/>
              <w:rPr>
                <w:rFonts w:eastAsiaTheme="minorHAnsi"/>
              </w:rPr>
            </w:pPr>
            <w:r w:rsidRPr="00C9556E">
              <w:rPr>
                <w:rFonts w:eastAsiaTheme="minorHAnsi"/>
              </w:rPr>
              <w:t>800 mg every 2 weeks (4 vials)</w:t>
            </w:r>
          </w:p>
        </w:tc>
        <w:tc>
          <w:tcPr>
            <w:tcW w:w="3024" w:type="dxa"/>
            <w:tcBorders>
              <w:top w:val="nil"/>
              <w:left w:val="nil"/>
              <w:bottom w:val="single" w:sz="8" w:space="0" w:color="auto"/>
              <w:right w:val="single" w:sz="8" w:space="0" w:color="auto"/>
            </w:tcBorders>
            <w:tcMar>
              <w:top w:w="0" w:type="dxa"/>
              <w:left w:w="108" w:type="dxa"/>
              <w:bottom w:w="0" w:type="dxa"/>
              <w:right w:w="108" w:type="dxa"/>
            </w:tcMar>
            <w:hideMark/>
          </w:tcPr>
          <w:p w14:paraId="236A9E8A" w14:textId="77777777" w:rsidR="002A122B" w:rsidRPr="00C9556E" w:rsidRDefault="002A122B" w:rsidP="00414264">
            <w:pPr>
              <w:pStyle w:val="PBACTabletext0"/>
              <w:rPr>
                <w:rFonts w:eastAsiaTheme="minorHAnsi"/>
              </w:rPr>
            </w:pPr>
            <w:r w:rsidRPr="00C9556E">
              <w:rPr>
                <w:rFonts w:eastAsiaTheme="minorHAnsi"/>
              </w:rPr>
              <w:t>500 mg every 4 weeks (1 vial)</w:t>
            </w:r>
          </w:p>
        </w:tc>
      </w:tr>
      <w:tr w:rsidR="002A122B" w:rsidRPr="00C9556E" w14:paraId="4D496349" w14:textId="77777777" w:rsidTr="00675BBF">
        <w:tc>
          <w:tcPr>
            <w:tcW w:w="30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67E1ED" w14:textId="3B5F9B18" w:rsidR="002A122B" w:rsidRPr="00C9556E" w:rsidRDefault="002A122B" w:rsidP="00414264">
            <w:pPr>
              <w:pStyle w:val="PBACTabletext0"/>
              <w:rPr>
                <w:rFonts w:eastAsiaTheme="minorHAnsi"/>
              </w:rPr>
            </w:pPr>
            <w:r w:rsidRPr="00C9556E">
              <w:rPr>
                <w:rFonts w:eastAsiaTheme="minorHAnsi"/>
              </w:rPr>
              <w:t>Published price</w:t>
            </w:r>
            <w:r w:rsidR="00D76F60" w:rsidRPr="00C9556E">
              <w:rPr>
                <w:rFonts w:eastAsiaTheme="minorHAnsi"/>
              </w:rPr>
              <w:t xml:space="preserve"> (EMP)</w:t>
            </w:r>
          </w:p>
        </w:tc>
        <w:tc>
          <w:tcPr>
            <w:tcW w:w="3024" w:type="dxa"/>
            <w:tcBorders>
              <w:top w:val="nil"/>
              <w:left w:val="nil"/>
              <w:bottom w:val="single" w:sz="4" w:space="0" w:color="auto"/>
              <w:right w:val="single" w:sz="8" w:space="0" w:color="auto"/>
            </w:tcBorders>
            <w:tcMar>
              <w:top w:w="0" w:type="dxa"/>
              <w:left w:w="108" w:type="dxa"/>
              <w:bottom w:w="0" w:type="dxa"/>
              <w:right w:w="108" w:type="dxa"/>
            </w:tcMar>
            <w:hideMark/>
          </w:tcPr>
          <w:p w14:paraId="3053232E" w14:textId="77777777" w:rsidR="002A122B" w:rsidRPr="00C9556E" w:rsidRDefault="002A122B" w:rsidP="00414264">
            <w:pPr>
              <w:pStyle w:val="PBACTabletext0"/>
              <w:rPr>
                <w:rFonts w:eastAsiaTheme="minorHAnsi"/>
              </w:rPr>
            </w:pPr>
            <w:r w:rsidRPr="00C9556E">
              <w:rPr>
                <w:rFonts w:eastAsiaTheme="minorHAnsi"/>
              </w:rPr>
              <w:t>$1,289 per 200 mg vial</w:t>
            </w:r>
          </w:p>
        </w:tc>
        <w:tc>
          <w:tcPr>
            <w:tcW w:w="3024" w:type="dxa"/>
            <w:tcBorders>
              <w:top w:val="nil"/>
              <w:left w:val="nil"/>
              <w:bottom w:val="single" w:sz="4" w:space="0" w:color="auto"/>
              <w:right w:val="single" w:sz="8" w:space="0" w:color="auto"/>
            </w:tcBorders>
            <w:tcMar>
              <w:top w:w="0" w:type="dxa"/>
              <w:left w:w="108" w:type="dxa"/>
              <w:bottom w:w="0" w:type="dxa"/>
              <w:right w:w="108" w:type="dxa"/>
            </w:tcMar>
            <w:hideMark/>
          </w:tcPr>
          <w:p w14:paraId="00796CA3" w14:textId="77777777" w:rsidR="002A122B" w:rsidRPr="00C9556E" w:rsidRDefault="002A122B" w:rsidP="00414264">
            <w:pPr>
              <w:pStyle w:val="PBACTabletext0"/>
              <w:rPr>
                <w:rFonts w:eastAsiaTheme="minorHAnsi"/>
              </w:rPr>
            </w:pPr>
            <w:r w:rsidRPr="00C9556E">
              <w:rPr>
                <w:rFonts w:eastAsiaTheme="minorHAnsi"/>
              </w:rPr>
              <w:t>$10,438 per 500 mg vial</w:t>
            </w:r>
          </w:p>
        </w:tc>
      </w:tr>
      <w:tr w:rsidR="002A122B" w:rsidRPr="00C9556E" w14:paraId="738383F1" w14:textId="77777777" w:rsidTr="00675BBF">
        <w:tc>
          <w:tcPr>
            <w:tcW w:w="30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72B899" w14:textId="77777777" w:rsidR="002A122B" w:rsidRPr="00C9556E" w:rsidRDefault="002A122B" w:rsidP="00414264">
            <w:pPr>
              <w:pStyle w:val="PBACTabletext0"/>
              <w:rPr>
                <w:rFonts w:eastAsiaTheme="minorHAnsi"/>
              </w:rPr>
            </w:pPr>
            <w:r w:rsidRPr="00C9556E">
              <w:rPr>
                <w:rFonts w:eastAsiaTheme="minorHAnsi"/>
              </w:rPr>
              <w:t>Drug cost per dose</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2072B1" w14:textId="77777777" w:rsidR="002A122B" w:rsidRPr="00C9556E" w:rsidRDefault="002A122B" w:rsidP="00414264">
            <w:pPr>
              <w:pStyle w:val="PBACTabletext0"/>
              <w:rPr>
                <w:rFonts w:eastAsiaTheme="minorHAnsi"/>
              </w:rPr>
            </w:pPr>
            <w:r w:rsidRPr="00C9556E">
              <w:rPr>
                <w:rFonts w:eastAsiaTheme="minorHAnsi"/>
              </w:rPr>
              <w:t>$5,156</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DCB11C" w14:textId="77777777" w:rsidR="002A122B" w:rsidRPr="00C9556E" w:rsidRDefault="002A122B" w:rsidP="00414264">
            <w:pPr>
              <w:pStyle w:val="PBACTabletext0"/>
              <w:rPr>
                <w:rFonts w:eastAsiaTheme="minorHAnsi"/>
              </w:rPr>
            </w:pPr>
            <w:r w:rsidRPr="00C9556E">
              <w:rPr>
                <w:rFonts w:eastAsiaTheme="minorHAnsi"/>
              </w:rPr>
              <w:t>$10,438</w:t>
            </w:r>
          </w:p>
        </w:tc>
      </w:tr>
      <w:tr w:rsidR="002A122B" w:rsidRPr="00C9556E" w14:paraId="7588A778" w14:textId="77777777" w:rsidTr="00675BBF">
        <w:tc>
          <w:tcPr>
            <w:tcW w:w="30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69AFA9" w14:textId="38E2B232" w:rsidR="002A122B" w:rsidRPr="00C9556E" w:rsidRDefault="002A122B" w:rsidP="00414264">
            <w:pPr>
              <w:pStyle w:val="PBACTabletext0"/>
              <w:rPr>
                <w:rFonts w:eastAsiaTheme="minorHAnsi"/>
              </w:rPr>
            </w:pPr>
            <w:r w:rsidRPr="00C9556E">
              <w:rPr>
                <w:rFonts w:eastAsiaTheme="minorHAnsi"/>
              </w:rPr>
              <w:t xml:space="preserve">Drug cost per 4 weekly cycle </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84AAA7" w14:textId="50326901" w:rsidR="002A122B" w:rsidRPr="00C9556E" w:rsidRDefault="002A122B" w:rsidP="00414264">
            <w:pPr>
              <w:pStyle w:val="PBACTabletext0"/>
              <w:rPr>
                <w:rFonts w:eastAsiaTheme="minorHAnsi"/>
              </w:rPr>
            </w:pPr>
            <w:r w:rsidRPr="00C9556E">
              <w:rPr>
                <w:rFonts w:eastAsiaTheme="minorHAnsi"/>
              </w:rPr>
              <w:t xml:space="preserve">$10,312 </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93B4B8" w14:textId="77777777" w:rsidR="002A122B" w:rsidRPr="00C9556E" w:rsidRDefault="002A122B" w:rsidP="00414264">
            <w:pPr>
              <w:pStyle w:val="PBACTabletext0"/>
              <w:rPr>
                <w:rFonts w:eastAsiaTheme="minorHAnsi"/>
              </w:rPr>
            </w:pPr>
            <w:r w:rsidRPr="00C9556E">
              <w:rPr>
                <w:rFonts w:eastAsiaTheme="minorHAnsi"/>
              </w:rPr>
              <w:t>$10,438</w:t>
            </w:r>
          </w:p>
        </w:tc>
      </w:tr>
      <w:tr w:rsidR="002A122B" w:rsidRPr="00C9556E" w14:paraId="38CE619F" w14:textId="77777777" w:rsidTr="00675BBF">
        <w:tc>
          <w:tcPr>
            <w:tcW w:w="30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8DA261" w14:textId="1312B6D8" w:rsidR="002A122B" w:rsidRPr="00C9556E" w:rsidRDefault="002A122B" w:rsidP="00414264">
            <w:pPr>
              <w:pStyle w:val="PBACTabletext0"/>
              <w:rPr>
                <w:rFonts w:eastAsiaTheme="minorHAnsi"/>
              </w:rPr>
            </w:pPr>
            <w:r w:rsidRPr="00C9556E">
              <w:rPr>
                <w:rFonts w:eastAsiaTheme="minorHAnsi"/>
              </w:rPr>
              <w:t>Admin cost per 4 weekly cycle</w:t>
            </w:r>
            <w:r w:rsidRPr="00C9556E">
              <w:rPr>
                <w:rFonts w:eastAsiaTheme="minorHAnsi"/>
                <w:vertAlign w:val="superscript"/>
              </w:rPr>
              <w:t xml:space="preserve"> </w:t>
            </w:r>
            <w:r w:rsidR="00907380" w:rsidRPr="00C9556E">
              <w:rPr>
                <w:rFonts w:eastAsiaTheme="minorHAnsi"/>
                <w:vertAlign w:val="superscript"/>
              </w:rPr>
              <w:t>a</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9B1969" w14:textId="77777777" w:rsidR="002A122B" w:rsidRPr="00C9556E" w:rsidRDefault="002A122B" w:rsidP="00414264">
            <w:pPr>
              <w:pStyle w:val="PBACTabletext0"/>
              <w:rPr>
                <w:rFonts w:eastAsiaTheme="minorHAnsi"/>
              </w:rPr>
            </w:pPr>
            <w:r w:rsidRPr="00C9556E">
              <w:rPr>
                <w:rFonts w:eastAsiaTheme="minorHAnsi"/>
              </w:rPr>
              <w:t>$252</w:t>
            </w:r>
          </w:p>
        </w:tc>
        <w:tc>
          <w:tcPr>
            <w:tcW w:w="302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2AB780" w14:textId="77777777" w:rsidR="002A122B" w:rsidRPr="00C9556E" w:rsidRDefault="002A122B" w:rsidP="00414264">
            <w:pPr>
              <w:pStyle w:val="PBACTabletext0"/>
              <w:rPr>
                <w:rFonts w:eastAsiaTheme="minorHAnsi"/>
              </w:rPr>
            </w:pPr>
            <w:r w:rsidRPr="00C9556E">
              <w:rPr>
                <w:rFonts w:eastAsiaTheme="minorHAnsi"/>
              </w:rPr>
              <w:t xml:space="preserve">$126 </w:t>
            </w:r>
          </w:p>
        </w:tc>
      </w:tr>
      <w:tr w:rsidR="002A122B" w:rsidRPr="00C9556E" w14:paraId="2F6AF5AE" w14:textId="77777777" w:rsidTr="00675BBF">
        <w:tc>
          <w:tcPr>
            <w:tcW w:w="30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83EC79" w14:textId="77777777" w:rsidR="002A122B" w:rsidRPr="00C9556E" w:rsidRDefault="002A122B" w:rsidP="00414264">
            <w:pPr>
              <w:pStyle w:val="PBACTabletext0"/>
              <w:rPr>
                <w:rFonts w:eastAsiaTheme="minorHAnsi"/>
              </w:rPr>
            </w:pPr>
            <w:r w:rsidRPr="00C9556E">
              <w:rPr>
                <w:rFonts w:eastAsiaTheme="minorHAnsi"/>
              </w:rPr>
              <w:t>Total cost per patient per 4 weekly cycle</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13C462" w14:textId="77777777" w:rsidR="002A122B" w:rsidRPr="00C9556E" w:rsidRDefault="002A122B" w:rsidP="00414264">
            <w:pPr>
              <w:pStyle w:val="PBACTabletext0"/>
              <w:rPr>
                <w:rFonts w:eastAsiaTheme="minorHAnsi"/>
              </w:rPr>
            </w:pPr>
            <w:r w:rsidRPr="00C9556E">
              <w:rPr>
                <w:rFonts w:eastAsiaTheme="minorHAnsi"/>
              </w:rPr>
              <w:t>$10,564</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61C90E" w14:textId="77777777" w:rsidR="002A122B" w:rsidRPr="00C9556E" w:rsidRDefault="002A122B" w:rsidP="00414264">
            <w:pPr>
              <w:pStyle w:val="PBACTabletext0"/>
              <w:rPr>
                <w:rFonts w:eastAsiaTheme="minorHAnsi"/>
              </w:rPr>
            </w:pPr>
            <w:r w:rsidRPr="00C9556E">
              <w:rPr>
                <w:rFonts w:eastAsiaTheme="minorHAnsi"/>
              </w:rPr>
              <w:t>$10,564</w:t>
            </w:r>
          </w:p>
        </w:tc>
      </w:tr>
    </w:tbl>
    <w:p w14:paraId="355FD4A6" w14:textId="1B806842" w:rsidR="002A122B" w:rsidRPr="00C9556E" w:rsidRDefault="002A122B" w:rsidP="00414264">
      <w:pPr>
        <w:pStyle w:val="FooterTableFigure"/>
        <w:keepNext/>
        <w:keepLines/>
      </w:pPr>
      <w:r w:rsidRPr="00C9556E">
        <w:t xml:space="preserve">Source: constructed by the secretariat </w:t>
      </w:r>
      <w:r w:rsidR="00BA6DCA" w:rsidRPr="00C9556E">
        <w:t xml:space="preserve">based on </w:t>
      </w:r>
      <w:r w:rsidR="00B42FE3" w:rsidRPr="00C9556E">
        <w:t xml:space="preserve">the </w:t>
      </w:r>
      <w:r w:rsidRPr="00C9556E">
        <w:t>ESC</w:t>
      </w:r>
      <w:r w:rsidR="00BA6DCA" w:rsidRPr="00C9556E">
        <w:t xml:space="preserve"> preferred assumptions (as outlined in </w:t>
      </w:r>
      <w:r w:rsidR="00B42FE3" w:rsidRPr="00C9556E">
        <w:t xml:space="preserve">paragraphs </w:t>
      </w:r>
      <w:r w:rsidR="00B42FE3" w:rsidRPr="00C9556E">
        <w:fldChar w:fldCharType="begin"/>
      </w:r>
      <w:r w:rsidR="00B42FE3" w:rsidRPr="00C9556E">
        <w:instrText xml:space="preserve"> REF _Ref211440086 \r \h </w:instrText>
      </w:r>
      <w:r w:rsidR="00C9556E">
        <w:instrText xml:space="preserve"> \* MERGEFORMAT </w:instrText>
      </w:r>
      <w:r w:rsidR="00B42FE3" w:rsidRPr="00C9556E">
        <w:fldChar w:fldCharType="separate"/>
      </w:r>
      <w:r w:rsidR="00652388">
        <w:t>6.39</w:t>
      </w:r>
      <w:r w:rsidR="00B42FE3" w:rsidRPr="00C9556E">
        <w:fldChar w:fldCharType="end"/>
      </w:r>
      <w:r w:rsidR="00B42FE3" w:rsidRPr="00C9556E">
        <w:t xml:space="preserve"> and </w:t>
      </w:r>
      <w:r w:rsidR="00B42FE3" w:rsidRPr="00C9556E">
        <w:fldChar w:fldCharType="begin"/>
      </w:r>
      <w:r w:rsidR="00B42FE3" w:rsidRPr="00C9556E">
        <w:instrText xml:space="preserve"> REF _Ref211440088 \r \h </w:instrText>
      </w:r>
      <w:r w:rsidR="00C9556E">
        <w:instrText xml:space="preserve"> \* MERGEFORMAT </w:instrText>
      </w:r>
      <w:r w:rsidR="00B42FE3" w:rsidRPr="00C9556E">
        <w:fldChar w:fldCharType="separate"/>
      </w:r>
      <w:r w:rsidR="00652388">
        <w:t>6.40</w:t>
      </w:r>
      <w:r w:rsidR="00B42FE3" w:rsidRPr="00C9556E">
        <w:fldChar w:fldCharType="end"/>
      </w:r>
      <w:r w:rsidR="00B42FE3" w:rsidRPr="00C9556E">
        <w:t>)</w:t>
      </w:r>
    </w:p>
    <w:p w14:paraId="386DC63D" w14:textId="77777777" w:rsidR="002A122B" w:rsidRPr="00C9556E" w:rsidRDefault="002A122B" w:rsidP="00414264">
      <w:pPr>
        <w:pStyle w:val="FooterTableFigure"/>
        <w:keepNext/>
        <w:keepLines/>
      </w:pPr>
      <w:r w:rsidRPr="00C9556E">
        <w:t>Admin, administration; CMA, cost minimisation analysis; MCC, Merkel Cell Carcinoma</w:t>
      </w:r>
    </w:p>
    <w:p w14:paraId="665AD525" w14:textId="5F0F3FF1" w:rsidR="002A122B" w:rsidRPr="00C9556E" w:rsidRDefault="002A122B" w:rsidP="00414264">
      <w:pPr>
        <w:pStyle w:val="FooterTableFigure"/>
        <w:keepNext/>
        <w:keepLines/>
      </w:pPr>
      <w:r w:rsidRPr="00C9556E">
        <w:t xml:space="preserve">Note: </w:t>
      </w:r>
      <w:r w:rsidRPr="00C9556E">
        <w:rPr>
          <w:rFonts w:eastAsiaTheme="minorHAnsi"/>
        </w:rPr>
        <w:t>CMA is based on a 4 weekly treatment cycle and assumes that, in clinical practice, there is not likely to be any difference in treatment duration between avelumab and retifanlimab</w:t>
      </w:r>
      <w:r w:rsidRPr="00C9556E">
        <w:t xml:space="preserve"> </w:t>
      </w:r>
    </w:p>
    <w:p w14:paraId="746849C1" w14:textId="4907C87D" w:rsidR="002A122B" w:rsidRPr="00C9556E" w:rsidRDefault="00907380" w:rsidP="00414264">
      <w:pPr>
        <w:pStyle w:val="FooterTableFigure"/>
        <w:keepNext/>
        <w:keepLines/>
        <w:rPr>
          <w:rFonts w:eastAsiaTheme="minorHAnsi"/>
        </w:rPr>
      </w:pPr>
      <w:r w:rsidRPr="00C9556E">
        <w:rPr>
          <w:rFonts w:eastAsiaTheme="minorHAnsi"/>
          <w:vertAlign w:val="superscript"/>
        </w:rPr>
        <w:t>a</w:t>
      </w:r>
      <w:r w:rsidR="002A122B" w:rsidRPr="00C9556E">
        <w:rPr>
          <w:rFonts w:eastAsiaTheme="minorHAnsi"/>
        </w:rPr>
        <w:t xml:space="preserve"> Assuming $126 per administration.</w:t>
      </w:r>
    </w:p>
    <w:p w14:paraId="31AB6554" w14:textId="75842C48" w:rsidR="000F7DC5" w:rsidRPr="0006714A" w:rsidRDefault="000F7DC5" w:rsidP="000F7DC5">
      <w:pPr>
        <w:pStyle w:val="3-BodyText"/>
        <w:numPr>
          <w:ilvl w:val="0"/>
          <w:numId w:val="0"/>
        </w:numPr>
        <w:rPr>
          <w:u w:val="single"/>
        </w:rPr>
      </w:pPr>
      <w:r w:rsidRPr="0006714A">
        <w:rPr>
          <w:u w:val="single"/>
        </w:rPr>
        <w:t xml:space="preserve">Cost utility </w:t>
      </w:r>
      <w:r w:rsidR="00305493" w:rsidRPr="0006714A">
        <w:rPr>
          <w:u w:val="single"/>
        </w:rPr>
        <w:t>analysis</w:t>
      </w:r>
    </w:p>
    <w:p w14:paraId="7ECF0A2E" w14:textId="3AEF779D" w:rsidR="005E1015" w:rsidRPr="00D30537" w:rsidRDefault="00BA6DCA" w:rsidP="006E3D94">
      <w:pPr>
        <w:pStyle w:val="3-BodyText"/>
        <w:ind w:left="709"/>
        <w:rPr>
          <w:i/>
          <w:iCs/>
          <w:color w:val="000000" w:themeColor="text1"/>
        </w:rPr>
      </w:pPr>
      <w:r w:rsidRPr="00D30537">
        <w:rPr>
          <w:color w:val="000000" w:themeColor="text1"/>
        </w:rPr>
        <w:lastRenderedPageBreak/>
        <w:t>T</w:t>
      </w:r>
      <w:r w:rsidR="008047AE" w:rsidRPr="00D30537">
        <w:rPr>
          <w:color w:val="000000" w:themeColor="text1"/>
        </w:rPr>
        <w:t xml:space="preserve">he key </w:t>
      </w:r>
      <w:r w:rsidR="008047AE" w:rsidRPr="007D3A01">
        <w:t>components</w:t>
      </w:r>
      <w:r w:rsidR="008047AE" w:rsidRPr="007D3A01">
        <w:rPr>
          <w:color w:val="000000" w:themeColor="text1"/>
        </w:rPr>
        <w:t xml:space="preserve"> </w:t>
      </w:r>
      <w:r w:rsidR="008047AE" w:rsidRPr="00D30537">
        <w:rPr>
          <w:color w:val="000000" w:themeColor="text1"/>
        </w:rPr>
        <w:t xml:space="preserve">of the </w:t>
      </w:r>
      <w:r w:rsidR="005E1015" w:rsidRPr="00D30537">
        <w:rPr>
          <w:color w:val="000000" w:themeColor="text1"/>
        </w:rPr>
        <w:t xml:space="preserve">submission’s </w:t>
      </w:r>
      <w:r w:rsidR="008047AE" w:rsidRPr="00D30537">
        <w:rPr>
          <w:color w:val="000000" w:themeColor="text1"/>
        </w:rPr>
        <w:t>model</w:t>
      </w:r>
      <w:r w:rsidR="001A34D2" w:rsidRPr="00D30537">
        <w:rPr>
          <w:color w:val="000000" w:themeColor="text1"/>
        </w:rPr>
        <w:t xml:space="preserve">, </w:t>
      </w:r>
      <w:r w:rsidR="00AA78D2" w:rsidRPr="00D30537">
        <w:rPr>
          <w:color w:val="000000" w:themeColor="text1"/>
        </w:rPr>
        <w:t>are</w:t>
      </w:r>
      <w:r w:rsidR="008047AE" w:rsidRPr="00D30537">
        <w:rPr>
          <w:color w:val="000000" w:themeColor="text1"/>
        </w:rPr>
        <w:t xml:space="preserve"> summarised in </w:t>
      </w:r>
      <w:r w:rsidR="008047AE" w:rsidRPr="00D30537">
        <w:rPr>
          <w:color w:val="000000" w:themeColor="text1"/>
          <w:highlight w:val="green"/>
        </w:rPr>
        <w:fldChar w:fldCharType="begin"/>
      </w:r>
      <w:r w:rsidR="008047AE" w:rsidRPr="00D30537">
        <w:rPr>
          <w:color w:val="000000" w:themeColor="text1"/>
        </w:rPr>
        <w:instrText xml:space="preserve"> REF _Ref205979245 \h </w:instrText>
      </w:r>
      <w:r w:rsidR="008047AE" w:rsidRPr="00D30537">
        <w:rPr>
          <w:color w:val="000000" w:themeColor="text1"/>
          <w:highlight w:val="green"/>
        </w:rPr>
      </w:r>
      <w:r w:rsidR="008047AE" w:rsidRPr="00D30537">
        <w:rPr>
          <w:color w:val="000000" w:themeColor="text1"/>
          <w:highlight w:val="green"/>
        </w:rPr>
        <w:fldChar w:fldCharType="separate"/>
      </w:r>
      <w:r w:rsidR="00652388" w:rsidRPr="00D30537">
        <w:t xml:space="preserve">Table </w:t>
      </w:r>
      <w:r w:rsidR="00652388">
        <w:rPr>
          <w:noProof/>
        </w:rPr>
        <w:t>10</w:t>
      </w:r>
      <w:r w:rsidR="008047AE" w:rsidRPr="00D30537">
        <w:rPr>
          <w:color w:val="000000" w:themeColor="text1"/>
          <w:highlight w:val="green"/>
        </w:rPr>
        <w:fldChar w:fldCharType="end"/>
      </w:r>
      <w:r w:rsidR="005E1015" w:rsidRPr="00D30537">
        <w:rPr>
          <w:color w:val="000000" w:themeColor="text1"/>
        </w:rPr>
        <w:t xml:space="preserve">, </w:t>
      </w:r>
    </w:p>
    <w:p w14:paraId="61339CC8" w14:textId="76560D0B" w:rsidR="008047AE" w:rsidRPr="00D30537" w:rsidRDefault="008047AE" w:rsidP="00F86BF7">
      <w:pPr>
        <w:pStyle w:val="Caption"/>
        <w:jc w:val="left"/>
        <w:rPr>
          <w:rStyle w:val="CommentReference"/>
          <w:b/>
          <w:szCs w:val="24"/>
        </w:rPr>
      </w:pPr>
      <w:bookmarkStart w:id="61" w:name="_Ref205979245"/>
      <w:bookmarkStart w:id="62" w:name="_Ref211351219"/>
      <w:r w:rsidRPr="00D30537">
        <w:t xml:space="preserve">Table </w:t>
      </w:r>
      <w:fldSimple w:instr=" SEQ Table \* ARABIC ">
        <w:r w:rsidR="00652388">
          <w:rPr>
            <w:noProof/>
          </w:rPr>
          <w:t>10</w:t>
        </w:r>
      </w:fldSimple>
      <w:bookmarkEnd w:id="61"/>
      <w:r w:rsidRPr="00D30537">
        <w:t>:</w:t>
      </w:r>
      <w:r w:rsidRPr="00D30537">
        <w:rPr>
          <w:rStyle w:val="CommentReference"/>
          <w:b/>
          <w:szCs w:val="24"/>
        </w:rPr>
        <w:t xml:space="preserve"> Summary of model structure, key inputs and rationale</w:t>
      </w:r>
      <w:bookmarkEnd w:id="62"/>
    </w:p>
    <w:tbl>
      <w:tblPr>
        <w:tblStyle w:val="TableGrid"/>
        <w:tblW w:w="0" w:type="auto"/>
        <w:tblLook w:val="04A0" w:firstRow="1" w:lastRow="0" w:firstColumn="1" w:lastColumn="0" w:noHBand="0" w:noVBand="1"/>
        <w:tblCaption w:val="Table 10: Summary of model structure, key inputs and rationale"/>
      </w:tblPr>
      <w:tblGrid>
        <w:gridCol w:w="1529"/>
        <w:gridCol w:w="3144"/>
        <w:gridCol w:w="4344"/>
      </w:tblGrid>
      <w:tr w:rsidR="005311F3" w:rsidRPr="00D30537" w14:paraId="4FDEAD39" w14:textId="77777777" w:rsidTr="00846120">
        <w:trPr>
          <w:cantSplit/>
          <w:tblHeader/>
        </w:trPr>
        <w:tc>
          <w:tcPr>
            <w:tcW w:w="1529" w:type="dxa"/>
            <w:vAlign w:val="center"/>
          </w:tcPr>
          <w:p w14:paraId="7AE659A2" w14:textId="77777777" w:rsidR="005311F3" w:rsidRPr="00D30537" w:rsidRDefault="005311F3" w:rsidP="00F86BF7">
            <w:pPr>
              <w:pStyle w:val="TableFigureHeading"/>
              <w:keepLines/>
              <w:jc w:val="center"/>
            </w:pPr>
            <w:r w:rsidRPr="00D30537">
              <w:t>Component</w:t>
            </w:r>
          </w:p>
        </w:tc>
        <w:tc>
          <w:tcPr>
            <w:tcW w:w="3144" w:type="dxa"/>
            <w:vAlign w:val="center"/>
          </w:tcPr>
          <w:p w14:paraId="72098D4A" w14:textId="77777777" w:rsidR="005311F3" w:rsidRPr="00D30537" w:rsidRDefault="005311F3" w:rsidP="00F86BF7">
            <w:pPr>
              <w:pStyle w:val="TableFigureHeading"/>
              <w:keepLines/>
              <w:jc w:val="center"/>
            </w:pPr>
            <w:r w:rsidRPr="00D30537">
              <w:t>Description</w:t>
            </w:r>
          </w:p>
        </w:tc>
        <w:tc>
          <w:tcPr>
            <w:tcW w:w="4344" w:type="dxa"/>
            <w:vAlign w:val="center"/>
          </w:tcPr>
          <w:p w14:paraId="737E5062" w14:textId="77777777" w:rsidR="005311F3" w:rsidRPr="00D30537" w:rsidRDefault="005311F3" w:rsidP="00F86BF7">
            <w:pPr>
              <w:pStyle w:val="TableFigureHeading"/>
              <w:keepLines/>
              <w:jc w:val="center"/>
            </w:pPr>
            <w:r w:rsidRPr="00D30537">
              <w:t>Justification/Comments</w:t>
            </w:r>
          </w:p>
        </w:tc>
      </w:tr>
      <w:tr w:rsidR="005311F3" w:rsidRPr="00D30537" w14:paraId="3C967492" w14:textId="77777777" w:rsidTr="00846120">
        <w:trPr>
          <w:cantSplit/>
        </w:trPr>
        <w:tc>
          <w:tcPr>
            <w:tcW w:w="1529" w:type="dxa"/>
            <w:vAlign w:val="center"/>
          </w:tcPr>
          <w:p w14:paraId="2CA833A8" w14:textId="77777777" w:rsidR="005311F3" w:rsidRPr="00D30537" w:rsidRDefault="005311F3" w:rsidP="00F86BF7">
            <w:pPr>
              <w:pStyle w:val="TableFigureHeading"/>
              <w:keepLines/>
              <w:rPr>
                <w:b w:val="0"/>
                <w:bCs w:val="0"/>
              </w:rPr>
            </w:pPr>
            <w:r w:rsidRPr="00D30537">
              <w:rPr>
                <w:b w:val="0"/>
                <w:bCs w:val="0"/>
              </w:rPr>
              <w:t>Type of analysis</w:t>
            </w:r>
          </w:p>
        </w:tc>
        <w:tc>
          <w:tcPr>
            <w:tcW w:w="3144" w:type="dxa"/>
            <w:vAlign w:val="center"/>
          </w:tcPr>
          <w:p w14:paraId="4BD2869A" w14:textId="77777777" w:rsidR="005311F3" w:rsidRPr="00D30537" w:rsidRDefault="005311F3" w:rsidP="00F86BF7">
            <w:pPr>
              <w:pStyle w:val="TableFigureHeading"/>
              <w:keepLines/>
              <w:rPr>
                <w:b w:val="0"/>
                <w:bCs w:val="0"/>
              </w:rPr>
            </w:pPr>
            <w:r w:rsidRPr="00D30537">
              <w:rPr>
                <w:b w:val="0"/>
                <w:bCs w:val="0"/>
              </w:rPr>
              <w:t>Cost-utility analysis</w:t>
            </w:r>
          </w:p>
        </w:tc>
        <w:tc>
          <w:tcPr>
            <w:tcW w:w="4344" w:type="dxa"/>
            <w:vAlign w:val="center"/>
          </w:tcPr>
          <w:p w14:paraId="6682A23A" w14:textId="49328A93" w:rsidR="005311F3" w:rsidRPr="00D30537" w:rsidRDefault="00175F12" w:rsidP="00F86BF7">
            <w:pPr>
              <w:pStyle w:val="TableFigureHeading"/>
              <w:keepLines/>
              <w:rPr>
                <w:b w:val="0"/>
                <w:bCs w:val="0"/>
              </w:rPr>
            </w:pPr>
            <w:r w:rsidRPr="007D3A01">
              <w:rPr>
                <w:b w:val="0"/>
                <w:bCs w:val="0"/>
              </w:rPr>
              <w:t>Th</w:t>
            </w:r>
            <w:r w:rsidR="0025748F" w:rsidRPr="007D3A01">
              <w:rPr>
                <w:b w:val="0"/>
                <w:bCs w:val="0"/>
              </w:rPr>
              <w:t xml:space="preserve">e ESC </w:t>
            </w:r>
            <w:r w:rsidR="00EA7804" w:rsidRPr="007D3A01">
              <w:rPr>
                <w:b w:val="0"/>
                <w:bCs w:val="0"/>
              </w:rPr>
              <w:t>considered</w:t>
            </w:r>
            <w:r w:rsidR="00EA7804" w:rsidRPr="00D30537">
              <w:rPr>
                <w:b w:val="0"/>
                <w:bCs w:val="0"/>
                <w:i/>
                <w:iCs/>
              </w:rPr>
              <w:t xml:space="preserve"> </w:t>
            </w:r>
            <w:r w:rsidR="00EA7804" w:rsidRPr="00D30537">
              <w:rPr>
                <w:b w:val="0"/>
                <w:bCs w:val="0"/>
              </w:rPr>
              <w:t>the</w:t>
            </w:r>
            <w:r w:rsidRPr="00D30537">
              <w:rPr>
                <w:b w:val="0"/>
                <w:bCs w:val="0"/>
              </w:rPr>
              <w:t xml:space="preserve"> approach </w:t>
            </w:r>
            <w:r w:rsidR="0025748F" w:rsidRPr="00D30537">
              <w:rPr>
                <w:b w:val="0"/>
                <w:bCs w:val="0"/>
              </w:rPr>
              <w:t xml:space="preserve">is </w:t>
            </w:r>
            <w:r w:rsidRPr="00D30537">
              <w:rPr>
                <w:b w:val="0"/>
                <w:bCs w:val="0"/>
              </w:rPr>
              <w:t>not</w:t>
            </w:r>
            <w:r w:rsidR="0025748F" w:rsidRPr="00D30537">
              <w:rPr>
                <w:b w:val="0"/>
                <w:bCs w:val="0"/>
              </w:rPr>
              <w:t xml:space="preserve"> </w:t>
            </w:r>
            <w:r w:rsidRPr="00D30537">
              <w:rPr>
                <w:b w:val="0"/>
                <w:bCs w:val="0"/>
              </w:rPr>
              <w:t xml:space="preserve">reasonable as the clinical claim of superiority was not adequately supported (see paragraph </w:t>
            </w:r>
            <w:r w:rsidRPr="00D30537">
              <w:rPr>
                <w:b w:val="0"/>
                <w:bCs w:val="0"/>
              </w:rPr>
              <w:fldChar w:fldCharType="begin"/>
            </w:r>
            <w:r w:rsidRPr="00D30537">
              <w:rPr>
                <w:b w:val="0"/>
                <w:bCs w:val="0"/>
              </w:rPr>
              <w:instrText xml:space="preserve"> REF _Ref207984022 \r \h </w:instrText>
            </w:r>
            <w:r w:rsidR="004C3B42" w:rsidRPr="00D30537">
              <w:rPr>
                <w:b w:val="0"/>
                <w:bCs w:val="0"/>
              </w:rPr>
              <w:instrText xml:space="preserve"> \* MERGEFORMAT </w:instrText>
            </w:r>
            <w:r w:rsidRPr="00D30537">
              <w:rPr>
                <w:b w:val="0"/>
                <w:bCs w:val="0"/>
              </w:rPr>
            </w:r>
            <w:r w:rsidRPr="00D30537">
              <w:rPr>
                <w:b w:val="0"/>
                <w:bCs w:val="0"/>
              </w:rPr>
              <w:fldChar w:fldCharType="separate"/>
            </w:r>
            <w:r w:rsidR="008D62D0">
              <w:rPr>
                <w:b w:val="0"/>
                <w:bCs w:val="0"/>
              </w:rPr>
              <w:t>6.32</w:t>
            </w:r>
            <w:r w:rsidRPr="00D30537">
              <w:rPr>
                <w:b w:val="0"/>
                <w:bCs w:val="0"/>
              </w:rPr>
              <w:fldChar w:fldCharType="end"/>
            </w:r>
            <w:r w:rsidRPr="00D30537">
              <w:rPr>
                <w:b w:val="0"/>
                <w:bCs w:val="0"/>
              </w:rPr>
              <w:t>).</w:t>
            </w:r>
          </w:p>
        </w:tc>
      </w:tr>
      <w:tr w:rsidR="005311F3" w:rsidRPr="00D30537" w14:paraId="6CAC03C8" w14:textId="77777777" w:rsidTr="00846120">
        <w:trPr>
          <w:cantSplit/>
        </w:trPr>
        <w:tc>
          <w:tcPr>
            <w:tcW w:w="1529" w:type="dxa"/>
            <w:vAlign w:val="center"/>
          </w:tcPr>
          <w:p w14:paraId="7302D549" w14:textId="77777777" w:rsidR="005311F3" w:rsidRPr="00D30537" w:rsidRDefault="005311F3" w:rsidP="00F86BF7">
            <w:pPr>
              <w:pStyle w:val="TableFigureHeading"/>
              <w:keepLines/>
              <w:rPr>
                <w:b w:val="0"/>
                <w:bCs w:val="0"/>
              </w:rPr>
            </w:pPr>
            <w:r w:rsidRPr="00D30537">
              <w:rPr>
                <w:b w:val="0"/>
                <w:bCs w:val="0"/>
              </w:rPr>
              <w:t>Outcomes</w:t>
            </w:r>
          </w:p>
        </w:tc>
        <w:tc>
          <w:tcPr>
            <w:tcW w:w="3144" w:type="dxa"/>
            <w:vAlign w:val="center"/>
          </w:tcPr>
          <w:p w14:paraId="4EBD3FF7" w14:textId="58FFAA5B" w:rsidR="005311F3" w:rsidRPr="00D30537" w:rsidRDefault="00463A73" w:rsidP="00F86BF7">
            <w:pPr>
              <w:pStyle w:val="TableFigureHeading"/>
              <w:keepLines/>
              <w:rPr>
                <w:b w:val="0"/>
                <w:bCs w:val="0"/>
              </w:rPr>
            </w:pPr>
            <w:r w:rsidRPr="00D30537">
              <w:rPr>
                <w:b w:val="0"/>
                <w:bCs w:val="0"/>
              </w:rPr>
              <w:t>PFS; OS</w:t>
            </w:r>
          </w:p>
        </w:tc>
        <w:tc>
          <w:tcPr>
            <w:tcW w:w="4344" w:type="dxa"/>
            <w:vAlign w:val="center"/>
          </w:tcPr>
          <w:p w14:paraId="4D4BB6AE" w14:textId="4F0615A5" w:rsidR="005311F3" w:rsidRPr="00D30537" w:rsidRDefault="005311F3" w:rsidP="00F86BF7">
            <w:pPr>
              <w:pStyle w:val="TableFigureHeading"/>
              <w:keepLines/>
              <w:rPr>
                <w:b w:val="0"/>
                <w:bCs w:val="0"/>
              </w:rPr>
            </w:pPr>
          </w:p>
        </w:tc>
      </w:tr>
      <w:tr w:rsidR="005311F3" w:rsidRPr="00D30537" w14:paraId="41C5A4D5" w14:textId="77777777" w:rsidTr="00846120">
        <w:trPr>
          <w:cantSplit/>
        </w:trPr>
        <w:tc>
          <w:tcPr>
            <w:tcW w:w="1529" w:type="dxa"/>
            <w:vAlign w:val="center"/>
          </w:tcPr>
          <w:p w14:paraId="1E19EFF1" w14:textId="77777777" w:rsidR="005311F3" w:rsidRPr="00D30537" w:rsidRDefault="005311F3" w:rsidP="00653B48">
            <w:pPr>
              <w:pStyle w:val="TableFigureHeading"/>
              <w:keepNext w:val="0"/>
              <w:rPr>
                <w:b w:val="0"/>
                <w:bCs w:val="0"/>
              </w:rPr>
            </w:pPr>
            <w:r w:rsidRPr="00D30537">
              <w:rPr>
                <w:b w:val="0"/>
                <w:bCs w:val="0"/>
              </w:rPr>
              <w:t>Time horizon</w:t>
            </w:r>
          </w:p>
        </w:tc>
        <w:tc>
          <w:tcPr>
            <w:tcW w:w="3144" w:type="dxa"/>
            <w:vAlign w:val="center"/>
          </w:tcPr>
          <w:p w14:paraId="6416B3C2" w14:textId="77777777" w:rsidR="005311F3" w:rsidRPr="00D30537" w:rsidRDefault="005311F3" w:rsidP="00653B48">
            <w:pPr>
              <w:pStyle w:val="TableFigureHeading"/>
              <w:keepNext w:val="0"/>
              <w:rPr>
                <w:b w:val="0"/>
                <w:bCs w:val="0"/>
              </w:rPr>
            </w:pPr>
            <w:r w:rsidRPr="00D30537">
              <w:rPr>
                <w:b w:val="0"/>
                <w:bCs w:val="0"/>
              </w:rPr>
              <w:t>7.5 years versus a median follow-up of:</w:t>
            </w:r>
          </w:p>
          <w:p w14:paraId="55FB170E" w14:textId="61052766" w:rsidR="005311F3" w:rsidRPr="00D30537" w:rsidRDefault="005311F3" w:rsidP="003D6682">
            <w:pPr>
              <w:pStyle w:val="TableFigureHeading"/>
              <w:keepNext w:val="0"/>
              <w:numPr>
                <w:ilvl w:val="0"/>
                <w:numId w:val="10"/>
              </w:numPr>
              <w:ind w:left="345"/>
              <w:rPr>
                <w:b w:val="0"/>
                <w:bCs w:val="0"/>
              </w:rPr>
            </w:pPr>
            <w:r w:rsidRPr="00D30537">
              <w:rPr>
                <w:b w:val="0"/>
                <w:bCs w:val="0"/>
              </w:rPr>
              <w:t>35.7 months in POD</w:t>
            </w:r>
            <w:r w:rsidR="00893800" w:rsidRPr="00D30537">
              <w:rPr>
                <w:b w:val="0"/>
                <w:bCs w:val="0"/>
              </w:rPr>
              <w:t>1</w:t>
            </w:r>
            <w:r w:rsidRPr="00D30537">
              <w:rPr>
                <w:b w:val="0"/>
                <w:bCs w:val="0"/>
              </w:rPr>
              <w:t>UM-201; and</w:t>
            </w:r>
          </w:p>
          <w:p w14:paraId="1CB05E69" w14:textId="77777777" w:rsidR="005311F3" w:rsidRPr="00D30537" w:rsidRDefault="005311F3" w:rsidP="003D6682">
            <w:pPr>
              <w:pStyle w:val="TableFigureHeading"/>
              <w:keepNext w:val="0"/>
              <w:numPr>
                <w:ilvl w:val="0"/>
                <w:numId w:val="10"/>
              </w:numPr>
              <w:ind w:left="345"/>
              <w:rPr>
                <w:b w:val="0"/>
                <w:bCs w:val="0"/>
              </w:rPr>
            </w:pPr>
            <w:r w:rsidRPr="00D30537">
              <w:rPr>
                <w:b w:val="0"/>
                <w:bCs w:val="0"/>
              </w:rPr>
              <w:t xml:space="preserve">21.2 months (PFS, DOR) and 54.3 months (OS) in JM200 Part B </w:t>
            </w:r>
          </w:p>
        </w:tc>
        <w:tc>
          <w:tcPr>
            <w:tcW w:w="4344" w:type="dxa"/>
            <w:vAlign w:val="center"/>
          </w:tcPr>
          <w:p w14:paraId="19F75D5E" w14:textId="46E8A9E2" w:rsidR="005311F3" w:rsidRPr="00D30537" w:rsidRDefault="005311F3" w:rsidP="00653B48">
            <w:pPr>
              <w:pStyle w:val="TableFigureHeading"/>
              <w:keepNext w:val="0"/>
              <w:rPr>
                <w:b w:val="0"/>
                <w:bCs w:val="0"/>
              </w:rPr>
            </w:pPr>
            <w:r w:rsidRPr="00D30537">
              <w:rPr>
                <w:b w:val="0"/>
                <w:bCs w:val="0"/>
              </w:rPr>
              <w:t>The submission claimed it was reasonable to apply a longer time horizon in the current economic evaluation compared to the 5-year time horizon applied in the avelumab 2018 model base case</w:t>
            </w:r>
            <w:r w:rsidR="009C1402">
              <w:rPr>
                <w:b w:val="0"/>
                <w:bCs w:val="0"/>
              </w:rPr>
              <w:t>.</w:t>
            </w:r>
            <w:r w:rsidRPr="00D30537">
              <w:rPr>
                <w:b w:val="0"/>
                <w:bCs w:val="0"/>
              </w:rPr>
              <w:t xml:space="preserve"> Given the high level of uncertainty associated with the unanchored indirect comparisons, extrapolation of the study results beyond 5 years will further increase the extent of uncertainty and therefore may not appropriate.</w:t>
            </w:r>
          </w:p>
        </w:tc>
      </w:tr>
      <w:tr w:rsidR="005311F3" w:rsidRPr="00D30537" w14:paraId="3F4BD1FD" w14:textId="77777777" w:rsidTr="00846120">
        <w:trPr>
          <w:cantSplit/>
        </w:trPr>
        <w:tc>
          <w:tcPr>
            <w:tcW w:w="1529" w:type="dxa"/>
            <w:vAlign w:val="center"/>
          </w:tcPr>
          <w:p w14:paraId="5651565F" w14:textId="77777777" w:rsidR="005311F3" w:rsidRPr="00D30537" w:rsidRDefault="005311F3" w:rsidP="00653B48">
            <w:pPr>
              <w:pStyle w:val="TableFigureHeading"/>
              <w:keepNext w:val="0"/>
              <w:rPr>
                <w:b w:val="0"/>
                <w:bCs w:val="0"/>
              </w:rPr>
            </w:pPr>
            <w:r w:rsidRPr="00D30537">
              <w:rPr>
                <w:b w:val="0"/>
                <w:bCs w:val="0"/>
              </w:rPr>
              <w:t>Methods used to generate results</w:t>
            </w:r>
          </w:p>
        </w:tc>
        <w:tc>
          <w:tcPr>
            <w:tcW w:w="3144" w:type="dxa"/>
            <w:vAlign w:val="center"/>
          </w:tcPr>
          <w:p w14:paraId="096B4FEF" w14:textId="77777777" w:rsidR="005311F3" w:rsidRPr="00D30537" w:rsidRDefault="005311F3" w:rsidP="00653B48">
            <w:pPr>
              <w:pStyle w:val="TableFigureHeading"/>
              <w:keepNext w:val="0"/>
              <w:rPr>
                <w:b w:val="0"/>
                <w:bCs w:val="0"/>
              </w:rPr>
            </w:pPr>
            <w:r w:rsidRPr="00D30537">
              <w:rPr>
                <w:b w:val="0"/>
                <w:bCs w:val="0"/>
              </w:rPr>
              <w:t>Partitioned survival model</w:t>
            </w:r>
          </w:p>
        </w:tc>
        <w:tc>
          <w:tcPr>
            <w:tcW w:w="4344" w:type="dxa"/>
            <w:vAlign w:val="center"/>
          </w:tcPr>
          <w:p w14:paraId="74E639FF" w14:textId="37793694" w:rsidR="005311F3" w:rsidRPr="00D30537" w:rsidRDefault="005311F3" w:rsidP="00653B48">
            <w:pPr>
              <w:pStyle w:val="TableFigureHeading"/>
              <w:keepNext w:val="0"/>
              <w:rPr>
                <w:b w:val="0"/>
                <w:bCs w:val="0"/>
              </w:rPr>
            </w:pPr>
          </w:p>
        </w:tc>
      </w:tr>
      <w:tr w:rsidR="005311F3" w:rsidRPr="00D30537" w14:paraId="7F69BC53" w14:textId="77777777" w:rsidTr="00846120">
        <w:trPr>
          <w:cantSplit/>
        </w:trPr>
        <w:tc>
          <w:tcPr>
            <w:tcW w:w="1529" w:type="dxa"/>
            <w:vAlign w:val="center"/>
          </w:tcPr>
          <w:p w14:paraId="5AC3B58B" w14:textId="77777777" w:rsidR="005311F3" w:rsidRPr="00D30537" w:rsidRDefault="005311F3" w:rsidP="00653B48">
            <w:pPr>
              <w:pStyle w:val="TableFigureHeading"/>
              <w:keepNext w:val="0"/>
              <w:rPr>
                <w:b w:val="0"/>
                <w:bCs w:val="0"/>
              </w:rPr>
            </w:pPr>
            <w:r w:rsidRPr="00D30537">
              <w:rPr>
                <w:b w:val="0"/>
                <w:bCs w:val="0"/>
              </w:rPr>
              <w:t>Health states</w:t>
            </w:r>
          </w:p>
        </w:tc>
        <w:tc>
          <w:tcPr>
            <w:tcW w:w="3144" w:type="dxa"/>
            <w:vAlign w:val="center"/>
          </w:tcPr>
          <w:p w14:paraId="21187F26" w14:textId="5C0D7771" w:rsidR="005311F3" w:rsidRPr="00D30537" w:rsidRDefault="00463A73" w:rsidP="00653B48">
            <w:pPr>
              <w:pStyle w:val="TableFigureHeading"/>
              <w:keepNext w:val="0"/>
              <w:rPr>
                <w:b w:val="0"/>
                <w:bCs w:val="0"/>
              </w:rPr>
            </w:pPr>
            <w:r w:rsidRPr="00D30537">
              <w:rPr>
                <w:b w:val="0"/>
                <w:bCs w:val="0"/>
              </w:rPr>
              <w:t>PF; PD; Dead</w:t>
            </w:r>
          </w:p>
        </w:tc>
        <w:tc>
          <w:tcPr>
            <w:tcW w:w="4344" w:type="dxa"/>
            <w:vAlign w:val="center"/>
          </w:tcPr>
          <w:p w14:paraId="43D28CA0" w14:textId="402FAB39" w:rsidR="005311F3" w:rsidRPr="00D30537" w:rsidRDefault="005311F3" w:rsidP="00653B48">
            <w:pPr>
              <w:pStyle w:val="TableFigureHeading"/>
              <w:keepNext w:val="0"/>
              <w:rPr>
                <w:b w:val="0"/>
                <w:bCs w:val="0"/>
              </w:rPr>
            </w:pPr>
          </w:p>
        </w:tc>
      </w:tr>
      <w:tr w:rsidR="005311F3" w:rsidRPr="00D30537" w14:paraId="6D84B070" w14:textId="77777777" w:rsidTr="00846120">
        <w:trPr>
          <w:cantSplit/>
        </w:trPr>
        <w:tc>
          <w:tcPr>
            <w:tcW w:w="1529" w:type="dxa"/>
            <w:tcBorders>
              <w:bottom w:val="single" w:sz="4" w:space="0" w:color="auto"/>
            </w:tcBorders>
            <w:vAlign w:val="center"/>
          </w:tcPr>
          <w:p w14:paraId="166AB311" w14:textId="77777777" w:rsidR="005311F3" w:rsidRPr="00D30537" w:rsidRDefault="005311F3" w:rsidP="00653B48">
            <w:pPr>
              <w:pStyle w:val="TableFigureHeading"/>
              <w:keepNext w:val="0"/>
              <w:rPr>
                <w:b w:val="0"/>
                <w:bCs w:val="0"/>
              </w:rPr>
            </w:pPr>
            <w:r w:rsidRPr="00D30537">
              <w:rPr>
                <w:b w:val="0"/>
                <w:bCs w:val="0"/>
              </w:rPr>
              <w:t>Cycle length</w:t>
            </w:r>
          </w:p>
        </w:tc>
        <w:tc>
          <w:tcPr>
            <w:tcW w:w="3144" w:type="dxa"/>
            <w:vAlign w:val="center"/>
          </w:tcPr>
          <w:p w14:paraId="166450D8" w14:textId="77777777" w:rsidR="005311F3" w:rsidRPr="00D30537" w:rsidRDefault="005311F3" w:rsidP="00653B48">
            <w:pPr>
              <w:pStyle w:val="TableFigureHeading"/>
              <w:keepNext w:val="0"/>
              <w:rPr>
                <w:b w:val="0"/>
                <w:bCs w:val="0"/>
              </w:rPr>
            </w:pPr>
            <w:r w:rsidRPr="00D30537">
              <w:rPr>
                <w:b w:val="0"/>
                <w:bCs w:val="0"/>
              </w:rPr>
              <w:t>28 days</w:t>
            </w:r>
          </w:p>
        </w:tc>
        <w:tc>
          <w:tcPr>
            <w:tcW w:w="4344" w:type="dxa"/>
            <w:vAlign w:val="center"/>
          </w:tcPr>
          <w:p w14:paraId="01BA9221" w14:textId="25FC5645" w:rsidR="005311F3" w:rsidRPr="00D30537" w:rsidRDefault="005311F3" w:rsidP="00D64BCC">
            <w:pPr>
              <w:pStyle w:val="TableFigureHeading"/>
              <w:keepNext w:val="0"/>
              <w:rPr>
                <w:b w:val="0"/>
                <w:bCs w:val="0"/>
              </w:rPr>
            </w:pPr>
            <w:r w:rsidRPr="00D30537">
              <w:rPr>
                <w:b w:val="0"/>
                <w:bCs w:val="0"/>
              </w:rPr>
              <w:t xml:space="preserve">The submission claimed this was aligned with the Q2W and Q4W treatment cycles for avelumab and retifanlimab, respectively. </w:t>
            </w:r>
          </w:p>
        </w:tc>
      </w:tr>
      <w:tr w:rsidR="005311F3" w:rsidRPr="00D30537" w14:paraId="68696B5A" w14:textId="77777777" w:rsidTr="00846120">
        <w:trPr>
          <w:cantSplit/>
          <w:trHeight w:val="1145"/>
        </w:trPr>
        <w:tc>
          <w:tcPr>
            <w:tcW w:w="1529" w:type="dxa"/>
            <w:vMerge w:val="restart"/>
            <w:vAlign w:val="center"/>
          </w:tcPr>
          <w:p w14:paraId="1671983A" w14:textId="77777777" w:rsidR="005311F3" w:rsidRPr="00D30537" w:rsidRDefault="005311F3" w:rsidP="00653B48">
            <w:pPr>
              <w:pStyle w:val="TableFigureHeading"/>
              <w:keepNext w:val="0"/>
              <w:rPr>
                <w:b w:val="0"/>
                <w:bCs w:val="0"/>
              </w:rPr>
            </w:pPr>
            <w:r w:rsidRPr="00D30537">
              <w:rPr>
                <w:b w:val="0"/>
                <w:bCs w:val="0"/>
              </w:rPr>
              <w:t>Transition probabilities</w:t>
            </w:r>
          </w:p>
        </w:tc>
        <w:tc>
          <w:tcPr>
            <w:tcW w:w="3144" w:type="dxa"/>
            <w:vAlign w:val="center"/>
          </w:tcPr>
          <w:p w14:paraId="1EE9A3E4" w14:textId="77777777" w:rsidR="005311F3" w:rsidRPr="00F86BF7" w:rsidRDefault="005311F3" w:rsidP="00653B48">
            <w:pPr>
              <w:pStyle w:val="TableFigureHeading"/>
              <w:keepNext w:val="0"/>
              <w:rPr>
                <w:b w:val="0"/>
                <w:bCs w:val="0"/>
                <w:u w:val="single"/>
              </w:rPr>
            </w:pPr>
            <w:r w:rsidRPr="00F86BF7">
              <w:rPr>
                <w:b w:val="0"/>
                <w:bCs w:val="0"/>
                <w:u w:val="single"/>
              </w:rPr>
              <w:t>Avelumab arm:</w:t>
            </w:r>
          </w:p>
          <w:p w14:paraId="04412BDC" w14:textId="77777777" w:rsidR="005311F3" w:rsidRPr="00D30537" w:rsidRDefault="005311F3" w:rsidP="00653B48">
            <w:pPr>
              <w:pStyle w:val="TableFigureHeading"/>
              <w:keepNext w:val="0"/>
              <w:rPr>
                <w:b w:val="0"/>
                <w:bCs w:val="0"/>
              </w:rPr>
            </w:pPr>
            <w:r w:rsidRPr="00D30537">
              <w:rPr>
                <w:b w:val="0"/>
                <w:bCs w:val="0"/>
              </w:rPr>
              <w:t>Trial period: PFS and OS from JM200 Part B.</w:t>
            </w:r>
          </w:p>
          <w:p w14:paraId="4DA55E35" w14:textId="78D0796E" w:rsidR="005311F3" w:rsidRPr="00D30537" w:rsidRDefault="005311F3" w:rsidP="00653B48">
            <w:pPr>
              <w:pStyle w:val="TableFigureHeading"/>
              <w:keepNext w:val="0"/>
              <w:rPr>
                <w:b w:val="0"/>
                <w:bCs w:val="0"/>
              </w:rPr>
            </w:pPr>
            <w:r w:rsidRPr="00D30537">
              <w:rPr>
                <w:b w:val="0"/>
                <w:bCs w:val="0"/>
              </w:rPr>
              <w:t xml:space="preserve">Extrapolation period: Parametric extrapolation (PFS and OS: Generalised gamma). </w:t>
            </w:r>
          </w:p>
        </w:tc>
        <w:tc>
          <w:tcPr>
            <w:tcW w:w="4344" w:type="dxa"/>
            <w:vMerge w:val="restart"/>
            <w:vAlign w:val="center"/>
          </w:tcPr>
          <w:p w14:paraId="0282A10F" w14:textId="45C909DE" w:rsidR="005311F3" w:rsidRPr="00D30537" w:rsidRDefault="00073D23" w:rsidP="009369BE">
            <w:pPr>
              <w:pStyle w:val="TableFigureHeading"/>
              <w:keepNext w:val="0"/>
              <w:rPr>
                <w:b w:val="0"/>
                <w:bCs w:val="0"/>
              </w:rPr>
            </w:pPr>
            <w:r w:rsidRPr="00D30537">
              <w:rPr>
                <w:b w:val="0"/>
                <w:bCs w:val="0"/>
              </w:rPr>
              <w:t>U</w:t>
            </w:r>
            <w:r w:rsidR="00E84E7C" w:rsidRPr="00D30537">
              <w:rPr>
                <w:b w:val="0"/>
                <w:bCs w:val="0"/>
              </w:rPr>
              <w:t xml:space="preserve">sing </w:t>
            </w:r>
            <w:r w:rsidR="005311F3" w:rsidRPr="00D30537">
              <w:rPr>
                <w:b w:val="0"/>
                <w:bCs w:val="0"/>
              </w:rPr>
              <w:t>a HR approach for retifanlimab modelling may not be appropriate as the proportional hazard was violated for PFS</w:t>
            </w:r>
            <w:r w:rsidR="009369BE" w:rsidRPr="00D30537">
              <w:rPr>
                <w:b w:val="0"/>
                <w:bCs w:val="0"/>
              </w:rPr>
              <w:t>, and MAIC results were highly uncertain</w:t>
            </w:r>
            <w:r w:rsidR="005311F3" w:rsidRPr="00D30537">
              <w:rPr>
                <w:b w:val="0"/>
                <w:bCs w:val="0"/>
              </w:rPr>
              <w:t xml:space="preserve">. </w:t>
            </w:r>
          </w:p>
        </w:tc>
      </w:tr>
      <w:tr w:rsidR="005311F3" w:rsidRPr="00D30537" w14:paraId="6966DC5E" w14:textId="77777777" w:rsidTr="00846120">
        <w:trPr>
          <w:cantSplit/>
          <w:trHeight w:val="1145"/>
        </w:trPr>
        <w:tc>
          <w:tcPr>
            <w:tcW w:w="1529" w:type="dxa"/>
            <w:vMerge/>
            <w:vAlign w:val="center"/>
          </w:tcPr>
          <w:p w14:paraId="2F4850A9" w14:textId="77777777" w:rsidR="005311F3" w:rsidRPr="00D30537" w:rsidRDefault="005311F3" w:rsidP="00653B48">
            <w:pPr>
              <w:pStyle w:val="TableFigureHeading"/>
              <w:keepNext w:val="0"/>
              <w:rPr>
                <w:b w:val="0"/>
                <w:bCs w:val="0"/>
              </w:rPr>
            </w:pPr>
          </w:p>
        </w:tc>
        <w:tc>
          <w:tcPr>
            <w:tcW w:w="3144" w:type="dxa"/>
            <w:vAlign w:val="center"/>
          </w:tcPr>
          <w:p w14:paraId="044B42A2" w14:textId="77777777" w:rsidR="005311F3" w:rsidRPr="00F86BF7" w:rsidRDefault="005311F3" w:rsidP="00653B48">
            <w:pPr>
              <w:pStyle w:val="TableFigureHeading"/>
              <w:keepNext w:val="0"/>
              <w:rPr>
                <w:b w:val="0"/>
                <w:bCs w:val="0"/>
                <w:u w:val="single"/>
              </w:rPr>
            </w:pPr>
            <w:r w:rsidRPr="00F86BF7">
              <w:rPr>
                <w:b w:val="0"/>
                <w:bCs w:val="0"/>
                <w:u w:val="single"/>
              </w:rPr>
              <w:t>Retifanlimab arm:</w:t>
            </w:r>
          </w:p>
          <w:p w14:paraId="5647EF28" w14:textId="77777777" w:rsidR="005311F3" w:rsidRPr="00D30537" w:rsidRDefault="005311F3" w:rsidP="00653B48">
            <w:pPr>
              <w:pStyle w:val="TableFigureHeading"/>
              <w:keepNext w:val="0"/>
              <w:rPr>
                <w:b w:val="0"/>
                <w:bCs w:val="0"/>
              </w:rPr>
            </w:pPr>
            <w:r w:rsidRPr="00D30537">
              <w:rPr>
                <w:b w:val="0"/>
                <w:bCs w:val="0"/>
              </w:rPr>
              <w:t>Trial and extrapolation period: MAIC2 HRs, applied relative to the avelumab arm. No convergence assumed.</w:t>
            </w:r>
          </w:p>
        </w:tc>
        <w:tc>
          <w:tcPr>
            <w:tcW w:w="4344" w:type="dxa"/>
            <w:vMerge/>
            <w:vAlign w:val="center"/>
          </w:tcPr>
          <w:p w14:paraId="20AEB51D" w14:textId="77777777" w:rsidR="005311F3" w:rsidRPr="00D30537" w:rsidRDefault="005311F3" w:rsidP="00653B48">
            <w:pPr>
              <w:pStyle w:val="TableFigureHeading"/>
              <w:keepNext w:val="0"/>
              <w:rPr>
                <w:b w:val="0"/>
                <w:bCs w:val="0"/>
              </w:rPr>
            </w:pPr>
          </w:p>
        </w:tc>
      </w:tr>
      <w:tr w:rsidR="005311F3" w:rsidRPr="00D30537" w14:paraId="426A59CB" w14:textId="77777777" w:rsidTr="00846120">
        <w:trPr>
          <w:cantSplit/>
          <w:trHeight w:val="1145"/>
        </w:trPr>
        <w:tc>
          <w:tcPr>
            <w:tcW w:w="1529" w:type="dxa"/>
            <w:vMerge/>
            <w:vAlign w:val="center"/>
          </w:tcPr>
          <w:p w14:paraId="2A210340" w14:textId="77777777" w:rsidR="005311F3" w:rsidRPr="00D30537" w:rsidRDefault="005311F3" w:rsidP="00653B48">
            <w:pPr>
              <w:pStyle w:val="TableFigureHeading"/>
              <w:keepNext w:val="0"/>
              <w:rPr>
                <w:b w:val="0"/>
                <w:bCs w:val="0"/>
              </w:rPr>
            </w:pPr>
          </w:p>
        </w:tc>
        <w:tc>
          <w:tcPr>
            <w:tcW w:w="3144" w:type="dxa"/>
            <w:vAlign w:val="center"/>
          </w:tcPr>
          <w:p w14:paraId="4F8686D1" w14:textId="6E7375C2" w:rsidR="005311F3" w:rsidRPr="00D30537" w:rsidRDefault="005311F3" w:rsidP="00653B48">
            <w:pPr>
              <w:pStyle w:val="TableFigureHeading"/>
              <w:keepNext w:val="0"/>
              <w:rPr>
                <w:b w:val="0"/>
                <w:bCs w:val="0"/>
              </w:rPr>
            </w:pPr>
            <w:r w:rsidRPr="00F86BF7">
              <w:rPr>
                <w:b w:val="0"/>
                <w:bCs w:val="0"/>
                <w:u w:val="single"/>
              </w:rPr>
              <w:t>KM truncation</w:t>
            </w:r>
            <w:r w:rsidRPr="00D30537">
              <w:rPr>
                <w:b w:val="0"/>
                <w:bCs w:val="0"/>
              </w:rPr>
              <w:t>: Gebski Criterion 2 was used in the base case of the economic model, which corresponded to a truncation point at 24 months for PFS, and 60 months for OS for the JM200 Part B KM data.</w:t>
            </w:r>
          </w:p>
        </w:tc>
        <w:tc>
          <w:tcPr>
            <w:tcW w:w="4344" w:type="dxa"/>
            <w:vAlign w:val="center"/>
          </w:tcPr>
          <w:p w14:paraId="4BC79E45" w14:textId="77777777" w:rsidR="005311F3" w:rsidRPr="00D30537" w:rsidRDefault="005311F3" w:rsidP="00653B48">
            <w:pPr>
              <w:pStyle w:val="TableFigureHeading"/>
              <w:keepNext w:val="0"/>
              <w:rPr>
                <w:b w:val="0"/>
                <w:bCs w:val="0"/>
              </w:rPr>
            </w:pPr>
            <w:r w:rsidRPr="00D30537">
              <w:rPr>
                <w:b w:val="0"/>
                <w:bCs w:val="0"/>
              </w:rPr>
              <w:t>The economic model was sensitive to the PFS truncation time point</w:t>
            </w:r>
            <w:r w:rsidR="00697199" w:rsidRPr="00D30537">
              <w:rPr>
                <w:b w:val="0"/>
                <w:bCs w:val="0"/>
              </w:rPr>
              <w:t xml:space="preserve"> because of </w:t>
            </w:r>
            <w:proofErr w:type="spellStart"/>
            <w:r w:rsidR="00697199" w:rsidRPr="00D30537">
              <w:rPr>
                <w:b w:val="0"/>
                <w:bCs w:val="0"/>
              </w:rPr>
              <w:t>ToT</w:t>
            </w:r>
            <w:proofErr w:type="spellEnd"/>
            <w:r w:rsidR="00697199" w:rsidRPr="00D30537">
              <w:rPr>
                <w:b w:val="0"/>
                <w:bCs w:val="0"/>
              </w:rPr>
              <w:t xml:space="preserve"> being equivalent to PFS. When </w:t>
            </w:r>
            <w:proofErr w:type="spellStart"/>
            <w:r w:rsidR="00697199" w:rsidRPr="00D30537">
              <w:rPr>
                <w:b w:val="0"/>
                <w:bCs w:val="0"/>
              </w:rPr>
              <w:t>ToT</w:t>
            </w:r>
            <w:proofErr w:type="spellEnd"/>
            <w:r w:rsidR="00697199" w:rsidRPr="00D30537">
              <w:rPr>
                <w:b w:val="0"/>
                <w:bCs w:val="0"/>
              </w:rPr>
              <w:t xml:space="preserve"> was unlinked from PFS the model was not sensitive to the truncation point.</w:t>
            </w:r>
          </w:p>
          <w:p w14:paraId="76EECE39" w14:textId="422377EE" w:rsidR="00BA6DCA" w:rsidRPr="00D30537" w:rsidRDefault="00BA6DCA" w:rsidP="00653B48">
            <w:pPr>
              <w:pStyle w:val="TableFigureHeading"/>
              <w:keepNext w:val="0"/>
              <w:rPr>
                <w:b w:val="0"/>
                <w:bCs w:val="0"/>
              </w:rPr>
            </w:pPr>
          </w:p>
        </w:tc>
      </w:tr>
      <w:tr w:rsidR="005311F3" w:rsidRPr="00D30537" w14:paraId="2270D479" w14:textId="77777777" w:rsidTr="00846120">
        <w:trPr>
          <w:cantSplit/>
          <w:trHeight w:val="1145"/>
        </w:trPr>
        <w:tc>
          <w:tcPr>
            <w:tcW w:w="1529" w:type="dxa"/>
            <w:vMerge/>
            <w:vAlign w:val="center"/>
          </w:tcPr>
          <w:p w14:paraId="0503889B" w14:textId="77777777" w:rsidR="005311F3" w:rsidRPr="00D30537" w:rsidRDefault="005311F3" w:rsidP="00653B48">
            <w:pPr>
              <w:pStyle w:val="TableFigureHeading"/>
              <w:keepNext w:val="0"/>
              <w:rPr>
                <w:b w:val="0"/>
                <w:bCs w:val="0"/>
              </w:rPr>
            </w:pPr>
          </w:p>
        </w:tc>
        <w:tc>
          <w:tcPr>
            <w:tcW w:w="3144" w:type="dxa"/>
            <w:vAlign w:val="center"/>
          </w:tcPr>
          <w:p w14:paraId="739C5D33" w14:textId="09034312" w:rsidR="005311F3" w:rsidRPr="00D30537" w:rsidRDefault="005311F3" w:rsidP="00653B48">
            <w:pPr>
              <w:pStyle w:val="TableFigureHeading"/>
              <w:keepNext w:val="0"/>
              <w:rPr>
                <w:b w:val="0"/>
                <w:bCs w:val="0"/>
              </w:rPr>
            </w:pPr>
            <w:proofErr w:type="spellStart"/>
            <w:r w:rsidRPr="00F86BF7">
              <w:rPr>
                <w:b w:val="0"/>
                <w:bCs w:val="0"/>
                <w:u w:val="single"/>
              </w:rPr>
              <w:t>ToT</w:t>
            </w:r>
            <w:proofErr w:type="spellEnd"/>
            <w:r w:rsidRPr="00D30537">
              <w:rPr>
                <w:b w:val="0"/>
                <w:bCs w:val="0"/>
              </w:rPr>
              <w:t xml:space="preserve">: </w:t>
            </w:r>
            <w:r w:rsidR="000A6A98">
              <w:rPr>
                <w:b w:val="0"/>
                <w:bCs w:val="0"/>
              </w:rPr>
              <w:t>E</w:t>
            </w:r>
            <w:r w:rsidRPr="00D30537">
              <w:rPr>
                <w:b w:val="0"/>
                <w:bCs w:val="0"/>
              </w:rPr>
              <w:t xml:space="preserve">conomic model links </w:t>
            </w:r>
            <w:proofErr w:type="spellStart"/>
            <w:r w:rsidRPr="00D30537">
              <w:rPr>
                <w:b w:val="0"/>
                <w:bCs w:val="0"/>
              </w:rPr>
              <w:t>ToT</w:t>
            </w:r>
            <w:proofErr w:type="spellEnd"/>
            <w:r w:rsidRPr="00D30537">
              <w:rPr>
                <w:b w:val="0"/>
                <w:bCs w:val="0"/>
              </w:rPr>
              <w:t xml:space="preserve"> to PFS, with all patients alive and </w:t>
            </w:r>
            <w:r w:rsidR="000A6A98">
              <w:rPr>
                <w:b w:val="0"/>
                <w:bCs w:val="0"/>
              </w:rPr>
              <w:t>PF</w:t>
            </w:r>
            <w:r w:rsidRPr="00D30537">
              <w:rPr>
                <w:b w:val="0"/>
                <w:bCs w:val="0"/>
              </w:rPr>
              <w:t xml:space="preserve"> assumed to remain on treatment. In the base case analysis, it is estimated 20.4% of avelumab patients remain on treatment </w:t>
            </w:r>
            <w:r w:rsidR="00105764">
              <w:rPr>
                <w:b w:val="0"/>
                <w:bCs w:val="0"/>
              </w:rPr>
              <w:t>&gt;2</w:t>
            </w:r>
            <w:r w:rsidRPr="00D30537">
              <w:rPr>
                <w:b w:val="0"/>
                <w:bCs w:val="0"/>
              </w:rPr>
              <w:t xml:space="preserve"> years.</w:t>
            </w:r>
          </w:p>
          <w:p w14:paraId="50B064E3" w14:textId="5D30C149" w:rsidR="005311F3" w:rsidRPr="00D30537" w:rsidRDefault="005311F3" w:rsidP="00653B48">
            <w:pPr>
              <w:pStyle w:val="TableFigureHeading"/>
              <w:keepNext w:val="0"/>
              <w:rPr>
                <w:b w:val="0"/>
                <w:bCs w:val="0"/>
              </w:rPr>
            </w:pPr>
            <w:r w:rsidRPr="00D30537">
              <w:rPr>
                <w:b w:val="0"/>
                <w:bCs w:val="0"/>
              </w:rPr>
              <w:t xml:space="preserve">Retifanlimab treatment duration was limited to </w:t>
            </w:r>
            <w:r w:rsidR="00105764">
              <w:rPr>
                <w:b w:val="0"/>
                <w:bCs w:val="0"/>
              </w:rPr>
              <w:t>2</w:t>
            </w:r>
            <w:r w:rsidR="00105764" w:rsidRPr="00D30537">
              <w:rPr>
                <w:b w:val="0"/>
                <w:bCs w:val="0"/>
              </w:rPr>
              <w:t xml:space="preserve"> </w:t>
            </w:r>
            <w:r w:rsidRPr="00D30537">
              <w:rPr>
                <w:b w:val="0"/>
                <w:bCs w:val="0"/>
              </w:rPr>
              <w:t>years.</w:t>
            </w:r>
          </w:p>
        </w:tc>
        <w:tc>
          <w:tcPr>
            <w:tcW w:w="4344" w:type="dxa"/>
            <w:vAlign w:val="center"/>
          </w:tcPr>
          <w:p w14:paraId="1A1B3FF2" w14:textId="28E3DD99" w:rsidR="005311F3" w:rsidRPr="00D30537" w:rsidRDefault="005311F3" w:rsidP="00653B48">
            <w:pPr>
              <w:pStyle w:val="TableFigureHeading"/>
              <w:keepNext w:val="0"/>
              <w:rPr>
                <w:b w:val="0"/>
                <w:bCs w:val="0"/>
              </w:rPr>
            </w:pPr>
            <w:r w:rsidRPr="00D30537">
              <w:rPr>
                <w:b w:val="0"/>
                <w:bCs w:val="0"/>
              </w:rPr>
              <w:t xml:space="preserve">Mean avelumab </w:t>
            </w:r>
            <w:proofErr w:type="spellStart"/>
            <w:r w:rsidRPr="00D30537">
              <w:rPr>
                <w:b w:val="0"/>
                <w:bCs w:val="0"/>
              </w:rPr>
              <w:t>ToT</w:t>
            </w:r>
            <w:proofErr w:type="spellEnd"/>
            <w:r w:rsidRPr="00D30537">
              <w:rPr>
                <w:b w:val="0"/>
                <w:bCs w:val="0"/>
              </w:rPr>
              <w:t xml:space="preserve"> may be overestimated. </w:t>
            </w:r>
            <w:r w:rsidR="00A8532E" w:rsidRPr="00D30537">
              <w:rPr>
                <w:b w:val="0"/>
                <w:bCs w:val="0"/>
              </w:rPr>
              <w:t>In JM200 Part B, at 54.3 months follow-up, 94% of patients had discontinued treatment (i.e. 6% [7/116] were ongoing). At the equivalent time point in the modelled avelumab arm (54.3 months, 4.53 years), approximately 15% of patients remained on treatment.</w:t>
            </w:r>
          </w:p>
        </w:tc>
      </w:tr>
      <w:tr w:rsidR="005311F3" w:rsidRPr="00D30537" w14:paraId="64A88E26" w14:textId="77777777" w:rsidTr="00846120">
        <w:trPr>
          <w:cantSplit/>
        </w:trPr>
        <w:tc>
          <w:tcPr>
            <w:tcW w:w="1529" w:type="dxa"/>
            <w:vAlign w:val="center"/>
          </w:tcPr>
          <w:p w14:paraId="5D93EA37" w14:textId="77777777" w:rsidR="005311F3" w:rsidRPr="00D30537" w:rsidRDefault="005311F3" w:rsidP="00653B48">
            <w:pPr>
              <w:pStyle w:val="TableFigureHeading"/>
              <w:keepNext w:val="0"/>
              <w:rPr>
                <w:b w:val="0"/>
                <w:bCs w:val="0"/>
              </w:rPr>
            </w:pPr>
            <w:r w:rsidRPr="00D30537">
              <w:rPr>
                <w:b w:val="0"/>
                <w:bCs w:val="0"/>
              </w:rPr>
              <w:lastRenderedPageBreak/>
              <w:t>Utility values</w:t>
            </w:r>
          </w:p>
        </w:tc>
        <w:tc>
          <w:tcPr>
            <w:tcW w:w="3144" w:type="dxa"/>
            <w:vAlign w:val="center"/>
          </w:tcPr>
          <w:p w14:paraId="0E8D2C08" w14:textId="7E898F98" w:rsidR="005311F3" w:rsidRPr="00D30537" w:rsidRDefault="005311F3" w:rsidP="00653B48">
            <w:pPr>
              <w:pStyle w:val="TableFigureHeading"/>
              <w:keepNext w:val="0"/>
              <w:rPr>
                <w:b w:val="0"/>
                <w:bCs w:val="0"/>
              </w:rPr>
            </w:pPr>
            <w:r w:rsidRPr="00D30537">
              <w:rPr>
                <w:b w:val="0"/>
                <w:bCs w:val="0"/>
              </w:rPr>
              <w:t xml:space="preserve">Health state utility values were sourced from Kaufman 2018b: PF:0.8269; PD:0.7415 </w:t>
            </w:r>
          </w:p>
          <w:p w14:paraId="58DEDF89" w14:textId="77777777" w:rsidR="005311F3" w:rsidRPr="00D30537" w:rsidRDefault="005311F3" w:rsidP="00653B48">
            <w:pPr>
              <w:pStyle w:val="TableFigureHeading"/>
              <w:keepNext w:val="0"/>
              <w:rPr>
                <w:b w:val="0"/>
                <w:bCs w:val="0"/>
              </w:rPr>
            </w:pPr>
          </w:p>
          <w:p w14:paraId="7932602F" w14:textId="77777777" w:rsidR="005311F3" w:rsidRPr="00D30537" w:rsidRDefault="005311F3" w:rsidP="00653B48">
            <w:pPr>
              <w:pStyle w:val="TableFigureHeading"/>
              <w:keepNext w:val="0"/>
              <w:rPr>
                <w:b w:val="0"/>
                <w:bCs w:val="0"/>
              </w:rPr>
            </w:pPr>
            <w:r w:rsidRPr="00D30537">
              <w:rPr>
                <w:b w:val="0"/>
                <w:bCs w:val="0"/>
              </w:rPr>
              <w:t xml:space="preserve">AE disutilities were derived from Kaufman 2018b and the incidence of TEAEs in POD1UM-201 and JM200 Part B: </w:t>
            </w:r>
          </w:p>
          <w:p w14:paraId="1CA0EDFA" w14:textId="77777777" w:rsidR="005311F3" w:rsidRPr="00D30537" w:rsidRDefault="005311F3" w:rsidP="00653B48">
            <w:pPr>
              <w:pStyle w:val="TableFigureHeading"/>
              <w:keepNext w:val="0"/>
              <w:rPr>
                <w:b w:val="0"/>
                <w:bCs w:val="0"/>
              </w:rPr>
            </w:pPr>
            <w:r w:rsidRPr="00D30537">
              <w:rPr>
                <w:b w:val="0"/>
                <w:bCs w:val="0"/>
              </w:rPr>
              <w:t xml:space="preserve">RETI arm: -0.0621; AVE arm: -0.0971 </w:t>
            </w:r>
          </w:p>
        </w:tc>
        <w:tc>
          <w:tcPr>
            <w:tcW w:w="4344" w:type="dxa"/>
            <w:vAlign w:val="center"/>
          </w:tcPr>
          <w:p w14:paraId="64D64FE2" w14:textId="61B2079D" w:rsidR="005311F3" w:rsidRPr="00D30537" w:rsidRDefault="00BA716F" w:rsidP="00653B48">
            <w:pPr>
              <w:pStyle w:val="TableFigureHeading"/>
              <w:keepNext w:val="0"/>
              <w:rPr>
                <w:b w:val="0"/>
                <w:bCs w:val="0"/>
              </w:rPr>
            </w:pPr>
            <w:r w:rsidRPr="00D30537">
              <w:rPr>
                <w:b w:val="0"/>
                <w:bCs w:val="0"/>
              </w:rPr>
              <w:t>Utility</w:t>
            </w:r>
            <w:r w:rsidR="005311F3" w:rsidRPr="00D30537">
              <w:rPr>
                <w:b w:val="0"/>
                <w:bCs w:val="0"/>
              </w:rPr>
              <w:t xml:space="preserve"> values derived from JM200 Part A</w:t>
            </w:r>
            <w:r w:rsidRPr="00D30537">
              <w:rPr>
                <w:b w:val="0"/>
                <w:bCs w:val="0"/>
              </w:rPr>
              <w:t xml:space="preserve"> </w:t>
            </w:r>
            <w:r w:rsidR="005311F3" w:rsidRPr="00D30537">
              <w:rPr>
                <w:b w:val="0"/>
                <w:bCs w:val="0"/>
              </w:rPr>
              <w:t>included patients in the 2L setting and therefore may not be directly relevant to the proposed population</w:t>
            </w:r>
            <w:r w:rsidR="007E1F31" w:rsidRPr="00D30537">
              <w:rPr>
                <w:b w:val="0"/>
                <w:bCs w:val="0"/>
              </w:rPr>
              <w:t xml:space="preserve">, and </w:t>
            </w:r>
            <w:r w:rsidR="005311F3" w:rsidRPr="00D30537">
              <w:rPr>
                <w:b w:val="0"/>
                <w:bCs w:val="0"/>
              </w:rPr>
              <w:t xml:space="preserve">the UK scoring algorithm </w:t>
            </w:r>
            <w:r w:rsidR="007E1F31" w:rsidRPr="00D30537">
              <w:rPr>
                <w:b w:val="0"/>
                <w:bCs w:val="0"/>
              </w:rPr>
              <w:t xml:space="preserve">used </w:t>
            </w:r>
            <w:r w:rsidR="005311F3" w:rsidRPr="00D30537">
              <w:rPr>
                <w:b w:val="0"/>
                <w:bCs w:val="0"/>
              </w:rPr>
              <w:t xml:space="preserve">may not be applicable to the Australian population. </w:t>
            </w:r>
          </w:p>
          <w:p w14:paraId="0CC3768F" w14:textId="3CD49417" w:rsidR="005311F3" w:rsidRPr="00D30537" w:rsidRDefault="005311F3" w:rsidP="00653B48">
            <w:pPr>
              <w:pStyle w:val="TableFigureHeading"/>
              <w:keepNext w:val="0"/>
              <w:rPr>
                <w:b w:val="0"/>
                <w:bCs w:val="0"/>
                <w:sz w:val="4"/>
                <w:szCs w:val="4"/>
              </w:rPr>
            </w:pPr>
          </w:p>
          <w:p w14:paraId="41A7FD2D" w14:textId="31F17BA2" w:rsidR="005311F3" w:rsidRPr="00D30537" w:rsidRDefault="005311F3" w:rsidP="00653B48">
            <w:pPr>
              <w:pStyle w:val="TableFigureHeading"/>
              <w:keepNext w:val="0"/>
              <w:rPr>
                <w:b w:val="0"/>
                <w:bCs w:val="0"/>
              </w:rPr>
            </w:pPr>
            <w:r w:rsidRPr="00D30537">
              <w:rPr>
                <w:b w:val="0"/>
                <w:bCs w:val="0"/>
              </w:rPr>
              <w:t>The incidence in AEs was uncertain as there was no comparative safety data between retifanlimab and avelumab.</w:t>
            </w:r>
            <w:r w:rsidR="00025135" w:rsidRPr="00D30537">
              <w:rPr>
                <w:b w:val="0"/>
                <w:bCs w:val="0"/>
              </w:rPr>
              <w:t xml:space="preserve"> </w:t>
            </w:r>
            <w:r w:rsidR="0085164F" w:rsidRPr="00895A8C">
              <w:rPr>
                <w:b w:val="0"/>
                <w:bCs w:val="0"/>
              </w:rPr>
              <w:t>The ESC considered</w:t>
            </w:r>
            <w:r w:rsidR="0085164F" w:rsidRPr="00D30537">
              <w:rPr>
                <w:b w:val="0"/>
                <w:bCs w:val="0"/>
              </w:rPr>
              <w:t xml:space="preserve"> t</w:t>
            </w:r>
            <w:r w:rsidRPr="00D30537">
              <w:rPr>
                <w:b w:val="0"/>
                <w:bCs w:val="0"/>
              </w:rPr>
              <w:t>here was likely insufficient evidence to claim that retifanlimab was superior in safety to avelumab</w:t>
            </w:r>
            <w:r w:rsidR="00F857BE" w:rsidRPr="00D30537">
              <w:rPr>
                <w:b w:val="0"/>
                <w:bCs w:val="0"/>
              </w:rPr>
              <w:t xml:space="preserve"> (see Paragraph </w:t>
            </w:r>
            <w:r w:rsidR="00C867D3" w:rsidRPr="00D30537">
              <w:rPr>
                <w:b w:val="0"/>
                <w:bCs w:val="0"/>
              </w:rPr>
              <w:fldChar w:fldCharType="begin"/>
            </w:r>
            <w:r w:rsidR="00C867D3" w:rsidRPr="00D30537">
              <w:rPr>
                <w:b w:val="0"/>
                <w:bCs w:val="0"/>
              </w:rPr>
              <w:instrText xml:space="preserve"> REF _Ref206441460 \r \h </w:instrText>
            </w:r>
            <w:r w:rsidR="004C3B42" w:rsidRPr="00D30537">
              <w:rPr>
                <w:b w:val="0"/>
                <w:bCs w:val="0"/>
              </w:rPr>
              <w:instrText xml:space="preserve"> \* MERGEFORMAT </w:instrText>
            </w:r>
            <w:r w:rsidR="00C867D3" w:rsidRPr="00D30537">
              <w:rPr>
                <w:b w:val="0"/>
                <w:bCs w:val="0"/>
              </w:rPr>
            </w:r>
            <w:r w:rsidR="00C867D3" w:rsidRPr="00D30537">
              <w:rPr>
                <w:b w:val="0"/>
                <w:bCs w:val="0"/>
              </w:rPr>
              <w:fldChar w:fldCharType="separate"/>
            </w:r>
            <w:r w:rsidR="008D62D0">
              <w:rPr>
                <w:b w:val="0"/>
                <w:bCs w:val="0"/>
              </w:rPr>
              <w:t>6.29</w:t>
            </w:r>
            <w:r w:rsidR="00C867D3" w:rsidRPr="00D30537">
              <w:rPr>
                <w:b w:val="0"/>
                <w:bCs w:val="0"/>
              </w:rPr>
              <w:fldChar w:fldCharType="end"/>
            </w:r>
            <w:r w:rsidR="008D62D0">
              <w:rPr>
                <w:b w:val="0"/>
                <w:bCs w:val="0"/>
              </w:rPr>
              <w:t>)</w:t>
            </w:r>
          </w:p>
        </w:tc>
      </w:tr>
      <w:tr w:rsidR="005311F3" w:rsidRPr="00D30537" w14:paraId="4B98F72A" w14:textId="77777777" w:rsidTr="00846120">
        <w:trPr>
          <w:cantSplit/>
        </w:trPr>
        <w:tc>
          <w:tcPr>
            <w:tcW w:w="1529" w:type="dxa"/>
            <w:vAlign w:val="center"/>
          </w:tcPr>
          <w:p w14:paraId="51E07963" w14:textId="77777777" w:rsidR="005311F3" w:rsidRPr="00D30537" w:rsidRDefault="005311F3" w:rsidP="00653B48">
            <w:pPr>
              <w:pStyle w:val="TableFigureHeading"/>
              <w:keepNext w:val="0"/>
              <w:rPr>
                <w:b w:val="0"/>
                <w:bCs w:val="0"/>
              </w:rPr>
            </w:pPr>
            <w:r w:rsidRPr="00D30537">
              <w:rPr>
                <w:b w:val="0"/>
                <w:bCs w:val="0"/>
              </w:rPr>
              <w:t>Software</w:t>
            </w:r>
          </w:p>
        </w:tc>
        <w:tc>
          <w:tcPr>
            <w:tcW w:w="3144" w:type="dxa"/>
            <w:vAlign w:val="center"/>
          </w:tcPr>
          <w:p w14:paraId="2B9DA46E" w14:textId="77777777" w:rsidR="005311F3" w:rsidRPr="00D30537" w:rsidRDefault="005311F3" w:rsidP="00653B48">
            <w:pPr>
              <w:pStyle w:val="TableFigureHeading"/>
              <w:keepNext w:val="0"/>
              <w:rPr>
                <w:b w:val="0"/>
                <w:bCs w:val="0"/>
              </w:rPr>
            </w:pPr>
            <w:r w:rsidRPr="00D30537">
              <w:rPr>
                <w:b w:val="0"/>
                <w:bCs w:val="0"/>
              </w:rPr>
              <w:t>Microsoft Excel</w:t>
            </w:r>
          </w:p>
        </w:tc>
        <w:tc>
          <w:tcPr>
            <w:tcW w:w="4344" w:type="dxa"/>
            <w:vAlign w:val="center"/>
          </w:tcPr>
          <w:p w14:paraId="59B9E527" w14:textId="4CC7085F" w:rsidR="005311F3" w:rsidRPr="00D30537" w:rsidRDefault="005311F3" w:rsidP="00653B48">
            <w:pPr>
              <w:pStyle w:val="TableFigureHeading"/>
              <w:keepNext w:val="0"/>
              <w:rPr>
                <w:b w:val="0"/>
                <w:bCs w:val="0"/>
              </w:rPr>
            </w:pPr>
            <w:r w:rsidRPr="00D30537">
              <w:rPr>
                <w:b w:val="0"/>
                <w:bCs w:val="0"/>
              </w:rPr>
              <w:t>.</w:t>
            </w:r>
          </w:p>
        </w:tc>
      </w:tr>
    </w:tbl>
    <w:p w14:paraId="0710BB0E" w14:textId="3F6FFFFF" w:rsidR="005311F3" w:rsidRPr="00D30537" w:rsidRDefault="0056656B" w:rsidP="005311F3">
      <w:pPr>
        <w:pStyle w:val="FooterTableFigure"/>
        <w:jc w:val="left"/>
        <w:rPr>
          <w:sz w:val="20"/>
        </w:rPr>
      </w:pPr>
      <w:r w:rsidRPr="00D30537">
        <w:t>Source: Table</w:t>
      </w:r>
      <w:r w:rsidR="005311F3" w:rsidRPr="00D30537">
        <w:t xml:space="preserve"> 82, p177 of the submission </w:t>
      </w:r>
      <w:r w:rsidR="005311F3" w:rsidRPr="00D30537">
        <w:br/>
      </w:r>
      <w:r w:rsidR="005311F3" w:rsidRPr="00D30537">
        <w:rPr>
          <w:sz w:val="20"/>
        </w:rPr>
        <w:t xml:space="preserve">AE = adverse event; AVE = avelumab; HR = hazard ratio; JM200 = JAVELIN Merkel 200; MAIC = matched-adjusted indirect comparison; OS = overall survival; PD = progressed disease; PF = progression-free; PFS = progression-free survival; QALY = quality-adjusted life year; RETI = retifanlimab; </w:t>
      </w:r>
      <w:proofErr w:type="spellStart"/>
      <w:r w:rsidR="005311F3" w:rsidRPr="00D30537">
        <w:rPr>
          <w:sz w:val="20"/>
        </w:rPr>
        <w:t>ToT</w:t>
      </w:r>
      <w:proofErr w:type="spellEnd"/>
      <w:r w:rsidR="005311F3" w:rsidRPr="00D30537">
        <w:rPr>
          <w:sz w:val="20"/>
        </w:rPr>
        <w:t xml:space="preserve"> = time on treatment</w:t>
      </w:r>
    </w:p>
    <w:p w14:paraId="6D3AD477" w14:textId="771B0370" w:rsidR="00E3289E" w:rsidRPr="00D30537" w:rsidRDefault="008047AE" w:rsidP="006E3D94">
      <w:pPr>
        <w:pStyle w:val="3-BodyText"/>
        <w:ind w:left="709"/>
        <w:rPr>
          <w:color w:val="000000" w:themeColor="text1"/>
        </w:rPr>
      </w:pPr>
      <w:bookmarkStart w:id="63" w:name="_Ref214441222"/>
      <w:r w:rsidRPr="00D30537">
        <w:rPr>
          <w:color w:val="000000" w:themeColor="text1"/>
        </w:rPr>
        <w:t>The submission fitted parametric functions to digitised OS and PFS KM data from the JM200 Part B study publications to extrapolate beyond the study follow up</w:t>
      </w:r>
      <w:r w:rsidR="00755751">
        <w:rPr>
          <w:color w:val="000000" w:themeColor="text1"/>
        </w:rPr>
        <w:t>, then applied t</w:t>
      </w:r>
      <w:r w:rsidRPr="00D30537">
        <w:rPr>
          <w:color w:val="000000" w:themeColor="text1"/>
        </w:rPr>
        <w:t>he MAIC2 HRs (</w:t>
      </w:r>
      <w:r w:rsidR="005311F3" w:rsidRPr="00D30537">
        <w:rPr>
          <w:color w:val="000000" w:themeColor="text1"/>
        </w:rPr>
        <w:fldChar w:fldCharType="begin"/>
      </w:r>
      <w:r w:rsidR="005311F3" w:rsidRPr="00D30537">
        <w:rPr>
          <w:color w:val="000000" w:themeColor="text1"/>
        </w:rPr>
        <w:instrText xml:space="preserve"> REF _Ref205977966 \h </w:instrText>
      </w:r>
      <w:r w:rsidR="006E3D94" w:rsidRPr="00D30537">
        <w:rPr>
          <w:color w:val="000000" w:themeColor="text1"/>
        </w:rPr>
        <w:instrText xml:space="preserve"> \* MERGEFORMAT </w:instrText>
      </w:r>
      <w:r w:rsidR="005311F3" w:rsidRPr="00D30537">
        <w:rPr>
          <w:color w:val="000000" w:themeColor="text1"/>
        </w:rPr>
      </w:r>
      <w:r w:rsidR="005311F3" w:rsidRPr="00D30537">
        <w:rPr>
          <w:color w:val="000000" w:themeColor="text1"/>
        </w:rPr>
        <w:fldChar w:fldCharType="separate"/>
      </w:r>
      <w:r w:rsidR="00652388" w:rsidRPr="00652388">
        <w:rPr>
          <w:color w:val="000000" w:themeColor="text1"/>
        </w:rPr>
        <w:t>Table 7</w:t>
      </w:r>
      <w:r w:rsidR="005311F3" w:rsidRPr="00D30537">
        <w:rPr>
          <w:color w:val="000000" w:themeColor="text1"/>
        </w:rPr>
        <w:fldChar w:fldCharType="end"/>
      </w:r>
      <w:r w:rsidRPr="00D30537">
        <w:rPr>
          <w:color w:val="000000" w:themeColor="text1"/>
        </w:rPr>
        <w:t xml:space="preserve">) relative to the </w:t>
      </w:r>
      <w:r w:rsidRPr="002920B9">
        <w:rPr>
          <w:color w:val="000000" w:themeColor="text1"/>
        </w:rPr>
        <w:t xml:space="preserve">avelumab arm to estimate the benefits of retifanlimab treatment compared to the avelumab arm. </w:t>
      </w:r>
      <w:r w:rsidR="00BA6DCA" w:rsidRPr="002920B9">
        <w:rPr>
          <w:color w:val="000000" w:themeColor="text1"/>
        </w:rPr>
        <w:t>A</w:t>
      </w:r>
      <w:r w:rsidR="00BA6DCA" w:rsidRPr="00D30537">
        <w:rPr>
          <w:color w:val="000000" w:themeColor="text1"/>
        </w:rPr>
        <w:t xml:space="preserve"> </w:t>
      </w:r>
      <w:r w:rsidRPr="00D30537">
        <w:rPr>
          <w:color w:val="000000" w:themeColor="text1"/>
        </w:rPr>
        <w:t xml:space="preserve">constant survival benefit </w:t>
      </w:r>
      <w:r w:rsidR="003B581D" w:rsidRPr="00D30537">
        <w:rPr>
          <w:color w:val="000000" w:themeColor="text1"/>
        </w:rPr>
        <w:t>persist</w:t>
      </w:r>
      <w:r w:rsidR="003B581D">
        <w:rPr>
          <w:color w:val="000000" w:themeColor="text1"/>
        </w:rPr>
        <w:t>ing</w:t>
      </w:r>
      <w:r w:rsidR="003B581D" w:rsidRPr="00D30537">
        <w:rPr>
          <w:color w:val="000000" w:themeColor="text1"/>
        </w:rPr>
        <w:t xml:space="preserve"> over the 7.5-year time horizon </w:t>
      </w:r>
      <w:r w:rsidRPr="00D30537">
        <w:rPr>
          <w:color w:val="000000" w:themeColor="text1"/>
        </w:rPr>
        <w:t>was assumed for patients in the retifanlimab arm relative to the avelumab arm</w:t>
      </w:r>
      <w:r w:rsidR="00A424E0">
        <w:rPr>
          <w:color w:val="000000" w:themeColor="text1"/>
        </w:rPr>
        <w:t>.</w:t>
      </w:r>
      <w:bookmarkEnd w:id="63"/>
    </w:p>
    <w:p w14:paraId="7B8576B2" w14:textId="3E95C1EC" w:rsidR="00706875" w:rsidRPr="00D30537" w:rsidRDefault="00CB74B5">
      <w:pPr>
        <w:pStyle w:val="3-BodyText"/>
        <w:ind w:left="709"/>
      </w:pPr>
      <w:r w:rsidRPr="00D34AD6">
        <w:rPr>
          <w:color w:val="000000" w:themeColor="text1"/>
        </w:rPr>
        <w:t>The economic model linked time on treatment (</w:t>
      </w:r>
      <w:proofErr w:type="spellStart"/>
      <w:r w:rsidRPr="00D34AD6">
        <w:rPr>
          <w:color w:val="000000" w:themeColor="text1"/>
        </w:rPr>
        <w:t>ToT</w:t>
      </w:r>
      <w:proofErr w:type="spellEnd"/>
      <w:r w:rsidRPr="00D34AD6">
        <w:rPr>
          <w:color w:val="000000" w:themeColor="text1"/>
        </w:rPr>
        <w:t xml:space="preserve">) to PFS, </w:t>
      </w:r>
      <w:r w:rsidR="00F104A7" w:rsidRPr="00D34AD6">
        <w:rPr>
          <w:color w:val="000000" w:themeColor="text1"/>
        </w:rPr>
        <w:t>assuming that</w:t>
      </w:r>
      <w:r w:rsidR="000916F5" w:rsidRPr="00D34AD6">
        <w:rPr>
          <w:color w:val="000000" w:themeColor="text1"/>
        </w:rPr>
        <w:t>:</w:t>
      </w:r>
      <w:r w:rsidR="00D34AD6" w:rsidRPr="00D34AD6">
        <w:rPr>
          <w:color w:val="000000" w:themeColor="text1"/>
        </w:rPr>
        <w:t xml:space="preserve"> </w:t>
      </w:r>
      <w:r w:rsidRPr="00D30537">
        <w:t>all patients alive and progression</w:t>
      </w:r>
      <w:r w:rsidR="002B3723">
        <w:t xml:space="preserve"> </w:t>
      </w:r>
      <w:r w:rsidRPr="00D30537">
        <w:t>free</w:t>
      </w:r>
      <w:r w:rsidR="002B3723">
        <w:t xml:space="preserve"> (PF)</w:t>
      </w:r>
      <w:r w:rsidRPr="00D30537">
        <w:t xml:space="preserve"> remain</w:t>
      </w:r>
      <w:r w:rsidR="00BC5206">
        <w:t>ed</w:t>
      </w:r>
      <w:r w:rsidRPr="00D30537">
        <w:t xml:space="preserve"> on treatment</w:t>
      </w:r>
      <w:r w:rsidR="00055DFF" w:rsidRPr="00D30537">
        <w:t xml:space="preserve">, except that retifanlimab treatment was capped at two years whereas avelumab continued </w:t>
      </w:r>
      <w:r w:rsidR="001C73F8" w:rsidRPr="00D30537">
        <w:t>indefinitely</w:t>
      </w:r>
      <w:r w:rsidR="001C73F8">
        <w:t>.</w:t>
      </w:r>
      <w:r w:rsidR="00055DFF" w:rsidRPr="00D30537">
        <w:t xml:space="preserve"> </w:t>
      </w:r>
      <w:r w:rsidR="00946F86" w:rsidRPr="00D30537">
        <w:t xml:space="preserve">This </w:t>
      </w:r>
      <w:r w:rsidR="00D34AD6">
        <w:t>meant that</w:t>
      </w:r>
      <w:r w:rsidR="00946F86" w:rsidRPr="00D30537">
        <w:t xml:space="preserve"> </w:t>
      </w:r>
      <w:r w:rsidR="00055DFF" w:rsidRPr="00D30537">
        <w:t xml:space="preserve">assuming </w:t>
      </w:r>
      <w:r w:rsidR="00946F86" w:rsidRPr="00D30537">
        <w:t>worse PFS</w:t>
      </w:r>
      <w:r w:rsidR="007023E5" w:rsidRPr="00D30537">
        <w:t xml:space="preserve"> for retifanlimab relative to avelumab </w:t>
      </w:r>
      <w:r w:rsidR="00946F86" w:rsidRPr="00D30537">
        <w:t>improved the ICER</w:t>
      </w:r>
      <w:r w:rsidR="007023E5" w:rsidRPr="00D30537">
        <w:t xml:space="preserve"> and vice versa</w:t>
      </w:r>
      <w:r w:rsidR="006225AE">
        <w:t xml:space="preserve"> (see paragraph </w:t>
      </w:r>
      <w:r w:rsidR="000F78E8">
        <w:fldChar w:fldCharType="begin"/>
      </w:r>
      <w:r w:rsidR="000F78E8">
        <w:instrText xml:space="preserve"> REF _Ref206449531 \r \h </w:instrText>
      </w:r>
      <w:r w:rsidR="000F78E8">
        <w:fldChar w:fldCharType="separate"/>
      </w:r>
      <w:r w:rsidR="008D62D0">
        <w:t>6.47</w:t>
      </w:r>
      <w:r w:rsidR="000F78E8">
        <w:fldChar w:fldCharType="end"/>
      </w:r>
      <w:r w:rsidR="006225AE">
        <w:t>)</w:t>
      </w:r>
      <w:r w:rsidR="007023E5" w:rsidRPr="00D30537">
        <w:t xml:space="preserve">. </w:t>
      </w:r>
    </w:p>
    <w:p w14:paraId="1080C776" w14:textId="26BF9D88" w:rsidR="0066133C" w:rsidRPr="00D30537" w:rsidRDefault="008047AE" w:rsidP="006E3D94">
      <w:pPr>
        <w:pStyle w:val="3-BodyText"/>
        <w:ind w:left="709"/>
      </w:pPr>
      <w:bookmarkStart w:id="64" w:name="_Ref211350833"/>
      <w:bookmarkStart w:id="65" w:name="_Ref211603659"/>
      <w:r w:rsidRPr="00D30537">
        <w:rPr>
          <w:color w:val="000000" w:themeColor="text1"/>
        </w:rPr>
        <w:t>The weight based avelumab dosage applied in the model was based on the mean</w:t>
      </w:r>
      <w:r w:rsidRPr="00D30537">
        <w:t xml:space="preserve"> weight and kidney function of the POD1UM-201 chemotherapy-naïve metastatic cohort (n=91). Assuming a mean patient weight of 83.03 kg, it was estimated patients receive an average of 4.7 x 200 mg vials per dose, equating to 932 mg per dose. However</w:t>
      </w:r>
      <w:bookmarkEnd w:id="64"/>
      <w:r w:rsidRPr="00D30537">
        <w:t>, the July 2018 avelumab submission estimated a smaller average dose of 849.2 mg per person for avelumab. The submission claimed that this was because the 849.2 mg per person dose was based on JM200 Part A in the 2L setting for MCC, and that this exposure was not applicable to the current evaluation (1L setting). There was no evidence provided to support the claim that the average dose of avelumab would be different across the 1L and 2L setting.</w:t>
      </w:r>
      <w:r w:rsidR="00BA6DCA" w:rsidRPr="00D30537">
        <w:t xml:space="preserve"> A </w:t>
      </w:r>
      <w:r w:rsidR="00932028" w:rsidRPr="00D30537">
        <w:t>flat dose of 800</w:t>
      </w:r>
      <w:r w:rsidR="00103CC6" w:rsidRPr="00D30537">
        <w:t xml:space="preserve"> </w:t>
      </w:r>
      <w:r w:rsidR="00932028" w:rsidRPr="00D30537">
        <w:t xml:space="preserve">mg is also </w:t>
      </w:r>
      <w:r w:rsidR="00865C68" w:rsidRPr="00D30537">
        <w:t>included</w:t>
      </w:r>
      <w:r w:rsidR="0082497F" w:rsidRPr="00D30537">
        <w:t xml:space="preserve"> in the approved product information </w:t>
      </w:r>
      <w:r w:rsidR="00932028" w:rsidRPr="00D30537">
        <w:t xml:space="preserve">for avelumab </w:t>
      </w:r>
      <w:r w:rsidR="006A638C" w:rsidRPr="00D30537">
        <w:t xml:space="preserve">and specified in the PBS listing of avelumab </w:t>
      </w:r>
      <w:r w:rsidR="00932028" w:rsidRPr="00D30537">
        <w:t xml:space="preserve">in </w:t>
      </w:r>
      <w:r w:rsidR="006A638C" w:rsidRPr="00D30537">
        <w:t xml:space="preserve">metastatic </w:t>
      </w:r>
      <w:r w:rsidR="00932028" w:rsidRPr="00D30537">
        <w:t>MCC</w:t>
      </w:r>
      <w:r w:rsidR="00BA6DCA" w:rsidRPr="00D30537">
        <w:rPr>
          <w:i/>
          <w:iCs/>
        </w:rPr>
        <w:t>.</w:t>
      </w:r>
      <w:bookmarkEnd w:id="65"/>
    </w:p>
    <w:p w14:paraId="3045622F" w14:textId="431283F9" w:rsidR="008047AE" w:rsidRPr="00D30537" w:rsidRDefault="008047AE" w:rsidP="006E3D94">
      <w:pPr>
        <w:pStyle w:val="3-BodyText"/>
        <w:ind w:left="709"/>
      </w:pPr>
      <w:r w:rsidRPr="00D30537">
        <w:t xml:space="preserve">The </w:t>
      </w:r>
      <w:r w:rsidRPr="00D30537">
        <w:rPr>
          <w:color w:val="000000" w:themeColor="text1"/>
        </w:rPr>
        <w:t>key</w:t>
      </w:r>
      <w:r w:rsidRPr="00D30537">
        <w:t xml:space="preserve"> drivers of the model are summarised in </w:t>
      </w:r>
      <w:r w:rsidRPr="00D30537">
        <w:fldChar w:fldCharType="begin"/>
      </w:r>
      <w:r w:rsidRPr="00D30537">
        <w:instrText xml:space="preserve"> REF _Ref104805122 \h  \* MERGEFORMAT </w:instrText>
      </w:r>
      <w:r w:rsidRPr="00D30537">
        <w:fldChar w:fldCharType="separate"/>
      </w:r>
      <w:r w:rsidR="00652388" w:rsidRPr="00D30537">
        <w:t xml:space="preserve">Table </w:t>
      </w:r>
      <w:r w:rsidR="00652388">
        <w:t>11</w:t>
      </w:r>
      <w:r w:rsidRPr="00D30537">
        <w:fldChar w:fldCharType="end"/>
      </w:r>
      <w:r w:rsidRPr="00D30537">
        <w:t>.</w:t>
      </w:r>
    </w:p>
    <w:p w14:paraId="70D469A2" w14:textId="21C07CED" w:rsidR="008047AE" w:rsidRPr="00D30537" w:rsidRDefault="008047AE" w:rsidP="008047AE">
      <w:pPr>
        <w:pStyle w:val="Caption"/>
        <w:jc w:val="left"/>
        <w:rPr>
          <w:rStyle w:val="CommentReference"/>
          <w:b/>
          <w:szCs w:val="24"/>
        </w:rPr>
      </w:pPr>
      <w:bookmarkStart w:id="66" w:name="_Ref104805122"/>
      <w:r w:rsidRPr="00D30537">
        <w:lastRenderedPageBreak/>
        <w:t xml:space="preserve">Table </w:t>
      </w:r>
      <w:fldSimple w:instr=" SEQ Table \* ARABIC ">
        <w:r w:rsidR="00652388">
          <w:rPr>
            <w:noProof/>
          </w:rPr>
          <w:t>11</w:t>
        </w:r>
      </w:fldSimple>
      <w:bookmarkEnd w:id="66"/>
      <w:r w:rsidRPr="00D30537">
        <w:t>:</w:t>
      </w:r>
      <w:r w:rsidRPr="00D30537">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71"/>
        <w:gridCol w:w="5102"/>
        <w:gridCol w:w="2644"/>
      </w:tblGrid>
      <w:tr w:rsidR="008047AE" w:rsidRPr="00D30537" w14:paraId="417BB2B0" w14:textId="77777777" w:rsidTr="00653B48">
        <w:trPr>
          <w:tblHeader/>
        </w:trPr>
        <w:tc>
          <w:tcPr>
            <w:tcW w:w="705" w:type="pct"/>
            <w:vAlign w:val="center"/>
          </w:tcPr>
          <w:p w14:paraId="1FE54D69" w14:textId="77777777" w:rsidR="008047AE" w:rsidRPr="00D30537" w:rsidRDefault="008047AE" w:rsidP="006E0B7E">
            <w:pPr>
              <w:pStyle w:val="In-tableHeading"/>
            </w:pPr>
            <w:r w:rsidRPr="00D30537">
              <w:t>Description</w:t>
            </w:r>
          </w:p>
        </w:tc>
        <w:tc>
          <w:tcPr>
            <w:tcW w:w="2829" w:type="pct"/>
            <w:vAlign w:val="center"/>
          </w:tcPr>
          <w:p w14:paraId="3AD77BCD" w14:textId="77777777" w:rsidR="008047AE" w:rsidRPr="00D30537" w:rsidRDefault="008047AE" w:rsidP="006E0B7E">
            <w:pPr>
              <w:pStyle w:val="In-tableHeading"/>
            </w:pPr>
            <w:r w:rsidRPr="00D30537">
              <w:t>Method/Value</w:t>
            </w:r>
          </w:p>
        </w:tc>
        <w:tc>
          <w:tcPr>
            <w:tcW w:w="1466" w:type="pct"/>
            <w:vAlign w:val="center"/>
          </w:tcPr>
          <w:p w14:paraId="77B54C53" w14:textId="77777777" w:rsidR="008047AE" w:rsidRPr="00D30537" w:rsidRDefault="008047AE" w:rsidP="006E0B7E">
            <w:pPr>
              <w:pStyle w:val="In-tableHeading"/>
            </w:pPr>
            <w:r w:rsidRPr="00D30537">
              <w:t>Impact</w:t>
            </w:r>
          </w:p>
          <w:p w14:paraId="013DF8BA" w14:textId="30BC0E7F" w:rsidR="008047AE" w:rsidRPr="00D30537" w:rsidRDefault="008047AE" w:rsidP="006E0B7E">
            <w:pPr>
              <w:pStyle w:val="In-tableHeading"/>
            </w:pPr>
            <w:r w:rsidRPr="00D30537">
              <w:t>Base case: $</w:t>
            </w:r>
            <w:r w:rsidR="00D863F0" w:rsidRPr="00D863F0">
              <w:rPr>
                <w:highlight w:val="black"/>
              </w:rPr>
              <w:t>&amp;&amp;&amp;&amp;</w:t>
            </w:r>
            <w:r w:rsidR="00986733">
              <w:rPr>
                <w:b w:val="0"/>
                <w:bCs/>
                <w:vertAlign w:val="superscript"/>
              </w:rPr>
              <w:t>1</w:t>
            </w:r>
            <w:r w:rsidRPr="00D30537">
              <w:t>/QALY gained</w:t>
            </w:r>
          </w:p>
        </w:tc>
      </w:tr>
      <w:tr w:rsidR="000350C3" w:rsidRPr="00D30537" w14:paraId="599EDAD6" w14:textId="77777777" w:rsidTr="00653B48">
        <w:tc>
          <w:tcPr>
            <w:tcW w:w="705" w:type="pct"/>
            <w:vAlign w:val="center"/>
          </w:tcPr>
          <w:p w14:paraId="00061708" w14:textId="24BB8597" w:rsidR="000350C3" w:rsidRPr="00D30537" w:rsidRDefault="000350C3" w:rsidP="000350C3">
            <w:pPr>
              <w:pStyle w:val="TableText0"/>
            </w:pPr>
            <w:r w:rsidRPr="00D30537">
              <w:t>Time horizon</w:t>
            </w:r>
          </w:p>
        </w:tc>
        <w:tc>
          <w:tcPr>
            <w:tcW w:w="2829" w:type="pct"/>
            <w:vAlign w:val="center"/>
          </w:tcPr>
          <w:p w14:paraId="04AE2B35" w14:textId="4900B3DE" w:rsidR="000350C3" w:rsidRPr="00D30537" w:rsidRDefault="000350C3" w:rsidP="000350C3">
            <w:pPr>
              <w:pStyle w:val="TableText0"/>
            </w:pPr>
            <w:r w:rsidRPr="00D30537">
              <w:t>A time horizon of 7.5 years was applied. There were 0.293 LYs accrued (discounted) in the trial period and 0.475 (0.768-0.293) in the extrapolated period, showing that the majority of LYs gained occurred in the extrapolated period.</w:t>
            </w:r>
          </w:p>
        </w:tc>
        <w:tc>
          <w:tcPr>
            <w:tcW w:w="1466" w:type="pct"/>
            <w:vAlign w:val="center"/>
          </w:tcPr>
          <w:p w14:paraId="3B012676" w14:textId="77777777" w:rsidR="000350C3" w:rsidRPr="00D30537" w:rsidRDefault="000350C3" w:rsidP="000350C3">
            <w:pPr>
              <w:pStyle w:val="TableText0"/>
            </w:pPr>
            <w:r w:rsidRPr="00D30537">
              <w:t>High, favours retifanlimab</w:t>
            </w:r>
          </w:p>
          <w:p w14:paraId="28BC448F" w14:textId="3B35D9FF" w:rsidR="000350C3" w:rsidRPr="00D30537" w:rsidRDefault="000350C3" w:rsidP="000350C3">
            <w:pPr>
              <w:pStyle w:val="TableText0"/>
            </w:pPr>
            <w:r w:rsidRPr="00D30537">
              <w:t>Use of a 5</w:t>
            </w:r>
            <w:r w:rsidR="00FA0D80" w:rsidRPr="00D30537">
              <w:t>-</w:t>
            </w:r>
            <w:r w:rsidRPr="00D30537">
              <w:t xml:space="preserve">year time horizon increased the ICER by </w:t>
            </w:r>
            <w:r w:rsidR="00D863F0" w:rsidRPr="00D863F0">
              <w:rPr>
                <w:highlight w:val="black"/>
              </w:rPr>
              <w:t>&amp;&amp;&amp;&amp;</w:t>
            </w:r>
            <w:r w:rsidRPr="00D30537">
              <w:t>%</w:t>
            </w:r>
            <w:r w:rsidRPr="00D30537">
              <w:rPr>
                <w:rFonts w:cs="Arial"/>
                <w:color w:val="3366FF"/>
                <w:szCs w:val="20"/>
              </w:rPr>
              <w:t xml:space="preserve"> </w:t>
            </w:r>
          </w:p>
        </w:tc>
      </w:tr>
      <w:tr w:rsidR="000350C3" w:rsidRPr="00D30537" w14:paraId="7981C3B3" w14:textId="77777777" w:rsidTr="00653B48">
        <w:tc>
          <w:tcPr>
            <w:tcW w:w="705" w:type="pct"/>
            <w:vAlign w:val="center"/>
          </w:tcPr>
          <w:p w14:paraId="4182EFD7" w14:textId="7B4EFA38" w:rsidR="000350C3" w:rsidRPr="00D30537" w:rsidRDefault="000350C3" w:rsidP="000350C3">
            <w:pPr>
              <w:pStyle w:val="TableText0"/>
            </w:pPr>
            <w:proofErr w:type="spellStart"/>
            <w:r w:rsidRPr="00D30537">
              <w:t>ToT</w:t>
            </w:r>
            <w:proofErr w:type="spellEnd"/>
          </w:p>
        </w:tc>
        <w:tc>
          <w:tcPr>
            <w:tcW w:w="2829" w:type="pct"/>
            <w:vAlign w:val="center"/>
          </w:tcPr>
          <w:p w14:paraId="5737F19B" w14:textId="77777777" w:rsidR="000350C3" w:rsidRPr="00D30537" w:rsidRDefault="000350C3" w:rsidP="000350C3">
            <w:pPr>
              <w:pStyle w:val="TableText0"/>
            </w:pPr>
            <w:r w:rsidRPr="00D30537">
              <w:t xml:space="preserve">The modelled mean </w:t>
            </w:r>
            <w:proofErr w:type="spellStart"/>
            <w:r w:rsidRPr="00D30537">
              <w:t>ToT</w:t>
            </w:r>
            <w:proofErr w:type="spellEnd"/>
            <w:r w:rsidRPr="00D30537">
              <w:t xml:space="preserve"> was 1.21 years for retifanlimab, and 1.58 years for avelumab.</w:t>
            </w:r>
          </w:p>
          <w:p w14:paraId="183CB3BC" w14:textId="77777777" w:rsidR="000350C3" w:rsidRPr="00D30537" w:rsidRDefault="000350C3" w:rsidP="000350C3">
            <w:pPr>
              <w:pStyle w:val="TableText0"/>
            </w:pPr>
            <w:proofErr w:type="spellStart"/>
            <w:r w:rsidRPr="00D30537">
              <w:t>ToT</w:t>
            </w:r>
            <w:proofErr w:type="spellEnd"/>
            <w:r w:rsidRPr="00D30537">
              <w:t xml:space="preserve"> was a key driver as avelumab is not associated with a maximum treatment duration in metastatic MCC, whereas retifanlimab has a maximum treatment duration of 24 months. As a result, the better PFS was in the avelumab arm, the more drug costs were accrued, whereas these drug costs are capped at two years in the retifanlimab arm. </w:t>
            </w:r>
          </w:p>
        </w:tc>
        <w:tc>
          <w:tcPr>
            <w:tcW w:w="1466" w:type="pct"/>
            <w:vAlign w:val="center"/>
          </w:tcPr>
          <w:p w14:paraId="6BC7E067" w14:textId="77777777" w:rsidR="000350C3" w:rsidRPr="00D30537" w:rsidRDefault="000350C3" w:rsidP="000350C3">
            <w:pPr>
              <w:pStyle w:val="TableText0"/>
            </w:pPr>
            <w:r w:rsidRPr="00D30537">
              <w:t>High, favours retifanlimab.</w:t>
            </w:r>
          </w:p>
          <w:p w14:paraId="6DF8B697" w14:textId="34B0E034" w:rsidR="000350C3" w:rsidRPr="00D30537" w:rsidRDefault="000350C3" w:rsidP="000350C3">
            <w:pPr>
              <w:pStyle w:val="TableText0"/>
            </w:pPr>
            <w:r w:rsidRPr="00D30537">
              <w:t>Use of a less optimistic PFS/</w:t>
            </w:r>
            <w:proofErr w:type="spellStart"/>
            <w:r w:rsidRPr="00D30537">
              <w:t>ToT</w:t>
            </w:r>
            <w:proofErr w:type="spellEnd"/>
            <w:r w:rsidRPr="00D30537">
              <w:t xml:space="preserve"> extrapolation (e.g. Weibull) for the avelumab arm increased the ICER by </w:t>
            </w:r>
            <w:r w:rsidR="00D863F0" w:rsidRPr="00D863F0">
              <w:rPr>
                <w:highlight w:val="black"/>
              </w:rPr>
              <w:t>&amp;&amp;&amp;&amp;</w:t>
            </w:r>
            <w:r w:rsidRPr="00D30537">
              <w:t xml:space="preserve">%. </w:t>
            </w:r>
          </w:p>
        </w:tc>
      </w:tr>
      <w:tr w:rsidR="000350C3" w:rsidRPr="00D30537" w14:paraId="6A751ADF" w14:textId="77777777" w:rsidTr="00653B48">
        <w:tc>
          <w:tcPr>
            <w:tcW w:w="705" w:type="pct"/>
            <w:vAlign w:val="center"/>
          </w:tcPr>
          <w:p w14:paraId="080A40BE" w14:textId="684E4164" w:rsidR="000350C3" w:rsidRPr="00D30537" w:rsidRDefault="000350C3" w:rsidP="000350C3">
            <w:pPr>
              <w:pStyle w:val="TableText0"/>
            </w:pPr>
            <w:r w:rsidRPr="00D30537">
              <w:t>Constant risk assumption</w:t>
            </w:r>
          </w:p>
        </w:tc>
        <w:tc>
          <w:tcPr>
            <w:tcW w:w="2829" w:type="pct"/>
            <w:vAlign w:val="center"/>
          </w:tcPr>
          <w:p w14:paraId="0C6260F7" w14:textId="58173EBD" w:rsidR="000350C3" w:rsidRPr="00D30537" w:rsidRDefault="000350C3" w:rsidP="000350C3">
            <w:pPr>
              <w:pStyle w:val="TableText0"/>
            </w:pPr>
            <w:r w:rsidRPr="00D30537">
              <w:t xml:space="preserve">The applied relative treatment effect (OS HR: 0.689, PFS HR: 0.519) was assumed to be constant over the </w:t>
            </w:r>
            <w:r w:rsidR="001C73F8" w:rsidRPr="00D30537">
              <w:t>7.5-year</w:t>
            </w:r>
            <w:r w:rsidRPr="00D30537">
              <w:t xml:space="preserve"> time horizon, which may not be reasonable as all retifanlimab patients discontinue treatment at two years.</w:t>
            </w:r>
          </w:p>
        </w:tc>
        <w:tc>
          <w:tcPr>
            <w:tcW w:w="1466" w:type="pct"/>
            <w:vAlign w:val="center"/>
          </w:tcPr>
          <w:p w14:paraId="352E9017" w14:textId="77777777" w:rsidR="000350C3" w:rsidRPr="00D30537" w:rsidRDefault="000350C3" w:rsidP="000350C3">
            <w:pPr>
              <w:pStyle w:val="TableText0"/>
            </w:pPr>
            <w:r w:rsidRPr="00D30537">
              <w:t>High, favours retifanlimab</w:t>
            </w:r>
          </w:p>
          <w:p w14:paraId="565A8A36" w14:textId="13FBA5BB" w:rsidR="000350C3" w:rsidRPr="00D30537" w:rsidRDefault="000350C3" w:rsidP="000350C3">
            <w:pPr>
              <w:pStyle w:val="TableText0"/>
            </w:pPr>
            <w:r w:rsidRPr="00D30537">
              <w:t xml:space="preserve">Application of curve convergence (OS and PFS) from 3 to 7.5 years increased the ICER by </w:t>
            </w:r>
            <w:r w:rsidR="00D863F0" w:rsidRPr="00D863F0">
              <w:rPr>
                <w:highlight w:val="black"/>
              </w:rPr>
              <w:t>&amp;&amp;&amp;&amp;</w:t>
            </w:r>
            <w:r w:rsidRPr="00D30537">
              <w:t>%.</w:t>
            </w:r>
          </w:p>
        </w:tc>
      </w:tr>
      <w:tr w:rsidR="000350C3" w:rsidRPr="00D30537" w14:paraId="541AC40F" w14:textId="77777777" w:rsidTr="00653B48">
        <w:tc>
          <w:tcPr>
            <w:tcW w:w="705" w:type="pct"/>
            <w:vAlign w:val="center"/>
          </w:tcPr>
          <w:p w14:paraId="2994D460" w14:textId="77777777" w:rsidR="000350C3" w:rsidRPr="00D30537" w:rsidRDefault="000350C3" w:rsidP="000350C3">
            <w:pPr>
              <w:pStyle w:val="TableText0"/>
            </w:pPr>
            <w:r w:rsidRPr="00D30537">
              <w:t>Avelumab average dose</w:t>
            </w:r>
          </w:p>
        </w:tc>
        <w:tc>
          <w:tcPr>
            <w:tcW w:w="2829" w:type="pct"/>
            <w:vAlign w:val="center"/>
          </w:tcPr>
          <w:p w14:paraId="4DA427EA" w14:textId="66A08AD6" w:rsidR="000350C3" w:rsidRPr="00D30537" w:rsidRDefault="000350C3" w:rsidP="000350C3">
            <w:pPr>
              <w:pStyle w:val="TableText0"/>
            </w:pPr>
            <w:r w:rsidRPr="00D30537">
              <w:t xml:space="preserve">The base case avelumab exposure per dose (932.1 mg) was higher than the average dose per treatment of 849.2 mg previously accepted for avelumab (paragraph 6.41, avelumab </w:t>
            </w:r>
            <w:r w:rsidR="008524BC">
              <w:t>(</w:t>
            </w:r>
            <w:r w:rsidRPr="00D30537">
              <w:t>SD, July 2018 PBAC Meeting)</w:t>
            </w:r>
          </w:p>
        </w:tc>
        <w:tc>
          <w:tcPr>
            <w:tcW w:w="1466" w:type="pct"/>
            <w:vAlign w:val="center"/>
          </w:tcPr>
          <w:p w14:paraId="2D9C08F6" w14:textId="77777777" w:rsidR="000350C3" w:rsidRPr="00D30537" w:rsidRDefault="000350C3" w:rsidP="000350C3">
            <w:pPr>
              <w:pStyle w:val="TableText0"/>
            </w:pPr>
            <w:r w:rsidRPr="00D30537">
              <w:t>High, favours retifanlimab.</w:t>
            </w:r>
          </w:p>
          <w:p w14:paraId="56108DBF" w14:textId="1CB72DCC" w:rsidR="000350C3" w:rsidRPr="00D30537" w:rsidRDefault="000350C3" w:rsidP="000350C3">
            <w:pPr>
              <w:pStyle w:val="TableText0"/>
            </w:pPr>
            <w:r w:rsidRPr="00D30537">
              <w:t xml:space="preserve">Application of the 849.2 mg dosage increased the ICER by </w:t>
            </w:r>
            <w:r w:rsidR="00D863F0" w:rsidRPr="00D863F0">
              <w:rPr>
                <w:highlight w:val="black"/>
              </w:rPr>
              <w:t>&amp;&amp;&amp;&amp;</w:t>
            </w:r>
            <w:r w:rsidRPr="00D30537">
              <w:t>%.</w:t>
            </w:r>
          </w:p>
        </w:tc>
      </w:tr>
    </w:tbl>
    <w:p w14:paraId="21E04DF7" w14:textId="77777777" w:rsidR="008047AE" w:rsidRPr="00D30537" w:rsidRDefault="008047AE" w:rsidP="008047AE">
      <w:pPr>
        <w:pStyle w:val="FooterTableFigure"/>
      </w:pPr>
      <w:r w:rsidRPr="00D30537">
        <w:t>Source: Compiled during evaluation using information in Tables 132 to 135, pp231 – 233 of the submission and the sensitivity analysis.</w:t>
      </w:r>
    </w:p>
    <w:p w14:paraId="09453AD1" w14:textId="77777777" w:rsidR="00CC018C" w:rsidRDefault="008047AE" w:rsidP="00CC018C">
      <w:pPr>
        <w:pStyle w:val="FooterTableFigure"/>
        <w:rPr>
          <w:i/>
          <w:szCs w:val="18"/>
        </w:rPr>
      </w:pPr>
      <w:r w:rsidRPr="00D30537">
        <w:t xml:space="preserve">HR = hazard ratio; ICER = incremental cost effectiveness ratio; LY = life year; MCC = Merkel cell carcinoma; OS = overall survival; PBAC = Pharmaceutical Benefits Advisory Committee; PF = progression free; PFS = progression free survival; PSD = public summary document; </w:t>
      </w:r>
      <w:proofErr w:type="spellStart"/>
      <w:r w:rsidRPr="00D30537">
        <w:t>ToT</w:t>
      </w:r>
      <w:proofErr w:type="spellEnd"/>
      <w:r w:rsidRPr="00D30537">
        <w:t xml:space="preserve"> = time on treatment; QALY = quality adjusted life year.</w:t>
      </w:r>
    </w:p>
    <w:p w14:paraId="5BF4E1C9" w14:textId="3B2B5AC0" w:rsidR="00CC018C" w:rsidRPr="00CC018C" w:rsidRDefault="00CC018C" w:rsidP="00CC018C">
      <w:pPr>
        <w:pStyle w:val="FooterTableFigure"/>
        <w:rPr>
          <w:i/>
        </w:rPr>
      </w:pPr>
      <w:r w:rsidRPr="00CC018C">
        <w:rPr>
          <w:i/>
        </w:rPr>
        <w:t xml:space="preserve">The redacted values correspond to the following ranges: </w:t>
      </w:r>
    </w:p>
    <w:p w14:paraId="5C86D46E" w14:textId="25857FF8" w:rsidR="00CC018C" w:rsidRPr="00CC018C" w:rsidRDefault="00CC018C" w:rsidP="00CC018C">
      <w:pPr>
        <w:pStyle w:val="FooterTableFigure"/>
        <w:rPr>
          <w:i/>
        </w:rPr>
      </w:pPr>
      <w:r w:rsidRPr="00CC018C">
        <w:rPr>
          <w:i/>
          <w:vertAlign w:val="superscript"/>
        </w:rPr>
        <w:t>1</w:t>
      </w:r>
      <w:r w:rsidRPr="00CC018C">
        <w:rPr>
          <w:i/>
        </w:rPr>
        <w:t xml:space="preserve"> </w:t>
      </w:r>
      <w:bookmarkStart w:id="67" w:name="_Hlk219126879"/>
      <w:r w:rsidR="003973A8" w:rsidRPr="003973A8">
        <w:rPr>
          <w:i/>
        </w:rPr>
        <w:t>$55,000 to &lt; $75,000</w:t>
      </w:r>
      <w:bookmarkEnd w:id="67"/>
    </w:p>
    <w:p w14:paraId="351BC064" w14:textId="3B9055D4" w:rsidR="008047AE" w:rsidRPr="00D30537" w:rsidRDefault="008047AE" w:rsidP="008047AE">
      <w:pPr>
        <w:pStyle w:val="FooterTableFigure"/>
      </w:pPr>
    </w:p>
    <w:p w14:paraId="1549876E" w14:textId="52D48040" w:rsidR="00242C37" w:rsidRPr="00D30537" w:rsidRDefault="00B21E41" w:rsidP="006E3D94">
      <w:pPr>
        <w:pStyle w:val="3-BodyText"/>
        <w:ind w:left="709"/>
      </w:pPr>
      <w:bookmarkStart w:id="68" w:name="_Ref206449531"/>
      <w:r w:rsidRPr="00D30537">
        <w:t xml:space="preserve">The submission’s base case mean </w:t>
      </w:r>
      <w:proofErr w:type="spellStart"/>
      <w:r w:rsidRPr="00D30537">
        <w:t>ToT</w:t>
      </w:r>
      <w:proofErr w:type="spellEnd"/>
      <w:r w:rsidRPr="00D30537">
        <w:t xml:space="preserve"> for avelumab was 579 days (82.4 weeks), and the modelled mean </w:t>
      </w:r>
      <w:proofErr w:type="spellStart"/>
      <w:r w:rsidRPr="00D30537">
        <w:t>ToT</w:t>
      </w:r>
      <w:proofErr w:type="spellEnd"/>
      <w:r w:rsidRPr="00D30537">
        <w:t xml:space="preserve"> for retifanlimab was 442 days (63.1 weeks)</w:t>
      </w:r>
      <w:r w:rsidR="008047AE" w:rsidRPr="00D30537">
        <w:t>.</w:t>
      </w:r>
      <w:r w:rsidR="00BA36DE" w:rsidRPr="00D30537">
        <w:t xml:space="preserve"> </w:t>
      </w:r>
      <w:r w:rsidRPr="00D30537">
        <w:t xml:space="preserve">As the retifanlimab </w:t>
      </w:r>
      <w:proofErr w:type="spellStart"/>
      <w:r w:rsidRPr="00D30537">
        <w:t>ToT</w:t>
      </w:r>
      <w:proofErr w:type="spellEnd"/>
      <w:r w:rsidRPr="00D30537">
        <w:t xml:space="preserve"> was directly proportional to the avelumab </w:t>
      </w:r>
      <w:proofErr w:type="spellStart"/>
      <w:r w:rsidRPr="00D30537">
        <w:t>ToT</w:t>
      </w:r>
      <w:proofErr w:type="spellEnd"/>
      <w:r w:rsidRPr="00D30537">
        <w:t xml:space="preserve"> (equivalent to PFS</w:t>
      </w:r>
      <w:r w:rsidR="009351DB">
        <w:t xml:space="preserve">, see paragraph </w:t>
      </w:r>
      <w:r w:rsidR="009351DB">
        <w:fldChar w:fldCharType="begin"/>
      </w:r>
      <w:r w:rsidR="009351DB">
        <w:instrText xml:space="preserve"> REF _Ref214441222 \r \h </w:instrText>
      </w:r>
      <w:r w:rsidR="009351DB">
        <w:fldChar w:fldCharType="separate"/>
      </w:r>
      <w:r w:rsidR="008D62D0">
        <w:t>6.43</w:t>
      </w:r>
      <w:r w:rsidR="009351DB">
        <w:fldChar w:fldCharType="end"/>
      </w:r>
      <w:r w:rsidRPr="00D30537">
        <w:t xml:space="preserve">), a shorter median </w:t>
      </w:r>
      <w:proofErr w:type="spellStart"/>
      <w:r w:rsidRPr="00D30537">
        <w:t>ToT</w:t>
      </w:r>
      <w:proofErr w:type="spellEnd"/>
      <w:r w:rsidRPr="00D30537">
        <w:t xml:space="preserve"> (and PFS) for avelumab was favourable to retifanlimab due to reduced retifanlimab drug costs in the first two years of the model. Conversely, as retifanlimab treatment is capped at two years, a longer mean </w:t>
      </w:r>
      <w:proofErr w:type="spellStart"/>
      <w:r w:rsidRPr="00D30537">
        <w:t>ToT</w:t>
      </w:r>
      <w:proofErr w:type="spellEnd"/>
      <w:r w:rsidRPr="00D30537">
        <w:t xml:space="preserve"> for avelumab favours retifanlimab, as drug costs for avelumab continue to accrue beyond two years.</w:t>
      </w:r>
      <w:r w:rsidR="00242C37" w:rsidRPr="00D30537">
        <w:t xml:space="preserve"> In addition, mean avelumab </w:t>
      </w:r>
      <w:proofErr w:type="spellStart"/>
      <w:r w:rsidR="00242C37" w:rsidRPr="00D30537">
        <w:t>ToT</w:t>
      </w:r>
      <w:proofErr w:type="spellEnd"/>
      <w:r w:rsidR="00242C37" w:rsidRPr="00D30537">
        <w:t xml:space="preserve"> was proportional to the selected time horizon due to the long right tail of continuing patients in the PF state. For example, reducing the time horizon to five years reduced the mean avelumab </w:t>
      </w:r>
      <w:proofErr w:type="spellStart"/>
      <w:r w:rsidR="00242C37" w:rsidRPr="00D30537">
        <w:t>ToT</w:t>
      </w:r>
      <w:proofErr w:type="spellEnd"/>
      <w:r w:rsidR="00242C37" w:rsidRPr="00D30537">
        <w:t xml:space="preserve"> from 1.58 to 1.27 years.</w:t>
      </w:r>
      <w:bookmarkEnd w:id="68"/>
      <w:r w:rsidR="00242C37" w:rsidRPr="00D30537">
        <w:t xml:space="preserve"> </w:t>
      </w:r>
    </w:p>
    <w:p w14:paraId="203F1F6E" w14:textId="333A854D" w:rsidR="008047AE" w:rsidRPr="00D30537" w:rsidRDefault="008047AE" w:rsidP="006E3D94">
      <w:pPr>
        <w:pStyle w:val="3-BodyText"/>
        <w:ind w:left="709"/>
        <w:rPr>
          <w:color w:val="000000" w:themeColor="text1"/>
        </w:rPr>
      </w:pPr>
      <w:r w:rsidRPr="00D30537">
        <w:t>The results of the stepped economic evaluation</w:t>
      </w:r>
      <w:r w:rsidR="00025139" w:rsidRPr="00D30537">
        <w:t xml:space="preserve"> for the submission</w:t>
      </w:r>
      <w:r w:rsidR="008C11E3" w:rsidRPr="00D30537">
        <w:t>’</w:t>
      </w:r>
      <w:r w:rsidR="00025139" w:rsidRPr="00D30537">
        <w:t>s CUA</w:t>
      </w:r>
      <w:r w:rsidRPr="00D30537">
        <w:t xml:space="preserve"> are summarised</w:t>
      </w:r>
      <w:r w:rsidRPr="00D30537">
        <w:rPr>
          <w:color w:val="000000" w:themeColor="text1"/>
        </w:rPr>
        <w:t xml:space="preserve"> in </w:t>
      </w:r>
      <w:r w:rsidRPr="00D30537">
        <w:rPr>
          <w:color w:val="000000" w:themeColor="text1"/>
        </w:rPr>
        <w:fldChar w:fldCharType="begin"/>
      </w:r>
      <w:r w:rsidRPr="00D30537">
        <w:rPr>
          <w:color w:val="000000" w:themeColor="text1"/>
        </w:rPr>
        <w:instrText xml:space="preserve"> REF _Ref104805160 \h </w:instrText>
      </w:r>
      <w:r w:rsidR="009B400D" w:rsidRPr="00D30537">
        <w:rPr>
          <w:color w:val="000000" w:themeColor="text1"/>
        </w:rPr>
        <w:instrText xml:space="preserve"> \* MERGEFORMAT </w:instrText>
      </w:r>
      <w:r w:rsidRPr="00D30537">
        <w:rPr>
          <w:color w:val="000000" w:themeColor="text1"/>
        </w:rPr>
      </w:r>
      <w:r w:rsidRPr="00D30537">
        <w:rPr>
          <w:color w:val="000000" w:themeColor="text1"/>
        </w:rPr>
        <w:fldChar w:fldCharType="separate"/>
      </w:r>
      <w:r w:rsidR="00652388" w:rsidRPr="00D30537">
        <w:t xml:space="preserve">Table </w:t>
      </w:r>
      <w:r w:rsidR="00652388">
        <w:t>12</w:t>
      </w:r>
      <w:r w:rsidRPr="00D30537">
        <w:rPr>
          <w:color w:val="000000" w:themeColor="text1"/>
        </w:rPr>
        <w:fldChar w:fldCharType="end"/>
      </w:r>
      <w:r w:rsidRPr="00D30537">
        <w:rPr>
          <w:color w:val="000000" w:themeColor="text1"/>
        </w:rPr>
        <w:t xml:space="preserve">. A base case </w:t>
      </w:r>
      <w:r w:rsidR="00433AF3" w:rsidRPr="00D30537">
        <w:rPr>
          <w:color w:val="000000" w:themeColor="text1"/>
        </w:rPr>
        <w:t>incremental cost effectiveness ratio (I</w:t>
      </w:r>
      <w:r w:rsidRPr="00D30537">
        <w:rPr>
          <w:color w:val="000000" w:themeColor="text1"/>
        </w:rPr>
        <w:t>CER</w:t>
      </w:r>
      <w:r w:rsidR="00433AF3" w:rsidRPr="00D30537">
        <w:rPr>
          <w:color w:val="000000" w:themeColor="text1"/>
        </w:rPr>
        <w:t>)</w:t>
      </w:r>
      <w:r w:rsidRPr="00D30537">
        <w:rPr>
          <w:color w:val="000000" w:themeColor="text1"/>
        </w:rPr>
        <w:t xml:space="preserve"> of </w:t>
      </w:r>
      <w:r w:rsidR="00ED3BCF" w:rsidRPr="00ED3BCF">
        <w:rPr>
          <w:color w:val="000000" w:themeColor="text1"/>
        </w:rPr>
        <w:t>$55,000 to &lt; $75,000</w:t>
      </w:r>
      <w:r w:rsidRPr="00D30537">
        <w:rPr>
          <w:color w:val="000000" w:themeColor="text1"/>
        </w:rPr>
        <w:t xml:space="preserve"> per QALY was estimated for retifanlimab versus avelumab in patients with metastatic MCC. </w:t>
      </w:r>
    </w:p>
    <w:p w14:paraId="30A5804D" w14:textId="3084A5F5" w:rsidR="008047AE" w:rsidRPr="00D30537" w:rsidRDefault="008047AE" w:rsidP="008047AE">
      <w:pPr>
        <w:pStyle w:val="TableFigureHeading"/>
      </w:pPr>
      <w:bookmarkStart w:id="69" w:name="_Ref104805160"/>
      <w:r w:rsidRPr="00D30537">
        <w:lastRenderedPageBreak/>
        <w:t xml:space="preserve">Table </w:t>
      </w:r>
      <w:fldSimple w:instr=" SEQ Table \* ARABIC ">
        <w:r w:rsidR="00652388">
          <w:rPr>
            <w:noProof/>
          </w:rPr>
          <w:t>12</w:t>
        </w:r>
      </w:fldSimple>
      <w:bookmarkEnd w:id="69"/>
      <w:r w:rsidRPr="00D30537">
        <w:t>:</w:t>
      </w:r>
      <w:r w:rsidRPr="00D30537">
        <w:rPr>
          <w:rStyle w:val="CommentReference"/>
          <w:b/>
          <w:szCs w:val="24"/>
        </w:rPr>
        <w:t xml:space="preserve"> Results of the stepped economic evaluation</w:t>
      </w:r>
      <w:r w:rsidR="00612134">
        <w:rPr>
          <w:rStyle w:val="CommentReference"/>
          <w:b/>
          <w:szCs w:val="24"/>
        </w:rPr>
        <w:t xml:space="preserve"> (based on published price of avelumab)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based on published price of avelumab)"/>
      </w:tblPr>
      <w:tblGrid>
        <w:gridCol w:w="2757"/>
        <w:gridCol w:w="2451"/>
        <w:gridCol w:w="2298"/>
        <w:gridCol w:w="1511"/>
      </w:tblGrid>
      <w:tr w:rsidR="008047AE" w:rsidRPr="00D30537" w14:paraId="709A6054" w14:textId="77777777" w:rsidTr="00653B48">
        <w:trPr>
          <w:tblHeader/>
        </w:trPr>
        <w:tc>
          <w:tcPr>
            <w:tcW w:w="1529" w:type="pct"/>
            <w:vAlign w:val="center"/>
          </w:tcPr>
          <w:p w14:paraId="5837CC6F"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and component</w:t>
            </w:r>
          </w:p>
        </w:tc>
        <w:tc>
          <w:tcPr>
            <w:tcW w:w="1359" w:type="pct"/>
            <w:vAlign w:val="center"/>
          </w:tcPr>
          <w:p w14:paraId="6FAA9C95"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Proposed medicine</w:t>
            </w:r>
          </w:p>
        </w:tc>
        <w:tc>
          <w:tcPr>
            <w:tcW w:w="1274" w:type="pct"/>
            <w:vAlign w:val="center"/>
          </w:tcPr>
          <w:p w14:paraId="7F45ED4C"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Comparator</w:t>
            </w:r>
          </w:p>
        </w:tc>
        <w:tc>
          <w:tcPr>
            <w:tcW w:w="838" w:type="pct"/>
            <w:vAlign w:val="center"/>
          </w:tcPr>
          <w:p w14:paraId="38AD6F7A" w14:textId="77777777" w:rsidR="008047AE" w:rsidRPr="00D30537" w:rsidRDefault="008047AE" w:rsidP="00653B48">
            <w:pPr>
              <w:keepNext/>
              <w:keepLines/>
              <w:jc w:val="center"/>
              <w:rPr>
                <w:rFonts w:ascii="Arial Narrow" w:hAnsi="Arial Narrow"/>
                <w:b/>
                <w:bCs/>
                <w:sz w:val="20"/>
                <w:szCs w:val="20"/>
              </w:rPr>
            </w:pPr>
            <w:r w:rsidRPr="00D30537">
              <w:rPr>
                <w:rFonts w:ascii="Arial Narrow" w:hAnsi="Arial Narrow"/>
                <w:b/>
                <w:bCs/>
                <w:sz w:val="20"/>
                <w:szCs w:val="20"/>
              </w:rPr>
              <w:t>Increment</w:t>
            </w:r>
          </w:p>
        </w:tc>
      </w:tr>
      <w:tr w:rsidR="008047AE" w:rsidRPr="00D30537" w14:paraId="3DB9D176" w14:textId="77777777" w:rsidTr="00653B48">
        <w:tc>
          <w:tcPr>
            <w:tcW w:w="5000" w:type="pct"/>
            <w:gridSpan w:val="4"/>
            <w:vAlign w:val="center"/>
          </w:tcPr>
          <w:p w14:paraId="6D6E5B84"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1: Trial-based costs and outcomes</w:t>
            </w:r>
          </w:p>
        </w:tc>
      </w:tr>
      <w:tr w:rsidR="008047AE" w:rsidRPr="00D30537" w14:paraId="69DE7F83" w14:textId="77777777" w:rsidTr="00653B48">
        <w:tc>
          <w:tcPr>
            <w:tcW w:w="1529" w:type="pct"/>
            <w:vAlign w:val="center"/>
          </w:tcPr>
          <w:p w14:paraId="1CA5751C"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vAlign w:val="center"/>
          </w:tcPr>
          <w:p w14:paraId="128A7377" w14:textId="4457ED4E"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4" w:type="pct"/>
            <w:vAlign w:val="center"/>
          </w:tcPr>
          <w:p w14:paraId="647C49DC"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$153,571</w:t>
            </w:r>
          </w:p>
        </w:tc>
        <w:tc>
          <w:tcPr>
            <w:tcW w:w="838" w:type="pct"/>
            <w:vAlign w:val="center"/>
          </w:tcPr>
          <w:p w14:paraId="0F2A6E84" w14:textId="7FA0CE51"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6D74E240" w14:textId="77777777" w:rsidTr="00653B48">
        <w:tc>
          <w:tcPr>
            <w:tcW w:w="1529" w:type="pct"/>
            <w:vAlign w:val="center"/>
          </w:tcPr>
          <w:p w14:paraId="17CEC25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PFLY</w:t>
            </w:r>
          </w:p>
        </w:tc>
        <w:tc>
          <w:tcPr>
            <w:tcW w:w="1359" w:type="pct"/>
            <w:vAlign w:val="center"/>
          </w:tcPr>
          <w:p w14:paraId="720195A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1.542</w:t>
            </w:r>
          </w:p>
        </w:tc>
        <w:tc>
          <w:tcPr>
            <w:tcW w:w="1274" w:type="pct"/>
            <w:vAlign w:val="center"/>
          </w:tcPr>
          <w:p w14:paraId="41D848DE"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0.899</w:t>
            </w:r>
          </w:p>
        </w:tc>
        <w:tc>
          <w:tcPr>
            <w:tcW w:w="838" w:type="pct"/>
          </w:tcPr>
          <w:p w14:paraId="217054E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0.643</w:t>
            </w:r>
          </w:p>
        </w:tc>
      </w:tr>
      <w:tr w:rsidR="008047AE" w:rsidRPr="00D30537" w14:paraId="36DCE850" w14:textId="77777777" w:rsidTr="00653B48">
        <w:tc>
          <w:tcPr>
            <w:tcW w:w="1529" w:type="pct"/>
            <w:vAlign w:val="center"/>
          </w:tcPr>
          <w:p w14:paraId="38189907"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vAlign w:val="center"/>
          </w:tcPr>
          <w:p w14:paraId="22B36B0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2.015</w:t>
            </w:r>
          </w:p>
        </w:tc>
        <w:tc>
          <w:tcPr>
            <w:tcW w:w="1274" w:type="pct"/>
            <w:vAlign w:val="center"/>
          </w:tcPr>
          <w:p w14:paraId="581E8C7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1.722</w:t>
            </w:r>
          </w:p>
        </w:tc>
        <w:tc>
          <w:tcPr>
            <w:tcW w:w="838" w:type="pct"/>
          </w:tcPr>
          <w:p w14:paraId="26FF9AA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0.293</w:t>
            </w:r>
          </w:p>
        </w:tc>
      </w:tr>
      <w:tr w:rsidR="008047AE" w:rsidRPr="00D30537" w14:paraId="45D81325" w14:textId="77777777" w:rsidTr="00653B48">
        <w:tc>
          <w:tcPr>
            <w:tcW w:w="4162" w:type="pct"/>
            <w:gridSpan w:val="3"/>
            <w:vAlign w:val="center"/>
          </w:tcPr>
          <w:p w14:paraId="53C91144" w14:textId="76788BA0"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LY gained</w:t>
            </w:r>
          </w:p>
        </w:tc>
        <w:tc>
          <w:tcPr>
            <w:tcW w:w="838" w:type="pct"/>
            <w:vAlign w:val="center"/>
          </w:tcPr>
          <w:p w14:paraId="63A82D20" w14:textId="4AC84A27" w:rsidR="008047AE" w:rsidRPr="007F6A45"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7F6A45">
              <w:rPr>
                <w:rFonts w:ascii="Arial Narrow" w:hAnsi="Arial Narrow"/>
                <w:sz w:val="20"/>
                <w:szCs w:val="20"/>
                <w:vertAlign w:val="superscript"/>
              </w:rPr>
              <w:t>1</w:t>
            </w:r>
          </w:p>
        </w:tc>
      </w:tr>
      <w:tr w:rsidR="008047AE" w:rsidRPr="00D30537" w14:paraId="34FC5D22" w14:textId="77777777" w:rsidTr="00653B48">
        <w:tc>
          <w:tcPr>
            <w:tcW w:w="5000" w:type="pct"/>
            <w:gridSpan w:val="4"/>
            <w:vAlign w:val="center"/>
          </w:tcPr>
          <w:p w14:paraId="0D634936"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2: Translation of survival outcomes to QALYs</w:t>
            </w:r>
          </w:p>
        </w:tc>
      </w:tr>
      <w:tr w:rsidR="008047AE" w:rsidRPr="00D30537" w14:paraId="739534F1" w14:textId="77777777" w:rsidTr="00653B48">
        <w:tc>
          <w:tcPr>
            <w:tcW w:w="1529" w:type="pct"/>
            <w:vAlign w:val="center"/>
          </w:tcPr>
          <w:p w14:paraId="508DA3E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vAlign w:val="center"/>
          </w:tcPr>
          <w:p w14:paraId="64D520B1" w14:textId="0427B6E4"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4" w:type="pct"/>
            <w:vAlign w:val="center"/>
          </w:tcPr>
          <w:p w14:paraId="5F540F5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$153,571</w:t>
            </w:r>
          </w:p>
        </w:tc>
        <w:tc>
          <w:tcPr>
            <w:tcW w:w="838" w:type="pct"/>
            <w:vAlign w:val="center"/>
          </w:tcPr>
          <w:p w14:paraId="36DDBC7F" w14:textId="51149D2E"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769F7BC4" w14:textId="77777777" w:rsidTr="00653B48">
        <w:tc>
          <w:tcPr>
            <w:tcW w:w="1529" w:type="pct"/>
            <w:vAlign w:val="center"/>
          </w:tcPr>
          <w:p w14:paraId="3E1CF577"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QALY</w:t>
            </w:r>
          </w:p>
        </w:tc>
        <w:tc>
          <w:tcPr>
            <w:tcW w:w="1359" w:type="pct"/>
            <w:vAlign w:val="center"/>
          </w:tcPr>
          <w:p w14:paraId="7801B01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1.564</w:t>
            </w:r>
          </w:p>
        </w:tc>
        <w:tc>
          <w:tcPr>
            <w:tcW w:w="1274" w:type="pct"/>
            <w:vAlign w:val="center"/>
          </w:tcPr>
          <w:p w14:paraId="73CC7435"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1.257</w:t>
            </w:r>
          </w:p>
        </w:tc>
        <w:tc>
          <w:tcPr>
            <w:tcW w:w="838" w:type="pct"/>
          </w:tcPr>
          <w:p w14:paraId="0593152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0.307</w:t>
            </w:r>
          </w:p>
        </w:tc>
      </w:tr>
      <w:tr w:rsidR="008047AE" w:rsidRPr="00D30537" w14:paraId="7D14135D" w14:textId="77777777" w:rsidTr="00653B48">
        <w:tc>
          <w:tcPr>
            <w:tcW w:w="1529" w:type="pct"/>
            <w:vAlign w:val="center"/>
          </w:tcPr>
          <w:p w14:paraId="5F5BFF0B"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vAlign w:val="center"/>
          </w:tcPr>
          <w:p w14:paraId="6754381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2.015</w:t>
            </w:r>
          </w:p>
        </w:tc>
        <w:tc>
          <w:tcPr>
            <w:tcW w:w="1274" w:type="pct"/>
            <w:vAlign w:val="center"/>
          </w:tcPr>
          <w:p w14:paraId="24F998B0"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1.722</w:t>
            </w:r>
          </w:p>
        </w:tc>
        <w:tc>
          <w:tcPr>
            <w:tcW w:w="838" w:type="pct"/>
          </w:tcPr>
          <w:p w14:paraId="16635DD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0.293</w:t>
            </w:r>
          </w:p>
        </w:tc>
      </w:tr>
      <w:tr w:rsidR="008047AE" w:rsidRPr="00D30537" w14:paraId="4B8E5AE1" w14:textId="77777777" w:rsidTr="00653B48">
        <w:tc>
          <w:tcPr>
            <w:tcW w:w="4162" w:type="pct"/>
            <w:gridSpan w:val="3"/>
            <w:vAlign w:val="center"/>
          </w:tcPr>
          <w:p w14:paraId="0637C635"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QALY gained</w:t>
            </w:r>
          </w:p>
        </w:tc>
        <w:tc>
          <w:tcPr>
            <w:tcW w:w="838" w:type="pct"/>
            <w:vAlign w:val="center"/>
          </w:tcPr>
          <w:p w14:paraId="24BB96A1" w14:textId="6750E422" w:rsidR="008047AE" w:rsidRPr="007F6A45"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7F6A45">
              <w:rPr>
                <w:rFonts w:ascii="Arial Narrow" w:hAnsi="Arial Narrow"/>
                <w:sz w:val="20"/>
                <w:szCs w:val="20"/>
                <w:vertAlign w:val="superscript"/>
              </w:rPr>
              <w:t>1</w:t>
            </w:r>
          </w:p>
        </w:tc>
      </w:tr>
      <w:tr w:rsidR="008047AE" w:rsidRPr="00D30537" w14:paraId="781A7BCB" w14:textId="77777777" w:rsidTr="00653B48">
        <w:tc>
          <w:tcPr>
            <w:tcW w:w="5000" w:type="pct"/>
            <w:gridSpan w:val="4"/>
            <w:vAlign w:val="center"/>
          </w:tcPr>
          <w:p w14:paraId="2F415304"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3: Extrapolation of survival outcomes over the 7.5-year time horizon</w:t>
            </w:r>
          </w:p>
        </w:tc>
      </w:tr>
      <w:tr w:rsidR="008047AE" w:rsidRPr="00D30537" w14:paraId="69FDD1B8" w14:textId="77777777" w:rsidTr="00653B48">
        <w:tc>
          <w:tcPr>
            <w:tcW w:w="1529" w:type="pct"/>
            <w:vAlign w:val="center"/>
          </w:tcPr>
          <w:p w14:paraId="2B0C158E"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tcBorders>
              <w:top w:val="single" w:sz="4" w:space="0" w:color="auto"/>
              <w:left w:val="nil"/>
              <w:bottom w:val="single" w:sz="4" w:space="0" w:color="auto"/>
              <w:right w:val="single" w:sz="4" w:space="0" w:color="auto"/>
            </w:tcBorders>
            <w:vAlign w:val="bottom"/>
          </w:tcPr>
          <w:p w14:paraId="09A3B757" w14:textId="119D8676"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4" w:type="pct"/>
            <w:tcBorders>
              <w:top w:val="single" w:sz="4" w:space="0" w:color="auto"/>
              <w:left w:val="single" w:sz="4" w:space="0" w:color="auto"/>
              <w:bottom w:val="single" w:sz="4" w:space="0" w:color="auto"/>
              <w:right w:val="nil"/>
            </w:tcBorders>
            <w:vAlign w:val="bottom"/>
          </w:tcPr>
          <w:p w14:paraId="68BD3468"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$231,115</w:t>
            </w:r>
          </w:p>
        </w:tc>
        <w:tc>
          <w:tcPr>
            <w:tcW w:w="838" w:type="pct"/>
            <w:vAlign w:val="center"/>
          </w:tcPr>
          <w:p w14:paraId="3D9075A3" w14:textId="13E11F69"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5F4428E5" w14:textId="77777777" w:rsidTr="00653B48">
        <w:tc>
          <w:tcPr>
            <w:tcW w:w="1529" w:type="pct"/>
            <w:tcBorders>
              <w:top w:val="single" w:sz="4" w:space="0" w:color="auto"/>
            </w:tcBorders>
            <w:vAlign w:val="center"/>
          </w:tcPr>
          <w:p w14:paraId="4963621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QALY</w:t>
            </w:r>
          </w:p>
        </w:tc>
        <w:tc>
          <w:tcPr>
            <w:tcW w:w="1359" w:type="pct"/>
            <w:tcBorders>
              <w:top w:val="single" w:sz="4" w:space="0" w:color="auto"/>
              <w:left w:val="nil"/>
              <w:bottom w:val="single" w:sz="4" w:space="0" w:color="auto"/>
              <w:right w:val="single" w:sz="4" w:space="0" w:color="auto"/>
            </w:tcBorders>
            <w:vAlign w:val="bottom"/>
          </w:tcPr>
          <w:p w14:paraId="04B651C4"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2.927</w:t>
            </w:r>
          </w:p>
        </w:tc>
        <w:tc>
          <w:tcPr>
            <w:tcW w:w="1274" w:type="pct"/>
            <w:tcBorders>
              <w:top w:val="single" w:sz="4" w:space="0" w:color="auto"/>
              <w:left w:val="single" w:sz="4" w:space="0" w:color="auto"/>
              <w:bottom w:val="single" w:sz="4" w:space="0" w:color="auto"/>
              <w:right w:val="nil"/>
            </w:tcBorders>
            <w:vAlign w:val="bottom"/>
          </w:tcPr>
          <w:p w14:paraId="616B7E07"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2.201</w:t>
            </w:r>
          </w:p>
        </w:tc>
        <w:tc>
          <w:tcPr>
            <w:tcW w:w="838" w:type="pct"/>
          </w:tcPr>
          <w:p w14:paraId="73CECABA"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0.725</w:t>
            </w:r>
          </w:p>
        </w:tc>
      </w:tr>
      <w:tr w:rsidR="008047AE" w:rsidRPr="00D30537" w14:paraId="4C73339C" w14:textId="77777777" w:rsidTr="00653B48">
        <w:tc>
          <w:tcPr>
            <w:tcW w:w="1529" w:type="pct"/>
            <w:vAlign w:val="center"/>
          </w:tcPr>
          <w:p w14:paraId="54E1C59D"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tcBorders>
              <w:top w:val="single" w:sz="4" w:space="0" w:color="auto"/>
              <w:left w:val="nil"/>
              <w:bottom w:val="single" w:sz="4" w:space="0" w:color="auto"/>
              <w:right w:val="single" w:sz="4" w:space="0" w:color="auto"/>
            </w:tcBorders>
            <w:vAlign w:val="bottom"/>
          </w:tcPr>
          <w:p w14:paraId="7466EB8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3.707</w:t>
            </w:r>
          </w:p>
        </w:tc>
        <w:tc>
          <w:tcPr>
            <w:tcW w:w="1274" w:type="pct"/>
            <w:tcBorders>
              <w:top w:val="single" w:sz="4" w:space="0" w:color="auto"/>
              <w:left w:val="single" w:sz="4" w:space="0" w:color="auto"/>
              <w:bottom w:val="single" w:sz="4" w:space="0" w:color="auto"/>
              <w:right w:val="nil"/>
            </w:tcBorders>
            <w:vAlign w:val="bottom"/>
          </w:tcPr>
          <w:p w14:paraId="2B659B0B"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2.939</w:t>
            </w:r>
          </w:p>
        </w:tc>
        <w:tc>
          <w:tcPr>
            <w:tcW w:w="838" w:type="pct"/>
          </w:tcPr>
          <w:p w14:paraId="73F9AD1D"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0.768</w:t>
            </w:r>
          </w:p>
        </w:tc>
      </w:tr>
      <w:tr w:rsidR="008047AE" w:rsidRPr="00D30537" w14:paraId="0083B184" w14:textId="77777777" w:rsidTr="00653B48">
        <w:tc>
          <w:tcPr>
            <w:tcW w:w="4162" w:type="pct"/>
            <w:gridSpan w:val="3"/>
            <w:vAlign w:val="center"/>
          </w:tcPr>
          <w:p w14:paraId="7A8FCE18"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QALY gained</w:t>
            </w:r>
          </w:p>
        </w:tc>
        <w:tc>
          <w:tcPr>
            <w:tcW w:w="838" w:type="pct"/>
            <w:vAlign w:val="center"/>
          </w:tcPr>
          <w:p w14:paraId="79E27A88" w14:textId="1CAE79E9" w:rsidR="008047AE" w:rsidRPr="00CB03B1"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CB03B1">
              <w:rPr>
                <w:rFonts w:ascii="Arial Narrow" w:hAnsi="Arial Narrow"/>
                <w:sz w:val="20"/>
                <w:szCs w:val="20"/>
                <w:vertAlign w:val="superscript"/>
              </w:rPr>
              <w:t>2</w:t>
            </w:r>
          </w:p>
        </w:tc>
      </w:tr>
      <w:tr w:rsidR="008047AE" w:rsidRPr="00D30537" w14:paraId="768A094A" w14:textId="77777777" w:rsidTr="00653B48">
        <w:tc>
          <w:tcPr>
            <w:tcW w:w="5000" w:type="pct"/>
            <w:gridSpan w:val="4"/>
            <w:vAlign w:val="center"/>
          </w:tcPr>
          <w:p w14:paraId="573DBD0A" w14:textId="77777777" w:rsidR="008047AE" w:rsidRPr="00D30537" w:rsidRDefault="008047AE" w:rsidP="00653B48">
            <w:pPr>
              <w:keepNext/>
              <w:keepLines/>
              <w:rPr>
                <w:rFonts w:ascii="Arial Narrow" w:hAnsi="Arial Narrow"/>
                <w:b/>
                <w:bCs/>
                <w:sz w:val="20"/>
                <w:szCs w:val="20"/>
              </w:rPr>
            </w:pPr>
            <w:r w:rsidRPr="00D30537">
              <w:rPr>
                <w:rFonts w:ascii="Arial Narrow" w:hAnsi="Arial Narrow"/>
                <w:b/>
                <w:bCs/>
                <w:sz w:val="20"/>
                <w:szCs w:val="20"/>
              </w:rPr>
              <w:t>Step 4: Inclusion of other healthcare resource use</w:t>
            </w:r>
          </w:p>
        </w:tc>
      </w:tr>
      <w:tr w:rsidR="008047AE" w:rsidRPr="00D30537" w14:paraId="15423B60" w14:textId="77777777" w:rsidTr="00653B48">
        <w:tc>
          <w:tcPr>
            <w:tcW w:w="1529" w:type="pct"/>
            <w:vAlign w:val="center"/>
          </w:tcPr>
          <w:p w14:paraId="28934D53"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Costs</w:t>
            </w:r>
          </w:p>
        </w:tc>
        <w:tc>
          <w:tcPr>
            <w:tcW w:w="1359" w:type="pct"/>
            <w:tcBorders>
              <w:top w:val="single" w:sz="4" w:space="0" w:color="auto"/>
              <w:left w:val="nil"/>
              <w:bottom w:val="single" w:sz="4" w:space="0" w:color="auto"/>
              <w:right w:val="single" w:sz="4" w:space="0" w:color="auto"/>
            </w:tcBorders>
            <w:vAlign w:val="bottom"/>
          </w:tcPr>
          <w:p w14:paraId="360A434B" w14:textId="2C1A9048"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4" w:type="pct"/>
            <w:tcBorders>
              <w:top w:val="single" w:sz="4" w:space="0" w:color="auto"/>
              <w:left w:val="single" w:sz="4" w:space="0" w:color="auto"/>
              <w:bottom w:val="single" w:sz="4" w:space="0" w:color="auto"/>
              <w:right w:val="nil"/>
            </w:tcBorders>
            <w:vAlign w:val="bottom"/>
          </w:tcPr>
          <w:p w14:paraId="42C45B6E"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$260,076</w:t>
            </w:r>
          </w:p>
        </w:tc>
        <w:tc>
          <w:tcPr>
            <w:tcW w:w="838" w:type="pct"/>
            <w:vAlign w:val="center"/>
          </w:tcPr>
          <w:p w14:paraId="01F453DF" w14:textId="228DCAA8"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r>
      <w:tr w:rsidR="008047AE" w:rsidRPr="00D30537" w14:paraId="754AFBAE" w14:textId="77777777" w:rsidTr="00653B48">
        <w:tc>
          <w:tcPr>
            <w:tcW w:w="1529" w:type="pct"/>
            <w:tcBorders>
              <w:top w:val="single" w:sz="4" w:space="0" w:color="auto"/>
            </w:tcBorders>
            <w:vAlign w:val="center"/>
          </w:tcPr>
          <w:p w14:paraId="28EC8F8C"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QALY</w:t>
            </w:r>
          </w:p>
        </w:tc>
        <w:tc>
          <w:tcPr>
            <w:tcW w:w="1359" w:type="pct"/>
            <w:tcBorders>
              <w:top w:val="single" w:sz="4" w:space="0" w:color="auto"/>
              <w:left w:val="nil"/>
              <w:bottom w:val="single" w:sz="4" w:space="0" w:color="auto"/>
              <w:right w:val="single" w:sz="4" w:space="0" w:color="auto"/>
            </w:tcBorders>
            <w:vAlign w:val="bottom"/>
          </w:tcPr>
          <w:p w14:paraId="164BA4C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2.927</w:t>
            </w:r>
          </w:p>
        </w:tc>
        <w:tc>
          <w:tcPr>
            <w:tcW w:w="1274" w:type="pct"/>
            <w:tcBorders>
              <w:top w:val="single" w:sz="4" w:space="0" w:color="auto"/>
              <w:left w:val="single" w:sz="4" w:space="0" w:color="auto"/>
              <w:bottom w:val="single" w:sz="4" w:space="0" w:color="auto"/>
              <w:right w:val="nil"/>
            </w:tcBorders>
            <w:vAlign w:val="bottom"/>
          </w:tcPr>
          <w:p w14:paraId="6EFD6BF6"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2.201</w:t>
            </w:r>
          </w:p>
        </w:tc>
        <w:tc>
          <w:tcPr>
            <w:tcW w:w="838" w:type="pct"/>
          </w:tcPr>
          <w:p w14:paraId="0B23BE5F"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0.725</w:t>
            </w:r>
          </w:p>
        </w:tc>
      </w:tr>
      <w:tr w:rsidR="008047AE" w:rsidRPr="00D30537" w14:paraId="7457B943" w14:textId="77777777" w:rsidTr="00653B48">
        <w:tc>
          <w:tcPr>
            <w:tcW w:w="1529" w:type="pct"/>
            <w:vAlign w:val="center"/>
          </w:tcPr>
          <w:p w14:paraId="58A632C1"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LYG</w:t>
            </w:r>
          </w:p>
        </w:tc>
        <w:tc>
          <w:tcPr>
            <w:tcW w:w="1359" w:type="pct"/>
            <w:tcBorders>
              <w:top w:val="single" w:sz="4" w:space="0" w:color="auto"/>
              <w:left w:val="nil"/>
              <w:bottom w:val="single" w:sz="4" w:space="0" w:color="auto"/>
              <w:right w:val="single" w:sz="4" w:space="0" w:color="auto"/>
            </w:tcBorders>
            <w:vAlign w:val="bottom"/>
          </w:tcPr>
          <w:p w14:paraId="7AF5E95B"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3.707</w:t>
            </w:r>
          </w:p>
        </w:tc>
        <w:tc>
          <w:tcPr>
            <w:tcW w:w="1274" w:type="pct"/>
            <w:tcBorders>
              <w:top w:val="single" w:sz="4" w:space="0" w:color="auto"/>
              <w:left w:val="single" w:sz="4" w:space="0" w:color="auto"/>
              <w:bottom w:val="single" w:sz="4" w:space="0" w:color="auto"/>
              <w:right w:val="nil"/>
            </w:tcBorders>
            <w:vAlign w:val="bottom"/>
          </w:tcPr>
          <w:p w14:paraId="470640B1"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color w:val="000000"/>
                <w:sz w:val="20"/>
                <w:szCs w:val="20"/>
              </w:rPr>
              <w:t>2.939</w:t>
            </w:r>
          </w:p>
        </w:tc>
        <w:tc>
          <w:tcPr>
            <w:tcW w:w="838" w:type="pct"/>
          </w:tcPr>
          <w:p w14:paraId="55ECB139" w14:textId="77777777" w:rsidR="008047AE" w:rsidRPr="00D30537" w:rsidRDefault="008047AE" w:rsidP="00653B48">
            <w:pPr>
              <w:keepNext/>
              <w:keepLines/>
              <w:jc w:val="center"/>
              <w:rPr>
                <w:rFonts w:ascii="Arial Narrow" w:hAnsi="Arial Narrow"/>
                <w:sz w:val="20"/>
                <w:szCs w:val="20"/>
              </w:rPr>
            </w:pPr>
            <w:r w:rsidRPr="00D30537">
              <w:rPr>
                <w:rFonts w:ascii="Arial Narrow" w:hAnsi="Arial Narrow"/>
                <w:sz w:val="20"/>
                <w:szCs w:val="20"/>
              </w:rPr>
              <w:t>0.768</w:t>
            </w:r>
          </w:p>
        </w:tc>
      </w:tr>
      <w:tr w:rsidR="008047AE" w:rsidRPr="00D30537" w14:paraId="58B43817" w14:textId="77777777" w:rsidTr="00653B48">
        <w:tc>
          <w:tcPr>
            <w:tcW w:w="4162" w:type="pct"/>
            <w:gridSpan w:val="3"/>
            <w:vAlign w:val="center"/>
          </w:tcPr>
          <w:p w14:paraId="646B2C35" w14:textId="77777777" w:rsidR="008047AE" w:rsidRPr="00D30537" w:rsidRDefault="008047AE" w:rsidP="00653B48">
            <w:pPr>
              <w:keepNext/>
              <w:keepLines/>
              <w:rPr>
                <w:rFonts w:ascii="Arial Narrow" w:hAnsi="Arial Narrow"/>
                <w:sz w:val="20"/>
                <w:szCs w:val="20"/>
              </w:rPr>
            </w:pPr>
            <w:r w:rsidRPr="00D30537">
              <w:rPr>
                <w:rFonts w:ascii="Arial Narrow" w:hAnsi="Arial Narrow"/>
                <w:sz w:val="20"/>
                <w:szCs w:val="20"/>
              </w:rPr>
              <w:t>Incremental cost/extra QALY gained</w:t>
            </w:r>
          </w:p>
        </w:tc>
        <w:tc>
          <w:tcPr>
            <w:tcW w:w="838" w:type="pct"/>
            <w:vAlign w:val="center"/>
          </w:tcPr>
          <w:p w14:paraId="7E8BEA9B" w14:textId="1D4A7EE2" w:rsidR="008047AE" w:rsidRPr="00024BBA" w:rsidRDefault="008047AE" w:rsidP="00653B48">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024BBA">
              <w:rPr>
                <w:rFonts w:ascii="Arial Narrow" w:hAnsi="Arial Narrow"/>
                <w:sz w:val="20"/>
                <w:szCs w:val="20"/>
                <w:vertAlign w:val="superscript"/>
              </w:rPr>
              <w:t>3</w:t>
            </w:r>
          </w:p>
        </w:tc>
      </w:tr>
    </w:tbl>
    <w:p w14:paraId="14D8A6E5" w14:textId="77777777" w:rsidR="008047AE" w:rsidRPr="00D30537" w:rsidRDefault="008047AE" w:rsidP="008047AE">
      <w:pPr>
        <w:pStyle w:val="FooterTableFigure"/>
        <w:keepNext/>
        <w:keepLines/>
      </w:pPr>
      <w:r w:rsidRPr="00D30537">
        <w:t>Source: Table 128, p228 of the submission and ‘Results’ sheet from the submissions economic model</w:t>
      </w:r>
    </w:p>
    <w:p w14:paraId="56875F2E" w14:textId="2FB9EAB7" w:rsidR="008047AE" w:rsidRDefault="008047AE" w:rsidP="008047AE">
      <w:pPr>
        <w:pStyle w:val="FooterTableFigure"/>
        <w:keepNext/>
        <w:keepLines/>
        <w:rPr>
          <w:sz w:val="20"/>
        </w:rPr>
      </w:pPr>
      <w:r w:rsidRPr="00D30537">
        <w:rPr>
          <w:sz w:val="20"/>
        </w:rPr>
        <w:t>ICER = incremental cost-effectiveness ratio; LY = life year; PFLY = progression-free life year; QALY = quality-adjusted life year.</w:t>
      </w:r>
    </w:p>
    <w:p w14:paraId="79BD02E3" w14:textId="77777777" w:rsidR="00CD774D" w:rsidRPr="00CD774D" w:rsidRDefault="00CD774D" w:rsidP="00CD774D">
      <w:pPr>
        <w:pStyle w:val="FooterTableFigure"/>
        <w:keepNext/>
        <w:keepLines/>
        <w:rPr>
          <w:i/>
          <w:sz w:val="20"/>
        </w:rPr>
      </w:pPr>
      <w:bookmarkStart w:id="70" w:name="_Hlk219196048"/>
      <w:r w:rsidRPr="00CD774D">
        <w:rPr>
          <w:i/>
          <w:sz w:val="20"/>
        </w:rPr>
        <w:t xml:space="preserve">The redacted values correspond to the following ranges: </w:t>
      </w:r>
    </w:p>
    <w:p w14:paraId="6324BB72" w14:textId="1D0A7F8D" w:rsidR="00CD774D" w:rsidRPr="00CD774D" w:rsidRDefault="00CD774D" w:rsidP="00CD774D">
      <w:pPr>
        <w:pStyle w:val="FooterTableFigure"/>
        <w:keepNext/>
        <w:keepLines/>
        <w:rPr>
          <w:i/>
          <w:sz w:val="20"/>
        </w:rPr>
      </w:pPr>
      <w:r w:rsidRPr="00CD774D">
        <w:rPr>
          <w:i/>
          <w:sz w:val="20"/>
          <w:vertAlign w:val="superscript"/>
        </w:rPr>
        <w:t>1</w:t>
      </w:r>
      <w:r w:rsidRPr="00CD774D">
        <w:rPr>
          <w:i/>
          <w:sz w:val="20"/>
        </w:rPr>
        <w:t xml:space="preserve"> </w:t>
      </w:r>
      <w:r w:rsidR="007F6A45" w:rsidRPr="007F6A45">
        <w:rPr>
          <w:i/>
          <w:sz w:val="20"/>
        </w:rPr>
        <w:t>$455,000 to &lt; $555,000</w:t>
      </w:r>
    </w:p>
    <w:bookmarkEnd w:id="70"/>
    <w:p w14:paraId="1337DD5B" w14:textId="67508DCB" w:rsidR="00CD774D" w:rsidRPr="00CD774D" w:rsidRDefault="00CD774D" w:rsidP="00CD774D">
      <w:pPr>
        <w:pStyle w:val="FooterTableFigure"/>
        <w:keepNext/>
        <w:keepLines/>
        <w:rPr>
          <w:i/>
          <w:sz w:val="20"/>
        </w:rPr>
      </w:pPr>
      <w:r w:rsidRPr="00CD774D">
        <w:rPr>
          <w:i/>
          <w:sz w:val="20"/>
          <w:vertAlign w:val="superscript"/>
        </w:rPr>
        <w:t>2</w:t>
      </w:r>
      <w:r w:rsidRPr="00CD774D">
        <w:rPr>
          <w:i/>
          <w:sz w:val="20"/>
        </w:rPr>
        <w:t xml:space="preserve"> </w:t>
      </w:r>
      <w:r w:rsidR="00CB03B1" w:rsidRPr="00CB03B1">
        <w:rPr>
          <w:i/>
          <w:sz w:val="20"/>
        </w:rPr>
        <w:t>$75,000 to &lt; $95,000</w:t>
      </w:r>
    </w:p>
    <w:p w14:paraId="4C408692" w14:textId="2434EEE6" w:rsidR="00CD774D" w:rsidRPr="00D30537" w:rsidRDefault="00CD774D" w:rsidP="008047AE">
      <w:pPr>
        <w:pStyle w:val="FooterTableFigure"/>
        <w:keepNext/>
        <w:keepLines/>
        <w:rPr>
          <w:sz w:val="20"/>
        </w:rPr>
      </w:pPr>
      <w:r w:rsidRPr="00CD774D">
        <w:rPr>
          <w:i/>
          <w:sz w:val="20"/>
          <w:vertAlign w:val="superscript"/>
        </w:rPr>
        <w:t>3</w:t>
      </w:r>
      <w:r w:rsidRPr="00CD774D">
        <w:rPr>
          <w:i/>
          <w:sz w:val="20"/>
        </w:rPr>
        <w:t xml:space="preserve"> </w:t>
      </w:r>
      <w:r w:rsidR="00024BBA" w:rsidRPr="00024BBA">
        <w:rPr>
          <w:i/>
          <w:sz w:val="20"/>
        </w:rPr>
        <w:t>$55,000 to &lt; $75,000</w:t>
      </w:r>
    </w:p>
    <w:p w14:paraId="4C429D91" w14:textId="540DE2C2" w:rsidR="008047AE" w:rsidRPr="00D30537" w:rsidRDefault="008047AE" w:rsidP="006E3D94">
      <w:pPr>
        <w:pStyle w:val="3-BodyText"/>
        <w:ind w:left="709"/>
      </w:pPr>
      <w:r w:rsidRPr="00D30537">
        <w:t xml:space="preserve">The results of key univariate and multivariate sensitivity analyses are summarised in </w:t>
      </w:r>
      <w:r w:rsidRPr="00D30537">
        <w:fldChar w:fldCharType="begin"/>
      </w:r>
      <w:r w:rsidRPr="00D30537">
        <w:instrText xml:space="preserve"> REF _Ref205981563 \h </w:instrText>
      </w:r>
      <w:r w:rsidR="000B643F" w:rsidRPr="00D30537">
        <w:instrText xml:space="preserve"> \* MERGEFORMAT </w:instrText>
      </w:r>
      <w:r w:rsidRPr="00D30537">
        <w:fldChar w:fldCharType="separate"/>
      </w:r>
      <w:r w:rsidR="00652388" w:rsidRPr="00D30537">
        <w:t xml:space="preserve">Table </w:t>
      </w:r>
      <w:r w:rsidR="00652388">
        <w:t>13</w:t>
      </w:r>
      <w:r w:rsidRPr="00D30537">
        <w:fldChar w:fldCharType="end"/>
      </w:r>
      <w:r w:rsidRPr="00D30537">
        <w:t xml:space="preserve">. </w:t>
      </w:r>
      <w:bookmarkStart w:id="71" w:name="_Ref104804865"/>
    </w:p>
    <w:p w14:paraId="32A39400" w14:textId="3F949FCA" w:rsidR="008047AE" w:rsidRPr="00D30537" w:rsidRDefault="008047AE" w:rsidP="00DA16AE">
      <w:pPr>
        <w:pStyle w:val="TableFigureHeading"/>
        <w:keepLines/>
        <w:rPr>
          <w:rStyle w:val="CommentReference"/>
          <w:b/>
          <w:szCs w:val="24"/>
        </w:rPr>
      </w:pPr>
      <w:bookmarkStart w:id="72" w:name="_Ref205981563"/>
      <w:r w:rsidRPr="00D30537">
        <w:lastRenderedPageBreak/>
        <w:t xml:space="preserve">Table </w:t>
      </w:r>
      <w:fldSimple w:instr=" SEQ Table \* ARABIC ">
        <w:r w:rsidR="00652388">
          <w:rPr>
            <w:noProof/>
          </w:rPr>
          <w:t>13</w:t>
        </w:r>
      </w:fldSimple>
      <w:bookmarkEnd w:id="71"/>
      <w:bookmarkEnd w:id="72"/>
      <w:r w:rsidRPr="00D30537">
        <w:t>:</w:t>
      </w:r>
      <w:r w:rsidRPr="00D30537">
        <w:rPr>
          <w:rStyle w:val="CommentReference"/>
          <w:b/>
          <w:szCs w:val="24"/>
        </w:rPr>
        <w:t xml:space="preserve"> Results of Key Sensitivity analyses</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Key Sensitivity analyses"/>
      </w:tblPr>
      <w:tblGrid>
        <w:gridCol w:w="3819"/>
        <w:gridCol w:w="1137"/>
        <w:gridCol w:w="1275"/>
        <w:gridCol w:w="1418"/>
        <w:gridCol w:w="1368"/>
      </w:tblGrid>
      <w:tr w:rsidR="008047AE" w:rsidRPr="00D30537" w14:paraId="04115686" w14:textId="3FF0F2AF" w:rsidTr="00B978CD">
        <w:trPr>
          <w:tblHeader/>
        </w:trPr>
        <w:tc>
          <w:tcPr>
            <w:tcW w:w="3819" w:type="dxa"/>
          </w:tcPr>
          <w:p w14:paraId="4871930D" w14:textId="08C968B9" w:rsidR="008047AE" w:rsidRPr="00D30537" w:rsidRDefault="008047AE" w:rsidP="00DA16AE">
            <w:pPr>
              <w:keepNext/>
              <w:keepLines/>
              <w:rPr>
                <w:rFonts w:ascii="Arial Narrow" w:hAnsi="Arial Narrow"/>
                <w:b/>
                <w:bCs/>
                <w:sz w:val="20"/>
                <w:szCs w:val="20"/>
              </w:rPr>
            </w:pPr>
            <w:r w:rsidRPr="00D30537">
              <w:rPr>
                <w:rFonts w:ascii="Arial Narrow" w:hAnsi="Arial Narrow"/>
                <w:b/>
                <w:bCs/>
                <w:sz w:val="20"/>
                <w:szCs w:val="20"/>
              </w:rPr>
              <w:t>Analyses</w:t>
            </w:r>
          </w:p>
        </w:tc>
        <w:tc>
          <w:tcPr>
            <w:tcW w:w="1137" w:type="dxa"/>
            <w:vAlign w:val="center"/>
          </w:tcPr>
          <w:p w14:paraId="48232566" w14:textId="27C07B25"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Incremental cost</w:t>
            </w:r>
          </w:p>
        </w:tc>
        <w:tc>
          <w:tcPr>
            <w:tcW w:w="1275" w:type="dxa"/>
            <w:vAlign w:val="center"/>
          </w:tcPr>
          <w:p w14:paraId="075EA56E" w14:textId="40F6285D"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Incremental QALY</w:t>
            </w:r>
          </w:p>
        </w:tc>
        <w:tc>
          <w:tcPr>
            <w:tcW w:w="1418" w:type="dxa"/>
            <w:vAlign w:val="center"/>
          </w:tcPr>
          <w:p w14:paraId="54FD2B9A" w14:textId="02F633A1"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ICER</w:t>
            </w:r>
          </w:p>
        </w:tc>
        <w:tc>
          <w:tcPr>
            <w:tcW w:w="1368" w:type="dxa"/>
            <w:vAlign w:val="center"/>
          </w:tcPr>
          <w:p w14:paraId="0F7E8718" w14:textId="2EB71016"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 from base case</w:t>
            </w:r>
          </w:p>
        </w:tc>
      </w:tr>
      <w:tr w:rsidR="008047AE" w:rsidRPr="00D30537" w14:paraId="67E2D4A0" w14:textId="360F5CA8" w:rsidTr="00B978CD">
        <w:tc>
          <w:tcPr>
            <w:tcW w:w="3819" w:type="dxa"/>
            <w:tcBorders>
              <w:bottom w:val="single" w:sz="4" w:space="0" w:color="auto"/>
            </w:tcBorders>
          </w:tcPr>
          <w:p w14:paraId="28310C00" w14:textId="6AE172B4" w:rsidR="008047AE" w:rsidRPr="00D30537" w:rsidRDefault="008047AE" w:rsidP="00DA16AE">
            <w:pPr>
              <w:keepNext/>
              <w:keepLines/>
              <w:rPr>
                <w:rFonts w:ascii="Arial Narrow" w:hAnsi="Arial Narrow"/>
                <w:b/>
                <w:bCs/>
                <w:sz w:val="20"/>
                <w:szCs w:val="20"/>
              </w:rPr>
            </w:pPr>
            <w:r w:rsidRPr="00D30537">
              <w:rPr>
                <w:rFonts w:ascii="Arial Narrow" w:hAnsi="Arial Narrow"/>
                <w:b/>
                <w:bCs/>
                <w:sz w:val="20"/>
                <w:szCs w:val="20"/>
              </w:rPr>
              <w:t>Base case</w:t>
            </w:r>
          </w:p>
        </w:tc>
        <w:tc>
          <w:tcPr>
            <w:tcW w:w="1137" w:type="dxa"/>
            <w:tcBorders>
              <w:bottom w:val="single" w:sz="4" w:space="0" w:color="auto"/>
            </w:tcBorders>
            <w:vAlign w:val="center"/>
          </w:tcPr>
          <w:p w14:paraId="7CA6341D" w14:textId="66F984B5"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w:t>
            </w:r>
            <w:r w:rsidR="00D863F0" w:rsidRPr="00D863F0">
              <w:rPr>
                <w:rFonts w:ascii="Arial Narrow" w:hAnsi="Arial Narrow"/>
                <w:b/>
                <w:bCs/>
                <w:sz w:val="20"/>
                <w:szCs w:val="20"/>
                <w:highlight w:val="black"/>
              </w:rPr>
              <w:t>&amp;&amp;&amp;&amp;</w:t>
            </w:r>
          </w:p>
        </w:tc>
        <w:tc>
          <w:tcPr>
            <w:tcW w:w="1275" w:type="dxa"/>
            <w:tcBorders>
              <w:bottom w:val="single" w:sz="4" w:space="0" w:color="auto"/>
            </w:tcBorders>
            <w:vAlign w:val="center"/>
          </w:tcPr>
          <w:p w14:paraId="0F2A2DC1" w14:textId="50E66757" w:rsidR="008047AE" w:rsidRPr="00D30537" w:rsidRDefault="008047AE" w:rsidP="00DA16AE">
            <w:pPr>
              <w:keepNext/>
              <w:keepLines/>
              <w:jc w:val="center"/>
              <w:rPr>
                <w:rFonts w:ascii="Arial Narrow" w:hAnsi="Arial Narrow"/>
                <w:b/>
                <w:bCs/>
                <w:sz w:val="20"/>
                <w:szCs w:val="20"/>
              </w:rPr>
            </w:pPr>
            <w:r w:rsidRPr="00D30537">
              <w:rPr>
                <w:rFonts w:ascii="Arial Narrow" w:hAnsi="Arial Narrow"/>
                <w:b/>
                <w:bCs/>
                <w:sz w:val="20"/>
                <w:szCs w:val="20"/>
              </w:rPr>
              <w:t>0.725</w:t>
            </w:r>
          </w:p>
        </w:tc>
        <w:tc>
          <w:tcPr>
            <w:tcW w:w="1418" w:type="dxa"/>
            <w:tcBorders>
              <w:bottom w:val="single" w:sz="4" w:space="0" w:color="auto"/>
            </w:tcBorders>
            <w:vAlign w:val="center"/>
          </w:tcPr>
          <w:p w14:paraId="602A0A45" w14:textId="7965338D" w:rsidR="008047AE" w:rsidRPr="00C35924" w:rsidRDefault="008047AE" w:rsidP="00DA16AE">
            <w:pPr>
              <w:keepNext/>
              <w:keepLines/>
              <w:jc w:val="center"/>
              <w:rPr>
                <w:rFonts w:ascii="Arial Narrow" w:hAnsi="Arial Narrow"/>
                <w:sz w:val="20"/>
                <w:szCs w:val="20"/>
                <w:vertAlign w:val="superscript"/>
              </w:rPr>
            </w:pPr>
            <w:r w:rsidRPr="00D30537">
              <w:rPr>
                <w:rFonts w:ascii="Arial Narrow" w:hAnsi="Arial Narrow"/>
                <w:b/>
                <w:bCs/>
                <w:sz w:val="20"/>
                <w:szCs w:val="20"/>
              </w:rPr>
              <w:t>$</w:t>
            </w:r>
            <w:r w:rsidR="00D863F0" w:rsidRPr="00D863F0">
              <w:rPr>
                <w:rFonts w:ascii="Arial Narrow" w:hAnsi="Arial Narrow"/>
                <w:b/>
                <w:bCs/>
                <w:sz w:val="20"/>
                <w:szCs w:val="20"/>
                <w:highlight w:val="black"/>
              </w:rPr>
              <w:t>&amp;&amp;&amp;&amp;</w:t>
            </w:r>
            <w:r w:rsidR="00C35924">
              <w:rPr>
                <w:rFonts w:ascii="Arial Narrow" w:hAnsi="Arial Narrow"/>
                <w:sz w:val="20"/>
                <w:szCs w:val="20"/>
                <w:vertAlign w:val="superscript"/>
              </w:rPr>
              <w:t>1</w:t>
            </w:r>
          </w:p>
        </w:tc>
        <w:tc>
          <w:tcPr>
            <w:tcW w:w="1368" w:type="dxa"/>
            <w:tcBorders>
              <w:bottom w:val="single" w:sz="4" w:space="0" w:color="auto"/>
            </w:tcBorders>
            <w:vAlign w:val="center"/>
          </w:tcPr>
          <w:p w14:paraId="47D8EC02" w14:textId="11063441"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p>
        </w:tc>
      </w:tr>
      <w:tr w:rsidR="008047AE" w:rsidRPr="00D30537" w14:paraId="7D525BAC" w14:textId="5C237A86" w:rsidTr="00B978CD">
        <w:trPr>
          <w:trHeight w:val="240"/>
        </w:trPr>
        <w:tc>
          <w:tcPr>
            <w:tcW w:w="3819" w:type="dxa"/>
            <w:tcBorders>
              <w:bottom w:val="nil"/>
            </w:tcBorders>
          </w:tcPr>
          <w:p w14:paraId="0403FE68" w14:textId="0AA11DE5" w:rsidR="008047AE" w:rsidRPr="00D30537" w:rsidRDefault="008047AE" w:rsidP="00DA16AE">
            <w:pPr>
              <w:keepNext/>
              <w:keepLines/>
              <w:rPr>
                <w:rFonts w:ascii="Arial Narrow" w:hAnsi="Arial Narrow"/>
                <w:sz w:val="20"/>
                <w:szCs w:val="20"/>
              </w:rPr>
            </w:pPr>
            <w:r w:rsidRPr="00D30537">
              <w:rPr>
                <w:rFonts w:ascii="Arial Narrow" w:hAnsi="Arial Narrow"/>
                <w:sz w:val="20"/>
                <w:szCs w:val="20"/>
              </w:rPr>
              <w:t>Discount rate (base case 5% costs and outcomes)</w:t>
            </w:r>
          </w:p>
        </w:tc>
        <w:tc>
          <w:tcPr>
            <w:tcW w:w="1137" w:type="dxa"/>
            <w:tcBorders>
              <w:bottom w:val="nil"/>
            </w:tcBorders>
            <w:vAlign w:val="center"/>
          </w:tcPr>
          <w:p w14:paraId="28438E0F" w14:textId="62048187" w:rsidR="008047AE" w:rsidRPr="00D30537" w:rsidRDefault="008047AE" w:rsidP="00DA16AE">
            <w:pPr>
              <w:keepNext/>
              <w:keepLines/>
              <w:jc w:val="center"/>
              <w:rPr>
                <w:rFonts w:ascii="Arial Narrow" w:hAnsi="Arial Narrow"/>
                <w:sz w:val="20"/>
                <w:szCs w:val="20"/>
              </w:rPr>
            </w:pPr>
          </w:p>
        </w:tc>
        <w:tc>
          <w:tcPr>
            <w:tcW w:w="1275" w:type="dxa"/>
            <w:tcBorders>
              <w:bottom w:val="nil"/>
            </w:tcBorders>
            <w:vAlign w:val="center"/>
          </w:tcPr>
          <w:p w14:paraId="42ADAAB8" w14:textId="61E9FFBE" w:rsidR="008047AE" w:rsidRPr="00D30537" w:rsidRDefault="008047AE" w:rsidP="00DA16AE">
            <w:pPr>
              <w:keepNext/>
              <w:keepLines/>
              <w:jc w:val="center"/>
              <w:rPr>
                <w:rFonts w:ascii="Arial Narrow" w:hAnsi="Arial Narrow"/>
                <w:sz w:val="20"/>
                <w:szCs w:val="20"/>
              </w:rPr>
            </w:pPr>
          </w:p>
        </w:tc>
        <w:tc>
          <w:tcPr>
            <w:tcW w:w="1418" w:type="dxa"/>
            <w:tcBorders>
              <w:bottom w:val="nil"/>
            </w:tcBorders>
            <w:vAlign w:val="center"/>
          </w:tcPr>
          <w:p w14:paraId="1B7B2372" w14:textId="690504D9" w:rsidR="008047AE" w:rsidRPr="00D30537" w:rsidRDefault="008047AE" w:rsidP="00DA16AE">
            <w:pPr>
              <w:keepNext/>
              <w:keepLines/>
              <w:jc w:val="center"/>
              <w:rPr>
                <w:rFonts w:ascii="Arial Narrow" w:hAnsi="Arial Narrow"/>
                <w:sz w:val="20"/>
                <w:szCs w:val="20"/>
              </w:rPr>
            </w:pPr>
          </w:p>
        </w:tc>
        <w:tc>
          <w:tcPr>
            <w:tcW w:w="1368" w:type="dxa"/>
            <w:tcBorders>
              <w:bottom w:val="nil"/>
            </w:tcBorders>
            <w:vAlign w:val="center"/>
          </w:tcPr>
          <w:p w14:paraId="5E0B94A5" w14:textId="0097D719" w:rsidR="008047AE" w:rsidRPr="00D30537" w:rsidRDefault="008047AE" w:rsidP="00DA16AE">
            <w:pPr>
              <w:keepNext/>
              <w:keepLines/>
              <w:jc w:val="center"/>
              <w:rPr>
                <w:rFonts w:ascii="Arial Narrow" w:hAnsi="Arial Narrow"/>
                <w:sz w:val="20"/>
                <w:szCs w:val="20"/>
              </w:rPr>
            </w:pPr>
          </w:p>
        </w:tc>
      </w:tr>
      <w:tr w:rsidR="008047AE" w:rsidRPr="00D30537" w14:paraId="5890E88C" w14:textId="3EEC8076" w:rsidTr="00B978CD">
        <w:trPr>
          <w:trHeight w:val="240"/>
        </w:trPr>
        <w:tc>
          <w:tcPr>
            <w:tcW w:w="3819" w:type="dxa"/>
            <w:tcBorders>
              <w:top w:val="nil"/>
              <w:bottom w:val="nil"/>
            </w:tcBorders>
          </w:tcPr>
          <w:p w14:paraId="5B93DE9A" w14:textId="6C154062"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0% </w:t>
            </w:r>
          </w:p>
        </w:tc>
        <w:tc>
          <w:tcPr>
            <w:tcW w:w="1137" w:type="dxa"/>
            <w:tcBorders>
              <w:top w:val="nil"/>
              <w:bottom w:val="nil"/>
            </w:tcBorders>
            <w:vAlign w:val="center"/>
          </w:tcPr>
          <w:p w14:paraId="52CFA35E" w14:textId="1CBBA161"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02BB3CCC" w14:textId="536B8553"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0.851</w:t>
            </w:r>
          </w:p>
        </w:tc>
        <w:tc>
          <w:tcPr>
            <w:tcW w:w="1418" w:type="dxa"/>
            <w:tcBorders>
              <w:top w:val="nil"/>
              <w:bottom w:val="nil"/>
            </w:tcBorders>
            <w:vAlign w:val="center"/>
          </w:tcPr>
          <w:p w14:paraId="641803F2" w14:textId="3667ED85" w:rsidR="008047AE" w:rsidRPr="00EA1DD0"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A1DD0">
              <w:rPr>
                <w:rFonts w:ascii="Arial Narrow" w:hAnsi="Arial Narrow"/>
                <w:sz w:val="20"/>
                <w:szCs w:val="20"/>
                <w:vertAlign w:val="superscript"/>
              </w:rPr>
              <w:t>2</w:t>
            </w:r>
          </w:p>
        </w:tc>
        <w:tc>
          <w:tcPr>
            <w:tcW w:w="1368" w:type="dxa"/>
            <w:tcBorders>
              <w:top w:val="nil"/>
              <w:bottom w:val="nil"/>
            </w:tcBorders>
            <w:vAlign w:val="center"/>
          </w:tcPr>
          <w:p w14:paraId="085C50B5" w14:textId="16ADFF2F"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w:t>
            </w:r>
          </w:p>
        </w:tc>
      </w:tr>
      <w:tr w:rsidR="008047AE" w:rsidRPr="00D30537" w14:paraId="3F0173F9" w14:textId="6EDED1A7" w:rsidTr="00B978CD">
        <w:tc>
          <w:tcPr>
            <w:tcW w:w="3819" w:type="dxa"/>
            <w:tcBorders>
              <w:top w:val="nil"/>
              <w:bottom w:val="single" w:sz="4" w:space="0" w:color="auto"/>
            </w:tcBorders>
          </w:tcPr>
          <w:p w14:paraId="4A3636EC" w14:textId="01BF20F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3.5% </w:t>
            </w:r>
          </w:p>
        </w:tc>
        <w:tc>
          <w:tcPr>
            <w:tcW w:w="1137" w:type="dxa"/>
            <w:tcBorders>
              <w:top w:val="nil"/>
              <w:bottom w:val="single" w:sz="4" w:space="0" w:color="auto"/>
            </w:tcBorders>
            <w:vAlign w:val="center"/>
          </w:tcPr>
          <w:p w14:paraId="1CE5E370" w14:textId="63EC5532"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single" w:sz="4" w:space="0" w:color="auto"/>
            </w:tcBorders>
            <w:vAlign w:val="center"/>
          </w:tcPr>
          <w:p w14:paraId="3A530226" w14:textId="0915CE30"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0.760</w:t>
            </w:r>
          </w:p>
        </w:tc>
        <w:tc>
          <w:tcPr>
            <w:tcW w:w="1418" w:type="dxa"/>
            <w:tcBorders>
              <w:top w:val="nil"/>
              <w:bottom w:val="single" w:sz="4" w:space="0" w:color="auto"/>
            </w:tcBorders>
            <w:vAlign w:val="center"/>
          </w:tcPr>
          <w:p w14:paraId="1D864A11" w14:textId="5312730A" w:rsidR="008047AE" w:rsidRPr="00FE57A8"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FE57A8">
              <w:rPr>
                <w:rFonts w:ascii="Arial Narrow" w:hAnsi="Arial Narrow"/>
                <w:sz w:val="20"/>
                <w:szCs w:val="20"/>
                <w:vertAlign w:val="superscript"/>
              </w:rPr>
              <w:t>1</w:t>
            </w:r>
          </w:p>
        </w:tc>
        <w:tc>
          <w:tcPr>
            <w:tcW w:w="1368" w:type="dxa"/>
            <w:tcBorders>
              <w:top w:val="nil"/>
              <w:bottom w:val="single" w:sz="4" w:space="0" w:color="auto"/>
            </w:tcBorders>
            <w:vAlign w:val="center"/>
          </w:tcPr>
          <w:p w14:paraId="43D434FC" w14:textId="3838F93F"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w:t>
            </w:r>
          </w:p>
        </w:tc>
      </w:tr>
      <w:tr w:rsidR="008047AE" w:rsidRPr="00D30537" w14:paraId="1905BF45" w14:textId="761B26A0" w:rsidTr="00B978CD">
        <w:tc>
          <w:tcPr>
            <w:tcW w:w="3819" w:type="dxa"/>
            <w:tcBorders>
              <w:bottom w:val="nil"/>
            </w:tcBorders>
          </w:tcPr>
          <w:p w14:paraId="35CAFBC9" w14:textId="0694E895" w:rsidR="008047AE" w:rsidRPr="00D30537" w:rsidRDefault="008047AE" w:rsidP="00DA16AE">
            <w:pPr>
              <w:keepNext/>
              <w:keepLines/>
              <w:rPr>
                <w:rFonts w:ascii="Arial Narrow" w:hAnsi="Arial Narrow"/>
                <w:sz w:val="20"/>
                <w:szCs w:val="20"/>
              </w:rPr>
            </w:pPr>
            <w:r w:rsidRPr="00D30537">
              <w:rPr>
                <w:rFonts w:ascii="Arial Narrow" w:hAnsi="Arial Narrow"/>
                <w:sz w:val="20"/>
                <w:szCs w:val="20"/>
              </w:rPr>
              <w:t xml:space="preserve">Time horizon (base case 7.5 </w:t>
            </w:r>
            <w:r w:rsidR="008301F6" w:rsidRPr="00D30537">
              <w:rPr>
                <w:rFonts w:ascii="Arial Narrow" w:hAnsi="Arial Narrow"/>
                <w:sz w:val="20"/>
                <w:szCs w:val="20"/>
              </w:rPr>
              <w:t>yrs</w:t>
            </w:r>
            <w:r w:rsidRPr="00D30537">
              <w:rPr>
                <w:rFonts w:ascii="Arial Narrow" w:hAnsi="Arial Narrow"/>
                <w:sz w:val="20"/>
                <w:szCs w:val="20"/>
              </w:rPr>
              <w:t>)</w:t>
            </w:r>
          </w:p>
        </w:tc>
        <w:tc>
          <w:tcPr>
            <w:tcW w:w="1137" w:type="dxa"/>
            <w:tcBorders>
              <w:bottom w:val="nil"/>
            </w:tcBorders>
            <w:vAlign w:val="center"/>
          </w:tcPr>
          <w:p w14:paraId="472A302D" w14:textId="19AB4485" w:rsidR="008047AE" w:rsidRPr="00D30537" w:rsidRDefault="008047AE" w:rsidP="00DA16AE">
            <w:pPr>
              <w:keepNext/>
              <w:keepLines/>
              <w:jc w:val="center"/>
              <w:rPr>
                <w:rFonts w:ascii="Arial Narrow" w:hAnsi="Arial Narrow"/>
                <w:sz w:val="20"/>
                <w:szCs w:val="20"/>
              </w:rPr>
            </w:pPr>
          </w:p>
        </w:tc>
        <w:tc>
          <w:tcPr>
            <w:tcW w:w="1275" w:type="dxa"/>
            <w:tcBorders>
              <w:bottom w:val="nil"/>
            </w:tcBorders>
            <w:vAlign w:val="center"/>
          </w:tcPr>
          <w:p w14:paraId="3887063D" w14:textId="5A70521F" w:rsidR="008047AE" w:rsidRPr="00D30537" w:rsidRDefault="008047AE" w:rsidP="00DA16AE">
            <w:pPr>
              <w:keepNext/>
              <w:keepLines/>
              <w:jc w:val="center"/>
              <w:rPr>
                <w:rFonts w:ascii="Arial Narrow" w:hAnsi="Arial Narrow"/>
                <w:sz w:val="20"/>
                <w:szCs w:val="20"/>
              </w:rPr>
            </w:pPr>
          </w:p>
        </w:tc>
        <w:tc>
          <w:tcPr>
            <w:tcW w:w="1418" w:type="dxa"/>
            <w:tcBorders>
              <w:bottom w:val="nil"/>
            </w:tcBorders>
            <w:vAlign w:val="center"/>
          </w:tcPr>
          <w:p w14:paraId="2F072E79" w14:textId="220B44C2" w:rsidR="008047AE" w:rsidRPr="00D30537" w:rsidRDefault="008047AE" w:rsidP="00DA16AE">
            <w:pPr>
              <w:keepNext/>
              <w:keepLines/>
              <w:jc w:val="center"/>
              <w:rPr>
                <w:rFonts w:ascii="Arial Narrow" w:hAnsi="Arial Narrow"/>
                <w:sz w:val="20"/>
                <w:szCs w:val="20"/>
              </w:rPr>
            </w:pPr>
          </w:p>
        </w:tc>
        <w:tc>
          <w:tcPr>
            <w:tcW w:w="1368" w:type="dxa"/>
            <w:tcBorders>
              <w:bottom w:val="nil"/>
            </w:tcBorders>
            <w:vAlign w:val="center"/>
          </w:tcPr>
          <w:p w14:paraId="418EA968" w14:textId="2559839F" w:rsidR="008047AE" w:rsidRPr="00D30537" w:rsidRDefault="008047AE" w:rsidP="00DA16AE">
            <w:pPr>
              <w:keepNext/>
              <w:keepLines/>
              <w:jc w:val="center"/>
              <w:rPr>
                <w:rFonts w:ascii="Arial Narrow" w:hAnsi="Arial Narrow"/>
                <w:sz w:val="20"/>
                <w:szCs w:val="20"/>
              </w:rPr>
            </w:pPr>
          </w:p>
        </w:tc>
      </w:tr>
      <w:tr w:rsidR="008047AE" w:rsidRPr="00D30537" w14:paraId="7EA70FC0" w14:textId="66D72C7F" w:rsidTr="00B978CD">
        <w:tc>
          <w:tcPr>
            <w:tcW w:w="3819" w:type="dxa"/>
            <w:tcBorders>
              <w:top w:val="nil"/>
              <w:bottom w:val="nil"/>
            </w:tcBorders>
          </w:tcPr>
          <w:p w14:paraId="0C876E4B" w14:textId="0E04513F"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5 </w:t>
            </w:r>
            <w:r w:rsidR="008301F6" w:rsidRPr="00D30537">
              <w:rPr>
                <w:rFonts w:ascii="Arial Narrow" w:hAnsi="Arial Narrow"/>
                <w:sz w:val="20"/>
                <w:szCs w:val="20"/>
              </w:rPr>
              <w:t>yrs</w:t>
            </w:r>
          </w:p>
        </w:tc>
        <w:tc>
          <w:tcPr>
            <w:tcW w:w="1137" w:type="dxa"/>
            <w:tcBorders>
              <w:top w:val="nil"/>
              <w:bottom w:val="nil"/>
            </w:tcBorders>
            <w:vAlign w:val="center"/>
          </w:tcPr>
          <w:p w14:paraId="429EFDE0" w14:textId="3D3B4F54"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687E50EA" w14:textId="33A6A89C"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0.505</w:t>
            </w:r>
          </w:p>
        </w:tc>
        <w:tc>
          <w:tcPr>
            <w:tcW w:w="1418" w:type="dxa"/>
            <w:tcBorders>
              <w:top w:val="nil"/>
              <w:bottom w:val="nil"/>
            </w:tcBorders>
            <w:vAlign w:val="center"/>
          </w:tcPr>
          <w:p w14:paraId="50F31958" w14:textId="075231F1" w:rsidR="008047AE" w:rsidRPr="0068463E"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3</w:t>
            </w:r>
          </w:p>
        </w:tc>
        <w:tc>
          <w:tcPr>
            <w:tcW w:w="1368" w:type="dxa"/>
            <w:tcBorders>
              <w:top w:val="nil"/>
              <w:bottom w:val="nil"/>
            </w:tcBorders>
            <w:vAlign w:val="center"/>
          </w:tcPr>
          <w:p w14:paraId="192013DF" w14:textId="3859FAA5" w:rsidR="008047AE" w:rsidRPr="00D30537" w:rsidRDefault="00D863F0" w:rsidP="00DA16AE">
            <w:pPr>
              <w:keepNext/>
              <w:keepLines/>
              <w:jc w:val="center"/>
              <w:rPr>
                <w:rFonts w:ascii="Arial Narrow" w:hAnsi="Arial Narrow"/>
                <w:sz w:val="20"/>
                <w:szCs w:val="20"/>
              </w:rPr>
            </w:pPr>
            <w:r w:rsidRPr="00D863F0">
              <w:rPr>
                <w:rFonts w:ascii="Arial Narrow" w:hAnsi="Arial Narrow"/>
                <w:sz w:val="20"/>
                <w:szCs w:val="20"/>
                <w:highlight w:val="black"/>
              </w:rPr>
              <w:t>&amp;&amp;&amp;&amp;</w:t>
            </w:r>
            <w:r w:rsidR="008047AE" w:rsidRPr="00D30537">
              <w:rPr>
                <w:rFonts w:ascii="Arial Narrow" w:hAnsi="Arial Narrow"/>
                <w:sz w:val="20"/>
                <w:szCs w:val="20"/>
              </w:rPr>
              <w:t>%</w:t>
            </w:r>
          </w:p>
        </w:tc>
      </w:tr>
      <w:tr w:rsidR="008047AE" w:rsidRPr="00D30537" w14:paraId="6A2E33A6" w14:textId="2AFCC30E" w:rsidTr="00B978CD">
        <w:tc>
          <w:tcPr>
            <w:tcW w:w="3819" w:type="dxa"/>
            <w:tcBorders>
              <w:bottom w:val="nil"/>
            </w:tcBorders>
          </w:tcPr>
          <w:p w14:paraId="6DE56AEB" w14:textId="0CD84F6C" w:rsidR="008047AE" w:rsidRPr="00D30537" w:rsidRDefault="008047AE" w:rsidP="00DA16AE">
            <w:pPr>
              <w:keepNext/>
              <w:keepLines/>
              <w:jc w:val="left"/>
              <w:rPr>
                <w:rFonts w:ascii="Arial Narrow" w:hAnsi="Arial Narrow"/>
                <w:sz w:val="20"/>
                <w:szCs w:val="20"/>
              </w:rPr>
            </w:pPr>
            <w:r w:rsidRPr="00D30537">
              <w:rPr>
                <w:rFonts w:ascii="Arial Narrow" w:hAnsi="Arial Narrow"/>
                <w:sz w:val="20"/>
                <w:szCs w:val="20"/>
              </w:rPr>
              <w:t>Relative treatment effects (base case: MAIC 2, OS HR: 0.689, PFS HR: 0.519)</w:t>
            </w:r>
          </w:p>
        </w:tc>
        <w:tc>
          <w:tcPr>
            <w:tcW w:w="1137" w:type="dxa"/>
            <w:tcBorders>
              <w:bottom w:val="nil"/>
            </w:tcBorders>
            <w:vAlign w:val="center"/>
          </w:tcPr>
          <w:p w14:paraId="1543BAB3" w14:textId="616B9D34" w:rsidR="008047AE" w:rsidRPr="00D30537" w:rsidRDefault="008047AE" w:rsidP="00DA16AE">
            <w:pPr>
              <w:keepNext/>
              <w:keepLines/>
              <w:jc w:val="center"/>
              <w:rPr>
                <w:rFonts w:ascii="Arial Narrow" w:hAnsi="Arial Narrow"/>
                <w:sz w:val="20"/>
                <w:szCs w:val="20"/>
              </w:rPr>
            </w:pPr>
          </w:p>
        </w:tc>
        <w:tc>
          <w:tcPr>
            <w:tcW w:w="1275" w:type="dxa"/>
            <w:tcBorders>
              <w:bottom w:val="nil"/>
            </w:tcBorders>
            <w:vAlign w:val="center"/>
          </w:tcPr>
          <w:p w14:paraId="625E2C48" w14:textId="787AABDA" w:rsidR="008047AE" w:rsidRPr="00D30537" w:rsidRDefault="008047AE" w:rsidP="00DA16AE">
            <w:pPr>
              <w:keepNext/>
              <w:keepLines/>
              <w:jc w:val="center"/>
              <w:rPr>
                <w:rFonts w:ascii="Arial Narrow" w:hAnsi="Arial Narrow"/>
                <w:sz w:val="20"/>
                <w:szCs w:val="20"/>
              </w:rPr>
            </w:pPr>
          </w:p>
        </w:tc>
        <w:tc>
          <w:tcPr>
            <w:tcW w:w="1418" w:type="dxa"/>
            <w:tcBorders>
              <w:bottom w:val="nil"/>
            </w:tcBorders>
            <w:vAlign w:val="center"/>
          </w:tcPr>
          <w:p w14:paraId="51D5BC64" w14:textId="151FD3D7" w:rsidR="008047AE" w:rsidRPr="00D30537" w:rsidRDefault="008047AE" w:rsidP="00DA16AE">
            <w:pPr>
              <w:keepNext/>
              <w:keepLines/>
              <w:jc w:val="center"/>
              <w:rPr>
                <w:rFonts w:ascii="Arial Narrow" w:hAnsi="Arial Narrow"/>
                <w:sz w:val="20"/>
                <w:szCs w:val="20"/>
              </w:rPr>
            </w:pPr>
          </w:p>
        </w:tc>
        <w:tc>
          <w:tcPr>
            <w:tcW w:w="1368" w:type="dxa"/>
            <w:tcBorders>
              <w:bottom w:val="nil"/>
            </w:tcBorders>
            <w:vAlign w:val="center"/>
          </w:tcPr>
          <w:p w14:paraId="0FA93A4C" w14:textId="010EAC83" w:rsidR="008047AE" w:rsidRPr="00D30537" w:rsidRDefault="008047AE" w:rsidP="00DA16AE">
            <w:pPr>
              <w:keepNext/>
              <w:keepLines/>
              <w:jc w:val="center"/>
              <w:rPr>
                <w:rFonts w:ascii="Arial Narrow" w:hAnsi="Arial Narrow"/>
                <w:sz w:val="20"/>
                <w:szCs w:val="20"/>
              </w:rPr>
            </w:pPr>
          </w:p>
        </w:tc>
      </w:tr>
      <w:tr w:rsidR="008047AE" w:rsidRPr="00D30537" w14:paraId="3692C12C" w14:textId="3F5A455E" w:rsidTr="00B978CD">
        <w:tc>
          <w:tcPr>
            <w:tcW w:w="3819" w:type="dxa"/>
            <w:tcBorders>
              <w:top w:val="nil"/>
              <w:bottom w:val="nil"/>
            </w:tcBorders>
          </w:tcPr>
          <w:p w14:paraId="0980506F" w14:textId="7FEDF22A"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MAIC 1 (OS HR: 0.80)</w:t>
            </w:r>
          </w:p>
        </w:tc>
        <w:tc>
          <w:tcPr>
            <w:tcW w:w="1137" w:type="dxa"/>
            <w:tcBorders>
              <w:top w:val="nil"/>
              <w:left w:val="single" w:sz="4" w:space="0" w:color="auto"/>
              <w:bottom w:val="nil"/>
              <w:right w:val="single" w:sz="4" w:space="0" w:color="auto"/>
            </w:tcBorders>
            <w:vAlign w:val="center"/>
          </w:tcPr>
          <w:p w14:paraId="1A9A5FBC" w14:textId="3E13F8BE" w:rsidR="008047AE" w:rsidRPr="00D30537" w:rsidRDefault="008047AE" w:rsidP="00DA16AE">
            <w:pPr>
              <w:keepNext/>
              <w:keepLines/>
              <w:jc w:val="center"/>
              <w:rPr>
                <w:rFonts w:ascii="Arial Narrow" w:hAnsi="Arial Narrow"/>
                <w:sz w:val="20"/>
                <w:szCs w:val="20"/>
              </w:rPr>
            </w:pPr>
            <w:r w:rsidRPr="00D30537">
              <w:rPr>
                <w:rFonts w:ascii="Arial Narrow" w:hAnsi="Arial Narrow" w:cs="Calibri"/>
                <w:color w:val="000000"/>
                <w:sz w:val="20"/>
                <w:szCs w:val="20"/>
              </w:rPr>
              <w:t>$</w:t>
            </w:r>
            <w:r w:rsidR="00D863F0" w:rsidRPr="00D863F0">
              <w:rPr>
                <w:rFonts w:ascii="Arial Narrow" w:hAnsi="Arial Narrow" w:cs="Calibri"/>
                <w:color w:val="000000"/>
                <w:sz w:val="20"/>
                <w:szCs w:val="20"/>
                <w:highlight w:val="black"/>
              </w:rPr>
              <w:t>&amp;&amp;&amp;&amp;</w:t>
            </w:r>
          </w:p>
        </w:tc>
        <w:tc>
          <w:tcPr>
            <w:tcW w:w="1275" w:type="dxa"/>
            <w:tcBorders>
              <w:top w:val="nil"/>
              <w:left w:val="nil"/>
              <w:bottom w:val="nil"/>
              <w:right w:val="single" w:sz="4" w:space="0" w:color="auto"/>
            </w:tcBorders>
            <w:vAlign w:val="center"/>
          </w:tcPr>
          <w:p w14:paraId="2F57659F" w14:textId="41D8E136" w:rsidR="008047AE" w:rsidRPr="00D30537" w:rsidRDefault="008047AE" w:rsidP="00DA16AE">
            <w:pPr>
              <w:keepNext/>
              <w:keepLines/>
              <w:jc w:val="center"/>
              <w:rPr>
                <w:rFonts w:ascii="Arial Narrow" w:hAnsi="Arial Narrow"/>
                <w:sz w:val="20"/>
                <w:szCs w:val="20"/>
              </w:rPr>
            </w:pPr>
            <w:r w:rsidRPr="00D30537">
              <w:rPr>
                <w:rFonts w:ascii="Arial Narrow" w:hAnsi="Arial Narrow" w:cs="Calibri"/>
                <w:color w:val="000000"/>
                <w:sz w:val="20"/>
                <w:szCs w:val="20"/>
              </w:rPr>
              <w:t>0.504</w:t>
            </w:r>
          </w:p>
        </w:tc>
        <w:tc>
          <w:tcPr>
            <w:tcW w:w="1418" w:type="dxa"/>
            <w:tcBorders>
              <w:top w:val="nil"/>
              <w:left w:val="nil"/>
              <w:bottom w:val="nil"/>
              <w:right w:val="single" w:sz="4" w:space="0" w:color="auto"/>
            </w:tcBorders>
            <w:vAlign w:val="center"/>
          </w:tcPr>
          <w:p w14:paraId="46E252B0" w14:textId="1E3C7C4E" w:rsidR="008047AE" w:rsidRPr="00062E26" w:rsidRDefault="008047AE" w:rsidP="00DA16AE">
            <w:pPr>
              <w:keepNext/>
              <w:keepLines/>
              <w:jc w:val="center"/>
              <w:rPr>
                <w:rFonts w:ascii="Arial Narrow" w:hAnsi="Arial Narrow"/>
                <w:sz w:val="20"/>
                <w:szCs w:val="20"/>
                <w:vertAlign w:val="superscript"/>
              </w:rPr>
            </w:pPr>
            <w:r w:rsidRPr="00D30537">
              <w:rPr>
                <w:rFonts w:ascii="Arial Narrow" w:hAnsi="Arial Narrow" w:cs="Calibri"/>
                <w:color w:val="000000"/>
                <w:sz w:val="20"/>
                <w:szCs w:val="20"/>
              </w:rPr>
              <w:t>$</w:t>
            </w:r>
            <w:r w:rsidR="00D863F0" w:rsidRPr="00D863F0">
              <w:rPr>
                <w:rFonts w:ascii="Arial Narrow" w:hAnsi="Arial Narrow" w:cs="Calibri"/>
                <w:color w:val="000000"/>
                <w:sz w:val="20"/>
                <w:szCs w:val="20"/>
                <w:highlight w:val="black"/>
              </w:rPr>
              <w:t>&amp;&amp;&amp;&amp;</w:t>
            </w:r>
            <w:r w:rsidR="00D00D1E">
              <w:rPr>
                <w:rFonts w:ascii="Arial Narrow" w:hAnsi="Arial Narrow" w:cs="Calibri"/>
                <w:color w:val="000000"/>
                <w:sz w:val="20"/>
                <w:szCs w:val="20"/>
                <w:vertAlign w:val="superscript"/>
              </w:rPr>
              <w:t>4</w:t>
            </w:r>
          </w:p>
        </w:tc>
        <w:tc>
          <w:tcPr>
            <w:tcW w:w="1368" w:type="dxa"/>
            <w:tcBorders>
              <w:top w:val="nil"/>
              <w:left w:val="nil"/>
              <w:bottom w:val="nil"/>
              <w:right w:val="single" w:sz="4" w:space="0" w:color="auto"/>
            </w:tcBorders>
            <w:vAlign w:val="center"/>
          </w:tcPr>
          <w:p w14:paraId="738B002D" w14:textId="7E1BE9B1" w:rsidR="008047AE" w:rsidRPr="00D30537" w:rsidRDefault="00D863F0" w:rsidP="00DA16AE">
            <w:pPr>
              <w:keepNext/>
              <w:keepLines/>
              <w:jc w:val="center"/>
              <w:rPr>
                <w:rFonts w:ascii="Arial Narrow" w:hAnsi="Arial Narrow"/>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7ADDFF4E" w14:textId="4EB2583D" w:rsidTr="00B978CD">
        <w:tc>
          <w:tcPr>
            <w:tcW w:w="3819" w:type="dxa"/>
            <w:tcBorders>
              <w:top w:val="nil"/>
              <w:bottom w:val="nil"/>
            </w:tcBorders>
          </w:tcPr>
          <w:p w14:paraId="37099485" w14:textId="4ABEF4EE"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MAIC 1 (PFS HR: 0.59)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 </w:t>
            </w:r>
            <w:r w:rsidRPr="00D30537">
              <w:rPr>
                <w:rFonts w:ascii="Arial Narrow" w:hAnsi="Arial Narrow"/>
                <w:sz w:val="20"/>
                <w:szCs w:val="20"/>
                <w:vertAlign w:val="superscript"/>
              </w:rPr>
              <w:t>a</w:t>
            </w:r>
          </w:p>
        </w:tc>
        <w:tc>
          <w:tcPr>
            <w:tcW w:w="1137" w:type="dxa"/>
            <w:tcBorders>
              <w:top w:val="nil"/>
              <w:left w:val="nil"/>
              <w:bottom w:val="nil"/>
              <w:right w:val="single" w:sz="4" w:space="0" w:color="auto"/>
            </w:tcBorders>
            <w:vAlign w:val="center"/>
          </w:tcPr>
          <w:p w14:paraId="05937C80" w14:textId="4C2C4729"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5" w:type="dxa"/>
            <w:tcBorders>
              <w:top w:val="nil"/>
              <w:left w:val="single" w:sz="4" w:space="0" w:color="auto"/>
              <w:bottom w:val="nil"/>
              <w:right w:val="single" w:sz="4" w:space="0" w:color="auto"/>
            </w:tcBorders>
            <w:vAlign w:val="center"/>
          </w:tcPr>
          <w:p w14:paraId="061BE73C" w14:textId="032D4154"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0.701</w:t>
            </w:r>
          </w:p>
        </w:tc>
        <w:tc>
          <w:tcPr>
            <w:tcW w:w="1418" w:type="dxa"/>
            <w:tcBorders>
              <w:top w:val="nil"/>
              <w:left w:val="single" w:sz="4" w:space="0" w:color="auto"/>
              <w:bottom w:val="nil"/>
              <w:right w:val="nil"/>
            </w:tcBorders>
            <w:vAlign w:val="center"/>
          </w:tcPr>
          <w:p w14:paraId="7782AD21" w14:textId="3D958494" w:rsidR="008047AE" w:rsidRPr="00CA10F1" w:rsidRDefault="008047AE" w:rsidP="00DA16AE">
            <w:pPr>
              <w:keepNext/>
              <w:keepLines/>
              <w:jc w:val="center"/>
              <w:rPr>
                <w:rFonts w:ascii="Arial Narrow" w:hAnsi="Arial Narrow"/>
                <w:sz w:val="20"/>
                <w:szCs w:val="20"/>
                <w:vertAlign w:val="superscript"/>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r w:rsidR="00CA10F1">
              <w:rPr>
                <w:rFonts w:ascii="Arial Narrow" w:hAnsi="Arial Narrow"/>
                <w:color w:val="000000"/>
                <w:sz w:val="20"/>
                <w:szCs w:val="20"/>
                <w:vertAlign w:val="superscript"/>
              </w:rPr>
              <w:t>5</w:t>
            </w:r>
          </w:p>
        </w:tc>
        <w:tc>
          <w:tcPr>
            <w:tcW w:w="1368" w:type="dxa"/>
            <w:tcBorders>
              <w:top w:val="nil"/>
              <w:bottom w:val="nil"/>
            </w:tcBorders>
            <w:vAlign w:val="center"/>
          </w:tcPr>
          <w:p w14:paraId="6B38BE00" w14:textId="6147ABEC"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w:t>
            </w:r>
          </w:p>
        </w:tc>
      </w:tr>
      <w:tr w:rsidR="008047AE" w:rsidRPr="00D30537" w14:paraId="4D24CF42" w14:textId="777C02BF" w:rsidTr="00B978CD">
        <w:tc>
          <w:tcPr>
            <w:tcW w:w="3819" w:type="dxa"/>
            <w:tcBorders>
              <w:top w:val="nil"/>
              <w:bottom w:val="nil"/>
            </w:tcBorders>
          </w:tcPr>
          <w:p w14:paraId="31985689" w14:textId="1ACBF520"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MAIC 1 (PFS HR: 0.59)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unlinked </w:t>
            </w:r>
            <w:r w:rsidRPr="00D30537">
              <w:rPr>
                <w:rFonts w:ascii="Arial Narrow" w:hAnsi="Arial Narrow"/>
                <w:sz w:val="20"/>
                <w:szCs w:val="20"/>
                <w:vertAlign w:val="superscript"/>
              </w:rPr>
              <w:t>a</w:t>
            </w:r>
          </w:p>
        </w:tc>
        <w:tc>
          <w:tcPr>
            <w:tcW w:w="1137" w:type="dxa"/>
            <w:tcBorders>
              <w:top w:val="nil"/>
              <w:bottom w:val="nil"/>
            </w:tcBorders>
            <w:vAlign w:val="center"/>
          </w:tcPr>
          <w:p w14:paraId="3C3CA1B5" w14:textId="03AE3312"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7D1471B8" w14:textId="5AA380D4"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0.701</w:t>
            </w:r>
          </w:p>
        </w:tc>
        <w:tc>
          <w:tcPr>
            <w:tcW w:w="1418" w:type="dxa"/>
            <w:tcBorders>
              <w:top w:val="nil"/>
              <w:bottom w:val="nil"/>
            </w:tcBorders>
            <w:vAlign w:val="center"/>
          </w:tcPr>
          <w:p w14:paraId="145B9F4D" w14:textId="433F7AC2" w:rsidR="008047AE" w:rsidRPr="001533BF"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bottom w:val="nil"/>
            </w:tcBorders>
            <w:vAlign w:val="center"/>
          </w:tcPr>
          <w:p w14:paraId="19FAFF67" w14:textId="610B2931" w:rsidR="008047AE" w:rsidRPr="00D30537" w:rsidRDefault="00D863F0" w:rsidP="00DA16AE">
            <w:pPr>
              <w:keepNext/>
              <w:keepLines/>
              <w:jc w:val="center"/>
              <w:rPr>
                <w:rFonts w:ascii="Arial Narrow" w:hAnsi="Arial Narrow"/>
                <w:sz w:val="20"/>
                <w:szCs w:val="20"/>
              </w:rPr>
            </w:pPr>
            <w:r w:rsidRPr="00D863F0">
              <w:rPr>
                <w:rFonts w:ascii="Arial Narrow" w:hAnsi="Arial Narrow"/>
                <w:sz w:val="20"/>
                <w:szCs w:val="20"/>
                <w:highlight w:val="black"/>
              </w:rPr>
              <w:t>&amp;&amp;&amp;&amp;</w:t>
            </w:r>
            <w:r w:rsidR="008047AE" w:rsidRPr="00D30537">
              <w:rPr>
                <w:rFonts w:ascii="Arial Narrow" w:hAnsi="Arial Narrow"/>
                <w:sz w:val="20"/>
                <w:szCs w:val="20"/>
              </w:rPr>
              <w:t>%</w:t>
            </w:r>
          </w:p>
        </w:tc>
      </w:tr>
      <w:tr w:rsidR="008047AE" w:rsidRPr="00D30537" w14:paraId="7A4F3EEA" w14:textId="5CD42DF1" w:rsidTr="00B978CD">
        <w:tc>
          <w:tcPr>
            <w:tcW w:w="3819" w:type="dxa"/>
            <w:tcBorders>
              <w:bottom w:val="nil"/>
            </w:tcBorders>
          </w:tcPr>
          <w:p w14:paraId="183003B3" w14:textId="1516E2D1" w:rsidR="008047AE" w:rsidRPr="00D30537" w:rsidRDefault="008047AE" w:rsidP="00DA16AE">
            <w:pPr>
              <w:keepNext/>
              <w:keepLines/>
              <w:jc w:val="left"/>
              <w:rPr>
                <w:rFonts w:ascii="Arial Narrow" w:hAnsi="Arial Narrow"/>
                <w:sz w:val="20"/>
                <w:szCs w:val="20"/>
              </w:rPr>
            </w:pPr>
            <w:r w:rsidRPr="00D30537">
              <w:rPr>
                <w:rFonts w:ascii="Arial Narrow" w:hAnsi="Arial Narrow"/>
                <w:sz w:val="20"/>
                <w:szCs w:val="20"/>
              </w:rPr>
              <w:t>PFS parametric model (base case: Gen</w:t>
            </w:r>
            <w:r w:rsidR="005D4E3D" w:rsidRPr="00D30537">
              <w:rPr>
                <w:rFonts w:ascii="Arial Narrow" w:hAnsi="Arial Narrow"/>
                <w:sz w:val="20"/>
                <w:szCs w:val="20"/>
              </w:rPr>
              <w:t>.</w:t>
            </w:r>
            <w:r w:rsidRPr="00D30537">
              <w:rPr>
                <w:rFonts w:ascii="Arial Narrow" w:hAnsi="Arial Narrow"/>
                <w:sz w:val="20"/>
                <w:szCs w:val="20"/>
              </w:rPr>
              <w:t>gamma)</w:t>
            </w:r>
          </w:p>
        </w:tc>
        <w:tc>
          <w:tcPr>
            <w:tcW w:w="1137" w:type="dxa"/>
            <w:tcBorders>
              <w:top w:val="single" w:sz="4" w:space="0" w:color="auto"/>
              <w:left w:val="single" w:sz="4" w:space="0" w:color="auto"/>
              <w:bottom w:val="nil"/>
              <w:right w:val="single" w:sz="4" w:space="0" w:color="auto"/>
            </w:tcBorders>
            <w:vAlign w:val="center"/>
          </w:tcPr>
          <w:p w14:paraId="050AB303" w14:textId="2A081F07" w:rsidR="008047AE" w:rsidRPr="00D30537" w:rsidRDefault="008047AE" w:rsidP="00DA16AE">
            <w:pPr>
              <w:keepNext/>
              <w:keepLines/>
              <w:jc w:val="center"/>
              <w:rPr>
                <w:rFonts w:ascii="Arial Narrow" w:hAnsi="Arial Narrow" w:cs="Calibri"/>
                <w:color w:val="000000"/>
                <w:sz w:val="20"/>
                <w:szCs w:val="20"/>
              </w:rPr>
            </w:pPr>
          </w:p>
        </w:tc>
        <w:tc>
          <w:tcPr>
            <w:tcW w:w="1275" w:type="dxa"/>
            <w:tcBorders>
              <w:top w:val="single" w:sz="4" w:space="0" w:color="auto"/>
              <w:left w:val="nil"/>
              <w:bottom w:val="nil"/>
              <w:right w:val="single" w:sz="4" w:space="0" w:color="auto"/>
            </w:tcBorders>
            <w:vAlign w:val="center"/>
          </w:tcPr>
          <w:p w14:paraId="06822A6C" w14:textId="149B24BD" w:rsidR="008047AE" w:rsidRPr="00D30537" w:rsidRDefault="008047AE" w:rsidP="00DA16AE">
            <w:pPr>
              <w:keepNext/>
              <w:keepLines/>
              <w:jc w:val="center"/>
              <w:rPr>
                <w:rFonts w:ascii="Arial Narrow" w:hAnsi="Arial Narrow" w:cs="Calibri"/>
                <w:color w:val="000000"/>
                <w:sz w:val="20"/>
                <w:szCs w:val="20"/>
              </w:rPr>
            </w:pPr>
          </w:p>
        </w:tc>
        <w:tc>
          <w:tcPr>
            <w:tcW w:w="1418" w:type="dxa"/>
            <w:tcBorders>
              <w:top w:val="single" w:sz="4" w:space="0" w:color="auto"/>
              <w:left w:val="nil"/>
              <w:bottom w:val="nil"/>
              <w:right w:val="single" w:sz="4" w:space="0" w:color="auto"/>
            </w:tcBorders>
            <w:vAlign w:val="center"/>
          </w:tcPr>
          <w:p w14:paraId="4AA22AC7" w14:textId="1EDD2E4B" w:rsidR="008047AE" w:rsidRPr="00D30537" w:rsidRDefault="008047AE" w:rsidP="00DA16AE">
            <w:pPr>
              <w:keepNext/>
              <w:keepLines/>
              <w:jc w:val="center"/>
              <w:rPr>
                <w:rFonts w:ascii="Arial Narrow" w:hAnsi="Arial Narrow" w:cs="Calibri"/>
                <w:color w:val="000000"/>
                <w:sz w:val="20"/>
                <w:szCs w:val="20"/>
              </w:rPr>
            </w:pPr>
          </w:p>
        </w:tc>
        <w:tc>
          <w:tcPr>
            <w:tcW w:w="1368" w:type="dxa"/>
            <w:tcBorders>
              <w:top w:val="single" w:sz="4" w:space="0" w:color="auto"/>
              <w:left w:val="nil"/>
              <w:bottom w:val="nil"/>
              <w:right w:val="single" w:sz="4" w:space="0" w:color="auto"/>
            </w:tcBorders>
            <w:vAlign w:val="center"/>
          </w:tcPr>
          <w:p w14:paraId="4A500150" w14:textId="2645BF9A" w:rsidR="008047AE" w:rsidRPr="00D30537" w:rsidRDefault="008047AE" w:rsidP="00DA16AE">
            <w:pPr>
              <w:keepNext/>
              <w:keepLines/>
              <w:jc w:val="center"/>
              <w:rPr>
                <w:rFonts w:ascii="Arial Narrow" w:hAnsi="Arial Narrow" w:cs="Calibri"/>
                <w:color w:val="000000"/>
                <w:sz w:val="20"/>
                <w:szCs w:val="20"/>
              </w:rPr>
            </w:pPr>
          </w:p>
        </w:tc>
      </w:tr>
      <w:tr w:rsidR="008047AE" w:rsidRPr="00D30537" w14:paraId="3648F7E1" w14:textId="7A69E6DE" w:rsidTr="00B978CD">
        <w:tc>
          <w:tcPr>
            <w:tcW w:w="3819" w:type="dxa"/>
            <w:tcBorders>
              <w:top w:val="nil"/>
              <w:bottom w:val="nil"/>
            </w:tcBorders>
          </w:tcPr>
          <w:p w14:paraId="4D2D8394" w14:textId="5D3D0888"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Weibull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w:t>
            </w:r>
          </w:p>
        </w:tc>
        <w:tc>
          <w:tcPr>
            <w:tcW w:w="1137" w:type="dxa"/>
            <w:tcBorders>
              <w:top w:val="nil"/>
              <w:bottom w:val="nil"/>
            </w:tcBorders>
            <w:vAlign w:val="center"/>
          </w:tcPr>
          <w:p w14:paraId="661DA63F" w14:textId="7ACE74F3"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1A7FA4CB" w14:textId="51EE340D"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0.716</w:t>
            </w:r>
          </w:p>
        </w:tc>
        <w:tc>
          <w:tcPr>
            <w:tcW w:w="1418" w:type="dxa"/>
            <w:tcBorders>
              <w:top w:val="nil"/>
              <w:bottom w:val="nil"/>
            </w:tcBorders>
            <w:vAlign w:val="center"/>
          </w:tcPr>
          <w:p w14:paraId="2DE1B46C" w14:textId="32D9F578" w:rsidR="008047AE" w:rsidRPr="00E43307"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43307">
              <w:rPr>
                <w:rFonts w:ascii="Arial Narrow" w:hAnsi="Arial Narrow"/>
                <w:sz w:val="20"/>
                <w:szCs w:val="20"/>
                <w:vertAlign w:val="superscript"/>
              </w:rPr>
              <w:t>7</w:t>
            </w:r>
          </w:p>
        </w:tc>
        <w:tc>
          <w:tcPr>
            <w:tcW w:w="1368" w:type="dxa"/>
            <w:tcBorders>
              <w:top w:val="nil"/>
              <w:left w:val="nil"/>
              <w:bottom w:val="nil"/>
              <w:right w:val="single" w:sz="4" w:space="0" w:color="auto"/>
            </w:tcBorders>
            <w:vAlign w:val="center"/>
          </w:tcPr>
          <w:p w14:paraId="46D3614F" w14:textId="2AA9553B"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73D3F009" w14:textId="3F4300B0" w:rsidTr="00B978CD">
        <w:tc>
          <w:tcPr>
            <w:tcW w:w="3819" w:type="dxa"/>
            <w:tcBorders>
              <w:top w:val="nil"/>
              <w:bottom w:val="nil"/>
            </w:tcBorders>
          </w:tcPr>
          <w:p w14:paraId="285A46F6" w14:textId="3FDF5D51"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Loglogistic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w:t>
            </w:r>
          </w:p>
        </w:tc>
        <w:tc>
          <w:tcPr>
            <w:tcW w:w="1137" w:type="dxa"/>
            <w:tcBorders>
              <w:top w:val="nil"/>
              <w:bottom w:val="nil"/>
            </w:tcBorders>
            <w:vAlign w:val="center"/>
          </w:tcPr>
          <w:p w14:paraId="2A610523" w14:textId="16162E93"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670EEB46" w14:textId="685F696A"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0.722</w:t>
            </w:r>
          </w:p>
        </w:tc>
        <w:tc>
          <w:tcPr>
            <w:tcW w:w="1418" w:type="dxa"/>
            <w:tcBorders>
              <w:top w:val="nil"/>
              <w:bottom w:val="nil"/>
            </w:tcBorders>
            <w:vAlign w:val="center"/>
          </w:tcPr>
          <w:p w14:paraId="4264DB49" w14:textId="26BFC54F" w:rsidR="008047AE" w:rsidRPr="00062E26"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4</w:t>
            </w:r>
          </w:p>
        </w:tc>
        <w:tc>
          <w:tcPr>
            <w:tcW w:w="1368" w:type="dxa"/>
            <w:tcBorders>
              <w:top w:val="nil"/>
              <w:left w:val="nil"/>
              <w:bottom w:val="nil"/>
              <w:right w:val="single" w:sz="4" w:space="0" w:color="auto"/>
            </w:tcBorders>
            <w:vAlign w:val="center"/>
          </w:tcPr>
          <w:p w14:paraId="323D46DA" w14:textId="18842516"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72ADBCAE" w14:textId="50B892DA" w:rsidTr="00B978CD">
        <w:tc>
          <w:tcPr>
            <w:tcW w:w="3819" w:type="dxa"/>
            <w:tcBorders>
              <w:top w:val="nil"/>
              <w:bottom w:val="nil"/>
            </w:tcBorders>
          </w:tcPr>
          <w:p w14:paraId="24AC771E" w14:textId="6CFCDEA7"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Lognormal (</w:t>
            </w:r>
            <w:proofErr w:type="spellStart"/>
            <w:r w:rsidRPr="00D30537">
              <w:rPr>
                <w:rFonts w:ascii="Arial Narrow" w:hAnsi="Arial Narrow"/>
                <w:sz w:val="20"/>
                <w:szCs w:val="20"/>
              </w:rPr>
              <w:t>ToT</w:t>
            </w:r>
            <w:proofErr w:type="spellEnd"/>
            <w:r w:rsidRPr="00D30537">
              <w:rPr>
                <w:rFonts w:ascii="Arial Narrow" w:hAnsi="Arial Narrow"/>
                <w:sz w:val="20"/>
                <w:szCs w:val="20"/>
              </w:rPr>
              <w:t xml:space="preserve"> linked)</w:t>
            </w:r>
          </w:p>
        </w:tc>
        <w:tc>
          <w:tcPr>
            <w:tcW w:w="1137" w:type="dxa"/>
            <w:tcBorders>
              <w:top w:val="nil"/>
              <w:bottom w:val="nil"/>
            </w:tcBorders>
            <w:vAlign w:val="center"/>
          </w:tcPr>
          <w:p w14:paraId="07627878" w14:textId="39114652"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67B43A68" w14:textId="359A803E"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0.721</w:t>
            </w:r>
          </w:p>
        </w:tc>
        <w:tc>
          <w:tcPr>
            <w:tcW w:w="1418" w:type="dxa"/>
            <w:tcBorders>
              <w:top w:val="nil"/>
              <w:bottom w:val="nil"/>
            </w:tcBorders>
            <w:vAlign w:val="center"/>
          </w:tcPr>
          <w:p w14:paraId="08318512" w14:textId="74E23FBF" w:rsidR="008047AE" w:rsidRPr="00062E26"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4</w:t>
            </w:r>
          </w:p>
        </w:tc>
        <w:tc>
          <w:tcPr>
            <w:tcW w:w="1368" w:type="dxa"/>
            <w:tcBorders>
              <w:top w:val="nil"/>
              <w:left w:val="nil"/>
              <w:bottom w:val="nil"/>
              <w:right w:val="single" w:sz="4" w:space="0" w:color="auto"/>
            </w:tcBorders>
            <w:vAlign w:val="center"/>
          </w:tcPr>
          <w:p w14:paraId="6ECABC7B" w14:textId="7658E8B8"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5B8AD665" w14:textId="28348C57" w:rsidTr="00B978CD">
        <w:tc>
          <w:tcPr>
            <w:tcW w:w="3819" w:type="dxa"/>
            <w:tcBorders>
              <w:bottom w:val="nil"/>
            </w:tcBorders>
          </w:tcPr>
          <w:p w14:paraId="0E2C651C" w14:textId="4EC2412D" w:rsidR="008047AE" w:rsidRPr="00D30537" w:rsidRDefault="008047AE" w:rsidP="00DA16AE">
            <w:pPr>
              <w:keepNext/>
              <w:keepLines/>
              <w:jc w:val="left"/>
              <w:rPr>
                <w:rFonts w:ascii="Arial Narrow" w:hAnsi="Arial Narrow"/>
                <w:sz w:val="20"/>
                <w:szCs w:val="20"/>
              </w:rPr>
            </w:pPr>
            <w:r w:rsidRPr="00D30537">
              <w:rPr>
                <w:rFonts w:ascii="Arial Narrow" w:hAnsi="Arial Narrow"/>
                <w:sz w:val="20"/>
                <w:szCs w:val="20"/>
              </w:rPr>
              <w:t>Extrapolation assumptions (base case: no convergence)</w:t>
            </w:r>
          </w:p>
        </w:tc>
        <w:tc>
          <w:tcPr>
            <w:tcW w:w="1137" w:type="dxa"/>
            <w:tcBorders>
              <w:top w:val="single" w:sz="4" w:space="0" w:color="auto"/>
              <w:left w:val="single" w:sz="4" w:space="0" w:color="auto"/>
              <w:bottom w:val="nil"/>
              <w:right w:val="single" w:sz="4" w:space="0" w:color="auto"/>
            </w:tcBorders>
            <w:vAlign w:val="center"/>
          </w:tcPr>
          <w:p w14:paraId="582FAD6D" w14:textId="0D4B28AD" w:rsidR="008047AE" w:rsidRPr="00D30537" w:rsidRDefault="008047AE" w:rsidP="00DA16AE">
            <w:pPr>
              <w:keepNext/>
              <w:keepLines/>
              <w:jc w:val="center"/>
              <w:rPr>
                <w:rFonts w:ascii="Arial Narrow" w:hAnsi="Arial Narrow" w:cs="Calibri"/>
                <w:color w:val="000000"/>
                <w:sz w:val="20"/>
                <w:szCs w:val="20"/>
              </w:rPr>
            </w:pPr>
          </w:p>
        </w:tc>
        <w:tc>
          <w:tcPr>
            <w:tcW w:w="1275" w:type="dxa"/>
            <w:tcBorders>
              <w:top w:val="single" w:sz="4" w:space="0" w:color="auto"/>
              <w:left w:val="nil"/>
              <w:bottom w:val="nil"/>
              <w:right w:val="single" w:sz="4" w:space="0" w:color="auto"/>
            </w:tcBorders>
            <w:vAlign w:val="center"/>
          </w:tcPr>
          <w:p w14:paraId="381D08AA" w14:textId="176439B6" w:rsidR="008047AE" w:rsidRPr="00D30537" w:rsidRDefault="008047AE" w:rsidP="00DA16AE">
            <w:pPr>
              <w:keepNext/>
              <w:keepLines/>
              <w:jc w:val="center"/>
              <w:rPr>
                <w:rFonts w:ascii="Arial Narrow" w:hAnsi="Arial Narrow" w:cs="Calibri"/>
                <w:color w:val="000000"/>
                <w:sz w:val="20"/>
                <w:szCs w:val="20"/>
              </w:rPr>
            </w:pPr>
          </w:p>
        </w:tc>
        <w:tc>
          <w:tcPr>
            <w:tcW w:w="1418" w:type="dxa"/>
            <w:tcBorders>
              <w:top w:val="single" w:sz="4" w:space="0" w:color="auto"/>
              <w:left w:val="nil"/>
              <w:bottom w:val="nil"/>
              <w:right w:val="single" w:sz="4" w:space="0" w:color="auto"/>
            </w:tcBorders>
            <w:vAlign w:val="center"/>
          </w:tcPr>
          <w:p w14:paraId="4CE221F9" w14:textId="7B06ABD1" w:rsidR="008047AE" w:rsidRPr="00D30537" w:rsidRDefault="008047AE" w:rsidP="00DA16AE">
            <w:pPr>
              <w:keepNext/>
              <w:keepLines/>
              <w:jc w:val="center"/>
              <w:rPr>
                <w:rFonts w:ascii="Arial Narrow" w:hAnsi="Arial Narrow" w:cs="Calibri"/>
                <w:color w:val="000000"/>
                <w:sz w:val="20"/>
                <w:szCs w:val="20"/>
              </w:rPr>
            </w:pPr>
          </w:p>
        </w:tc>
        <w:tc>
          <w:tcPr>
            <w:tcW w:w="1368" w:type="dxa"/>
            <w:tcBorders>
              <w:top w:val="single" w:sz="4" w:space="0" w:color="auto"/>
              <w:left w:val="nil"/>
              <w:bottom w:val="nil"/>
              <w:right w:val="single" w:sz="4" w:space="0" w:color="auto"/>
            </w:tcBorders>
            <w:vAlign w:val="center"/>
          </w:tcPr>
          <w:p w14:paraId="1A3E1A7C" w14:textId="49FA73AD" w:rsidR="008047AE" w:rsidRPr="00D30537" w:rsidRDefault="008047AE" w:rsidP="00DA16AE">
            <w:pPr>
              <w:keepNext/>
              <w:keepLines/>
              <w:jc w:val="center"/>
              <w:rPr>
                <w:rFonts w:ascii="Arial Narrow" w:hAnsi="Arial Narrow" w:cs="Calibri"/>
                <w:color w:val="000000"/>
                <w:sz w:val="20"/>
                <w:szCs w:val="20"/>
              </w:rPr>
            </w:pPr>
          </w:p>
        </w:tc>
      </w:tr>
      <w:tr w:rsidR="008047AE" w:rsidRPr="00D30537" w14:paraId="60FDA911" w14:textId="3C923C30" w:rsidTr="00B978CD">
        <w:tc>
          <w:tcPr>
            <w:tcW w:w="3819" w:type="dxa"/>
            <w:tcBorders>
              <w:top w:val="nil"/>
              <w:bottom w:val="nil"/>
            </w:tcBorders>
          </w:tcPr>
          <w:p w14:paraId="784FC83D" w14:textId="17F224E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Risk convergence from 3 </w:t>
            </w:r>
            <w:r w:rsidR="008301F6" w:rsidRPr="00D30537">
              <w:rPr>
                <w:rFonts w:ascii="Arial Narrow" w:hAnsi="Arial Narrow"/>
                <w:sz w:val="20"/>
                <w:szCs w:val="20"/>
              </w:rPr>
              <w:t>yrs</w:t>
            </w:r>
            <w:r w:rsidR="008301F6" w:rsidRPr="00D30537">
              <w:rPr>
                <w:rFonts w:ascii="Arial Narrow" w:hAnsi="Arial Narrow"/>
                <w:sz w:val="20"/>
                <w:szCs w:val="20"/>
                <w:vertAlign w:val="superscript"/>
              </w:rPr>
              <w:t xml:space="preserve"> </w:t>
            </w:r>
            <w:r w:rsidR="00FB398C" w:rsidRPr="00D30537">
              <w:rPr>
                <w:rFonts w:ascii="Arial Narrow" w:hAnsi="Arial Narrow"/>
                <w:sz w:val="20"/>
                <w:szCs w:val="20"/>
                <w:vertAlign w:val="superscript"/>
              </w:rPr>
              <w:t>b</w:t>
            </w:r>
          </w:p>
        </w:tc>
        <w:tc>
          <w:tcPr>
            <w:tcW w:w="1137" w:type="dxa"/>
            <w:tcBorders>
              <w:top w:val="nil"/>
              <w:bottom w:val="nil"/>
            </w:tcBorders>
            <w:vAlign w:val="center"/>
          </w:tcPr>
          <w:p w14:paraId="27C1CD6A" w14:textId="25669086"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50F21BB8" w14:textId="5BA5DF55"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0.628</w:t>
            </w:r>
          </w:p>
        </w:tc>
        <w:tc>
          <w:tcPr>
            <w:tcW w:w="1418" w:type="dxa"/>
            <w:tcBorders>
              <w:top w:val="nil"/>
              <w:bottom w:val="nil"/>
            </w:tcBorders>
            <w:vAlign w:val="center"/>
          </w:tcPr>
          <w:p w14:paraId="731E553B" w14:textId="5E9E6D5C" w:rsidR="008047AE" w:rsidRPr="001533BF"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left w:val="nil"/>
              <w:bottom w:val="nil"/>
              <w:right w:val="single" w:sz="4" w:space="0" w:color="auto"/>
            </w:tcBorders>
            <w:vAlign w:val="center"/>
          </w:tcPr>
          <w:p w14:paraId="6DB8AE25" w14:textId="7C7680A3"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0512B216" w14:textId="038287A0" w:rsidTr="00B978CD">
        <w:tc>
          <w:tcPr>
            <w:tcW w:w="3819" w:type="dxa"/>
            <w:tcBorders>
              <w:top w:val="nil"/>
              <w:bottom w:val="nil"/>
            </w:tcBorders>
          </w:tcPr>
          <w:p w14:paraId="7E4BD31B" w14:textId="0732B41E"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Risk convergence 5 </w:t>
            </w:r>
            <w:r w:rsidR="008301F6" w:rsidRPr="00D30537">
              <w:rPr>
                <w:rFonts w:ascii="Arial Narrow" w:hAnsi="Arial Narrow"/>
                <w:sz w:val="20"/>
                <w:szCs w:val="20"/>
              </w:rPr>
              <w:t>yrs</w:t>
            </w:r>
            <w:r w:rsidR="008301F6" w:rsidRPr="00D30537">
              <w:rPr>
                <w:rFonts w:ascii="Arial Narrow" w:hAnsi="Arial Narrow"/>
                <w:sz w:val="20"/>
                <w:szCs w:val="20"/>
                <w:vertAlign w:val="superscript"/>
              </w:rPr>
              <w:t xml:space="preserve"> </w:t>
            </w:r>
            <w:r w:rsidR="00FB398C" w:rsidRPr="00D30537">
              <w:rPr>
                <w:rFonts w:ascii="Arial Narrow" w:hAnsi="Arial Narrow"/>
                <w:sz w:val="20"/>
                <w:szCs w:val="20"/>
                <w:vertAlign w:val="superscript"/>
              </w:rPr>
              <w:t>b</w:t>
            </w:r>
          </w:p>
        </w:tc>
        <w:tc>
          <w:tcPr>
            <w:tcW w:w="1137" w:type="dxa"/>
            <w:tcBorders>
              <w:top w:val="nil"/>
              <w:bottom w:val="nil"/>
            </w:tcBorders>
            <w:vAlign w:val="center"/>
          </w:tcPr>
          <w:p w14:paraId="3DEE9C29" w14:textId="3AAA7C6A"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05E9935C" w14:textId="56ADAEC1"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0.708</w:t>
            </w:r>
          </w:p>
        </w:tc>
        <w:tc>
          <w:tcPr>
            <w:tcW w:w="1418" w:type="dxa"/>
            <w:tcBorders>
              <w:top w:val="nil"/>
              <w:bottom w:val="nil"/>
            </w:tcBorders>
            <w:vAlign w:val="center"/>
          </w:tcPr>
          <w:p w14:paraId="6CC6E851" w14:textId="26D492CB" w:rsidR="008047AE" w:rsidRPr="001533BF"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left w:val="nil"/>
              <w:bottom w:val="nil"/>
              <w:right w:val="single" w:sz="4" w:space="0" w:color="auto"/>
            </w:tcBorders>
            <w:vAlign w:val="center"/>
          </w:tcPr>
          <w:p w14:paraId="25CB5899" w14:textId="402066CB"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54DDDE4C" w14:textId="3914A2FE" w:rsidTr="00B978CD">
        <w:tc>
          <w:tcPr>
            <w:tcW w:w="3819" w:type="dxa"/>
            <w:tcBorders>
              <w:top w:val="nil"/>
              <w:bottom w:val="nil"/>
            </w:tcBorders>
          </w:tcPr>
          <w:p w14:paraId="3946BAED" w14:textId="6A7BC1F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Curve convergence</w:t>
            </w:r>
            <w:r w:rsidR="00C67766" w:rsidRPr="00D30537">
              <w:rPr>
                <w:rFonts w:ascii="Arial Narrow" w:hAnsi="Arial Narrow"/>
                <w:sz w:val="20"/>
                <w:szCs w:val="20"/>
              </w:rPr>
              <w:t xml:space="preserve"> </w:t>
            </w:r>
            <w:r w:rsidRPr="00D30537">
              <w:rPr>
                <w:rFonts w:ascii="Arial Narrow" w:hAnsi="Arial Narrow"/>
                <w:sz w:val="20"/>
                <w:szCs w:val="20"/>
              </w:rPr>
              <w:t>between 3</w:t>
            </w:r>
            <w:r w:rsidR="00FB398C" w:rsidRPr="00D30537">
              <w:rPr>
                <w:rFonts w:ascii="Arial Narrow" w:hAnsi="Arial Narrow"/>
                <w:sz w:val="20"/>
                <w:szCs w:val="20"/>
                <w:vertAlign w:val="superscript"/>
              </w:rPr>
              <w:t>c</w:t>
            </w:r>
            <w:r w:rsidRPr="00D30537">
              <w:rPr>
                <w:rFonts w:ascii="Arial Narrow" w:hAnsi="Arial Narrow"/>
                <w:sz w:val="20"/>
                <w:szCs w:val="20"/>
              </w:rPr>
              <w:t xml:space="preserve"> and 7.5 yrs</w:t>
            </w:r>
          </w:p>
        </w:tc>
        <w:tc>
          <w:tcPr>
            <w:tcW w:w="1137" w:type="dxa"/>
            <w:tcBorders>
              <w:top w:val="nil"/>
              <w:bottom w:val="nil"/>
            </w:tcBorders>
            <w:vAlign w:val="center"/>
          </w:tcPr>
          <w:p w14:paraId="697DF421" w14:textId="46B77D91"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200B949F" w14:textId="04F90B2C"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0.510</w:t>
            </w:r>
          </w:p>
        </w:tc>
        <w:tc>
          <w:tcPr>
            <w:tcW w:w="1418" w:type="dxa"/>
            <w:tcBorders>
              <w:top w:val="nil"/>
              <w:bottom w:val="nil"/>
            </w:tcBorders>
            <w:vAlign w:val="center"/>
          </w:tcPr>
          <w:p w14:paraId="77514A2F" w14:textId="594A5F64" w:rsidR="008047AE" w:rsidRPr="00062E26"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D00D1E">
              <w:rPr>
                <w:rFonts w:ascii="Arial Narrow" w:hAnsi="Arial Narrow"/>
                <w:sz w:val="20"/>
                <w:szCs w:val="20"/>
                <w:vertAlign w:val="superscript"/>
              </w:rPr>
              <w:t>4</w:t>
            </w:r>
          </w:p>
        </w:tc>
        <w:tc>
          <w:tcPr>
            <w:tcW w:w="1368" w:type="dxa"/>
            <w:tcBorders>
              <w:top w:val="nil"/>
              <w:left w:val="nil"/>
              <w:bottom w:val="nil"/>
              <w:right w:val="single" w:sz="4" w:space="0" w:color="auto"/>
            </w:tcBorders>
            <w:vAlign w:val="center"/>
          </w:tcPr>
          <w:p w14:paraId="0497F6A6" w14:textId="7C39243E"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45C6FC9E" w14:textId="20605D79" w:rsidTr="00B978CD">
        <w:tc>
          <w:tcPr>
            <w:tcW w:w="3819" w:type="dxa"/>
            <w:tcBorders>
              <w:top w:val="nil"/>
              <w:bottom w:val="single" w:sz="4" w:space="0" w:color="auto"/>
            </w:tcBorders>
          </w:tcPr>
          <w:p w14:paraId="5EA5F8F4" w14:textId="3C963E2F"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Curve convergence</w:t>
            </w:r>
            <w:r w:rsidR="00C67766" w:rsidRPr="00D30537">
              <w:rPr>
                <w:rFonts w:ascii="Arial Narrow" w:hAnsi="Arial Narrow"/>
                <w:sz w:val="20"/>
                <w:szCs w:val="20"/>
              </w:rPr>
              <w:t xml:space="preserve"> </w:t>
            </w:r>
            <w:r w:rsidRPr="00D30537">
              <w:rPr>
                <w:rFonts w:ascii="Arial Narrow" w:hAnsi="Arial Narrow"/>
                <w:sz w:val="20"/>
                <w:szCs w:val="20"/>
              </w:rPr>
              <w:t>between 5</w:t>
            </w:r>
            <w:r w:rsidR="00FB398C" w:rsidRPr="00D30537">
              <w:rPr>
                <w:rFonts w:ascii="Arial Narrow" w:hAnsi="Arial Narrow"/>
                <w:sz w:val="20"/>
                <w:szCs w:val="20"/>
                <w:vertAlign w:val="superscript"/>
              </w:rPr>
              <w:t>c</w:t>
            </w:r>
            <w:r w:rsidRPr="00D30537">
              <w:rPr>
                <w:rFonts w:ascii="Arial Narrow" w:hAnsi="Arial Narrow"/>
                <w:sz w:val="20"/>
                <w:szCs w:val="20"/>
              </w:rPr>
              <w:t xml:space="preserve"> and 7.5 </w:t>
            </w:r>
            <w:r w:rsidR="008301F6" w:rsidRPr="00D30537">
              <w:rPr>
                <w:rFonts w:ascii="Arial Narrow" w:hAnsi="Arial Narrow"/>
                <w:sz w:val="20"/>
                <w:szCs w:val="20"/>
              </w:rPr>
              <w:t>yrs</w:t>
            </w:r>
          </w:p>
        </w:tc>
        <w:tc>
          <w:tcPr>
            <w:tcW w:w="1137" w:type="dxa"/>
            <w:tcBorders>
              <w:top w:val="nil"/>
              <w:bottom w:val="single" w:sz="4" w:space="0" w:color="auto"/>
            </w:tcBorders>
            <w:vAlign w:val="center"/>
          </w:tcPr>
          <w:p w14:paraId="204C7F56" w14:textId="57A020DE"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single" w:sz="4" w:space="0" w:color="auto"/>
            </w:tcBorders>
            <w:vAlign w:val="center"/>
          </w:tcPr>
          <w:p w14:paraId="31BDBFCA" w14:textId="4760930E" w:rsidR="008047AE" w:rsidRPr="00D30537" w:rsidRDefault="008047AE" w:rsidP="00DA16AE">
            <w:pPr>
              <w:keepNext/>
              <w:keepLines/>
              <w:jc w:val="center"/>
              <w:rPr>
                <w:rFonts w:ascii="Arial Narrow" w:hAnsi="Arial Narrow" w:cs="Calibri"/>
                <w:color w:val="000000"/>
                <w:sz w:val="20"/>
                <w:szCs w:val="20"/>
              </w:rPr>
            </w:pPr>
            <w:r w:rsidRPr="00D30537">
              <w:rPr>
                <w:rFonts w:ascii="Arial Narrow" w:hAnsi="Arial Narrow"/>
                <w:sz w:val="20"/>
                <w:szCs w:val="20"/>
              </w:rPr>
              <w:t>0.610</w:t>
            </w:r>
          </w:p>
        </w:tc>
        <w:tc>
          <w:tcPr>
            <w:tcW w:w="1418" w:type="dxa"/>
            <w:tcBorders>
              <w:top w:val="nil"/>
              <w:bottom w:val="single" w:sz="4" w:space="0" w:color="auto"/>
            </w:tcBorders>
            <w:vAlign w:val="center"/>
          </w:tcPr>
          <w:p w14:paraId="57736F0A" w14:textId="3A009850" w:rsidR="008047AE" w:rsidRPr="00E43307" w:rsidRDefault="008047AE"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43307">
              <w:rPr>
                <w:rFonts w:ascii="Arial Narrow" w:hAnsi="Arial Narrow"/>
                <w:sz w:val="20"/>
                <w:szCs w:val="20"/>
                <w:vertAlign w:val="superscript"/>
              </w:rPr>
              <w:t>6</w:t>
            </w:r>
          </w:p>
        </w:tc>
        <w:tc>
          <w:tcPr>
            <w:tcW w:w="1368" w:type="dxa"/>
            <w:tcBorders>
              <w:top w:val="nil"/>
              <w:left w:val="nil"/>
              <w:bottom w:val="single" w:sz="4" w:space="0" w:color="auto"/>
              <w:right w:val="single" w:sz="4" w:space="0" w:color="auto"/>
            </w:tcBorders>
            <w:vAlign w:val="center"/>
          </w:tcPr>
          <w:p w14:paraId="0277B77E" w14:textId="043B7605"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2CF5DCB7" w14:textId="247591B1" w:rsidTr="00B978CD">
        <w:tc>
          <w:tcPr>
            <w:tcW w:w="3819" w:type="dxa"/>
            <w:tcBorders>
              <w:top w:val="single" w:sz="4" w:space="0" w:color="auto"/>
              <w:bottom w:val="nil"/>
            </w:tcBorders>
          </w:tcPr>
          <w:p w14:paraId="7DD61ACE" w14:textId="00264D20" w:rsidR="008047AE" w:rsidRPr="00D30537" w:rsidRDefault="008047AE" w:rsidP="00DA16AE">
            <w:pPr>
              <w:keepNext/>
              <w:keepLines/>
              <w:rPr>
                <w:rFonts w:ascii="Arial Narrow" w:hAnsi="Arial Narrow"/>
                <w:sz w:val="20"/>
                <w:szCs w:val="20"/>
              </w:rPr>
            </w:pPr>
            <w:r w:rsidRPr="00D30537">
              <w:rPr>
                <w:rFonts w:ascii="Arial Narrow" w:hAnsi="Arial Narrow"/>
                <w:sz w:val="20"/>
                <w:szCs w:val="20"/>
              </w:rPr>
              <w:t>Avelumab exposure per dose (base case: 10 mg/kg including wastage; 932.1 mg)</w:t>
            </w:r>
          </w:p>
        </w:tc>
        <w:tc>
          <w:tcPr>
            <w:tcW w:w="1137" w:type="dxa"/>
            <w:tcBorders>
              <w:top w:val="single" w:sz="4" w:space="0" w:color="auto"/>
              <w:bottom w:val="nil"/>
            </w:tcBorders>
            <w:vAlign w:val="center"/>
          </w:tcPr>
          <w:p w14:paraId="19CF46C7" w14:textId="58696D16" w:rsidR="008047AE" w:rsidRPr="00D30537" w:rsidRDefault="008047AE" w:rsidP="00DA16AE">
            <w:pPr>
              <w:keepNext/>
              <w:keepLines/>
              <w:jc w:val="center"/>
              <w:rPr>
                <w:rFonts w:ascii="Arial Narrow" w:hAnsi="Arial Narrow"/>
                <w:sz w:val="20"/>
                <w:szCs w:val="20"/>
              </w:rPr>
            </w:pPr>
          </w:p>
        </w:tc>
        <w:tc>
          <w:tcPr>
            <w:tcW w:w="1275" w:type="dxa"/>
            <w:tcBorders>
              <w:top w:val="single" w:sz="4" w:space="0" w:color="auto"/>
              <w:bottom w:val="nil"/>
            </w:tcBorders>
            <w:vAlign w:val="center"/>
          </w:tcPr>
          <w:p w14:paraId="3FDAF02C" w14:textId="5F8AC221" w:rsidR="008047AE" w:rsidRPr="00D30537" w:rsidRDefault="008047AE" w:rsidP="00DA16AE">
            <w:pPr>
              <w:keepNext/>
              <w:keepLines/>
              <w:jc w:val="center"/>
              <w:rPr>
                <w:rFonts w:ascii="Arial Narrow" w:hAnsi="Arial Narrow"/>
                <w:sz w:val="20"/>
                <w:szCs w:val="20"/>
              </w:rPr>
            </w:pPr>
          </w:p>
        </w:tc>
        <w:tc>
          <w:tcPr>
            <w:tcW w:w="1418" w:type="dxa"/>
            <w:tcBorders>
              <w:top w:val="single" w:sz="4" w:space="0" w:color="auto"/>
              <w:bottom w:val="nil"/>
            </w:tcBorders>
            <w:vAlign w:val="center"/>
          </w:tcPr>
          <w:p w14:paraId="4D3CA472" w14:textId="69464BBF" w:rsidR="008047AE" w:rsidRPr="00D30537" w:rsidRDefault="008047AE" w:rsidP="00DA16AE">
            <w:pPr>
              <w:keepNext/>
              <w:keepLines/>
              <w:jc w:val="center"/>
              <w:rPr>
                <w:rFonts w:ascii="Arial Narrow" w:hAnsi="Arial Narrow"/>
                <w:sz w:val="20"/>
                <w:szCs w:val="20"/>
              </w:rPr>
            </w:pPr>
          </w:p>
        </w:tc>
        <w:tc>
          <w:tcPr>
            <w:tcW w:w="1368" w:type="dxa"/>
            <w:tcBorders>
              <w:top w:val="single" w:sz="4" w:space="0" w:color="auto"/>
              <w:left w:val="nil"/>
              <w:bottom w:val="nil"/>
              <w:right w:val="single" w:sz="4" w:space="0" w:color="auto"/>
            </w:tcBorders>
            <w:vAlign w:val="center"/>
          </w:tcPr>
          <w:p w14:paraId="2A7D88CD" w14:textId="48D4BD78" w:rsidR="008047AE" w:rsidRPr="00D30537" w:rsidRDefault="008047AE" w:rsidP="00DA16AE">
            <w:pPr>
              <w:keepNext/>
              <w:keepLines/>
              <w:jc w:val="center"/>
              <w:rPr>
                <w:rFonts w:ascii="Arial Narrow" w:hAnsi="Arial Narrow" w:cs="Calibri"/>
                <w:color w:val="000000"/>
                <w:sz w:val="20"/>
                <w:szCs w:val="20"/>
              </w:rPr>
            </w:pPr>
          </w:p>
        </w:tc>
      </w:tr>
      <w:tr w:rsidR="008047AE" w:rsidRPr="00D30537" w14:paraId="132F6C64" w14:textId="037544D5" w:rsidTr="00B978CD">
        <w:tc>
          <w:tcPr>
            <w:tcW w:w="3819" w:type="dxa"/>
            <w:tcBorders>
              <w:top w:val="nil"/>
              <w:bottom w:val="nil"/>
            </w:tcBorders>
          </w:tcPr>
          <w:p w14:paraId="266E4415" w14:textId="770616ED"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800 mg flat dosing</w:t>
            </w:r>
          </w:p>
        </w:tc>
        <w:tc>
          <w:tcPr>
            <w:tcW w:w="1137" w:type="dxa"/>
            <w:tcBorders>
              <w:top w:val="nil"/>
              <w:bottom w:val="nil"/>
            </w:tcBorders>
            <w:vAlign w:val="center"/>
          </w:tcPr>
          <w:p w14:paraId="6F36A468" w14:textId="2EBB345D"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1E4E0E43" w14:textId="5604BBC2" w:rsidR="008047AE" w:rsidRPr="00D30537" w:rsidRDefault="008047AE" w:rsidP="00DA16AE">
            <w:pPr>
              <w:keepNext/>
              <w:keepLines/>
              <w:jc w:val="center"/>
              <w:rPr>
                <w:rFonts w:ascii="Arial Narrow" w:hAnsi="Arial Narrow"/>
                <w:sz w:val="20"/>
                <w:szCs w:val="20"/>
              </w:rPr>
            </w:pPr>
            <w:r w:rsidRPr="00D30537">
              <w:rPr>
                <w:rFonts w:ascii="Arial Narrow" w:hAnsi="Arial Narrow"/>
                <w:sz w:val="20"/>
                <w:szCs w:val="20"/>
              </w:rPr>
              <w:t>0.725</w:t>
            </w:r>
          </w:p>
        </w:tc>
        <w:tc>
          <w:tcPr>
            <w:tcW w:w="1418" w:type="dxa"/>
            <w:tcBorders>
              <w:top w:val="nil"/>
              <w:bottom w:val="nil"/>
            </w:tcBorders>
            <w:vAlign w:val="center"/>
          </w:tcPr>
          <w:p w14:paraId="3385EA25" w14:textId="1C05139E" w:rsidR="008047AE" w:rsidRPr="00E43307" w:rsidRDefault="008047AE"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43307">
              <w:rPr>
                <w:rFonts w:ascii="Arial Narrow" w:hAnsi="Arial Narrow"/>
                <w:sz w:val="20"/>
                <w:szCs w:val="20"/>
                <w:vertAlign w:val="superscript"/>
              </w:rPr>
              <w:t>7</w:t>
            </w:r>
          </w:p>
        </w:tc>
        <w:tc>
          <w:tcPr>
            <w:tcW w:w="1368" w:type="dxa"/>
            <w:tcBorders>
              <w:top w:val="nil"/>
              <w:left w:val="nil"/>
              <w:bottom w:val="nil"/>
              <w:right w:val="single" w:sz="4" w:space="0" w:color="auto"/>
            </w:tcBorders>
            <w:vAlign w:val="center"/>
          </w:tcPr>
          <w:p w14:paraId="3374640F" w14:textId="48F03653"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8047AE" w:rsidRPr="00D30537" w14:paraId="0EB9D29F" w14:textId="6D23445D" w:rsidTr="00B978CD">
        <w:tc>
          <w:tcPr>
            <w:tcW w:w="3819" w:type="dxa"/>
            <w:tcBorders>
              <w:top w:val="nil"/>
              <w:bottom w:val="single" w:sz="4" w:space="0" w:color="auto"/>
            </w:tcBorders>
          </w:tcPr>
          <w:p w14:paraId="1D5E031C" w14:textId="14027AAC" w:rsidR="008047AE" w:rsidRPr="00D30537" w:rsidRDefault="008047AE"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 xml:space="preserve">July 2018 avelumab dose (849.2 mg) </w:t>
            </w:r>
            <w:r w:rsidR="00C67766" w:rsidRPr="00D30537">
              <w:rPr>
                <w:rFonts w:ascii="Arial Narrow" w:hAnsi="Arial Narrow"/>
                <w:sz w:val="20"/>
                <w:szCs w:val="20"/>
                <w:vertAlign w:val="superscript"/>
              </w:rPr>
              <w:t>d</w:t>
            </w:r>
          </w:p>
        </w:tc>
        <w:tc>
          <w:tcPr>
            <w:tcW w:w="1137" w:type="dxa"/>
            <w:tcBorders>
              <w:top w:val="nil"/>
              <w:left w:val="nil"/>
              <w:bottom w:val="single" w:sz="4" w:space="0" w:color="auto"/>
              <w:right w:val="single" w:sz="4" w:space="0" w:color="auto"/>
            </w:tcBorders>
            <w:vAlign w:val="center"/>
          </w:tcPr>
          <w:p w14:paraId="3AAA074A" w14:textId="19E79600"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p>
        </w:tc>
        <w:tc>
          <w:tcPr>
            <w:tcW w:w="1275" w:type="dxa"/>
            <w:tcBorders>
              <w:top w:val="nil"/>
              <w:left w:val="single" w:sz="4" w:space="0" w:color="auto"/>
              <w:bottom w:val="single" w:sz="4" w:space="0" w:color="auto"/>
              <w:right w:val="single" w:sz="4" w:space="0" w:color="auto"/>
            </w:tcBorders>
            <w:vAlign w:val="center"/>
          </w:tcPr>
          <w:p w14:paraId="27E66B9D" w14:textId="22E69F64" w:rsidR="008047AE" w:rsidRPr="00D30537" w:rsidRDefault="008047AE" w:rsidP="00DA16AE">
            <w:pPr>
              <w:keepNext/>
              <w:keepLines/>
              <w:jc w:val="center"/>
              <w:rPr>
                <w:rFonts w:ascii="Arial Narrow" w:hAnsi="Arial Narrow"/>
                <w:sz w:val="20"/>
                <w:szCs w:val="20"/>
              </w:rPr>
            </w:pPr>
            <w:r w:rsidRPr="00D30537">
              <w:rPr>
                <w:rFonts w:ascii="Arial Narrow" w:hAnsi="Arial Narrow"/>
                <w:color w:val="000000"/>
                <w:sz w:val="20"/>
                <w:szCs w:val="20"/>
              </w:rPr>
              <w:t>0.725</w:t>
            </w:r>
          </w:p>
        </w:tc>
        <w:tc>
          <w:tcPr>
            <w:tcW w:w="1418" w:type="dxa"/>
            <w:tcBorders>
              <w:top w:val="nil"/>
              <w:left w:val="single" w:sz="4" w:space="0" w:color="auto"/>
              <w:bottom w:val="single" w:sz="4" w:space="0" w:color="auto"/>
              <w:right w:val="single" w:sz="4" w:space="0" w:color="auto"/>
            </w:tcBorders>
            <w:vAlign w:val="center"/>
          </w:tcPr>
          <w:p w14:paraId="4DBB35AF" w14:textId="0ECC455F" w:rsidR="008047AE" w:rsidRPr="00062E26" w:rsidRDefault="008047AE" w:rsidP="00DA16AE">
            <w:pPr>
              <w:keepNext/>
              <w:keepLines/>
              <w:jc w:val="center"/>
              <w:rPr>
                <w:rFonts w:ascii="Arial Narrow" w:hAnsi="Arial Narrow"/>
                <w:sz w:val="20"/>
                <w:szCs w:val="20"/>
                <w:vertAlign w:val="superscript"/>
              </w:rPr>
            </w:pPr>
            <w:r w:rsidRPr="00D30537">
              <w:rPr>
                <w:rFonts w:ascii="Arial Narrow" w:hAnsi="Arial Narrow"/>
                <w:color w:val="000000"/>
                <w:sz w:val="20"/>
                <w:szCs w:val="20"/>
              </w:rPr>
              <w:t>$</w:t>
            </w:r>
            <w:r w:rsidR="00D863F0" w:rsidRPr="00D863F0">
              <w:rPr>
                <w:rFonts w:ascii="Arial Narrow" w:hAnsi="Arial Narrow"/>
                <w:color w:val="000000"/>
                <w:sz w:val="20"/>
                <w:szCs w:val="20"/>
                <w:highlight w:val="black"/>
              </w:rPr>
              <w:t>&amp;&amp;&amp;&amp;</w:t>
            </w:r>
            <w:r w:rsidR="00D00D1E">
              <w:rPr>
                <w:rFonts w:ascii="Arial Narrow" w:hAnsi="Arial Narrow"/>
                <w:color w:val="000000"/>
                <w:sz w:val="20"/>
                <w:szCs w:val="20"/>
                <w:vertAlign w:val="superscript"/>
              </w:rPr>
              <w:t>4</w:t>
            </w:r>
          </w:p>
        </w:tc>
        <w:tc>
          <w:tcPr>
            <w:tcW w:w="1368" w:type="dxa"/>
            <w:tcBorders>
              <w:top w:val="nil"/>
              <w:left w:val="single" w:sz="4" w:space="0" w:color="auto"/>
              <w:bottom w:val="single" w:sz="4" w:space="0" w:color="auto"/>
              <w:right w:val="single" w:sz="4" w:space="0" w:color="auto"/>
            </w:tcBorders>
            <w:vAlign w:val="center"/>
          </w:tcPr>
          <w:p w14:paraId="220757A3" w14:textId="5C1EF7B3" w:rsidR="008047AE"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8047AE" w:rsidRPr="00D30537">
              <w:rPr>
                <w:rFonts w:ascii="Arial Narrow" w:hAnsi="Arial Narrow" w:cs="Calibri"/>
                <w:color w:val="000000"/>
                <w:sz w:val="20"/>
                <w:szCs w:val="20"/>
              </w:rPr>
              <w:t>%</w:t>
            </w:r>
          </w:p>
        </w:tc>
      </w:tr>
      <w:tr w:rsidR="003D3576" w:rsidRPr="00D30537" w14:paraId="6BE88476" w14:textId="365BF712" w:rsidTr="00B978CD">
        <w:trPr>
          <w:cantSplit/>
          <w:trHeight w:val="20"/>
        </w:trPr>
        <w:tc>
          <w:tcPr>
            <w:tcW w:w="3819" w:type="dxa"/>
            <w:tcBorders>
              <w:bottom w:val="nil"/>
            </w:tcBorders>
          </w:tcPr>
          <w:p w14:paraId="764D6EAF" w14:textId="653DF8EB" w:rsidR="003D3576" w:rsidRPr="00D30537" w:rsidRDefault="003D3576" w:rsidP="00DA16AE">
            <w:pPr>
              <w:keepNext/>
              <w:keepLines/>
              <w:rPr>
                <w:rFonts w:ascii="Arial Narrow" w:hAnsi="Arial Narrow"/>
                <w:sz w:val="20"/>
                <w:szCs w:val="20"/>
              </w:rPr>
            </w:pPr>
            <w:r w:rsidRPr="00D30537">
              <w:rPr>
                <w:rFonts w:ascii="Arial Narrow" w:hAnsi="Arial Narrow"/>
                <w:sz w:val="20"/>
                <w:szCs w:val="20"/>
              </w:rPr>
              <w:t>Duration of KM data (base case: Gebski criterion 2; OS:60 mths, PFS: 24 mths)</w:t>
            </w:r>
          </w:p>
        </w:tc>
        <w:tc>
          <w:tcPr>
            <w:tcW w:w="1137" w:type="dxa"/>
            <w:tcBorders>
              <w:top w:val="single" w:sz="4" w:space="0" w:color="auto"/>
              <w:left w:val="single" w:sz="4" w:space="0" w:color="auto"/>
              <w:bottom w:val="nil"/>
              <w:right w:val="single" w:sz="4" w:space="0" w:color="auto"/>
            </w:tcBorders>
            <w:vAlign w:val="center"/>
          </w:tcPr>
          <w:p w14:paraId="139C39BF" w14:textId="15832BE9" w:rsidR="003D3576" w:rsidRPr="00D30537" w:rsidRDefault="003D3576" w:rsidP="00DA16AE">
            <w:pPr>
              <w:keepNext/>
              <w:keepLines/>
              <w:jc w:val="center"/>
              <w:rPr>
                <w:rFonts w:ascii="Arial Narrow" w:hAnsi="Arial Narrow" w:cs="Calibri"/>
                <w:color w:val="000000"/>
                <w:sz w:val="20"/>
                <w:szCs w:val="20"/>
              </w:rPr>
            </w:pPr>
          </w:p>
        </w:tc>
        <w:tc>
          <w:tcPr>
            <w:tcW w:w="1275" w:type="dxa"/>
            <w:tcBorders>
              <w:top w:val="single" w:sz="4" w:space="0" w:color="auto"/>
              <w:left w:val="nil"/>
              <w:bottom w:val="nil"/>
              <w:right w:val="single" w:sz="4" w:space="0" w:color="auto"/>
            </w:tcBorders>
            <w:vAlign w:val="center"/>
          </w:tcPr>
          <w:p w14:paraId="6B60114D" w14:textId="643849A2" w:rsidR="003D3576" w:rsidRPr="00D30537" w:rsidRDefault="003D3576" w:rsidP="00DA16AE">
            <w:pPr>
              <w:keepNext/>
              <w:keepLines/>
              <w:jc w:val="center"/>
              <w:rPr>
                <w:rFonts w:ascii="Arial Narrow" w:hAnsi="Arial Narrow" w:cs="Calibri"/>
                <w:color w:val="000000"/>
                <w:sz w:val="20"/>
                <w:szCs w:val="20"/>
              </w:rPr>
            </w:pPr>
          </w:p>
        </w:tc>
        <w:tc>
          <w:tcPr>
            <w:tcW w:w="1418" w:type="dxa"/>
            <w:tcBorders>
              <w:top w:val="single" w:sz="4" w:space="0" w:color="auto"/>
              <w:left w:val="nil"/>
              <w:bottom w:val="nil"/>
              <w:right w:val="single" w:sz="4" w:space="0" w:color="auto"/>
            </w:tcBorders>
            <w:vAlign w:val="center"/>
          </w:tcPr>
          <w:p w14:paraId="5F84AAA9" w14:textId="5E6DAA56" w:rsidR="003D3576" w:rsidRPr="00D30537" w:rsidRDefault="003D3576" w:rsidP="00DA16AE">
            <w:pPr>
              <w:keepNext/>
              <w:keepLines/>
              <w:jc w:val="center"/>
              <w:rPr>
                <w:rFonts w:ascii="Arial Narrow" w:hAnsi="Arial Narrow" w:cs="Calibri"/>
                <w:color w:val="000000"/>
                <w:sz w:val="20"/>
                <w:szCs w:val="20"/>
              </w:rPr>
            </w:pPr>
          </w:p>
        </w:tc>
        <w:tc>
          <w:tcPr>
            <w:tcW w:w="1368" w:type="dxa"/>
            <w:tcBorders>
              <w:top w:val="single" w:sz="4" w:space="0" w:color="auto"/>
              <w:left w:val="nil"/>
              <w:bottom w:val="nil"/>
              <w:right w:val="single" w:sz="4" w:space="0" w:color="auto"/>
            </w:tcBorders>
            <w:vAlign w:val="center"/>
          </w:tcPr>
          <w:p w14:paraId="7F94009D" w14:textId="302C80F5" w:rsidR="003D3576" w:rsidRPr="00D30537" w:rsidRDefault="003D3576" w:rsidP="00DA16AE">
            <w:pPr>
              <w:keepNext/>
              <w:keepLines/>
              <w:jc w:val="center"/>
              <w:rPr>
                <w:rFonts w:ascii="Arial Narrow" w:hAnsi="Arial Narrow" w:cs="Calibri"/>
                <w:color w:val="000000"/>
                <w:sz w:val="20"/>
                <w:szCs w:val="20"/>
              </w:rPr>
            </w:pPr>
          </w:p>
        </w:tc>
      </w:tr>
      <w:tr w:rsidR="003D3576" w:rsidRPr="00D30537" w14:paraId="4F8864AB" w14:textId="7BAD9B03" w:rsidTr="00B978CD">
        <w:trPr>
          <w:cantSplit/>
          <w:trHeight w:val="20"/>
        </w:trPr>
        <w:tc>
          <w:tcPr>
            <w:tcW w:w="3819" w:type="dxa"/>
            <w:tcBorders>
              <w:top w:val="nil"/>
              <w:bottom w:val="nil"/>
            </w:tcBorders>
          </w:tcPr>
          <w:p w14:paraId="522EA5C4" w14:textId="1716F415" w:rsidR="003D3576" w:rsidRPr="00D30537" w:rsidRDefault="003D3576"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Gebski criterion 1 (2.5%) (OS: 54 mths, PFS: 18 mths)</w:t>
            </w:r>
          </w:p>
        </w:tc>
        <w:tc>
          <w:tcPr>
            <w:tcW w:w="1137" w:type="dxa"/>
            <w:tcBorders>
              <w:top w:val="nil"/>
              <w:bottom w:val="nil"/>
            </w:tcBorders>
            <w:vAlign w:val="center"/>
          </w:tcPr>
          <w:p w14:paraId="629A36A1" w14:textId="5A314EA0"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512EA3F1" w14:textId="640FE682"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0.727</w:t>
            </w:r>
          </w:p>
        </w:tc>
        <w:tc>
          <w:tcPr>
            <w:tcW w:w="1418" w:type="dxa"/>
            <w:tcBorders>
              <w:top w:val="nil"/>
              <w:bottom w:val="nil"/>
            </w:tcBorders>
            <w:vAlign w:val="center"/>
          </w:tcPr>
          <w:p w14:paraId="05542C25" w14:textId="577E826B" w:rsidR="003D3576" w:rsidRPr="00EA1DD0" w:rsidRDefault="003D3576"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EA1DD0">
              <w:rPr>
                <w:rFonts w:ascii="Arial Narrow" w:hAnsi="Arial Narrow"/>
                <w:sz w:val="20"/>
                <w:szCs w:val="20"/>
                <w:vertAlign w:val="superscript"/>
              </w:rPr>
              <w:t>1</w:t>
            </w:r>
          </w:p>
        </w:tc>
        <w:tc>
          <w:tcPr>
            <w:tcW w:w="1368" w:type="dxa"/>
            <w:tcBorders>
              <w:top w:val="nil"/>
              <w:left w:val="nil"/>
              <w:bottom w:val="nil"/>
              <w:right w:val="single" w:sz="4" w:space="0" w:color="auto"/>
            </w:tcBorders>
            <w:vAlign w:val="center"/>
          </w:tcPr>
          <w:p w14:paraId="092E47E2" w14:textId="583A98DA"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cs="Calibri"/>
                <w:color w:val="000000"/>
                <w:sz w:val="20"/>
                <w:szCs w:val="20"/>
              </w:rPr>
              <w:t>-</w:t>
            </w:r>
            <w:r w:rsidR="00D863F0" w:rsidRPr="00D863F0">
              <w:rPr>
                <w:rFonts w:ascii="Arial Narrow" w:hAnsi="Arial Narrow" w:cs="Calibri"/>
                <w:color w:val="000000"/>
                <w:sz w:val="20"/>
                <w:szCs w:val="20"/>
                <w:highlight w:val="black"/>
              </w:rPr>
              <w:t>&amp;&amp;&amp;&amp;</w:t>
            </w:r>
            <w:r w:rsidRPr="00D30537">
              <w:rPr>
                <w:rFonts w:ascii="Arial Narrow" w:hAnsi="Arial Narrow" w:cs="Calibri"/>
                <w:color w:val="000000"/>
                <w:sz w:val="20"/>
                <w:szCs w:val="20"/>
              </w:rPr>
              <w:t>%</w:t>
            </w:r>
          </w:p>
        </w:tc>
      </w:tr>
      <w:tr w:rsidR="003D3576" w:rsidRPr="00D30537" w14:paraId="31016388" w14:textId="437C68DA" w:rsidTr="00B978CD">
        <w:trPr>
          <w:cantSplit/>
          <w:trHeight w:val="20"/>
        </w:trPr>
        <w:tc>
          <w:tcPr>
            <w:tcW w:w="3819" w:type="dxa"/>
            <w:tcBorders>
              <w:top w:val="nil"/>
              <w:bottom w:val="nil"/>
            </w:tcBorders>
          </w:tcPr>
          <w:p w14:paraId="3E8ADD78" w14:textId="59B949C4" w:rsidR="003D3576" w:rsidRPr="00D30537" w:rsidRDefault="003D3576"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Gebski criterion 1 (5%) (OS: 60 mths, PFS: 22 mths)</w:t>
            </w:r>
          </w:p>
        </w:tc>
        <w:tc>
          <w:tcPr>
            <w:tcW w:w="1137" w:type="dxa"/>
            <w:tcBorders>
              <w:top w:val="nil"/>
              <w:bottom w:val="nil"/>
            </w:tcBorders>
            <w:vAlign w:val="center"/>
          </w:tcPr>
          <w:p w14:paraId="705F2D44" w14:textId="2E6BFE7A"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nil"/>
              <w:bottom w:val="nil"/>
            </w:tcBorders>
            <w:vAlign w:val="center"/>
          </w:tcPr>
          <w:p w14:paraId="0E588065" w14:textId="2E942E85" w:rsidR="003D3576" w:rsidRPr="00D30537" w:rsidRDefault="003D3576" w:rsidP="00DA16AE">
            <w:pPr>
              <w:keepNext/>
              <w:keepLines/>
              <w:jc w:val="center"/>
              <w:rPr>
                <w:rFonts w:ascii="Arial Narrow" w:hAnsi="Arial Narrow" w:cs="Calibri"/>
                <w:color w:val="000000"/>
                <w:sz w:val="20"/>
                <w:szCs w:val="20"/>
              </w:rPr>
            </w:pPr>
            <w:r w:rsidRPr="00D30537">
              <w:rPr>
                <w:rFonts w:ascii="Arial Narrow" w:hAnsi="Arial Narrow"/>
                <w:sz w:val="20"/>
                <w:szCs w:val="20"/>
              </w:rPr>
              <w:t>0.725</w:t>
            </w:r>
          </w:p>
        </w:tc>
        <w:tc>
          <w:tcPr>
            <w:tcW w:w="1418" w:type="dxa"/>
            <w:tcBorders>
              <w:top w:val="nil"/>
              <w:bottom w:val="nil"/>
            </w:tcBorders>
            <w:vAlign w:val="center"/>
          </w:tcPr>
          <w:p w14:paraId="74424B60" w14:textId="3EE4F66F" w:rsidR="003D3576" w:rsidRPr="001533BF" w:rsidRDefault="003D3576" w:rsidP="00DA16AE">
            <w:pPr>
              <w:keepNext/>
              <w:keepLines/>
              <w:jc w:val="center"/>
              <w:rPr>
                <w:rFonts w:ascii="Arial Narrow" w:hAnsi="Arial Narrow" w:cs="Calibri"/>
                <w:color w:val="000000"/>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nil"/>
              <w:left w:val="nil"/>
              <w:bottom w:val="nil"/>
              <w:right w:val="single" w:sz="4" w:space="0" w:color="auto"/>
            </w:tcBorders>
            <w:vAlign w:val="center"/>
          </w:tcPr>
          <w:p w14:paraId="2E5293EB" w14:textId="4CD90271" w:rsidR="003D3576"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3D3576" w:rsidRPr="00D30537">
              <w:rPr>
                <w:rFonts w:ascii="Arial Narrow" w:hAnsi="Arial Narrow" w:cs="Calibri"/>
                <w:color w:val="000000"/>
                <w:sz w:val="20"/>
                <w:szCs w:val="20"/>
              </w:rPr>
              <w:t>%</w:t>
            </w:r>
          </w:p>
        </w:tc>
      </w:tr>
      <w:tr w:rsidR="00634B70" w:rsidRPr="00D30537" w14:paraId="4FD5464D" w14:textId="196ECFDE" w:rsidTr="00B978CD">
        <w:trPr>
          <w:cantSplit/>
          <w:trHeight w:val="20"/>
        </w:trPr>
        <w:tc>
          <w:tcPr>
            <w:tcW w:w="3819" w:type="dxa"/>
            <w:tcBorders>
              <w:top w:val="single" w:sz="4" w:space="0" w:color="auto"/>
              <w:bottom w:val="single" w:sz="4" w:space="0" w:color="auto"/>
            </w:tcBorders>
          </w:tcPr>
          <w:p w14:paraId="2ECBAF01" w14:textId="610CB4BC" w:rsidR="00634B70" w:rsidRPr="00D30537" w:rsidRDefault="00634B70" w:rsidP="00DA16AE">
            <w:pPr>
              <w:keepNext/>
              <w:keepLines/>
              <w:rPr>
                <w:rFonts w:ascii="Arial Narrow" w:hAnsi="Arial Narrow"/>
                <w:sz w:val="20"/>
                <w:szCs w:val="20"/>
              </w:rPr>
            </w:pPr>
            <w:r w:rsidRPr="00D30537">
              <w:rPr>
                <w:rFonts w:ascii="Arial Narrow" w:hAnsi="Arial Narrow"/>
                <w:sz w:val="20"/>
                <w:szCs w:val="20"/>
              </w:rPr>
              <w:t>Terminal care (base case: $21,005.89 per death)</w:t>
            </w:r>
          </w:p>
          <w:p w14:paraId="45A6BC89" w14:textId="714D0047" w:rsidR="00634B70" w:rsidRPr="00D30537" w:rsidRDefault="00634B70" w:rsidP="003D6682">
            <w:pPr>
              <w:pStyle w:val="ListParagraph"/>
              <w:keepNext/>
              <w:keepLines/>
              <w:numPr>
                <w:ilvl w:val="0"/>
                <w:numId w:val="11"/>
              </w:numPr>
              <w:spacing w:after="0"/>
              <w:ind w:left="316" w:hanging="219"/>
              <w:rPr>
                <w:rFonts w:ascii="Arial Narrow" w:hAnsi="Arial Narrow"/>
                <w:sz w:val="20"/>
                <w:szCs w:val="20"/>
              </w:rPr>
            </w:pPr>
            <w:r w:rsidRPr="00D30537">
              <w:rPr>
                <w:rFonts w:ascii="Arial Narrow" w:hAnsi="Arial Narrow"/>
                <w:sz w:val="20"/>
                <w:szCs w:val="20"/>
              </w:rPr>
              <w:t>No terminal care costs ($0)</w:t>
            </w:r>
          </w:p>
        </w:tc>
        <w:tc>
          <w:tcPr>
            <w:tcW w:w="1137" w:type="dxa"/>
            <w:tcBorders>
              <w:top w:val="single" w:sz="4" w:space="0" w:color="auto"/>
              <w:bottom w:val="single" w:sz="4" w:space="0" w:color="auto"/>
            </w:tcBorders>
            <w:vAlign w:val="center"/>
          </w:tcPr>
          <w:p w14:paraId="289BBFBE" w14:textId="6D929F38" w:rsidR="00634B70" w:rsidRPr="00D30537" w:rsidRDefault="00634B70" w:rsidP="00DA16AE">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1275" w:type="dxa"/>
            <w:tcBorders>
              <w:top w:val="single" w:sz="4" w:space="0" w:color="auto"/>
              <w:bottom w:val="single" w:sz="4" w:space="0" w:color="auto"/>
            </w:tcBorders>
            <w:vAlign w:val="center"/>
          </w:tcPr>
          <w:p w14:paraId="7A17AC0B" w14:textId="0852EC34" w:rsidR="00634B70" w:rsidRPr="00D30537" w:rsidRDefault="00634B70" w:rsidP="00DA16AE">
            <w:pPr>
              <w:keepNext/>
              <w:keepLines/>
              <w:jc w:val="center"/>
              <w:rPr>
                <w:rFonts w:ascii="Arial Narrow" w:hAnsi="Arial Narrow"/>
                <w:sz w:val="20"/>
                <w:szCs w:val="20"/>
              </w:rPr>
            </w:pPr>
            <w:r w:rsidRPr="00D30537">
              <w:rPr>
                <w:rFonts w:ascii="Arial Narrow" w:hAnsi="Arial Narrow"/>
                <w:sz w:val="20"/>
                <w:szCs w:val="20"/>
              </w:rPr>
              <w:t>0.725</w:t>
            </w:r>
          </w:p>
        </w:tc>
        <w:tc>
          <w:tcPr>
            <w:tcW w:w="1418" w:type="dxa"/>
            <w:tcBorders>
              <w:top w:val="single" w:sz="4" w:space="0" w:color="auto"/>
              <w:bottom w:val="single" w:sz="4" w:space="0" w:color="auto"/>
            </w:tcBorders>
            <w:vAlign w:val="center"/>
          </w:tcPr>
          <w:p w14:paraId="793021E5" w14:textId="05414EA1" w:rsidR="00634B70" w:rsidRPr="001533BF" w:rsidRDefault="00634B70" w:rsidP="00DA16AE">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533BF">
              <w:rPr>
                <w:rFonts w:ascii="Arial Narrow" w:hAnsi="Arial Narrow"/>
                <w:sz w:val="20"/>
                <w:szCs w:val="20"/>
                <w:vertAlign w:val="superscript"/>
              </w:rPr>
              <w:t>6</w:t>
            </w:r>
          </w:p>
        </w:tc>
        <w:tc>
          <w:tcPr>
            <w:tcW w:w="1368" w:type="dxa"/>
            <w:tcBorders>
              <w:top w:val="single" w:sz="4" w:space="0" w:color="auto"/>
              <w:left w:val="nil"/>
              <w:bottom w:val="single" w:sz="4" w:space="0" w:color="auto"/>
              <w:right w:val="single" w:sz="4" w:space="0" w:color="auto"/>
            </w:tcBorders>
            <w:vAlign w:val="center"/>
          </w:tcPr>
          <w:p w14:paraId="469150CB" w14:textId="796D0721" w:rsidR="00634B70" w:rsidRPr="00D30537" w:rsidRDefault="00D863F0" w:rsidP="00DA16AE">
            <w:pPr>
              <w:keepNext/>
              <w:keepLines/>
              <w:jc w:val="center"/>
              <w:rPr>
                <w:rFonts w:ascii="Arial Narrow" w:hAnsi="Arial Narrow" w:cs="Calibri"/>
                <w:color w:val="000000"/>
                <w:sz w:val="20"/>
                <w:szCs w:val="20"/>
              </w:rPr>
            </w:pPr>
            <w:r w:rsidRPr="00D863F0">
              <w:rPr>
                <w:rFonts w:ascii="Arial Narrow" w:hAnsi="Arial Narrow" w:cs="Calibri"/>
                <w:color w:val="000000"/>
                <w:sz w:val="20"/>
                <w:szCs w:val="20"/>
                <w:highlight w:val="black"/>
              </w:rPr>
              <w:t>&amp;&amp;&amp;&amp;</w:t>
            </w:r>
            <w:r w:rsidR="00634B70" w:rsidRPr="00D30537">
              <w:rPr>
                <w:rFonts w:ascii="Arial Narrow" w:hAnsi="Arial Narrow" w:cs="Calibri"/>
                <w:color w:val="000000"/>
                <w:sz w:val="20"/>
                <w:szCs w:val="20"/>
              </w:rPr>
              <w:t>%</w:t>
            </w:r>
          </w:p>
        </w:tc>
      </w:tr>
    </w:tbl>
    <w:p w14:paraId="60380479" w14:textId="435168A7" w:rsidR="008047AE" w:rsidRPr="00D30537" w:rsidRDefault="008047AE" w:rsidP="00DA16AE">
      <w:pPr>
        <w:pStyle w:val="FooterTableFigure"/>
        <w:keepNext/>
        <w:keepLines/>
      </w:pPr>
      <w:r w:rsidRPr="00D30537">
        <w:t>Source: Tables 132 to 135, pp231 – 233 of the submission</w:t>
      </w:r>
    </w:p>
    <w:p w14:paraId="6010781D" w14:textId="4C023A30" w:rsidR="008047AE" w:rsidRPr="00D30537" w:rsidRDefault="008047AE" w:rsidP="00DA16AE">
      <w:pPr>
        <w:pStyle w:val="FooterTableFigure"/>
        <w:keepNext/>
        <w:keepLines/>
        <w:rPr>
          <w:sz w:val="20"/>
        </w:rPr>
      </w:pPr>
      <w:r w:rsidRPr="00D30537">
        <w:rPr>
          <w:sz w:val="20"/>
        </w:rPr>
        <w:t xml:space="preserve">CFB = change from baseline; </w:t>
      </w:r>
      <w:r w:rsidR="005D4E3D" w:rsidRPr="00D30537">
        <w:rPr>
          <w:sz w:val="20"/>
        </w:rPr>
        <w:t xml:space="preserve">Gen., </w:t>
      </w:r>
      <w:r w:rsidR="00DA16AE" w:rsidRPr="00D30537">
        <w:rPr>
          <w:sz w:val="20"/>
        </w:rPr>
        <w:t xml:space="preserve">generalised; </w:t>
      </w:r>
      <w:r w:rsidRPr="00D30537">
        <w:rPr>
          <w:sz w:val="20"/>
        </w:rPr>
        <w:t>ICER, incremental cost-effectiveness ratio; QALY, quality-adjusted life year</w:t>
      </w:r>
      <w:r w:rsidR="00853295" w:rsidRPr="00D30537">
        <w:rPr>
          <w:sz w:val="20"/>
        </w:rPr>
        <w:t>; yrs, years</w:t>
      </w:r>
      <w:r w:rsidRPr="00D30537">
        <w:rPr>
          <w:sz w:val="20"/>
        </w:rPr>
        <w:t>.</w:t>
      </w:r>
    </w:p>
    <w:p w14:paraId="72DCC86C" w14:textId="067E00D5" w:rsidR="008047AE" w:rsidRPr="00D30537" w:rsidRDefault="008047AE" w:rsidP="00DA16AE">
      <w:pPr>
        <w:pStyle w:val="FooterTableFigure"/>
        <w:keepNext/>
        <w:keepLines/>
        <w:rPr>
          <w:sz w:val="20"/>
        </w:rPr>
      </w:pPr>
      <w:r w:rsidRPr="00D30537">
        <w:rPr>
          <w:sz w:val="20"/>
        </w:rPr>
        <w:t>Note: Italicised text reflects sensitivity calculations added during evaluation.</w:t>
      </w:r>
    </w:p>
    <w:p w14:paraId="1B01D9E9" w14:textId="2A864FC4" w:rsidR="008047AE" w:rsidRPr="00D30537" w:rsidRDefault="008047AE" w:rsidP="00DA16AE">
      <w:pPr>
        <w:pStyle w:val="FooterTableFigure"/>
        <w:keepNext/>
        <w:keepLines/>
        <w:rPr>
          <w:sz w:val="20"/>
        </w:rPr>
      </w:pPr>
      <w:r w:rsidRPr="00D30537">
        <w:rPr>
          <w:sz w:val="20"/>
          <w:vertAlign w:val="superscript"/>
        </w:rPr>
        <w:t>a</w:t>
      </w:r>
      <w:r w:rsidR="00F67985" w:rsidRPr="00D30537">
        <w:rPr>
          <w:sz w:val="20"/>
          <w:vertAlign w:val="superscript"/>
        </w:rPr>
        <w:t xml:space="preserve"> </w:t>
      </w:r>
      <w:r w:rsidR="0060516C" w:rsidRPr="00D30537">
        <w:rPr>
          <w:sz w:val="20"/>
        </w:rPr>
        <w:t>as</w:t>
      </w:r>
      <w:r w:rsidRPr="00D30537">
        <w:rPr>
          <w:sz w:val="20"/>
        </w:rPr>
        <w:t xml:space="preserve"> </w:t>
      </w:r>
      <w:r w:rsidR="00F67985" w:rsidRPr="00D30537">
        <w:rPr>
          <w:sz w:val="20"/>
        </w:rPr>
        <w:t>i</w:t>
      </w:r>
      <w:r w:rsidRPr="00D30537">
        <w:rPr>
          <w:sz w:val="20"/>
        </w:rPr>
        <w:t xml:space="preserve">n the base case, PFS = </w:t>
      </w:r>
      <w:proofErr w:type="spellStart"/>
      <w:r w:rsidRPr="00D30537">
        <w:rPr>
          <w:sz w:val="20"/>
        </w:rPr>
        <w:t>ToT</w:t>
      </w:r>
      <w:proofErr w:type="spellEnd"/>
      <w:r w:rsidRPr="00D30537">
        <w:rPr>
          <w:sz w:val="20"/>
        </w:rPr>
        <w:t xml:space="preserve">, therefore, changes to the PFS relative treatment effect directly impact </w:t>
      </w:r>
      <w:proofErr w:type="spellStart"/>
      <w:r w:rsidRPr="00D30537">
        <w:rPr>
          <w:sz w:val="20"/>
        </w:rPr>
        <w:t>ToT</w:t>
      </w:r>
      <w:proofErr w:type="spellEnd"/>
      <w:r w:rsidRPr="00D30537">
        <w:rPr>
          <w:sz w:val="20"/>
        </w:rPr>
        <w:t xml:space="preserve">. ‘Linked’ analyses were conducted with the base case model operation. ‘Unlinked’ analyses </w:t>
      </w:r>
      <w:r w:rsidR="00C9737D" w:rsidRPr="00D30537">
        <w:rPr>
          <w:sz w:val="20"/>
        </w:rPr>
        <w:t xml:space="preserve">assumed that </w:t>
      </w:r>
      <w:proofErr w:type="spellStart"/>
      <w:r w:rsidR="00C9737D" w:rsidRPr="00D30537">
        <w:rPr>
          <w:sz w:val="20"/>
        </w:rPr>
        <w:t>ToT</w:t>
      </w:r>
      <w:proofErr w:type="spellEnd"/>
      <w:r w:rsidR="00C9737D" w:rsidRPr="00D30537">
        <w:rPr>
          <w:sz w:val="20"/>
        </w:rPr>
        <w:t xml:space="preserve"> values were always equal to the base case PFS, allowing PFS to be changed without affecting </w:t>
      </w:r>
      <w:proofErr w:type="spellStart"/>
      <w:r w:rsidR="00C9737D" w:rsidRPr="00D30537">
        <w:rPr>
          <w:sz w:val="20"/>
        </w:rPr>
        <w:t>ToT</w:t>
      </w:r>
      <w:proofErr w:type="spellEnd"/>
      <w:r w:rsidRPr="00D30537">
        <w:rPr>
          <w:sz w:val="20"/>
        </w:rPr>
        <w:t>.</w:t>
      </w:r>
    </w:p>
    <w:p w14:paraId="1B5D9F1C" w14:textId="3DE96965" w:rsidR="00C67766" w:rsidRPr="00D30537" w:rsidRDefault="008047AE" w:rsidP="00DA16AE">
      <w:pPr>
        <w:pStyle w:val="FooterTableFigure"/>
        <w:keepNext/>
        <w:keepLines/>
        <w:rPr>
          <w:sz w:val="20"/>
        </w:rPr>
      </w:pPr>
      <w:r w:rsidRPr="00D30537">
        <w:rPr>
          <w:sz w:val="20"/>
          <w:vertAlign w:val="superscript"/>
        </w:rPr>
        <w:t>b</w:t>
      </w:r>
      <w:r w:rsidR="00C67766" w:rsidRPr="00D30537">
        <w:rPr>
          <w:sz w:val="20"/>
          <w:vertAlign w:val="superscript"/>
        </w:rPr>
        <w:t xml:space="preserve"> </w:t>
      </w:r>
      <w:r w:rsidR="00C67766" w:rsidRPr="00D30537">
        <w:rPr>
          <w:sz w:val="20"/>
        </w:rPr>
        <w:t>OS and PFS HR after this point assumed to be 1.0</w:t>
      </w:r>
    </w:p>
    <w:p w14:paraId="6D9A1746" w14:textId="4B2B6200" w:rsidR="00C67766" w:rsidRPr="00D30537" w:rsidRDefault="00C67766" w:rsidP="00DA16AE">
      <w:pPr>
        <w:pStyle w:val="FooterTableFigure"/>
        <w:keepNext/>
        <w:keepLines/>
        <w:rPr>
          <w:sz w:val="20"/>
          <w:vertAlign w:val="superscript"/>
        </w:rPr>
      </w:pPr>
      <w:r w:rsidRPr="00D30537">
        <w:rPr>
          <w:sz w:val="20"/>
          <w:vertAlign w:val="superscript"/>
        </w:rPr>
        <w:t>c</w:t>
      </w:r>
      <w:r w:rsidRPr="00D30537">
        <w:rPr>
          <w:sz w:val="20"/>
        </w:rPr>
        <w:t xml:space="preserve"> </w:t>
      </w:r>
      <w:r w:rsidR="00FB398C" w:rsidRPr="00D30537">
        <w:rPr>
          <w:sz w:val="20"/>
        </w:rPr>
        <w:t>OS and PFS assumed to be equal between arms at 7.5 years, starting at 3 or 5 years as indicated</w:t>
      </w:r>
      <w:r w:rsidR="008047AE" w:rsidRPr="00D30537">
        <w:rPr>
          <w:sz w:val="20"/>
          <w:vertAlign w:val="superscript"/>
        </w:rPr>
        <w:t xml:space="preserve"> </w:t>
      </w:r>
    </w:p>
    <w:p w14:paraId="74253FBC" w14:textId="77777777" w:rsidR="00857D6B" w:rsidRDefault="00FB398C" w:rsidP="00857D6B">
      <w:pPr>
        <w:pStyle w:val="FooterTableFigure"/>
        <w:keepNext/>
        <w:keepLines/>
        <w:rPr>
          <w:i/>
          <w:szCs w:val="18"/>
        </w:rPr>
      </w:pPr>
      <w:r w:rsidRPr="00D30537">
        <w:rPr>
          <w:sz w:val="20"/>
          <w:vertAlign w:val="superscript"/>
        </w:rPr>
        <w:t xml:space="preserve">d </w:t>
      </w:r>
      <w:r w:rsidR="008047AE" w:rsidRPr="00D30537">
        <w:rPr>
          <w:sz w:val="20"/>
        </w:rPr>
        <w:t>Based on an average of 4.246 vials (849.2 / 200 mg).</w:t>
      </w:r>
      <w:bookmarkStart w:id="73" w:name="_Hlk219196260"/>
    </w:p>
    <w:p w14:paraId="579924B4" w14:textId="7C842250" w:rsidR="00857D6B" w:rsidRPr="00857D6B" w:rsidRDefault="00857D6B" w:rsidP="00857D6B">
      <w:pPr>
        <w:pStyle w:val="FooterTableFigure"/>
        <w:keepNext/>
        <w:keepLines/>
        <w:rPr>
          <w:i/>
          <w:sz w:val="20"/>
        </w:rPr>
      </w:pPr>
      <w:r w:rsidRPr="00857D6B">
        <w:rPr>
          <w:i/>
          <w:sz w:val="20"/>
        </w:rPr>
        <w:t xml:space="preserve">The redacted values correspond to the following ranges: </w:t>
      </w:r>
    </w:p>
    <w:p w14:paraId="29220368" w14:textId="4A8C0765" w:rsidR="00857D6B" w:rsidRPr="00857D6B" w:rsidRDefault="00857D6B" w:rsidP="00857D6B">
      <w:pPr>
        <w:pStyle w:val="FooterTableFigure"/>
        <w:keepNext/>
        <w:keepLines/>
        <w:rPr>
          <w:i/>
          <w:sz w:val="20"/>
        </w:rPr>
      </w:pPr>
      <w:r w:rsidRPr="00857D6B">
        <w:rPr>
          <w:i/>
          <w:sz w:val="20"/>
          <w:vertAlign w:val="superscript"/>
        </w:rPr>
        <w:t>1</w:t>
      </w:r>
      <w:r w:rsidRPr="00857D6B">
        <w:rPr>
          <w:i/>
          <w:sz w:val="20"/>
        </w:rPr>
        <w:t xml:space="preserve"> </w:t>
      </w:r>
      <w:bookmarkStart w:id="74" w:name="_Hlk219196349"/>
      <w:r w:rsidR="00C35924" w:rsidRPr="00C35924">
        <w:rPr>
          <w:i/>
          <w:sz w:val="20"/>
        </w:rPr>
        <w:t>$55,000 to &lt; $75,000</w:t>
      </w:r>
      <w:bookmarkEnd w:id="74"/>
      <w:r w:rsidR="00C35924" w:rsidRPr="00C35924">
        <w:rPr>
          <w:i/>
          <w:sz w:val="20"/>
        </w:rPr>
        <w:t xml:space="preserve"> </w:t>
      </w:r>
    </w:p>
    <w:p w14:paraId="18E9637B" w14:textId="063014E4" w:rsidR="00857D6B" w:rsidRPr="00857D6B" w:rsidRDefault="00857D6B" w:rsidP="00857D6B">
      <w:pPr>
        <w:pStyle w:val="FooterTableFigure"/>
        <w:keepNext/>
        <w:keepLines/>
        <w:rPr>
          <w:i/>
          <w:sz w:val="20"/>
        </w:rPr>
      </w:pPr>
      <w:r w:rsidRPr="00857D6B">
        <w:rPr>
          <w:i/>
          <w:sz w:val="20"/>
          <w:vertAlign w:val="superscript"/>
        </w:rPr>
        <w:t>2</w:t>
      </w:r>
      <w:r w:rsidRPr="00857D6B">
        <w:rPr>
          <w:i/>
          <w:sz w:val="20"/>
        </w:rPr>
        <w:t xml:space="preserve"> </w:t>
      </w:r>
      <w:bookmarkStart w:id="75" w:name="_Hlk219126614"/>
      <w:r w:rsidR="00EA1DD0" w:rsidRPr="00EA1DD0">
        <w:rPr>
          <w:i/>
          <w:sz w:val="20"/>
        </w:rPr>
        <w:t>$35,000 to &lt; $45,000</w:t>
      </w:r>
      <w:bookmarkEnd w:id="75"/>
    </w:p>
    <w:p w14:paraId="4C9A3016" w14:textId="6B0FB61D" w:rsidR="00857D6B" w:rsidRPr="00857D6B" w:rsidRDefault="00857D6B" w:rsidP="00857D6B">
      <w:pPr>
        <w:pStyle w:val="FooterTableFigure"/>
        <w:keepNext/>
        <w:keepLines/>
        <w:rPr>
          <w:i/>
          <w:sz w:val="20"/>
        </w:rPr>
      </w:pPr>
      <w:r w:rsidRPr="00857D6B">
        <w:rPr>
          <w:i/>
          <w:sz w:val="20"/>
          <w:vertAlign w:val="superscript"/>
        </w:rPr>
        <w:t>3</w:t>
      </w:r>
      <w:r w:rsidRPr="00857D6B">
        <w:rPr>
          <w:i/>
          <w:sz w:val="20"/>
        </w:rPr>
        <w:t xml:space="preserve"> </w:t>
      </w:r>
      <w:r w:rsidR="0068463E" w:rsidRPr="0068463E">
        <w:rPr>
          <w:i/>
          <w:sz w:val="20"/>
        </w:rPr>
        <w:t>$155,000 to &lt; $255,000</w:t>
      </w:r>
    </w:p>
    <w:p w14:paraId="5233A3FE" w14:textId="0E512B8D" w:rsidR="00857D6B" w:rsidRPr="00857D6B" w:rsidRDefault="00857D6B" w:rsidP="00857D6B">
      <w:pPr>
        <w:pStyle w:val="FooterTableFigure"/>
        <w:keepNext/>
        <w:keepLines/>
        <w:rPr>
          <w:i/>
          <w:sz w:val="20"/>
        </w:rPr>
      </w:pPr>
      <w:r w:rsidRPr="00857D6B">
        <w:rPr>
          <w:i/>
          <w:sz w:val="20"/>
          <w:vertAlign w:val="superscript"/>
        </w:rPr>
        <w:t>4</w:t>
      </w:r>
      <w:r w:rsidRPr="00857D6B">
        <w:rPr>
          <w:i/>
          <w:sz w:val="20"/>
        </w:rPr>
        <w:t xml:space="preserve"> </w:t>
      </w:r>
      <w:r w:rsidR="00062E26" w:rsidRPr="00062E26">
        <w:rPr>
          <w:i/>
          <w:sz w:val="20"/>
        </w:rPr>
        <w:t>$95,000 to &lt; $115,000</w:t>
      </w:r>
    </w:p>
    <w:p w14:paraId="2227259C" w14:textId="31DE263D" w:rsidR="00857D6B" w:rsidRPr="00857D6B" w:rsidRDefault="00857D6B" w:rsidP="00857D6B">
      <w:pPr>
        <w:pStyle w:val="FooterTableFigure"/>
        <w:keepNext/>
        <w:keepLines/>
        <w:rPr>
          <w:i/>
          <w:sz w:val="20"/>
        </w:rPr>
      </w:pPr>
      <w:r w:rsidRPr="00857D6B">
        <w:rPr>
          <w:i/>
          <w:sz w:val="20"/>
          <w:vertAlign w:val="superscript"/>
        </w:rPr>
        <w:t>5</w:t>
      </w:r>
      <w:r w:rsidRPr="00857D6B">
        <w:rPr>
          <w:i/>
          <w:sz w:val="20"/>
        </w:rPr>
        <w:t xml:space="preserve"> </w:t>
      </w:r>
      <w:bookmarkStart w:id="76" w:name="_Hlk219126912"/>
      <w:r w:rsidR="00CA10F1" w:rsidRPr="00CA10F1">
        <w:rPr>
          <w:i/>
          <w:sz w:val="20"/>
        </w:rPr>
        <w:t>$45,000 to &lt; $55,000</w:t>
      </w:r>
      <w:bookmarkEnd w:id="76"/>
    </w:p>
    <w:p w14:paraId="15128035" w14:textId="77777777" w:rsidR="001533BF" w:rsidRDefault="00857D6B" w:rsidP="001533BF">
      <w:pPr>
        <w:pStyle w:val="FooterTableFigure"/>
        <w:keepNext/>
        <w:keepLines/>
        <w:rPr>
          <w:i/>
          <w:sz w:val="20"/>
        </w:rPr>
      </w:pPr>
      <w:r w:rsidRPr="00857D6B">
        <w:rPr>
          <w:i/>
          <w:sz w:val="20"/>
          <w:vertAlign w:val="superscript"/>
        </w:rPr>
        <w:t>6</w:t>
      </w:r>
      <w:r w:rsidRPr="00857D6B">
        <w:rPr>
          <w:i/>
          <w:sz w:val="20"/>
        </w:rPr>
        <w:t xml:space="preserve"> </w:t>
      </w:r>
      <w:bookmarkStart w:id="77" w:name="_Hlk219196323"/>
      <w:r w:rsidR="001533BF" w:rsidRPr="001533BF">
        <w:rPr>
          <w:i/>
          <w:sz w:val="20"/>
        </w:rPr>
        <w:t>$75,000 to &lt; $95,000</w:t>
      </w:r>
      <w:bookmarkEnd w:id="77"/>
    </w:p>
    <w:p w14:paraId="31119118" w14:textId="4F3B86F6" w:rsidR="008047AE" w:rsidRPr="00D30537" w:rsidRDefault="001533BF" w:rsidP="008047AE">
      <w:pPr>
        <w:pStyle w:val="FooterTableFigure"/>
        <w:keepNext/>
        <w:keepLines/>
        <w:rPr>
          <w:rStyle w:val="CommentReference"/>
          <w:b w:val="0"/>
          <w:szCs w:val="22"/>
        </w:rPr>
      </w:pPr>
      <w:r>
        <w:rPr>
          <w:i/>
          <w:sz w:val="20"/>
          <w:vertAlign w:val="superscript"/>
        </w:rPr>
        <w:t>7</w:t>
      </w:r>
      <w:r>
        <w:rPr>
          <w:i/>
          <w:sz w:val="20"/>
        </w:rPr>
        <w:t xml:space="preserve"> </w:t>
      </w:r>
      <w:bookmarkStart w:id="78" w:name="_Hlk219126856"/>
      <w:r w:rsidR="00E43307" w:rsidRPr="00E43307">
        <w:rPr>
          <w:i/>
          <w:sz w:val="20"/>
        </w:rPr>
        <w:t>$115,000 to &lt; $135,000</w:t>
      </w:r>
      <w:bookmarkEnd w:id="73"/>
      <w:bookmarkEnd w:id="78"/>
    </w:p>
    <w:p w14:paraId="6B95479A" w14:textId="2830B3CA" w:rsidR="008047AE" w:rsidRPr="00D30537" w:rsidRDefault="008047AE" w:rsidP="000461E7">
      <w:pPr>
        <w:pStyle w:val="4-SubsectionHeading"/>
      </w:pPr>
      <w:bookmarkStart w:id="79" w:name="_Toc22897646"/>
      <w:bookmarkStart w:id="80" w:name="_Toc208988063"/>
      <w:r w:rsidRPr="00D30537">
        <w:lastRenderedPageBreak/>
        <w:t>Drug cost/patient/course</w:t>
      </w:r>
      <w:bookmarkEnd w:id="79"/>
      <w:r w:rsidR="00706506" w:rsidRPr="00D30537">
        <w:t xml:space="preserve"> - $</w:t>
      </w:r>
      <w:r w:rsidR="00D863F0" w:rsidRPr="00D863F0">
        <w:rPr>
          <w:highlight w:val="black"/>
        </w:rPr>
        <w:t>&amp;&amp;&amp;&amp;</w:t>
      </w:r>
      <w:r w:rsidR="00706506" w:rsidRPr="00D30537">
        <w:t xml:space="preserve"> per patient per course</w:t>
      </w:r>
      <w:bookmarkEnd w:id="80"/>
    </w:p>
    <w:p w14:paraId="58E8D75B" w14:textId="0F463445" w:rsidR="008047AE" w:rsidRPr="00D30537" w:rsidRDefault="008047AE" w:rsidP="000461E7">
      <w:pPr>
        <w:pStyle w:val="Caption"/>
        <w:rPr>
          <w:rStyle w:val="CommentReference"/>
          <w:b/>
          <w:szCs w:val="24"/>
        </w:rPr>
      </w:pPr>
      <w:bookmarkStart w:id="81" w:name="_Ref104805102"/>
      <w:r w:rsidRPr="00D30537">
        <w:t xml:space="preserve">Table </w:t>
      </w:r>
      <w:fldSimple w:instr=" SEQ Table \* ARABIC ">
        <w:r w:rsidR="00652388">
          <w:rPr>
            <w:noProof/>
          </w:rPr>
          <w:t>14</w:t>
        </w:r>
      </w:fldSimple>
      <w:bookmarkEnd w:id="81"/>
      <w:r w:rsidRPr="00D30537">
        <w:t>:</w:t>
      </w:r>
      <w:r w:rsidRPr="00D30537">
        <w:rPr>
          <w:rStyle w:val="CommentReference"/>
          <w:b/>
          <w:szCs w:val="24"/>
        </w:rPr>
        <w:t xml:space="preserve"> Drug cost per patient for proposed and comparator drugs</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patient for proposed and comparator drugs"/>
      </w:tblPr>
      <w:tblGrid>
        <w:gridCol w:w="1274"/>
        <w:gridCol w:w="1269"/>
        <w:gridCol w:w="1268"/>
        <w:gridCol w:w="1289"/>
        <w:gridCol w:w="1250"/>
        <w:gridCol w:w="1268"/>
        <w:gridCol w:w="7"/>
        <w:gridCol w:w="1268"/>
      </w:tblGrid>
      <w:tr w:rsidR="00DD0195" w:rsidRPr="00D30537" w14:paraId="41F5584B" w14:textId="49FDBEA4" w:rsidTr="00DD0195">
        <w:trPr>
          <w:cantSplit/>
          <w:tblHeader/>
          <w:jc w:val="center"/>
        </w:trPr>
        <w:tc>
          <w:tcPr>
            <w:tcW w:w="716" w:type="pct"/>
            <w:vMerge w:val="restart"/>
            <w:vAlign w:val="center"/>
          </w:tcPr>
          <w:p w14:paraId="779A9400" w14:textId="77777777" w:rsidR="00DD0195" w:rsidRPr="00D30537" w:rsidRDefault="00DD0195" w:rsidP="000461E7">
            <w:pPr>
              <w:pStyle w:val="In-tableHeading"/>
            </w:pPr>
          </w:p>
        </w:tc>
        <w:tc>
          <w:tcPr>
            <w:tcW w:w="2151" w:type="pct"/>
            <w:gridSpan w:val="3"/>
          </w:tcPr>
          <w:p w14:paraId="571DE624" w14:textId="7A808F35" w:rsidR="00DD0195" w:rsidRPr="00D30537" w:rsidRDefault="00DD0195" w:rsidP="000461E7">
            <w:pPr>
              <w:pStyle w:val="In-tableHeading"/>
              <w:jc w:val="center"/>
            </w:pPr>
            <w:r w:rsidRPr="00D30537">
              <w:t>Retifanlimab</w:t>
            </w:r>
          </w:p>
        </w:tc>
        <w:tc>
          <w:tcPr>
            <w:tcW w:w="2133" w:type="pct"/>
            <w:gridSpan w:val="4"/>
          </w:tcPr>
          <w:p w14:paraId="2687790A" w14:textId="58CD8250" w:rsidR="00DD0195" w:rsidRPr="00D30537" w:rsidRDefault="00DD0195" w:rsidP="000461E7">
            <w:pPr>
              <w:pStyle w:val="In-tableHeading"/>
              <w:jc w:val="center"/>
            </w:pPr>
            <w:r w:rsidRPr="00D30537">
              <w:t>Avelumab</w:t>
            </w:r>
          </w:p>
        </w:tc>
      </w:tr>
      <w:tr w:rsidR="00DD0195" w:rsidRPr="00D30537" w14:paraId="7F44A92B" w14:textId="77777777" w:rsidTr="00DD0195">
        <w:trPr>
          <w:cantSplit/>
          <w:tblHeader/>
          <w:jc w:val="center"/>
        </w:trPr>
        <w:tc>
          <w:tcPr>
            <w:tcW w:w="716" w:type="pct"/>
            <w:vMerge/>
            <w:vAlign w:val="center"/>
          </w:tcPr>
          <w:p w14:paraId="7C48FE73" w14:textId="77777777" w:rsidR="00DD0195" w:rsidRPr="00D30537" w:rsidRDefault="00DD0195" w:rsidP="000461E7">
            <w:pPr>
              <w:pStyle w:val="In-tableHeading"/>
            </w:pPr>
          </w:p>
        </w:tc>
        <w:tc>
          <w:tcPr>
            <w:tcW w:w="713" w:type="pct"/>
            <w:vAlign w:val="center"/>
          </w:tcPr>
          <w:p w14:paraId="17566D61" w14:textId="77777777" w:rsidR="00DD0195" w:rsidRPr="00D30537" w:rsidRDefault="00DD0195" w:rsidP="000461E7">
            <w:pPr>
              <w:pStyle w:val="In-tableHeading"/>
            </w:pPr>
            <w:r w:rsidRPr="00D30537">
              <w:t>Trial dose and duration</w:t>
            </w:r>
          </w:p>
        </w:tc>
        <w:tc>
          <w:tcPr>
            <w:tcW w:w="713" w:type="pct"/>
            <w:vAlign w:val="center"/>
          </w:tcPr>
          <w:p w14:paraId="69AECF6B" w14:textId="02565536" w:rsidR="00DD0195" w:rsidRPr="00D30537" w:rsidRDefault="00DD0195" w:rsidP="000461E7">
            <w:pPr>
              <w:pStyle w:val="In-tableHeading"/>
            </w:pPr>
            <w:r w:rsidRPr="00D30537">
              <w:t xml:space="preserve">Model </w:t>
            </w:r>
          </w:p>
        </w:tc>
        <w:tc>
          <w:tcPr>
            <w:tcW w:w="725" w:type="pct"/>
            <w:vAlign w:val="center"/>
          </w:tcPr>
          <w:p w14:paraId="72582A03" w14:textId="484D469C" w:rsidR="00DD0195" w:rsidRPr="00D30537" w:rsidRDefault="00DD0195" w:rsidP="000461E7">
            <w:pPr>
              <w:pStyle w:val="In-tableHeading"/>
            </w:pPr>
            <w:r w:rsidRPr="00D30537">
              <w:t>Financial estimates</w:t>
            </w:r>
          </w:p>
        </w:tc>
        <w:tc>
          <w:tcPr>
            <w:tcW w:w="703" w:type="pct"/>
            <w:vAlign w:val="center"/>
          </w:tcPr>
          <w:p w14:paraId="3B50B5BE" w14:textId="77777777" w:rsidR="00DD0195" w:rsidRPr="00D30537" w:rsidRDefault="00DD0195" w:rsidP="000461E7">
            <w:pPr>
              <w:pStyle w:val="In-tableHeading"/>
            </w:pPr>
            <w:r w:rsidRPr="00D30537">
              <w:t>Trial dose and duration</w:t>
            </w:r>
          </w:p>
        </w:tc>
        <w:tc>
          <w:tcPr>
            <w:tcW w:w="713" w:type="pct"/>
            <w:vAlign w:val="center"/>
          </w:tcPr>
          <w:p w14:paraId="22590F38" w14:textId="65851A24" w:rsidR="00DD0195" w:rsidRPr="00D30537" w:rsidRDefault="00DD0195" w:rsidP="000461E7">
            <w:pPr>
              <w:pStyle w:val="In-tableHeading"/>
            </w:pPr>
            <w:r w:rsidRPr="00D30537">
              <w:t xml:space="preserve">Model </w:t>
            </w:r>
          </w:p>
        </w:tc>
        <w:tc>
          <w:tcPr>
            <w:tcW w:w="717" w:type="pct"/>
            <w:gridSpan w:val="2"/>
            <w:vAlign w:val="center"/>
          </w:tcPr>
          <w:p w14:paraId="4DA99EFA" w14:textId="04BA611B" w:rsidR="00DD0195" w:rsidRPr="00D30537" w:rsidRDefault="00DD0195" w:rsidP="000461E7">
            <w:pPr>
              <w:pStyle w:val="In-tableHeading"/>
            </w:pPr>
            <w:r w:rsidRPr="00D30537">
              <w:t>Financial estimates</w:t>
            </w:r>
          </w:p>
        </w:tc>
      </w:tr>
      <w:tr w:rsidR="00DD0195" w:rsidRPr="00D30537" w14:paraId="3EF92969" w14:textId="77777777" w:rsidTr="00DD0195">
        <w:trPr>
          <w:cantSplit/>
          <w:jc w:val="center"/>
        </w:trPr>
        <w:tc>
          <w:tcPr>
            <w:tcW w:w="716" w:type="pct"/>
            <w:vAlign w:val="center"/>
          </w:tcPr>
          <w:p w14:paraId="081ADA59" w14:textId="77777777" w:rsidR="00DD0195" w:rsidRPr="00D30537" w:rsidRDefault="00DD0195" w:rsidP="000461E7">
            <w:pPr>
              <w:pStyle w:val="TableText0"/>
            </w:pPr>
            <w:r w:rsidRPr="00D30537">
              <w:t>Mean dose</w:t>
            </w:r>
          </w:p>
        </w:tc>
        <w:tc>
          <w:tcPr>
            <w:tcW w:w="713" w:type="pct"/>
            <w:vAlign w:val="center"/>
          </w:tcPr>
          <w:p w14:paraId="09374866"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500 mg</w:t>
            </w:r>
          </w:p>
        </w:tc>
        <w:tc>
          <w:tcPr>
            <w:tcW w:w="713" w:type="pct"/>
            <w:vAlign w:val="center"/>
          </w:tcPr>
          <w:p w14:paraId="28E13025"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 xml:space="preserve">500 mg </w:t>
            </w:r>
          </w:p>
        </w:tc>
        <w:tc>
          <w:tcPr>
            <w:tcW w:w="725" w:type="pct"/>
            <w:vAlign w:val="center"/>
          </w:tcPr>
          <w:p w14:paraId="6200D308" w14:textId="6826A98E"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500 mg</w:t>
            </w:r>
          </w:p>
        </w:tc>
        <w:tc>
          <w:tcPr>
            <w:tcW w:w="703" w:type="pct"/>
            <w:vAlign w:val="center"/>
          </w:tcPr>
          <w:p w14:paraId="54ACC0B5" w14:textId="77102439"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NR </w:t>
            </w:r>
            <w:r w:rsidRPr="00D30537">
              <w:rPr>
                <w:rFonts w:ascii="Arial Narrow" w:hAnsi="Arial Narrow"/>
                <w:sz w:val="20"/>
                <w:szCs w:val="20"/>
                <w:vertAlign w:val="superscript"/>
              </w:rPr>
              <w:t>c</w:t>
            </w:r>
          </w:p>
        </w:tc>
        <w:tc>
          <w:tcPr>
            <w:tcW w:w="717" w:type="pct"/>
            <w:gridSpan w:val="2"/>
            <w:vAlign w:val="center"/>
          </w:tcPr>
          <w:p w14:paraId="0269C1B0"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932 mg</w:t>
            </w:r>
          </w:p>
        </w:tc>
        <w:tc>
          <w:tcPr>
            <w:tcW w:w="713" w:type="pct"/>
            <w:vAlign w:val="center"/>
          </w:tcPr>
          <w:p w14:paraId="2E383FED" w14:textId="6B7A4F4A"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932 mg</w:t>
            </w:r>
          </w:p>
        </w:tc>
      </w:tr>
      <w:tr w:rsidR="00DD0195" w:rsidRPr="00D30537" w14:paraId="2DAE240D" w14:textId="77777777" w:rsidTr="00DD0195">
        <w:trPr>
          <w:cantSplit/>
          <w:jc w:val="center"/>
        </w:trPr>
        <w:tc>
          <w:tcPr>
            <w:tcW w:w="716" w:type="pct"/>
            <w:vAlign w:val="center"/>
          </w:tcPr>
          <w:p w14:paraId="77B68878" w14:textId="77777777" w:rsidR="00DD0195" w:rsidRPr="00D30537" w:rsidRDefault="00DD0195" w:rsidP="000461E7">
            <w:pPr>
              <w:pStyle w:val="TableText0"/>
            </w:pPr>
            <w:r w:rsidRPr="00D30537">
              <w:t>Mean no. doses</w:t>
            </w:r>
          </w:p>
        </w:tc>
        <w:tc>
          <w:tcPr>
            <w:tcW w:w="713" w:type="pct"/>
            <w:vAlign w:val="center"/>
          </w:tcPr>
          <w:p w14:paraId="309E4FF1"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13.5</w:t>
            </w:r>
          </w:p>
        </w:tc>
        <w:tc>
          <w:tcPr>
            <w:tcW w:w="713" w:type="pct"/>
            <w:vAlign w:val="center"/>
          </w:tcPr>
          <w:p w14:paraId="446D9D34"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w:t>
            </w:r>
          </w:p>
        </w:tc>
        <w:tc>
          <w:tcPr>
            <w:tcW w:w="725" w:type="pct"/>
            <w:vAlign w:val="center"/>
          </w:tcPr>
          <w:p w14:paraId="3C34A6C3" w14:textId="1571652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w:t>
            </w:r>
          </w:p>
        </w:tc>
        <w:tc>
          <w:tcPr>
            <w:tcW w:w="703" w:type="pct"/>
            <w:vAlign w:val="center"/>
          </w:tcPr>
          <w:p w14:paraId="4AEE5CA2"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NR</w:t>
            </w:r>
          </w:p>
        </w:tc>
        <w:tc>
          <w:tcPr>
            <w:tcW w:w="717" w:type="pct"/>
            <w:gridSpan w:val="2"/>
            <w:vAlign w:val="center"/>
          </w:tcPr>
          <w:p w14:paraId="35648BDE"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41.3</w:t>
            </w:r>
          </w:p>
        </w:tc>
        <w:tc>
          <w:tcPr>
            <w:tcW w:w="713" w:type="pct"/>
            <w:vAlign w:val="center"/>
          </w:tcPr>
          <w:p w14:paraId="6D569565" w14:textId="0EEC08BC"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41.3</w:t>
            </w:r>
          </w:p>
        </w:tc>
      </w:tr>
      <w:tr w:rsidR="00DD0195" w:rsidRPr="00D30537" w14:paraId="19B5F31B" w14:textId="77777777" w:rsidTr="00DD0195">
        <w:trPr>
          <w:cantSplit/>
          <w:jc w:val="center"/>
        </w:trPr>
        <w:tc>
          <w:tcPr>
            <w:tcW w:w="716" w:type="pct"/>
            <w:vAlign w:val="center"/>
          </w:tcPr>
          <w:p w14:paraId="0CA9D0FB" w14:textId="77777777" w:rsidR="00DD0195" w:rsidRPr="00D30537" w:rsidRDefault="00DD0195" w:rsidP="000461E7">
            <w:pPr>
              <w:pStyle w:val="TableText0"/>
            </w:pPr>
            <w:r w:rsidRPr="00D30537">
              <w:t>Mean duration</w:t>
            </w:r>
          </w:p>
        </w:tc>
        <w:tc>
          <w:tcPr>
            <w:tcW w:w="713" w:type="pct"/>
            <w:vAlign w:val="center"/>
          </w:tcPr>
          <w:p w14:paraId="69C2E0E2" w14:textId="77777777"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1.04 years </w:t>
            </w:r>
            <w:r w:rsidRPr="00D30537">
              <w:rPr>
                <w:rFonts w:ascii="Arial Narrow" w:hAnsi="Arial Narrow"/>
                <w:sz w:val="20"/>
                <w:szCs w:val="20"/>
                <w:vertAlign w:val="superscript"/>
              </w:rPr>
              <w:t>a</w:t>
            </w:r>
          </w:p>
        </w:tc>
        <w:tc>
          <w:tcPr>
            <w:tcW w:w="713" w:type="pct"/>
            <w:vAlign w:val="center"/>
          </w:tcPr>
          <w:p w14:paraId="743A24AD" w14:textId="4AEA1926"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1.21 years </w:t>
            </w:r>
            <w:r w:rsidRPr="00D30537">
              <w:rPr>
                <w:rFonts w:ascii="Arial Narrow" w:hAnsi="Arial Narrow"/>
                <w:sz w:val="20"/>
                <w:szCs w:val="20"/>
                <w:vertAlign w:val="superscript"/>
              </w:rPr>
              <w:t>b</w:t>
            </w:r>
          </w:p>
        </w:tc>
        <w:tc>
          <w:tcPr>
            <w:tcW w:w="725" w:type="pct"/>
            <w:vAlign w:val="center"/>
          </w:tcPr>
          <w:p w14:paraId="759DF43C" w14:textId="6B7AE9CE"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1.21 years </w:t>
            </w:r>
            <w:r w:rsidRPr="00D30537">
              <w:rPr>
                <w:rFonts w:ascii="Arial Narrow" w:hAnsi="Arial Narrow"/>
                <w:sz w:val="20"/>
                <w:szCs w:val="20"/>
                <w:vertAlign w:val="superscript"/>
              </w:rPr>
              <w:t>b</w:t>
            </w:r>
          </w:p>
        </w:tc>
        <w:tc>
          <w:tcPr>
            <w:tcW w:w="703" w:type="pct"/>
            <w:vAlign w:val="center"/>
          </w:tcPr>
          <w:p w14:paraId="47AF9782"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NR</w:t>
            </w:r>
          </w:p>
        </w:tc>
        <w:tc>
          <w:tcPr>
            <w:tcW w:w="717" w:type="pct"/>
            <w:gridSpan w:val="2"/>
            <w:vAlign w:val="center"/>
          </w:tcPr>
          <w:p w14:paraId="36543DDA"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 years</w:t>
            </w:r>
          </w:p>
        </w:tc>
        <w:tc>
          <w:tcPr>
            <w:tcW w:w="713" w:type="pct"/>
            <w:vAlign w:val="center"/>
          </w:tcPr>
          <w:p w14:paraId="58D5B60D" w14:textId="7BF0FF34"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1.58 years</w:t>
            </w:r>
          </w:p>
        </w:tc>
      </w:tr>
      <w:tr w:rsidR="00DD0195" w:rsidRPr="00D30537" w14:paraId="3D883FC5" w14:textId="77777777" w:rsidTr="00DD0195">
        <w:trPr>
          <w:cantSplit/>
          <w:jc w:val="center"/>
        </w:trPr>
        <w:tc>
          <w:tcPr>
            <w:tcW w:w="716" w:type="pct"/>
            <w:vAlign w:val="center"/>
          </w:tcPr>
          <w:p w14:paraId="60A1C62C" w14:textId="63E56321" w:rsidR="00DD0195" w:rsidRPr="00D30537" w:rsidRDefault="00DD0195" w:rsidP="000461E7">
            <w:pPr>
              <w:pStyle w:val="TableText0"/>
            </w:pPr>
            <w:r w:rsidRPr="00D30537">
              <w:t>AEMP per vial (published)</w:t>
            </w:r>
          </w:p>
        </w:tc>
        <w:tc>
          <w:tcPr>
            <w:tcW w:w="713" w:type="pct"/>
            <w:vAlign w:val="center"/>
          </w:tcPr>
          <w:p w14:paraId="393C65AB" w14:textId="709275E5"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tc>
        <w:tc>
          <w:tcPr>
            <w:tcW w:w="713" w:type="pct"/>
            <w:vAlign w:val="center"/>
          </w:tcPr>
          <w:p w14:paraId="5D15293C" w14:textId="4CB1D7F9"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tc>
        <w:tc>
          <w:tcPr>
            <w:tcW w:w="725" w:type="pct"/>
            <w:vAlign w:val="center"/>
          </w:tcPr>
          <w:p w14:paraId="0FDBD404" w14:textId="58B3FFC2"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tc>
        <w:tc>
          <w:tcPr>
            <w:tcW w:w="703" w:type="pct"/>
            <w:vAlign w:val="center"/>
          </w:tcPr>
          <w:p w14:paraId="7F616289" w14:textId="439A4154"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$1,289</w:t>
            </w:r>
          </w:p>
        </w:tc>
        <w:tc>
          <w:tcPr>
            <w:tcW w:w="717" w:type="pct"/>
            <w:gridSpan w:val="2"/>
            <w:vAlign w:val="center"/>
          </w:tcPr>
          <w:p w14:paraId="560E0DBD" w14:textId="5751B13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$1,289</w:t>
            </w:r>
          </w:p>
        </w:tc>
        <w:tc>
          <w:tcPr>
            <w:tcW w:w="713" w:type="pct"/>
            <w:vAlign w:val="center"/>
          </w:tcPr>
          <w:p w14:paraId="7432021E" w14:textId="5CFA6B5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$1,289</w:t>
            </w:r>
          </w:p>
        </w:tc>
      </w:tr>
      <w:tr w:rsidR="00DD0195" w:rsidRPr="00D30537" w14:paraId="73A53D39" w14:textId="77777777" w:rsidTr="00DD0195">
        <w:trPr>
          <w:cantSplit/>
          <w:jc w:val="center"/>
        </w:trPr>
        <w:tc>
          <w:tcPr>
            <w:tcW w:w="716" w:type="pct"/>
            <w:vAlign w:val="center"/>
          </w:tcPr>
          <w:p w14:paraId="743C193D" w14:textId="68BB99D4" w:rsidR="00DD0195" w:rsidRPr="00D30537" w:rsidRDefault="00DD0195" w:rsidP="000461E7">
            <w:pPr>
              <w:pStyle w:val="TableText0"/>
            </w:pPr>
            <w:r w:rsidRPr="00D30537">
              <w:t>Cost/patient/dose</w:t>
            </w:r>
          </w:p>
        </w:tc>
        <w:tc>
          <w:tcPr>
            <w:tcW w:w="713" w:type="pct"/>
            <w:vAlign w:val="center"/>
          </w:tcPr>
          <w:p w14:paraId="40A12F79" w14:textId="7CCF3E2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713" w:type="pct"/>
            <w:vAlign w:val="center"/>
          </w:tcPr>
          <w:p w14:paraId="02A7079B" w14:textId="65E16FF1"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725" w:type="pct"/>
            <w:vAlign w:val="center"/>
          </w:tcPr>
          <w:p w14:paraId="5CDB8632" w14:textId="03D81293"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r w:rsidR="00D863F0" w:rsidRPr="00D863F0">
              <w:rPr>
                <w:rFonts w:ascii="Arial Narrow" w:hAnsi="Arial Narrow"/>
                <w:sz w:val="20"/>
                <w:szCs w:val="20"/>
                <w:highlight w:val="black"/>
              </w:rPr>
              <w:t>&amp;&amp;&amp;&amp;</w:t>
            </w:r>
          </w:p>
        </w:tc>
        <w:tc>
          <w:tcPr>
            <w:tcW w:w="703" w:type="pct"/>
            <w:vAlign w:val="center"/>
          </w:tcPr>
          <w:p w14:paraId="6CB8118B" w14:textId="414A9300"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$5,652 </w:t>
            </w:r>
            <w:r w:rsidRPr="00D30537">
              <w:rPr>
                <w:rFonts w:ascii="Arial Narrow" w:hAnsi="Arial Narrow"/>
                <w:sz w:val="20"/>
                <w:szCs w:val="20"/>
                <w:vertAlign w:val="superscript"/>
              </w:rPr>
              <w:t>d</w:t>
            </w:r>
          </w:p>
        </w:tc>
        <w:tc>
          <w:tcPr>
            <w:tcW w:w="717" w:type="pct"/>
            <w:gridSpan w:val="2"/>
            <w:vAlign w:val="center"/>
          </w:tcPr>
          <w:p w14:paraId="6C85E91F" w14:textId="64F62DF5"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$6,192 </w:t>
            </w:r>
            <w:r w:rsidRPr="00D30537">
              <w:rPr>
                <w:rFonts w:ascii="Arial Narrow" w:hAnsi="Arial Narrow"/>
                <w:sz w:val="20"/>
                <w:szCs w:val="20"/>
                <w:vertAlign w:val="superscript"/>
              </w:rPr>
              <w:t>e</w:t>
            </w:r>
          </w:p>
        </w:tc>
        <w:tc>
          <w:tcPr>
            <w:tcW w:w="713" w:type="pct"/>
            <w:vAlign w:val="center"/>
          </w:tcPr>
          <w:p w14:paraId="684D2C31" w14:textId="3626AAE3"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$6,192 </w:t>
            </w:r>
            <w:r w:rsidRPr="00D30537">
              <w:rPr>
                <w:rFonts w:ascii="Arial Narrow" w:hAnsi="Arial Narrow"/>
                <w:sz w:val="20"/>
                <w:szCs w:val="20"/>
                <w:vertAlign w:val="superscript"/>
              </w:rPr>
              <w:t>e</w:t>
            </w:r>
          </w:p>
        </w:tc>
      </w:tr>
      <w:tr w:rsidR="00DD0195" w:rsidRPr="00D30537" w14:paraId="1058BD90" w14:textId="77777777" w:rsidTr="00DD0195">
        <w:trPr>
          <w:cantSplit/>
          <w:jc w:val="center"/>
        </w:trPr>
        <w:tc>
          <w:tcPr>
            <w:tcW w:w="716" w:type="pct"/>
            <w:vAlign w:val="center"/>
          </w:tcPr>
          <w:p w14:paraId="252AA35A" w14:textId="77777777" w:rsidR="00DD0195" w:rsidRPr="00D30537" w:rsidRDefault="00DD0195" w:rsidP="000461E7">
            <w:pPr>
              <w:pStyle w:val="TableText0"/>
            </w:pPr>
            <w:r w:rsidRPr="00D30537">
              <w:t>Cost/patient/course</w:t>
            </w:r>
          </w:p>
        </w:tc>
        <w:tc>
          <w:tcPr>
            <w:tcW w:w="713" w:type="pct"/>
            <w:vAlign w:val="center"/>
          </w:tcPr>
          <w:p w14:paraId="6FC9800B" w14:textId="16219FDF"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r w:rsidRPr="00D30537">
              <w:rPr>
                <w:rFonts w:ascii="Arial Narrow" w:hAnsi="Arial Narrow"/>
                <w:sz w:val="20"/>
                <w:szCs w:val="20"/>
                <w:vertAlign w:val="superscript"/>
              </w:rPr>
              <w:t>a</w:t>
            </w:r>
          </w:p>
        </w:tc>
        <w:tc>
          <w:tcPr>
            <w:tcW w:w="713" w:type="pct"/>
            <w:vAlign w:val="center"/>
          </w:tcPr>
          <w:p w14:paraId="204229B9" w14:textId="27486825"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r w:rsidRPr="00D30537">
              <w:rPr>
                <w:rFonts w:ascii="Arial Narrow" w:hAnsi="Arial Narrow"/>
                <w:sz w:val="20"/>
                <w:szCs w:val="20"/>
                <w:vertAlign w:val="superscript"/>
              </w:rPr>
              <w:t>f</w:t>
            </w:r>
          </w:p>
        </w:tc>
        <w:tc>
          <w:tcPr>
            <w:tcW w:w="725" w:type="pct"/>
            <w:vAlign w:val="center"/>
          </w:tcPr>
          <w:p w14:paraId="25475E46" w14:textId="0CD0FE16"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r w:rsidRPr="00D30537">
              <w:rPr>
                <w:rFonts w:ascii="Arial Narrow" w:hAnsi="Arial Narrow"/>
                <w:sz w:val="20"/>
                <w:szCs w:val="20"/>
                <w:vertAlign w:val="superscript"/>
              </w:rPr>
              <w:t>g</w:t>
            </w:r>
          </w:p>
        </w:tc>
        <w:tc>
          <w:tcPr>
            <w:tcW w:w="703" w:type="pct"/>
            <w:vAlign w:val="center"/>
          </w:tcPr>
          <w:p w14:paraId="3DF86285" w14:textId="77777777" w:rsidR="00DD0195" w:rsidRPr="00D30537" w:rsidRDefault="00DD0195" w:rsidP="000461E7">
            <w:pPr>
              <w:keepNext/>
              <w:keepLines/>
              <w:jc w:val="center"/>
              <w:rPr>
                <w:rFonts w:ascii="Arial Narrow" w:hAnsi="Arial Narrow"/>
                <w:sz w:val="20"/>
                <w:szCs w:val="20"/>
              </w:rPr>
            </w:pPr>
            <w:r w:rsidRPr="00D30537">
              <w:rPr>
                <w:rFonts w:ascii="Arial Narrow" w:hAnsi="Arial Narrow"/>
                <w:sz w:val="20"/>
                <w:szCs w:val="20"/>
              </w:rPr>
              <w:t>-</w:t>
            </w:r>
          </w:p>
        </w:tc>
        <w:tc>
          <w:tcPr>
            <w:tcW w:w="717" w:type="pct"/>
            <w:gridSpan w:val="2"/>
            <w:vAlign w:val="center"/>
          </w:tcPr>
          <w:p w14:paraId="7CE85FE7" w14:textId="4981BE3D"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$256,024 </w:t>
            </w:r>
            <w:r w:rsidRPr="00D30537">
              <w:rPr>
                <w:rFonts w:ascii="Arial Narrow" w:hAnsi="Arial Narrow"/>
                <w:sz w:val="20"/>
                <w:szCs w:val="20"/>
                <w:vertAlign w:val="superscript"/>
              </w:rPr>
              <w:t>f</w:t>
            </w:r>
          </w:p>
        </w:tc>
        <w:tc>
          <w:tcPr>
            <w:tcW w:w="713" w:type="pct"/>
            <w:vAlign w:val="center"/>
          </w:tcPr>
          <w:p w14:paraId="79B42E14" w14:textId="6EC18EB0" w:rsidR="00DD0195" w:rsidRPr="00D30537" w:rsidRDefault="00DD0195" w:rsidP="000461E7">
            <w:pPr>
              <w:keepNext/>
              <w:keepLines/>
              <w:jc w:val="center"/>
              <w:rPr>
                <w:rFonts w:ascii="Arial Narrow" w:hAnsi="Arial Narrow"/>
                <w:sz w:val="20"/>
                <w:szCs w:val="20"/>
                <w:vertAlign w:val="superscript"/>
              </w:rPr>
            </w:pPr>
            <w:r w:rsidRPr="00D30537">
              <w:rPr>
                <w:rFonts w:ascii="Arial Narrow" w:hAnsi="Arial Narrow"/>
                <w:sz w:val="20"/>
                <w:szCs w:val="20"/>
              </w:rPr>
              <w:t xml:space="preserve">$255,730 </w:t>
            </w:r>
            <w:r w:rsidRPr="00D30537">
              <w:rPr>
                <w:rFonts w:ascii="Arial Narrow" w:hAnsi="Arial Narrow"/>
                <w:sz w:val="20"/>
                <w:szCs w:val="20"/>
                <w:vertAlign w:val="superscript"/>
              </w:rPr>
              <w:t>g</w:t>
            </w:r>
          </w:p>
        </w:tc>
      </w:tr>
    </w:tbl>
    <w:p w14:paraId="376D0060" w14:textId="77777777" w:rsidR="008047AE" w:rsidRPr="00D30537" w:rsidRDefault="008047AE" w:rsidP="008047AE">
      <w:pPr>
        <w:pStyle w:val="FooterTableFigure"/>
      </w:pPr>
      <w:r w:rsidRPr="00D30537">
        <w:t>Source: Constructed during evaluation from Table 7 POD1UM-201 CSR, Table 130, p230 of the submission, ‘Inputs’ sheet of the economic model.</w:t>
      </w:r>
    </w:p>
    <w:p w14:paraId="0538BFBF" w14:textId="5DFD446C" w:rsidR="00A51633" w:rsidRPr="00D30537" w:rsidRDefault="00A51633" w:rsidP="008047AE">
      <w:pPr>
        <w:pStyle w:val="FooterTableFigure"/>
      </w:pPr>
      <w:r w:rsidRPr="00D30537">
        <w:t>AEMP = approved ex manufacturer price</w:t>
      </w:r>
    </w:p>
    <w:p w14:paraId="7A0EC6BB" w14:textId="11EF2D3B" w:rsidR="008047AE" w:rsidRPr="00D30537" w:rsidRDefault="008047AE" w:rsidP="008047AE">
      <w:pPr>
        <w:pStyle w:val="FooterTableFigure"/>
      </w:pPr>
      <w:r w:rsidRPr="00D30537">
        <w:rPr>
          <w:vertAlign w:val="superscript"/>
        </w:rPr>
        <w:t xml:space="preserve">a </w:t>
      </w:r>
      <w:r w:rsidRPr="00D30537">
        <w:t xml:space="preserve">POD1UM-201 reported 13.5 mean total number of infusions. Assuming no treatment breaks, 13.5 x Q4W = 54 weeks. 13.5 x the cost per dose = the total cost per course. </w:t>
      </w:r>
      <w:r w:rsidR="00C945E1" w:rsidRPr="00D30537">
        <w:t>No patients remained on treatment.</w:t>
      </w:r>
    </w:p>
    <w:p w14:paraId="2B836C98" w14:textId="1CABD38D" w:rsidR="00296018" w:rsidRPr="00D30537" w:rsidRDefault="008047AE" w:rsidP="008047AE">
      <w:pPr>
        <w:pStyle w:val="FooterTableFigure"/>
      </w:pPr>
      <w:r w:rsidRPr="00D30537">
        <w:rPr>
          <w:vertAlign w:val="superscript"/>
        </w:rPr>
        <w:t xml:space="preserve">b </w:t>
      </w:r>
      <w:r w:rsidR="00B75D34" w:rsidRPr="00D30537">
        <w:t>Based on the assumption that time on treatment was the same as progression free survival for retifanlimab</w:t>
      </w:r>
    </w:p>
    <w:p w14:paraId="23EAE9CC" w14:textId="0DD92425" w:rsidR="008047AE" w:rsidRPr="00D30537" w:rsidRDefault="00CC25A5" w:rsidP="008047AE">
      <w:pPr>
        <w:pStyle w:val="FooterTableFigure"/>
        <w:rPr>
          <w:i/>
          <w:iCs/>
        </w:rPr>
      </w:pPr>
      <w:r w:rsidRPr="00D30537">
        <w:rPr>
          <w:vertAlign w:val="superscript"/>
        </w:rPr>
        <w:t>c</w:t>
      </w:r>
      <w:r w:rsidR="0013478C" w:rsidRPr="00D30537">
        <w:rPr>
          <w:vertAlign w:val="superscript"/>
        </w:rPr>
        <w:t xml:space="preserve"> </w:t>
      </w:r>
      <w:r w:rsidR="008047AE" w:rsidRPr="00D30537">
        <w:t>The July 2018 avelumab submission estimated an average dose per treatment of 849.2 mg per person for avelumab based on JM200 Part A in the 2L setting for MCC.</w:t>
      </w:r>
      <w:r w:rsidR="00BF2F0D" w:rsidRPr="00D30537">
        <w:t xml:space="preserve"> Avelumab is PBS listed and TGA approved for both 800 mg (flat) and 10 mg/kg dosing</w:t>
      </w:r>
    </w:p>
    <w:p w14:paraId="06180650" w14:textId="5A94C26F" w:rsidR="008047AE" w:rsidRPr="00D30537" w:rsidRDefault="00CC25A5" w:rsidP="008047AE">
      <w:pPr>
        <w:pStyle w:val="FooterTableFigure"/>
      </w:pPr>
      <w:r w:rsidRPr="00D30537">
        <w:rPr>
          <w:vertAlign w:val="superscript"/>
        </w:rPr>
        <w:t>d</w:t>
      </w:r>
      <w:r w:rsidR="008047AE" w:rsidRPr="00D30537">
        <w:t xml:space="preserve"> Based on the 849.2 mg mean dosage applied in the July 2018 Avelumab submission, equivalent to 4.246 vials. This was imputed in Cell C82 of ‘Inputs’ in the submissions economic model, with doses per cycle set to 1.0. </w:t>
      </w:r>
    </w:p>
    <w:p w14:paraId="62B6DE50" w14:textId="17F3F531" w:rsidR="008047AE" w:rsidRPr="00D30537" w:rsidRDefault="00CC25A5" w:rsidP="008047AE">
      <w:pPr>
        <w:pStyle w:val="FooterTableFigure"/>
      </w:pPr>
      <w:r w:rsidRPr="00D30537">
        <w:rPr>
          <w:vertAlign w:val="superscript"/>
        </w:rPr>
        <w:t>e</w:t>
      </w:r>
      <w:r w:rsidR="008047AE" w:rsidRPr="00D30537">
        <w:rPr>
          <w:vertAlign w:val="superscript"/>
        </w:rPr>
        <w:t xml:space="preserve"> </w:t>
      </w:r>
      <w:r w:rsidR="008047AE" w:rsidRPr="00D30537">
        <w:t>Doses per cycle (Cell C87 , ‘Inputs’ ) set to 1.0 to calculate the cost per Q2W cycle of avelumab. The same DPMA assumptions were applied in the submission’s financial estimates (i.e. PBS fees and markups, and 29.7% public/private split).</w:t>
      </w:r>
    </w:p>
    <w:p w14:paraId="1C7B8632" w14:textId="67662EF8" w:rsidR="008047AE" w:rsidRPr="00D30537" w:rsidRDefault="00CC25A5" w:rsidP="008047AE">
      <w:pPr>
        <w:pStyle w:val="FooterTableFigure"/>
      </w:pPr>
      <w:r w:rsidRPr="00D30537">
        <w:rPr>
          <w:vertAlign w:val="superscript"/>
        </w:rPr>
        <w:t>f</w:t>
      </w:r>
      <w:r w:rsidR="008047AE" w:rsidRPr="00D30537">
        <w:rPr>
          <w:vertAlign w:val="superscript"/>
        </w:rPr>
        <w:t xml:space="preserve"> </w:t>
      </w:r>
      <w:r w:rsidR="008047AE" w:rsidRPr="00D30537">
        <w:t>Undiscounted drug costs from ‘Results’ sheet of the economic model.</w:t>
      </w:r>
    </w:p>
    <w:p w14:paraId="49D7EB8E" w14:textId="5624DFEC" w:rsidR="008047AE" w:rsidRPr="00D30537" w:rsidRDefault="00CC25A5" w:rsidP="008047AE">
      <w:pPr>
        <w:pStyle w:val="FooterTableFigure"/>
      </w:pPr>
      <w:r w:rsidRPr="00D30537">
        <w:rPr>
          <w:vertAlign w:val="superscript"/>
        </w:rPr>
        <w:t>g</w:t>
      </w:r>
      <w:r w:rsidR="008047AE" w:rsidRPr="00D30537">
        <w:rPr>
          <w:vertAlign w:val="superscript"/>
        </w:rPr>
        <w:t xml:space="preserve"> </w:t>
      </w:r>
      <w:r w:rsidR="008047AE" w:rsidRPr="00D30537">
        <w:t>mean no. doses x cost/patient/dose</w:t>
      </w:r>
    </w:p>
    <w:p w14:paraId="0E1FF6A6" w14:textId="77777777" w:rsidR="00D97CF4" w:rsidRPr="00D30537" w:rsidRDefault="00D97CF4" w:rsidP="008047AE">
      <w:pPr>
        <w:pStyle w:val="FooterTableFigure"/>
      </w:pPr>
    </w:p>
    <w:p w14:paraId="7B7473AF" w14:textId="2EDE6D53" w:rsidR="008047AE" w:rsidRPr="00D30537" w:rsidRDefault="008047AE" w:rsidP="006E3D94">
      <w:pPr>
        <w:pStyle w:val="3-BodyText"/>
        <w:ind w:left="709"/>
        <w:rPr>
          <w:color w:val="000000" w:themeColor="text1"/>
        </w:rPr>
      </w:pPr>
      <w:bookmarkStart w:id="82" w:name="_Hlk107307804"/>
      <w:r w:rsidRPr="00D30537">
        <w:rPr>
          <w:color w:val="000000" w:themeColor="text1"/>
        </w:rPr>
        <w:t>Drug cost/patient/course was calculated using the published price for avelumab</w:t>
      </w:r>
      <w:r w:rsidR="006C022E" w:rsidRPr="00D30537">
        <w:rPr>
          <w:color w:val="000000" w:themeColor="text1"/>
        </w:rPr>
        <w:t xml:space="preserve"> ($1,289.49)</w:t>
      </w:r>
      <w:r w:rsidRPr="00D30537">
        <w:rPr>
          <w:color w:val="000000" w:themeColor="text1"/>
        </w:rPr>
        <w:t>, and the placeholder effective price for retifanlimab applied in submission’s economic model ($</w:t>
      </w:r>
      <w:r w:rsidR="00D863F0" w:rsidRPr="00D863F0">
        <w:rPr>
          <w:color w:val="000000" w:themeColor="text1"/>
          <w:highlight w:val="black"/>
        </w:rPr>
        <w:t>&amp;&amp;&amp;&amp;</w:t>
      </w:r>
      <w:r w:rsidRPr="00D30537">
        <w:rPr>
          <w:color w:val="000000" w:themeColor="text1"/>
        </w:rPr>
        <w:t xml:space="preserve"> per dose, public/private split 29.7%). </w:t>
      </w:r>
      <w:r w:rsidR="00A51633" w:rsidRPr="00D30537">
        <w:rPr>
          <w:color w:val="000000" w:themeColor="text1"/>
        </w:rPr>
        <w:t>The cost/patient/dose was inclusive of PBS fees and mark-ups for Efficient Funding of Chemotherapy items.</w:t>
      </w:r>
    </w:p>
    <w:p w14:paraId="3D86FD41" w14:textId="70D78187" w:rsidR="008047AE" w:rsidRPr="00D30537" w:rsidRDefault="008047AE" w:rsidP="006E3D94">
      <w:pPr>
        <w:pStyle w:val="3-BodyText"/>
        <w:ind w:left="709"/>
        <w:rPr>
          <w:color w:val="000000" w:themeColor="text1"/>
        </w:rPr>
      </w:pPr>
      <w:r w:rsidRPr="00D30537">
        <w:rPr>
          <w:color w:val="000000" w:themeColor="text1"/>
        </w:rPr>
        <w:t>There were minor differences in the undiscounted drug costs from the submission’s economic model and the cost/patient/course assumptions applied in the financial estimates. T</w:t>
      </w:r>
      <w:r w:rsidR="00C42376" w:rsidRPr="00D30537">
        <w:rPr>
          <w:color w:val="000000" w:themeColor="text1"/>
        </w:rPr>
        <w:t>he evaluation considered that t</w:t>
      </w:r>
      <w:r w:rsidRPr="00D30537">
        <w:rPr>
          <w:color w:val="000000" w:themeColor="text1"/>
        </w:rPr>
        <w:t xml:space="preserve">his difference appeared to be </w:t>
      </w:r>
      <w:r w:rsidR="00857D9F" w:rsidRPr="00D30537">
        <w:rPr>
          <w:color w:val="000000" w:themeColor="text1"/>
        </w:rPr>
        <w:t>due to</w:t>
      </w:r>
      <w:r w:rsidRPr="00D30537">
        <w:rPr>
          <w:color w:val="000000" w:themeColor="text1"/>
        </w:rPr>
        <w:t xml:space="preserve"> rounding error</w:t>
      </w:r>
      <w:r w:rsidR="00857D9F" w:rsidRPr="00D30537">
        <w:rPr>
          <w:color w:val="000000" w:themeColor="text1"/>
        </w:rPr>
        <w:t xml:space="preserve"> in the economic model, which may be attributed to the 28-day cycle length.</w:t>
      </w:r>
    </w:p>
    <w:p w14:paraId="7EAE8A0A" w14:textId="77777777" w:rsidR="008047AE" w:rsidRPr="00D30537" w:rsidRDefault="008047AE" w:rsidP="000461E7">
      <w:pPr>
        <w:pStyle w:val="4-SubsectionHeading"/>
      </w:pPr>
      <w:bookmarkStart w:id="83" w:name="_Toc22897647"/>
      <w:bookmarkStart w:id="84" w:name="_Toc208988064"/>
      <w:bookmarkEnd w:id="82"/>
      <w:r w:rsidRPr="00D30537">
        <w:t>Estimated PBS usage &amp; financial implications</w:t>
      </w:r>
      <w:bookmarkEnd w:id="83"/>
      <w:bookmarkEnd w:id="84"/>
    </w:p>
    <w:p w14:paraId="32D170E8" w14:textId="4AF3963B" w:rsidR="009C12D5" w:rsidRPr="00D30537" w:rsidRDefault="009C12D5" w:rsidP="009C12D5">
      <w:pPr>
        <w:pStyle w:val="3-BodyText"/>
        <w:ind w:left="720"/>
        <w:rPr>
          <w:color w:val="0066FF"/>
        </w:rPr>
      </w:pPr>
      <w:bookmarkStart w:id="85" w:name="_Toc22897648"/>
      <w:bookmarkStart w:id="86" w:name="_Toc208988065"/>
      <w:r w:rsidRPr="00D30537">
        <w:t xml:space="preserve">This submission </w:t>
      </w:r>
      <w:r w:rsidR="00FB6C80">
        <w:t>was</w:t>
      </w:r>
      <w:r w:rsidRPr="00D30537">
        <w:t xml:space="preserve"> considered by DUSC</w:t>
      </w:r>
      <w:r w:rsidRPr="00D30537">
        <w:rPr>
          <w:color w:val="000000" w:themeColor="text1"/>
        </w:rPr>
        <w:t>.</w:t>
      </w:r>
      <w:r w:rsidRPr="00D30537">
        <w:rPr>
          <w:color w:val="0070C0"/>
        </w:rPr>
        <w:t xml:space="preserve"> </w:t>
      </w:r>
    </w:p>
    <w:p w14:paraId="27E54A3A" w14:textId="3A9A5ABB" w:rsidR="009C12D5" w:rsidRPr="00D30537" w:rsidRDefault="009C12D5" w:rsidP="009C12D5">
      <w:pPr>
        <w:pStyle w:val="3-BodyText"/>
        <w:ind w:left="720"/>
        <w:rPr>
          <w:i/>
          <w:iCs/>
          <w:color w:val="000000" w:themeColor="text1"/>
        </w:rPr>
      </w:pPr>
      <w:r w:rsidRPr="00D30537">
        <w:rPr>
          <w:color w:val="000000" w:themeColor="text1"/>
        </w:rPr>
        <w:t xml:space="preserve">A mixed model approach was used for estimating the financial implications associated with the PBS listing of retifanlimab in the requested PBS population. This approach was primarily a market share approach based on the historical script numbers of avelumab, with future usage estimated by linear extrapolation. </w:t>
      </w:r>
    </w:p>
    <w:p w14:paraId="225D53A9" w14:textId="33868352" w:rsidR="009C12D5" w:rsidRPr="00D30537" w:rsidRDefault="009C12D5" w:rsidP="009C12D5">
      <w:pPr>
        <w:pStyle w:val="3-BodyText"/>
        <w:ind w:left="720"/>
        <w:rPr>
          <w:color w:val="000000" w:themeColor="text1"/>
        </w:rPr>
      </w:pPr>
      <w:r w:rsidRPr="00D30537">
        <w:t xml:space="preserve">Estimated substituted avelumab scripts were translated into retifanlimab scripts via a script substitution rate. The script substitution rate between retifanlimab and </w:t>
      </w:r>
      <w:r w:rsidRPr="00D30537">
        <w:lastRenderedPageBreak/>
        <w:t xml:space="preserve">avelumab was estimated based on modelled </w:t>
      </w:r>
      <w:proofErr w:type="spellStart"/>
      <w:r w:rsidRPr="00D30537">
        <w:t>ToT</w:t>
      </w:r>
      <w:proofErr w:type="spellEnd"/>
      <w:r w:rsidRPr="00D30537">
        <w:t xml:space="preserve"> in the economic model</w:t>
      </w:r>
      <w:r w:rsidR="00FB41EA">
        <w:t xml:space="preserve"> (</w:t>
      </w:r>
      <w:proofErr w:type="spellStart"/>
      <w:r w:rsidR="00FB41EA">
        <w:t>ie</w:t>
      </w:r>
      <w:proofErr w:type="spellEnd"/>
      <w:r w:rsidR="00FB41EA">
        <w:t xml:space="preserve"> linked to PFS)</w:t>
      </w:r>
      <w:r w:rsidRPr="00D30537">
        <w:rPr>
          <w:i/>
          <w:iCs/>
        </w:rPr>
        <w:t xml:space="preserve">. </w:t>
      </w:r>
      <w:r w:rsidRPr="00D30537">
        <w:t xml:space="preserve">A </w:t>
      </w:r>
      <w:proofErr w:type="spellStart"/>
      <w:r w:rsidRPr="00D30537">
        <w:t>ToT</w:t>
      </w:r>
      <w:proofErr w:type="spellEnd"/>
      <w:r w:rsidRPr="00D30537">
        <w:t xml:space="preserve"> of 1.21 years for retifanlimab, equating to 15.8 scripts, and 1.58 years for avelumab, equating to 41.3 scripts, resulted in a substitution rate of 38.26% (41.3/15.8). </w:t>
      </w:r>
      <w:r w:rsidRPr="00A35159">
        <w:rPr>
          <w:color w:val="000000" w:themeColor="text1"/>
        </w:rPr>
        <w:t xml:space="preserve">The script substitution rate was dependent on modelled </w:t>
      </w:r>
      <w:proofErr w:type="spellStart"/>
      <w:r w:rsidRPr="00A35159">
        <w:rPr>
          <w:color w:val="000000" w:themeColor="text1"/>
        </w:rPr>
        <w:t>ToT</w:t>
      </w:r>
      <w:proofErr w:type="spellEnd"/>
      <w:r w:rsidRPr="00A35159">
        <w:rPr>
          <w:color w:val="000000" w:themeColor="text1"/>
        </w:rPr>
        <w:t xml:space="preserve">, and thus uncertain, with mean avelumab </w:t>
      </w:r>
      <w:proofErr w:type="spellStart"/>
      <w:r w:rsidRPr="00A35159">
        <w:rPr>
          <w:color w:val="000000" w:themeColor="text1"/>
        </w:rPr>
        <w:t>ToT</w:t>
      </w:r>
      <w:proofErr w:type="spellEnd"/>
      <w:r w:rsidRPr="00A35159">
        <w:rPr>
          <w:color w:val="000000" w:themeColor="text1"/>
        </w:rPr>
        <w:t xml:space="preserve"> potentially overestimated (see paragraph</w:t>
      </w:r>
      <w:r w:rsidR="008D62D0">
        <w:rPr>
          <w:color w:val="000000" w:themeColor="text1"/>
        </w:rPr>
        <w:t xml:space="preserve"> </w:t>
      </w:r>
      <w:r w:rsidRPr="00A35159">
        <w:rPr>
          <w:color w:val="000000" w:themeColor="text1"/>
        </w:rPr>
        <w:fldChar w:fldCharType="begin"/>
      </w:r>
      <w:r w:rsidRPr="00A35159">
        <w:rPr>
          <w:color w:val="000000" w:themeColor="text1"/>
        </w:rPr>
        <w:instrText xml:space="preserve"> REF _Ref206449531 \r \h </w:instrText>
      </w:r>
      <w:r w:rsidR="00A35159">
        <w:rPr>
          <w:color w:val="000000" w:themeColor="text1"/>
        </w:rPr>
        <w:instrText xml:space="preserve"> \* MERGEFORMAT </w:instrText>
      </w:r>
      <w:r w:rsidRPr="00A35159">
        <w:rPr>
          <w:color w:val="000000" w:themeColor="text1"/>
        </w:rPr>
      </w:r>
      <w:r w:rsidRPr="00A35159">
        <w:rPr>
          <w:color w:val="000000" w:themeColor="text1"/>
        </w:rPr>
        <w:fldChar w:fldCharType="separate"/>
      </w:r>
      <w:r w:rsidR="008D62D0">
        <w:rPr>
          <w:color w:val="000000" w:themeColor="text1"/>
        </w:rPr>
        <w:t>6.47</w:t>
      </w:r>
      <w:r w:rsidRPr="00A35159">
        <w:rPr>
          <w:color w:val="000000" w:themeColor="text1"/>
        </w:rPr>
        <w:fldChar w:fldCharType="end"/>
      </w:r>
      <w:r w:rsidRPr="00A35159">
        <w:rPr>
          <w:color w:val="000000" w:themeColor="text1"/>
        </w:rPr>
        <w:t>).</w:t>
      </w:r>
      <w:r w:rsidRPr="00D30537">
        <w:rPr>
          <w:i/>
          <w:iCs/>
          <w:color w:val="000000" w:themeColor="text1"/>
        </w:rPr>
        <w:t xml:space="preserve"> </w:t>
      </w:r>
    </w:p>
    <w:p w14:paraId="715F43E6" w14:textId="0778D80B" w:rsidR="009C12D5" w:rsidRPr="00D30537" w:rsidRDefault="009C12D5" w:rsidP="009C12D5">
      <w:pPr>
        <w:pStyle w:val="3-BodyText"/>
        <w:ind w:left="720"/>
        <w:rPr>
          <w:color w:val="000000" w:themeColor="text1"/>
        </w:rPr>
      </w:pPr>
      <w:r w:rsidRPr="00D30537">
        <w:rPr>
          <w:color w:val="000000" w:themeColor="text1"/>
        </w:rPr>
        <w:t xml:space="preserve">A summary of data sources and parameter values applied in the analysis is provided in </w:t>
      </w:r>
      <w:r w:rsidRPr="00D30537">
        <w:rPr>
          <w:color w:val="000000" w:themeColor="text1"/>
          <w:highlight w:val="green"/>
        </w:rPr>
        <w:fldChar w:fldCharType="begin"/>
      </w:r>
      <w:r w:rsidRPr="00D30537">
        <w:rPr>
          <w:color w:val="000000" w:themeColor="text1"/>
        </w:rPr>
        <w:instrText xml:space="preserve"> REF _Ref104805262 \h </w:instrText>
      </w:r>
      <w:r w:rsidRPr="00D30537">
        <w:rPr>
          <w:color w:val="000000" w:themeColor="text1"/>
          <w:highlight w:val="green"/>
        </w:rPr>
      </w:r>
      <w:r w:rsidRPr="00D30537">
        <w:rPr>
          <w:color w:val="000000" w:themeColor="text1"/>
          <w:highlight w:val="green"/>
        </w:rPr>
        <w:fldChar w:fldCharType="separate"/>
      </w:r>
      <w:r w:rsidR="00652388" w:rsidRPr="00D30537">
        <w:t xml:space="preserve">Table </w:t>
      </w:r>
      <w:r w:rsidR="00652388">
        <w:rPr>
          <w:noProof/>
        </w:rPr>
        <w:t>15</w:t>
      </w:r>
      <w:r w:rsidRPr="00D30537">
        <w:rPr>
          <w:color w:val="000000" w:themeColor="text1"/>
          <w:highlight w:val="green"/>
        </w:rPr>
        <w:fldChar w:fldCharType="end"/>
      </w:r>
      <w:r w:rsidRPr="00D30537">
        <w:rPr>
          <w:color w:val="000000" w:themeColor="text1"/>
        </w:rPr>
        <w:t>.</w:t>
      </w:r>
    </w:p>
    <w:p w14:paraId="6EBCAFA9" w14:textId="1D51C7FC" w:rsidR="009C12D5" w:rsidRPr="00D30537" w:rsidRDefault="009C12D5" w:rsidP="009C12D5">
      <w:pPr>
        <w:pStyle w:val="Caption"/>
        <w:rPr>
          <w:szCs w:val="24"/>
        </w:rPr>
      </w:pPr>
      <w:bookmarkStart w:id="87" w:name="_Ref104805262"/>
      <w:r w:rsidRPr="00D30537">
        <w:t xml:space="preserve">Table </w:t>
      </w:r>
      <w:fldSimple w:instr=" SEQ Table \* ARABIC ">
        <w:r w:rsidR="00652388">
          <w:rPr>
            <w:noProof/>
          </w:rPr>
          <w:t>15</w:t>
        </w:r>
      </w:fldSimple>
      <w:bookmarkEnd w:id="87"/>
      <w:r w:rsidRPr="00D30537">
        <w:t>:</w:t>
      </w:r>
      <w:r w:rsidRPr="00D30537">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Key inputs for financial estimates"/>
      </w:tblPr>
      <w:tblGrid>
        <w:gridCol w:w="1271"/>
        <w:gridCol w:w="2268"/>
        <w:gridCol w:w="2835"/>
        <w:gridCol w:w="2806"/>
      </w:tblGrid>
      <w:tr w:rsidR="009C12D5" w:rsidRPr="00D30537" w14:paraId="79657060" w14:textId="77777777">
        <w:trPr>
          <w:cantSplit/>
          <w:tblHeader/>
        </w:trPr>
        <w:tc>
          <w:tcPr>
            <w:tcW w:w="1271" w:type="dxa"/>
            <w:vAlign w:val="center"/>
          </w:tcPr>
          <w:p w14:paraId="57ABCFD1"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Data</w:t>
            </w:r>
          </w:p>
        </w:tc>
        <w:tc>
          <w:tcPr>
            <w:tcW w:w="2268" w:type="dxa"/>
            <w:vAlign w:val="center"/>
          </w:tcPr>
          <w:p w14:paraId="755074A4"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Value</w:t>
            </w:r>
          </w:p>
        </w:tc>
        <w:tc>
          <w:tcPr>
            <w:tcW w:w="2835" w:type="dxa"/>
            <w:vAlign w:val="center"/>
          </w:tcPr>
          <w:p w14:paraId="2A97B11D"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Source</w:t>
            </w:r>
          </w:p>
        </w:tc>
        <w:tc>
          <w:tcPr>
            <w:tcW w:w="2806" w:type="dxa"/>
            <w:vAlign w:val="center"/>
          </w:tcPr>
          <w:p w14:paraId="187270FE"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Comment</w:t>
            </w:r>
          </w:p>
        </w:tc>
      </w:tr>
      <w:tr w:rsidR="009C12D5" w:rsidRPr="00D30537" w14:paraId="46D0919E" w14:textId="77777777">
        <w:trPr>
          <w:cantSplit/>
        </w:trPr>
        <w:tc>
          <w:tcPr>
            <w:tcW w:w="9180" w:type="dxa"/>
            <w:gridSpan w:val="4"/>
            <w:vAlign w:val="center"/>
          </w:tcPr>
          <w:p w14:paraId="4395043E"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Eligible population</w:t>
            </w:r>
          </w:p>
        </w:tc>
      </w:tr>
      <w:tr w:rsidR="007E6336" w:rsidRPr="00D30537" w14:paraId="4D2B4397" w14:textId="77777777" w:rsidTr="007E6336">
        <w:trPr>
          <w:cantSplit/>
        </w:trPr>
        <w:tc>
          <w:tcPr>
            <w:tcW w:w="1271" w:type="dxa"/>
          </w:tcPr>
          <w:p w14:paraId="4E450CB9" w14:textId="08104CE3"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Incident patients</w:t>
            </w:r>
          </w:p>
        </w:tc>
        <w:tc>
          <w:tcPr>
            <w:tcW w:w="2268" w:type="dxa"/>
          </w:tcPr>
          <w:p w14:paraId="4A05EDD9" w14:textId="74625FC7" w:rsidR="007E6336" w:rsidRPr="007E6336" w:rsidRDefault="007E6336" w:rsidP="007E6336">
            <w:pPr>
              <w:keepNext/>
              <w:keepLines/>
              <w:jc w:val="left"/>
              <w:rPr>
                <w:rFonts w:ascii="Arial Narrow" w:hAnsi="Arial Narrow"/>
                <w:sz w:val="20"/>
                <w:szCs w:val="20"/>
              </w:rPr>
            </w:pPr>
            <w:r w:rsidRPr="007E6336">
              <w:rPr>
                <w:rFonts w:ascii="Arial Narrow" w:hAnsi="Arial Narrow"/>
                <w:sz w:val="20"/>
                <w:szCs w:val="20"/>
              </w:rPr>
              <w:t>Not provided.</w:t>
            </w:r>
          </w:p>
        </w:tc>
        <w:tc>
          <w:tcPr>
            <w:tcW w:w="2835" w:type="dxa"/>
          </w:tcPr>
          <w:p w14:paraId="60827319" w14:textId="7D0141C9"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NA</w:t>
            </w:r>
          </w:p>
        </w:tc>
        <w:tc>
          <w:tcPr>
            <w:tcW w:w="2806" w:type="dxa"/>
            <w:vMerge w:val="restart"/>
            <w:vAlign w:val="center"/>
          </w:tcPr>
          <w:p w14:paraId="0EAD5EC1" w14:textId="77777777" w:rsidR="00C67976" w:rsidRDefault="009F7CAB" w:rsidP="007E6336">
            <w:pPr>
              <w:keepNext/>
              <w:keepLines/>
              <w:jc w:val="left"/>
              <w:rPr>
                <w:rFonts w:ascii="Arial Narrow" w:hAnsi="Arial Narrow"/>
                <w:sz w:val="20"/>
                <w:szCs w:val="20"/>
              </w:rPr>
            </w:pPr>
            <w:r w:rsidRPr="009F7CAB">
              <w:rPr>
                <w:rFonts w:ascii="Arial Narrow" w:hAnsi="Arial Narrow"/>
                <w:sz w:val="20"/>
                <w:szCs w:val="20"/>
              </w:rPr>
              <w:t>The interpretability of the retifanlimab budget impact model was limited without patient counts. The number of incident patients was estimated based on avelumab scripts on the PBS during the evaluation</w:t>
            </w:r>
            <w:r>
              <w:rPr>
                <w:rFonts w:ascii="Arial Narrow" w:hAnsi="Arial Narrow"/>
                <w:sz w:val="20"/>
                <w:szCs w:val="20"/>
              </w:rPr>
              <w:t xml:space="preserve">. </w:t>
            </w:r>
          </w:p>
          <w:p w14:paraId="07867B0D" w14:textId="1429479F" w:rsidR="007E6336" w:rsidRPr="007E6336" w:rsidRDefault="00C67976" w:rsidP="007E6336">
            <w:pPr>
              <w:keepNext/>
              <w:keepLines/>
              <w:jc w:val="left"/>
              <w:rPr>
                <w:rFonts w:ascii="Arial Narrow" w:hAnsi="Arial Narrow"/>
                <w:sz w:val="20"/>
                <w:szCs w:val="20"/>
              </w:rPr>
            </w:pPr>
            <w:r w:rsidRPr="00C67976">
              <w:rPr>
                <w:rFonts w:ascii="Arial Narrow" w:hAnsi="Arial Narrow"/>
                <w:sz w:val="20"/>
                <w:szCs w:val="20"/>
              </w:rPr>
              <w:t>DUSC agreed with the approach used by the sponsor and its use of a market share method.</w:t>
            </w:r>
          </w:p>
        </w:tc>
      </w:tr>
      <w:tr w:rsidR="007E6336" w:rsidRPr="00D30537" w14:paraId="22A779FE" w14:textId="77777777" w:rsidTr="007E6336">
        <w:trPr>
          <w:cantSplit/>
        </w:trPr>
        <w:tc>
          <w:tcPr>
            <w:tcW w:w="1271" w:type="dxa"/>
          </w:tcPr>
          <w:p w14:paraId="4C508F63" w14:textId="3445BCD3"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Prevalent patients</w:t>
            </w:r>
          </w:p>
        </w:tc>
        <w:tc>
          <w:tcPr>
            <w:tcW w:w="2268" w:type="dxa"/>
          </w:tcPr>
          <w:p w14:paraId="4999971D" w14:textId="7269A76B" w:rsidR="007E6336" w:rsidRPr="007E6336" w:rsidRDefault="007E6336" w:rsidP="007E6336">
            <w:pPr>
              <w:keepNext/>
              <w:keepLines/>
              <w:jc w:val="left"/>
              <w:rPr>
                <w:rFonts w:ascii="Arial Narrow" w:hAnsi="Arial Narrow"/>
                <w:sz w:val="20"/>
                <w:szCs w:val="20"/>
              </w:rPr>
            </w:pPr>
            <w:r w:rsidRPr="007E6336">
              <w:rPr>
                <w:rFonts w:ascii="Arial Narrow" w:hAnsi="Arial Narrow"/>
                <w:sz w:val="20"/>
                <w:szCs w:val="20"/>
              </w:rPr>
              <w:t>Not provided.</w:t>
            </w:r>
          </w:p>
        </w:tc>
        <w:tc>
          <w:tcPr>
            <w:tcW w:w="2835" w:type="dxa"/>
          </w:tcPr>
          <w:p w14:paraId="24471EAF" w14:textId="5A48999F" w:rsidR="007E6336" w:rsidRPr="00D30537" w:rsidRDefault="007E6336" w:rsidP="007E6336">
            <w:pPr>
              <w:keepNext/>
              <w:keepLines/>
              <w:jc w:val="left"/>
              <w:rPr>
                <w:rFonts w:ascii="Arial Narrow" w:hAnsi="Arial Narrow"/>
                <w:sz w:val="20"/>
                <w:szCs w:val="20"/>
              </w:rPr>
            </w:pPr>
            <w:r w:rsidRPr="007E6336">
              <w:rPr>
                <w:rFonts w:ascii="Arial Narrow" w:hAnsi="Arial Narrow"/>
                <w:sz w:val="20"/>
                <w:szCs w:val="20"/>
              </w:rPr>
              <w:t>NA</w:t>
            </w:r>
          </w:p>
        </w:tc>
        <w:tc>
          <w:tcPr>
            <w:tcW w:w="2806" w:type="dxa"/>
            <w:vMerge/>
            <w:vAlign w:val="center"/>
          </w:tcPr>
          <w:p w14:paraId="5770EFAC" w14:textId="77777777" w:rsidR="007E6336" w:rsidRPr="007E6336" w:rsidRDefault="007E6336" w:rsidP="007E6336">
            <w:pPr>
              <w:keepNext/>
              <w:keepLines/>
              <w:jc w:val="left"/>
              <w:rPr>
                <w:rFonts w:ascii="Arial Narrow" w:hAnsi="Arial Narrow"/>
                <w:sz w:val="20"/>
                <w:szCs w:val="20"/>
              </w:rPr>
            </w:pPr>
          </w:p>
        </w:tc>
      </w:tr>
      <w:tr w:rsidR="009C12D5" w:rsidRPr="00D30537" w14:paraId="14753CA2" w14:textId="77777777">
        <w:trPr>
          <w:cantSplit/>
        </w:trPr>
        <w:tc>
          <w:tcPr>
            <w:tcW w:w="1271" w:type="dxa"/>
            <w:vAlign w:val="center"/>
          </w:tcPr>
          <w:p w14:paraId="4A6F4519"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Projected service use of avelumab without retifanlimab listing</w:t>
            </w:r>
          </w:p>
        </w:tc>
        <w:tc>
          <w:tcPr>
            <w:tcW w:w="2268" w:type="dxa"/>
            <w:vAlign w:val="center"/>
          </w:tcPr>
          <w:p w14:paraId="29BA9CBC" w14:textId="77777777" w:rsidR="009C12D5" w:rsidRPr="00D30537" w:rsidRDefault="009C12D5">
            <w:pPr>
              <w:keepNext/>
              <w:keepLines/>
              <w:jc w:val="left"/>
              <w:rPr>
                <w:rFonts w:ascii="Arial Narrow" w:hAnsi="Arial Narrow"/>
                <w:i/>
                <w:iCs/>
                <w:sz w:val="20"/>
                <w:szCs w:val="20"/>
              </w:rPr>
            </w:pPr>
            <w:r w:rsidRPr="00D30537">
              <w:rPr>
                <w:rFonts w:ascii="Arial Narrow" w:hAnsi="Arial Narrow"/>
                <w:i/>
                <w:iCs/>
                <w:sz w:val="20"/>
                <w:szCs w:val="20"/>
              </w:rPr>
              <w:t>Total services</w:t>
            </w:r>
          </w:p>
          <w:p w14:paraId="771BAB2A"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1 (2026): 5,746</w:t>
            </w:r>
          </w:p>
          <w:p w14:paraId="7B826669"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2 (2027</w:t>
            </w:r>
            <w:r w:rsidRPr="00773E19">
              <w:rPr>
                <w:rFonts w:ascii="Arial Narrow" w:hAnsi="Arial Narrow"/>
                <w:sz w:val="20"/>
                <w:szCs w:val="20"/>
              </w:rPr>
              <w:t>): 6,179</w:t>
            </w:r>
          </w:p>
          <w:p w14:paraId="549FC999"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3 (2028): 6,612</w:t>
            </w:r>
          </w:p>
          <w:p w14:paraId="1105CB60"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4 (2029): 7,045</w:t>
            </w:r>
          </w:p>
          <w:p w14:paraId="2657DEB8"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5 (2030): 7,478</w:t>
            </w:r>
          </w:p>
          <w:p w14:paraId="1407FF34"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Yr 6 (2031): 7,911</w:t>
            </w:r>
          </w:p>
        </w:tc>
        <w:tc>
          <w:tcPr>
            <w:tcW w:w="2835" w:type="dxa"/>
            <w:vAlign w:val="center"/>
          </w:tcPr>
          <w:p w14:paraId="11D636E0"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PBS/RPBS services between 2020 and 2024.</w:t>
            </w:r>
          </w:p>
          <w:p w14:paraId="6203DFB4" w14:textId="77777777" w:rsidR="009C12D5" w:rsidRPr="00D30537" w:rsidRDefault="009C12D5">
            <w:pPr>
              <w:keepNext/>
              <w:keepLines/>
              <w:jc w:val="left"/>
              <w:rPr>
                <w:rFonts w:ascii="Arial Narrow" w:hAnsi="Arial Narrow"/>
                <w:sz w:val="20"/>
                <w:szCs w:val="20"/>
              </w:rPr>
            </w:pPr>
            <w:r w:rsidRPr="00D30537">
              <w:rPr>
                <w:rFonts w:ascii="Arial Narrow" w:hAnsi="Arial Narrow"/>
                <w:sz w:val="20"/>
                <w:szCs w:val="20"/>
              </w:rPr>
              <w:t>Assuming linear market growth of initiating and continuing scripts continues over the analysis period (2026-2031).</w:t>
            </w:r>
          </w:p>
        </w:tc>
        <w:tc>
          <w:tcPr>
            <w:tcW w:w="2806" w:type="dxa"/>
            <w:vAlign w:val="center"/>
          </w:tcPr>
          <w:p w14:paraId="49A9DC4C" w14:textId="038DB4DB" w:rsidR="009C12D5" w:rsidRPr="009C4C87" w:rsidRDefault="009C12D5">
            <w:pPr>
              <w:keepNext/>
              <w:keepLines/>
              <w:jc w:val="left"/>
              <w:rPr>
                <w:rFonts w:ascii="Arial Narrow" w:hAnsi="Arial Narrow"/>
                <w:sz w:val="20"/>
                <w:szCs w:val="20"/>
              </w:rPr>
            </w:pPr>
            <w:r w:rsidRPr="009C4C87">
              <w:rPr>
                <w:rFonts w:ascii="Arial Narrow" w:hAnsi="Arial Narrow"/>
                <w:sz w:val="20"/>
                <w:szCs w:val="20"/>
              </w:rPr>
              <w:t>Using script numbers instead of underlying patient numbers may increase uncertainty as average utilisation of avelumab was uncertain.</w:t>
            </w:r>
            <w:r w:rsidR="009C4C87" w:rsidRPr="009C4C87">
              <w:rPr>
                <w:rFonts w:ascii="Arial Narrow" w:hAnsi="Arial Narrow"/>
                <w:sz w:val="20"/>
                <w:szCs w:val="20"/>
              </w:rPr>
              <w:t xml:space="preserve"> DUSC noted current trends of avelumab utilisation and considered this to be reasonable.</w:t>
            </w:r>
          </w:p>
        </w:tc>
      </w:tr>
      <w:tr w:rsidR="00D54567" w:rsidRPr="00D30537" w14:paraId="4E17AB78" w14:textId="77777777" w:rsidTr="00D61113">
        <w:trPr>
          <w:cantSplit/>
        </w:trPr>
        <w:tc>
          <w:tcPr>
            <w:tcW w:w="1271" w:type="dxa"/>
          </w:tcPr>
          <w:p w14:paraId="2482B7CD" w14:textId="222CA92D" w:rsidR="00D54567" w:rsidRPr="00D30537" w:rsidRDefault="00D54567" w:rsidP="00D54567">
            <w:pPr>
              <w:keepNext/>
              <w:keepLines/>
              <w:jc w:val="left"/>
              <w:rPr>
                <w:rFonts w:ascii="Arial Narrow" w:hAnsi="Arial Narrow"/>
                <w:sz w:val="20"/>
                <w:szCs w:val="20"/>
              </w:rPr>
            </w:pPr>
            <w:r w:rsidRPr="00D54567">
              <w:rPr>
                <w:rFonts w:ascii="Arial Narrow" w:hAnsi="Arial Narrow"/>
                <w:sz w:val="20"/>
                <w:szCs w:val="20"/>
              </w:rPr>
              <w:t>Recurrent locally advanced not amenable to surgery or RT</w:t>
            </w:r>
          </w:p>
        </w:tc>
        <w:tc>
          <w:tcPr>
            <w:tcW w:w="2268" w:type="dxa"/>
          </w:tcPr>
          <w:p w14:paraId="45D1FA94" w14:textId="2662E61C" w:rsidR="00D54567" w:rsidRPr="00D54567" w:rsidRDefault="00D54567" w:rsidP="00D54567">
            <w:pPr>
              <w:keepNext/>
              <w:keepLines/>
              <w:jc w:val="left"/>
              <w:rPr>
                <w:rFonts w:ascii="Arial Narrow" w:hAnsi="Arial Narrow"/>
                <w:sz w:val="20"/>
                <w:szCs w:val="20"/>
              </w:rPr>
            </w:pPr>
            <w:r w:rsidRPr="00D54567">
              <w:rPr>
                <w:rFonts w:ascii="Arial Narrow" w:hAnsi="Arial Narrow"/>
                <w:sz w:val="20"/>
                <w:szCs w:val="20"/>
              </w:rPr>
              <w:t>15%</w:t>
            </w:r>
          </w:p>
        </w:tc>
        <w:tc>
          <w:tcPr>
            <w:tcW w:w="2835" w:type="dxa"/>
          </w:tcPr>
          <w:p w14:paraId="2386E811" w14:textId="3B2293F1" w:rsidR="00D54567" w:rsidRPr="00D30537" w:rsidRDefault="00D54567" w:rsidP="00D54567">
            <w:pPr>
              <w:keepNext/>
              <w:keepLines/>
              <w:jc w:val="left"/>
              <w:rPr>
                <w:rFonts w:ascii="Arial Narrow" w:hAnsi="Arial Narrow"/>
                <w:sz w:val="20"/>
                <w:szCs w:val="20"/>
              </w:rPr>
            </w:pPr>
            <w:r w:rsidRPr="00D54567">
              <w:rPr>
                <w:rFonts w:ascii="Arial Narrow" w:hAnsi="Arial Narrow"/>
                <w:sz w:val="20"/>
                <w:szCs w:val="20"/>
              </w:rPr>
              <w:t>Assumption</w:t>
            </w:r>
          </w:p>
        </w:tc>
        <w:tc>
          <w:tcPr>
            <w:tcW w:w="2806" w:type="dxa"/>
          </w:tcPr>
          <w:p w14:paraId="01A43AC2" w14:textId="77777777" w:rsidR="000C4888" w:rsidRDefault="00D54567" w:rsidP="000C4888">
            <w:pPr>
              <w:keepNext/>
              <w:keepLines/>
              <w:jc w:val="left"/>
              <w:rPr>
                <w:rFonts w:ascii="Arial Narrow" w:hAnsi="Arial Narrow"/>
                <w:sz w:val="20"/>
                <w:szCs w:val="20"/>
              </w:rPr>
            </w:pPr>
            <w:r w:rsidRPr="00D54567">
              <w:rPr>
                <w:rFonts w:ascii="Arial Narrow" w:hAnsi="Arial Narrow"/>
                <w:sz w:val="20"/>
                <w:szCs w:val="20"/>
              </w:rPr>
              <w:t xml:space="preserve">Uncertain as not based on any evidence. Used to validate the usage of retifanlimab in expanded population of Recurrent locally advanced not amenable to surgery or RT. </w:t>
            </w:r>
          </w:p>
          <w:p w14:paraId="0981A806" w14:textId="0493DAB7" w:rsidR="00D54567" w:rsidRPr="009C4C87" w:rsidRDefault="000C4888" w:rsidP="000C4888">
            <w:pPr>
              <w:keepNext/>
              <w:keepLines/>
              <w:jc w:val="left"/>
              <w:rPr>
                <w:rFonts w:ascii="Arial Narrow" w:hAnsi="Arial Narrow"/>
                <w:sz w:val="20"/>
                <w:szCs w:val="20"/>
              </w:rPr>
            </w:pPr>
            <w:r w:rsidRPr="000C4888">
              <w:rPr>
                <w:rFonts w:ascii="Arial Narrow" w:hAnsi="Arial Narrow"/>
                <w:sz w:val="20"/>
                <w:szCs w:val="20"/>
              </w:rPr>
              <w:t xml:space="preserve">DUSC considered this to be uncertain but likely reasonable. DUSC noted the POD1UM-201 trial reported this input to be 9.9% and considered it would likely be lower in the </w:t>
            </w:r>
            <w:r w:rsidR="00B85ABE" w:rsidRPr="000C4888">
              <w:rPr>
                <w:rFonts w:ascii="Arial Narrow" w:hAnsi="Arial Narrow"/>
                <w:sz w:val="20"/>
                <w:szCs w:val="20"/>
              </w:rPr>
              <w:t>real-world</w:t>
            </w:r>
            <w:r w:rsidRPr="000C4888">
              <w:rPr>
                <w:rFonts w:ascii="Arial Narrow" w:hAnsi="Arial Narrow"/>
                <w:sz w:val="20"/>
                <w:szCs w:val="20"/>
              </w:rPr>
              <w:t xml:space="preserve"> setting.</w:t>
            </w:r>
          </w:p>
        </w:tc>
      </w:tr>
      <w:tr w:rsidR="009C12D5" w:rsidRPr="00D30537" w14:paraId="57A2E32D" w14:textId="77777777">
        <w:trPr>
          <w:cantSplit/>
        </w:trPr>
        <w:tc>
          <w:tcPr>
            <w:tcW w:w="9180" w:type="dxa"/>
            <w:gridSpan w:val="4"/>
            <w:vAlign w:val="center"/>
          </w:tcPr>
          <w:p w14:paraId="70A3D157" w14:textId="77777777" w:rsidR="009C12D5" w:rsidRPr="00D30537" w:rsidRDefault="009C12D5">
            <w:pPr>
              <w:keepNext/>
              <w:keepLines/>
              <w:rPr>
                <w:rFonts w:ascii="Arial Narrow" w:hAnsi="Arial Narrow"/>
                <w:b/>
                <w:bCs/>
                <w:sz w:val="20"/>
                <w:szCs w:val="20"/>
              </w:rPr>
            </w:pPr>
            <w:r w:rsidRPr="00D30537">
              <w:rPr>
                <w:rFonts w:ascii="Arial Narrow" w:hAnsi="Arial Narrow"/>
                <w:b/>
                <w:bCs/>
                <w:sz w:val="20"/>
                <w:szCs w:val="20"/>
              </w:rPr>
              <w:t>Market Growth Assumptions</w:t>
            </w:r>
          </w:p>
        </w:tc>
      </w:tr>
      <w:tr w:rsidR="009C12D5" w:rsidRPr="00D30537" w14:paraId="6A24D485" w14:textId="77777777">
        <w:trPr>
          <w:cantSplit/>
        </w:trPr>
        <w:tc>
          <w:tcPr>
            <w:tcW w:w="1271" w:type="dxa"/>
            <w:vAlign w:val="center"/>
          </w:tcPr>
          <w:p w14:paraId="1EF216D5" w14:textId="77777777" w:rsidR="009C12D5" w:rsidRPr="00D30537" w:rsidRDefault="009C12D5">
            <w:pPr>
              <w:rPr>
                <w:rFonts w:ascii="Arial Narrow" w:hAnsi="Arial Narrow"/>
                <w:sz w:val="20"/>
                <w:szCs w:val="20"/>
              </w:rPr>
            </w:pPr>
            <w:r w:rsidRPr="00D30537">
              <w:rPr>
                <w:rFonts w:ascii="Arial Narrow" w:hAnsi="Arial Narrow"/>
                <w:sz w:val="20"/>
                <w:szCs w:val="20"/>
              </w:rPr>
              <w:t>Uptake rate</w:t>
            </w:r>
          </w:p>
        </w:tc>
        <w:tc>
          <w:tcPr>
            <w:tcW w:w="2268" w:type="dxa"/>
            <w:vAlign w:val="center"/>
          </w:tcPr>
          <w:p w14:paraId="4862A8EB" w14:textId="61864545" w:rsidR="009C12D5" w:rsidRPr="00D30537" w:rsidRDefault="009C12D5">
            <w:pPr>
              <w:jc w:val="left"/>
              <w:rPr>
                <w:rFonts w:ascii="Arial Narrow" w:hAnsi="Arial Narrow"/>
                <w:sz w:val="20"/>
                <w:szCs w:val="20"/>
              </w:rPr>
            </w:pPr>
            <w:r w:rsidRPr="00D30537">
              <w:rPr>
                <w:rFonts w:ascii="Arial Narrow" w:hAnsi="Arial Narrow"/>
                <w:sz w:val="20"/>
                <w:szCs w:val="20"/>
              </w:rPr>
              <w:t xml:space="preserve">Assumed the total immunotherapy uptake rate would increase by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(i.e. from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to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due to additional uptake of retifanlimab in metastatic MCC. </w:t>
            </w:r>
          </w:p>
        </w:tc>
        <w:tc>
          <w:tcPr>
            <w:tcW w:w="2835" w:type="dxa"/>
            <w:vAlign w:val="center"/>
          </w:tcPr>
          <w:p w14:paraId="0BF71A6A" w14:textId="77777777" w:rsidR="009C12D5" w:rsidRPr="00316527" w:rsidRDefault="009C12D5">
            <w:pPr>
              <w:rPr>
                <w:rFonts w:ascii="Arial Narrow" w:hAnsi="Arial Narrow"/>
                <w:sz w:val="20"/>
                <w:szCs w:val="20"/>
              </w:rPr>
            </w:pPr>
            <w:r w:rsidRPr="00316527">
              <w:rPr>
                <w:rFonts w:ascii="Arial Narrow" w:hAnsi="Arial Narrow"/>
                <w:sz w:val="20"/>
                <w:szCs w:val="20"/>
              </w:rPr>
              <w:t>Assumption</w:t>
            </w:r>
          </w:p>
        </w:tc>
        <w:tc>
          <w:tcPr>
            <w:tcW w:w="2806" w:type="dxa"/>
            <w:vAlign w:val="center"/>
          </w:tcPr>
          <w:p w14:paraId="21BCFC39" w14:textId="4BC47F9C" w:rsidR="009C12D5" w:rsidRPr="00316527" w:rsidRDefault="009C12D5">
            <w:pPr>
              <w:jc w:val="left"/>
              <w:rPr>
                <w:rFonts w:ascii="Arial Narrow" w:hAnsi="Arial Narrow"/>
                <w:sz w:val="20"/>
                <w:szCs w:val="20"/>
                <w:lang w:val="en-GB"/>
              </w:rPr>
            </w:pPr>
            <w:r w:rsidRPr="00316527">
              <w:rPr>
                <w:rFonts w:ascii="Arial Narrow" w:hAnsi="Arial Narrow"/>
                <w:sz w:val="20"/>
                <w:szCs w:val="20"/>
              </w:rPr>
              <w:t>Likely overestimated, as these patients would have been eligible for avelumab but opted not to use immunotherapy.</w:t>
            </w:r>
            <w:r w:rsidR="00216F7F" w:rsidRPr="00316527">
              <w:rPr>
                <w:rFonts w:ascii="Arial Narrow" w:hAnsi="Arial Narrow"/>
                <w:sz w:val="20"/>
                <w:szCs w:val="20"/>
              </w:rPr>
              <w:t xml:space="preserve"> DUSC noted a White Paper released by IQVIA </w:t>
            </w:r>
            <w:r w:rsidR="00216F7F" w:rsidRPr="00316527">
              <w:rPr>
                <w:rFonts w:ascii="Arial Narrow" w:hAnsi="Arial Narrow"/>
                <w:sz w:val="20"/>
                <w:szCs w:val="20"/>
                <w:lang w:val="en-GB"/>
              </w:rPr>
              <w:t>in 2022</w:t>
            </w:r>
            <w:r w:rsidR="00216F7F" w:rsidRPr="00316527">
              <w:rPr>
                <w:rStyle w:val="FootnoteReference"/>
                <w:rFonts w:ascii="Arial Narrow" w:hAnsi="Arial Narrow"/>
                <w:sz w:val="20"/>
                <w:szCs w:val="20"/>
                <w:lang w:val="en-GB"/>
              </w:rPr>
              <w:footnoteReference w:id="12"/>
            </w:r>
            <w:r w:rsidR="00216F7F" w:rsidRPr="00316527">
              <w:rPr>
                <w:rFonts w:ascii="Arial Narrow" w:hAnsi="Arial Narrow"/>
                <w:sz w:val="20"/>
                <w:szCs w:val="20"/>
                <w:lang w:val="en-GB"/>
              </w:rPr>
              <w:t xml:space="preserve"> which indicated that new listings shift market share rather than expand uptake.</w:t>
            </w:r>
          </w:p>
        </w:tc>
      </w:tr>
      <w:tr w:rsidR="009C12D5" w:rsidRPr="00D30537" w14:paraId="07F7B79C" w14:textId="77777777">
        <w:trPr>
          <w:cantSplit/>
        </w:trPr>
        <w:tc>
          <w:tcPr>
            <w:tcW w:w="1271" w:type="dxa"/>
            <w:vAlign w:val="center"/>
          </w:tcPr>
          <w:p w14:paraId="21F9ECE7" w14:textId="77777777" w:rsidR="009C12D5" w:rsidRPr="00316527" w:rsidRDefault="009C12D5">
            <w:pPr>
              <w:rPr>
                <w:rFonts w:ascii="Arial Narrow" w:hAnsi="Arial Narrow"/>
                <w:sz w:val="20"/>
                <w:szCs w:val="20"/>
              </w:rPr>
            </w:pPr>
            <w:r w:rsidRPr="00316527">
              <w:rPr>
                <w:rFonts w:ascii="Arial Narrow" w:hAnsi="Arial Narrow"/>
                <w:sz w:val="20"/>
                <w:szCs w:val="20"/>
              </w:rPr>
              <w:lastRenderedPageBreak/>
              <w:t>Expanded population</w:t>
            </w:r>
          </w:p>
        </w:tc>
        <w:tc>
          <w:tcPr>
            <w:tcW w:w="2268" w:type="dxa"/>
            <w:vAlign w:val="center"/>
          </w:tcPr>
          <w:p w14:paraId="0C0213B1" w14:textId="77777777" w:rsidR="009C12D5" w:rsidRPr="00316527" w:rsidRDefault="009C12D5">
            <w:pPr>
              <w:jc w:val="left"/>
              <w:rPr>
                <w:rFonts w:ascii="Arial Narrow" w:hAnsi="Arial Narrow"/>
                <w:sz w:val="20"/>
                <w:szCs w:val="20"/>
              </w:rPr>
            </w:pPr>
            <w:r w:rsidRPr="00316527">
              <w:rPr>
                <w:rFonts w:ascii="Arial Narrow" w:hAnsi="Arial Narrow"/>
                <w:sz w:val="20"/>
                <w:szCs w:val="20"/>
              </w:rPr>
              <w:t>11% due to expanded population in recurrent, advanced locoregional MCC</w:t>
            </w:r>
          </w:p>
        </w:tc>
        <w:tc>
          <w:tcPr>
            <w:tcW w:w="2835" w:type="dxa"/>
            <w:vAlign w:val="center"/>
          </w:tcPr>
          <w:p w14:paraId="46BA2280" w14:textId="77777777" w:rsidR="009C12D5" w:rsidRPr="00316527" w:rsidRDefault="009C12D5">
            <w:pPr>
              <w:jc w:val="left"/>
              <w:rPr>
                <w:rFonts w:ascii="Arial Narrow" w:hAnsi="Arial Narrow"/>
                <w:sz w:val="20"/>
                <w:szCs w:val="20"/>
              </w:rPr>
            </w:pPr>
            <w:r w:rsidRPr="00316527">
              <w:rPr>
                <w:rFonts w:ascii="Arial Narrow" w:hAnsi="Arial Narrow"/>
                <w:sz w:val="20"/>
                <w:szCs w:val="20"/>
              </w:rPr>
              <w:t>In POD1UM-201, 9.9% (10/101) of chemotherapy-naïve patients had advanced disease compared to 89.1% with metastatic disease. The current immunotherapy MCC market was therefore increased by 11.0% [i.e., 9.9%/(1-9.9%)]</w:t>
            </w:r>
          </w:p>
        </w:tc>
        <w:tc>
          <w:tcPr>
            <w:tcW w:w="2806" w:type="dxa"/>
            <w:vAlign w:val="center"/>
          </w:tcPr>
          <w:p w14:paraId="6DCA60FD" w14:textId="4508FB93" w:rsidR="009C12D5" w:rsidRPr="00316527" w:rsidRDefault="009C12D5">
            <w:pPr>
              <w:jc w:val="left"/>
              <w:rPr>
                <w:rFonts w:ascii="Arial Narrow" w:hAnsi="Arial Narrow"/>
                <w:sz w:val="20"/>
                <w:szCs w:val="20"/>
              </w:rPr>
            </w:pPr>
            <w:r w:rsidRPr="00316527">
              <w:rPr>
                <w:rFonts w:ascii="Arial Narrow" w:hAnsi="Arial Narrow"/>
                <w:sz w:val="20"/>
                <w:szCs w:val="20"/>
              </w:rPr>
              <w:t>It was unclear whether the relative distribution of recurrent, advanced to metastatic MCC in POD1UM-201 was representative of the Australian population.</w:t>
            </w:r>
            <w:r w:rsidR="0098024A" w:rsidRPr="00316527">
              <w:rPr>
                <w:rFonts w:ascii="Arial Narrow" w:hAnsi="Arial Narrow"/>
                <w:sz w:val="20"/>
                <w:szCs w:val="20"/>
              </w:rPr>
              <w:t xml:space="preserve"> DUSC considered the POD1UM-201 trial to be the most appropriate source despite likely not being the most accurate representation of the Australian population.</w:t>
            </w:r>
          </w:p>
        </w:tc>
      </w:tr>
      <w:tr w:rsidR="009C12D5" w:rsidRPr="00D30537" w14:paraId="7E4C7BA5" w14:textId="77777777">
        <w:trPr>
          <w:cantSplit/>
        </w:trPr>
        <w:tc>
          <w:tcPr>
            <w:tcW w:w="9180" w:type="dxa"/>
            <w:gridSpan w:val="4"/>
            <w:vAlign w:val="center"/>
          </w:tcPr>
          <w:p w14:paraId="454B8C27" w14:textId="77777777" w:rsidR="009C12D5" w:rsidRPr="00316527" w:rsidRDefault="009C12D5">
            <w:pPr>
              <w:jc w:val="left"/>
              <w:rPr>
                <w:rFonts w:ascii="Arial Narrow" w:hAnsi="Arial Narrow"/>
                <w:b/>
                <w:bCs/>
                <w:sz w:val="20"/>
                <w:szCs w:val="20"/>
              </w:rPr>
            </w:pPr>
            <w:r w:rsidRPr="00316527">
              <w:rPr>
                <w:rFonts w:ascii="Arial Narrow" w:hAnsi="Arial Narrow"/>
                <w:b/>
                <w:bCs/>
                <w:sz w:val="20"/>
                <w:szCs w:val="20"/>
              </w:rPr>
              <w:t>Treatment Utilisation</w:t>
            </w:r>
          </w:p>
        </w:tc>
      </w:tr>
      <w:tr w:rsidR="009C12D5" w:rsidRPr="00D30537" w14:paraId="21FFAE07" w14:textId="77777777">
        <w:trPr>
          <w:cantSplit/>
        </w:trPr>
        <w:tc>
          <w:tcPr>
            <w:tcW w:w="1271" w:type="dxa"/>
            <w:vAlign w:val="center"/>
          </w:tcPr>
          <w:p w14:paraId="57307415" w14:textId="77777777" w:rsidR="009C12D5" w:rsidRPr="00D30537" w:rsidRDefault="009C12D5">
            <w:pPr>
              <w:jc w:val="left"/>
              <w:rPr>
                <w:rFonts w:ascii="Arial Narrow" w:hAnsi="Arial Narrow"/>
                <w:sz w:val="20"/>
                <w:szCs w:val="20"/>
              </w:rPr>
            </w:pPr>
            <w:r w:rsidRPr="00D30537">
              <w:rPr>
                <w:rFonts w:ascii="Arial Narrow" w:hAnsi="Arial Narrow"/>
                <w:sz w:val="20"/>
                <w:szCs w:val="20"/>
              </w:rPr>
              <w:t>Substitution rate</w:t>
            </w:r>
          </w:p>
          <w:p w14:paraId="78E22F4E" w14:textId="44D1E8A5" w:rsidR="009C12D5" w:rsidRPr="00D30537" w:rsidRDefault="009C12D5">
            <w:pPr>
              <w:jc w:val="left"/>
              <w:rPr>
                <w:rFonts w:ascii="Arial Narrow" w:hAnsi="Arial Narrow"/>
                <w:sz w:val="20"/>
                <w:szCs w:val="20"/>
              </w:rPr>
            </w:pPr>
            <w:r w:rsidRPr="00D30537">
              <w:rPr>
                <w:rFonts w:ascii="Arial Narrow" w:hAnsi="Arial Narrow"/>
                <w:sz w:val="20"/>
                <w:szCs w:val="20"/>
              </w:rPr>
              <w:t>(retifanlimab</w:t>
            </w:r>
            <w:r w:rsidR="008D62D0">
              <w:rPr>
                <w:rFonts w:ascii="Arial Narrow" w:hAnsi="Arial Narrow"/>
                <w:sz w:val="20"/>
                <w:szCs w:val="20"/>
              </w:rPr>
              <w:t xml:space="preserve"> </w:t>
            </w:r>
            <w:r w:rsidRPr="00D30537">
              <w:rPr>
                <w:rFonts w:ascii="Arial Narrow" w:hAnsi="Arial Narrow"/>
                <w:sz w:val="20"/>
                <w:szCs w:val="20"/>
              </w:rPr>
              <w:t>replacing avelumab)</w:t>
            </w:r>
          </w:p>
        </w:tc>
        <w:tc>
          <w:tcPr>
            <w:tcW w:w="2268" w:type="dxa"/>
            <w:vAlign w:val="center"/>
          </w:tcPr>
          <w:p w14:paraId="183DAFD6" w14:textId="77777777" w:rsidR="009C12D5" w:rsidRPr="00D30537" w:rsidRDefault="009C12D5">
            <w:pPr>
              <w:jc w:val="left"/>
              <w:rPr>
                <w:rFonts w:ascii="Arial Narrow" w:hAnsi="Arial Narrow"/>
                <w:sz w:val="20"/>
                <w:szCs w:val="20"/>
              </w:rPr>
            </w:pPr>
            <w:r w:rsidRPr="00D30537">
              <w:rPr>
                <w:rFonts w:ascii="Arial Narrow" w:hAnsi="Arial Narrow"/>
                <w:sz w:val="20"/>
                <w:szCs w:val="20"/>
              </w:rPr>
              <w:t>Initiation</w:t>
            </w:r>
          </w:p>
          <w:p w14:paraId="118F58D2" w14:textId="14E7D2A0"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2026 =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p w14:paraId="434F2CFB" w14:textId="27F617D3"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2027 – 2031: </w:t>
            </w:r>
            <w:r w:rsidR="00D863F0" w:rsidRPr="00D863F0">
              <w:rPr>
                <w:rFonts w:ascii="Arial Narrow" w:hAnsi="Arial Narrow"/>
                <w:sz w:val="20"/>
                <w:szCs w:val="20"/>
                <w:highlight w:val="black"/>
              </w:rPr>
              <w:t>&amp;&amp;&amp;&amp;</w:t>
            </w:r>
            <w:r w:rsidRPr="00D30537">
              <w:rPr>
                <w:rFonts w:ascii="Arial Narrow" w:hAnsi="Arial Narrow"/>
                <w:sz w:val="20"/>
                <w:szCs w:val="20"/>
              </w:rPr>
              <w:t>%</w:t>
            </w:r>
          </w:p>
          <w:p w14:paraId="4F7D77F8" w14:textId="77777777" w:rsidR="009C12D5" w:rsidRPr="00D30537" w:rsidRDefault="009C12D5">
            <w:pPr>
              <w:jc w:val="left"/>
              <w:rPr>
                <w:rFonts w:ascii="Arial Narrow" w:hAnsi="Arial Narrow"/>
                <w:sz w:val="20"/>
                <w:szCs w:val="20"/>
              </w:rPr>
            </w:pPr>
            <w:r w:rsidRPr="00D30537">
              <w:rPr>
                <w:rFonts w:ascii="Arial Narrow" w:hAnsi="Arial Narrow"/>
                <w:sz w:val="20"/>
                <w:szCs w:val="20"/>
              </w:rPr>
              <w:t>Continuing</w:t>
            </w:r>
          </w:p>
          <w:p w14:paraId="1B703652" w14:textId="4A78AF65"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2026 =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p w14:paraId="3AE0975F" w14:textId="40E70C37"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2027 = </w:t>
            </w:r>
            <w:r w:rsidR="00D863F0" w:rsidRPr="00D863F0">
              <w:rPr>
                <w:rFonts w:ascii="Arial Narrow" w:hAnsi="Arial Narrow"/>
                <w:sz w:val="20"/>
                <w:szCs w:val="20"/>
                <w:highlight w:val="black"/>
              </w:rPr>
              <w:t>&amp;&amp;&amp;&amp;</w:t>
            </w:r>
            <w:r w:rsidRPr="00D30537">
              <w:rPr>
                <w:rFonts w:ascii="Arial Narrow" w:hAnsi="Arial Narrow"/>
                <w:sz w:val="20"/>
                <w:szCs w:val="20"/>
              </w:rPr>
              <w:t xml:space="preserve">%, </w:t>
            </w:r>
          </w:p>
          <w:p w14:paraId="551BD819" w14:textId="0DA9F1D0" w:rsidR="009C12D5" w:rsidRPr="00D30537" w:rsidRDefault="009C12D5">
            <w:pPr>
              <w:jc w:val="left"/>
              <w:rPr>
                <w:rFonts w:ascii="Arial Narrow" w:hAnsi="Arial Narrow"/>
                <w:sz w:val="20"/>
                <w:szCs w:val="20"/>
              </w:rPr>
            </w:pPr>
            <w:r w:rsidRPr="00D30537">
              <w:rPr>
                <w:rFonts w:ascii="Arial Narrow" w:hAnsi="Arial Narrow"/>
                <w:sz w:val="20"/>
                <w:szCs w:val="20"/>
              </w:rPr>
              <w:t xml:space="preserve">2028 - 2031 = </w:t>
            </w:r>
            <w:r w:rsidR="00D863F0" w:rsidRPr="00D863F0">
              <w:rPr>
                <w:rFonts w:ascii="Arial Narrow" w:hAnsi="Arial Narrow"/>
                <w:sz w:val="20"/>
                <w:szCs w:val="20"/>
                <w:highlight w:val="black"/>
              </w:rPr>
              <w:t>&amp;&amp;&amp;&amp;</w:t>
            </w:r>
            <w:r w:rsidRPr="00D30537">
              <w:rPr>
                <w:rFonts w:ascii="Arial Narrow" w:hAnsi="Arial Narrow"/>
                <w:sz w:val="20"/>
                <w:szCs w:val="20"/>
              </w:rPr>
              <w:t>%</w:t>
            </w:r>
          </w:p>
        </w:tc>
        <w:tc>
          <w:tcPr>
            <w:tcW w:w="2835" w:type="dxa"/>
            <w:vAlign w:val="center"/>
          </w:tcPr>
          <w:p w14:paraId="283E26F4" w14:textId="77777777" w:rsidR="009C12D5" w:rsidRPr="005D00EA" w:rsidRDefault="009C12D5">
            <w:pPr>
              <w:rPr>
                <w:rFonts w:ascii="Arial Narrow" w:hAnsi="Arial Narrow"/>
                <w:sz w:val="20"/>
                <w:szCs w:val="20"/>
              </w:rPr>
            </w:pPr>
            <w:r w:rsidRPr="005D00EA">
              <w:rPr>
                <w:rFonts w:ascii="Arial Narrow" w:hAnsi="Arial Narrow"/>
                <w:sz w:val="20"/>
                <w:szCs w:val="20"/>
              </w:rPr>
              <w:t>Assumption</w:t>
            </w:r>
          </w:p>
        </w:tc>
        <w:tc>
          <w:tcPr>
            <w:tcW w:w="2806" w:type="dxa"/>
            <w:vAlign w:val="center"/>
          </w:tcPr>
          <w:p w14:paraId="40BB2EA9" w14:textId="66F70441" w:rsidR="002E30E1" w:rsidRPr="005D00EA" w:rsidRDefault="009C12D5" w:rsidP="002E30E1">
            <w:pPr>
              <w:jc w:val="left"/>
            </w:pPr>
            <w:r w:rsidRPr="005D00EA">
              <w:rPr>
                <w:rFonts w:ascii="Arial Narrow" w:hAnsi="Arial Narrow"/>
                <w:sz w:val="20"/>
                <w:szCs w:val="20"/>
              </w:rPr>
              <w:t xml:space="preserve">The submission did not justify the applied substitution rates. It was unclear if a </w:t>
            </w:r>
            <w:r w:rsidR="00D863F0" w:rsidRPr="00D863F0">
              <w:rPr>
                <w:rFonts w:ascii="Arial Narrow" w:hAnsi="Arial Narrow"/>
                <w:sz w:val="20"/>
                <w:szCs w:val="20"/>
                <w:highlight w:val="black"/>
              </w:rPr>
              <w:t>&amp;&amp;&amp;&amp;</w:t>
            </w:r>
            <w:r w:rsidRPr="005D00EA">
              <w:rPr>
                <w:rFonts w:ascii="Arial Narrow" w:hAnsi="Arial Narrow"/>
                <w:sz w:val="20"/>
                <w:szCs w:val="20"/>
              </w:rPr>
              <w:t xml:space="preserve">% substitution rate (instead of </w:t>
            </w:r>
            <w:r w:rsidR="00D863F0" w:rsidRPr="00D863F0">
              <w:rPr>
                <w:rFonts w:ascii="Arial Narrow" w:hAnsi="Arial Narrow"/>
                <w:sz w:val="20"/>
                <w:szCs w:val="20"/>
                <w:highlight w:val="black"/>
              </w:rPr>
              <w:t>&amp;&amp;&amp;&amp;</w:t>
            </w:r>
            <w:r w:rsidRPr="005D00EA">
              <w:rPr>
                <w:rFonts w:ascii="Arial Narrow" w:hAnsi="Arial Narrow"/>
                <w:sz w:val="20"/>
                <w:szCs w:val="20"/>
              </w:rPr>
              <w:t>%) was consistent with the claim of superior clinical efficacy for retifanlimab versus avelumab.</w:t>
            </w:r>
            <w:r w:rsidR="002E30E1" w:rsidRPr="005D00EA">
              <w:t xml:space="preserve"> </w:t>
            </w:r>
          </w:p>
          <w:p w14:paraId="73691962" w14:textId="621F3A0D" w:rsidR="009C12D5" w:rsidRPr="005D00EA" w:rsidRDefault="002E30E1" w:rsidP="002E30E1">
            <w:pPr>
              <w:jc w:val="left"/>
              <w:rPr>
                <w:rFonts w:ascii="Arial Narrow" w:hAnsi="Arial Narrow"/>
                <w:sz w:val="20"/>
                <w:szCs w:val="20"/>
              </w:rPr>
            </w:pPr>
            <w:r w:rsidRPr="005D00EA">
              <w:rPr>
                <w:rFonts w:ascii="Arial Narrow" w:hAnsi="Arial Narrow"/>
                <w:sz w:val="20"/>
                <w:szCs w:val="20"/>
              </w:rPr>
              <w:t>For the initiating population DUSC considered it to be reasonable as it is unlikely to claim the entire market given uncertain clinical claim however the dosage schedule would be more appealing. For the continuing population DUSC considered it unlikely many patients would move to retifanlimab if already tolerating avelumab.</w:t>
            </w:r>
          </w:p>
        </w:tc>
      </w:tr>
      <w:tr w:rsidR="009C12D5" w:rsidRPr="00D30537" w14:paraId="547CB450" w14:textId="77777777">
        <w:trPr>
          <w:cantSplit/>
          <w:trHeight w:val="447"/>
        </w:trPr>
        <w:tc>
          <w:tcPr>
            <w:tcW w:w="1271" w:type="dxa"/>
            <w:vMerge w:val="restart"/>
            <w:vAlign w:val="center"/>
          </w:tcPr>
          <w:p w14:paraId="68C40BE5" w14:textId="5227569A" w:rsidR="009C12D5" w:rsidRPr="00D30537" w:rsidRDefault="009C12D5">
            <w:pPr>
              <w:jc w:val="left"/>
              <w:rPr>
                <w:rFonts w:ascii="Arial Narrow" w:hAnsi="Arial Narrow"/>
                <w:sz w:val="20"/>
                <w:szCs w:val="20"/>
              </w:rPr>
            </w:pPr>
            <w:r w:rsidRPr="00D30537">
              <w:rPr>
                <w:rFonts w:ascii="Arial Narrow" w:hAnsi="Arial Narrow"/>
                <w:sz w:val="20"/>
                <w:szCs w:val="20"/>
              </w:rPr>
              <w:t>Time on treatment</w:t>
            </w:r>
            <w:r w:rsidR="002B24E1">
              <w:rPr>
                <w:rFonts w:ascii="Arial Narrow" w:hAnsi="Arial Narrow"/>
                <w:sz w:val="20"/>
                <w:szCs w:val="20"/>
              </w:rPr>
              <w:t xml:space="preserve"> (</w:t>
            </w:r>
            <w:proofErr w:type="spellStart"/>
            <w:r w:rsidR="002B24E1">
              <w:rPr>
                <w:rFonts w:ascii="Arial Narrow" w:hAnsi="Arial Narrow"/>
                <w:sz w:val="20"/>
                <w:szCs w:val="20"/>
              </w:rPr>
              <w:t>ToT</w:t>
            </w:r>
            <w:proofErr w:type="spellEnd"/>
            <w:r w:rsidR="002B24E1">
              <w:rPr>
                <w:rFonts w:ascii="Arial Narrow" w:hAnsi="Arial Narrow"/>
                <w:sz w:val="20"/>
                <w:szCs w:val="20"/>
              </w:rPr>
              <w:t>)</w:t>
            </w:r>
          </w:p>
        </w:tc>
        <w:tc>
          <w:tcPr>
            <w:tcW w:w="2268" w:type="dxa"/>
            <w:vAlign w:val="center"/>
          </w:tcPr>
          <w:p w14:paraId="440949BA" w14:textId="77777777" w:rsidR="009C12D5" w:rsidRPr="00D30537" w:rsidRDefault="009C12D5">
            <w:pPr>
              <w:jc w:val="left"/>
              <w:rPr>
                <w:rFonts w:ascii="Arial Narrow" w:hAnsi="Arial Narrow"/>
                <w:sz w:val="20"/>
                <w:szCs w:val="20"/>
              </w:rPr>
            </w:pPr>
            <w:r w:rsidRPr="00D30537">
              <w:rPr>
                <w:rFonts w:ascii="Arial Narrow" w:hAnsi="Arial Narrow"/>
                <w:sz w:val="20"/>
                <w:szCs w:val="20"/>
              </w:rPr>
              <w:t>1.58 years (avelumab)</w:t>
            </w:r>
          </w:p>
          <w:p w14:paraId="335E2FE0" w14:textId="77777777" w:rsidR="009C12D5" w:rsidRPr="00D30537" w:rsidRDefault="009C12D5">
            <w:pPr>
              <w:jc w:val="left"/>
              <w:rPr>
                <w:rFonts w:ascii="Arial Narrow" w:hAnsi="Arial Narrow"/>
                <w:sz w:val="20"/>
                <w:szCs w:val="20"/>
              </w:rPr>
            </w:pPr>
            <w:r w:rsidRPr="00D30537">
              <w:rPr>
                <w:rFonts w:ascii="Arial Narrow" w:hAnsi="Arial Narrow"/>
                <w:sz w:val="20"/>
                <w:szCs w:val="20"/>
              </w:rPr>
              <w:t>Equivalent to 41.3 mean scripts per treatment.</w:t>
            </w:r>
          </w:p>
        </w:tc>
        <w:tc>
          <w:tcPr>
            <w:tcW w:w="2835" w:type="dxa"/>
            <w:vMerge w:val="restart"/>
            <w:vAlign w:val="center"/>
          </w:tcPr>
          <w:p w14:paraId="3F5F6CE8" w14:textId="13CB9D61" w:rsidR="009C12D5" w:rsidRPr="005D00EA" w:rsidRDefault="009C12D5">
            <w:pPr>
              <w:rPr>
                <w:rFonts w:ascii="Arial Narrow" w:hAnsi="Arial Narrow"/>
                <w:sz w:val="20"/>
                <w:szCs w:val="20"/>
              </w:rPr>
            </w:pPr>
            <w:r w:rsidRPr="005D00EA">
              <w:rPr>
                <w:rFonts w:ascii="Arial Narrow" w:hAnsi="Arial Narrow"/>
                <w:sz w:val="20"/>
                <w:szCs w:val="20"/>
              </w:rPr>
              <w:t xml:space="preserve">Modelled mean </w:t>
            </w:r>
            <w:proofErr w:type="spellStart"/>
            <w:r w:rsidR="002B24E1">
              <w:rPr>
                <w:rFonts w:ascii="Arial Narrow" w:hAnsi="Arial Narrow"/>
                <w:sz w:val="20"/>
                <w:szCs w:val="20"/>
              </w:rPr>
              <w:t>ToT</w:t>
            </w:r>
            <w:proofErr w:type="spellEnd"/>
            <w:r w:rsidRPr="005D00EA">
              <w:rPr>
                <w:rFonts w:ascii="Arial Narrow" w:hAnsi="Arial Narrow"/>
                <w:sz w:val="20"/>
                <w:szCs w:val="20"/>
              </w:rPr>
              <w:t>.</w:t>
            </w:r>
          </w:p>
        </w:tc>
        <w:tc>
          <w:tcPr>
            <w:tcW w:w="2806" w:type="dxa"/>
            <w:vMerge w:val="restart"/>
            <w:vAlign w:val="center"/>
          </w:tcPr>
          <w:p w14:paraId="4AE1D387" w14:textId="24A07A7E" w:rsidR="00F67FDE" w:rsidRPr="005D00EA" w:rsidRDefault="009C12D5">
            <w:pPr>
              <w:jc w:val="left"/>
              <w:rPr>
                <w:rFonts w:ascii="Arial Narrow" w:hAnsi="Arial Narrow"/>
                <w:sz w:val="20"/>
                <w:szCs w:val="20"/>
              </w:rPr>
            </w:pPr>
            <w:r w:rsidRPr="005D00EA">
              <w:rPr>
                <w:rFonts w:ascii="Arial Narrow" w:hAnsi="Arial Narrow"/>
                <w:sz w:val="20"/>
                <w:szCs w:val="20"/>
              </w:rPr>
              <w:t xml:space="preserve">The mean </w:t>
            </w:r>
            <w:proofErr w:type="spellStart"/>
            <w:r w:rsidR="002B24E1">
              <w:rPr>
                <w:rFonts w:ascii="Arial Narrow" w:hAnsi="Arial Narrow"/>
                <w:sz w:val="20"/>
                <w:szCs w:val="20"/>
              </w:rPr>
              <w:t>ToT</w:t>
            </w:r>
            <w:proofErr w:type="spellEnd"/>
            <w:r w:rsidRPr="005D00EA">
              <w:rPr>
                <w:rFonts w:ascii="Arial Narrow" w:hAnsi="Arial Narrow"/>
                <w:sz w:val="20"/>
                <w:szCs w:val="20"/>
              </w:rPr>
              <w:t xml:space="preserve"> for both</w:t>
            </w:r>
            <w:r w:rsidR="008D62D0">
              <w:rPr>
                <w:rFonts w:ascii="Arial Narrow" w:hAnsi="Arial Narrow"/>
                <w:sz w:val="20"/>
                <w:szCs w:val="20"/>
              </w:rPr>
              <w:t xml:space="preserve"> </w:t>
            </w:r>
            <w:r w:rsidRPr="005D00EA">
              <w:rPr>
                <w:rFonts w:ascii="Arial Narrow" w:hAnsi="Arial Narrow"/>
                <w:sz w:val="20"/>
                <w:szCs w:val="20"/>
              </w:rPr>
              <w:t>medicines was uncertain.</w:t>
            </w:r>
          </w:p>
        </w:tc>
      </w:tr>
      <w:tr w:rsidR="009C12D5" w:rsidRPr="00D30537" w14:paraId="69E331B7" w14:textId="77777777">
        <w:trPr>
          <w:cantSplit/>
        </w:trPr>
        <w:tc>
          <w:tcPr>
            <w:tcW w:w="1271" w:type="dxa"/>
            <w:vMerge/>
            <w:vAlign w:val="center"/>
          </w:tcPr>
          <w:p w14:paraId="4F1E4BD6" w14:textId="77777777" w:rsidR="009C12D5" w:rsidRPr="00D30537" w:rsidRDefault="009C12D5">
            <w:pPr>
              <w:jc w:val="left"/>
              <w:rPr>
                <w:rFonts w:ascii="Arial Narrow" w:hAnsi="Arial Narrow"/>
                <w:sz w:val="20"/>
                <w:szCs w:val="20"/>
              </w:rPr>
            </w:pPr>
          </w:p>
        </w:tc>
        <w:tc>
          <w:tcPr>
            <w:tcW w:w="2268" w:type="dxa"/>
            <w:vAlign w:val="center"/>
          </w:tcPr>
          <w:p w14:paraId="5850245C" w14:textId="77777777" w:rsidR="009C12D5" w:rsidRPr="00D30537" w:rsidRDefault="009C12D5">
            <w:pPr>
              <w:jc w:val="left"/>
              <w:rPr>
                <w:rFonts w:ascii="Arial Narrow" w:hAnsi="Arial Narrow"/>
                <w:sz w:val="20"/>
                <w:szCs w:val="20"/>
              </w:rPr>
            </w:pPr>
            <w:r w:rsidRPr="00D30537">
              <w:rPr>
                <w:rFonts w:ascii="Arial Narrow" w:hAnsi="Arial Narrow"/>
                <w:sz w:val="20"/>
                <w:szCs w:val="20"/>
              </w:rPr>
              <w:t>1.21 years (retifanlimab)</w:t>
            </w:r>
          </w:p>
          <w:p w14:paraId="158FD28A" w14:textId="77777777" w:rsidR="009C12D5" w:rsidRPr="00D30537" w:rsidRDefault="009C12D5">
            <w:pPr>
              <w:jc w:val="left"/>
              <w:rPr>
                <w:rFonts w:ascii="Arial Narrow" w:hAnsi="Arial Narrow"/>
                <w:sz w:val="20"/>
                <w:szCs w:val="20"/>
              </w:rPr>
            </w:pPr>
            <w:r w:rsidRPr="00D30537">
              <w:rPr>
                <w:rFonts w:ascii="Arial Narrow" w:hAnsi="Arial Narrow"/>
                <w:sz w:val="20"/>
                <w:szCs w:val="20"/>
              </w:rPr>
              <w:t>Equivalent to 15.8 mean scripts per treatment.</w:t>
            </w:r>
          </w:p>
        </w:tc>
        <w:tc>
          <w:tcPr>
            <w:tcW w:w="2835" w:type="dxa"/>
            <w:vMerge/>
            <w:vAlign w:val="center"/>
          </w:tcPr>
          <w:p w14:paraId="498CA7F0" w14:textId="77777777" w:rsidR="009C12D5" w:rsidRPr="00D30537" w:rsidRDefault="009C12D5">
            <w:pPr>
              <w:rPr>
                <w:rFonts w:ascii="Arial Narrow" w:hAnsi="Arial Narrow"/>
                <w:sz w:val="20"/>
                <w:szCs w:val="20"/>
              </w:rPr>
            </w:pPr>
          </w:p>
        </w:tc>
        <w:tc>
          <w:tcPr>
            <w:tcW w:w="2806" w:type="dxa"/>
            <w:vMerge/>
            <w:vAlign w:val="center"/>
          </w:tcPr>
          <w:p w14:paraId="341377AF" w14:textId="77777777" w:rsidR="009C12D5" w:rsidRPr="00D30537" w:rsidRDefault="009C12D5">
            <w:pPr>
              <w:jc w:val="left"/>
              <w:rPr>
                <w:rFonts w:ascii="Arial Narrow" w:hAnsi="Arial Narrow"/>
                <w:i/>
                <w:iCs/>
                <w:sz w:val="20"/>
                <w:szCs w:val="20"/>
              </w:rPr>
            </w:pPr>
          </w:p>
        </w:tc>
      </w:tr>
      <w:tr w:rsidR="00653DE5" w:rsidRPr="00D30537" w14:paraId="7976FDC9" w14:textId="77777777" w:rsidTr="001B0051">
        <w:trPr>
          <w:cantSplit/>
        </w:trPr>
        <w:tc>
          <w:tcPr>
            <w:tcW w:w="1271" w:type="dxa"/>
          </w:tcPr>
          <w:p w14:paraId="5E3497C6" w14:textId="361B7BE1" w:rsidR="00653DE5" w:rsidRPr="00D30537" w:rsidRDefault="00653DE5" w:rsidP="00653DE5">
            <w:pPr>
              <w:jc w:val="left"/>
              <w:rPr>
                <w:rFonts w:ascii="Arial Narrow" w:hAnsi="Arial Narrow"/>
                <w:sz w:val="20"/>
                <w:szCs w:val="20"/>
              </w:rPr>
            </w:pPr>
            <w:r w:rsidRPr="00653DE5">
              <w:rPr>
                <w:rFonts w:ascii="Arial Narrow" w:hAnsi="Arial Narrow"/>
                <w:sz w:val="20"/>
                <w:szCs w:val="20"/>
              </w:rPr>
              <w:t>Compliance</w:t>
            </w:r>
          </w:p>
        </w:tc>
        <w:tc>
          <w:tcPr>
            <w:tcW w:w="2268" w:type="dxa"/>
          </w:tcPr>
          <w:p w14:paraId="22AF74DA" w14:textId="576C3FD4" w:rsidR="00653DE5" w:rsidRPr="0085706E" w:rsidRDefault="00653DE5" w:rsidP="00653DE5">
            <w:pPr>
              <w:jc w:val="left"/>
              <w:rPr>
                <w:rFonts w:ascii="Arial Narrow" w:hAnsi="Arial Narrow"/>
                <w:sz w:val="20"/>
                <w:szCs w:val="20"/>
              </w:rPr>
            </w:pPr>
            <w:r w:rsidRPr="00653DE5">
              <w:rPr>
                <w:rFonts w:ascii="Arial Narrow" w:hAnsi="Arial Narrow"/>
                <w:sz w:val="20"/>
                <w:szCs w:val="20"/>
              </w:rPr>
              <w:t>100%</w:t>
            </w:r>
          </w:p>
        </w:tc>
        <w:tc>
          <w:tcPr>
            <w:tcW w:w="2835" w:type="dxa"/>
          </w:tcPr>
          <w:p w14:paraId="40229494" w14:textId="6ED980BA" w:rsidR="00653DE5" w:rsidRPr="002B24E1" w:rsidRDefault="00653DE5" w:rsidP="00653DE5">
            <w:pPr>
              <w:jc w:val="left"/>
              <w:rPr>
                <w:rFonts w:ascii="Arial Narrow" w:hAnsi="Arial Narrow"/>
                <w:sz w:val="20"/>
                <w:szCs w:val="20"/>
              </w:rPr>
            </w:pPr>
            <w:r w:rsidRPr="00653DE5">
              <w:rPr>
                <w:rFonts w:ascii="Arial Narrow" w:hAnsi="Arial Narrow"/>
                <w:sz w:val="20"/>
                <w:szCs w:val="20"/>
              </w:rPr>
              <w:t xml:space="preserve"> Assumed</w:t>
            </w:r>
          </w:p>
        </w:tc>
        <w:tc>
          <w:tcPr>
            <w:tcW w:w="2806" w:type="dxa"/>
          </w:tcPr>
          <w:p w14:paraId="09AAD340" w14:textId="798F9254" w:rsidR="00653DE5" w:rsidRPr="002B24E1" w:rsidRDefault="00653DE5" w:rsidP="00653DE5">
            <w:pPr>
              <w:jc w:val="left"/>
              <w:rPr>
                <w:rFonts w:ascii="Arial Narrow" w:hAnsi="Arial Narrow"/>
                <w:sz w:val="20"/>
                <w:szCs w:val="20"/>
              </w:rPr>
            </w:pPr>
            <w:r w:rsidRPr="00653DE5">
              <w:rPr>
                <w:rFonts w:ascii="Arial Narrow" w:hAnsi="Arial Narrow"/>
                <w:sz w:val="20"/>
                <w:szCs w:val="20"/>
              </w:rPr>
              <w:t xml:space="preserve">This was consistent with the economic </w:t>
            </w:r>
            <w:r w:rsidR="00B85ABE" w:rsidRPr="00653DE5">
              <w:rPr>
                <w:rFonts w:ascii="Arial Narrow" w:hAnsi="Arial Narrow"/>
                <w:sz w:val="20"/>
                <w:szCs w:val="20"/>
              </w:rPr>
              <w:t>model;</w:t>
            </w:r>
            <w:r w:rsidRPr="00653DE5">
              <w:rPr>
                <w:rFonts w:ascii="Arial Narrow" w:hAnsi="Arial Narrow"/>
                <w:sz w:val="20"/>
                <w:szCs w:val="20"/>
              </w:rPr>
              <w:t xml:space="preserve"> however treatment breaks may be expected in clinical practice.</w:t>
            </w:r>
            <w:r w:rsidR="001B0051">
              <w:t xml:space="preserve"> </w:t>
            </w:r>
            <w:r w:rsidR="001B0051" w:rsidRPr="001B0051">
              <w:rPr>
                <w:rFonts w:ascii="Arial Narrow" w:hAnsi="Arial Narrow"/>
                <w:sz w:val="20"/>
                <w:szCs w:val="20"/>
              </w:rPr>
              <w:t>DUSC considered this to be reasonable however noted that it would be lower in clinical practice at approximately 90-95%.</w:t>
            </w:r>
          </w:p>
        </w:tc>
      </w:tr>
      <w:tr w:rsidR="009C12D5" w:rsidRPr="00D30537" w14:paraId="376F4BF9" w14:textId="77777777">
        <w:trPr>
          <w:cantSplit/>
        </w:trPr>
        <w:tc>
          <w:tcPr>
            <w:tcW w:w="1271" w:type="dxa"/>
            <w:vAlign w:val="center"/>
          </w:tcPr>
          <w:p w14:paraId="4BF71BB6" w14:textId="77777777" w:rsidR="009C12D5" w:rsidRPr="00D30537" w:rsidRDefault="009C12D5">
            <w:pPr>
              <w:jc w:val="left"/>
              <w:rPr>
                <w:rFonts w:ascii="Arial Narrow" w:hAnsi="Arial Narrow"/>
                <w:sz w:val="20"/>
                <w:szCs w:val="20"/>
              </w:rPr>
            </w:pPr>
            <w:r w:rsidRPr="00D30537">
              <w:rPr>
                <w:rFonts w:ascii="Arial Narrow" w:hAnsi="Arial Narrow"/>
                <w:sz w:val="20"/>
                <w:szCs w:val="20"/>
              </w:rPr>
              <w:t xml:space="preserve">Script substitution rate </w:t>
            </w:r>
          </w:p>
        </w:tc>
        <w:tc>
          <w:tcPr>
            <w:tcW w:w="2268" w:type="dxa"/>
            <w:vAlign w:val="center"/>
          </w:tcPr>
          <w:p w14:paraId="61EEF3FA" w14:textId="77777777" w:rsidR="009C12D5" w:rsidRPr="0085706E" w:rsidRDefault="009C12D5">
            <w:pPr>
              <w:jc w:val="left"/>
              <w:rPr>
                <w:rFonts w:ascii="Arial Narrow" w:hAnsi="Arial Narrow"/>
                <w:sz w:val="20"/>
                <w:szCs w:val="20"/>
              </w:rPr>
            </w:pPr>
            <w:r w:rsidRPr="0085706E">
              <w:rPr>
                <w:rFonts w:ascii="Arial Narrow" w:hAnsi="Arial Narrow"/>
                <w:sz w:val="20"/>
                <w:szCs w:val="20"/>
              </w:rPr>
              <w:t>38.26% (converting avelumab script counts to retifanlimab scripts)</w:t>
            </w:r>
          </w:p>
        </w:tc>
        <w:tc>
          <w:tcPr>
            <w:tcW w:w="2835" w:type="dxa"/>
            <w:vAlign w:val="center"/>
          </w:tcPr>
          <w:p w14:paraId="27129603" w14:textId="77777777" w:rsidR="009C12D5" w:rsidRPr="002B24E1" w:rsidRDefault="009C12D5">
            <w:pPr>
              <w:jc w:val="left"/>
              <w:rPr>
                <w:rFonts w:ascii="Arial Narrow" w:hAnsi="Arial Narrow"/>
                <w:sz w:val="20"/>
                <w:szCs w:val="20"/>
              </w:rPr>
            </w:pPr>
            <w:r w:rsidRPr="002B24E1">
              <w:rPr>
                <w:rFonts w:ascii="Arial Narrow" w:hAnsi="Arial Narrow"/>
                <w:sz w:val="20"/>
                <w:szCs w:val="20"/>
              </w:rPr>
              <w:t xml:space="preserve">A </w:t>
            </w:r>
            <w:proofErr w:type="spellStart"/>
            <w:r w:rsidRPr="002B24E1">
              <w:rPr>
                <w:rFonts w:ascii="Arial Narrow" w:hAnsi="Arial Narrow"/>
                <w:sz w:val="20"/>
                <w:szCs w:val="20"/>
              </w:rPr>
              <w:t>ToT</w:t>
            </w:r>
            <w:proofErr w:type="spellEnd"/>
            <w:r w:rsidRPr="002B24E1">
              <w:rPr>
                <w:rFonts w:ascii="Arial Narrow" w:hAnsi="Arial Narrow"/>
                <w:sz w:val="20"/>
                <w:szCs w:val="20"/>
              </w:rPr>
              <w:t xml:space="preserve"> of 1.21 years for retifanlimab, equating to 15.8 scripts, and 1.58 years for avelumab, equating to 41.3 scripts, resulting in a substitution rate of 38.26% (41.3/15.8).</w:t>
            </w:r>
          </w:p>
        </w:tc>
        <w:tc>
          <w:tcPr>
            <w:tcW w:w="2806" w:type="dxa"/>
            <w:vAlign w:val="center"/>
          </w:tcPr>
          <w:p w14:paraId="0F11C2EA" w14:textId="11D57F0D" w:rsidR="009C12D5" w:rsidRPr="002B24E1" w:rsidRDefault="009C12D5">
            <w:pPr>
              <w:jc w:val="left"/>
              <w:rPr>
                <w:rFonts w:ascii="Arial Narrow" w:hAnsi="Arial Narrow"/>
                <w:sz w:val="20"/>
                <w:szCs w:val="20"/>
              </w:rPr>
            </w:pPr>
            <w:r w:rsidRPr="002B24E1">
              <w:rPr>
                <w:rFonts w:ascii="Arial Narrow" w:hAnsi="Arial Narrow"/>
                <w:sz w:val="20"/>
                <w:szCs w:val="20"/>
              </w:rPr>
              <w:t xml:space="preserve">The substitution rate was derived from the </w:t>
            </w:r>
            <w:proofErr w:type="spellStart"/>
            <w:r w:rsidR="002B24E1">
              <w:rPr>
                <w:rFonts w:ascii="Arial Narrow" w:hAnsi="Arial Narrow"/>
                <w:sz w:val="20"/>
                <w:szCs w:val="20"/>
              </w:rPr>
              <w:t>ToT</w:t>
            </w:r>
            <w:proofErr w:type="spellEnd"/>
            <w:r w:rsidRPr="002B24E1">
              <w:rPr>
                <w:rFonts w:ascii="Arial Narrow" w:hAnsi="Arial Narrow"/>
                <w:sz w:val="20"/>
                <w:szCs w:val="20"/>
              </w:rPr>
              <w:t xml:space="preserve"> for both retifanlimab and avelumab, and therefore uncertain.</w:t>
            </w:r>
          </w:p>
        </w:tc>
      </w:tr>
      <w:tr w:rsidR="009C12D5" w:rsidRPr="00D30537" w14:paraId="489A958D" w14:textId="77777777">
        <w:trPr>
          <w:cantSplit/>
        </w:trPr>
        <w:tc>
          <w:tcPr>
            <w:tcW w:w="1271" w:type="dxa"/>
            <w:vAlign w:val="center"/>
          </w:tcPr>
          <w:p w14:paraId="43C25571" w14:textId="77777777" w:rsidR="009C12D5" w:rsidRPr="00D30537" w:rsidRDefault="009C12D5">
            <w:pPr>
              <w:rPr>
                <w:rFonts w:ascii="Arial Narrow" w:hAnsi="Arial Narrow"/>
                <w:sz w:val="20"/>
                <w:szCs w:val="20"/>
              </w:rPr>
            </w:pPr>
            <w:r w:rsidRPr="00D30537">
              <w:rPr>
                <w:rFonts w:ascii="Arial Narrow" w:hAnsi="Arial Narrow"/>
                <w:sz w:val="20"/>
                <w:szCs w:val="20"/>
              </w:rPr>
              <w:lastRenderedPageBreak/>
              <w:t>Scripts dispensed</w:t>
            </w:r>
          </w:p>
        </w:tc>
        <w:tc>
          <w:tcPr>
            <w:tcW w:w="2268" w:type="dxa"/>
            <w:vAlign w:val="center"/>
          </w:tcPr>
          <w:p w14:paraId="11549C8E" w14:textId="77777777" w:rsidR="009C12D5" w:rsidRPr="00D30537" w:rsidRDefault="009C12D5">
            <w:pPr>
              <w:jc w:val="left"/>
              <w:rPr>
                <w:rFonts w:ascii="Arial Narrow" w:hAnsi="Arial Narrow"/>
                <w:sz w:val="20"/>
                <w:szCs w:val="20"/>
              </w:rPr>
            </w:pPr>
            <w:r w:rsidRPr="00D30537">
              <w:rPr>
                <w:rFonts w:ascii="Arial Narrow" w:hAnsi="Arial Narrow"/>
                <w:sz w:val="20"/>
                <w:szCs w:val="20"/>
              </w:rPr>
              <w:t>Total projected retifanlimab script use</w:t>
            </w:r>
          </w:p>
          <w:p w14:paraId="7606B884" w14:textId="042C530F"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1 (2026):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7AE1A459" w14:textId="14C988D5"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2 (2027):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3D6AE909" w14:textId="2FA59846"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3 (2028):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497ADE1A" w14:textId="7770ED02"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4 (2029):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09A77180" w14:textId="617772A3"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5 (2030):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p w14:paraId="77B9FE1C" w14:textId="48016A9F" w:rsidR="009C12D5" w:rsidRPr="00EE3493" w:rsidRDefault="009C12D5">
            <w:pPr>
              <w:rPr>
                <w:rFonts w:ascii="Arial Narrow" w:hAnsi="Arial Narrow"/>
                <w:sz w:val="20"/>
                <w:szCs w:val="20"/>
                <w:vertAlign w:val="superscript"/>
              </w:rPr>
            </w:pPr>
            <w:r w:rsidRPr="00D30537">
              <w:rPr>
                <w:rFonts w:ascii="Arial Narrow" w:hAnsi="Arial Narrow"/>
                <w:sz w:val="20"/>
                <w:szCs w:val="20"/>
              </w:rPr>
              <w:t xml:space="preserve">Yr 6 (2031): </w:t>
            </w:r>
            <w:r w:rsidR="00D863F0" w:rsidRPr="00D863F0">
              <w:rPr>
                <w:rFonts w:ascii="Arial Narrow" w:hAnsi="Arial Narrow"/>
                <w:sz w:val="20"/>
                <w:szCs w:val="20"/>
                <w:highlight w:val="black"/>
              </w:rPr>
              <w:t>&amp;&amp;&amp;&amp;</w:t>
            </w:r>
            <w:r w:rsidR="00EE3493">
              <w:rPr>
                <w:rFonts w:ascii="Arial Narrow" w:hAnsi="Arial Narrow"/>
                <w:sz w:val="20"/>
                <w:szCs w:val="20"/>
                <w:vertAlign w:val="superscript"/>
              </w:rPr>
              <w:t>1</w:t>
            </w:r>
          </w:p>
        </w:tc>
        <w:tc>
          <w:tcPr>
            <w:tcW w:w="2835" w:type="dxa"/>
            <w:vAlign w:val="center"/>
          </w:tcPr>
          <w:p w14:paraId="3556645F" w14:textId="77777777" w:rsidR="009C12D5" w:rsidRPr="00D30537" w:rsidRDefault="009C12D5" w:rsidP="003D6682">
            <w:pPr>
              <w:numPr>
                <w:ilvl w:val="0"/>
                <w:numId w:val="17"/>
              </w:numPr>
              <w:ind w:left="463"/>
              <w:jc w:val="left"/>
              <w:rPr>
                <w:rFonts w:ascii="Arial Narrow" w:hAnsi="Arial Narrow"/>
                <w:snapToGrid w:val="0"/>
                <w:sz w:val="20"/>
                <w:szCs w:val="20"/>
              </w:rPr>
            </w:pPr>
            <w:r w:rsidRPr="00D30537">
              <w:rPr>
                <w:rFonts w:ascii="Arial Narrow" w:hAnsi="Arial Narrow"/>
                <w:snapToGrid w:val="0"/>
                <w:sz w:val="20"/>
                <w:szCs w:val="20"/>
              </w:rPr>
              <w:t>Substitution of avelumab scripts; plus</w:t>
            </w:r>
          </w:p>
          <w:p w14:paraId="4E554F14" w14:textId="77777777" w:rsidR="009C12D5" w:rsidRPr="00D30537" w:rsidRDefault="009C12D5" w:rsidP="003D6682">
            <w:pPr>
              <w:numPr>
                <w:ilvl w:val="0"/>
                <w:numId w:val="17"/>
              </w:numPr>
              <w:ind w:left="463"/>
              <w:jc w:val="left"/>
              <w:rPr>
                <w:rFonts w:ascii="Arial Narrow" w:hAnsi="Arial Narrow"/>
                <w:snapToGrid w:val="0"/>
                <w:sz w:val="20"/>
                <w:szCs w:val="20"/>
              </w:rPr>
            </w:pPr>
            <w:r w:rsidRPr="00D30537">
              <w:rPr>
                <w:rFonts w:ascii="Arial Narrow" w:hAnsi="Arial Narrow"/>
                <w:snapToGrid w:val="0"/>
                <w:sz w:val="20"/>
                <w:szCs w:val="20"/>
              </w:rPr>
              <w:t>additional uptake of immunotherapies scripts; plus</w:t>
            </w:r>
          </w:p>
          <w:p w14:paraId="39C77F71" w14:textId="77777777" w:rsidR="009C12D5" w:rsidRPr="00D30537" w:rsidRDefault="009C12D5" w:rsidP="003D6682">
            <w:pPr>
              <w:numPr>
                <w:ilvl w:val="0"/>
                <w:numId w:val="17"/>
              </w:numPr>
              <w:ind w:left="463"/>
              <w:jc w:val="left"/>
              <w:rPr>
                <w:rFonts w:ascii="Arial Narrow" w:hAnsi="Arial Narrow"/>
                <w:snapToGrid w:val="0"/>
                <w:sz w:val="20"/>
                <w:szCs w:val="20"/>
              </w:rPr>
            </w:pPr>
            <w:r w:rsidRPr="00D30537">
              <w:rPr>
                <w:rFonts w:ascii="Arial Narrow" w:hAnsi="Arial Narrow"/>
                <w:snapToGrid w:val="0"/>
                <w:sz w:val="20"/>
                <w:szCs w:val="20"/>
              </w:rPr>
              <w:t>expanded population scripts.</w:t>
            </w:r>
          </w:p>
        </w:tc>
        <w:tc>
          <w:tcPr>
            <w:tcW w:w="2806" w:type="dxa"/>
            <w:vAlign w:val="center"/>
          </w:tcPr>
          <w:p w14:paraId="3570EF56" w14:textId="77777777" w:rsidR="009C12D5" w:rsidRPr="00F51EB7" w:rsidRDefault="009C12D5">
            <w:pPr>
              <w:jc w:val="left"/>
              <w:rPr>
                <w:rFonts w:ascii="Arial Narrow" w:hAnsi="Arial Narrow"/>
                <w:sz w:val="20"/>
                <w:szCs w:val="20"/>
              </w:rPr>
            </w:pPr>
            <w:r w:rsidRPr="00F51EB7">
              <w:rPr>
                <w:rFonts w:ascii="Arial Narrow" w:hAnsi="Arial Narrow"/>
                <w:sz w:val="20"/>
                <w:szCs w:val="20"/>
              </w:rPr>
              <w:t xml:space="preserve">Given uncertainty with the script substitution rate and lack of information around how many patients are </w:t>
            </w:r>
            <w:proofErr w:type="gramStart"/>
            <w:r w:rsidRPr="00F51EB7">
              <w:rPr>
                <w:rFonts w:ascii="Arial Narrow" w:hAnsi="Arial Narrow"/>
                <w:sz w:val="20"/>
                <w:szCs w:val="20"/>
              </w:rPr>
              <w:t>actually being</w:t>
            </w:r>
            <w:proofErr w:type="gramEnd"/>
            <w:r w:rsidRPr="00F51EB7">
              <w:rPr>
                <w:rFonts w:ascii="Arial Narrow" w:hAnsi="Arial Narrow"/>
                <w:sz w:val="20"/>
                <w:szCs w:val="20"/>
              </w:rPr>
              <w:t xml:space="preserve"> treated, this should be considered highly uncertain and may not be consistent with actual patient numbers</w:t>
            </w:r>
          </w:p>
        </w:tc>
      </w:tr>
      <w:tr w:rsidR="009C12D5" w:rsidRPr="00D30537" w14:paraId="4E4E6061" w14:textId="77777777">
        <w:trPr>
          <w:cantSplit/>
        </w:trPr>
        <w:tc>
          <w:tcPr>
            <w:tcW w:w="9180" w:type="dxa"/>
            <w:gridSpan w:val="4"/>
            <w:vAlign w:val="center"/>
          </w:tcPr>
          <w:p w14:paraId="6D681DDC" w14:textId="77777777" w:rsidR="009C12D5" w:rsidRPr="00D30537" w:rsidRDefault="009C12D5">
            <w:pPr>
              <w:keepNext/>
              <w:rPr>
                <w:rFonts w:ascii="Arial Narrow" w:hAnsi="Arial Narrow"/>
                <w:b/>
                <w:bCs/>
                <w:sz w:val="20"/>
                <w:szCs w:val="20"/>
              </w:rPr>
            </w:pPr>
            <w:r w:rsidRPr="00D30537">
              <w:rPr>
                <w:rFonts w:ascii="Arial Narrow" w:hAnsi="Arial Narrow"/>
                <w:b/>
                <w:bCs/>
                <w:sz w:val="20"/>
                <w:szCs w:val="20"/>
              </w:rPr>
              <w:t>Costs</w:t>
            </w:r>
          </w:p>
        </w:tc>
      </w:tr>
      <w:tr w:rsidR="009C12D5" w:rsidRPr="00D30537" w14:paraId="14AE9094" w14:textId="77777777">
        <w:trPr>
          <w:cantSplit/>
        </w:trPr>
        <w:tc>
          <w:tcPr>
            <w:tcW w:w="1271" w:type="dxa"/>
            <w:vAlign w:val="center"/>
          </w:tcPr>
          <w:p w14:paraId="2FD452F7" w14:textId="77777777" w:rsidR="009C12D5" w:rsidRPr="00D30537" w:rsidRDefault="009C12D5">
            <w:pPr>
              <w:rPr>
                <w:rFonts w:ascii="Arial Narrow" w:hAnsi="Arial Narrow"/>
                <w:sz w:val="20"/>
                <w:szCs w:val="20"/>
              </w:rPr>
            </w:pPr>
            <w:r w:rsidRPr="00D30537">
              <w:rPr>
                <w:rFonts w:ascii="Arial Narrow" w:hAnsi="Arial Narrow"/>
                <w:sz w:val="20"/>
                <w:szCs w:val="20"/>
              </w:rPr>
              <w:t>Retifanlimab</w:t>
            </w:r>
          </w:p>
        </w:tc>
        <w:tc>
          <w:tcPr>
            <w:tcW w:w="2268" w:type="dxa"/>
            <w:vAlign w:val="center"/>
          </w:tcPr>
          <w:p w14:paraId="7F7F8C84" w14:textId="77777777" w:rsidR="009C12D5" w:rsidRPr="00D30537" w:rsidRDefault="009C12D5">
            <w:pPr>
              <w:keepNext/>
              <w:jc w:val="left"/>
              <w:rPr>
                <w:rFonts w:ascii="Arial Narrow" w:hAnsi="Arial Narrow"/>
                <w:sz w:val="20"/>
                <w:szCs w:val="20"/>
              </w:rPr>
            </w:pPr>
            <w:r w:rsidRPr="00D30537">
              <w:rPr>
                <w:rFonts w:ascii="Arial Narrow" w:hAnsi="Arial Narrow"/>
                <w:sz w:val="20"/>
                <w:szCs w:val="20"/>
              </w:rPr>
              <w:t>AEMP = $22,000.00 (published)</w:t>
            </w:r>
          </w:p>
          <w:p w14:paraId="5B3EAC65" w14:textId="77777777" w:rsidR="009C12D5" w:rsidRPr="00D30537" w:rsidRDefault="009C12D5">
            <w:pPr>
              <w:keepNext/>
              <w:jc w:val="left"/>
              <w:rPr>
                <w:rFonts w:ascii="Arial Narrow" w:hAnsi="Arial Narrow"/>
                <w:sz w:val="20"/>
                <w:szCs w:val="20"/>
              </w:rPr>
            </w:pPr>
            <w:r w:rsidRPr="00D30537">
              <w:rPr>
                <w:rFonts w:ascii="Arial Narrow" w:hAnsi="Arial Narrow"/>
                <w:sz w:val="20"/>
                <w:szCs w:val="20"/>
              </w:rPr>
              <w:t xml:space="preserve">DPMQ (public): $22,091.23; DPMQ (private): $22,444.90 </w:t>
            </w:r>
          </w:p>
        </w:tc>
        <w:tc>
          <w:tcPr>
            <w:tcW w:w="2835" w:type="dxa"/>
            <w:vAlign w:val="center"/>
          </w:tcPr>
          <w:p w14:paraId="0E68960E" w14:textId="77777777" w:rsidR="009C12D5" w:rsidRPr="00D30537" w:rsidRDefault="009C12D5">
            <w:pPr>
              <w:keepNext/>
              <w:rPr>
                <w:rFonts w:ascii="Arial Narrow" w:hAnsi="Arial Narrow"/>
                <w:i/>
                <w:iCs/>
                <w:sz w:val="20"/>
                <w:szCs w:val="20"/>
              </w:rPr>
            </w:pPr>
            <w:r w:rsidRPr="00D30537">
              <w:rPr>
                <w:rFonts w:ascii="Arial Narrow" w:hAnsi="Arial Narrow"/>
                <w:sz w:val="20"/>
                <w:szCs w:val="20"/>
              </w:rPr>
              <w:t xml:space="preserve">Requested published price. </w:t>
            </w:r>
          </w:p>
        </w:tc>
        <w:tc>
          <w:tcPr>
            <w:tcW w:w="2806" w:type="dxa"/>
            <w:vAlign w:val="center"/>
          </w:tcPr>
          <w:p w14:paraId="5D51581F" w14:textId="1685DCD6" w:rsidR="009C12D5" w:rsidRPr="00813D34" w:rsidRDefault="009C12D5">
            <w:pPr>
              <w:keepNext/>
              <w:jc w:val="left"/>
              <w:rPr>
                <w:rFonts w:ascii="Arial Narrow" w:hAnsi="Arial Narrow"/>
                <w:sz w:val="20"/>
                <w:szCs w:val="20"/>
              </w:rPr>
            </w:pPr>
          </w:p>
        </w:tc>
      </w:tr>
      <w:tr w:rsidR="009C12D5" w:rsidRPr="00D30537" w14:paraId="398F9504" w14:textId="77777777">
        <w:trPr>
          <w:cantSplit/>
        </w:trPr>
        <w:tc>
          <w:tcPr>
            <w:tcW w:w="1271" w:type="dxa"/>
            <w:vAlign w:val="center"/>
          </w:tcPr>
          <w:p w14:paraId="07ED4626" w14:textId="77777777" w:rsidR="009C12D5" w:rsidRPr="00D30537" w:rsidRDefault="009C12D5">
            <w:pPr>
              <w:rPr>
                <w:rFonts w:ascii="Arial Narrow" w:hAnsi="Arial Narrow"/>
                <w:sz w:val="20"/>
                <w:szCs w:val="20"/>
              </w:rPr>
            </w:pPr>
            <w:r w:rsidRPr="00D30537">
              <w:rPr>
                <w:rFonts w:ascii="Arial Narrow" w:hAnsi="Arial Narrow"/>
                <w:sz w:val="20"/>
                <w:szCs w:val="20"/>
              </w:rPr>
              <w:t>Avelumab</w:t>
            </w:r>
          </w:p>
        </w:tc>
        <w:tc>
          <w:tcPr>
            <w:tcW w:w="2268" w:type="dxa"/>
            <w:vAlign w:val="center"/>
          </w:tcPr>
          <w:p w14:paraId="34A8E51D" w14:textId="77777777" w:rsidR="009C12D5" w:rsidRPr="00D30537" w:rsidRDefault="009C12D5">
            <w:pPr>
              <w:jc w:val="left"/>
              <w:rPr>
                <w:rFonts w:ascii="Arial Narrow" w:hAnsi="Arial Narrow"/>
                <w:sz w:val="20"/>
                <w:szCs w:val="20"/>
              </w:rPr>
            </w:pPr>
            <w:r w:rsidRPr="00D30537">
              <w:rPr>
                <w:rFonts w:ascii="Arial Narrow" w:hAnsi="Arial Narrow"/>
                <w:sz w:val="20"/>
                <w:szCs w:val="20"/>
              </w:rPr>
              <w:t>AEMP = $1,289.49 per 200 mg vial (published)</w:t>
            </w:r>
          </w:p>
          <w:p w14:paraId="4E6A640C" w14:textId="77777777" w:rsidR="009C12D5" w:rsidRPr="00D30537" w:rsidRDefault="009C12D5">
            <w:pPr>
              <w:jc w:val="left"/>
              <w:rPr>
                <w:rFonts w:ascii="Arial Narrow" w:hAnsi="Arial Narrow"/>
                <w:sz w:val="20"/>
                <w:szCs w:val="20"/>
              </w:rPr>
            </w:pPr>
            <w:r w:rsidRPr="00D30537">
              <w:rPr>
                <w:rFonts w:ascii="Arial Narrow" w:hAnsi="Arial Narrow"/>
                <w:sz w:val="20"/>
                <w:szCs w:val="20"/>
              </w:rPr>
              <w:t>Adjusted AEMP = $6,009.57 per 932.1 mg</w:t>
            </w:r>
          </w:p>
          <w:p w14:paraId="628D0A62" w14:textId="77777777" w:rsidR="009C12D5" w:rsidRPr="00D30537" w:rsidRDefault="009C12D5">
            <w:pPr>
              <w:jc w:val="left"/>
              <w:rPr>
                <w:rFonts w:ascii="Arial Narrow" w:hAnsi="Arial Narrow"/>
                <w:sz w:val="20"/>
                <w:szCs w:val="20"/>
              </w:rPr>
            </w:pPr>
            <w:r w:rsidRPr="00D30537">
              <w:rPr>
                <w:rFonts w:ascii="Arial Narrow" w:hAnsi="Arial Narrow"/>
                <w:sz w:val="20"/>
                <w:szCs w:val="20"/>
              </w:rPr>
              <w:t>DPMQ (public): $6,100.80</w:t>
            </w:r>
          </w:p>
          <w:p w14:paraId="57D42C43" w14:textId="77777777" w:rsidR="009C12D5" w:rsidRPr="00D30537" w:rsidRDefault="009C12D5">
            <w:pPr>
              <w:rPr>
                <w:rFonts w:ascii="Arial Narrow" w:hAnsi="Arial Narrow"/>
                <w:sz w:val="20"/>
                <w:szCs w:val="20"/>
              </w:rPr>
            </w:pPr>
            <w:r w:rsidRPr="00D30537">
              <w:rPr>
                <w:rFonts w:ascii="Arial Narrow" w:hAnsi="Arial Narrow"/>
                <w:sz w:val="20"/>
                <w:szCs w:val="20"/>
              </w:rPr>
              <w:t>DPMQ (private): $6,230.60</w:t>
            </w:r>
          </w:p>
        </w:tc>
        <w:tc>
          <w:tcPr>
            <w:tcW w:w="2835" w:type="dxa"/>
            <w:vAlign w:val="center"/>
          </w:tcPr>
          <w:p w14:paraId="01B2FE4E" w14:textId="77777777" w:rsidR="009C12D5" w:rsidRPr="00D30537" w:rsidRDefault="009C12D5">
            <w:pPr>
              <w:rPr>
                <w:rFonts w:ascii="Arial Narrow" w:hAnsi="Arial Narrow"/>
                <w:sz w:val="20"/>
                <w:szCs w:val="20"/>
              </w:rPr>
            </w:pPr>
            <w:r w:rsidRPr="00D30537">
              <w:rPr>
                <w:rFonts w:ascii="Arial Narrow" w:hAnsi="Arial Narrow"/>
                <w:sz w:val="20"/>
                <w:szCs w:val="20"/>
              </w:rPr>
              <w:t>Published price.</w:t>
            </w:r>
          </w:p>
          <w:p w14:paraId="4AD2A265" w14:textId="77777777" w:rsidR="009C12D5" w:rsidRPr="00D30537" w:rsidRDefault="009C12D5">
            <w:pPr>
              <w:jc w:val="left"/>
              <w:rPr>
                <w:rFonts w:ascii="Arial Narrow" w:hAnsi="Arial Narrow"/>
                <w:sz w:val="20"/>
                <w:szCs w:val="20"/>
              </w:rPr>
            </w:pPr>
            <w:r w:rsidRPr="00D30537">
              <w:rPr>
                <w:rFonts w:ascii="Arial Narrow" w:hAnsi="Arial Narrow"/>
                <w:sz w:val="20"/>
                <w:szCs w:val="20"/>
              </w:rPr>
              <w:t>Assuming a mean patient weight of 83.03 kg, it was estimated patients receive an average of 4.7 x 200 mg vials per dose, equating to 932.1 mg per dose. This results in an adjusted AEMP price per dose of $6,009.57.</w:t>
            </w:r>
          </w:p>
        </w:tc>
        <w:tc>
          <w:tcPr>
            <w:tcW w:w="2806" w:type="dxa"/>
            <w:vAlign w:val="center"/>
          </w:tcPr>
          <w:p w14:paraId="0DACCF0B" w14:textId="6D3CF4AE" w:rsidR="009C12D5" w:rsidRPr="00813D34" w:rsidRDefault="009C12D5">
            <w:pPr>
              <w:jc w:val="left"/>
              <w:rPr>
                <w:rFonts w:ascii="Arial Narrow" w:hAnsi="Arial Narrow"/>
                <w:sz w:val="20"/>
                <w:szCs w:val="20"/>
              </w:rPr>
            </w:pPr>
            <w:r w:rsidRPr="00813D34">
              <w:rPr>
                <w:rFonts w:ascii="Arial Narrow" w:hAnsi="Arial Narrow"/>
                <w:sz w:val="20"/>
                <w:szCs w:val="20"/>
              </w:rPr>
              <w:t>The dosages used may not be appropriate and higher than previous considerations by the PBAC</w:t>
            </w:r>
            <w:r w:rsidR="004775A5">
              <w:rPr>
                <w:rFonts w:ascii="Arial Narrow" w:hAnsi="Arial Narrow"/>
                <w:sz w:val="20"/>
                <w:szCs w:val="20"/>
              </w:rPr>
              <w:t>. Additionally,</w:t>
            </w:r>
            <w:r w:rsidR="008D62D0">
              <w:rPr>
                <w:rFonts w:ascii="Arial Narrow" w:hAnsi="Arial Narrow"/>
                <w:sz w:val="20"/>
                <w:szCs w:val="20"/>
              </w:rPr>
              <w:t xml:space="preserve"> </w:t>
            </w:r>
            <w:proofErr w:type="gramStart"/>
            <w:r w:rsidR="005D33D1" w:rsidRPr="00813D34">
              <w:rPr>
                <w:rFonts w:ascii="Arial Narrow" w:hAnsi="Arial Narrow"/>
                <w:sz w:val="20"/>
                <w:szCs w:val="20"/>
              </w:rPr>
              <w:t>subsequent to</w:t>
            </w:r>
            <w:proofErr w:type="gramEnd"/>
            <w:r w:rsidR="005D33D1" w:rsidRPr="00813D34">
              <w:rPr>
                <w:rFonts w:ascii="Arial Narrow" w:hAnsi="Arial Narrow"/>
                <w:sz w:val="20"/>
                <w:szCs w:val="20"/>
              </w:rPr>
              <w:t xml:space="preserve"> PBS listing of avelumab for MCC, a flat </w:t>
            </w:r>
            <w:r w:rsidR="00813D34" w:rsidRPr="00813D34">
              <w:rPr>
                <w:rFonts w:ascii="Arial Narrow" w:hAnsi="Arial Narrow"/>
                <w:sz w:val="20"/>
                <w:szCs w:val="20"/>
              </w:rPr>
              <w:t>800mg dose of avelumab was recommended in the TGA approved PI</w:t>
            </w:r>
            <w:r w:rsidRPr="00813D34">
              <w:rPr>
                <w:rFonts w:ascii="Arial Narrow" w:hAnsi="Arial Narrow"/>
                <w:sz w:val="20"/>
                <w:szCs w:val="20"/>
              </w:rPr>
              <w:t>.</w:t>
            </w:r>
            <w:r w:rsidR="004A4694">
              <w:t xml:space="preserve"> </w:t>
            </w:r>
            <w:r w:rsidR="004A4694" w:rsidRPr="004A4694">
              <w:rPr>
                <w:rFonts w:ascii="Arial Narrow" w:hAnsi="Arial Narrow"/>
                <w:sz w:val="20"/>
                <w:szCs w:val="20"/>
              </w:rPr>
              <w:t xml:space="preserve">DUSC noted the updated dosage distribution of avelumab </w:t>
            </w:r>
            <w:r w:rsidR="00730DCE">
              <w:rPr>
                <w:rFonts w:ascii="Arial Narrow" w:hAnsi="Arial Narrow"/>
                <w:sz w:val="20"/>
                <w:szCs w:val="20"/>
              </w:rPr>
              <w:t xml:space="preserve">based on PBS dispensing data </w:t>
            </w:r>
            <w:r w:rsidR="004A4694" w:rsidRPr="004A4694">
              <w:rPr>
                <w:rFonts w:ascii="Arial Narrow" w:hAnsi="Arial Narrow"/>
                <w:sz w:val="20"/>
                <w:szCs w:val="20"/>
              </w:rPr>
              <w:t>indicates that the mean dose was 829</w:t>
            </w:r>
            <w:r w:rsidR="003B58E4">
              <w:rPr>
                <w:rFonts w:ascii="Arial Narrow" w:hAnsi="Arial Narrow"/>
                <w:sz w:val="20"/>
                <w:szCs w:val="20"/>
              </w:rPr>
              <w:t xml:space="preserve"> </w:t>
            </w:r>
            <w:r w:rsidR="004A4694" w:rsidRPr="004A4694">
              <w:rPr>
                <w:rFonts w:ascii="Arial Narrow" w:hAnsi="Arial Narrow"/>
                <w:sz w:val="20"/>
                <w:szCs w:val="20"/>
              </w:rPr>
              <w:t>mg.</w:t>
            </w:r>
          </w:p>
        </w:tc>
      </w:tr>
      <w:tr w:rsidR="009C12D5" w:rsidRPr="00D30537" w14:paraId="0331A85D" w14:textId="77777777">
        <w:trPr>
          <w:cantSplit/>
        </w:trPr>
        <w:tc>
          <w:tcPr>
            <w:tcW w:w="1271" w:type="dxa"/>
            <w:vAlign w:val="center"/>
          </w:tcPr>
          <w:p w14:paraId="545480E3" w14:textId="77777777" w:rsidR="009C12D5" w:rsidRPr="00D30537" w:rsidRDefault="009C12D5">
            <w:pPr>
              <w:rPr>
                <w:rFonts w:ascii="Arial Narrow" w:hAnsi="Arial Narrow"/>
                <w:sz w:val="20"/>
                <w:szCs w:val="20"/>
              </w:rPr>
            </w:pPr>
            <w:r w:rsidRPr="00D30537">
              <w:rPr>
                <w:rFonts w:ascii="Arial Narrow" w:hAnsi="Arial Narrow"/>
                <w:sz w:val="20"/>
                <w:szCs w:val="20"/>
              </w:rPr>
              <w:t>MBS costs</w:t>
            </w:r>
          </w:p>
        </w:tc>
        <w:tc>
          <w:tcPr>
            <w:tcW w:w="2268" w:type="dxa"/>
            <w:vAlign w:val="center"/>
          </w:tcPr>
          <w:p w14:paraId="48E1546A" w14:textId="77777777" w:rsidR="009C12D5" w:rsidRPr="00D30537" w:rsidRDefault="009C12D5">
            <w:pPr>
              <w:rPr>
                <w:rFonts w:ascii="Arial Narrow" w:hAnsi="Arial Narrow"/>
                <w:sz w:val="20"/>
                <w:szCs w:val="20"/>
              </w:rPr>
            </w:pPr>
            <w:r w:rsidRPr="00D30537">
              <w:rPr>
                <w:rFonts w:ascii="Arial Narrow" w:hAnsi="Arial Narrow"/>
                <w:sz w:val="20"/>
                <w:szCs w:val="20"/>
              </w:rPr>
              <w:t>Administration fee $126.00</w:t>
            </w:r>
          </w:p>
        </w:tc>
        <w:tc>
          <w:tcPr>
            <w:tcW w:w="2835" w:type="dxa"/>
            <w:vAlign w:val="center"/>
          </w:tcPr>
          <w:p w14:paraId="07703915" w14:textId="77777777" w:rsidR="009C12D5" w:rsidRPr="00D30537" w:rsidRDefault="009C12D5">
            <w:pPr>
              <w:rPr>
                <w:rFonts w:ascii="Arial Narrow" w:hAnsi="Arial Narrow"/>
                <w:sz w:val="20"/>
                <w:szCs w:val="20"/>
              </w:rPr>
            </w:pPr>
            <w:r w:rsidRPr="00D30537">
              <w:rPr>
                <w:rFonts w:ascii="Arial Narrow" w:hAnsi="Arial Narrow"/>
                <w:sz w:val="20"/>
                <w:szCs w:val="20"/>
              </w:rPr>
              <w:t>MBS item 13950</w:t>
            </w:r>
          </w:p>
        </w:tc>
        <w:tc>
          <w:tcPr>
            <w:tcW w:w="2806" w:type="dxa"/>
            <w:vAlign w:val="center"/>
          </w:tcPr>
          <w:p w14:paraId="774A948C" w14:textId="6D404190" w:rsidR="009C12D5" w:rsidRPr="002708EC" w:rsidRDefault="009C12D5">
            <w:pPr>
              <w:rPr>
                <w:rFonts w:ascii="Arial Narrow" w:hAnsi="Arial Narrow"/>
                <w:sz w:val="20"/>
                <w:szCs w:val="20"/>
              </w:rPr>
            </w:pPr>
          </w:p>
        </w:tc>
      </w:tr>
    </w:tbl>
    <w:p w14:paraId="2314A1AC" w14:textId="77777777" w:rsidR="009C12D5" w:rsidRPr="00D30537" w:rsidRDefault="009C12D5" w:rsidP="009C12D5">
      <w:pPr>
        <w:spacing w:after="120"/>
        <w:contextualSpacing/>
        <w:rPr>
          <w:rFonts w:ascii="Arial Narrow" w:hAnsi="Arial Narrow"/>
          <w:snapToGrid w:val="0"/>
          <w:sz w:val="18"/>
          <w:szCs w:val="22"/>
        </w:rPr>
      </w:pPr>
      <w:r w:rsidRPr="00D30537">
        <w:rPr>
          <w:rFonts w:ascii="Arial Narrow" w:hAnsi="Arial Narrow"/>
          <w:snapToGrid w:val="0"/>
          <w:sz w:val="18"/>
          <w:szCs w:val="22"/>
        </w:rPr>
        <w:t>Source: Compiled during evaluation from Table 137, Table 139, Table 145, Table 152 and Table 153 of the submission</w:t>
      </w:r>
    </w:p>
    <w:p w14:paraId="703A2CDB" w14:textId="77777777" w:rsidR="00B278B6" w:rsidRDefault="009C12D5" w:rsidP="00B278B6">
      <w:pPr>
        <w:spacing w:after="120"/>
        <w:contextualSpacing/>
        <w:rPr>
          <w:rFonts w:ascii="Arial Narrow" w:hAnsi="Arial Narrow"/>
          <w:i/>
          <w:sz w:val="18"/>
          <w:szCs w:val="18"/>
        </w:rPr>
      </w:pPr>
      <w:r w:rsidRPr="00D30537">
        <w:rPr>
          <w:rFonts w:ascii="Arial Narrow" w:hAnsi="Arial Narrow"/>
          <w:snapToGrid w:val="0"/>
          <w:sz w:val="18"/>
          <w:szCs w:val="22"/>
        </w:rPr>
        <w:t xml:space="preserve">Abbreviations: AEMP = Approved Ex-Manufacturer Price; CIC = committee in confidence; DPMQ = Dispensed Price for Maximum Quantity; NA = not applicable; MBS = Medicare Benefits Scheme; MCC = Merkel cell carcinoma; PBAC = Pharmaceutical Benefits Advisory Committee; PBS = Pharmaceutical Benefits Scheme; RPBS = Repatriation Pharmaceutical Benefits Scheme; RT = radiation therapy; </w:t>
      </w:r>
      <w:proofErr w:type="spellStart"/>
      <w:r w:rsidRPr="00D30537">
        <w:rPr>
          <w:rFonts w:ascii="Arial Narrow" w:hAnsi="Arial Narrow"/>
          <w:snapToGrid w:val="0"/>
          <w:sz w:val="18"/>
          <w:szCs w:val="22"/>
        </w:rPr>
        <w:t>ToT</w:t>
      </w:r>
      <w:proofErr w:type="spellEnd"/>
      <w:r w:rsidRPr="00D30537">
        <w:rPr>
          <w:rFonts w:ascii="Arial Narrow" w:hAnsi="Arial Narrow"/>
          <w:snapToGrid w:val="0"/>
          <w:sz w:val="18"/>
          <w:szCs w:val="22"/>
        </w:rPr>
        <w:t xml:space="preserve"> = time on treatment; Yr = year.</w:t>
      </w:r>
    </w:p>
    <w:p w14:paraId="76D7F635" w14:textId="037D1278" w:rsidR="00B278B6" w:rsidRPr="00B278B6" w:rsidRDefault="00B278B6" w:rsidP="00B278B6">
      <w:pPr>
        <w:spacing w:after="120"/>
        <w:contextualSpacing/>
        <w:rPr>
          <w:rFonts w:ascii="Arial Narrow" w:hAnsi="Arial Narrow"/>
          <w:i/>
          <w:snapToGrid w:val="0"/>
          <w:sz w:val="18"/>
          <w:szCs w:val="22"/>
        </w:rPr>
      </w:pPr>
      <w:r w:rsidRPr="00B278B6">
        <w:rPr>
          <w:rFonts w:ascii="Arial Narrow" w:hAnsi="Arial Narrow"/>
          <w:i/>
          <w:snapToGrid w:val="0"/>
          <w:sz w:val="18"/>
          <w:szCs w:val="22"/>
        </w:rPr>
        <w:t xml:space="preserve">The redacted values correspond to the following ranges: </w:t>
      </w:r>
    </w:p>
    <w:p w14:paraId="698B0B91" w14:textId="61EC8282" w:rsidR="009C12D5" w:rsidRPr="00D30537" w:rsidRDefault="00B278B6" w:rsidP="009C12D5">
      <w:pPr>
        <w:spacing w:after="120"/>
        <w:contextualSpacing/>
        <w:rPr>
          <w:rFonts w:ascii="Arial Narrow" w:hAnsi="Arial Narrow"/>
          <w:snapToGrid w:val="0"/>
          <w:sz w:val="18"/>
          <w:szCs w:val="22"/>
        </w:rPr>
      </w:pPr>
      <w:r w:rsidRPr="00B278B6">
        <w:rPr>
          <w:rFonts w:ascii="Arial Narrow" w:hAnsi="Arial Narrow"/>
          <w:i/>
          <w:snapToGrid w:val="0"/>
          <w:sz w:val="18"/>
          <w:szCs w:val="22"/>
          <w:vertAlign w:val="superscript"/>
        </w:rPr>
        <w:t>1</w:t>
      </w:r>
      <w:r w:rsidRPr="00B278B6">
        <w:rPr>
          <w:rFonts w:ascii="Arial Narrow" w:hAnsi="Arial Narrow"/>
          <w:i/>
          <w:snapToGrid w:val="0"/>
          <w:sz w:val="18"/>
          <w:szCs w:val="22"/>
        </w:rPr>
        <w:t xml:space="preserve"> </w:t>
      </w:r>
      <w:bookmarkStart w:id="88" w:name="_Hlk219128922"/>
      <w:r w:rsidR="00EE3493" w:rsidRPr="00EE3493">
        <w:rPr>
          <w:rFonts w:ascii="Arial Narrow" w:hAnsi="Arial Narrow"/>
          <w:i/>
          <w:snapToGrid w:val="0"/>
          <w:sz w:val="18"/>
          <w:szCs w:val="22"/>
        </w:rPr>
        <w:t>500 to &lt; 5,000</w:t>
      </w:r>
      <w:bookmarkEnd w:id="88"/>
    </w:p>
    <w:p w14:paraId="1647A07B" w14:textId="0E0DDA89" w:rsidR="009C12D5" w:rsidRPr="00D30537" w:rsidRDefault="009C12D5" w:rsidP="009C12D5">
      <w:pPr>
        <w:pStyle w:val="3-BodyText"/>
        <w:ind w:left="720"/>
        <w:rPr>
          <w:color w:val="000000" w:themeColor="text1"/>
        </w:rPr>
      </w:pPr>
      <w:r w:rsidRPr="00D30537">
        <w:rPr>
          <w:color w:val="000000" w:themeColor="text1"/>
        </w:rPr>
        <w:t xml:space="preserve">The estimated use and financial implications for the listing of retifanlimab using published prices are presented in </w:t>
      </w:r>
      <w:r w:rsidRPr="00D30537">
        <w:rPr>
          <w:color w:val="000000" w:themeColor="text1"/>
          <w:highlight w:val="green"/>
        </w:rPr>
        <w:fldChar w:fldCharType="begin"/>
      </w:r>
      <w:r w:rsidRPr="00D30537">
        <w:rPr>
          <w:color w:val="000000" w:themeColor="text1"/>
        </w:rPr>
        <w:instrText xml:space="preserve"> REF _Ref104805295 \h </w:instrText>
      </w:r>
      <w:r w:rsidRPr="00D30537">
        <w:rPr>
          <w:color w:val="000000" w:themeColor="text1"/>
          <w:highlight w:val="green"/>
        </w:rPr>
      </w:r>
      <w:r w:rsidRPr="00D30537">
        <w:rPr>
          <w:color w:val="000000" w:themeColor="text1"/>
          <w:highlight w:val="green"/>
        </w:rPr>
        <w:fldChar w:fldCharType="separate"/>
      </w:r>
      <w:r w:rsidR="00652388" w:rsidRPr="00D30537">
        <w:t xml:space="preserve">Table </w:t>
      </w:r>
      <w:r w:rsidR="00652388">
        <w:rPr>
          <w:noProof/>
        </w:rPr>
        <w:t>16</w:t>
      </w:r>
      <w:r w:rsidRPr="00D30537">
        <w:rPr>
          <w:color w:val="000000" w:themeColor="text1"/>
          <w:highlight w:val="green"/>
        </w:rPr>
        <w:fldChar w:fldCharType="end"/>
      </w:r>
      <w:r w:rsidRPr="00D30537">
        <w:rPr>
          <w:color w:val="000000" w:themeColor="text1"/>
        </w:rPr>
        <w:t>.</w:t>
      </w:r>
      <w:r w:rsidRPr="00D30537">
        <w:rPr>
          <w:i/>
          <w:iCs/>
          <w:color w:val="000000" w:themeColor="text1"/>
        </w:rPr>
        <w:t xml:space="preserve"> </w:t>
      </w:r>
    </w:p>
    <w:p w14:paraId="54E44A40" w14:textId="6F586651" w:rsidR="009C12D5" w:rsidRPr="00D30537" w:rsidRDefault="009C12D5" w:rsidP="00954374">
      <w:pPr>
        <w:pStyle w:val="Caption"/>
      </w:pPr>
      <w:bookmarkStart w:id="89" w:name="_Ref104805295"/>
      <w:r w:rsidRPr="00D30537">
        <w:lastRenderedPageBreak/>
        <w:t xml:space="preserve">Table </w:t>
      </w:r>
      <w:fldSimple w:instr=" SEQ Table \* ARABIC ">
        <w:r w:rsidR="00652388">
          <w:rPr>
            <w:noProof/>
          </w:rPr>
          <w:t>16</w:t>
        </w:r>
      </w:fldSimple>
      <w:bookmarkEnd w:id="89"/>
      <w:r w:rsidRPr="00D30537">
        <w:t>:</w:t>
      </w:r>
      <w:r w:rsidRPr="00D30537">
        <w:rPr>
          <w:rStyle w:val="CommentReference"/>
          <w:b/>
          <w:szCs w:val="24"/>
        </w:rPr>
        <w:t xml:space="preserve"> Estimated use and financial implications (published)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published)"/>
      </w:tblPr>
      <w:tblGrid>
        <w:gridCol w:w="2405"/>
        <w:gridCol w:w="1102"/>
        <w:gridCol w:w="1102"/>
        <w:gridCol w:w="1102"/>
        <w:gridCol w:w="1102"/>
        <w:gridCol w:w="1102"/>
        <w:gridCol w:w="1102"/>
      </w:tblGrid>
      <w:tr w:rsidR="009C12D5" w:rsidRPr="00D30537" w14:paraId="27DCF5D7" w14:textId="77777777">
        <w:trPr>
          <w:tblHeader/>
        </w:trPr>
        <w:tc>
          <w:tcPr>
            <w:tcW w:w="1334" w:type="pct"/>
            <w:vAlign w:val="center"/>
          </w:tcPr>
          <w:p w14:paraId="55016299" w14:textId="77777777" w:rsidR="009C12D5" w:rsidRPr="00D30537" w:rsidRDefault="009C12D5" w:rsidP="00954374">
            <w:pPr>
              <w:keepNext/>
              <w:keepLines/>
              <w:rPr>
                <w:rFonts w:ascii="Arial Narrow" w:hAnsi="Arial Narrow"/>
                <w:sz w:val="20"/>
                <w:szCs w:val="20"/>
              </w:rPr>
            </w:pPr>
          </w:p>
        </w:tc>
        <w:tc>
          <w:tcPr>
            <w:tcW w:w="611" w:type="pct"/>
            <w:vAlign w:val="center"/>
          </w:tcPr>
          <w:p w14:paraId="31307042"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1</w:t>
            </w:r>
          </w:p>
        </w:tc>
        <w:tc>
          <w:tcPr>
            <w:tcW w:w="611" w:type="pct"/>
            <w:vAlign w:val="center"/>
          </w:tcPr>
          <w:p w14:paraId="2A4F644D"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2</w:t>
            </w:r>
          </w:p>
        </w:tc>
        <w:tc>
          <w:tcPr>
            <w:tcW w:w="611" w:type="pct"/>
            <w:vAlign w:val="center"/>
          </w:tcPr>
          <w:p w14:paraId="42C7AD06"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3</w:t>
            </w:r>
          </w:p>
        </w:tc>
        <w:tc>
          <w:tcPr>
            <w:tcW w:w="611" w:type="pct"/>
            <w:vAlign w:val="center"/>
          </w:tcPr>
          <w:p w14:paraId="01458ADD"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4</w:t>
            </w:r>
          </w:p>
        </w:tc>
        <w:tc>
          <w:tcPr>
            <w:tcW w:w="611" w:type="pct"/>
            <w:vAlign w:val="center"/>
          </w:tcPr>
          <w:p w14:paraId="63ECDEEE"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5</w:t>
            </w:r>
          </w:p>
        </w:tc>
        <w:tc>
          <w:tcPr>
            <w:tcW w:w="611" w:type="pct"/>
          </w:tcPr>
          <w:p w14:paraId="11313578" w14:textId="77777777" w:rsidR="009C12D5" w:rsidRPr="00D30537" w:rsidRDefault="009C12D5" w:rsidP="00954374">
            <w:pPr>
              <w:keepNext/>
              <w:keepLines/>
              <w:jc w:val="center"/>
              <w:rPr>
                <w:rFonts w:ascii="Arial Narrow" w:hAnsi="Arial Narrow"/>
                <w:b/>
                <w:bCs/>
                <w:sz w:val="20"/>
                <w:szCs w:val="20"/>
              </w:rPr>
            </w:pPr>
            <w:r w:rsidRPr="00D30537">
              <w:rPr>
                <w:rFonts w:ascii="Arial Narrow" w:hAnsi="Arial Narrow"/>
                <w:b/>
                <w:bCs/>
                <w:sz w:val="20"/>
                <w:szCs w:val="20"/>
              </w:rPr>
              <w:t>Year 6</w:t>
            </w:r>
          </w:p>
        </w:tc>
      </w:tr>
      <w:tr w:rsidR="009C12D5" w:rsidRPr="00D30537" w14:paraId="62262E96" w14:textId="77777777">
        <w:tc>
          <w:tcPr>
            <w:tcW w:w="5000" w:type="pct"/>
            <w:gridSpan w:val="7"/>
            <w:vAlign w:val="center"/>
          </w:tcPr>
          <w:p w14:paraId="62D00A40" w14:textId="50D15BA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Estimated extent of use</w:t>
            </w:r>
            <w:r w:rsidR="00307BEF">
              <w:rPr>
                <w:rFonts w:ascii="Arial Narrow" w:hAnsi="Arial Narrow"/>
                <w:b/>
                <w:bCs/>
                <w:sz w:val="20"/>
                <w:szCs w:val="20"/>
              </w:rPr>
              <w:t xml:space="preserve"> (scripts)</w:t>
            </w:r>
          </w:p>
        </w:tc>
      </w:tr>
      <w:tr w:rsidR="009C12D5" w:rsidRPr="00D30537" w14:paraId="21449DB2" w14:textId="77777777">
        <w:tc>
          <w:tcPr>
            <w:tcW w:w="1334" w:type="pct"/>
          </w:tcPr>
          <w:p w14:paraId="6DD61B90"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Substitution of avelumab</w:t>
            </w:r>
          </w:p>
        </w:tc>
        <w:tc>
          <w:tcPr>
            <w:tcW w:w="611" w:type="pct"/>
            <w:vAlign w:val="center"/>
          </w:tcPr>
          <w:p w14:paraId="49EC52CE" w14:textId="165FF7A4"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0A318D78" w14:textId="37473D2F"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2A0CE5E6" w14:textId="67E613EB"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4BDC6FF6" w14:textId="3DDC1D56"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62C00E2D" w14:textId="7C6B687C"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7CECBE11" w14:textId="393D5869"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r>
      <w:tr w:rsidR="009C12D5" w:rsidRPr="00D30537" w14:paraId="4D5090BF" w14:textId="77777777">
        <w:tc>
          <w:tcPr>
            <w:tcW w:w="1334" w:type="pct"/>
          </w:tcPr>
          <w:p w14:paraId="60627188" w14:textId="139E87B3"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Additional uptake (+</w:t>
            </w:r>
            <w:r w:rsidR="00D863F0" w:rsidRPr="00D863F0">
              <w:rPr>
                <w:rFonts w:ascii="Arial Narrow" w:hAnsi="Arial Narrow"/>
                <w:sz w:val="20"/>
                <w:szCs w:val="20"/>
                <w:highlight w:val="black"/>
              </w:rPr>
              <w:t>&amp;&amp;&amp;&amp;</w:t>
            </w:r>
            <w:r w:rsidRPr="00D30537">
              <w:rPr>
                <w:rFonts w:ascii="Arial Narrow" w:hAnsi="Arial Narrow"/>
                <w:sz w:val="20"/>
                <w:szCs w:val="20"/>
              </w:rPr>
              <w:t>%) of immunotherapies</w:t>
            </w:r>
          </w:p>
        </w:tc>
        <w:tc>
          <w:tcPr>
            <w:tcW w:w="611" w:type="pct"/>
            <w:vAlign w:val="center"/>
          </w:tcPr>
          <w:p w14:paraId="3BAA4D44" w14:textId="01603515"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0F6301E6" w14:textId="7145E8E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644C8003" w14:textId="13249CC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65D7DA6A" w14:textId="2388A125"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24E300DB" w14:textId="0DD6CDA1"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c>
          <w:tcPr>
            <w:tcW w:w="611" w:type="pct"/>
            <w:vAlign w:val="center"/>
          </w:tcPr>
          <w:p w14:paraId="33A49E10" w14:textId="537A41B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1</w:t>
            </w:r>
          </w:p>
        </w:tc>
      </w:tr>
      <w:tr w:rsidR="009C12D5" w:rsidRPr="00D30537" w14:paraId="5C5868DB" w14:textId="77777777">
        <w:tc>
          <w:tcPr>
            <w:tcW w:w="1334" w:type="pct"/>
          </w:tcPr>
          <w:p w14:paraId="26CDCD6C"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Expanded population (+11%)</w:t>
            </w:r>
          </w:p>
        </w:tc>
        <w:tc>
          <w:tcPr>
            <w:tcW w:w="611" w:type="pct"/>
            <w:vAlign w:val="center"/>
          </w:tcPr>
          <w:p w14:paraId="404E8080" w14:textId="255C3AE1"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1EA4874B" w14:textId="1234AB77"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28E70517" w14:textId="40369A5B"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41BB09B7" w14:textId="0453ED62"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3F707A76" w14:textId="34845213"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c>
          <w:tcPr>
            <w:tcW w:w="611" w:type="pct"/>
            <w:vAlign w:val="center"/>
          </w:tcPr>
          <w:p w14:paraId="5916D78F" w14:textId="5E839906"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sz w:val="20"/>
                <w:szCs w:val="20"/>
                <w:highlight w:val="black"/>
              </w:rPr>
              <w:t>&amp;&amp;&amp;&amp;</w:t>
            </w:r>
            <w:r w:rsidR="00113D69">
              <w:rPr>
                <w:rFonts w:ascii="Arial Narrow" w:hAnsi="Arial Narrow"/>
                <w:sz w:val="20"/>
                <w:szCs w:val="20"/>
                <w:vertAlign w:val="superscript"/>
              </w:rPr>
              <w:t>2</w:t>
            </w:r>
          </w:p>
        </w:tc>
      </w:tr>
      <w:tr w:rsidR="009C12D5" w:rsidRPr="00D30537" w14:paraId="189A0B17" w14:textId="77777777">
        <w:tc>
          <w:tcPr>
            <w:tcW w:w="1334" w:type="pct"/>
          </w:tcPr>
          <w:p w14:paraId="46BB8694"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Total retifanlimab scripts</w:t>
            </w:r>
          </w:p>
        </w:tc>
        <w:tc>
          <w:tcPr>
            <w:tcW w:w="611" w:type="pct"/>
            <w:tcBorders>
              <w:bottom w:val="single" w:sz="4" w:space="0" w:color="auto"/>
            </w:tcBorders>
            <w:vAlign w:val="center"/>
          </w:tcPr>
          <w:p w14:paraId="2326C09F" w14:textId="7D6177A8"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20B859F9" w14:textId="53AD0467"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5B606080" w14:textId="138EECAD"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1B62ED70" w14:textId="27A80A13"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3D3B9A7C" w14:textId="6BE2D6F8"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c>
          <w:tcPr>
            <w:tcW w:w="611" w:type="pct"/>
            <w:tcBorders>
              <w:bottom w:val="single" w:sz="4" w:space="0" w:color="auto"/>
            </w:tcBorders>
            <w:vAlign w:val="center"/>
          </w:tcPr>
          <w:p w14:paraId="32A254C0" w14:textId="44E20626" w:rsidR="009C12D5" w:rsidRPr="00113D69" w:rsidRDefault="00D863F0" w:rsidP="00954374">
            <w:pPr>
              <w:keepNext/>
              <w:keepLines/>
              <w:jc w:val="center"/>
              <w:rPr>
                <w:rFonts w:ascii="Arial Narrow" w:hAnsi="Arial Narrow"/>
                <w:sz w:val="20"/>
                <w:szCs w:val="20"/>
                <w:vertAlign w:val="superscript"/>
              </w:rPr>
            </w:pPr>
            <w:r w:rsidRPr="00D863F0">
              <w:rPr>
                <w:rFonts w:ascii="Arial Narrow" w:hAnsi="Arial Narrow"/>
                <w:b/>
                <w:bCs/>
                <w:sz w:val="20"/>
                <w:szCs w:val="20"/>
                <w:highlight w:val="black"/>
              </w:rPr>
              <w:t>&amp;&amp;&amp;&amp;</w:t>
            </w:r>
            <w:r w:rsidR="00113D69">
              <w:rPr>
                <w:rFonts w:ascii="Arial Narrow" w:hAnsi="Arial Narrow"/>
                <w:sz w:val="20"/>
                <w:szCs w:val="20"/>
                <w:vertAlign w:val="superscript"/>
              </w:rPr>
              <w:t>1</w:t>
            </w:r>
          </w:p>
        </w:tc>
      </w:tr>
      <w:tr w:rsidR="009C12D5" w:rsidRPr="00D30537" w14:paraId="17D8B730" w14:textId="77777777">
        <w:tc>
          <w:tcPr>
            <w:tcW w:w="5000" w:type="pct"/>
            <w:gridSpan w:val="7"/>
            <w:vAlign w:val="center"/>
          </w:tcPr>
          <w:p w14:paraId="68A833D1"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Estimated financial implications of retifanlimab</w:t>
            </w:r>
          </w:p>
        </w:tc>
      </w:tr>
      <w:tr w:rsidR="009C12D5" w:rsidRPr="00D30537" w14:paraId="43B587D6" w14:textId="77777777">
        <w:tc>
          <w:tcPr>
            <w:tcW w:w="1334" w:type="pct"/>
            <w:vAlign w:val="center"/>
          </w:tcPr>
          <w:p w14:paraId="6FF8733E"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Cost to PBS/RPBS less copayments</w:t>
            </w:r>
          </w:p>
        </w:tc>
        <w:tc>
          <w:tcPr>
            <w:tcW w:w="611" w:type="pct"/>
            <w:tcBorders>
              <w:top w:val="single" w:sz="4" w:space="0" w:color="auto"/>
            </w:tcBorders>
            <w:vAlign w:val="center"/>
          </w:tcPr>
          <w:p w14:paraId="296A0451" w14:textId="2226210F"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tcBorders>
              <w:top w:val="single" w:sz="4" w:space="0" w:color="auto"/>
            </w:tcBorders>
            <w:vAlign w:val="center"/>
          </w:tcPr>
          <w:p w14:paraId="63345564" w14:textId="414F354C" w:rsidR="009C12D5" w:rsidRPr="001D6638"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D6638">
              <w:rPr>
                <w:rFonts w:ascii="Arial Narrow" w:hAnsi="Arial Narrow"/>
                <w:sz w:val="20"/>
                <w:szCs w:val="20"/>
                <w:vertAlign w:val="superscript"/>
              </w:rPr>
              <w:t>4</w:t>
            </w:r>
          </w:p>
        </w:tc>
        <w:tc>
          <w:tcPr>
            <w:tcW w:w="611" w:type="pct"/>
            <w:tcBorders>
              <w:top w:val="single" w:sz="4" w:space="0" w:color="auto"/>
            </w:tcBorders>
            <w:vAlign w:val="center"/>
          </w:tcPr>
          <w:p w14:paraId="69BCBF7B" w14:textId="59A4C3EE" w:rsidR="009C12D5" w:rsidRPr="008D2797"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8D2797">
              <w:rPr>
                <w:rFonts w:ascii="Arial Narrow" w:hAnsi="Arial Narrow"/>
                <w:sz w:val="20"/>
                <w:szCs w:val="20"/>
                <w:vertAlign w:val="superscript"/>
              </w:rPr>
              <w:t>5</w:t>
            </w:r>
          </w:p>
        </w:tc>
        <w:tc>
          <w:tcPr>
            <w:tcW w:w="611" w:type="pct"/>
            <w:tcBorders>
              <w:top w:val="single" w:sz="4" w:space="0" w:color="auto"/>
            </w:tcBorders>
            <w:vAlign w:val="center"/>
          </w:tcPr>
          <w:p w14:paraId="090ACFF1" w14:textId="3334242E" w:rsidR="009C12D5" w:rsidRPr="00312845"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312845">
              <w:rPr>
                <w:rFonts w:ascii="Arial Narrow" w:hAnsi="Arial Narrow"/>
                <w:sz w:val="20"/>
                <w:szCs w:val="20"/>
                <w:vertAlign w:val="superscript"/>
              </w:rPr>
              <w:t>6</w:t>
            </w:r>
          </w:p>
        </w:tc>
        <w:tc>
          <w:tcPr>
            <w:tcW w:w="611" w:type="pct"/>
            <w:tcBorders>
              <w:top w:val="single" w:sz="4" w:space="0" w:color="auto"/>
            </w:tcBorders>
            <w:vAlign w:val="center"/>
          </w:tcPr>
          <w:p w14:paraId="7ED8067F" w14:textId="6BD2D63D" w:rsidR="009C12D5" w:rsidRPr="00312845"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312845">
              <w:rPr>
                <w:rFonts w:ascii="Arial Narrow" w:hAnsi="Arial Narrow"/>
                <w:sz w:val="20"/>
                <w:szCs w:val="20"/>
                <w:vertAlign w:val="superscript"/>
              </w:rPr>
              <w:t>6</w:t>
            </w:r>
          </w:p>
        </w:tc>
        <w:tc>
          <w:tcPr>
            <w:tcW w:w="611" w:type="pct"/>
            <w:tcBorders>
              <w:top w:val="single" w:sz="4" w:space="0" w:color="auto"/>
            </w:tcBorders>
            <w:vAlign w:val="center"/>
          </w:tcPr>
          <w:p w14:paraId="407E2DF3" w14:textId="364AD86E" w:rsidR="009C12D5" w:rsidRPr="0080146B"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80146B">
              <w:rPr>
                <w:rFonts w:ascii="Arial Narrow" w:hAnsi="Arial Narrow"/>
                <w:sz w:val="20"/>
                <w:szCs w:val="20"/>
                <w:vertAlign w:val="superscript"/>
              </w:rPr>
              <w:t>7</w:t>
            </w:r>
          </w:p>
        </w:tc>
      </w:tr>
      <w:tr w:rsidR="009C12D5" w:rsidRPr="00D30537" w14:paraId="0DB0967C" w14:textId="77777777">
        <w:tc>
          <w:tcPr>
            <w:tcW w:w="5000" w:type="pct"/>
            <w:gridSpan w:val="7"/>
            <w:vAlign w:val="center"/>
          </w:tcPr>
          <w:p w14:paraId="2628FE4D"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Estimated financial implications for avelumab</w:t>
            </w:r>
          </w:p>
        </w:tc>
      </w:tr>
      <w:tr w:rsidR="009C12D5" w:rsidRPr="00D30537" w14:paraId="038E74E9" w14:textId="77777777">
        <w:tc>
          <w:tcPr>
            <w:tcW w:w="1334" w:type="pct"/>
            <w:vAlign w:val="center"/>
          </w:tcPr>
          <w:p w14:paraId="4A89C39A"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Cost to PBS/RPBS less copayments</w:t>
            </w:r>
          </w:p>
        </w:tc>
        <w:tc>
          <w:tcPr>
            <w:tcW w:w="611" w:type="pct"/>
            <w:vAlign w:val="center"/>
          </w:tcPr>
          <w:p w14:paraId="2221B966" w14:textId="57543E2C" w:rsidR="009C12D5" w:rsidRPr="00F03E5A"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F03E5A">
              <w:rPr>
                <w:rFonts w:ascii="Arial Narrow" w:hAnsi="Arial Narrow"/>
                <w:sz w:val="20"/>
                <w:szCs w:val="20"/>
                <w:vertAlign w:val="superscript"/>
              </w:rPr>
              <w:t>8</w:t>
            </w:r>
          </w:p>
        </w:tc>
        <w:tc>
          <w:tcPr>
            <w:tcW w:w="611" w:type="pct"/>
            <w:vAlign w:val="center"/>
          </w:tcPr>
          <w:p w14:paraId="02D2385A" w14:textId="5B76CE18"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1676AB">
              <w:rPr>
                <w:rFonts w:ascii="Arial Narrow" w:hAnsi="Arial Narrow"/>
                <w:sz w:val="20"/>
                <w:szCs w:val="20"/>
                <w:vertAlign w:val="superscript"/>
              </w:rPr>
              <w:t>9</w:t>
            </w:r>
          </w:p>
        </w:tc>
        <w:tc>
          <w:tcPr>
            <w:tcW w:w="611" w:type="pct"/>
            <w:vAlign w:val="center"/>
          </w:tcPr>
          <w:p w14:paraId="55C8944F" w14:textId="1D7BB88D"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vAlign w:val="center"/>
          </w:tcPr>
          <w:p w14:paraId="0AEE7CB6" w14:textId="404427F1"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vAlign w:val="center"/>
          </w:tcPr>
          <w:p w14:paraId="7A330CB5" w14:textId="1FE2E7BE"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c>
          <w:tcPr>
            <w:tcW w:w="611" w:type="pct"/>
            <w:vAlign w:val="center"/>
          </w:tcPr>
          <w:p w14:paraId="137B7D9C" w14:textId="00C1A7F7"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sz w:val="20"/>
                <w:szCs w:val="20"/>
              </w:rPr>
              <w:t>-$</w:t>
            </w:r>
            <w:r w:rsidR="00D863F0" w:rsidRPr="00D863F0">
              <w:rPr>
                <w:rFonts w:ascii="Arial Narrow" w:hAnsi="Arial Narrow"/>
                <w:sz w:val="20"/>
                <w:szCs w:val="20"/>
                <w:highlight w:val="black"/>
              </w:rPr>
              <w:t>&amp;&amp;&amp;&amp;</w:t>
            </w:r>
            <w:r w:rsidR="006D1AEF">
              <w:rPr>
                <w:rFonts w:ascii="Arial Narrow" w:hAnsi="Arial Narrow"/>
                <w:sz w:val="20"/>
                <w:szCs w:val="20"/>
                <w:vertAlign w:val="superscript"/>
              </w:rPr>
              <w:t>3</w:t>
            </w:r>
          </w:p>
        </w:tc>
      </w:tr>
      <w:tr w:rsidR="009C12D5" w:rsidRPr="00D30537" w14:paraId="0E325DBD" w14:textId="77777777">
        <w:tc>
          <w:tcPr>
            <w:tcW w:w="5000" w:type="pct"/>
            <w:gridSpan w:val="7"/>
            <w:vAlign w:val="center"/>
          </w:tcPr>
          <w:p w14:paraId="0B27BAB5" w14:textId="77777777" w:rsidR="009C12D5" w:rsidRPr="00D30537" w:rsidRDefault="009C12D5" w:rsidP="00954374">
            <w:pPr>
              <w:keepNext/>
              <w:keepLines/>
              <w:jc w:val="left"/>
              <w:rPr>
                <w:rFonts w:ascii="Arial Narrow" w:hAnsi="Arial Narrow"/>
                <w:b/>
                <w:bCs/>
                <w:sz w:val="20"/>
                <w:szCs w:val="20"/>
              </w:rPr>
            </w:pPr>
            <w:r w:rsidRPr="00D30537">
              <w:rPr>
                <w:rFonts w:ascii="Arial Narrow" w:hAnsi="Arial Narrow"/>
                <w:b/>
                <w:bCs/>
                <w:sz w:val="20"/>
                <w:szCs w:val="20"/>
              </w:rPr>
              <w:t>Net financial implications for the health budget</w:t>
            </w:r>
          </w:p>
        </w:tc>
      </w:tr>
      <w:tr w:rsidR="009C12D5" w:rsidRPr="00D30537" w14:paraId="335F72BF" w14:textId="77777777">
        <w:tc>
          <w:tcPr>
            <w:tcW w:w="1334" w:type="pct"/>
            <w:vAlign w:val="center"/>
          </w:tcPr>
          <w:p w14:paraId="3D42E70A"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Net cost to PBS/RPBS</w:t>
            </w:r>
          </w:p>
        </w:tc>
        <w:tc>
          <w:tcPr>
            <w:tcW w:w="611" w:type="pct"/>
            <w:vAlign w:val="center"/>
          </w:tcPr>
          <w:p w14:paraId="4AA63A22" w14:textId="037AC167" w:rsidR="009C12D5" w:rsidRPr="00F03E5A"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F03E5A">
              <w:rPr>
                <w:rFonts w:ascii="Arial Narrow" w:hAnsi="Arial Narrow"/>
                <w:color w:val="000000" w:themeColor="text1"/>
                <w:sz w:val="20"/>
                <w:szCs w:val="20"/>
                <w:vertAlign w:val="superscript"/>
              </w:rPr>
              <w:t>8</w:t>
            </w:r>
          </w:p>
        </w:tc>
        <w:tc>
          <w:tcPr>
            <w:tcW w:w="611" w:type="pct"/>
            <w:vAlign w:val="center"/>
          </w:tcPr>
          <w:p w14:paraId="6610F979" w14:textId="79E9719A"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343F8FF8" w14:textId="2F292FB1"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0582DDFC" w14:textId="5135D76A" w:rsidR="009C12D5" w:rsidRPr="00302F42"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302F42">
              <w:rPr>
                <w:rFonts w:ascii="Arial Narrow" w:hAnsi="Arial Narrow"/>
                <w:color w:val="000000" w:themeColor="text1"/>
                <w:sz w:val="20"/>
                <w:szCs w:val="20"/>
                <w:vertAlign w:val="superscript"/>
              </w:rPr>
              <w:t>3</w:t>
            </w:r>
          </w:p>
        </w:tc>
        <w:tc>
          <w:tcPr>
            <w:tcW w:w="611" w:type="pct"/>
            <w:vAlign w:val="center"/>
          </w:tcPr>
          <w:p w14:paraId="088ACB91" w14:textId="22DDF53E" w:rsidR="009C12D5" w:rsidRPr="00302F42"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302F42">
              <w:rPr>
                <w:rFonts w:ascii="Arial Narrow" w:hAnsi="Arial Narrow"/>
                <w:color w:val="000000" w:themeColor="text1"/>
                <w:sz w:val="20"/>
                <w:szCs w:val="20"/>
                <w:vertAlign w:val="superscript"/>
              </w:rPr>
              <w:t>3</w:t>
            </w:r>
          </w:p>
        </w:tc>
        <w:tc>
          <w:tcPr>
            <w:tcW w:w="611" w:type="pct"/>
            <w:vAlign w:val="center"/>
          </w:tcPr>
          <w:p w14:paraId="4FB023EF" w14:textId="3FAACBC0" w:rsidR="009C12D5" w:rsidRPr="00302F42"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302F42">
              <w:rPr>
                <w:rFonts w:ascii="Arial Narrow" w:hAnsi="Arial Narrow"/>
                <w:color w:val="000000" w:themeColor="text1"/>
                <w:sz w:val="20"/>
                <w:szCs w:val="20"/>
                <w:vertAlign w:val="superscript"/>
              </w:rPr>
              <w:t>3</w:t>
            </w:r>
          </w:p>
        </w:tc>
      </w:tr>
      <w:tr w:rsidR="009C12D5" w:rsidRPr="00D30537" w14:paraId="434F4477" w14:textId="77777777">
        <w:tc>
          <w:tcPr>
            <w:tcW w:w="1334" w:type="pct"/>
            <w:vAlign w:val="center"/>
          </w:tcPr>
          <w:p w14:paraId="6FC1EAF1"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Net cost to MBS</w:t>
            </w:r>
          </w:p>
        </w:tc>
        <w:tc>
          <w:tcPr>
            <w:tcW w:w="611" w:type="pct"/>
            <w:vAlign w:val="center"/>
          </w:tcPr>
          <w:p w14:paraId="7D5F0C6B" w14:textId="2E64D498"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426C623A" w14:textId="468D108D"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53012090" w14:textId="78AB93F8"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6D4B17D1" w14:textId="02CE44C3"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74DD8F27" w14:textId="690A860A"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c>
          <w:tcPr>
            <w:tcW w:w="611" w:type="pct"/>
            <w:vAlign w:val="center"/>
          </w:tcPr>
          <w:p w14:paraId="72C9D076" w14:textId="4C8812EB" w:rsidR="009C12D5" w:rsidRPr="00B008FE"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B008FE">
              <w:rPr>
                <w:rFonts w:ascii="Arial Narrow" w:hAnsi="Arial Narrow"/>
                <w:color w:val="000000" w:themeColor="text1"/>
                <w:sz w:val="20"/>
                <w:szCs w:val="20"/>
                <w:vertAlign w:val="superscript"/>
              </w:rPr>
              <w:t>10</w:t>
            </w:r>
          </w:p>
        </w:tc>
      </w:tr>
      <w:tr w:rsidR="009C12D5" w:rsidRPr="00D30537" w14:paraId="4ED15700" w14:textId="77777777">
        <w:tc>
          <w:tcPr>
            <w:tcW w:w="1334" w:type="pct"/>
            <w:vAlign w:val="center"/>
          </w:tcPr>
          <w:p w14:paraId="53025DF9" w14:textId="77777777" w:rsidR="009C12D5" w:rsidRPr="00D30537" w:rsidRDefault="009C12D5" w:rsidP="00954374">
            <w:pPr>
              <w:keepNext/>
              <w:keepLines/>
              <w:jc w:val="left"/>
              <w:rPr>
                <w:rFonts w:ascii="Arial Narrow" w:hAnsi="Arial Narrow"/>
                <w:sz w:val="20"/>
                <w:szCs w:val="20"/>
              </w:rPr>
            </w:pPr>
            <w:r w:rsidRPr="00D30537">
              <w:rPr>
                <w:rFonts w:ascii="Arial Narrow" w:hAnsi="Arial Narrow"/>
                <w:sz w:val="20"/>
                <w:szCs w:val="20"/>
              </w:rPr>
              <w:t>Net cost to PBS/RPBS/MBS</w:t>
            </w:r>
          </w:p>
        </w:tc>
        <w:tc>
          <w:tcPr>
            <w:tcW w:w="611" w:type="pct"/>
            <w:vAlign w:val="center"/>
          </w:tcPr>
          <w:p w14:paraId="1CDC0402" w14:textId="1659CD80" w:rsidR="009C12D5" w:rsidRPr="00F03E5A"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F03E5A">
              <w:rPr>
                <w:rFonts w:ascii="Arial Narrow" w:hAnsi="Arial Narrow"/>
                <w:color w:val="000000" w:themeColor="text1"/>
                <w:sz w:val="20"/>
                <w:szCs w:val="20"/>
                <w:vertAlign w:val="superscript"/>
              </w:rPr>
              <w:t>8</w:t>
            </w:r>
          </w:p>
        </w:tc>
        <w:tc>
          <w:tcPr>
            <w:tcW w:w="611" w:type="pct"/>
            <w:vAlign w:val="center"/>
          </w:tcPr>
          <w:p w14:paraId="3F927F71" w14:textId="00831268"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722FED29" w14:textId="3E9A7158" w:rsidR="009C12D5" w:rsidRPr="001676AB"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1676AB">
              <w:rPr>
                <w:rFonts w:ascii="Arial Narrow" w:hAnsi="Arial Narrow"/>
                <w:color w:val="000000" w:themeColor="text1"/>
                <w:sz w:val="20"/>
                <w:szCs w:val="20"/>
                <w:vertAlign w:val="superscript"/>
              </w:rPr>
              <w:t>9</w:t>
            </w:r>
          </w:p>
        </w:tc>
        <w:tc>
          <w:tcPr>
            <w:tcW w:w="611" w:type="pct"/>
            <w:vAlign w:val="center"/>
          </w:tcPr>
          <w:p w14:paraId="33AA394D" w14:textId="49A197A9"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6D1AEF">
              <w:rPr>
                <w:rFonts w:ascii="Arial Narrow" w:hAnsi="Arial Narrow"/>
                <w:color w:val="000000" w:themeColor="text1"/>
                <w:sz w:val="20"/>
                <w:szCs w:val="20"/>
                <w:vertAlign w:val="superscript"/>
              </w:rPr>
              <w:t>3</w:t>
            </w:r>
          </w:p>
        </w:tc>
        <w:tc>
          <w:tcPr>
            <w:tcW w:w="611" w:type="pct"/>
            <w:vAlign w:val="center"/>
          </w:tcPr>
          <w:p w14:paraId="24651F1C" w14:textId="67531F19"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6D1AEF">
              <w:rPr>
                <w:rFonts w:ascii="Arial Narrow" w:hAnsi="Arial Narrow"/>
                <w:color w:val="000000" w:themeColor="text1"/>
                <w:sz w:val="20"/>
                <w:szCs w:val="20"/>
                <w:vertAlign w:val="superscript"/>
              </w:rPr>
              <w:t>3</w:t>
            </w:r>
          </w:p>
        </w:tc>
        <w:tc>
          <w:tcPr>
            <w:tcW w:w="611" w:type="pct"/>
            <w:vAlign w:val="center"/>
          </w:tcPr>
          <w:p w14:paraId="56672A5F" w14:textId="07CDC8D0" w:rsidR="009C12D5" w:rsidRPr="006D1AEF" w:rsidRDefault="009C12D5" w:rsidP="00954374">
            <w:pPr>
              <w:keepNext/>
              <w:keepLines/>
              <w:jc w:val="center"/>
              <w:rPr>
                <w:rFonts w:ascii="Arial Narrow" w:hAnsi="Arial Narrow"/>
                <w:sz w:val="20"/>
                <w:szCs w:val="20"/>
                <w:vertAlign w:val="superscript"/>
              </w:rPr>
            </w:pPr>
            <w:r w:rsidRPr="00D30537">
              <w:rPr>
                <w:rFonts w:ascii="Arial Narrow" w:hAnsi="Arial Narrow"/>
                <w:color w:val="000000" w:themeColor="text1"/>
                <w:sz w:val="20"/>
                <w:szCs w:val="20"/>
              </w:rPr>
              <w:t>$</w:t>
            </w:r>
            <w:r w:rsidR="00D863F0" w:rsidRPr="00D863F0">
              <w:rPr>
                <w:rFonts w:ascii="Arial Narrow" w:hAnsi="Arial Narrow"/>
                <w:color w:val="000000" w:themeColor="text1"/>
                <w:sz w:val="20"/>
                <w:szCs w:val="20"/>
                <w:highlight w:val="black"/>
              </w:rPr>
              <w:t>&amp;&amp;&amp;&amp;</w:t>
            </w:r>
            <w:r w:rsidR="006D1AEF">
              <w:rPr>
                <w:rFonts w:ascii="Arial Narrow" w:hAnsi="Arial Narrow"/>
                <w:color w:val="000000" w:themeColor="text1"/>
                <w:sz w:val="20"/>
                <w:szCs w:val="20"/>
                <w:vertAlign w:val="superscript"/>
              </w:rPr>
              <w:t>3</w:t>
            </w:r>
          </w:p>
        </w:tc>
      </w:tr>
    </w:tbl>
    <w:p w14:paraId="500388B2" w14:textId="77777777" w:rsidR="009C12D5" w:rsidRPr="00D30537" w:rsidRDefault="009C12D5" w:rsidP="00954374">
      <w:pPr>
        <w:pStyle w:val="TableFigureFooter"/>
        <w:keepNext/>
      </w:pPr>
      <w:r w:rsidRPr="00D30537">
        <w:t>Source: Table 167, p258 of the submission</w:t>
      </w:r>
    </w:p>
    <w:p w14:paraId="4BFAB370" w14:textId="77777777" w:rsidR="006C40AF" w:rsidRDefault="009C12D5" w:rsidP="006C40AF">
      <w:pPr>
        <w:pStyle w:val="TableFigureFooter"/>
        <w:keepNext/>
        <w:rPr>
          <w:i/>
          <w:szCs w:val="18"/>
        </w:rPr>
      </w:pPr>
      <w:r w:rsidRPr="00D30537">
        <w:t>Abbreviations: MBS = Medicare Benefits Schedule; PBS = Pharmaceutical Benefits Scheme; RPBS = Repatriation Pharmaceutical Benefits Scheme.</w:t>
      </w:r>
    </w:p>
    <w:p w14:paraId="4678585D" w14:textId="7082260D" w:rsidR="006C40AF" w:rsidRPr="006C40AF" w:rsidRDefault="006C40AF" w:rsidP="006C40AF">
      <w:pPr>
        <w:pStyle w:val="TableFigureFooter"/>
        <w:keepNext/>
        <w:rPr>
          <w:i/>
        </w:rPr>
      </w:pPr>
      <w:r w:rsidRPr="006C40AF">
        <w:rPr>
          <w:i/>
        </w:rPr>
        <w:t xml:space="preserve">The redacted values correspond to the following ranges: </w:t>
      </w:r>
    </w:p>
    <w:p w14:paraId="11E2B125" w14:textId="585843F1" w:rsidR="006C40AF" w:rsidRPr="006C40AF" w:rsidRDefault="006C40AF" w:rsidP="006C40AF">
      <w:pPr>
        <w:pStyle w:val="TableFigureFooter"/>
        <w:keepNext/>
        <w:rPr>
          <w:i/>
        </w:rPr>
      </w:pPr>
      <w:r w:rsidRPr="006C40AF">
        <w:rPr>
          <w:i/>
          <w:vertAlign w:val="superscript"/>
        </w:rPr>
        <w:t>1</w:t>
      </w:r>
      <w:r w:rsidRPr="006C40AF">
        <w:rPr>
          <w:i/>
        </w:rPr>
        <w:t xml:space="preserve"> </w:t>
      </w:r>
      <w:bookmarkStart w:id="90" w:name="_Hlk219199074"/>
      <w:r w:rsidR="00113D69" w:rsidRPr="00113D69">
        <w:rPr>
          <w:i/>
        </w:rPr>
        <w:t>500 to &lt; 5,000</w:t>
      </w:r>
      <w:bookmarkEnd w:id="90"/>
    </w:p>
    <w:p w14:paraId="40B28540" w14:textId="317F6E07" w:rsidR="006C40AF" w:rsidRPr="006C40AF" w:rsidRDefault="006C40AF" w:rsidP="006C40AF">
      <w:pPr>
        <w:pStyle w:val="TableFigureFooter"/>
        <w:keepNext/>
        <w:rPr>
          <w:i/>
        </w:rPr>
      </w:pPr>
      <w:r w:rsidRPr="006C40AF">
        <w:rPr>
          <w:i/>
          <w:vertAlign w:val="superscript"/>
        </w:rPr>
        <w:t>2</w:t>
      </w:r>
      <w:r w:rsidRPr="006C40AF">
        <w:rPr>
          <w:i/>
        </w:rPr>
        <w:t xml:space="preserve"> </w:t>
      </w:r>
      <w:r w:rsidR="00113D69">
        <w:rPr>
          <w:i/>
        </w:rPr>
        <w:t>&lt; 500</w:t>
      </w:r>
    </w:p>
    <w:p w14:paraId="1BAEB38E" w14:textId="618212DB" w:rsidR="006C40AF" w:rsidRPr="006C40AF" w:rsidRDefault="006C40AF" w:rsidP="006C40AF">
      <w:pPr>
        <w:pStyle w:val="TableFigureFooter"/>
        <w:keepNext/>
        <w:rPr>
          <w:i/>
        </w:rPr>
      </w:pPr>
      <w:r w:rsidRPr="006C40AF">
        <w:rPr>
          <w:i/>
          <w:vertAlign w:val="superscript"/>
        </w:rPr>
        <w:t>3</w:t>
      </w:r>
      <w:r w:rsidRPr="006C40AF">
        <w:rPr>
          <w:i/>
        </w:rPr>
        <w:t xml:space="preserve"> </w:t>
      </w:r>
      <w:r w:rsidR="006D1AEF" w:rsidRPr="006D1AEF">
        <w:rPr>
          <w:i/>
        </w:rPr>
        <w:t>$30 million to &lt; $40 million</w:t>
      </w:r>
    </w:p>
    <w:p w14:paraId="182B171F" w14:textId="7253A7DB" w:rsidR="006C40AF" w:rsidRPr="006C40AF" w:rsidRDefault="006C40AF" w:rsidP="006C40AF">
      <w:pPr>
        <w:pStyle w:val="TableFigureFooter"/>
        <w:keepNext/>
        <w:rPr>
          <w:i/>
        </w:rPr>
      </w:pPr>
      <w:r w:rsidRPr="006C40AF">
        <w:rPr>
          <w:i/>
          <w:vertAlign w:val="superscript"/>
        </w:rPr>
        <w:t>4</w:t>
      </w:r>
      <w:r w:rsidRPr="006C40AF">
        <w:rPr>
          <w:i/>
        </w:rPr>
        <w:t xml:space="preserve"> </w:t>
      </w:r>
      <w:r w:rsidR="001D6638" w:rsidRPr="001D6638">
        <w:rPr>
          <w:i/>
        </w:rPr>
        <w:t>$40 million to &lt; $50 million</w:t>
      </w:r>
    </w:p>
    <w:p w14:paraId="4822AD25" w14:textId="65A80487" w:rsidR="006C40AF" w:rsidRPr="006C40AF" w:rsidRDefault="006C40AF" w:rsidP="006C40AF">
      <w:pPr>
        <w:pStyle w:val="TableFigureFooter"/>
        <w:keepNext/>
        <w:rPr>
          <w:i/>
        </w:rPr>
      </w:pPr>
      <w:r w:rsidRPr="006C40AF">
        <w:rPr>
          <w:i/>
          <w:vertAlign w:val="superscript"/>
        </w:rPr>
        <w:t>5</w:t>
      </w:r>
      <w:r w:rsidRPr="006C40AF">
        <w:rPr>
          <w:i/>
        </w:rPr>
        <w:t xml:space="preserve"> </w:t>
      </w:r>
      <w:r w:rsidR="008D2797" w:rsidRPr="008D2797">
        <w:rPr>
          <w:i/>
        </w:rPr>
        <w:t>$50 million to &lt; $60 million</w:t>
      </w:r>
    </w:p>
    <w:p w14:paraId="755936B6" w14:textId="5A70444D" w:rsidR="006C40AF" w:rsidRPr="006C40AF" w:rsidRDefault="006C40AF" w:rsidP="006C40AF">
      <w:pPr>
        <w:pStyle w:val="TableFigureFooter"/>
        <w:keepNext/>
        <w:rPr>
          <w:i/>
        </w:rPr>
      </w:pPr>
      <w:r w:rsidRPr="006C40AF">
        <w:rPr>
          <w:i/>
          <w:vertAlign w:val="superscript"/>
        </w:rPr>
        <w:t>6</w:t>
      </w:r>
      <w:r w:rsidRPr="006C40AF">
        <w:rPr>
          <w:i/>
        </w:rPr>
        <w:t xml:space="preserve"> </w:t>
      </w:r>
      <w:bookmarkStart w:id="91" w:name="_Hlk219128338"/>
      <w:r w:rsidR="00312845" w:rsidRPr="00312845">
        <w:rPr>
          <w:i/>
        </w:rPr>
        <w:t>$60 million to &lt; $70 million</w:t>
      </w:r>
      <w:bookmarkEnd w:id="91"/>
    </w:p>
    <w:p w14:paraId="678AFE1A" w14:textId="77777777" w:rsidR="00F03E5A" w:rsidRDefault="0080146B" w:rsidP="00954374">
      <w:pPr>
        <w:pStyle w:val="TableFigureFooter"/>
        <w:keepNext/>
        <w:rPr>
          <w:i/>
          <w:iCs/>
        </w:rPr>
      </w:pPr>
      <w:r>
        <w:rPr>
          <w:i/>
          <w:iCs/>
          <w:vertAlign w:val="superscript"/>
        </w:rPr>
        <w:t>7</w:t>
      </w:r>
      <w:r>
        <w:rPr>
          <w:i/>
          <w:iCs/>
        </w:rPr>
        <w:t xml:space="preserve"> </w:t>
      </w:r>
      <w:bookmarkStart w:id="92" w:name="_Hlk219128375"/>
      <w:r w:rsidRPr="0080146B">
        <w:rPr>
          <w:i/>
          <w:iCs/>
        </w:rPr>
        <w:t>$70 million to &lt; $80 million</w:t>
      </w:r>
      <w:bookmarkEnd w:id="92"/>
    </w:p>
    <w:p w14:paraId="0AF9DE07" w14:textId="77777777" w:rsidR="005165D6" w:rsidRDefault="0080146B" w:rsidP="00F03E5A">
      <w:pPr>
        <w:pStyle w:val="TableFigureFooter"/>
        <w:keepNext/>
        <w:rPr>
          <w:i/>
          <w:iCs/>
        </w:rPr>
      </w:pPr>
      <w:r>
        <w:rPr>
          <w:i/>
          <w:iCs/>
          <w:vertAlign w:val="superscript"/>
        </w:rPr>
        <w:t>8</w:t>
      </w:r>
      <w:bookmarkStart w:id="93" w:name="_Hlk219128703"/>
      <w:bookmarkStart w:id="94" w:name="_Hlk219129213"/>
      <w:r w:rsidR="00F03E5A">
        <w:rPr>
          <w:i/>
          <w:iCs/>
          <w:vertAlign w:val="superscript"/>
        </w:rPr>
        <w:t xml:space="preserve"> </w:t>
      </w:r>
      <w:r w:rsidR="00F03E5A" w:rsidRPr="00F03E5A">
        <w:rPr>
          <w:i/>
          <w:iCs/>
        </w:rPr>
        <w:t>$10 million to &lt; $20 million</w:t>
      </w:r>
      <w:bookmarkEnd w:id="93"/>
    </w:p>
    <w:p w14:paraId="0FECFAAE" w14:textId="306A75AB" w:rsidR="001676AB" w:rsidRDefault="005165D6" w:rsidP="001676AB">
      <w:pPr>
        <w:pStyle w:val="TableFigureFooter"/>
        <w:keepNext/>
        <w:rPr>
          <w:i/>
          <w:iCs/>
        </w:rPr>
      </w:pPr>
      <w:r>
        <w:rPr>
          <w:i/>
          <w:iCs/>
          <w:vertAlign w:val="superscript"/>
        </w:rPr>
        <w:t>9</w:t>
      </w:r>
      <w:bookmarkStart w:id="95" w:name="_Hlk219128657"/>
      <w:r w:rsidR="001676AB">
        <w:rPr>
          <w:i/>
          <w:iCs/>
          <w:vertAlign w:val="superscript"/>
        </w:rPr>
        <w:t xml:space="preserve"> </w:t>
      </w:r>
      <w:r w:rsidR="001676AB" w:rsidRPr="001676AB">
        <w:rPr>
          <w:i/>
          <w:iCs/>
        </w:rPr>
        <w:t>$20 million to &lt; $30 million</w:t>
      </w:r>
    </w:p>
    <w:p w14:paraId="2F9C1B0B" w14:textId="761FBFB2" w:rsidR="001676AB" w:rsidRPr="001676AB" w:rsidRDefault="001676AB" w:rsidP="001676AB">
      <w:pPr>
        <w:pStyle w:val="TableFigureFooter"/>
        <w:keepNext/>
        <w:rPr>
          <w:i/>
          <w:iCs/>
        </w:rPr>
      </w:pPr>
      <w:r>
        <w:rPr>
          <w:i/>
          <w:iCs/>
          <w:vertAlign w:val="superscript"/>
        </w:rPr>
        <w:t>10</w:t>
      </w:r>
      <w:r>
        <w:rPr>
          <w:i/>
          <w:iCs/>
        </w:rPr>
        <w:t xml:space="preserve"> </w:t>
      </w:r>
      <w:bookmarkStart w:id="96" w:name="_Hlk219129026"/>
      <w:r w:rsidR="00B008FE" w:rsidRPr="00B008FE">
        <w:rPr>
          <w:i/>
          <w:iCs/>
        </w:rPr>
        <w:t>$0 to &lt; $10 million</w:t>
      </w:r>
      <w:bookmarkEnd w:id="96"/>
    </w:p>
    <w:bookmarkEnd w:id="95"/>
    <w:p w14:paraId="2E524996" w14:textId="12C646BF" w:rsidR="00F03E5A" w:rsidRPr="005165D6" w:rsidRDefault="00F03E5A" w:rsidP="00F03E5A">
      <w:pPr>
        <w:pStyle w:val="TableFigureFooter"/>
        <w:keepNext/>
        <w:rPr>
          <w:i/>
          <w:iCs/>
          <w:vertAlign w:val="superscript"/>
        </w:rPr>
      </w:pPr>
    </w:p>
    <w:bookmarkEnd w:id="94"/>
    <w:p w14:paraId="329FEB82" w14:textId="25DDC627" w:rsidR="009C12D5" w:rsidRPr="0080146B" w:rsidRDefault="009C12D5" w:rsidP="00954374">
      <w:pPr>
        <w:pStyle w:val="TableFigureFooter"/>
        <w:keepNext/>
        <w:rPr>
          <w:i/>
          <w:iCs/>
          <w:vertAlign w:val="superscript"/>
        </w:rPr>
      </w:pPr>
    </w:p>
    <w:p w14:paraId="3C1AA1B5" w14:textId="32A21C08" w:rsidR="009C12D5" w:rsidRPr="00D30537" w:rsidRDefault="009C12D5" w:rsidP="009C12D5">
      <w:pPr>
        <w:pStyle w:val="3-BodyText"/>
        <w:ind w:left="720"/>
        <w:rPr>
          <w:color w:val="000000" w:themeColor="text1"/>
        </w:rPr>
      </w:pPr>
      <w:r w:rsidRPr="00D30537">
        <w:rPr>
          <w:color w:val="000000" w:themeColor="text1"/>
        </w:rPr>
        <w:fldChar w:fldCharType="begin"/>
      </w:r>
      <w:r w:rsidRPr="00D30537">
        <w:rPr>
          <w:color w:val="000000" w:themeColor="text1"/>
        </w:rPr>
        <w:instrText xml:space="preserve"> REF _Ref206276787 \h  \* MERGEFORMAT </w:instrText>
      </w:r>
      <w:r w:rsidRPr="00D30537">
        <w:rPr>
          <w:color w:val="000000" w:themeColor="text1"/>
        </w:rPr>
      </w:r>
      <w:r w:rsidRPr="00D30537">
        <w:rPr>
          <w:color w:val="000000" w:themeColor="text1"/>
        </w:rPr>
        <w:fldChar w:fldCharType="separate"/>
      </w:r>
      <w:r w:rsidR="00652388" w:rsidRPr="00D30537">
        <w:t xml:space="preserve">Table </w:t>
      </w:r>
      <w:r w:rsidR="00652388">
        <w:t>17</w:t>
      </w:r>
      <w:r w:rsidRPr="00D30537">
        <w:rPr>
          <w:color w:val="000000" w:themeColor="text1"/>
        </w:rPr>
        <w:fldChar w:fldCharType="end"/>
      </w:r>
      <w:r w:rsidRPr="00D30537">
        <w:rPr>
          <w:color w:val="000000" w:themeColor="text1"/>
        </w:rPr>
        <w:t xml:space="preserve"> compares actual utilisation data for avelumab in MCC with the submission’s extracted historical PBS services and linear projected services.</w:t>
      </w:r>
    </w:p>
    <w:p w14:paraId="64BA8188" w14:textId="3795E2CA" w:rsidR="009C12D5" w:rsidRPr="00D30537" w:rsidRDefault="009C12D5" w:rsidP="009C12D5">
      <w:pPr>
        <w:pStyle w:val="TableFigureHeading"/>
      </w:pPr>
      <w:bookmarkStart w:id="97" w:name="_Ref206276787"/>
      <w:r w:rsidRPr="00D30537">
        <w:lastRenderedPageBreak/>
        <w:t xml:space="preserve">Table </w:t>
      </w:r>
      <w:fldSimple w:instr=" SEQ Table \* ARABIC ">
        <w:r w:rsidR="00652388">
          <w:rPr>
            <w:noProof/>
          </w:rPr>
          <w:t>17</w:t>
        </w:r>
      </w:fldSimple>
      <w:bookmarkEnd w:id="97"/>
      <w:r w:rsidRPr="00D30537">
        <w:t>: Merkel Cell Carcinoma avelumab utilisation estimates, 2019 - 2031</w:t>
      </w:r>
    </w:p>
    <w:tbl>
      <w:tblPr>
        <w:tblStyle w:val="TableGrid"/>
        <w:tblW w:w="0" w:type="auto"/>
        <w:tblLayout w:type="fixed"/>
        <w:tblLook w:val="04A0" w:firstRow="1" w:lastRow="0" w:firstColumn="1" w:lastColumn="0" w:noHBand="0" w:noVBand="1"/>
        <w:tblCaption w:val="Table 17: Merkel Cell Carcinoma avelumab utilisation estimates, 2019 - 2031"/>
      </w:tblPr>
      <w:tblGrid>
        <w:gridCol w:w="704"/>
        <w:gridCol w:w="992"/>
        <w:gridCol w:w="1134"/>
        <w:gridCol w:w="1276"/>
        <w:gridCol w:w="1418"/>
        <w:gridCol w:w="1701"/>
        <w:gridCol w:w="1792"/>
      </w:tblGrid>
      <w:tr w:rsidR="009C12D5" w:rsidRPr="00D30537" w14:paraId="09011CD2" w14:textId="77777777" w:rsidTr="003B58E4">
        <w:tc>
          <w:tcPr>
            <w:tcW w:w="704" w:type="dxa"/>
          </w:tcPr>
          <w:p w14:paraId="62082402" w14:textId="77777777" w:rsidR="009C12D5" w:rsidRPr="00D30537" w:rsidRDefault="009C12D5">
            <w:pPr>
              <w:keepNext/>
              <w:keepLines/>
              <w:jc w:val="center"/>
              <w:rPr>
                <w:rFonts w:ascii="Arial Narrow" w:hAnsi="Arial Narrow" w:cs="Calibri"/>
                <w:b/>
                <w:bCs/>
                <w:color w:val="000000" w:themeColor="text1"/>
                <w:sz w:val="20"/>
                <w:szCs w:val="20"/>
              </w:rPr>
            </w:pPr>
          </w:p>
        </w:tc>
        <w:tc>
          <w:tcPr>
            <w:tcW w:w="3402" w:type="dxa"/>
            <w:gridSpan w:val="3"/>
            <w:tcBorders>
              <w:bottom w:val="single" w:sz="4" w:space="0" w:color="auto"/>
            </w:tcBorders>
          </w:tcPr>
          <w:p w14:paraId="6D5A4641"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Actual utilisation</w:t>
            </w:r>
          </w:p>
        </w:tc>
        <w:tc>
          <w:tcPr>
            <w:tcW w:w="4911" w:type="dxa"/>
            <w:gridSpan w:val="3"/>
            <w:tcBorders>
              <w:bottom w:val="single" w:sz="4" w:space="0" w:color="auto"/>
            </w:tcBorders>
          </w:tcPr>
          <w:p w14:paraId="3B460A2C"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Submission estimates</w:t>
            </w:r>
          </w:p>
        </w:tc>
      </w:tr>
      <w:tr w:rsidR="009C12D5" w:rsidRPr="00D30537" w14:paraId="28098DA5" w14:textId="77777777" w:rsidTr="003B58E4">
        <w:tc>
          <w:tcPr>
            <w:tcW w:w="704" w:type="dxa"/>
            <w:vAlign w:val="center"/>
          </w:tcPr>
          <w:p w14:paraId="0ABB47CF"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Year</w:t>
            </w:r>
          </w:p>
        </w:tc>
        <w:tc>
          <w:tcPr>
            <w:tcW w:w="992" w:type="dxa"/>
            <w:tcBorders>
              <w:bottom w:val="single" w:sz="4" w:space="0" w:color="auto"/>
            </w:tcBorders>
            <w:vAlign w:val="center"/>
          </w:tcPr>
          <w:p w14:paraId="4DBE876C"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Prevalent patients</w:t>
            </w:r>
          </w:p>
        </w:tc>
        <w:tc>
          <w:tcPr>
            <w:tcW w:w="1134" w:type="dxa"/>
            <w:tcBorders>
              <w:bottom w:val="single" w:sz="4" w:space="0" w:color="auto"/>
            </w:tcBorders>
            <w:vAlign w:val="center"/>
          </w:tcPr>
          <w:p w14:paraId="215E0F0E"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Initiating patients</w:t>
            </w:r>
          </w:p>
        </w:tc>
        <w:tc>
          <w:tcPr>
            <w:tcW w:w="1276" w:type="dxa"/>
            <w:tcBorders>
              <w:bottom w:val="single" w:sz="4" w:space="0" w:color="auto"/>
            </w:tcBorders>
            <w:vAlign w:val="center"/>
          </w:tcPr>
          <w:p w14:paraId="3074573E"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Scripts</w:t>
            </w:r>
          </w:p>
        </w:tc>
        <w:tc>
          <w:tcPr>
            <w:tcW w:w="1418" w:type="dxa"/>
            <w:tcBorders>
              <w:bottom w:val="single" w:sz="4" w:space="0" w:color="auto"/>
            </w:tcBorders>
            <w:vAlign w:val="center"/>
          </w:tcPr>
          <w:p w14:paraId="7A43A01D"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Total projected avelumab scripts</w:t>
            </w:r>
          </w:p>
          <w:p w14:paraId="0F627A64" w14:textId="77777777" w:rsidR="009C12D5" w:rsidRPr="00D30537" w:rsidRDefault="009C12D5">
            <w:pPr>
              <w:keepNext/>
              <w:keepLines/>
              <w:jc w:val="center"/>
              <w:rPr>
                <w:rFonts w:ascii="Arial Narrow" w:hAnsi="Arial Narrow" w:cs="Calibri"/>
                <w:b/>
                <w:bCs/>
                <w:i/>
                <w:iCs/>
                <w:color w:val="000000" w:themeColor="text1"/>
                <w:sz w:val="20"/>
                <w:szCs w:val="20"/>
              </w:rPr>
            </w:pPr>
          </w:p>
        </w:tc>
        <w:tc>
          <w:tcPr>
            <w:tcW w:w="1701" w:type="dxa"/>
            <w:tcBorders>
              <w:bottom w:val="single" w:sz="4" w:space="0" w:color="auto"/>
            </w:tcBorders>
            <w:vAlign w:val="center"/>
          </w:tcPr>
          <w:p w14:paraId="4FFDF990" w14:textId="77777777" w:rsidR="009C12D5" w:rsidRPr="00D30537" w:rsidRDefault="009C12D5">
            <w:pPr>
              <w:keepNext/>
              <w:keepLines/>
              <w:jc w:val="center"/>
              <w:rPr>
                <w:rFonts w:ascii="Arial Narrow" w:hAnsi="Arial Narrow" w:cs="Calibri"/>
                <w:b/>
                <w:bCs/>
                <w:color w:val="000000" w:themeColor="text1"/>
                <w:sz w:val="20"/>
                <w:szCs w:val="20"/>
              </w:rPr>
            </w:pPr>
            <w:r w:rsidRPr="00D30537">
              <w:rPr>
                <w:rFonts w:ascii="Arial Narrow" w:hAnsi="Arial Narrow" w:cs="Calibri"/>
                <w:b/>
                <w:bCs/>
                <w:color w:val="000000" w:themeColor="text1"/>
                <w:sz w:val="20"/>
                <w:szCs w:val="20"/>
              </w:rPr>
              <w:t>Initiating projected avelumab scripts</w:t>
            </w:r>
          </w:p>
        </w:tc>
        <w:tc>
          <w:tcPr>
            <w:tcW w:w="1792" w:type="dxa"/>
            <w:tcBorders>
              <w:bottom w:val="single" w:sz="4" w:space="0" w:color="auto"/>
            </w:tcBorders>
            <w:vAlign w:val="center"/>
          </w:tcPr>
          <w:p w14:paraId="5D5BDBBB" w14:textId="77777777" w:rsidR="009C12D5" w:rsidRPr="00752258" w:rsidRDefault="009C12D5">
            <w:pPr>
              <w:keepNext/>
              <w:keepLines/>
              <w:jc w:val="center"/>
              <w:rPr>
                <w:rFonts w:ascii="Arial Narrow" w:hAnsi="Arial Narrow" w:cs="Calibri"/>
                <w:b/>
                <w:bCs/>
                <w:color w:val="000000" w:themeColor="text1"/>
                <w:sz w:val="20"/>
                <w:szCs w:val="20"/>
                <w:vertAlign w:val="superscript"/>
              </w:rPr>
            </w:pPr>
            <w:r w:rsidRPr="00752258">
              <w:rPr>
                <w:rFonts w:ascii="Arial Narrow" w:hAnsi="Arial Narrow" w:cs="Calibri"/>
                <w:b/>
                <w:bCs/>
                <w:color w:val="000000" w:themeColor="text1"/>
                <w:sz w:val="20"/>
                <w:szCs w:val="20"/>
              </w:rPr>
              <w:t xml:space="preserve">Back-calculated initiating avelumab patients </w:t>
            </w:r>
            <w:r w:rsidRPr="00752258">
              <w:rPr>
                <w:rFonts w:ascii="Arial Narrow" w:hAnsi="Arial Narrow" w:cs="Calibri"/>
                <w:b/>
                <w:bCs/>
                <w:color w:val="000000" w:themeColor="text1"/>
                <w:sz w:val="20"/>
                <w:szCs w:val="20"/>
                <w:vertAlign w:val="superscript"/>
              </w:rPr>
              <w:t>a</w:t>
            </w:r>
          </w:p>
        </w:tc>
      </w:tr>
      <w:tr w:rsidR="009C12D5" w:rsidRPr="00D30537" w14:paraId="43CB3386" w14:textId="77777777" w:rsidTr="003B58E4">
        <w:tc>
          <w:tcPr>
            <w:tcW w:w="704" w:type="dxa"/>
          </w:tcPr>
          <w:p w14:paraId="118BBE53"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2019</w:t>
            </w:r>
          </w:p>
        </w:tc>
        <w:tc>
          <w:tcPr>
            <w:tcW w:w="992" w:type="dxa"/>
            <w:tcBorders>
              <w:top w:val="single" w:sz="4" w:space="0" w:color="auto"/>
              <w:left w:val="nil"/>
              <w:bottom w:val="single" w:sz="4" w:space="0" w:color="auto"/>
              <w:right w:val="single" w:sz="4" w:space="0" w:color="auto"/>
            </w:tcBorders>
            <w:vAlign w:val="bottom"/>
          </w:tcPr>
          <w:p w14:paraId="39111F4A"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182</w:t>
            </w:r>
          </w:p>
        </w:tc>
        <w:tc>
          <w:tcPr>
            <w:tcW w:w="1134" w:type="dxa"/>
            <w:tcBorders>
              <w:top w:val="single" w:sz="4" w:space="0" w:color="auto"/>
              <w:left w:val="single" w:sz="4" w:space="0" w:color="auto"/>
              <w:bottom w:val="single" w:sz="4" w:space="0" w:color="auto"/>
              <w:right w:val="single" w:sz="4" w:space="0" w:color="auto"/>
            </w:tcBorders>
            <w:vAlign w:val="bottom"/>
          </w:tcPr>
          <w:p w14:paraId="60EA2901"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182</w:t>
            </w:r>
          </w:p>
        </w:tc>
        <w:tc>
          <w:tcPr>
            <w:tcW w:w="1276" w:type="dxa"/>
            <w:tcBorders>
              <w:top w:val="single" w:sz="4" w:space="0" w:color="auto"/>
              <w:left w:val="single" w:sz="4" w:space="0" w:color="auto"/>
              <w:bottom w:val="single" w:sz="4" w:space="0" w:color="auto"/>
              <w:right w:val="single" w:sz="4" w:space="0" w:color="auto"/>
            </w:tcBorders>
            <w:vAlign w:val="bottom"/>
          </w:tcPr>
          <w:p w14:paraId="12340460"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1,856</w:t>
            </w:r>
          </w:p>
        </w:tc>
        <w:tc>
          <w:tcPr>
            <w:tcW w:w="1418" w:type="dxa"/>
            <w:tcBorders>
              <w:top w:val="single" w:sz="4" w:space="0" w:color="auto"/>
              <w:left w:val="single" w:sz="4" w:space="0" w:color="auto"/>
              <w:bottom w:val="single" w:sz="4" w:space="0" w:color="auto"/>
              <w:right w:val="single" w:sz="4" w:space="0" w:color="auto"/>
            </w:tcBorders>
          </w:tcPr>
          <w:p w14:paraId="709897C3"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1,618</w:t>
            </w:r>
          </w:p>
        </w:tc>
        <w:tc>
          <w:tcPr>
            <w:tcW w:w="1701" w:type="dxa"/>
            <w:tcBorders>
              <w:top w:val="single" w:sz="4" w:space="0" w:color="auto"/>
              <w:left w:val="single" w:sz="4" w:space="0" w:color="auto"/>
              <w:bottom w:val="single" w:sz="4" w:space="0" w:color="auto"/>
              <w:right w:val="single" w:sz="4" w:space="0" w:color="auto"/>
            </w:tcBorders>
          </w:tcPr>
          <w:p w14:paraId="2902F93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1,127</w:t>
            </w:r>
          </w:p>
        </w:tc>
        <w:tc>
          <w:tcPr>
            <w:tcW w:w="1792" w:type="dxa"/>
            <w:tcBorders>
              <w:top w:val="single" w:sz="4" w:space="0" w:color="auto"/>
              <w:left w:val="nil"/>
              <w:bottom w:val="single" w:sz="4" w:space="0" w:color="auto"/>
              <w:right w:val="single" w:sz="4" w:space="0" w:color="auto"/>
            </w:tcBorders>
            <w:vAlign w:val="center"/>
          </w:tcPr>
          <w:p w14:paraId="721FAA0A"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125</w:t>
            </w:r>
          </w:p>
        </w:tc>
      </w:tr>
      <w:tr w:rsidR="009C12D5" w:rsidRPr="00D30537" w14:paraId="3088085E" w14:textId="77777777" w:rsidTr="003B58E4">
        <w:tc>
          <w:tcPr>
            <w:tcW w:w="704" w:type="dxa"/>
          </w:tcPr>
          <w:p w14:paraId="6584791D"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2020</w:t>
            </w:r>
          </w:p>
        </w:tc>
        <w:tc>
          <w:tcPr>
            <w:tcW w:w="992" w:type="dxa"/>
            <w:tcBorders>
              <w:top w:val="single" w:sz="4" w:space="0" w:color="auto"/>
              <w:left w:val="nil"/>
              <w:bottom w:val="single" w:sz="4" w:space="0" w:color="auto"/>
              <w:right w:val="single" w:sz="4" w:space="0" w:color="auto"/>
            </w:tcBorders>
            <w:vAlign w:val="bottom"/>
          </w:tcPr>
          <w:p w14:paraId="26273AC8"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235</w:t>
            </w:r>
          </w:p>
        </w:tc>
        <w:tc>
          <w:tcPr>
            <w:tcW w:w="1134" w:type="dxa"/>
            <w:tcBorders>
              <w:top w:val="single" w:sz="4" w:space="0" w:color="auto"/>
              <w:left w:val="single" w:sz="4" w:space="0" w:color="auto"/>
              <w:bottom w:val="single" w:sz="4" w:space="0" w:color="auto"/>
              <w:right w:val="single" w:sz="4" w:space="0" w:color="auto"/>
            </w:tcBorders>
            <w:vAlign w:val="bottom"/>
          </w:tcPr>
          <w:p w14:paraId="4A06DE0D"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113</w:t>
            </w:r>
          </w:p>
        </w:tc>
        <w:tc>
          <w:tcPr>
            <w:tcW w:w="1276" w:type="dxa"/>
            <w:tcBorders>
              <w:top w:val="single" w:sz="4" w:space="0" w:color="auto"/>
              <w:left w:val="single" w:sz="4" w:space="0" w:color="auto"/>
              <w:bottom w:val="single" w:sz="4" w:space="0" w:color="auto"/>
              <w:right w:val="single" w:sz="4" w:space="0" w:color="auto"/>
            </w:tcBorders>
            <w:vAlign w:val="bottom"/>
          </w:tcPr>
          <w:p w14:paraId="048178EF"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3,082</w:t>
            </w:r>
          </w:p>
        </w:tc>
        <w:tc>
          <w:tcPr>
            <w:tcW w:w="1418" w:type="dxa"/>
            <w:tcBorders>
              <w:top w:val="single" w:sz="4" w:space="0" w:color="auto"/>
              <w:left w:val="single" w:sz="4" w:space="0" w:color="auto"/>
              <w:bottom w:val="single" w:sz="4" w:space="0" w:color="auto"/>
              <w:right w:val="single" w:sz="4" w:space="0" w:color="auto"/>
            </w:tcBorders>
          </w:tcPr>
          <w:p w14:paraId="760924FD"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3,055</w:t>
            </w:r>
          </w:p>
        </w:tc>
        <w:tc>
          <w:tcPr>
            <w:tcW w:w="1701" w:type="dxa"/>
            <w:tcBorders>
              <w:top w:val="single" w:sz="4" w:space="0" w:color="auto"/>
              <w:left w:val="single" w:sz="4" w:space="0" w:color="auto"/>
              <w:bottom w:val="single" w:sz="4" w:space="0" w:color="auto"/>
              <w:right w:val="single" w:sz="4" w:space="0" w:color="auto"/>
            </w:tcBorders>
          </w:tcPr>
          <w:p w14:paraId="57DCF8A4"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1,135</w:t>
            </w:r>
          </w:p>
        </w:tc>
        <w:tc>
          <w:tcPr>
            <w:tcW w:w="1792" w:type="dxa"/>
            <w:tcBorders>
              <w:top w:val="single" w:sz="4" w:space="0" w:color="auto"/>
              <w:left w:val="nil"/>
              <w:bottom w:val="single" w:sz="4" w:space="0" w:color="auto"/>
              <w:right w:val="single" w:sz="4" w:space="0" w:color="auto"/>
            </w:tcBorders>
            <w:vAlign w:val="center"/>
          </w:tcPr>
          <w:p w14:paraId="533B99CC"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126</w:t>
            </w:r>
          </w:p>
        </w:tc>
      </w:tr>
      <w:tr w:rsidR="009C12D5" w:rsidRPr="00D30537" w14:paraId="6BB56ACE" w14:textId="77777777" w:rsidTr="003B58E4">
        <w:tc>
          <w:tcPr>
            <w:tcW w:w="704" w:type="dxa"/>
          </w:tcPr>
          <w:p w14:paraId="6DB5CF25"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2021</w:t>
            </w:r>
          </w:p>
        </w:tc>
        <w:tc>
          <w:tcPr>
            <w:tcW w:w="992" w:type="dxa"/>
            <w:tcBorders>
              <w:top w:val="single" w:sz="4" w:space="0" w:color="auto"/>
              <w:left w:val="nil"/>
              <w:bottom w:val="single" w:sz="4" w:space="0" w:color="auto"/>
              <w:right w:val="single" w:sz="4" w:space="0" w:color="auto"/>
            </w:tcBorders>
            <w:vAlign w:val="bottom"/>
          </w:tcPr>
          <w:p w14:paraId="72D8A5D7"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268</w:t>
            </w:r>
          </w:p>
        </w:tc>
        <w:tc>
          <w:tcPr>
            <w:tcW w:w="1134" w:type="dxa"/>
            <w:tcBorders>
              <w:top w:val="single" w:sz="4" w:space="0" w:color="auto"/>
              <w:left w:val="single" w:sz="4" w:space="0" w:color="auto"/>
              <w:bottom w:val="single" w:sz="4" w:space="0" w:color="auto"/>
              <w:right w:val="single" w:sz="4" w:space="0" w:color="auto"/>
            </w:tcBorders>
            <w:vAlign w:val="bottom"/>
          </w:tcPr>
          <w:p w14:paraId="7C5F1C6B"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136</w:t>
            </w:r>
          </w:p>
        </w:tc>
        <w:tc>
          <w:tcPr>
            <w:tcW w:w="1276" w:type="dxa"/>
            <w:tcBorders>
              <w:top w:val="single" w:sz="4" w:space="0" w:color="auto"/>
              <w:left w:val="single" w:sz="4" w:space="0" w:color="auto"/>
              <w:bottom w:val="single" w:sz="4" w:space="0" w:color="auto"/>
              <w:right w:val="single" w:sz="4" w:space="0" w:color="auto"/>
            </w:tcBorders>
            <w:vAlign w:val="bottom"/>
          </w:tcPr>
          <w:p w14:paraId="67D223B0"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3,631</w:t>
            </w:r>
          </w:p>
        </w:tc>
        <w:tc>
          <w:tcPr>
            <w:tcW w:w="1418" w:type="dxa"/>
            <w:tcBorders>
              <w:top w:val="single" w:sz="4" w:space="0" w:color="auto"/>
              <w:left w:val="single" w:sz="4" w:space="0" w:color="auto"/>
              <w:bottom w:val="single" w:sz="4" w:space="0" w:color="auto"/>
              <w:right w:val="single" w:sz="4" w:space="0" w:color="auto"/>
            </w:tcBorders>
          </w:tcPr>
          <w:p w14:paraId="03B009A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3,649</w:t>
            </w:r>
          </w:p>
        </w:tc>
        <w:tc>
          <w:tcPr>
            <w:tcW w:w="1701" w:type="dxa"/>
            <w:tcBorders>
              <w:top w:val="single" w:sz="4" w:space="0" w:color="auto"/>
              <w:left w:val="single" w:sz="4" w:space="0" w:color="auto"/>
              <w:bottom w:val="single" w:sz="4" w:space="0" w:color="auto"/>
              <w:right w:val="single" w:sz="4" w:space="0" w:color="auto"/>
            </w:tcBorders>
          </w:tcPr>
          <w:p w14:paraId="136F290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1,242</w:t>
            </w:r>
          </w:p>
        </w:tc>
        <w:tc>
          <w:tcPr>
            <w:tcW w:w="1792" w:type="dxa"/>
            <w:tcBorders>
              <w:top w:val="single" w:sz="4" w:space="0" w:color="auto"/>
              <w:left w:val="nil"/>
              <w:bottom w:val="single" w:sz="4" w:space="0" w:color="auto"/>
              <w:right w:val="single" w:sz="4" w:space="0" w:color="auto"/>
            </w:tcBorders>
            <w:vAlign w:val="center"/>
          </w:tcPr>
          <w:p w14:paraId="2A85D7D2"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138</w:t>
            </w:r>
          </w:p>
        </w:tc>
      </w:tr>
      <w:tr w:rsidR="009C12D5" w:rsidRPr="00D30537" w14:paraId="36862A9A" w14:textId="77777777" w:rsidTr="003B58E4">
        <w:tc>
          <w:tcPr>
            <w:tcW w:w="704" w:type="dxa"/>
          </w:tcPr>
          <w:p w14:paraId="29CF40AC"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2022</w:t>
            </w:r>
          </w:p>
        </w:tc>
        <w:tc>
          <w:tcPr>
            <w:tcW w:w="992" w:type="dxa"/>
            <w:tcBorders>
              <w:top w:val="single" w:sz="4" w:space="0" w:color="auto"/>
              <w:left w:val="nil"/>
              <w:bottom w:val="single" w:sz="4" w:space="0" w:color="auto"/>
              <w:right w:val="single" w:sz="4" w:space="0" w:color="auto"/>
            </w:tcBorders>
            <w:vAlign w:val="bottom"/>
          </w:tcPr>
          <w:p w14:paraId="0EF0C640"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321</w:t>
            </w:r>
          </w:p>
        </w:tc>
        <w:tc>
          <w:tcPr>
            <w:tcW w:w="1134" w:type="dxa"/>
            <w:tcBorders>
              <w:top w:val="single" w:sz="4" w:space="0" w:color="auto"/>
              <w:left w:val="single" w:sz="4" w:space="0" w:color="auto"/>
              <w:bottom w:val="single" w:sz="4" w:space="0" w:color="auto"/>
              <w:right w:val="single" w:sz="4" w:space="0" w:color="auto"/>
            </w:tcBorders>
            <w:vAlign w:val="bottom"/>
          </w:tcPr>
          <w:p w14:paraId="45F24ED4"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147</w:t>
            </w:r>
          </w:p>
        </w:tc>
        <w:tc>
          <w:tcPr>
            <w:tcW w:w="1276" w:type="dxa"/>
            <w:tcBorders>
              <w:top w:val="single" w:sz="4" w:space="0" w:color="auto"/>
              <w:left w:val="single" w:sz="4" w:space="0" w:color="auto"/>
              <w:bottom w:val="single" w:sz="4" w:space="0" w:color="auto"/>
              <w:right w:val="single" w:sz="4" w:space="0" w:color="auto"/>
            </w:tcBorders>
            <w:vAlign w:val="bottom"/>
          </w:tcPr>
          <w:p w14:paraId="7BC70316"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4,402</w:t>
            </w:r>
          </w:p>
        </w:tc>
        <w:tc>
          <w:tcPr>
            <w:tcW w:w="1418" w:type="dxa"/>
            <w:tcBorders>
              <w:top w:val="single" w:sz="4" w:space="0" w:color="auto"/>
              <w:left w:val="single" w:sz="4" w:space="0" w:color="auto"/>
              <w:bottom w:val="single" w:sz="4" w:space="0" w:color="auto"/>
              <w:right w:val="single" w:sz="4" w:space="0" w:color="auto"/>
            </w:tcBorders>
          </w:tcPr>
          <w:p w14:paraId="1CCE6EA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4,426</w:t>
            </w:r>
          </w:p>
        </w:tc>
        <w:tc>
          <w:tcPr>
            <w:tcW w:w="1701" w:type="dxa"/>
            <w:tcBorders>
              <w:top w:val="single" w:sz="4" w:space="0" w:color="auto"/>
              <w:left w:val="single" w:sz="4" w:space="0" w:color="auto"/>
              <w:bottom w:val="single" w:sz="4" w:space="0" w:color="auto"/>
              <w:right w:val="single" w:sz="4" w:space="0" w:color="auto"/>
            </w:tcBorders>
          </w:tcPr>
          <w:p w14:paraId="3678130D"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1,345</w:t>
            </w:r>
          </w:p>
        </w:tc>
        <w:tc>
          <w:tcPr>
            <w:tcW w:w="1792" w:type="dxa"/>
            <w:tcBorders>
              <w:top w:val="single" w:sz="4" w:space="0" w:color="auto"/>
              <w:left w:val="nil"/>
              <w:bottom w:val="single" w:sz="4" w:space="0" w:color="auto"/>
              <w:right w:val="single" w:sz="4" w:space="0" w:color="auto"/>
            </w:tcBorders>
            <w:vAlign w:val="center"/>
          </w:tcPr>
          <w:p w14:paraId="377FA267"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149</w:t>
            </w:r>
          </w:p>
        </w:tc>
      </w:tr>
      <w:tr w:rsidR="009C12D5" w:rsidRPr="00D30537" w14:paraId="06EA47DC" w14:textId="77777777" w:rsidTr="003B58E4">
        <w:tc>
          <w:tcPr>
            <w:tcW w:w="704" w:type="dxa"/>
          </w:tcPr>
          <w:p w14:paraId="541D1FF9"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2023</w:t>
            </w:r>
          </w:p>
        </w:tc>
        <w:tc>
          <w:tcPr>
            <w:tcW w:w="992" w:type="dxa"/>
            <w:tcBorders>
              <w:top w:val="single" w:sz="4" w:space="0" w:color="auto"/>
              <w:left w:val="nil"/>
              <w:bottom w:val="single" w:sz="4" w:space="0" w:color="auto"/>
              <w:right w:val="single" w:sz="4" w:space="0" w:color="auto"/>
            </w:tcBorders>
            <w:vAlign w:val="bottom"/>
          </w:tcPr>
          <w:p w14:paraId="7C607EFA"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344</w:t>
            </w:r>
          </w:p>
        </w:tc>
        <w:tc>
          <w:tcPr>
            <w:tcW w:w="1134" w:type="dxa"/>
            <w:tcBorders>
              <w:top w:val="single" w:sz="4" w:space="0" w:color="auto"/>
              <w:left w:val="single" w:sz="4" w:space="0" w:color="auto"/>
              <w:bottom w:val="single" w:sz="4" w:space="0" w:color="auto"/>
              <w:right w:val="single" w:sz="4" w:space="0" w:color="auto"/>
            </w:tcBorders>
            <w:vAlign w:val="bottom"/>
          </w:tcPr>
          <w:p w14:paraId="1CF42FC3"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147</w:t>
            </w:r>
          </w:p>
        </w:tc>
        <w:tc>
          <w:tcPr>
            <w:tcW w:w="1276" w:type="dxa"/>
            <w:tcBorders>
              <w:top w:val="single" w:sz="4" w:space="0" w:color="auto"/>
              <w:left w:val="single" w:sz="4" w:space="0" w:color="auto"/>
              <w:bottom w:val="single" w:sz="4" w:space="0" w:color="auto"/>
              <w:right w:val="single" w:sz="4" w:space="0" w:color="auto"/>
            </w:tcBorders>
            <w:vAlign w:val="bottom"/>
          </w:tcPr>
          <w:p w14:paraId="5ED917E4"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4,405</w:t>
            </w:r>
          </w:p>
        </w:tc>
        <w:tc>
          <w:tcPr>
            <w:tcW w:w="1418" w:type="dxa"/>
            <w:tcBorders>
              <w:top w:val="single" w:sz="4" w:space="0" w:color="auto"/>
              <w:left w:val="single" w:sz="4" w:space="0" w:color="auto"/>
              <w:bottom w:val="single" w:sz="4" w:space="0" w:color="auto"/>
              <w:right w:val="single" w:sz="4" w:space="0" w:color="auto"/>
            </w:tcBorders>
          </w:tcPr>
          <w:p w14:paraId="49766DAE"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4,329</w:t>
            </w:r>
          </w:p>
        </w:tc>
        <w:tc>
          <w:tcPr>
            <w:tcW w:w="1701" w:type="dxa"/>
            <w:tcBorders>
              <w:top w:val="single" w:sz="4" w:space="0" w:color="auto"/>
              <w:left w:val="single" w:sz="4" w:space="0" w:color="auto"/>
              <w:bottom w:val="single" w:sz="4" w:space="0" w:color="auto"/>
              <w:right w:val="single" w:sz="4" w:space="0" w:color="auto"/>
            </w:tcBorders>
          </w:tcPr>
          <w:p w14:paraId="5F5A7C9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1,199</w:t>
            </w:r>
          </w:p>
        </w:tc>
        <w:tc>
          <w:tcPr>
            <w:tcW w:w="1792" w:type="dxa"/>
            <w:tcBorders>
              <w:top w:val="single" w:sz="4" w:space="0" w:color="auto"/>
              <w:left w:val="nil"/>
              <w:bottom w:val="single" w:sz="4" w:space="0" w:color="auto"/>
              <w:right w:val="single" w:sz="4" w:space="0" w:color="auto"/>
            </w:tcBorders>
            <w:vAlign w:val="center"/>
          </w:tcPr>
          <w:p w14:paraId="2D6B42B1"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133</w:t>
            </w:r>
          </w:p>
        </w:tc>
      </w:tr>
      <w:tr w:rsidR="009C12D5" w:rsidRPr="00D30537" w14:paraId="5A01A253" w14:textId="77777777" w:rsidTr="003B58E4">
        <w:tc>
          <w:tcPr>
            <w:tcW w:w="704" w:type="dxa"/>
          </w:tcPr>
          <w:p w14:paraId="64D3884E"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2024</w:t>
            </w:r>
          </w:p>
        </w:tc>
        <w:tc>
          <w:tcPr>
            <w:tcW w:w="992" w:type="dxa"/>
            <w:tcBorders>
              <w:top w:val="single" w:sz="4" w:space="0" w:color="auto"/>
              <w:left w:val="nil"/>
              <w:bottom w:val="single" w:sz="4" w:space="0" w:color="auto"/>
              <w:right w:val="single" w:sz="4" w:space="0" w:color="auto"/>
            </w:tcBorders>
            <w:vAlign w:val="bottom"/>
          </w:tcPr>
          <w:p w14:paraId="2220F9D2"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347</w:t>
            </w:r>
          </w:p>
        </w:tc>
        <w:tc>
          <w:tcPr>
            <w:tcW w:w="1134" w:type="dxa"/>
            <w:tcBorders>
              <w:top w:val="single" w:sz="4" w:space="0" w:color="auto"/>
              <w:left w:val="single" w:sz="4" w:space="0" w:color="auto"/>
              <w:bottom w:val="single" w:sz="4" w:space="0" w:color="auto"/>
              <w:right w:val="single" w:sz="4" w:space="0" w:color="auto"/>
            </w:tcBorders>
            <w:vAlign w:val="bottom"/>
          </w:tcPr>
          <w:p w14:paraId="661CACD4"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155</w:t>
            </w:r>
          </w:p>
        </w:tc>
        <w:tc>
          <w:tcPr>
            <w:tcW w:w="1276" w:type="dxa"/>
            <w:tcBorders>
              <w:top w:val="single" w:sz="4" w:space="0" w:color="auto"/>
              <w:left w:val="single" w:sz="4" w:space="0" w:color="auto"/>
              <w:bottom w:val="single" w:sz="4" w:space="0" w:color="auto"/>
              <w:right w:val="single" w:sz="4" w:space="0" w:color="auto"/>
            </w:tcBorders>
            <w:vAlign w:val="bottom"/>
          </w:tcPr>
          <w:p w14:paraId="751F1C0D"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4,853</w:t>
            </w:r>
          </w:p>
        </w:tc>
        <w:tc>
          <w:tcPr>
            <w:tcW w:w="1418" w:type="dxa"/>
            <w:tcBorders>
              <w:top w:val="single" w:sz="4" w:space="0" w:color="auto"/>
              <w:left w:val="single" w:sz="4" w:space="0" w:color="auto"/>
              <w:bottom w:val="single" w:sz="4" w:space="0" w:color="auto"/>
              <w:right w:val="single" w:sz="4" w:space="0" w:color="auto"/>
            </w:tcBorders>
          </w:tcPr>
          <w:p w14:paraId="4584132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4,880</w:t>
            </w:r>
          </w:p>
        </w:tc>
        <w:tc>
          <w:tcPr>
            <w:tcW w:w="1701" w:type="dxa"/>
            <w:tcBorders>
              <w:top w:val="single" w:sz="4" w:space="0" w:color="auto"/>
              <w:left w:val="single" w:sz="4" w:space="0" w:color="auto"/>
              <w:bottom w:val="single" w:sz="4" w:space="0" w:color="auto"/>
              <w:right w:val="single" w:sz="4" w:space="0" w:color="auto"/>
            </w:tcBorders>
          </w:tcPr>
          <w:p w14:paraId="76DFF03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1,561</w:t>
            </w:r>
          </w:p>
        </w:tc>
        <w:tc>
          <w:tcPr>
            <w:tcW w:w="1792" w:type="dxa"/>
            <w:tcBorders>
              <w:top w:val="single" w:sz="4" w:space="0" w:color="auto"/>
              <w:left w:val="nil"/>
              <w:bottom w:val="single" w:sz="4" w:space="0" w:color="auto"/>
              <w:right w:val="single" w:sz="4" w:space="0" w:color="auto"/>
            </w:tcBorders>
            <w:vAlign w:val="center"/>
          </w:tcPr>
          <w:p w14:paraId="080F9CDE"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173</w:t>
            </w:r>
          </w:p>
        </w:tc>
      </w:tr>
      <w:tr w:rsidR="009C12D5" w:rsidRPr="00D30537" w14:paraId="11F87168" w14:textId="77777777" w:rsidTr="003B58E4">
        <w:tc>
          <w:tcPr>
            <w:tcW w:w="704" w:type="dxa"/>
          </w:tcPr>
          <w:p w14:paraId="0BBD3467" w14:textId="2A7321BC" w:rsidR="009C12D5" w:rsidRPr="003B58E4" w:rsidRDefault="009C12D5">
            <w:pPr>
              <w:keepNext/>
              <w:keepLines/>
              <w:jc w:val="center"/>
              <w:rPr>
                <w:rFonts w:ascii="Arial Narrow" w:hAnsi="Arial Narrow" w:cs="Calibri"/>
                <w:color w:val="000000" w:themeColor="text1"/>
                <w:sz w:val="20"/>
                <w:szCs w:val="20"/>
                <w:vertAlign w:val="superscript"/>
              </w:rPr>
            </w:pPr>
            <w:r w:rsidRPr="00D30537">
              <w:rPr>
                <w:rFonts w:ascii="Arial Narrow" w:hAnsi="Arial Narrow" w:cs="Calibri"/>
                <w:color w:val="000000" w:themeColor="text1"/>
                <w:sz w:val="20"/>
                <w:szCs w:val="20"/>
              </w:rPr>
              <w:t>2025</w:t>
            </w:r>
            <w:r w:rsidR="003B58E4">
              <w:rPr>
                <w:rFonts w:ascii="Arial Narrow" w:hAnsi="Arial Narrow" w:cs="Calibri"/>
                <w:color w:val="000000" w:themeColor="text1"/>
                <w:sz w:val="20"/>
                <w:szCs w:val="20"/>
                <w:vertAlign w:val="superscript"/>
              </w:rPr>
              <w:t>b</w:t>
            </w:r>
          </w:p>
        </w:tc>
        <w:tc>
          <w:tcPr>
            <w:tcW w:w="992" w:type="dxa"/>
            <w:tcBorders>
              <w:top w:val="single" w:sz="4" w:space="0" w:color="auto"/>
              <w:left w:val="nil"/>
              <w:bottom w:val="single" w:sz="4" w:space="0" w:color="auto"/>
              <w:right w:val="single" w:sz="4" w:space="0" w:color="auto"/>
            </w:tcBorders>
            <w:vAlign w:val="bottom"/>
          </w:tcPr>
          <w:p w14:paraId="74901C9F"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298</w:t>
            </w:r>
            <w:r w:rsidRPr="00D30537">
              <w:rPr>
                <w:rFonts w:ascii="Arial Narrow" w:hAnsi="Arial Narrow"/>
                <w:color w:val="000000"/>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vAlign w:val="bottom"/>
          </w:tcPr>
          <w:p w14:paraId="57A6EB5C"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89</w:t>
            </w:r>
          </w:p>
        </w:tc>
        <w:tc>
          <w:tcPr>
            <w:tcW w:w="1276" w:type="dxa"/>
            <w:tcBorders>
              <w:top w:val="single" w:sz="4" w:space="0" w:color="auto"/>
              <w:left w:val="single" w:sz="4" w:space="0" w:color="auto"/>
              <w:bottom w:val="single" w:sz="4" w:space="0" w:color="auto"/>
              <w:right w:val="single" w:sz="4" w:space="0" w:color="auto"/>
            </w:tcBorders>
            <w:vAlign w:val="bottom"/>
          </w:tcPr>
          <w:p w14:paraId="399FFBF8"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olor w:val="000000"/>
                <w:sz w:val="20"/>
                <w:szCs w:val="20"/>
              </w:rPr>
              <w:t>2,802</w:t>
            </w:r>
          </w:p>
        </w:tc>
        <w:tc>
          <w:tcPr>
            <w:tcW w:w="1418" w:type="dxa"/>
            <w:tcBorders>
              <w:top w:val="single" w:sz="4" w:space="0" w:color="auto"/>
              <w:left w:val="single" w:sz="4" w:space="0" w:color="auto"/>
              <w:bottom w:val="single" w:sz="4" w:space="0" w:color="auto"/>
              <w:right w:val="single" w:sz="4" w:space="0" w:color="auto"/>
            </w:tcBorders>
          </w:tcPr>
          <w:p w14:paraId="499220E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5,313</w:t>
            </w:r>
          </w:p>
        </w:tc>
        <w:tc>
          <w:tcPr>
            <w:tcW w:w="1701" w:type="dxa"/>
            <w:tcBorders>
              <w:top w:val="single" w:sz="4" w:space="0" w:color="auto"/>
              <w:left w:val="single" w:sz="4" w:space="0" w:color="auto"/>
              <w:bottom w:val="single" w:sz="4" w:space="0" w:color="auto"/>
              <w:right w:val="single" w:sz="4" w:space="0" w:color="auto"/>
            </w:tcBorders>
          </w:tcPr>
          <w:p w14:paraId="06040BA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1,642</w:t>
            </w:r>
          </w:p>
        </w:tc>
        <w:tc>
          <w:tcPr>
            <w:tcW w:w="1792" w:type="dxa"/>
            <w:tcBorders>
              <w:top w:val="single" w:sz="4" w:space="0" w:color="auto"/>
              <w:left w:val="nil"/>
              <w:bottom w:val="single" w:sz="4" w:space="0" w:color="auto"/>
              <w:right w:val="single" w:sz="4" w:space="0" w:color="auto"/>
            </w:tcBorders>
            <w:vAlign w:val="center"/>
          </w:tcPr>
          <w:p w14:paraId="64404DE0"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182</w:t>
            </w:r>
          </w:p>
        </w:tc>
      </w:tr>
      <w:tr w:rsidR="009C12D5" w:rsidRPr="00D30537" w14:paraId="09504D16" w14:textId="77777777" w:rsidTr="003B58E4">
        <w:tc>
          <w:tcPr>
            <w:tcW w:w="704" w:type="dxa"/>
          </w:tcPr>
          <w:p w14:paraId="03234CE5"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2026</w:t>
            </w:r>
          </w:p>
        </w:tc>
        <w:tc>
          <w:tcPr>
            <w:tcW w:w="992" w:type="dxa"/>
            <w:tcBorders>
              <w:top w:val="single" w:sz="4" w:space="0" w:color="auto"/>
              <w:left w:val="nil"/>
              <w:bottom w:val="single" w:sz="4" w:space="0" w:color="auto"/>
              <w:right w:val="single" w:sz="4" w:space="0" w:color="auto"/>
            </w:tcBorders>
            <w:vAlign w:val="bottom"/>
          </w:tcPr>
          <w:p w14:paraId="7C49A3D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301E4C5D"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156468A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80E77A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5,746</w:t>
            </w:r>
          </w:p>
        </w:tc>
        <w:tc>
          <w:tcPr>
            <w:tcW w:w="1701" w:type="dxa"/>
            <w:tcBorders>
              <w:top w:val="single" w:sz="4" w:space="0" w:color="auto"/>
              <w:left w:val="single" w:sz="4" w:space="0" w:color="auto"/>
              <w:bottom w:val="single" w:sz="4" w:space="0" w:color="auto"/>
              <w:right w:val="single" w:sz="4" w:space="0" w:color="auto"/>
            </w:tcBorders>
          </w:tcPr>
          <w:p w14:paraId="6E10031F"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1,723</w:t>
            </w:r>
          </w:p>
        </w:tc>
        <w:tc>
          <w:tcPr>
            <w:tcW w:w="1792" w:type="dxa"/>
            <w:tcBorders>
              <w:top w:val="single" w:sz="4" w:space="0" w:color="auto"/>
              <w:left w:val="nil"/>
              <w:bottom w:val="single" w:sz="4" w:space="0" w:color="auto"/>
              <w:right w:val="single" w:sz="4" w:space="0" w:color="auto"/>
            </w:tcBorders>
            <w:vAlign w:val="center"/>
          </w:tcPr>
          <w:p w14:paraId="7754BFD5"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191</w:t>
            </w:r>
          </w:p>
        </w:tc>
      </w:tr>
      <w:tr w:rsidR="009C12D5" w:rsidRPr="00D30537" w14:paraId="4C74A119" w14:textId="77777777" w:rsidTr="003B58E4">
        <w:tc>
          <w:tcPr>
            <w:tcW w:w="704" w:type="dxa"/>
          </w:tcPr>
          <w:p w14:paraId="68A9FE76"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2027</w:t>
            </w:r>
          </w:p>
        </w:tc>
        <w:tc>
          <w:tcPr>
            <w:tcW w:w="992" w:type="dxa"/>
            <w:tcBorders>
              <w:top w:val="single" w:sz="4" w:space="0" w:color="auto"/>
              <w:left w:val="nil"/>
              <w:bottom w:val="single" w:sz="4" w:space="0" w:color="auto"/>
              <w:right w:val="single" w:sz="4" w:space="0" w:color="auto"/>
            </w:tcBorders>
            <w:vAlign w:val="bottom"/>
          </w:tcPr>
          <w:p w14:paraId="5C93DAE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2F42525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1E5DE62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353BE30"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6,179</w:t>
            </w:r>
          </w:p>
        </w:tc>
        <w:tc>
          <w:tcPr>
            <w:tcW w:w="1701" w:type="dxa"/>
            <w:tcBorders>
              <w:top w:val="single" w:sz="4" w:space="0" w:color="auto"/>
              <w:left w:val="single" w:sz="4" w:space="0" w:color="auto"/>
              <w:bottom w:val="single" w:sz="4" w:space="0" w:color="auto"/>
              <w:right w:val="single" w:sz="4" w:space="0" w:color="auto"/>
            </w:tcBorders>
          </w:tcPr>
          <w:p w14:paraId="0EB4049E"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1,804</w:t>
            </w:r>
          </w:p>
        </w:tc>
        <w:tc>
          <w:tcPr>
            <w:tcW w:w="1792" w:type="dxa"/>
            <w:tcBorders>
              <w:top w:val="single" w:sz="4" w:space="0" w:color="auto"/>
              <w:left w:val="nil"/>
              <w:bottom w:val="single" w:sz="4" w:space="0" w:color="auto"/>
              <w:right w:val="single" w:sz="4" w:space="0" w:color="auto"/>
            </w:tcBorders>
            <w:vAlign w:val="center"/>
          </w:tcPr>
          <w:p w14:paraId="2B21D853"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200</w:t>
            </w:r>
          </w:p>
        </w:tc>
      </w:tr>
      <w:tr w:rsidR="009C12D5" w:rsidRPr="00D30537" w14:paraId="732703EB" w14:textId="77777777" w:rsidTr="003B58E4">
        <w:tc>
          <w:tcPr>
            <w:tcW w:w="704" w:type="dxa"/>
          </w:tcPr>
          <w:p w14:paraId="315517B8"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2028</w:t>
            </w:r>
          </w:p>
        </w:tc>
        <w:tc>
          <w:tcPr>
            <w:tcW w:w="992" w:type="dxa"/>
            <w:tcBorders>
              <w:top w:val="single" w:sz="4" w:space="0" w:color="auto"/>
              <w:left w:val="nil"/>
              <w:bottom w:val="single" w:sz="4" w:space="0" w:color="auto"/>
              <w:right w:val="single" w:sz="4" w:space="0" w:color="auto"/>
            </w:tcBorders>
            <w:vAlign w:val="bottom"/>
          </w:tcPr>
          <w:p w14:paraId="287BCD4E"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307FEC8C"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36A28E14"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31593B"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6,612</w:t>
            </w:r>
          </w:p>
        </w:tc>
        <w:tc>
          <w:tcPr>
            <w:tcW w:w="1701" w:type="dxa"/>
            <w:tcBorders>
              <w:top w:val="single" w:sz="4" w:space="0" w:color="auto"/>
              <w:left w:val="single" w:sz="4" w:space="0" w:color="auto"/>
              <w:bottom w:val="single" w:sz="4" w:space="0" w:color="auto"/>
              <w:right w:val="single" w:sz="4" w:space="0" w:color="auto"/>
            </w:tcBorders>
          </w:tcPr>
          <w:p w14:paraId="2138D63F"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1,885</w:t>
            </w:r>
          </w:p>
        </w:tc>
        <w:tc>
          <w:tcPr>
            <w:tcW w:w="1792" w:type="dxa"/>
            <w:tcBorders>
              <w:top w:val="single" w:sz="4" w:space="0" w:color="auto"/>
              <w:left w:val="nil"/>
              <w:bottom w:val="single" w:sz="4" w:space="0" w:color="auto"/>
              <w:right w:val="single" w:sz="4" w:space="0" w:color="auto"/>
            </w:tcBorders>
            <w:vAlign w:val="center"/>
          </w:tcPr>
          <w:p w14:paraId="1C7FF000"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209</w:t>
            </w:r>
          </w:p>
        </w:tc>
      </w:tr>
      <w:tr w:rsidR="009C12D5" w:rsidRPr="00D30537" w14:paraId="350E32C4" w14:textId="77777777" w:rsidTr="003B58E4">
        <w:tc>
          <w:tcPr>
            <w:tcW w:w="704" w:type="dxa"/>
          </w:tcPr>
          <w:p w14:paraId="3ACE38FF"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2029</w:t>
            </w:r>
          </w:p>
        </w:tc>
        <w:tc>
          <w:tcPr>
            <w:tcW w:w="992" w:type="dxa"/>
            <w:tcBorders>
              <w:top w:val="single" w:sz="4" w:space="0" w:color="auto"/>
              <w:left w:val="nil"/>
              <w:bottom w:val="single" w:sz="4" w:space="0" w:color="auto"/>
              <w:right w:val="single" w:sz="4" w:space="0" w:color="auto"/>
            </w:tcBorders>
            <w:vAlign w:val="bottom"/>
          </w:tcPr>
          <w:p w14:paraId="146D5466"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414B84A7"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092CCBF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6999FA5"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7,045</w:t>
            </w:r>
          </w:p>
        </w:tc>
        <w:tc>
          <w:tcPr>
            <w:tcW w:w="1701" w:type="dxa"/>
            <w:tcBorders>
              <w:top w:val="single" w:sz="4" w:space="0" w:color="auto"/>
              <w:left w:val="single" w:sz="4" w:space="0" w:color="auto"/>
              <w:bottom w:val="single" w:sz="4" w:space="0" w:color="auto"/>
              <w:right w:val="single" w:sz="4" w:space="0" w:color="auto"/>
            </w:tcBorders>
          </w:tcPr>
          <w:p w14:paraId="1E8E396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1,966</w:t>
            </w:r>
          </w:p>
        </w:tc>
        <w:tc>
          <w:tcPr>
            <w:tcW w:w="1792" w:type="dxa"/>
            <w:tcBorders>
              <w:top w:val="single" w:sz="4" w:space="0" w:color="auto"/>
              <w:left w:val="nil"/>
              <w:bottom w:val="single" w:sz="4" w:space="0" w:color="auto"/>
              <w:right w:val="single" w:sz="4" w:space="0" w:color="auto"/>
            </w:tcBorders>
            <w:vAlign w:val="center"/>
          </w:tcPr>
          <w:p w14:paraId="513D3B06"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218</w:t>
            </w:r>
          </w:p>
        </w:tc>
      </w:tr>
      <w:tr w:rsidR="009C12D5" w:rsidRPr="00D30537" w14:paraId="41EAB35E" w14:textId="77777777" w:rsidTr="003B58E4">
        <w:tc>
          <w:tcPr>
            <w:tcW w:w="704" w:type="dxa"/>
          </w:tcPr>
          <w:p w14:paraId="7CBE5E05"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2030</w:t>
            </w:r>
          </w:p>
        </w:tc>
        <w:tc>
          <w:tcPr>
            <w:tcW w:w="992" w:type="dxa"/>
            <w:tcBorders>
              <w:top w:val="single" w:sz="4" w:space="0" w:color="auto"/>
              <w:left w:val="nil"/>
              <w:bottom w:val="single" w:sz="4" w:space="0" w:color="auto"/>
              <w:right w:val="single" w:sz="4" w:space="0" w:color="auto"/>
            </w:tcBorders>
            <w:vAlign w:val="bottom"/>
          </w:tcPr>
          <w:p w14:paraId="2E29D756"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1636B8EA"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4C60A51A"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32AAA3D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7,478</w:t>
            </w:r>
          </w:p>
        </w:tc>
        <w:tc>
          <w:tcPr>
            <w:tcW w:w="1701" w:type="dxa"/>
            <w:tcBorders>
              <w:top w:val="single" w:sz="4" w:space="0" w:color="auto"/>
              <w:left w:val="single" w:sz="4" w:space="0" w:color="auto"/>
              <w:bottom w:val="single" w:sz="4" w:space="0" w:color="auto"/>
              <w:right w:val="single" w:sz="4" w:space="0" w:color="auto"/>
            </w:tcBorders>
          </w:tcPr>
          <w:p w14:paraId="575C87A9"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2,047</w:t>
            </w:r>
          </w:p>
        </w:tc>
        <w:tc>
          <w:tcPr>
            <w:tcW w:w="1792" w:type="dxa"/>
            <w:tcBorders>
              <w:top w:val="single" w:sz="4" w:space="0" w:color="auto"/>
              <w:left w:val="nil"/>
              <w:bottom w:val="single" w:sz="4" w:space="0" w:color="auto"/>
              <w:right w:val="single" w:sz="4" w:space="0" w:color="auto"/>
            </w:tcBorders>
            <w:vAlign w:val="center"/>
          </w:tcPr>
          <w:p w14:paraId="13CD3158"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227</w:t>
            </w:r>
          </w:p>
        </w:tc>
      </w:tr>
      <w:tr w:rsidR="009C12D5" w:rsidRPr="00D30537" w14:paraId="434CEE3C" w14:textId="77777777" w:rsidTr="003B58E4">
        <w:tc>
          <w:tcPr>
            <w:tcW w:w="704" w:type="dxa"/>
          </w:tcPr>
          <w:p w14:paraId="63EFF20A" w14:textId="77777777" w:rsidR="009C12D5" w:rsidRPr="00D30537" w:rsidRDefault="009C12D5">
            <w:pPr>
              <w:keepNext/>
              <w:keepLines/>
              <w:jc w:val="center"/>
              <w:rPr>
                <w:rFonts w:ascii="Arial Narrow" w:hAnsi="Arial Narrow" w:cs="Calibri"/>
                <w:color w:val="000000" w:themeColor="text1"/>
                <w:sz w:val="20"/>
                <w:szCs w:val="20"/>
              </w:rPr>
            </w:pPr>
            <w:r w:rsidRPr="00D30537">
              <w:rPr>
                <w:rFonts w:ascii="Arial Narrow" w:hAnsi="Arial Narrow" w:cs="Calibri"/>
                <w:color w:val="000000" w:themeColor="text1"/>
                <w:sz w:val="20"/>
                <w:szCs w:val="20"/>
              </w:rPr>
              <w:t>2031</w:t>
            </w:r>
          </w:p>
        </w:tc>
        <w:tc>
          <w:tcPr>
            <w:tcW w:w="992" w:type="dxa"/>
            <w:tcBorders>
              <w:top w:val="single" w:sz="4" w:space="0" w:color="auto"/>
              <w:left w:val="nil"/>
              <w:bottom w:val="single" w:sz="4" w:space="0" w:color="auto"/>
              <w:right w:val="single" w:sz="4" w:space="0" w:color="auto"/>
            </w:tcBorders>
            <w:vAlign w:val="bottom"/>
          </w:tcPr>
          <w:p w14:paraId="0725621F"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134" w:type="dxa"/>
            <w:tcBorders>
              <w:top w:val="single" w:sz="4" w:space="0" w:color="auto"/>
              <w:left w:val="nil"/>
              <w:bottom w:val="single" w:sz="4" w:space="0" w:color="auto"/>
              <w:right w:val="single" w:sz="4" w:space="0" w:color="auto"/>
            </w:tcBorders>
            <w:vAlign w:val="bottom"/>
          </w:tcPr>
          <w:p w14:paraId="4031F5BC"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276" w:type="dxa"/>
            <w:tcBorders>
              <w:top w:val="single" w:sz="4" w:space="0" w:color="auto"/>
              <w:left w:val="nil"/>
              <w:bottom w:val="single" w:sz="4" w:space="0" w:color="auto"/>
              <w:right w:val="single" w:sz="4" w:space="0" w:color="auto"/>
            </w:tcBorders>
            <w:vAlign w:val="bottom"/>
          </w:tcPr>
          <w:p w14:paraId="57AD092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44537E6"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7,911</w:t>
            </w:r>
          </w:p>
        </w:tc>
        <w:tc>
          <w:tcPr>
            <w:tcW w:w="1701" w:type="dxa"/>
            <w:tcBorders>
              <w:top w:val="single" w:sz="4" w:space="0" w:color="auto"/>
              <w:left w:val="single" w:sz="4" w:space="0" w:color="auto"/>
              <w:bottom w:val="single" w:sz="4" w:space="0" w:color="auto"/>
              <w:right w:val="single" w:sz="4" w:space="0" w:color="auto"/>
            </w:tcBorders>
          </w:tcPr>
          <w:p w14:paraId="0E7E2968" w14:textId="77777777" w:rsidR="009C12D5" w:rsidRPr="00D30537" w:rsidRDefault="009C12D5">
            <w:pPr>
              <w:keepNext/>
              <w:keepLines/>
              <w:jc w:val="center"/>
              <w:rPr>
                <w:rFonts w:ascii="Arial Narrow" w:hAnsi="Arial Narrow"/>
                <w:color w:val="000000"/>
                <w:sz w:val="20"/>
                <w:szCs w:val="20"/>
              </w:rPr>
            </w:pPr>
            <w:r w:rsidRPr="00D30537">
              <w:rPr>
                <w:rFonts w:ascii="Arial Narrow" w:hAnsi="Arial Narrow"/>
                <w:color w:val="000000"/>
                <w:sz w:val="20"/>
                <w:szCs w:val="20"/>
              </w:rPr>
              <w:t>2,128</w:t>
            </w:r>
          </w:p>
        </w:tc>
        <w:tc>
          <w:tcPr>
            <w:tcW w:w="1792" w:type="dxa"/>
            <w:tcBorders>
              <w:top w:val="single" w:sz="4" w:space="0" w:color="auto"/>
              <w:left w:val="nil"/>
              <w:bottom w:val="single" w:sz="4" w:space="0" w:color="auto"/>
              <w:right w:val="single" w:sz="4" w:space="0" w:color="auto"/>
            </w:tcBorders>
            <w:vAlign w:val="center"/>
          </w:tcPr>
          <w:p w14:paraId="19072CC3" w14:textId="77777777" w:rsidR="009C12D5" w:rsidRPr="00752258" w:rsidRDefault="009C12D5">
            <w:pPr>
              <w:keepNext/>
              <w:keepLines/>
              <w:jc w:val="center"/>
              <w:rPr>
                <w:rFonts w:ascii="Arial Narrow" w:hAnsi="Arial Narrow"/>
                <w:color w:val="000000"/>
                <w:sz w:val="20"/>
                <w:szCs w:val="20"/>
              </w:rPr>
            </w:pPr>
            <w:r w:rsidRPr="00752258">
              <w:rPr>
                <w:rFonts w:ascii="Arial Narrow" w:hAnsi="Arial Narrow"/>
                <w:color w:val="000000"/>
                <w:sz w:val="20"/>
                <w:szCs w:val="20"/>
              </w:rPr>
              <w:t>236</w:t>
            </w:r>
          </w:p>
        </w:tc>
      </w:tr>
    </w:tbl>
    <w:p w14:paraId="795C52E1" w14:textId="77777777" w:rsidR="009C12D5" w:rsidRPr="00D30537" w:rsidRDefault="009C12D5" w:rsidP="009C12D5">
      <w:pPr>
        <w:pStyle w:val="TableFigureFooter"/>
      </w:pPr>
      <w:r w:rsidRPr="00D30537">
        <w:t>Source: DUSC related documents, ‘Avelumab MCC Epi’ – Utilisation data current to 28th July 2025, provided by DUSC Secretariat; and the submission’s budget impact model.</w:t>
      </w:r>
    </w:p>
    <w:p w14:paraId="65E46ED5" w14:textId="77777777" w:rsidR="009C12D5" w:rsidRPr="00D30537" w:rsidRDefault="009C12D5" w:rsidP="009C12D5">
      <w:pPr>
        <w:pStyle w:val="TableFigureFooter"/>
      </w:pPr>
      <w:r w:rsidRPr="00D30537">
        <w:t>Notes: The submission claimed projected avelumab scripts were based on PBS use between 2020-2024.</w:t>
      </w:r>
    </w:p>
    <w:p w14:paraId="077CCD34" w14:textId="77777777" w:rsidR="009C12D5" w:rsidRPr="00D30537" w:rsidRDefault="009C12D5" w:rsidP="009C12D5">
      <w:pPr>
        <w:pStyle w:val="TableFigureFooter"/>
      </w:pPr>
      <w:r w:rsidRPr="00D30537">
        <w:rPr>
          <w:vertAlign w:val="superscript"/>
        </w:rPr>
        <w:t>a</w:t>
      </w:r>
      <w:r w:rsidRPr="00D30537">
        <w:t xml:space="preserve"> Initiating projected avelumab scripts divided by 9 (maximum numbers of avelumab initial doses). Note that these back-calculated values reflect the minimum number of patients, as it assumes 100% compliance.</w:t>
      </w:r>
    </w:p>
    <w:p w14:paraId="59D905FA" w14:textId="77777777" w:rsidR="009C12D5" w:rsidRPr="00D30537" w:rsidRDefault="009C12D5" w:rsidP="009C12D5">
      <w:pPr>
        <w:pStyle w:val="TableFigureFooter"/>
      </w:pPr>
      <w:r w:rsidRPr="00D30537">
        <w:rPr>
          <w:vertAlign w:val="superscript"/>
        </w:rPr>
        <w:t>b</w:t>
      </w:r>
      <w:r w:rsidRPr="00D30537">
        <w:t xml:space="preserve"> to 31 July 2025</w:t>
      </w:r>
    </w:p>
    <w:p w14:paraId="75C72999" w14:textId="3F84AD45" w:rsidR="009C12D5" w:rsidRPr="00C45426" w:rsidRDefault="009C12D5" w:rsidP="009C12D5">
      <w:pPr>
        <w:pStyle w:val="3-BodyText"/>
        <w:ind w:left="720"/>
        <w:rPr>
          <w:color w:val="000000" w:themeColor="text1"/>
        </w:rPr>
      </w:pPr>
      <w:r w:rsidRPr="00C45426">
        <w:rPr>
          <w:color w:val="000000" w:themeColor="text1"/>
        </w:rPr>
        <w:t xml:space="preserve">The </w:t>
      </w:r>
      <w:r w:rsidR="00E149E3" w:rsidRPr="00C45426">
        <w:rPr>
          <w:color w:val="000000" w:themeColor="text1"/>
        </w:rPr>
        <w:t xml:space="preserve">evaluation considered that the </w:t>
      </w:r>
      <w:r w:rsidRPr="00C45426">
        <w:rPr>
          <w:color w:val="000000" w:themeColor="text1"/>
        </w:rPr>
        <w:t>net financial impact to the PBS/RPBS for the listing of retifanlimab was also potentially underestimated, as:</w:t>
      </w:r>
    </w:p>
    <w:p w14:paraId="7493D45B" w14:textId="2C821E8B" w:rsidR="009C12D5" w:rsidRPr="00C45426" w:rsidRDefault="009C12D5" w:rsidP="003D6682">
      <w:pPr>
        <w:pStyle w:val="3-BodyText"/>
        <w:numPr>
          <w:ilvl w:val="0"/>
          <w:numId w:val="18"/>
        </w:numPr>
        <w:ind w:left="1134" w:hanging="425"/>
        <w:rPr>
          <w:color w:val="000000" w:themeColor="text1"/>
        </w:rPr>
      </w:pPr>
      <w:r w:rsidRPr="00C45426">
        <w:rPr>
          <w:color w:val="000000" w:themeColor="text1"/>
        </w:rPr>
        <w:t xml:space="preserve">The script substitution rate was dependent on modelled </w:t>
      </w:r>
      <w:proofErr w:type="spellStart"/>
      <w:r w:rsidRPr="00C45426">
        <w:rPr>
          <w:color w:val="000000" w:themeColor="text1"/>
        </w:rPr>
        <w:t>ToT</w:t>
      </w:r>
      <w:proofErr w:type="spellEnd"/>
      <w:r w:rsidRPr="00C45426">
        <w:rPr>
          <w:color w:val="000000" w:themeColor="text1"/>
        </w:rPr>
        <w:t xml:space="preserve">, which was uncertain and potentially overestimated (see paragraph </w:t>
      </w:r>
      <w:r w:rsidRPr="00C45426">
        <w:rPr>
          <w:color w:val="000000" w:themeColor="text1"/>
        </w:rPr>
        <w:fldChar w:fldCharType="begin"/>
      </w:r>
      <w:r w:rsidRPr="00C45426">
        <w:rPr>
          <w:color w:val="000000" w:themeColor="text1"/>
        </w:rPr>
        <w:instrText xml:space="preserve"> REF _Ref206449531 \r \h </w:instrText>
      </w:r>
      <w:r w:rsidR="00C45426">
        <w:rPr>
          <w:color w:val="000000" w:themeColor="text1"/>
        </w:rPr>
        <w:instrText xml:space="preserve"> \* MERGEFORMAT </w:instrText>
      </w:r>
      <w:r w:rsidRPr="00C45426">
        <w:rPr>
          <w:color w:val="000000" w:themeColor="text1"/>
        </w:rPr>
      </w:r>
      <w:r w:rsidRPr="00C45426">
        <w:rPr>
          <w:color w:val="000000" w:themeColor="text1"/>
        </w:rPr>
        <w:fldChar w:fldCharType="separate"/>
      </w:r>
      <w:r w:rsidR="008D62D0">
        <w:rPr>
          <w:color w:val="000000" w:themeColor="text1"/>
        </w:rPr>
        <w:t>6.47</w:t>
      </w:r>
      <w:r w:rsidRPr="00C45426">
        <w:rPr>
          <w:color w:val="000000" w:themeColor="text1"/>
        </w:rPr>
        <w:fldChar w:fldCharType="end"/>
      </w:r>
      <w:r w:rsidRPr="00C45426">
        <w:rPr>
          <w:color w:val="000000" w:themeColor="text1"/>
        </w:rPr>
        <w:t xml:space="preserve">).; </w:t>
      </w:r>
    </w:p>
    <w:p w14:paraId="664697F9" w14:textId="456BDFAD" w:rsidR="009C12D5" w:rsidRPr="00C45426" w:rsidRDefault="009C12D5" w:rsidP="003D6682">
      <w:pPr>
        <w:pStyle w:val="ListParagraph"/>
        <w:numPr>
          <w:ilvl w:val="0"/>
          <w:numId w:val="18"/>
        </w:numPr>
        <w:ind w:left="1134" w:hanging="425"/>
        <w:rPr>
          <w:rFonts w:eastAsiaTheme="minorHAnsi" w:cstheme="minorBidi"/>
          <w:snapToGrid/>
          <w:color w:val="000000" w:themeColor="text1"/>
          <w:szCs w:val="22"/>
        </w:rPr>
      </w:pPr>
      <w:r w:rsidRPr="00C45426">
        <w:rPr>
          <w:rFonts w:eastAsiaTheme="minorHAnsi" w:cstheme="minorBidi"/>
          <w:snapToGrid/>
          <w:color w:val="000000" w:themeColor="text1"/>
          <w:szCs w:val="22"/>
        </w:rPr>
        <w:t>The mean avelumab dosage in the base case (932.1 mg) was higher than the accepted mean dosage at the July 2018 PBAC meeting (849.2 mg), which may overestimate avelumab offset costs</w:t>
      </w:r>
      <w:r w:rsidR="00E149E3" w:rsidRPr="00C45426">
        <w:rPr>
          <w:rFonts w:eastAsiaTheme="minorHAnsi" w:cstheme="minorBidi"/>
          <w:snapToGrid/>
          <w:color w:val="000000" w:themeColor="text1"/>
          <w:szCs w:val="22"/>
        </w:rPr>
        <w:t>.</w:t>
      </w:r>
      <w:r w:rsidRPr="00C45426">
        <w:rPr>
          <w:rFonts w:eastAsiaTheme="minorHAnsi" w:cstheme="minorBidi"/>
          <w:snapToGrid/>
          <w:color w:val="000000" w:themeColor="text1"/>
          <w:szCs w:val="22"/>
        </w:rPr>
        <w:t xml:space="preserve">; and </w:t>
      </w:r>
    </w:p>
    <w:p w14:paraId="3D412178" w14:textId="77777777" w:rsidR="009C12D5" w:rsidRPr="00C45426" w:rsidRDefault="009C12D5" w:rsidP="003D6682">
      <w:pPr>
        <w:pStyle w:val="ListParagraph"/>
        <w:numPr>
          <w:ilvl w:val="0"/>
          <w:numId w:val="18"/>
        </w:numPr>
        <w:ind w:left="1134" w:hanging="425"/>
        <w:rPr>
          <w:rFonts w:eastAsiaTheme="minorHAnsi" w:cstheme="minorBidi"/>
          <w:snapToGrid/>
          <w:color w:val="000000" w:themeColor="text1"/>
          <w:szCs w:val="22"/>
        </w:rPr>
      </w:pPr>
      <w:r w:rsidRPr="00C45426">
        <w:rPr>
          <w:rFonts w:eastAsiaTheme="minorHAnsi" w:cstheme="minorBidi"/>
          <w:snapToGrid/>
          <w:color w:val="000000" w:themeColor="text1"/>
          <w:szCs w:val="22"/>
        </w:rPr>
        <w:t>It was unclear whether a substitution rate of 75% for retifanlimab over avelumab was reasonable, given the claim of clinical superiority. Should clinical superiority and superior safety be accepted, the substitution rate may be higher for the newly listed treatment.</w:t>
      </w:r>
    </w:p>
    <w:p w14:paraId="06ADD5A9" w14:textId="5E7E5A3F" w:rsidR="009C12D5" w:rsidRPr="00C45426" w:rsidRDefault="009C12D5" w:rsidP="009C12D5">
      <w:pPr>
        <w:pStyle w:val="3-BodyText"/>
        <w:ind w:left="720"/>
      </w:pPr>
      <w:bookmarkStart w:id="98" w:name="_Ref214476034"/>
      <w:r w:rsidRPr="00C45426">
        <w:t>However, the</w:t>
      </w:r>
      <w:r w:rsidR="00E149E3" w:rsidRPr="00C45426">
        <w:t xml:space="preserve"> evaluation considered that the</w:t>
      </w:r>
      <w:r w:rsidRPr="00C45426">
        <w:t xml:space="preserve"> net financial impact could be potentially overestimated, as:</w:t>
      </w:r>
      <w:bookmarkEnd w:id="98"/>
    </w:p>
    <w:p w14:paraId="55EA586F" w14:textId="429D18F1" w:rsidR="009C12D5" w:rsidRPr="00C45426" w:rsidRDefault="009C12D5" w:rsidP="003D6682">
      <w:pPr>
        <w:pStyle w:val="3-BodyText"/>
        <w:numPr>
          <w:ilvl w:val="0"/>
          <w:numId w:val="20"/>
        </w:numPr>
        <w:ind w:left="1134" w:hanging="425"/>
      </w:pPr>
      <w:r w:rsidRPr="00C45426">
        <w:t>The market growth assumption of additional immunotherapy uptake (base case +</w:t>
      </w:r>
      <w:r w:rsidR="00D863F0" w:rsidRPr="00D863F0">
        <w:rPr>
          <w:highlight w:val="black"/>
        </w:rPr>
        <w:t>&amp;&amp;&amp;&amp;</w:t>
      </w:r>
      <w:r w:rsidRPr="00C45426">
        <w:t xml:space="preserve">%) was likely to be overestimated, as eligible patients would be expected to have initiated avelumab treatment. Given that both avelumab and retifanlimab are PD-1/PD-L1 inhibitors, it was unlikely there would be additional patients opting to receive retifanlimab, as they would have been eligible to initiate avelumab. </w:t>
      </w:r>
      <w:r w:rsidR="007B31A8" w:rsidRPr="00C45426">
        <w:t>DUSC considered that the uptake rates applied and the implication that the listing of retifanlimab will grow the immunotherapy market is unlikely to occur in practice and should be amended</w:t>
      </w:r>
      <w:r w:rsidRPr="00C45426">
        <w:t>; and</w:t>
      </w:r>
    </w:p>
    <w:p w14:paraId="1A4F8254" w14:textId="77777777" w:rsidR="009C12D5" w:rsidRPr="00C45426" w:rsidRDefault="009C12D5" w:rsidP="003D6682">
      <w:pPr>
        <w:pStyle w:val="3-BodyText"/>
        <w:numPr>
          <w:ilvl w:val="0"/>
          <w:numId w:val="20"/>
        </w:numPr>
        <w:ind w:left="1134" w:hanging="425"/>
      </w:pPr>
      <w:r w:rsidRPr="00C45426">
        <w:lastRenderedPageBreak/>
        <w:t>The implied number of patients initiating avelumab treatment in the submission’s estimates may be overestimated when compared to the actual number of patients who initiated treatment. In 2024, 155 patients initiated avelumab treatment, whereas the submission’s input of 1,561 initiating scripts was equivalent to at least 173 initiating patients (calculated by dividing number of initiating scripts by 9, the maximum number of scripts allowed under the PBS listing for initiating avelumab). An overestimate in the most recent data point likely had a disproportionately large effect on the linear extrapolation compared to overestimations in the earlier data points and likely to have led to an overestimate in avelumab utilisation. Given the use of a market share approach, this suggests that the growth of avelumab and therefore the financial estimates may be overestimated.</w:t>
      </w:r>
    </w:p>
    <w:p w14:paraId="7747887C" w14:textId="3E92C3CB" w:rsidR="009C12D5" w:rsidRPr="00C45426" w:rsidRDefault="009C12D5" w:rsidP="009C12D5">
      <w:pPr>
        <w:pStyle w:val="3-BodyText"/>
        <w:ind w:left="720"/>
      </w:pPr>
      <w:r w:rsidRPr="00C45426">
        <w:t xml:space="preserve">Overall, the </w:t>
      </w:r>
      <w:r w:rsidR="00A82D62">
        <w:t xml:space="preserve">evaluation considered that the </w:t>
      </w:r>
      <w:r w:rsidRPr="00C45426">
        <w:t>submission’s budget impact model was uncertain due to:</w:t>
      </w:r>
    </w:p>
    <w:p w14:paraId="0E4BF130" w14:textId="1F6E1F0F" w:rsidR="009C12D5" w:rsidRPr="00C45426" w:rsidRDefault="009C12D5" w:rsidP="003D6682">
      <w:pPr>
        <w:pStyle w:val="3-BodyText"/>
        <w:numPr>
          <w:ilvl w:val="0"/>
          <w:numId w:val="19"/>
        </w:numPr>
        <w:ind w:left="1134"/>
      </w:pPr>
      <w:r w:rsidRPr="00C45426">
        <w:t>uncertainty around assumptions of avelumab utilisation (both duration and dose), which is pivotal to the estimates and underpins the substitution rate;</w:t>
      </w:r>
    </w:p>
    <w:p w14:paraId="127086E5" w14:textId="5EAA53E5" w:rsidR="009C12D5" w:rsidRPr="00C45426" w:rsidRDefault="009C12D5" w:rsidP="003D6682">
      <w:pPr>
        <w:pStyle w:val="3-BodyText"/>
        <w:numPr>
          <w:ilvl w:val="0"/>
          <w:numId w:val="19"/>
        </w:numPr>
        <w:ind w:left="1134"/>
      </w:pPr>
      <w:r w:rsidRPr="00C45426">
        <w:t xml:space="preserve">the assumed market growth and proportion of recurrent locally advanced MCC patients treated was uncertain; and </w:t>
      </w:r>
    </w:p>
    <w:p w14:paraId="01F3CB79" w14:textId="4761630A" w:rsidR="009C12D5" w:rsidRPr="00C45426" w:rsidRDefault="009C12D5" w:rsidP="003D6682">
      <w:pPr>
        <w:pStyle w:val="3-BodyText"/>
        <w:numPr>
          <w:ilvl w:val="0"/>
          <w:numId w:val="19"/>
        </w:numPr>
        <w:ind w:left="1134"/>
      </w:pPr>
      <w:r w:rsidRPr="00C45426">
        <w:t xml:space="preserve">without an accurate estimate of patient numbers, the uncertainty with avelumab usage cannot be disentangled from retifanlimab uptake and utilisation. </w:t>
      </w:r>
    </w:p>
    <w:p w14:paraId="05C477EC" w14:textId="603573CB" w:rsidR="008047AE" w:rsidRPr="00D30537" w:rsidRDefault="008047AE" w:rsidP="000461E7">
      <w:pPr>
        <w:pStyle w:val="4-SubsectionHeading"/>
      </w:pPr>
      <w:bookmarkStart w:id="99" w:name="_Toc22897649"/>
      <w:bookmarkStart w:id="100" w:name="_Toc208988066"/>
      <w:bookmarkEnd w:id="85"/>
      <w:bookmarkEnd w:id="86"/>
      <w:r w:rsidRPr="00D30537">
        <w:t>Financial Management – Risk Sharing Arrangements</w:t>
      </w:r>
      <w:bookmarkEnd w:id="99"/>
      <w:bookmarkEnd w:id="100"/>
    </w:p>
    <w:p w14:paraId="5D395DBE" w14:textId="0B33FE6F" w:rsidR="008047AE" w:rsidRPr="00D30537" w:rsidRDefault="008047AE" w:rsidP="006E3D94">
      <w:pPr>
        <w:pStyle w:val="3-BodyText"/>
        <w:ind w:left="709"/>
        <w:rPr>
          <w:color w:val="000000" w:themeColor="text1"/>
        </w:rPr>
      </w:pPr>
      <w:r w:rsidRPr="00D30537">
        <w:rPr>
          <w:color w:val="000000" w:themeColor="text1"/>
        </w:rPr>
        <w:t xml:space="preserve">The submission stated the Sponsor would be willing to negotiate </w:t>
      </w:r>
      <w:proofErr w:type="gramStart"/>
      <w:r w:rsidRPr="00D30537">
        <w:rPr>
          <w:color w:val="000000" w:themeColor="text1"/>
        </w:rPr>
        <w:t>entering into</w:t>
      </w:r>
      <w:proofErr w:type="gramEnd"/>
      <w:r w:rsidRPr="00D30537">
        <w:rPr>
          <w:color w:val="000000" w:themeColor="text1"/>
        </w:rPr>
        <w:t xml:space="preserve"> a</w:t>
      </w:r>
      <w:r w:rsidR="006B7328">
        <w:rPr>
          <w:color w:val="000000" w:themeColor="text1"/>
        </w:rPr>
        <w:t xml:space="preserve"> risk sharing arrangement (</w:t>
      </w:r>
      <w:r w:rsidRPr="00D30537">
        <w:rPr>
          <w:color w:val="000000" w:themeColor="text1"/>
        </w:rPr>
        <w:t>RSA</w:t>
      </w:r>
      <w:r w:rsidR="006B7328">
        <w:rPr>
          <w:color w:val="000000" w:themeColor="text1"/>
        </w:rPr>
        <w:t>)</w:t>
      </w:r>
      <w:r w:rsidRPr="00D30537">
        <w:rPr>
          <w:color w:val="000000" w:themeColor="text1"/>
        </w:rPr>
        <w:t xml:space="preserve"> for retifanlimab in MCC, however no further detail was provided. The submission claimed that as treatment with retifanlimab is limited to a maximum of 24 months, it may be reasonable for retifanlimab listing to occur without an RSA. </w:t>
      </w:r>
    </w:p>
    <w:p w14:paraId="7CCE2706" w14:textId="5D196536" w:rsidR="008047AE" w:rsidRPr="00D30537" w:rsidRDefault="00206522" w:rsidP="006E3D94">
      <w:pPr>
        <w:pStyle w:val="3-BodyText"/>
        <w:ind w:left="709"/>
        <w:rPr>
          <w:color w:val="0066FF"/>
        </w:rPr>
      </w:pPr>
      <w:r w:rsidRPr="00D30537">
        <w:rPr>
          <w:color w:val="000000" w:themeColor="text1"/>
        </w:rPr>
        <w:t>The evaluation considered that g</w:t>
      </w:r>
      <w:r w:rsidR="008047AE" w:rsidRPr="00D30537">
        <w:rPr>
          <w:color w:val="000000" w:themeColor="text1"/>
        </w:rPr>
        <w:t xml:space="preserve">iven the uncertainty associated with </w:t>
      </w:r>
      <w:r w:rsidR="005A72BA" w:rsidRPr="00D30537">
        <w:rPr>
          <w:color w:val="000000" w:themeColor="text1"/>
        </w:rPr>
        <w:t xml:space="preserve">the </w:t>
      </w:r>
      <w:r w:rsidR="00C40C38" w:rsidRPr="00D30537">
        <w:rPr>
          <w:color w:val="000000" w:themeColor="text1"/>
        </w:rPr>
        <w:t>size of the expanded population and treatment uptake for</w:t>
      </w:r>
      <w:r w:rsidR="008047AE" w:rsidRPr="00D30537">
        <w:rPr>
          <w:color w:val="000000" w:themeColor="text1"/>
        </w:rPr>
        <w:t xml:space="preserve"> retifanlimab, the inclusion of a RSA may be prudent. </w:t>
      </w:r>
      <w:r w:rsidR="000F0DDA" w:rsidRPr="00D30537">
        <w:rPr>
          <w:color w:val="000000" w:themeColor="text1"/>
        </w:rPr>
        <w:t>The PBAC</w:t>
      </w:r>
      <w:r w:rsidR="009C0247" w:rsidRPr="00D30537">
        <w:rPr>
          <w:color w:val="000000" w:themeColor="text1"/>
        </w:rPr>
        <w:t xml:space="preserve"> previously</w:t>
      </w:r>
      <w:r w:rsidR="000F0DDA" w:rsidRPr="00D30537">
        <w:rPr>
          <w:color w:val="000000" w:themeColor="text1"/>
        </w:rPr>
        <w:t xml:space="preserve"> considered </w:t>
      </w:r>
      <w:r w:rsidR="009C0247" w:rsidRPr="00D30537">
        <w:rPr>
          <w:color w:val="000000" w:themeColor="text1"/>
        </w:rPr>
        <w:t xml:space="preserve">that </w:t>
      </w:r>
      <w:r w:rsidR="000F0DDA" w:rsidRPr="00D30537">
        <w:rPr>
          <w:color w:val="000000" w:themeColor="text1"/>
        </w:rPr>
        <w:t xml:space="preserve">for avelumab in metastatic MCC a RSA would </w:t>
      </w:r>
      <w:r w:rsidR="00595B40" w:rsidRPr="00D30537">
        <w:rPr>
          <w:color w:val="000000" w:themeColor="text1"/>
        </w:rPr>
        <w:t>be required</w:t>
      </w:r>
      <w:r w:rsidR="000F0DDA" w:rsidRPr="00D30537">
        <w:rPr>
          <w:color w:val="000000" w:themeColor="text1"/>
        </w:rPr>
        <w:t xml:space="preserve"> to manage uncertainties around the uptake rates and time on treatment (paragraph 7.17, avelumab PSD, July 2018 PBAC Meeting). </w:t>
      </w:r>
    </w:p>
    <w:p w14:paraId="6AD7FF63" w14:textId="1303F328" w:rsidR="00C02646" w:rsidRPr="00E248F6" w:rsidRDefault="0026069F" w:rsidP="00C02646">
      <w:pPr>
        <w:pStyle w:val="3-BodyText"/>
        <w:ind w:left="709"/>
      </w:pPr>
      <w:bookmarkStart w:id="101" w:name="_Ref211334861"/>
      <w:r w:rsidRPr="00E248F6">
        <w:rPr>
          <w:color w:val="000000" w:themeColor="text1"/>
        </w:rPr>
        <w:t xml:space="preserve">The ESC considered that </w:t>
      </w:r>
      <w:r w:rsidR="00E834A9" w:rsidRPr="00E248F6">
        <w:rPr>
          <w:color w:val="000000" w:themeColor="text1"/>
        </w:rPr>
        <w:t>it would be appropriate for retifanlimab to join the avelumab RSA</w:t>
      </w:r>
      <w:r w:rsidR="002C0B7A" w:rsidRPr="00E248F6">
        <w:rPr>
          <w:color w:val="000000" w:themeColor="text1"/>
        </w:rPr>
        <w:t>.</w:t>
      </w:r>
      <w:bookmarkEnd w:id="101"/>
    </w:p>
    <w:p w14:paraId="7B6D6AC7" w14:textId="77777777" w:rsidR="00C02646" w:rsidRPr="00D30537" w:rsidRDefault="00C02646" w:rsidP="00E70441">
      <w:pPr>
        <w:pStyle w:val="3-BodyText"/>
        <w:numPr>
          <w:ilvl w:val="0"/>
          <w:numId w:val="0"/>
        </w:numPr>
        <w:ind w:left="-11" w:firstLine="720"/>
        <w:rPr>
          <w:i/>
          <w:iCs/>
        </w:rPr>
      </w:pPr>
      <w:r w:rsidRPr="00D30537">
        <w:rPr>
          <w:i/>
          <w:iCs/>
        </w:rPr>
        <w:t>For more detail on PBAC’s view, see section 7 PBAC outcome.</w:t>
      </w:r>
    </w:p>
    <w:p w14:paraId="2B088AE6" w14:textId="77777777" w:rsidR="00923700" w:rsidRPr="00D30537" w:rsidRDefault="00923700" w:rsidP="00923700">
      <w:pPr>
        <w:pStyle w:val="2-SectionHeading"/>
      </w:pPr>
      <w:bookmarkStart w:id="102" w:name="_Hlk76381249"/>
      <w:bookmarkStart w:id="103" w:name="_Hlk76377955"/>
      <w:bookmarkStart w:id="104" w:name="_Toc208988070"/>
      <w:r w:rsidRPr="00D30537">
        <w:t>PBAC Outcome</w:t>
      </w:r>
    </w:p>
    <w:p w14:paraId="0D67AF76" w14:textId="7CE9090E" w:rsidR="00C575E7" w:rsidRPr="00E86214" w:rsidRDefault="00C575E7" w:rsidP="004C48E2">
      <w:pPr>
        <w:widowControl w:val="0"/>
        <w:numPr>
          <w:ilvl w:val="1"/>
          <w:numId w:val="1"/>
        </w:numPr>
        <w:spacing w:after="120"/>
        <w:ind w:left="720"/>
        <w:rPr>
          <w:rFonts w:asciiTheme="minorHAnsi" w:hAnsiTheme="minorHAnsi"/>
          <w:snapToGrid w:val="0"/>
        </w:rPr>
      </w:pPr>
      <w:bookmarkStart w:id="105" w:name="_Ref234230376"/>
      <w:r w:rsidRPr="00E86214">
        <w:rPr>
          <w:rFonts w:asciiTheme="minorHAnsi" w:hAnsiTheme="minorHAnsi"/>
          <w:snapToGrid w:val="0"/>
        </w:rPr>
        <w:t xml:space="preserve">The PBAC deferred </w:t>
      </w:r>
      <w:r w:rsidR="001950D1" w:rsidRPr="00E86214">
        <w:rPr>
          <w:rFonts w:asciiTheme="minorHAnsi" w:hAnsiTheme="minorHAnsi"/>
          <w:snapToGrid w:val="0"/>
        </w:rPr>
        <w:t>making a recommendation for the listing</w:t>
      </w:r>
      <w:r w:rsidRPr="00E86214">
        <w:rPr>
          <w:rFonts w:asciiTheme="minorHAnsi" w:hAnsiTheme="minorHAnsi"/>
          <w:snapToGrid w:val="0"/>
        </w:rPr>
        <w:t xml:space="preserve"> of retifanlimab for </w:t>
      </w:r>
      <w:r w:rsidR="00133236" w:rsidRPr="00E86214">
        <w:rPr>
          <w:rFonts w:asciiTheme="minorHAnsi" w:hAnsiTheme="minorHAnsi"/>
          <w:snapToGrid w:val="0"/>
        </w:rPr>
        <w:t>the treatment of metastatic or recurrent, locally advanced Merkel cell carcinoma (MCC) not amenable to curative surgery or radiation</w:t>
      </w:r>
      <w:r w:rsidR="009871B7" w:rsidRPr="00E86214">
        <w:rPr>
          <w:rFonts w:asciiTheme="minorHAnsi" w:hAnsiTheme="minorHAnsi"/>
          <w:snapToGrid w:val="0"/>
        </w:rPr>
        <w:t>. The PBAC was of a mind to recommend retifanlimab</w:t>
      </w:r>
      <w:r w:rsidR="0016036D" w:rsidRPr="00E86214">
        <w:rPr>
          <w:rFonts w:asciiTheme="minorHAnsi" w:hAnsiTheme="minorHAnsi"/>
          <w:snapToGrid w:val="0"/>
        </w:rPr>
        <w:t xml:space="preserve"> pending the provision of a positive TGA Delegate</w:t>
      </w:r>
      <w:r w:rsidR="00500E6E">
        <w:rPr>
          <w:rFonts w:asciiTheme="minorHAnsi" w:hAnsiTheme="minorHAnsi"/>
          <w:snapToGrid w:val="0"/>
        </w:rPr>
        <w:t>’</w:t>
      </w:r>
      <w:r w:rsidR="0016036D" w:rsidRPr="00E86214">
        <w:rPr>
          <w:rFonts w:asciiTheme="minorHAnsi" w:hAnsiTheme="minorHAnsi"/>
          <w:snapToGrid w:val="0"/>
        </w:rPr>
        <w:t>s Overview</w:t>
      </w:r>
      <w:r w:rsidR="00632D21">
        <w:rPr>
          <w:rFonts w:asciiTheme="minorHAnsi" w:hAnsiTheme="minorHAnsi"/>
          <w:snapToGrid w:val="0"/>
        </w:rPr>
        <w:t xml:space="preserve">. </w:t>
      </w:r>
      <w:r w:rsidRPr="00E86214">
        <w:rPr>
          <w:rFonts w:asciiTheme="minorHAnsi" w:hAnsiTheme="minorHAnsi"/>
          <w:snapToGrid w:val="0"/>
        </w:rPr>
        <w:t xml:space="preserve">The PBAC </w:t>
      </w:r>
      <w:r w:rsidRPr="00E86214">
        <w:rPr>
          <w:rFonts w:asciiTheme="minorHAnsi" w:hAnsiTheme="minorHAnsi"/>
          <w:snapToGrid w:val="0"/>
        </w:rPr>
        <w:lastRenderedPageBreak/>
        <w:t xml:space="preserve">did not accept the clinical claim of superiority </w:t>
      </w:r>
      <w:r w:rsidR="000E351F">
        <w:rPr>
          <w:rFonts w:asciiTheme="minorHAnsi" w:hAnsiTheme="minorHAnsi"/>
          <w:snapToGrid w:val="0"/>
        </w:rPr>
        <w:t xml:space="preserve">(in terms of effectiveness and safety) </w:t>
      </w:r>
      <w:r w:rsidRPr="00E86214">
        <w:rPr>
          <w:rFonts w:asciiTheme="minorHAnsi" w:hAnsiTheme="minorHAnsi"/>
          <w:snapToGrid w:val="0"/>
        </w:rPr>
        <w:t>versus avelumab,</w:t>
      </w:r>
      <w:r w:rsidR="00352D69">
        <w:rPr>
          <w:rFonts w:asciiTheme="minorHAnsi" w:hAnsiTheme="minorHAnsi"/>
          <w:snapToGrid w:val="0"/>
        </w:rPr>
        <w:t xml:space="preserve"> </w:t>
      </w:r>
      <w:r w:rsidRPr="00E86214">
        <w:rPr>
          <w:rFonts w:asciiTheme="minorHAnsi" w:hAnsiTheme="minorHAnsi"/>
          <w:snapToGrid w:val="0"/>
        </w:rPr>
        <w:t xml:space="preserve">but </w:t>
      </w:r>
      <w:r w:rsidR="00DF3616">
        <w:rPr>
          <w:rFonts w:asciiTheme="minorHAnsi" w:hAnsiTheme="minorHAnsi"/>
          <w:snapToGrid w:val="0"/>
        </w:rPr>
        <w:t>accepted</w:t>
      </w:r>
      <w:r w:rsidRPr="00E86214">
        <w:rPr>
          <w:rFonts w:asciiTheme="minorHAnsi" w:hAnsiTheme="minorHAnsi"/>
          <w:snapToGrid w:val="0"/>
        </w:rPr>
        <w:t xml:space="preserve"> that retifanlimab </w:t>
      </w:r>
      <w:r w:rsidR="00BF4CBD">
        <w:rPr>
          <w:rFonts w:asciiTheme="minorHAnsi" w:hAnsiTheme="minorHAnsi"/>
          <w:snapToGrid w:val="0"/>
        </w:rPr>
        <w:t xml:space="preserve">was likely to be </w:t>
      </w:r>
      <w:r w:rsidRPr="00E86214">
        <w:rPr>
          <w:rFonts w:asciiTheme="minorHAnsi" w:hAnsiTheme="minorHAnsi"/>
          <w:snapToGrid w:val="0"/>
        </w:rPr>
        <w:t xml:space="preserve">non-inferior to avelumab for MCC. </w:t>
      </w:r>
      <w:r w:rsidR="00632D21">
        <w:rPr>
          <w:rFonts w:asciiTheme="minorHAnsi" w:hAnsiTheme="minorHAnsi"/>
          <w:snapToGrid w:val="0"/>
        </w:rPr>
        <w:t xml:space="preserve">The PBAC considered retifanlimab would be cost effective </w:t>
      </w:r>
      <w:r w:rsidR="00B43006">
        <w:rPr>
          <w:rFonts w:asciiTheme="minorHAnsi" w:hAnsiTheme="minorHAnsi"/>
          <w:snapToGrid w:val="0"/>
        </w:rPr>
        <w:t xml:space="preserve">with the same cost per 4 weekly treatment cycle as avelumab. </w:t>
      </w:r>
      <w:r w:rsidR="000E351F">
        <w:rPr>
          <w:rFonts w:asciiTheme="minorHAnsi" w:hAnsiTheme="minorHAnsi"/>
          <w:snapToGrid w:val="0"/>
        </w:rPr>
        <w:t>The PBAC noted there w</w:t>
      </w:r>
      <w:r w:rsidR="00A26924">
        <w:rPr>
          <w:rFonts w:asciiTheme="minorHAnsi" w:hAnsiTheme="minorHAnsi"/>
          <w:snapToGrid w:val="0"/>
        </w:rPr>
        <w:t>as</w:t>
      </w:r>
      <w:r w:rsidR="000E351F">
        <w:rPr>
          <w:rFonts w:asciiTheme="minorHAnsi" w:hAnsiTheme="minorHAnsi"/>
          <w:snapToGrid w:val="0"/>
        </w:rPr>
        <w:t xml:space="preserve"> some uncertainty regarding </w:t>
      </w:r>
      <w:r w:rsidR="00A26924">
        <w:rPr>
          <w:rFonts w:asciiTheme="minorHAnsi" w:hAnsiTheme="minorHAnsi"/>
          <w:snapToGrid w:val="0"/>
        </w:rPr>
        <w:t>the treatment duration of retifanlimab and avelumab but considered that</w:t>
      </w:r>
      <w:r w:rsidR="00D34790">
        <w:rPr>
          <w:rFonts w:asciiTheme="minorHAnsi" w:hAnsiTheme="minorHAnsi"/>
          <w:snapToGrid w:val="0"/>
        </w:rPr>
        <w:t xml:space="preserve"> </w:t>
      </w:r>
      <w:r w:rsidR="00A26924">
        <w:rPr>
          <w:rFonts w:asciiTheme="minorHAnsi" w:hAnsiTheme="minorHAnsi"/>
          <w:snapToGrid w:val="0"/>
        </w:rPr>
        <w:t xml:space="preserve">there was unlikely to be </w:t>
      </w:r>
      <w:r w:rsidR="00A64B2D">
        <w:rPr>
          <w:rFonts w:asciiTheme="minorHAnsi" w:hAnsiTheme="minorHAnsi"/>
          <w:snapToGrid w:val="0"/>
        </w:rPr>
        <w:t xml:space="preserve">a </w:t>
      </w:r>
      <w:r w:rsidR="00A26924">
        <w:rPr>
          <w:rFonts w:asciiTheme="minorHAnsi" w:hAnsiTheme="minorHAnsi"/>
          <w:snapToGrid w:val="0"/>
        </w:rPr>
        <w:t>substantial difference in clinical practice.</w:t>
      </w:r>
      <w:bookmarkEnd w:id="105"/>
      <w:r w:rsidR="00A26924">
        <w:rPr>
          <w:rFonts w:asciiTheme="minorHAnsi" w:hAnsiTheme="minorHAnsi"/>
          <w:snapToGrid w:val="0"/>
        </w:rPr>
        <w:t xml:space="preserve"> </w:t>
      </w:r>
    </w:p>
    <w:p w14:paraId="07EE6973" w14:textId="2D78496F" w:rsidR="00D52970" w:rsidRDefault="00191BBA" w:rsidP="00A9581D">
      <w:pPr>
        <w:widowControl w:val="0"/>
        <w:numPr>
          <w:ilvl w:val="1"/>
          <w:numId w:val="1"/>
        </w:numPr>
        <w:ind w:left="720"/>
        <w:contextualSpacing/>
        <w:rPr>
          <w:rFonts w:asciiTheme="minorHAnsi" w:hAnsiTheme="minorHAnsi"/>
          <w:snapToGrid w:val="0"/>
        </w:rPr>
      </w:pPr>
      <w:bookmarkStart w:id="106" w:name="_Ref234230135"/>
      <w:r w:rsidRPr="00601593">
        <w:rPr>
          <w:rFonts w:asciiTheme="minorHAnsi" w:hAnsiTheme="minorHAnsi"/>
          <w:snapToGrid w:val="0"/>
        </w:rPr>
        <w:t>The PBAC</w:t>
      </w:r>
      <w:r>
        <w:rPr>
          <w:snapToGrid w:val="0"/>
        </w:rPr>
        <w:t xml:space="preserve"> </w:t>
      </w:r>
      <w:r w:rsidRPr="00601593">
        <w:rPr>
          <w:rFonts w:asciiTheme="minorHAnsi" w:hAnsiTheme="minorHAnsi"/>
          <w:snapToGrid w:val="0"/>
        </w:rPr>
        <w:t xml:space="preserve">considered there is a small unmet clinical need for </w:t>
      </w:r>
      <w:r>
        <w:rPr>
          <w:rFonts w:asciiTheme="minorHAnsi" w:hAnsiTheme="minorHAnsi"/>
          <w:snapToGrid w:val="0"/>
        </w:rPr>
        <w:t xml:space="preserve">the </w:t>
      </w:r>
      <w:r w:rsidRPr="00601593">
        <w:rPr>
          <w:rFonts w:asciiTheme="minorHAnsi" w:hAnsiTheme="minorHAnsi"/>
          <w:snapToGrid w:val="0"/>
        </w:rPr>
        <w:t>first line treatment of metastatic MCC</w:t>
      </w:r>
      <w:r>
        <w:rPr>
          <w:rFonts w:asciiTheme="minorHAnsi" w:hAnsiTheme="minorHAnsi"/>
          <w:snapToGrid w:val="0"/>
        </w:rPr>
        <w:t>, noting</w:t>
      </w:r>
      <w:r w:rsidRPr="00601593">
        <w:rPr>
          <w:rFonts w:asciiTheme="minorHAnsi" w:hAnsiTheme="minorHAnsi"/>
          <w:snapToGrid w:val="0"/>
        </w:rPr>
        <w:t xml:space="preserve"> there are currently other treatment options including avelumab</w:t>
      </w:r>
      <w:r>
        <w:rPr>
          <w:rFonts w:asciiTheme="minorHAnsi" w:hAnsiTheme="minorHAnsi"/>
          <w:snapToGrid w:val="0"/>
        </w:rPr>
        <w:t xml:space="preserve"> </w:t>
      </w:r>
      <w:r w:rsidRPr="00601593">
        <w:rPr>
          <w:rFonts w:asciiTheme="minorHAnsi" w:hAnsiTheme="minorHAnsi"/>
          <w:snapToGrid w:val="0"/>
        </w:rPr>
        <w:t xml:space="preserve">and chemotherapy. </w:t>
      </w:r>
      <w:r w:rsidR="00600E6D" w:rsidRPr="00A9581D">
        <w:rPr>
          <w:rFonts w:asciiTheme="minorHAnsi" w:hAnsiTheme="minorHAnsi"/>
          <w:snapToGrid w:val="0"/>
        </w:rPr>
        <w:t xml:space="preserve">The PBAC </w:t>
      </w:r>
      <w:r w:rsidR="009A4C2D">
        <w:rPr>
          <w:rFonts w:asciiTheme="minorHAnsi" w:hAnsiTheme="minorHAnsi"/>
          <w:snapToGrid w:val="0"/>
        </w:rPr>
        <w:t>noted</w:t>
      </w:r>
      <w:r w:rsidR="009A4C2D" w:rsidRPr="00A9581D">
        <w:rPr>
          <w:rFonts w:asciiTheme="minorHAnsi" w:hAnsiTheme="minorHAnsi"/>
          <w:snapToGrid w:val="0"/>
        </w:rPr>
        <w:t xml:space="preserve"> </w:t>
      </w:r>
      <w:r w:rsidR="00600E6D" w:rsidRPr="00A9581D">
        <w:rPr>
          <w:rFonts w:asciiTheme="minorHAnsi" w:hAnsiTheme="minorHAnsi"/>
          <w:snapToGrid w:val="0"/>
        </w:rPr>
        <w:t>that</w:t>
      </w:r>
      <w:r w:rsidR="009A4C2D">
        <w:rPr>
          <w:rFonts w:asciiTheme="minorHAnsi" w:hAnsiTheme="minorHAnsi"/>
          <w:snapToGrid w:val="0"/>
        </w:rPr>
        <w:t xml:space="preserve"> the</w:t>
      </w:r>
      <w:r w:rsidR="00600E6D" w:rsidRPr="00A9581D">
        <w:rPr>
          <w:rFonts w:asciiTheme="minorHAnsi" w:hAnsiTheme="minorHAnsi"/>
          <w:snapToGrid w:val="0"/>
        </w:rPr>
        <w:t xml:space="preserve"> listing of retifanlimab </w:t>
      </w:r>
      <w:r w:rsidR="009A4C2D">
        <w:rPr>
          <w:rFonts w:asciiTheme="minorHAnsi" w:hAnsiTheme="minorHAnsi"/>
          <w:snapToGrid w:val="0"/>
        </w:rPr>
        <w:t>may</w:t>
      </w:r>
      <w:r w:rsidR="00600E6D" w:rsidRPr="00A9581D">
        <w:rPr>
          <w:rFonts w:asciiTheme="minorHAnsi" w:hAnsiTheme="minorHAnsi"/>
          <w:snapToGrid w:val="0"/>
        </w:rPr>
        <w:t xml:space="preserve"> improve access for rural </w:t>
      </w:r>
      <w:r w:rsidR="00600E6D" w:rsidRPr="00A9581D">
        <w:rPr>
          <w:snapToGrid w:val="0"/>
        </w:rPr>
        <w:t>and regional patients</w:t>
      </w:r>
      <w:r w:rsidR="0004269F">
        <w:rPr>
          <w:snapToGrid w:val="0"/>
        </w:rPr>
        <w:t xml:space="preserve"> given its less frequent and faster administration</w:t>
      </w:r>
      <w:r w:rsidR="00344FF3">
        <w:rPr>
          <w:snapToGrid w:val="0"/>
        </w:rPr>
        <w:t xml:space="preserve"> </w:t>
      </w:r>
      <w:r w:rsidR="009A4C2D">
        <w:rPr>
          <w:snapToGrid w:val="0"/>
        </w:rPr>
        <w:t>compared with</w:t>
      </w:r>
      <w:r w:rsidR="00344FF3">
        <w:rPr>
          <w:snapToGrid w:val="0"/>
        </w:rPr>
        <w:t xml:space="preserve"> avelumab</w:t>
      </w:r>
      <w:r w:rsidR="00600E6D">
        <w:rPr>
          <w:snapToGrid w:val="0"/>
        </w:rPr>
        <w:t>.</w:t>
      </w:r>
      <w:r w:rsidR="00600E6D" w:rsidRPr="00A9581D">
        <w:rPr>
          <w:snapToGrid w:val="0"/>
        </w:rPr>
        <w:t xml:space="preserve"> </w:t>
      </w:r>
      <w:r w:rsidR="00745558">
        <w:rPr>
          <w:rFonts w:asciiTheme="minorHAnsi" w:hAnsiTheme="minorHAnsi"/>
          <w:snapToGrid w:val="0"/>
        </w:rPr>
        <w:t>T</w:t>
      </w:r>
      <w:r w:rsidR="00873C80" w:rsidRPr="00601593">
        <w:rPr>
          <w:rFonts w:asciiTheme="minorHAnsi" w:hAnsiTheme="minorHAnsi"/>
          <w:snapToGrid w:val="0"/>
        </w:rPr>
        <w:t>he PBAC considered that there is</w:t>
      </w:r>
      <w:r w:rsidR="00D944C2" w:rsidRPr="00601593">
        <w:rPr>
          <w:rFonts w:asciiTheme="minorHAnsi" w:hAnsiTheme="minorHAnsi"/>
          <w:snapToGrid w:val="0"/>
        </w:rPr>
        <w:t xml:space="preserve"> </w:t>
      </w:r>
      <w:r w:rsidR="00873C80" w:rsidRPr="00601593">
        <w:rPr>
          <w:rFonts w:asciiTheme="minorHAnsi" w:hAnsiTheme="minorHAnsi"/>
          <w:snapToGrid w:val="0"/>
        </w:rPr>
        <w:t xml:space="preserve">a </w:t>
      </w:r>
      <w:r w:rsidR="00D944C2" w:rsidRPr="00601593">
        <w:rPr>
          <w:rFonts w:asciiTheme="minorHAnsi" w:hAnsiTheme="minorHAnsi"/>
          <w:snapToGrid w:val="0"/>
        </w:rPr>
        <w:t xml:space="preserve">greater unmet need </w:t>
      </w:r>
      <w:r w:rsidR="00873C80" w:rsidRPr="00601593">
        <w:rPr>
          <w:rFonts w:asciiTheme="minorHAnsi" w:hAnsiTheme="minorHAnsi"/>
          <w:snapToGrid w:val="0"/>
        </w:rPr>
        <w:t>f</w:t>
      </w:r>
      <w:r w:rsidR="00D944C2" w:rsidRPr="00601593">
        <w:rPr>
          <w:rFonts w:asciiTheme="minorHAnsi" w:hAnsiTheme="minorHAnsi"/>
          <w:snapToGrid w:val="0"/>
        </w:rPr>
        <w:t xml:space="preserve">or </w:t>
      </w:r>
      <w:r w:rsidR="00786BD8" w:rsidRPr="00601593">
        <w:rPr>
          <w:rFonts w:asciiTheme="minorHAnsi" w:hAnsiTheme="minorHAnsi"/>
          <w:snapToGrid w:val="0"/>
        </w:rPr>
        <w:t xml:space="preserve">recurrent, </w:t>
      </w:r>
      <w:r w:rsidR="00D944C2" w:rsidRPr="00601593">
        <w:rPr>
          <w:rFonts w:asciiTheme="minorHAnsi" w:hAnsiTheme="minorHAnsi"/>
          <w:snapToGrid w:val="0"/>
        </w:rPr>
        <w:t>locally advanced</w:t>
      </w:r>
      <w:r w:rsidR="00873C80" w:rsidRPr="00601593">
        <w:rPr>
          <w:rFonts w:asciiTheme="minorHAnsi" w:hAnsiTheme="minorHAnsi"/>
          <w:snapToGrid w:val="0"/>
        </w:rPr>
        <w:t xml:space="preserve"> MCC</w:t>
      </w:r>
      <w:r w:rsidR="00D944C2" w:rsidRPr="00601593">
        <w:rPr>
          <w:rFonts w:asciiTheme="minorHAnsi" w:hAnsiTheme="minorHAnsi"/>
          <w:snapToGrid w:val="0"/>
        </w:rPr>
        <w:t xml:space="preserve"> not amenable to surgery</w:t>
      </w:r>
      <w:r w:rsidR="008F37FA" w:rsidRPr="00601593">
        <w:rPr>
          <w:rFonts w:asciiTheme="minorHAnsi" w:hAnsiTheme="minorHAnsi"/>
          <w:snapToGrid w:val="0"/>
        </w:rPr>
        <w:t xml:space="preserve"> or </w:t>
      </w:r>
      <w:r w:rsidR="00D944C2" w:rsidRPr="00601593">
        <w:rPr>
          <w:rFonts w:asciiTheme="minorHAnsi" w:hAnsiTheme="minorHAnsi"/>
          <w:snapToGrid w:val="0"/>
        </w:rPr>
        <w:t>radiation</w:t>
      </w:r>
      <w:r w:rsidR="005C4C11" w:rsidRPr="00601593">
        <w:rPr>
          <w:rFonts w:asciiTheme="minorHAnsi" w:hAnsiTheme="minorHAnsi"/>
          <w:snapToGrid w:val="0"/>
        </w:rPr>
        <w:t xml:space="preserve">, </w:t>
      </w:r>
      <w:r w:rsidR="00786BD8" w:rsidRPr="00601593">
        <w:rPr>
          <w:rFonts w:asciiTheme="minorHAnsi" w:hAnsiTheme="minorHAnsi"/>
          <w:snapToGrid w:val="0"/>
        </w:rPr>
        <w:t>as</w:t>
      </w:r>
      <w:r w:rsidR="00327775" w:rsidRPr="00601593">
        <w:rPr>
          <w:rFonts w:asciiTheme="minorHAnsi" w:hAnsiTheme="minorHAnsi"/>
          <w:snapToGrid w:val="0"/>
        </w:rPr>
        <w:t xml:space="preserve"> there are currently no PBS-listed </w:t>
      </w:r>
      <w:r w:rsidR="00327775" w:rsidRPr="00265F6A">
        <w:rPr>
          <w:rFonts w:asciiTheme="minorHAnsi" w:hAnsiTheme="minorHAnsi"/>
          <w:snapToGrid w:val="0"/>
        </w:rPr>
        <w:t>immunotherapies</w:t>
      </w:r>
      <w:r w:rsidR="00692CCB" w:rsidRPr="00265F6A">
        <w:rPr>
          <w:rFonts w:asciiTheme="minorHAnsi" w:hAnsiTheme="minorHAnsi"/>
          <w:snapToGrid w:val="0"/>
        </w:rPr>
        <w:t xml:space="preserve"> and</w:t>
      </w:r>
      <w:r w:rsidR="00327775" w:rsidRPr="00265F6A">
        <w:rPr>
          <w:rFonts w:asciiTheme="minorHAnsi" w:hAnsiTheme="minorHAnsi"/>
          <w:snapToGrid w:val="0"/>
        </w:rPr>
        <w:t xml:space="preserve"> patients are limited to standard of care (SoC) chemotherapy</w:t>
      </w:r>
      <w:r w:rsidR="00786BD8" w:rsidRPr="00265F6A">
        <w:rPr>
          <w:rFonts w:asciiTheme="minorHAnsi" w:hAnsiTheme="minorHAnsi"/>
          <w:snapToGrid w:val="0"/>
        </w:rPr>
        <w:t>,</w:t>
      </w:r>
      <w:r w:rsidR="0024499B" w:rsidRPr="00265F6A">
        <w:rPr>
          <w:rFonts w:asciiTheme="minorHAnsi" w:hAnsiTheme="minorHAnsi"/>
          <w:snapToGrid w:val="0"/>
        </w:rPr>
        <w:t xml:space="preserve"> although</w:t>
      </w:r>
      <w:r w:rsidR="00786BD8" w:rsidRPr="00265F6A">
        <w:rPr>
          <w:rFonts w:asciiTheme="minorHAnsi" w:hAnsiTheme="minorHAnsi"/>
          <w:snapToGrid w:val="0"/>
        </w:rPr>
        <w:t xml:space="preserve"> </w:t>
      </w:r>
      <w:r w:rsidR="005C4C11" w:rsidRPr="00265F6A">
        <w:rPr>
          <w:rFonts w:asciiTheme="minorHAnsi" w:hAnsiTheme="minorHAnsi"/>
          <w:snapToGrid w:val="0"/>
        </w:rPr>
        <w:t>acknowledg</w:t>
      </w:r>
      <w:r w:rsidR="0024499B" w:rsidRPr="00265F6A">
        <w:rPr>
          <w:rFonts w:asciiTheme="minorHAnsi" w:hAnsiTheme="minorHAnsi"/>
          <w:snapToGrid w:val="0"/>
        </w:rPr>
        <w:t>ed</w:t>
      </w:r>
      <w:r w:rsidR="00AE3DF7" w:rsidRPr="00265F6A">
        <w:rPr>
          <w:rFonts w:asciiTheme="minorHAnsi" w:hAnsiTheme="minorHAnsi"/>
          <w:snapToGrid w:val="0"/>
        </w:rPr>
        <w:t xml:space="preserve"> the</w:t>
      </w:r>
      <w:r w:rsidR="005C4C11" w:rsidRPr="00265F6A">
        <w:rPr>
          <w:rFonts w:asciiTheme="minorHAnsi" w:hAnsiTheme="minorHAnsi"/>
          <w:snapToGrid w:val="0"/>
        </w:rPr>
        <w:t xml:space="preserve"> </w:t>
      </w:r>
      <w:r w:rsidR="006D616B" w:rsidRPr="00265F6A">
        <w:rPr>
          <w:rFonts w:asciiTheme="minorHAnsi" w:hAnsiTheme="minorHAnsi"/>
          <w:snapToGrid w:val="0"/>
        </w:rPr>
        <w:t>potential overlap</w:t>
      </w:r>
      <w:r w:rsidR="00DB0BC0" w:rsidRPr="00265F6A">
        <w:rPr>
          <w:rFonts w:asciiTheme="minorHAnsi" w:hAnsiTheme="minorHAnsi"/>
          <w:snapToGrid w:val="0"/>
        </w:rPr>
        <w:t xml:space="preserve"> of this population with the metastatic population</w:t>
      </w:r>
      <w:r w:rsidR="005C4C11" w:rsidRPr="00265F6A">
        <w:rPr>
          <w:rFonts w:asciiTheme="minorHAnsi" w:hAnsiTheme="minorHAnsi"/>
          <w:snapToGrid w:val="0"/>
        </w:rPr>
        <w:t>.</w:t>
      </w:r>
      <w:bookmarkEnd w:id="106"/>
    </w:p>
    <w:p w14:paraId="171CF347" w14:textId="4920ACA0" w:rsidR="00EA3A4E" w:rsidRDefault="0073035E" w:rsidP="00A9581D">
      <w:pPr>
        <w:widowControl w:val="0"/>
        <w:numPr>
          <w:ilvl w:val="1"/>
          <w:numId w:val="1"/>
        </w:numPr>
        <w:ind w:left="720"/>
        <w:contextualSpacing/>
        <w:rPr>
          <w:rFonts w:asciiTheme="minorHAnsi" w:hAnsiTheme="minorHAnsi"/>
          <w:snapToGrid w:val="0"/>
        </w:rPr>
      </w:pPr>
      <w:bookmarkStart w:id="107" w:name="_Ref234230172"/>
      <w:r w:rsidRPr="00601593">
        <w:rPr>
          <w:snapToGrid w:val="0"/>
        </w:rPr>
        <w:t xml:space="preserve">The PBAC welcomed input from </w:t>
      </w:r>
      <w:r w:rsidR="000241F5">
        <w:rPr>
          <w:snapToGrid w:val="0"/>
        </w:rPr>
        <w:t>individuals, health care professionals and organisations</w:t>
      </w:r>
      <w:r w:rsidR="00017105">
        <w:rPr>
          <w:snapToGrid w:val="0"/>
        </w:rPr>
        <w:t>,</w:t>
      </w:r>
      <w:r w:rsidR="008D62D0">
        <w:rPr>
          <w:snapToGrid w:val="0"/>
        </w:rPr>
        <w:t xml:space="preserve"> </w:t>
      </w:r>
      <w:r w:rsidRPr="00601593">
        <w:rPr>
          <w:snapToGrid w:val="0"/>
        </w:rPr>
        <w:t xml:space="preserve">which noted that </w:t>
      </w:r>
      <w:bookmarkStart w:id="108" w:name="_Hlk216185915"/>
      <w:r w:rsidRPr="00601593">
        <w:rPr>
          <w:snapToGrid w:val="0"/>
        </w:rPr>
        <w:t>MCC is a rare and aggressive neuroendocrine tumour</w:t>
      </w:r>
      <w:bookmarkEnd w:id="108"/>
      <w:r w:rsidRPr="00601593">
        <w:rPr>
          <w:snapToGrid w:val="0"/>
        </w:rPr>
        <w:t>, and described potential benefits associated with retifanlimab including less frequent dosing (every 4 weeks, Q4W), and a faster infusion rate (30 minutes), compared to avelumab (dosing every 2 weeks, Q2W and 60 minute infusion).</w:t>
      </w:r>
      <w:bookmarkEnd w:id="107"/>
    </w:p>
    <w:p w14:paraId="2C104381" w14:textId="6005EA08" w:rsidR="00886861" w:rsidRDefault="00886861" w:rsidP="00C517C3">
      <w:pPr>
        <w:widowControl w:val="0"/>
        <w:numPr>
          <w:ilvl w:val="1"/>
          <w:numId w:val="1"/>
        </w:numPr>
        <w:spacing w:after="120"/>
        <w:ind w:left="720"/>
        <w:rPr>
          <w:rFonts w:asciiTheme="minorHAnsi" w:hAnsiTheme="minorHAnsi"/>
          <w:snapToGrid w:val="0"/>
        </w:rPr>
      </w:pPr>
      <w:bookmarkStart w:id="109" w:name="_Ref234230304"/>
      <w:r>
        <w:rPr>
          <w:rFonts w:asciiTheme="minorHAnsi" w:hAnsiTheme="minorHAnsi"/>
          <w:snapToGrid w:val="0"/>
        </w:rPr>
        <w:t xml:space="preserve">With regards to the </w:t>
      </w:r>
      <w:r w:rsidR="002D2DFD">
        <w:rPr>
          <w:rFonts w:asciiTheme="minorHAnsi" w:hAnsiTheme="minorHAnsi"/>
          <w:snapToGrid w:val="0"/>
        </w:rPr>
        <w:t>restriction criteria, the PBAC advised the following:</w:t>
      </w:r>
      <w:bookmarkEnd w:id="109"/>
    </w:p>
    <w:p w14:paraId="4AF58623" w14:textId="52546131" w:rsidR="002D2DFD" w:rsidRDefault="002D2DFD" w:rsidP="002D2DFD">
      <w:pPr>
        <w:pStyle w:val="ListParagraph"/>
        <w:widowControl w:val="0"/>
        <w:numPr>
          <w:ilvl w:val="0"/>
          <w:numId w:val="35"/>
        </w:numPr>
        <w:contextualSpacing/>
      </w:pPr>
      <w:r>
        <w:t xml:space="preserve">A combined initial and continuing (STREAMLINED) restriction was appropriate; </w:t>
      </w:r>
    </w:p>
    <w:p w14:paraId="7948711F" w14:textId="59E9BF61" w:rsidR="002D2DFD" w:rsidRPr="00570516" w:rsidRDefault="002D2DFD" w:rsidP="00C517C3">
      <w:pPr>
        <w:pStyle w:val="ListParagraph"/>
        <w:numPr>
          <w:ilvl w:val="0"/>
          <w:numId w:val="35"/>
        </w:numPr>
        <w:ind w:left="1434" w:hanging="357"/>
        <w:jc w:val="both"/>
      </w:pPr>
      <w:r>
        <w:t xml:space="preserve">It should include </w:t>
      </w:r>
      <w:r w:rsidRPr="00570516">
        <w:t>recurrent locally advanced</w:t>
      </w:r>
      <w:r>
        <w:t xml:space="preserve"> MCC</w:t>
      </w:r>
      <w:r w:rsidRPr="00570516">
        <w:t xml:space="preserve"> not amenable to surgery or radiotherapy, as per the proposed TGA Product information (PI)</w:t>
      </w:r>
      <w:r>
        <w:t xml:space="preserve"> (paragraph </w:t>
      </w:r>
      <w:r>
        <w:fldChar w:fldCharType="begin"/>
      </w:r>
      <w:r>
        <w:instrText xml:space="preserve"> REF _Ref211335035 \r \h </w:instrText>
      </w:r>
      <w:r>
        <w:fldChar w:fldCharType="separate"/>
      </w:r>
      <w:r w:rsidR="008D62D0">
        <w:t>3.4</w:t>
      </w:r>
      <w:r>
        <w:fldChar w:fldCharType="end"/>
      </w:r>
      <w:r>
        <w:t>)</w:t>
      </w:r>
      <w:r w:rsidRPr="00570516">
        <w:t>.</w:t>
      </w:r>
    </w:p>
    <w:p w14:paraId="54E09E3F" w14:textId="324FA725" w:rsidR="00C517C3" w:rsidRDefault="00C517C3" w:rsidP="00C517C3">
      <w:pPr>
        <w:pStyle w:val="ListParagraph"/>
        <w:numPr>
          <w:ilvl w:val="0"/>
          <w:numId w:val="35"/>
        </w:numPr>
        <w:ind w:left="1434" w:hanging="357"/>
        <w:jc w:val="both"/>
      </w:pPr>
      <w:r>
        <w:t>It was appropriate to specify that n</w:t>
      </w:r>
      <w:r w:rsidRPr="00273053">
        <w:t>o increase in the maximum amount or number of units may be authorised</w:t>
      </w:r>
      <w:r>
        <w:t xml:space="preserve"> (paragraph </w:t>
      </w:r>
      <w:r>
        <w:fldChar w:fldCharType="begin"/>
      </w:r>
      <w:r>
        <w:instrText xml:space="preserve"> REF _Ref216102818 \r \h </w:instrText>
      </w:r>
      <w:r>
        <w:fldChar w:fldCharType="separate"/>
      </w:r>
      <w:r w:rsidR="008D62D0">
        <w:t>3.3</w:t>
      </w:r>
      <w:r>
        <w:fldChar w:fldCharType="end"/>
      </w:r>
      <w:r>
        <w:t xml:space="preserve">); </w:t>
      </w:r>
    </w:p>
    <w:p w14:paraId="35BFDC72" w14:textId="0F271F0B" w:rsidR="00B06B95" w:rsidRDefault="00B06B95" w:rsidP="00B06B95">
      <w:pPr>
        <w:pStyle w:val="ListParagraph"/>
        <w:widowControl w:val="0"/>
        <w:numPr>
          <w:ilvl w:val="0"/>
          <w:numId w:val="35"/>
        </w:numPr>
        <w:ind w:left="1434" w:hanging="357"/>
      </w:pPr>
      <w:r>
        <w:t xml:space="preserve">Omission of ECOG performance status was reasonable (paragraph </w:t>
      </w:r>
      <w:r>
        <w:fldChar w:fldCharType="begin"/>
      </w:r>
      <w:r>
        <w:instrText xml:space="preserve"> REF _Ref214454662 \r \h </w:instrText>
      </w:r>
      <w:r>
        <w:fldChar w:fldCharType="separate"/>
      </w:r>
      <w:r w:rsidR="008D62D0">
        <w:t>3.5</w:t>
      </w:r>
      <w:r>
        <w:fldChar w:fldCharType="end"/>
      </w:r>
      <w:r>
        <w:t xml:space="preserve">); </w:t>
      </w:r>
    </w:p>
    <w:p w14:paraId="50B55B6A" w14:textId="7C2DBCB5" w:rsidR="00C517C3" w:rsidRPr="00570516" w:rsidRDefault="00C517C3" w:rsidP="002D2DFD">
      <w:pPr>
        <w:pStyle w:val="ListParagraph"/>
        <w:numPr>
          <w:ilvl w:val="0"/>
          <w:numId w:val="35"/>
        </w:numPr>
        <w:jc w:val="both"/>
      </w:pPr>
      <w:r>
        <w:t xml:space="preserve">The restriction should not allow </w:t>
      </w:r>
      <w:r w:rsidRPr="00570516">
        <w:t xml:space="preserve">treatment </w:t>
      </w:r>
      <w:r>
        <w:t xml:space="preserve">switching between </w:t>
      </w:r>
      <w:r w:rsidRPr="00295E6C">
        <w:t>Programmed Death 1</w:t>
      </w:r>
      <w:r>
        <w:t>/Ligand-1</w:t>
      </w:r>
      <w:r w:rsidRPr="00295E6C">
        <w:t xml:space="preserve"> (PD-</w:t>
      </w:r>
      <w:r>
        <w:t>(L)</w:t>
      </w:r>
      <w:r w:rsidRPr="00295E6C">
        <w:t>1)</w:t>
      </w:r>
      <w:r>
        <w:t xml:space="preserve"> </w:t>
      </w:r>
      <w:r w:rsidRPr="00295E6C">
        <w:t>inhibitor therap</w:t>
      </w:r>
      <w:r>
        <w:t>ies</w:t>
      </w:r>
      <w:r w:rsidRPr="00295E6C">
        <w:t xml:space="preserve"> </w:t>
      </w:r>
      <w:r w:rsidRPr="00570516">
        <w:t>e</w:t>
      </w:r>
      <w:r>
        <w:t>.</w:t>
      </w:r>
      <w:r w:rsidRPr="00570516">
        <w:t>g</w:t>
      </w:r>
      <w:r>
        <w:t>.</w:t>
      </w:r>
      <w:r w:rsidRPr="00570516">
        <w:t xml:space="preserve"> </w:t>
      </w:r>
      <w:r>
        <w:t xml:space="preserve">for </w:t>
      </w:r>
      <w:r w:rsidRPr="00570516">
        <w:t xml:space="preserve">reasons of intolerance, </w:t>
      </w:r>
      <w:r w:rsidRPr="00C95DE0">
        <w:t xml:space="preserve">progression </w:t>
      </w:r>
      <w:r w:rsidRPr="00570516">
        <w:t>or convenience (paragraph</w:t>
      </w:r>
      <w:r>
        <w:t xml:space="preserve"> </w:t>
      </w:r>
      <w:r>
        <w:fldChar w:fldCharType="begin"/>
      </w:r>
      <w:r>
        <w:instrText xml:space="preserve"> REF _Ref214444809 \r \h </w:instrText>
      </w:r>
      <w:r>
        <w:fldChar w:fldCharType="separate"/>
      </w:r>
      <w:r w:rsidR="008D62D0">
        <w:t>3.6</w:t>
      </w:r>
      <w:r>
        <w:fldChar w:fldCharType="end"/>
      </w:r>
      <w:r>
        <w:t>).</w:t>
      </w:r>
    </w:p>
    <w:p w14:paraId="5B594EB2" w14:textId="26F3FE62" w:rsidR="002D2DFD" w:rsidRPr="002D2DFD" w:rsidRDefault="002D2DFD" w:rsidP="002D2DFD">
      <w:pPr>
        <w:pStyle w:val="ListParagraph"/>
        <w:widowControl w:val="0"/>
        <w:numPr>
          <w:ilvl w:val="0"/>
          <w:numId w:val="35"/>
        </w:numPr>
        <w:contextualSpacing/>
      </w:pPr>
      <w:r>
        <w:t>The clinical criterion ‘P</w:t>
      </w:r>
      <w:r w:rsidRPr="00C4223D">
        <w:rPr>
          <w:rFonts w:ascii="Calibri" w:hAnsi="Calibri"/>
        </w:rPr>
        <w:t>atient must be untreated with programmed cell death-1/ligand 1 (PD-1/PD-L1) inhibitor therapy at initiation therapy for this indication</w:t>
      </w:r>
      <w:r>
        <w:rPr>
          <w:rFonts w:ascii="Calibri" w:hAnsi="Calibri"/>
        </w:rPr>
        <w:t>’ will ensure once per lifetime access to immunotherapy for MCC. This should be flowed on to the avelumab listing</w:t>
      </w:r>
      <w:r w:rsidR="00C517C3">
        <w:rPr>
          <w:rFonts w:ascii="Calibri" w:hAnsi="Calibri"/>
        </w:rPr>
        <w:t>.</w:t>
      </w:r>
    </w:p>
    <w:p w14:paraId="6C21A5FE" w14:textId="432682B0" w:rsidR="00976EAE" w:rsidRPr="00091DEC" w:rsidRDefault="007A0AFB">
      <w:pPr>
        <w:widowControl w:val="0"/>
        <w:numPr>
          <w:ilvl w:val="1"/>
          <w:numId w:val="1"/>
        </w:numPr>
        <w:spacing w:after="120"/>
        <w:ind w:left="720"/>
        <w:rPr>
          <w:snapToGrid w:val="0"/>
        </w:rPr>
      </w:pPr>
      <w:r w:rsidRPr="00091DEC">
        <w:rPr>
          <w:snapToGrid w:val="0"/>
        </w:rPr>
        <w:t>The PBAC considered that the</w:t>
      </w:r>
      <w:r w:rsidR="0099148F" w:rsidRPr="00091DEC">
        <w:rPr>
          <w:snapToGrid w:val="0"/>
        </w:rPr>
        <w:t xml:space="preserve"> submission’s nominated</w:t>
      </w:r>
      <w:r w:rsidRPr="00091DEC">
        <w:rPr>
          <w:snapToGrid w:val="0"/>
        </w:rPr>
        <w:t xml:space="preserve"> comparator</w:t>
      </w:r>
      <w:r w:rsidR="00E12070" w:rsidRPr="00091DEC">
        <w:rPr>
          <w:snapToGrid w:val="0"/>
        </w:rPr>
        <w:t xml:space="preserve"> of</w:t>
      </w:r>
      <w:r w:rsidRPr="00091DEC">
        <w:rPr>
          <w:snapToGrid w:val="0"/>
        </w:rPr>
        <w:t xml:space="preserve"> avelumab, was appropriate</w:t>
      </w:r>
      <w:r w:rsidR="00BF6D9F">
        <w:rPr>
          <w:snapToGrid w:val="0"/>
        </w:rPr>
        <w:t xml:space="preserve"> for the metastatic population</w:t>
      </w:r>
      <w:r w:rsidR="00BB6207" w:rsidRPr="00091DEC">
        <w:rPr>
          <w:snapToGrid w:val="0"/>
        </w:rPr>
        <w:t xml:space="preserve">. </w:t>
      </w:r>
      <w:r w:rsidR="00F50975" w:rsidRPr="00091DEC">
        <w:rPr>
          <w:snapToGrid w:val="0"/>
        </w:rPr>
        <w:t xml:space="preserve">The PBAC noted that the submission nominated SoC chemotherapy as the comparator for the locally advanced MCC population </w:t>
      </w:r>
      <w:r w:rsidR="004E1824">
        <w:rPr>
          <w:snapToGrid w:val="0"/>
        </w:rPr>
        <w:t>as patients</w:t>
      </w:r>
      <w:r w:rsidR="004E1824" w:rsidRPr="00091DEC">
        <w:rPr>
          <w:snapToGrid w:val="0"/>
        </w:rPr>
        <w:t xml:space="preserve"> </w:t>
      </w:r>
      <w:r w:rsidR="00F50975" w:rsidRPr="00091DEC">
        <w:rPr>
          <w:snapToGrid w:val="0"/>
        </w:rPr>
        <w:t xml:space="preserve">are </w:t>
      </w:r>
      <w:r w:rsidR="00091DEC" w:rsidRPr="00091DEC">
        <w:rPr>
          <w:snapToGrid w:val="0"/>
        </w:rPr>
        <w:t xml:space="preserve">not eligible </w:t>
      </w:r>
      <w:r w:rsidR="002657D9">
        <w:rPr>
          <w:snapToGrid w:val="0"/>
        </w:rPr>
        <w:t xml:space="preserve">for avelumab </w:t>
      </w:r>
      <w:r w:rsidR="00091DEC" w:rsidRPr="00091DEC">
        <w:rPr>
          <w:snapToGrid w:val="0"/>
        </w:rPr>
        <w:t xml:space="preserve">under the existing restriction, </w:t>
      </w:r>
      <w:r w:rsidR="00091DEC" w:rsidRPr="00091DEC">
        <w:rPr>
          <w:snapToGrid w:val="0"/>
        </w:rPr>
        <w:lastRenderedPageBreak/>
        <w:t xml:space="preserve">however </w:t>
      </w:r>
      <w:r w:rsidR="006F3475">
        <w:rPr>
          <w:snapToGrid w:val="0"/>
        </w:rPr>
        <w:t>a</w:t>
      </w:r>
      <w:r w:rsidR="00976EAE" w:rsidRPr="00091DEC">
        <w:rPr>
          <w:snapToGrid w:val="0"/>
        </w:rPr>
        <w:t xml:space="preserve"> clinical comparison </w:t>
      </w:r>
      <w:r w:rsidR="00091DEC">
        <w:rPr>
          <w:snapToGrid w:val="0"/>
        </w:rPr>
        <w:t>was</w:t>
      </w:r>
      <w:r w:rsidR="008B30B4">
        <w:rPr>
          <w:snapToGrid w:val="0"/>
        </w:rPr>
        <w:t xml:space="preserve"> not</w:t>
      </w:r>
      <w:r w:rsidR="00091DEC">
        <w:rPr>
          <w:snapToGrid w:val="0"/>
        </w:rPr>
        <w:t xml:space="preserve"> presented in the submission</w:t>
      </w:r>
      <w:r w:rsidR="00554C57">
        <w:rPr>
          <w:snapToGrid w:val="0"/>
        </w:rPr>
        <w:t>.</w:t>
      </w:r>
      <w:r w:rsidR="00091DEC">
        <w:rPr>
          <w:snapToGrid w:val="0"/>
        </w:rPr>
        <w:t xml:space="preserve"> </w:t>
      </w:r>
      <w:r w:rsidR="00AE0E28">
        <w:rPr>
          <w:snapToGrid w:val="0"/>
        </w:rPr>
        <w:t xml:space="preserve">The PBAC </w:t>
      </w:r>
      <w:r w:rsidR="00300FFB">
        <w:rPr>
          <w:snapToGrid w:val="0"/>
        </w:rPr>
        <w:t xml:space="preserve">agreed with the ESC that </w:t>
      </w:r>
      <w:r w:rsidR="006B303B" w:rsidRPr="006B303B">
        <w:rPr>
          <w:snapToGrid w:val="0"/>
        </w:rPr>
        <w:t>this population was relatively small, and there was overlap with the metastatic population, hence accepted avelumab as the single comparator for retifanlimab</w:t>
      </w:r>
      <w:r w:rsidR="00976EAE" w:rsidRPr="00091DEC">
        <w:rPr>
          <w:snapToGrid w:val="0"/>
        </w:rPr>
        <w:t>.</w:t>
      </w:r>
      <w:r w:rsidR="0039555D">
        <w:rPr>
          <w:snapToGrid w:val="0"/>
        </w:rPr>
        <w:t xml:space="preserve"> </w:t>
      </w:r>
    </w:p>
    <w:p w14:paraId="388A4949" w14:textId="25BABEBC" w:rsidR="00EF2F72" w:rsidRDefault="009A400B">
      <w:pPr>
        <w:widowControl w:val="0"/>
        <w:numPr>
          <w:ilvl w:val="1"/>
          <w:numId w:val="1"/>
        </w:numPr>
        <w:spacing w:after="120"/>
        <w:ind w:left="720"/>
        <w:rPr>
          <w:snapToGrid w:val="0"/>
        </w:rPr>
      </w:pPr>
      <w:r w:rsidRPr="00FC081C">
        <w:rPr>
          <w:rFonts w:asciiTheme="minorHAnsi" w:hAnsiTheme="minorHAnsi"/>
          <w:snapToGrid w:val="0"/>
        </w:rPr>
        <w:t>The submission was based on two single arm, Phase 2 studies of</w:t>
      </w:r>
      <w:r w:rsidR="002074E6" w:rsidRPr="00FC081C">
        <w:rPr>
          <w:rFonts w:asciiTheme="minorHAnsi" w:hAnsiTheme="minorHAnsi"/>
          <w:snapToGrid w:val="0"/>
        </w:rPr>
        <w:t>:</w:t>
      </w:r>
      <w:r w:rsidRPr="00FC081C">
        <w:rPr>
          <w:rFonts w:asciiTheme="minorHAnsi" w:hAnsiTheme="minorHAnsi"/>
          <w:snapToGrid w:val="0"/>
        </w:rPr>
        <w:t xml:space="preserve"> retifanlimab (POD1UM-201</w:t>
      </w:r>
      <w:r w:rsidR="009F2D75" w:rsidRPr="00FC081C">
        <w:rPr>
          <w:rFonts w:asciiTheme="minorHAnsi" w:hAnsiTheme="minorHAnsi"/>
          <w:snapToGrid w:val="0"/>
        </w:rPr>
        <w:t>, N=107</w:t>
      </w:r>
      <w:r w:rsidRPr="00FC081C">
        <w:rPr>
          <w:rFonts w:asciiTheme="minorHAnsi" w:hAnsiTheme="minorHAnsi"/>
          <w:snapToGrid w:val="0"/>
        </w:rPr>
        <w:t>)</w:t>
      </w:r>
      <w:r w:rsidR="00E656F7" w:rsidRPr="00FC081C">
        <w:rPr>
          <w:rFonts w:asciiTheme="minorHAnsi" w:hAnsiTheme="minorHAnsi"/>
          <w:snapToGrid w:val="0"/>
        </w:rPr>
        <w:t>;</w:t>
      </w:r>
      <w:r w:rsidRPr="00FC081C">
        <w:rPr>
          <w:rFonts w:asciiTheme="minorHAnsi" w:hAnsiTheme="minorHAnsi"/>
          <w:snapToGrid w:val="0"/>
        </w:rPr>
        <w:t xml:space="preserve"> and avelumab (JM200 Part B</w:t>
      </w:r>
      <w:r w:rsidR="009F2D75" w:rsidRPr="00FC081C">
        <w:rPr>
          <w:snapToGrid w:val="0"/>
        </w:rPr>
        <w:t>, N=116</w:t>
      </w:r>
      <w:r w:rsidRPr="00FC081C">
        <w:rPr>
          <w:rFonts w:asciiTheme="minorHAnsi" w:hAnsiTheme="minorHAnsi"/>
          <w:snapToGrid w:val="0"/>
        </w:rPr>
        <w:t>) in adults with MCC</w:t>
      </w:r>
      <w:r w:rsidR="009A2612" w:rsidRPr="00FC081C">
        <w:rPr>
          <w:rFonts w:asciiTheme="minorHAnsi" w:hAnsiTheme="minorHAnsi"/>
          <w:snapToGrid w:val="0"/>
        </w:rPr>
        <w:t xml:space="preserve"> (see paragraph </w:t>
      </w:r>
      <w:r w:rsidR="009A2612" w:rsidRPr="00FC081C">
        <w:rPr>
          <w:rFonts w:asciiTheme="minorHAnsi" w:hAnsiTheme="minorHAnsi"/>
          <w:snapToGrid w:val="0"/>
        </w:rPr>
        <w:fldChar w:fldCharType="begin"/>
      </w:r>
      <w:r w:rsidR="009A2612" w:rsidRPr="00FC081C">
        <w:rPr>
          <w:rFonts w:asciiTheme="minorHAnsi" w:hAnsiTheme="minorHAnsi"/>
          <w:snapToGrid w:val="0"/>
        </w:rPr>
        <w:instrText xml:space="preserve"> REF _Ref214458160 \r \h </w:instrText>
      </w:r>
      <w:r w:rsidR="009A2612" w:rsidRPr="00FC081C">
        <w:rPr>
          <w:rFonts w:asciiTheme="minorHAnsi" w:hAnsiTheme="minorHAnsi"/>
          <w:snapToGrid w:val="0"/>
        </w:rPr>
      </w:r>
      <w:r w:rsidR="009A2612" w:rsidRPr="00FC081C">
        <w:rPr>
          <w:rFonts w:asciiTheme="minorHAnsi" w:hAnsiTheme="minorHAnsi"/>
          <w:snapToGrid w:val="0"/>
        </w:rPr>
        <w:fldChar w:fldCharType="separate"/>
      </w:r>
      <w:r w:rsidR="008D62D0">
        <w:rPr>
          <w:rFonts w:asciiTheme="minorHAnsi" w:hAnsiTheme="minorHAnsi"/>
          <w:snapToGrid w:val="0"/>
        </w:rPr>
        <w:t>6.4</w:t>
      </w:r>
      <w:r w:rsidR="009A2612" w:rsidRPr="00FC081C">
        <w:rPr>
          <w:rFonts w:asciiTheme="minorHAnsi" w:hAnsiTheme="minorHAnsi"/>
          <w:snapToGrid w:val="0"/>
        </w:rPr>
        <w:fldChar w:fldCharType="end"/>
      </w:r>
      <w:r w:rsidR="009A2612" w:rsidRPr="00FC081C">
        <w:rPr>
          <w:rFonts w:asciiTheme="minorHAnsi" w:hAnsiTheme="minorHAnsi"/>
          <w:snapToGrid w:val="0"/>
        </w:rPr>
        <w:t>)</w:t>
      </w:r>
      <w:r w:rsidR="00B063EA" w:rsidRPr="00FC081C">
        <w:rPr>
          <w:rFonts w:asciiTheme="minorHAnsi" w:hAnsiTheme="minorHAnsi"/>
          <w:snapToGrid w:val="0"/>
        </w:rPr>
        <w:t xml:space="preserve">, which formed the basis of </w:t>
      </w:r>
      <w:r w:rsidR="00560579" w:rsidRPr="00FC081C">
        <w:rPr>
          <w:rFonts w:asciiTheme="minorHAnsi" w:hAnsiTheme="minorHAnsi"/>
          <w:snapToGrid w:val="0"/>
        </w:rPr>
        <w:t>t</w:t>
      </w:r>
      <w:r w:rsidR="003E5C66" w:rsidRPr="00FC081C">
        <w:rPr>
          <w:rFonts w:asciiTheme="minorHAnsi" w:hAnsiTheme="minorHAnsi"/>
          <w:snapToGrid w:val="0"/>
        </w:rPr>
        <w:t xml:space="preserve">wo </w:t>
      </w:r>
      <w:r w:rsidR="00560579" w:rsidRPr="00FC081C">
        <w:rPr>
          <w:snapToGrid w:val="0"/>
        </w:rPr>
        <w:t>unanchored matched adjusted indirect comparison</w:t>
      </w:r>
      <w:r w:rsidR="003E5C66" w:rsidRPr="00FC081C">
        <w:rPr>
          <w:snapToGrid w:val="0"/>
        </w:rPr>
        <w:t>s</w:t>
      </w:r>
      <w:r w:rsidR="00560579" w:rsidRPr="00FC081C">
        <w:rPr>
          <w:snapToGrid w:val="0"/>
        </w:rPr>
        <w:t xml:space="preserve"> (MAIC</w:t>
      </w:r>
      <w:r w:rsidR="003E5C66" w:rsidRPr="00FC081C">
        <w:rPr>
          <w:snapToGrid w:val="0"/>
        </w:rPr>
        <w:t>s</w:t>
      </w:r>
      <w:r w:rsidR="00560579" w:rsidRPr="00FC081C">
        <w:rPr>
          <w:snapToGrid w:val="0"/>
        </w:rPr>
        <w:t>)</w:t>
      </w:r>
      <w:r w:rsidR="00D1395E">
        <w:rPr>
          <w:snapToGrid w:val="0"/>
        </w:rPr>
        <w:t>,</w:t>
      </w:r>
      <w:r w:rsidR="00560579" w:rsidRPr="00FC081C">
        <w:rPr>
          <w:snapToGrid w:val="0"/>
        </w:rPr>
        <w:t xml:space="preserve"> of retifanlimab versus avelumab in metastatic MCC </w:t>
      </w:r>
      <w:r w:rsidR="00EF6943" w:rsidRPr="00FC081C">
        <w:rPr>
          <w:snapToGrid w:val="0"/>
        </w:rPr>
        <w:t>on</w:t>
      </w:r>
      <w:r w:rsidR="00560579" w:rsidRPr="00FC081C">
        <w:rPr>
          <w:snapToGrid w:val="0"/>
        </w:rPr>
        <w:t xml:space="preserve"> the outcomes of overall survival (OS), progression free survival (PFS) and objective response rate (ORR) (paragraph </w:t>
      </w:r>
      <w:r w:rsidR="00560579" w:rsidRPr="00FC081C">
        <w:rPr>
          <w:snapToGrid w:val="0"/>
        </w:rPr>
        <w:fldChar w:fldCharType="begin"/>
      </w:r>
      <w:r w:rsidR="00560579" w:rsidRPr="00FC081C">
        <w:rPr>
          <w:snapToGrid w:val="0"/>
        </w:rPr>
        <w:instrText xml:space="preserve"> REF _Ref214458601 \r \h </w:instrText>
      </w:r>
      <w:r w:rsidR="00560579" w:rsidRPr="00FC081C">
        <w:rPr>
          <w:snapToGrid w:val="0"/>
        </w:rPr>
      </w:r>
      <w:r w:rsidR="00560579" w:rsidRPr="00FC081C">
        <w:rPr>
          <w:snapToGrid w:val="0"/>
        </w:rPr>
        <w:fldChar w:fldCharType="separate"/>
      </w:r>
      <w:r w:rsidR="008D62D0">
        <w:rPr>
          <w:snapToGrid w:val="0"/>
        </w:rPr>
        <w:t>6.8</w:t>
      </w:r>
      <w:r w:rsidR="00560579" w:rsidRPr="00FC081C">
        <w:rPr>
          <w:snapToGrid w:val="0"/>
        </w:rPr>
        <w:fldChar w:fldCharType="end"/>
      </w:r>
      <w:r w:rsidR="00560579" w:rsidRPr="00FC081C">
        <w:rPr>
          <w:snapToGrid w:val="0"/>
        </w:rPr>
        <w:t xml:space="preserve">), and an </w:t>
      </w:r>
      <w:r w:rsidR="00EF5F6D">
        <w:rPr>
          <w:snapToGrid w:val="0"/>
        </w:rPr>
        <w:t>unadjusted</w:t>
      </w:r>
      <w:r w:rsidR="00EF5F6D" w:rsidRPr="00FC081C">
        <w:rPr>
          <w:snapToGrid w:val="0"/>
        </w:rPr>
        <w:t xml:space="preserve"> </w:t>
      </w:r>
      <w:r w:rsidR="00560579" w:rsidRPr="00FC081C">
        <w:rPr>
          <w:snapToGrid w:val="0"/>
        </w:rPr>
        <w:t xml:space="preserve">unanchored indirect comparison on safety </w:t>
      </w:r>
      <w:r w:rsidR="00EF6943" w:rsidRPr="00FC081C">
        <w:rPr>
          <w:snapToGrid w:val="0"/>
        </w:rPr>
        <w:t>outcomes</w:t>
      </w:r>
      <w:r w:rsidR="00560579" w:rsidRPr="00FC081C">
        <w:rPr>
          <w:snapToGrid w:val="0"/>
        </w:rPr>
        <w:t xml:space="preserve">. </w:t>
      </w:r>
    </w:p>
    <w:p w14:paraId="7D0C0673" w14:textId="551519EC" w:rsidR="00F12CDD" w:rsidRPr="00A43C47" w:rsidRDefault="00FA3670">
      <w:pPr>
        <w:widowControl w:val="0"/>
        <w:numPr>
          <w:ilvl w:val="1"/>
          <w:numId w:val="1"/>
        </w:numPr>
        <w:spacing w:after="120"/>
        <w:ind w:left="720"/>
        <w:rPr>
          <w:snapToGrid w:val="0"/>
        </w:rPr>
      </w:pPr>
      <w:bookmarkStart w:id="110" w:name="_Ref234230317"/>
      <w:r w:rsidRPr="00FA3670">
        <w:rPr>
          <w:snapToGrid w:val="0"/>
        </w:rPr>
        <w:t>The PBAC noted</w:t>
      </w:r>
      <w:r>
        <w:rPr>
          <w:snapToGrid w:val="0"/>
        </w:rPr>
        <w:t xml:space="preserve"> that</w:t>
      </w:r>
      <w:r w:rsidRPr="00FA3670">
        <w:rPr>
          <w:snapToGrid w:val="0"/>
        </w:rPr>
        <w:t xml:space="preserve"> although the point estimates for the </w:t>
      </w:r>
      <w:r w:rsidR="00480F12" w:rsidRPr="00A43C47">
        <w:rPr>
          <w:snapToGrid w:val="0"/>
        </w:rPr>
        <w:t xml:space="preserve">hazard ratios (HRs) </w:t>
      </w:r>
      <w:r w:rsidRPr="00FA3670">
        <w:rPr>
          <w:snapToGrid w:val="0"/>
        </w:rPr>
        <w:t xml:space="preserve">for </w:t>
      </w:r>
      <w:r w:rsidR="00480F12" w:rsidRPr="00A43C47">
        <w:rPr>
          <w:snapToGrid w:val="0"/>
        </w:rPr>
        <w:t xml:space="preserve">OS </w:t>
      </w:r>
      <w:r w:rsidRPr="00FA3670">
        <w:rPr>
          <w:snapToGrid w:val="0"/>
        </w:rPr>
        <w:t xml:space="preserve">from </w:t>
      </w:r>
      <w:r w:rsidRPr="00307AB5">
        <w:rPr>
          <w:snapToGrid w:val="0"/>
        </w:rPr>
        <w:t>the MAICs favoured reti</w:t>
      </w:r>
      <w:r w:rsidR="00BC251E" w:rsidRPr="00307AB5">
        <w:rPr>
          <w:snapToGrid w:val="0"/>
        </w:rPr>
        <w:t>fanlimab</w:t>
      </w:r>
      <w:r w:rsidRPr="00307AB5">
        <w:rPr>
          <w:snapToGrid w:val="0"/>
        </w:rPr>
        <w:t>, the differences were not statistically significant (</w:t>
      </w:r>
      <w:r w:rsidR="00742AD3" w:rsidRPr="00307AB5">
        <w:rPr>
          <w:snapToGrid w:val="0"/>
        </w:rPr>
        <w:t>MAIC1</w:t>
      </w:r>
      <w:r w:rsidR="00BE6AAC" w:rsidRPr="00307AB5">
        <w:rPr>
          <w:snapToGrid w:val="0"/>
        </w:rPr>
        <w:t xml:space="preserve">: </w:t>
      </w:r>
      <w:r w:rsidR="00742AD3" w:rsidRPr="00307AB5">
        <w:rPr>
          <w:snapToGrid w:val="0"/>
        </w:rPr>
        <w:t>0.80</w:t>
      </w:r>
      <w:r w:rsidR="00BE6AAC" w:rsidRPr="00307AB5">
        <w:rPr>
          <w:snapToGrid w:val="0"/>
        </w:rPr>
        <w:t xml:space="preserve">, </w:t>
      </w:r>
      <w:r w:rsidR="00742AD3" w:rsidRPr="00307AB5">
        <w:rPr>
          <w:snapToGrid w:val="0"/>
        </w:rPr>
        <w:t>95% CI 0.49, 1.30</w:t>
      </w:r>
      <w:r w:rsidR="00BE6AAC" w:rsidRPr="00307AB5">
        <w:rPr>
          <w:snapToGrid w:val="0"/>
        </w:rPr>
        <w:t>. MAIC2</w:t>
      </w:r>
      <w:r w:rsidR="00613CC4" w:rsidRPr="00307AB5">
        <w:rPr>
          <w:snapToGrid w:val="0"/>
        </w:rPr>
        <w:t xml:space="preserve">: </w:t>
      </w:r>
      <w:r w:rsidR="00742AD3" w:rsidRPr="00307AB5">
        <w:rPr>
          <w:snapToGrid w:val="0"/>
        </w:rPr>
        <w:t>0.689</w:t>
      </w:r>
      <w:r w:rsidR="00613CC4" w:rsidRPr="00307AB5">
        <w:rPr>
          <w:snapToGrid w:val="0"/>
        </w:rPr>
        <w:t xml:space="preserve">, 95% CI </w:t>
      </w:r>
      <w:r w:rsidR="00742AD3" w:rsidRPr="00307AB5">
        <w:rPr>
          <w:snapToGrid w:val="0"/>
        </w:rPr>
        <w:t>0.405 to 1.172)</w:t>
      </w:r>
      <w:r w:rsidRPr="00307AB5">
        <w:rPr>
          <w:snapToGrid w:val="0"/>
        </w:rPr>
        <w:t xml:space="preserve">. The PBAC noted the estimated differences in PFS statistically favoured </w:t>
      </w:r>
      <w:r w:rsidR="00FC55BB" w:rsidRPr="00307AB5">
        <w:rPr>
          <w:snapToGrid w:val="0"/>
        </w:rPr>
        <w:t xml:space="preserve">retifanlimab </w:t>
      </w:r>
      <w:r w:rsidRPr="00307AB5">
        <w:rPr>
          <w:snapToGrid w:val="0"/>
        </w:rPr>
        <w:t>(</w:t>
      </w:r>
      <w:r w:rsidR="00424618" w:rsidRPr="00307AB5">
        <w:rPr>
          <w:snapToGrid w:val="0"/>
        </w:rPr>
        <w:t>MAIC 1: 0.590, 95% CI 0.396 to 0.881. MAIC 2: 0.519, 95% CI 0.343 to 0.786</w:t>
      </w:r>
      <w:r w:rsidRPr="00307AB5">
        <w:rPr>
          <w:snapToGrid w:val="0"/>
        </w:rPr>
        <w:t>). However, the PBAC considered the results to be subject to a high degree of uncertainty due to</w:t>
      </w:r>
      <w:r w:rsidRPr="00FA3670">
        <w:rPr>
          <w:snapToGrid w:val="0"/>
        </w:rPr>
        <w:t xml:space="preserve"> low effective sample size, differences in follow-up between studies, and likely unsupported assumptions regarding treatment effect modification for race and ethnicity (</w:t>
      </w:r>
      <w:r w:rsidR="00F34AC8">
        <w:rPr>
          <w:snapToGrid w:val="0"/>
        </w:rPr>
        <w:t>specifically in MAIC 2</w:t>
      </w:r>
      <w:r w:rsidR="00F033C1">
        <w:rPr>
          <w:snapToGrid w:val="0"/>
        </w:rPr>
        <w:t xml:space="preserve">. See </w:t>
      </w:r>
      <w:r w:rsidR="00805601">
        <w:rPr>
          <w:snapToGrid w:val="0"/>
        </w:rPr>
        <w:t xml:space="preserve">paragraphs </w:t>
      </w:r>
      <w:r w:rsidR="00805601">
        <w:rPr>
          <w:snapToGrid w:val="0"/>
        </w:rPr>
        <w:fldChar w:fldCharType="begin"/>
      </w:r>
      <w:r w:rsidR="00805601">
        <w:rPr>
          <w:snapToGrid w:val="0"/>
        </w:rPr>
        <w:instrText xml:space="preserve"> REF _Ref216092731 \r \h </w:instrText>
      </w:r>
      <w:r w:rsidR="00805601">
        <w:rPr>
          <w:snapToGrid w:val="0"/>
        </w:rPr>
      </w:r>
      <w:r w:rsidR="00805601">
        <w:rPr>
          <w:snapToGrid w:val="0"/>
        </w:rPr>
        <w:fldChar w:fldCharType="separate"/>
      </w:r>
      <w:r w:rsidR="008D62D0">
        <w:rPr>
          <w:snapToGrid w:val="0"/>
        </w:rPr>
        <w:t>6.18</w:t>
      </w:r>
      <w:r w:rsidR="00805601">
        <w:rPr>
          <w:snapToGrid w:val="0"/>
        </w:rPr>
        <w:fldChar w:fldCharType="end"/>
      </w:r>
      <w:r w:rsidR="00805601">
        <w:rPr>
          <w:snapToGrid w:val="0"/>
        </w:rPr>
        <w:t xml:space="preserve"> - </w:t>
      </w:r>
      <w:r w:rsidR="00805601">
        <w:rPr>
          <w:snapToGrid w:val="0"/>
        </w:rPr>
        <w:fldChar w:fldCharType="begin"/>
      </w:r>
      <w:r w:rsidR="00805601">
        <w:rPr>
          <w:snapToGrid w:val="0"/>
        </w:rPr>
        <w:instrText xml:space="preserve"> REF _Ref206441180 \r \h </w:instrText>
      </w:r>
      <w:r w:rsidR="00805601">
        <w:rPr>
          <w:snapToGrid w:val="0"/>
        </w:rPr>
      </w:r>
      <w:r w:rsidR="00805601">
        <w:rPr>
          <w:snapToGrid w:val="0"/>
        </w:rPr>
        <w:fldChar w:fldCharType="separate"/>
      </w:r>
      <w:r w:rsidR="008D62D0">
        <w:rPr>
          <w:snapToGrid w:val="0"/>
        </w:rPr>
        <w:t>6.21</w:t>
      </w:r>
      <w:r w:rsidR="00805601">
        <w:rPr>
          <w:snapToGrid w:val="0"/>
        </w:rPr>
        <w:fldChar w:fldCharType="end"/>
      </w:r>
      <w:r w:rsidR="00805601">
        <w:rPr>
          <w:snapToGrid w:val="0"/>
        </w:rPr>
        <w:t>).</w:t>
      </w:r>
      <w:r w:rsidR="008D62D0">
        <w:rPr>
          <w:snapToGrid w:val="0"/>
        </w:rPr>
        <w:t xml:space="preserve"> </w:t>
      </w:r>
      <w:r w:rsidR="005F1774" w:rsidRPr="00A43C47">
        <w:rPr>
          <w:snapToGrid w:val="0"/>
        </w:rPr>
        <w:t>Overall, the</w:t>
      </w:r>
      <w:r w:rsidR="00826317" w:rsidRPr="00A43C47">
        <w:rPr>
          <w:snapToGrid w:val="0"/>
        </w:rPr>
        <w:t xml:space="preserve"> PBAC agreed with the</w:t>
      </w:r>
      <w:r w:rsidR="005F1774" w:rsidRPr="00A43C47">
        <w:rPr>
          <w:snapToGrid w:val="0"/>
        </w:rPr>
        <w:t xml:space="preserve"> ESC </w:t>
      </w:r>
      <w:r w:rsidR="00826317" w:rsidRPr="00A43C47">
        <w:rPr>
          <w:snapToGrid w:val="0"/>
        </w:rPr>
        <w:t>that</w:t>
      </w:r>
      <w:r w:rsidR="005F1774" w:rsidRPr="00A43C47">
        <w:rPr>
          <w:snapToGrid w:val="0"/>
        </w:rPr>
        <w:t xml:space="preserve"> the </w:t>
      </w:r>
      <w:r w:rsidR="005A1AC6">
        <w:rPr>
          <w:snapToGrid w:val="0"/>
        </w:rPr>
        <w:t>available</w:t>
      </w:r>
      <w:r w:rsidR="005F1774" w:rsidRPr="00A43C47">
        <w:rPr>
          <w:snapToGrid w:val="0"/>
        </w:rPr>
        <w:t xml:space="preserve"> evidence was insufficient to </w:t>
      </w:r>
      <w:r w:rsidR="003C75F6">
        <w:rPr>
          <w:snapToGrid w:val="0"/>
        </w:rPr>
        <w:t>support the claim that</w:t>
      </w:r>
      <w:r w:rsidR="003C75F6" w:rsidRPr="00A43C47">
        <w:rPr>
          <w:snapToGrid w:val="0"/>
        </w:rPr>
        <w:t xml:space="preserve"> </w:t>
      </w:r>
      <w:r w:rsidR="005F1774" w:rsidRPr="00A43C47">
        <w:rPr>
          <w:snapToGrid w:val="0"/>
        </w:rPr>
        <w:t>retifanlimab was superior to avelumab</w:t>
      </w:r>
      <w:r w:rsidR="00F12CDD" w:rsidRPr="00A43C47">
        <w:rPr>
          <w:snapToGrid w:val="0"/>
        </w:rPr>
        <w:t xml:space="preserve">. However, the </w:t>
      </w:r>
      <w:r w:rsidR="00EF2F72" w:rsidRPr="00A43C47">
        <w:rPr>
          <w:snapToGrid w:val="0"/>
        </w:rPr>
        <w:t xml:space="preserve">PBAC accepted </w:t>
      </w:r>
      <w:r w:rsidR="00F12CDD" w:rsidRPr="00A43C47">
        <w:rPr>
          <w:snapToGrid w:val="0"/>
        </w:rPr>
        <w:t xml:space="preserve">that </w:t>
      </w:r>
      <w:r w:rsidR="00D6073B">
        <w:rPr>
          <w:snapToGrid w:val="0"/>
        </w:rPr>
        <w:t xml:space="preserve">it is plausible that </w:t>
      </w:r>
      <w:r w:rsidR="00F12CDD" w:rsidRPr="00A43C47">
        <w:rPr>
          <w:snapToGrid w:val="0"/>
        </w:rPr>
        <w:t>retifanlimab is</w:t>
      </w:r>
      <w:r w:rsidR="00963D2F">
        <w:rPr>
          <w:snapToGrid w:val="0"/>
        </w:rPr>
        <w:t xml:space="preserve"> non-inferior to </w:t>
      </w:r>
      <w:r w:rsidR="00F12CDD" w:rsidRPr="00A43C47">
        <w:rPr>
          <w:snapToGrid w:val="0"/>
        </w:rPr>
        <w:t xml:space="preserve">avelumab </w:t>
      </w:r>
      <w:proofErr w:type="gramStart"/>
      <w:r w:rsidR="00855E31">
        <w:rPr>
          <w:snapToGrid w:val="0"/>
        </w:rPr>
        <w:t>on the basis of</w:t>
      </w:r>
      <w:proofErr w:type="gramEnd"/>
      <w:r w:rsidR="00855E31" w:rsidRPr="00A43C47">
        <w:rPr>
          <w:snapToGrid w:val="0"/>
        </w:rPr>
        <w:t xml:space="preserve"> </w:t>
      </w:r>
      <w:r w:rsidR="00F12CDD" w:rsidRPr="00A43C47">
        <w:rPr>
          <w:snapToGrid w:val="0"/>
        </w:rPr>
        <w:t>the MAIC</w:t>
      </w:r>
      <w:r w:rsidR="00855E31">
        <w:rPr>
          <w:snapToGrid w:val="0"/>
        </w:rPr>
        <w:t xml:space="preserve"> presented</w:t>
      </w:r>
      <w:r w:rsidR="00F12CDD" w:rsidRPr="00A43C47">
        <w:rPr>
          <w:snapToGrid w:val="0"/>
        </w:rPr>
        <w:t xml:space="preserve"> in the submission and the</w:t>
      </w:r>
      <w:r w:rsidR="005810B8">
        <w:rPr>
          <w:snapToGrid w:val="0"/>
        </w:rPr>
        <w:t xml:space="preserve"> published</w:t>
      </w:r>
      <w:r w:rsidR="00F12CDD" w:rsidRPr="00A43C47">
        <w:rPr>
          <w:snapToGrid w:val="0"/>
        </w:rPr>
        <w:t xml:space="preserve"> </w:t>
      </w:r>
      <w:r w:rsidR="00454426">
        <w:rPr>
          <w:snapToGrid w:val="0"/>
        </w:rPr>
        <w:t>p</w:t>
      </w:r>
      <w:r w:rsidR="00454426" w:rsidRPr="007E7040">
        <w:t>opulation-adjusted</w:t>
      </w:r>
      <w:r w:rsidR="00A96D73">
        <w:t xml:space="preserve"> </w:t>
      </w:r>
      <w:r w:rsidR="00454426" w:rsidRPr="007E7040">
        <w:t xml:space="preserve">indirect comparison (PAIC) </w:t>
      </w:r>
      <w:r w:rsidR="00F12CDD" w:rsidRPr="00A43C47">
        <w:rPr>
          <w:snapToGrid w:val="0"/>
        </w:rPr>
        <w:t xml:space="preserve">by Kearney 2025, </w:t>
      </w:r>
      <w:r w:rsidR="005C62E5">
        <w:rPr>
          <w:snapToGrid w:val="0"/>
        </w:rPr>
        <w:t>as</w:t>
      </w:r>
      <w:r w:rsidR="00C6360C">
        <w:rPr>
          <w:snapToGrid w:val="0"/>
        </w:rPr>
        <w:t xml:space="preserve"> well as</w:t>
      </w:r>
      <w:r w:rsidR="005C62E5" w:rsidRPr="00A43C47">
        <w:rPr>
          <w:snapToGrid w:val="0"/>
        </w:rPr>
        <w:t xml:space="preserve"> </w:t>
      </w:r>
      <w:r w:rsidR="004B0B50">
        <w:rPr>
          <w:snapToGrid w:val="0"/>
        </w:rPr>
        <w:t>their</w:t>
      </w:r>
      <w:r w:rsidR="00C6360C">
        <w:rPr>
          <w:snapToGrid w:val="0"/>
        </w:rPr>
        <w:t xml:space="preserve"> </w:t>
      </w:r>
      <w:r w:rsidR="00F12CDD" w:rsidRPr="00A43C47">
        <w:rPr>
          <w:snapToGrid w:val="0"/>
        </w:rPr>
        <w:t>similar mechanisms of action.</w:t>
      </w:r>
      <w:bookmarkEnd w:id="110"/>
      <w:r w:rsidR="00F12CDD" w:rsidRPr="00A43C47">
        <w:rPr>
          <w:snapToGrid w:val="0"/>
        </w:rPr>
        <w:t xml:space="preserve"> </w:t>
      </w:r>
    </w:p>
    <w:p w14:paraId="2D633C8C" w14:textId="2886EE52" w:rsidR="00A72862" w:rsidRPr="00D70C10" w:rsidRDefault="006360CD">
      <w:pPr>
        <w:widowControl w:val="0"/>
        <w:numPr>
          <w:ilvl w:val="1"/>
          <w:numId w:val="1"/>
        </w:numPr>
        <w:spacing w:after="120"/>
        <w:ind w:left="720"/>
        <w:rPr>
          <w:snapToGrid w:val="0"/>
        </w:rPr>
      </w:pPr>
      <w:bookmarkStart w:id="111" w:name="_Ref234230327"/>
      <w:r w:rsidRPr="00D70C10">
        <w:rPr>
          <w:snapToGrid w:val="0"/>
        </w:rPr>
        <w:t xml:space="preserve">The PBAC </w:t>
      </w:r>
      <w:r w:rsidR="00705ED6" w:rsidRPr="00D70C10">
        <w:rPr>
          <w:snapToGrid w:val="0"/>
        </w:rPr>
        <w:t>considered that th</w:t>
      </w:r>
      <w:r w:rsidR="00C11D6F" w:rsidRPr="00D70C10">
        <w:rPr>
          <w:snapToGrid w:val="0"/>
        </w:rPr>
        <w:t xml:space="preserve">e </w:t>
      </w:r>
      <w:r w:rsidRPr="00D70C10">
        <w:rPr>
          <w:snapToGrid w:val="0"/>
        </w:rPr>
        <w:t xml:space="preserve">indirect comparison of </w:t>
      </w:r>
      <w:r w:rsidR="00650D93" w:rsidRPr="00D70C10">
        <w:rPr>
          <w:snapToGrid w:val="0"/>
        </w:rPr>
        <w:t xml:space="preserve">the safety of </w:t>
      </w:r>
      <w:r w:rsidRPr="00D70C10">
        <w:rPr>
          <w:snapToGrid w:val="0"/>
        </w:rPr>
        <w:t>retifanlimab and avelumab was difficult to interpret and at risk of confounding due to</w:t>
      </w:r>
      <w:r w:rsidR="00CA2F9F" w:rsidRPr="00D70C10">
        <w:rPr>
          <w:snapToGrid w:val="0"/>
        </w:rPr>
        <w:t xml:space="preserve"> the single arm, open-label design</w:t>
      </w:r>
      <w:r w:rsidR="00DC11CA" w:rsidRPr="00D70C10">
        <w:rPr>
          <w:snapToGrid w:val="0"/>
        </w:rPr>
        <w:t xml:space="preserve"> which limited the assessment of </w:t>
      </w:r>
      <w:r w:rsidR="00E40BE1">
        <w:rPr>
          <w:snapToGrid w:val="0"/>
        </w:rPr>
        <w:t>adverse events (</w:t>
      </w:r>
      <w:r w:rsidR="00DC11CA" w:rsidRPr="00D70C10">
        <w:rPr>
          <w:snapToGrid w:val="0"/>
        </w:rPr>
        <w:t>AEs</w:t>
      </w:r>
      <w:r w:rsidR="00E40BE1">
        <w:rPr>
          <w:snapToGrid w:val="0"/>
        </w:rPr>
        <w:t>)</w:t>
      </w:r>
      <w:r w:rsidR="00DC11CA" w:rsidRPr="00D70C10">
        <w:rPr>
          <w:snapToGrid w:val="0"/>
        </w:rPr>
        <w:t xml:space="preserve"> as the incremental safety associated with retifanlimab and avelumab could not be derived</w:t>
      </w:r>
      <w:r w:rsidR="00CA2F9F" w:rsidRPr="00D70C10">
        <w:rPr>
          <w:snapToGrid w:val="0"/>
        </w:rPr>
        <w:t>, and</w:t>
      </w:r>
      <w:r w:rsidRPr="00D70C10">
        <w:rPr>
          <w:snapToGrid w:val="0"/>
        </w:rPr>
        <w:t xml:space="preserve"> differences in patient baseline characteristics</w:t>
      </w:r>
      <w:r w:rsidR="00A00D4F" w:rsidRPr="00D70C10">
        <w:rPr>
          <w:snapToGrid w:val="0"/>
        </w:rPr>
        <w:t>. Notably, patients enrolled in POD1UM-201 were younger and potentially healthier (</w:t>
      </w:r>
      <w:r w:rsidR="0057696C" w:rsidRPr="00D70C10">
        <w:rPr>
          <w:snapToGrid w:val="0"/>
        </w:rPr>
        <w:t>i</w:t>
      </w:r>
      <w:r w:rsidR="0095381B">
        <w:rPr>
          <w:snapToGrid w:val="0"/>
        </w:rPr>
        <w:t>.</w:t>
      </w:r>
      <w:r w:rsidR="0057696C" w:rsidRPr="00D70C10">
        <w:rPr>
          <w:snapToGrid w:val="0"/>
        </w:rPr>
        <w:t>e</w:t>
      </w:r>
      <w:r w:rsidR="0095381B">
        <w:rPr>
          <w:snapToGrid w:val="0"/>
        </w:rPr>
        <w:t>.</w:t>
      </w:r>
      <w:r w:rsidR="0057696C" w:rsidRPr="00D70C10">
        <w:rPr>
          <w:snapToGrid w:val="0"/>
        </w:rPr>
        <w:t xml:space="preserve"> in terms of</w:t>
      </w:r>
      <w:r w:rsidR="00A00D4F" w:rsidRPr="00D70C10">
        <w:rPr>
          <w:snapToGrid w:val="0"/>
        </w:rPr>
        <w:t xml:space="preserve"> ECOG scores and disease severity) on average than those enrolled in JM200 Part B. </w:t>
      </w:r>
      <w:r w:rsidR="004900C5" w:rsidRPr="00D70C10">
        <w:rPr>
          <w:snapToGrid w:val="0"/>
        </w:rPr>
        <w:t xml:space="preserve">However, </w:t>
      </w:r>
      <w:r w:rsidR="00D70C10">
        <w:rPr>
          <w:snapToGrid w:val="0"/>
        </w:rPr>
        <w:t>t</w:t>
      </w:r>
      <w:r w:rsidR="00A72862" w:rsidRPr="00D70C10">
        <w:rPr>
          <w:snapToGrid w:val="0"/>
        </w:rPr>
        <w:t>he PBAC considered that the claim of superior comparative safety was not adequately supported by the data, but that it was reasonable to assume non-inferior safety</w:t>
      </w:r>
      <w:r w:rsidR="000C5FB5">
        <w:rPr>
          <w:snapToGrid w:val="0"/>
        </w:rPr>
        <w:t xml:space="preserve"> </w:t>
      </w:r>
      <w:r w:rsidR="000C5FB5" w:rsidRPr="00D70C10">
        <w:rPr>
          <w:snapToGrid w:val="0"/>
        </w:rPr>
        <w:t>given</w:t>
      </w:r>
      <w:r w:rsidR="000C5FB5">
        <w:rPr>
          <w:snapToGrid w:val="0"/>
        </w:rPr>
        <w:t xml:space="preserve"> that </w:t>
      </w:r>
      <w:r w:rsidR="000C5FB5" w:rsidRPr="00D70C10">
        <w:rPr>
          <w:snapToGrid w:val="0"/>
        </w:rPr>
        <w:t>retifanlimab and avelumab are both PD-(L)1 inhibitors</w:t>
      </w:r>
      <w:r w:rsidR="006B54CC">
        <w:rPr>
          <w:snapToGrid w:val="0"/>
        </w:rPr>
        <w:t xml:space="preserve"> </w:t>
      </w:r>
      <w:r w:rsidR="00D2464C" w:rsidRPr="00D2464C">
        <w:rPr>
          <w:snapToGrid w:val="0"/>
        </w:rPr>
        <w:t>and are expected to have a broadly similar safety profile</w:t>
      </w:r>
      <w:r w:rsidR="00A72862" w:rsidRPr="00D70C10">
        <w:rPr>
          <w:snapToGrid w:val="0"/>
        </w:rPr>
        <w:t>.</w:t>
      </w:r>
      <w:bookmarkEnd w:id="111"/>
    </w:p>
    <w:p w14:paraId="5ECE4FBA" w14:textId="2EA514BE" w:rsidR="00705ED6" w:rsidRPr="00705ED6" w:rsidRDefault="00B0330B" w:rsidP="00705ED6">
      <w:pPr>
        <w:widowControl w:val="0"/>
        <w:numPr>
          <w:ilvl w:val="1"/>
          <w:numId w:val="1"/>
        </w:numPr>
        <w:spacing w:after="120"/>
        <w:ind w:left="720"/>
        <w:rPr>
          <w:snapToGrid w:val="0"/>
        </w:rPr>
      </w:pPr>
      <w:bookmarkStart w:id="112" w:name="_Ref234230342"/>
      <w:r w:rsidRPr="00A13C9F">
        <w:rPr>
          <w:snapToGrid w:val="0"/>
        </w:rPr>
        <w:t xml:space="preserve">The PBAC considered </w:t>
      </w:r>
      <w:r w:rsidR="00BD351A" w:rsidRPr="00A13C9F">
        <w:rPr>
          <w:snapToGrid w:val="0"/>
        </w:rPr>
        <w:t xml:space="preserve">that a </w:t>
      </w:r>
      <w:r w:rsidR="006F58C6" w:rsidRPr="00A13C9F">
        <w:rPr>
          <w:snapToGrid w:val="0"/>
        </w:rPr>
        <w:t xml:space="preserve">cost minimisation approach (CMA) </w:t>
      </w:r>
      <w:r w:rsidR="008C519F">
        <w:rPr>
          <w:snapToGrid w:val="0"/>
        </w:rPr>
        <w:t>was appropriate</w:t>
      </w:r>
      <w:r w:rsidR="00F117B2" w:rsidRPr="00A13C9F">
        <w:rPr>
          <w:snapToGrid w:val="0"/>
        </w:rPr>
        <w:t>, given</w:t>
      </w:r>
      <w:r w:rsidR="00C553E9">
        <w:rPr>
          <w:snapToGrid w:val="0"/>
        </w:rPr>
        <w:t xml:space="preserve"> its view </w:t>
      </w:r>
      <w:r w:rsidR="00490EFD" w:rsidRPr="00A13C9F">
        <w:rPr>
          <w:snapToGrid w:val="0"/>
        </w:rPr>
        <w:t>that re</w:t>
      </w:r>
      <w:r w:rsidR="00072080" w:rsidRPr="00A13C9F">
        <w:rPr>
          <w:snapToGrid w:val="0"/>
        </w:rPr>
        <w:t>tifanlimab is non-</w:t>
      </w:r>
      <w:r w:rsidR="00F71BC5" w:rsidRPr="00A13C9F">
        <w:rPr>
          <w:snapToGrid w:val="0"/>
        </w:rPr>
        <w:t>inferior</w:t>
      </w:r>
      <w:r w:rsidR="00072080" w:rsidRPr="00A13C9F">
        <w:rPr>
          <w:snapToGrid w:val="0"/>
        </w:rPr>
        <w:t xml:space="preserve"> to avelumab</w:t>
      </w:r>
      <w:r w:rsidR="00F117B2" w:rsidRPr="00A13C9F">
        <w:rPr>
          <w:snapToGrid w:val="0"/>
        </w:rPr>
        <w:t xml:space="preserve">. </w:t>
      </w:r>
      <w:r w:rsidR="00193EDA" w:rsidRPr="00A13C9F">
        <w:rPr>
          <w:snapToGrid w:val="0"/>
        </w:rPr>
        <w:t>The PBAC</w:t>
      </w:r>
      <w:r w:rsidR="006F58C6" w:rsidRPr="00A13C9F">
        <w:rPr>
          <w:snapToGrid w:val="0"/>
        </w:rPr>
        <w:t xml:space="preserve"> considered </w:t>
      </w:r>
      <w:r w:rsidR="00E6255F">
        <w:rPr>
          <w:snapToGrid w:val="0"/>
        </w:rPr>
        <w:t xml:space="preserve">it is </w:t>
      </w:r>
      <w:r w:rsidR="001A1DC0">
        <w:rPr>
          <w:snapToGrid w:val="0"/>
        </w:rPr>
        <w:t>re</w:t>
      </w:r>
      <w:r w:rsidR="00EE0CB2">
        <w:rPr>
          <w:snapToGrid w:val="0"/>
        </w:rPr>
        <w:t>a</w:t>
      </w:r>
      <w:r w:rsidR="001A1DC0">
        <w:rPr>
          <w:snapToGrid w:val="0"/>
        </w:rPr>
        <w:t xml:space="preserve">sonable </w:t>
      </w:r>
      <w:r w:rsidR="00E6255F">
        <w:rPr>
          <w:snapToGrid w:val="0"/>
        </w:rPr>
        <w:t xml:space="preserve">to assume that </w:t>
      </w:r>
      <w:r w:rsidR="006F58C6" w:rsidRPr="00A13C9F">
        <w:rPr>
          <w:snapToGrid w:val="0"/>
        </w:rPr>
        <w:t>retifanlimab 500 mg every 4 weeks is equi-effective to avelumab 800 mg every 2 weeks</w:t>
      </w:r>
      <w:r w:rsidR="00193EDA" w:rsidRPr="00A13C9F">
        <w:rPr>
          <w:snapToGrid w:val="0"/>
        </w:rPr>
        <w:t xml:space="preserve"> </w:t>
      </w:r>
      <w:r w:rsidR="00EE0CB2">
        <w:rPr>
          <w:snapToGrid w:val="0"/>
        </w:rPr>
        <w:t>based on</w:t>
      </w:r>
      <w:r w:rsidR="001B3A40" w:rsidRPr="00A13C9F">
        <w:rPr>
          <w:snapToGrid w:val="0"/>
        </w:rPr>
        <w:t xml:space="preserve"> </w:t>
      </w:r>
      <w:r w:rsidR="009D024E">
        <w:rPr>
          <w:snapToGrid w:val="0"/>
        </w:rPr>
        <w:t xml:space="preserve">the </w:t>
      </w:r>
      <w:r w:rsidR="00AD0E9C" w:rsidRPr="00A13C9F">
        <w:rPr>
          <w:snapToGrid w:val="0"/>
        </w:rPr>
        <w:t xml:space="preserve">flat dosing </w:t>
      </w:r>
      <w:r w:rsidR="00EE0CB2">
        <w:rPr>
          <w:snapToGrid w:val="0"/>
        </w:rPr>
        <w:t xml:space="preserve">regimens </w:t>
      </w:r>
      <w:r w:rsidR="001B3A40" w:rsidRPr="00A13C9F">
        <w:rPr>
          <w:snapToGrid w:val="0"/>
        </w:rPr>
        <w:t xml:space="preserve">recommended </w:t>
      </w:r>
      <w:r w:rsidR="00AD0E9C" w:rsidRPr="00A13C9F">
        <w:rPr>
          <w:snapToGrid w:val="0"/>
        </w:rPr>
        <w:t>in the</w:t>
      </w:r>
      <w:r w:rsidR="00F4005B" w:rsidRPr="00A13C9F">
        <w:rPr>
          <w:snapToGrid w:val="0"/>
        </w:rPr>
        <w:t>ir respective P</w:t>
      </w:r>
      <w:r w:rsidR="001B3A40" w:rsidRPr="00A13C9F">
        <w:rPr>
          <w:snapToGrid w:val="0"/>
        </w:rPr>
        <w:t>Is</w:t>
      </w:r>
      <w:r w:rsidR="009D024E">
        <w:rPr>
          <w:snapToGrid w:val="0"/>
        </w:rPr>
        <w:t xml:space="preserve">, </w:t>
      </w:r>
      <w:r w:rsidR="00B24FE8">
        <w:rPr>
          <w:snapToGrid w:val="0"/>
        </w:rPr>
        <w:t xml:space="preserve">noting </w:t>
      </w:r>
      <w:r w:rsidR="00CC084D">
        <w:rPr>
          <w:snapToGrid w:val="0"/>
        </w:rPr>
        <w:t>the uncertainties associated with weight</w:t>
      </w:r>
      <w:r w:rsidR="00643FDC">
        <w:rPr>
          <w:snapToGrid w:val="0"/>
        </w:rPr>
        <w:t>-</w:t>
      </w:r>
      <w:r w:rsidR="00CC084D">
        <w:rPr>
          <w:snapToGrid w:val="0"/>
        </w:rPr>
        <w:t>based dosing</w:t>
      </w:r>
      <w:r w:rsidR="00B24FE8">
        <w:rPr>
          <w:snapToGrid w:val="0"/>
        </w:rPr>
        <w:t xml:space="preserve"> regimens</w:t>
      </w:r>
      <w:r w:rsidR="00F4005B" w:rsidRPr="00A13C9F">
        <w:rPr>
          <w:snapToGrid w:val="0"/>
        </w:rPr>
        <w:t>.</w:t>
      </w:r>
      <w:r w:rsidR="00A13C9F" w:rsidRPr="00A13C9F">
        <w:rPr>
          <w:snapToGrid w:val="0"/>
        </w:rPr>
        <w:t xml:space="preserve"> The PBAC considered that </w:t>
      </w:r>
      <w:r w:rsidR="00652D35">
        <w:rPr>
          <w:snapToGrid w:val="0"/>
        </w:rPr>
        <w:t>th</w:t>
      </w:r>
      <w:r w:rsidR="00705ED6" w:rsidRPr="00705ED6">
        <w:rPr>
          <w:snapToGrid w:val="0"/>
        </w:rPr>
        <w:t xml:space="preserve">e average treatment duration for retifanlimab </w:t>
      </w:r>
      <w:r w:rsidR="00705ED6" w:rsidRPr="00705ED6">
        <w:rPr>
          <w:snapToGrid w:val="0"/>
        </w:rPr>
        <w:lastRenderedPageBreak/>
        <w:t>and avelumab were unlikely to be substantially different in clinical practic</w:t>
      </w:r>
      <w:r w:rsidR="00652D35">
        <w:rPr>
          <w:snapToGrid w:val="0"/>
        </w:rPr>
        <w:t xml:space="preserve">e, and therefore it was reasonable to </w:t>
      </w:r>
      <w:r w:rsidR="00775CBE">
        <w:rPr>
          <w:snapToGrid w:val="0"/>
        </w:rPr>
        <w:t xml:space="preserve">conduct the CMA over a 4 weekly treatment cycle (paragraph </w:t>
      </w:r>
      <w:r w:rsidR="00723A07">
        <w:rPr>
          <w:snapToGrid w:val="0"/>
        </w:rPr>
        <w:fldChar w:fldCharType="begin"/>
      </w:r>
      <w:r w:rsidR="00723A07">
        <w:rPr>
          <w:snapToGrid w:val="0"/>
        </w:rPr>
        <w:instrText xml:space="preserve"> REF _Ref211440088 \n \h </w:instrText>
      </w:r>
      <w:r w:rsidR="00723A07">
        <w:rPr>
          <w:snapToGrid w:val="0"/>
        </w:rPr>
      </w:r>
      <w:r w:rsidR="00723A07">
        <w:rPr>
          <w:snapToGrid w:val="0"/>
        </w:rPr>
        <w:fldChar w:fldCharType="separate"/>
      </w:r>
      <w:r w:rsidR="008D62D0">
        <w:rPr>
          <w:snapToGrid w:val="0"/>
        </w:rPr>
        <w:t>6.40</w:t>
      </w:r>
      <w:r w:rsidR="00723A07">
        <w:rPr>
          <w:snapToGrid w:val="0"/>
        </w:rPr>
        <w:fldChar w:fldCharType="end"/>
      </w:r>
      <w:r w:rsidR="00775CBE">
        <w:rPr>
          <w:snapToGrid w:val="0"/>
        </w:rPr>
        <w:t>).</w:t>
      </w:r>
      <w:bookmarkEnd w:id="112"/>
    </w:p>
    <w:p w14:paraId="1BCD3891" w14:textId="0780E52B" w:rsidR="00D859C4" w:rsidRPr="00D859C4" w:rsidRDefault="00DB0845">
      <w:pPr>
        <w:widowControl w:val="0"/>
        <w:numPr>
          <w:ilvl w:val="1"/>
          <w:numId w:val="1"/>
        </w:numPr>
        <w:spacing w:after="120"/>
        <w:ind w:left="720"/>
      </w:pPr>
      <w:bookmarkStart w:id="113" w:name="_Ref234230350"/>
      <w:r>
        <w:rPr>
          <w:snapToGrid w:val="0"/>
        </w:rPr>
        <w:t xml:space="preserve">The PBAC considered that there would be </w:t>
      </w:r>
      <w:r w:rsidR="00886A39">
        <w:rPr>
          <w:snapToGrid w:val="0"/>
        </w:rPr>
        <w:t>minimal</w:t>
      </w:r>
      <w:r>
        <w:rPr>
          <w:snapToGrid w:val="0"/>
        </w:rPr>
        <w:t xml:space="preserve"> financial impact associated with the listing </w:t>
      </w:r>
      <w:r w:rsidR="001A0A3E">
        <w:rPr>
          <w:snapToGrid w:val="0"/>
        </w:rPr>
        <w:t xml:space="preserve">of retifanlimab </w:t>
      </w:r>
      <w:r w:rsidR="0074473E">
        <w:rPr>
          <w:snapToGrid w:val="0"/>
        </w:rPr>
        <w:t xml:space="preserve">given </w:t>
      </w:r>
      <w:r w:rsidR="00FF71EF">
        <w:rPr>
          <w:snapToGrid w:val="0"/>
        </w:rPr>
        <w:t xml:space="preserve">the </w:t>
      </w:r>
      <w:r w:rsidR="001A0A3E">
        <w:rPr>
          <w:snapToGrid w:val="0"/>
        </w:rPr>
        <w:t>CMA</w:t>
      </w:r>
      <w:r w:rsidR="00FF71EF">
        <w:rPr>
          <w:snapToGrid w:val="0"/>
        </w:rPr>
        <w:t xml:space="preserve"> proposed as a basis for listing</w:t>
      </w:r>
      <w:r w:rsidR="00C2394A">
        <w:rPr>
          <w:snapToGrid w:val="0"/>
        </w:rPr>
        <w:t xml:space="preserve">, </w:t>
      </w:r>
      <w:r w:rsidR="0074473E" w:rsidRPr="0074473E">
        <w:t xml:space="preserve">and </w:t>
      </w:r>
      <w:r w:rsidR="00FE7022">
        <w:t xml:space="preserve">that </w:t>
      </w:r>
      <w:r w:rsidR="0074473E" w:rsidRPr="0074473E">
        <w:t>market growth</w:t>
      </w:r>
      <w:r w:rsidR="00D23EE3">
        <w:t xml:space="preserve"> from additional immunotherapy uptake</w:t>
      </w:r>
      <w:r w:rsidR="0074473E" w:rsidRPr="0074473E">
        <w:t xml:space="preserve"> is not expected (</w:t>
      </w:r>
      <w:r w:rsidR="00C2394A">
        <w:rPr>
          <w:snapToGrid w:val="0"/>
        </w:rPr>
        <w:t>parag</w:t>
      </w:r>
      <w:r w:rsidR="00C64C6C">
        <w:rPr>
          <w:snapToGrid w:val="0"/>
        </w:rPr>
        <w:t xml:space="preserve">raph </w:t>
      </w:r>
      <w:r w:rsidR="003B5879">
        <w:rPr>
          <w:snapToGrid w:val="0"/>
        </w:rPr>
        <w:fldChar w:fldCharType="begin"/>
      </w:r>
      <w:r w:rsidR="003B5879">
        <w:rPr>
          <w:snapToGrid w:val="0"/>
        </w:rPr>
        <w:instrText xml:space="preserve"> REF _Ref214476034 \n \h </w:instrText>
      </w:r>
      <w:r w:rsidR="003B5879">
        <w:rPr>
          <w:snapToGrid w:val="0"/>
        </w:rPr>
      </w:r>
      <w:r w:rsidR="003B5879">
        <w:rPr>
          <w:snapToGrid w:val="0"/>
        </w:rPr>
        <w:fldChar w:fldCharType="separate"/>
      </w:r>
      <w:r w:rsidR="008D62D0">
        <w:rPr>
          <w:snapToGrid w:val="0"/>
        </w:rPr>
        <w:t>6.59</w:t>
      </w:r>
      <w:r w:rsidR="003B5879">
        <w:rPr>
          <w:snapToGrid w:val="0"/>
        </w:rPr>
        <w:fldChar w:fldCharType="end"/>
      </w:r>
      <w:r w:rsidR="00C64C6C">
        <w:rPr>
          <w:snapToGrid w:val="0"/>
        </w:rPr>
        <w:t xml:space="preserve">). </w:t>
      </w:r>
      <w:r w:rsidR="009A6388">
        <w:rPr>
          <w:snapToGrid w:val="0"/>
        </w:rPr>
        <w:t xml:space="preserve">The PBAC noted that the DUSC estimated that the proportion of patients with </w:t>
      </w:r>
      <w:r w:rsidR="009A6388" w:rsidRPr="00D752A8">
        <w:rPr>
          <w:snapToGrid w:val="0"/>
        </w:rPr>
        <w:t xml:space="preserve">recurrent locally advanced not amenable to surgery or </w:t>
      </w:r>
      <w:r w:rsidR="00652C17">
        <w:rPr>
          <w:snapToGrid w:val="0"/>
        </w:rPr>
        <w:t>radiotherapy</w:t>
      </w:r>
      <w:r w:rsidR="009A6388" w:rsidRPr="00D752A8">
        <w:rPr>
          <w:snapToGrid w:val="0"/>
        </w:rPr>
        <w:t xml:space="preserve"> </w:t>
      </w:r>
      <w:r w:rsidR="00652C17">
        <w:rPr>
          <w:snapToGrid w:val="0"/>
        </w:rPr>
        <w:t>(i</w:t>
      </w:r>
      <w:r w:rsidR="005D7663">
        <w:rPr>
          <w:snapToGrid w:val="0"/>
        </w:rPr>
        <w:t>.</w:t>
      </w:r>
      <w:r w:rsidR="00652C17">
        <w:rPr>
          <w:snapToGrid w:val="0"/>
        </w:rPr>
        <w:t>e</w:t>
      </w:r>
      <w:r w:rsidR="005D7663">
        <w:rPr>
          <w:snapToGrid w:val="0"/>
        </w:rPr>
        <w:t>.</w:t>
      </w:r>
      <w:r w:rsidR="00652C17">
        <w:rPr>
          <w:snapToGrid w:val="0"/>
        </w:rPr>
        <w:t xml:space="preserve"> not currently eligible for avelumab) </w:t>
      </w:r>
      <w:r w:rsidR="009A6388" w:rsidRPr="00D752A8">
        <w:rPr>
          <w:snapToGrid w:val="0"/>
        </w:rPr>
        <w:t>would be</w:t>
      </w:r>
      <w:r w:rsidR="00652C17">
        <w:rPr>
          <w:snapToGrid w:val="0"/>
        </w:rPr>
        <w:t xml:space="preserve"> less than</w:t>
      </w:r>
      <w:r w:rsidR="009A6388" w:rsidRPr="00D752A8">
        <w:rPr>
          <w:snapToGrid w:val="0"/>
        </w:rPr>
        <w:t xml:space="preserve"> </w:t>
      </w:r>
      <w:r w:rsidR="00D859C4">
        <w:rPr>
          <w:snapToGrid w:val="0"/>
        </w:rPr>
        <w:t>10</w:t>
      </w:r>
      <w:r w:rsidR="009A6388" w:rsidRPr="00D752A8">
        <w:rPr>
          <w:snapToGrid w:val="0"/>
        </w:rPr>
        <w:t>%</w:t>
      </w:r>
      <w:r w:rsidR="00CB67C0">
        <w:rPr>
          <w:snapToGrid w:val="0"/>
        </w:rPr>
        <w:t xml:space="preserve"> of the current</w:t>
      </w:r>
      <w:r w:rsidR="00AA5200">
        <w:rPr>
          <w:snapToGrid w:val="0"/>
        </w:rPr>
        <w:t xml:space="preserve"> scripts</w:t>
      </w:r>
      <w:r w:rsidR="00962132">
        <w:rPr>
          <w:snapToGrid w:val="0"/>
        </w:rPr>
        <w:t xml:space="preserve">, but </w:t>
      </w:r>
      <w:r w:rsidR="00D859C4" w:rsidRPr="0074473E">
        <w:t xml:space="preserve">considered there would be overlap in the </w:t>
      </w:r>
      <w:r w:rsidR="00CA1A3A">
        <w:t xml:space="preserve">advanced and </w:t>
      </w:r>
      <w:r w:rsidR="00D859C4" w:rsidRPr="0074473E">
        <w:t>metastatic populations such that the additional use would be less</w:t>
      </w:r>
      <w:r w:rsidR="000C2866">
        <w:t>.</w:t>
      </w:r>
      <w:bookmarkEnd w:id="113"/>
    </w:p>
    <w:p w14:paraId="72049623" w14:textId="608C2BE2" w:rsidR="006355A6" w:rsidRPr="00E26E18" w:rsidRDefault="00FB2590" w:rsidP="00E26E18">
      <w:pPr>
        <w:widowControl w:val="0"/>
        <w:numPr>
          <w:ilvl w:val="1"/>
          <w:numId w:val="1"/>
        </w:numPr>
        <w:spacing w:after="120"/>
        <w:ind w:left="720"/>
        <w:rPr>
          <w:bCs/>
          <w:snapToGrid w:val="0"/>
        </w:rPr>
      </w:pPr>
      <w:bookmarkStart w:id="114" w:name="_Ref234230359"/>
      <w:r>
        <w:rPr>
          <w:bCs/>
          <w:snapToGrid w:val="0"/>
        </w:rPr>
        <w:t xml:space="preserve">The PBAC considered that it would be appropriate for </w:t>
      </w:r>
      <w:r w:rsidR="004941EA">
        <w:rPr>
          <w:bCs/>
          <w:snapToGrid w:val="0"/>
        </w:rPr>
        <w:t xml:space="preserve">retifanlimab to join the existing </w:t>
      </w:r>
      <w:r w:rsidR="00837D6F">
        <w:rPr>
          <w:bCs/>
          <w:snapToGrid w:val="0"/>
        </w:rPr>
        <w:t xml:space="preserve">Risk </w:t>
      </w:r>
      <w:r w:rsidR="004941EA">
        <w:rPr>
          <w:bCs/>
          <w:snapToGrid w:val="0"/>
        </w:rPr>
        <w:t>S</w:t>
      </w:r>
      <w:r w:rsidR="00837D6F">
        <w:rPr>
          <w:bCs/>
          <w:snapToGrid w:val="0"/>
        </w:rPr>
        <w:t>har</w:t>
      </w:r>
      <w:r w:rsidR="004941EA">
        <w:rPr>
          <w:bCs/>
          <w:snapToGrid w:val="0"/>
        </w:rPr>
        <w:t>ing Agreement (RSA) for</w:t>
      </w:r>
      <w:r w:rsidR="008B268C">
        <w:rPr>
          <w:bCs/>
          <w:snapToGrid w:val="0"/>
        </w:rPr>
        <w:t xml:space="preserve"> MCC </w:t>
      </w:r>
      <w:r w:rsidR="005055C7">
        <w:rPr>
          <w:bCs/>
          <w:snapToGrid w:val="0"/>
        </w:rPr>
        <w:t>with a small increase in expenditure caps to account for the additional use</w:t>
      </w:r>
      <w:r w:rsidR="00662C16">
        <w:rPr>
          <w:bCs/>
          <w:snapToGrid w:val="0"/>
        </w:rPr>
        <w:t xml:space="preserve"> in</w:t>
      </w:r>
      <w:r w:rsidR="00251578">
        <w:rPr>
          <w:bCs/>
          <w:snapToGrid w:val="0"/>
        </w:rPr>
        <w:t xml:space="preserve"> patients with recurrent locally advanced disease</w:t>
      </w:r>
      <w:r w:rsidR="001C57E6">
        <w:rPr>
          <w:bCs/>
          <w:snapToGrid w:val="0"/>
        </w:rPr>
        <w:t xml:space="preserve"> not amenable to surgery or radiotherapy</w:t>
      </w:r>
      <w:r w:rsidR="007E20E3">
        <w:rPr>
          <w:bCs/>
          <w:snapToGrid w:val="0"/>
        </w:rPr>
        <w:t>.</w:t>
      </w:r>
      <w:bookmarkEnd w:id="114"/>
      <w:r w:rsidR="007E20E3">
        <w:rPr>
          <w:bCs/>
          <w:snapToGrid w:val="0"/>
        </w:rPr>
        <w:t xml:space="preserve"> </w:t>
      </w:r>
    </w:p>
    <w:p w14:paraId="1096DF96" w14:textId="66F5064E" w:rsidR="00923700" w:rsidRPr="0049700B" w:rsidRDefault="00923700" w:rsidP="00D944C2">
      <w:pPr>
        <w:widowControl w:val="0"/>
        <w:numPr>
          <w:ilvl w:val="1"/>
          <w:numId w:val="1"/>
        </w:numPr>
        <w:spacing w:after="120"/>
        <w:ind w:left="720"/>
        <w:rPr>
          <w:rFonts w:asciiTheme="minorHAnsi" w:hAnsiTheme="minorHAnsi"/>
          <w:bCs/>
          <w:snapToGrid w:val="0"/>
        </w:rPr>
      </w:pPr>
      <w:r w:rsidRPr="0049700B">
        <w:rPr>
          <w:rFonts w:asciiTheme="minorHAnsi" w:hAnsiTheme="minorHAnsi"/>
          <w:bCs/>
          <w:snapToGrid w:val="0"/>
        </w:rPr>
        <w:t xml:space="preserve">The PBAC </w:t>
      </w:r>
      <w:r w:rsidRPr="0049700B">
        <w:rPr>
          <w:rFonts w:asciiTheme="minorHAnsi" w:hAnsiTheme="minorHAnsi"/>
          <w:snapToGrid w:val="0"/>
        </w:rPr>
        <w:t>noted</w:t>
      </w:r>
      <w:r w:rsidRPr="0049700B">
        <w:rPr>
          <w:rFonts w:asciiTheme="minorHAnsi" w:hAnsiTheme="minorHAnsi"/>
          <w:bCs/>
          <w:snapToGrid w:val="0"/>
        </w:rPr>
        <w:t xml:space="preserve"> that this submission is not eligible for an Independent Review. </w:t>
      </w:r>
    </w:p>
    <w:p w14:paraId="070C2A3A" w14:textId="77777777" w:rsidR="00923700" w:rsidRPr="0049700B" w:rsidRDefault="00923700" w:rsidP="00923700">
      <w:pPr>
        <w:spacing w:before="240"/>
        <w:rPr>
          <w:rFonts w:asciiTheme="minorHAnsi" w:hAnsiTheme="minorHAnsi"/>
          <w:b/>
          <w:bCs/>
          <w:snapToGrid w:val="0"/>
        </w:rPr>
      </w:pPr>
      <w:r w:rsidRPr="0049700B">
        <w:rPr>
          <w:rFonts w:asciiTheme="minorHAnsi" w:hAnsiTheme="minorHAnsi"/>
          <w:b/>
          <w:bCs/>
          <w:snapToGrid w:val="0"/>
        </w:rPr>
        <w:t>Outcome:</w:t>
      </w:r>
    </w:p>
    <w:p w14:paraId="78BCB767" w14:textId="03F7DDED" w:rsidR="00923700" w:rsidRDefault="00923700" w:rsidP="00923700">
      <w:pPr>
        <w:rPr>
          <w:rFonts w:asciiTheme="minorHAnsi" w:hAnsiTheme="minorHAnsi"/>
          <w:bCs/>
          <w:snapToGrid w:val="0"/>
        </w:rPr>
      </w:pPr>
      <w:r w:rsidRPr="0049700B">
        <w:rPr>
          <w:rFonts w:asciiTheme="minorHAnsi" w:hAnsiTheme="minorHAnsi"/>
          <w:bCs/>
          <w:snapToGrid w:val="0"/>
        </w:rPr>
        <w:t>Deferred</w:t>
      </w:r>
    </w:p>
    <w:p w14:paraId="51224BB7" w14:textId="77777777" w:rsidR="005E505D" w:rsidRPr="005E505D" w:rsidRDefault="005E505D" w:rsidP="005E505D">
      <w:pPr>
        <w:keepNext/>
        <w:spacing w:before="240" w:after="120"/>
        <w:ind w:left="720" w:hanging="720"/>
        <w:jc w:val="left"/>
        <w:outlineLvl w:val="0"/>
        <w:rPr>
          <w:rFonts w:asciiTheme="minorHAnsi" w:hAnsiTheme="minorHAnsi"/>
          <w:b/>
          <w:bCs/>
          <w:snapToGrid w:val="0"/>
          <w:sz w:val="32"/>
          <w:szCs w:val="32"/>
          <w:lang w:val="en-GB"/>
        </w:rPr>
      </w:pPr>
      <w:r w:rsidRPr="005E505D">
        <w:rPr>
          <w:rFonts w:asciiTheme="minorHAnsi" w:hAnsiTheme="minorHAnsi"/>
          <w:b/>
          <w:snapToGrid w:val="0"/>
          <w:sz w:val="32"/>
          <w:szCs w:val="32"/>
        </w:rPr>
        <w:t>9</w:t>
      </w:r>
      <w:r w:rsidRPr="005E505D">
        <w:rPr>
          <w:rFonts w:asciiTheme="minorHAnsi" w:hAnsiTheme="minorHAnsi"/>
          <w:b/>
          <w:snapToGrid w:val="0"/>
          <w:sz w:val="32"/>
          <w:szCs w:val="32"/>
        </w:rPr>
        <w:tab/>
        <w:t>Context for Decision</w:t>
      </w:r>
    </w:p>
    <w:p w14:paraId="2BBF9B0D" w14:textId="77777777" w:rsidR="005E505D" w:rsidRDefault="005E505D" w:rsidP="005E505D">
      <w:pPr>
        <w:spacing w:after="120"/>
        <w:ind w:left="720"/>
        <w:rPr>
          <w:rFonts w:asciiTheme="minorHAnsi" w:hAnsiTheme="minorHAnsi"/>
          <w:bCs/>
          <w:lang w:val="en-GB"/>
        </w:rPr>
      </w:pPr>
      <w:r w:rsidRPr="005E505D">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61E1149" w14:textId="77777777" w:rsidR="0097287E" w:rsidRPr="0097287E" w:rsidRDefault="0097287E" w:rsidP="0097287E">
      <w:pPr>
        <w:keepNext/>
        <w:spacing w:before="240" w:after="120"/>
        <w:ind w:left="720" w:hanging="720"/>
        <w:jc w:val="left"/>
        <w:outlineLvl w:val="0"/>
        <w:rPr>
          <w:rFonts w:asciiTheme="minorHAnsi" w:hAnsiTheme="minorHAnsi"/>
          <w:b/>
          <w:snapToGrid w:val="0"/>
          <w:sz w:val="32"/>
          <w:szCs w:val="32"/>
        </w:rPr>
      </w:pPr>
      <w:r w:rsidRPr="0097287E">
        <w:rPr>
          <w:rFonts w:asciiTheme="minorHAnsi" w:hAnsiTheme="minorHAnsi"/>
          <w:b/>
          <w:snapToGrid w:val="0"/>
          <w:sz w:val="32"/>
          <w:szCs w:val="32"/>
        </w:rPr>
        <w:t>10</w:t>
      </w:r>
      <w:r w:rsidRPr="0097287E">
        <w:rPr>
          <w:rFonts w:asciiTheme="minorHAnsi" w:hAnsiTheme="minorHAnsi"/>
          <w:b/>
          <w:snapToGrid w:val="0"/>
          <w:sz w:val="32"/>
          <w:szCs w:val="32"/>
        </w:rPr>
        <w:tab/>
        <w:t>Sponsor’s Comment</w:t>
      </w:r>
    </w:p>
    <w:p w14:paraId="2D0682CF" w14:textId="5AF601FD" w:rsidR="00D863F0" w:rsidRPr="000C3383" w:rsidRDefault="00086FE4" w:rsidP="000C3383">
      <w:pPr>
        <w:spacing w:after="120"/>
        <w:ind w:left="720"/>
        <w:rPr>
          <w:rFonts w:asciiTheme="minorHAnsi" w:eastAsiaTheme="minorHAnsi" w:hAnsiTheme="minorHAnsi"/>
          <w:bCs/>
          <w:lang w:eastAsia="en-US"/>
        </w:rPr>
      </w:pPr>
      <w:r w:rsidRPr="00D863F0">
        <w:rPr>
          <w:rFonts w:asciiTheme="minorHAnsi" w:eastAsiaTheme="minorHAnsi" w:hAnsiTheme="minorHAnsi"/>
          <w:bCs/>
          <w:lang w:eastAsia="en-US"/>
        </w:rPr>
        <w:t>The sponsor had no comment.</w:t>
      </w:r>
      <w:bookmarkEnd w:id="102"/>
      <w:bookmarkEnd w:id="103"/>
      <w:bookmarkEnd w:id="104"/>
    </w:p>
    <w:p w14:paraId="6BEE1C6F" w14:textId="6B7565D4" w:rsidR="005A1B0E" w:rsidRDefault="005A1B0E">
      <w:pPr>
        <w:jc w:val="left"/>
        <w:rPr>
          <w:b/>
        </w:rPr>
      </w:pPr>
      <w:r>
        <w:rPr>
          <w:b/>
        </w:rPr>
        <w:br w:type="page"/>
      </w:r>
    </w:p>
    <w:p w14:paraId="0E92ACEF" w14:textId="65261C33" w:rsidR="00B133A8" w:rsidRDefault="00B133A8" w:rsidP="00B133A8">
      <w:pPr>
        <w:rPr>
          <w:rFonts w:cs="Calibri"/>
          <w:b/>
          <w:bCs/>
          <w:color w:val="FF0000"/>
          <w:sz w:val="28"/>
          <w:szCs w:val="36"/>
        </w:rPr>
      </w:pPr>
      <w:r w:rsidRPr="00755570">
        <w:rPr>
          <w:rFonts w:cs="Calibri"/>
          <w:b/>
          <w:bCs/>
          <w:color w:val="FF0000"/>
          <w:sz w:val="28"/>
          <w:szCs w:val="36"/>
        </w:rPr>
        <w:lastRenderedPageBreak/>
        <w:t xml:space="preserve">Addendum to the November 2025 </w:t>
      </w:r>
      <w:r w:rsidR="00F162D0">
        <w:rPr>
          <w:rFonts w:cs="Calibri"/>
          <w:b/>
          <w:bCs/>
          <w:color w:val="FF0000"/>
          <w:sz w:val="28"/>
          <w:szCs w:val="36"/>
        </w:rPr>
        <w:t>P</w:t>
      </w:r>
      <w:r w:rsidR="00AE1DA9">
        <w:rPr>
          <w:rFonts w:cs="Calibri"/>
          <w:b/>
          <w:bCs/>
          <w:color w:val="FF0000"/>
          <w:sz w:val="28"/>
          <w:szCs w:val="36"/>
        </w:rPr>
        <w:t>ublic Summary Document</w:t>
      </w:r>
      <w:r w:rsidRPr="00755570">
        <w:rPr>
          <w:rFonts w:cs="Calibri"/>
          <w:b/>
          <w:bCs/>
          <w:color w:val="FF0000"/>
          <w:sz w:val="28"/>
          <w:szCs w:val="36"/>
        </w:rPr>
        <w:t>:</w:t>
      </w:r>
    </w:p>
    <w:p w14:paraId="6E5FC3BD" w14:textId="77777777" w:rsidR="00AE1DA9" w:rsidRPr="00AE1DA9" w:rsidRDefault="00AE1DA9" w:rsidP="00B133A8">
      <w:pPr>
        <w:rPr>
          <w:rFonts w:cs="Calibri"/>
          <w:b/>
          <w:bCs/>
          <w:color w:val="FF0000"/>
          <w:sz w:val="28"/>
          <w:szCs w:val="36"/>
        </w:rPr>
      </w:pPr>
    </w:p>
    <w:p w14:paraId="2C00F7D6" w14:textId="77777777" w:rsidR="00B133A8" w:rsidRPr="00D30537" w:rsidRDefault="00B133A8" w:rsidP="00B133A8">
      <w:pPr>
        <w:pStyle w:val="1-MainHeading"/>
      </w:pPr>
      <w:r>
        <w:t>4.04</w:t>
      </w:r>
      <w:r w:rsidRPr="00D30537">
        <w:tab/>
        <w:t>RETIFANLIMAB,</w:t>
      </w:r>
      <w:r w:rsidRPr="00D30537">
        <w:br/>
        <w:t>Solution concentrate for I.V. infusion,</w:t>
      </w:r>
      <w:r w:rsidRPr="00D30537">
        <w:br/>
        <w:t>500 mg in 20 mL,</w:t>
      </w:r>
      <w:r w:rsidRPr="00D30537">
        <w:br/>
        <w:t>Zynyz</w:t>
      </w:r>
      <w:r w:rsidRPr="00D30537">
        <w:rPr>
          <w:vertAlign w:val="superscript"/>
        </w:rPr>
        <w:t>®</w:t>
      </w:r>
      <w:r w:rsidRPr="00D30537">
        <w:t>,</w:t>
      </w:r>
      <w:r w:rsidRPr="00D30537">
        <w:br/>
        <w:t xml:space="preserve">Specialised Therapeutics Alim Pty Ltd. </w:t>
      </w:r>
    </w:p>
    <w:p w14:paraId="3C308A42" w14:textId="77777777" w:rsidR="00B133A8" w:rsidRPr="00E578E1" w:rsidRDefault="00B133A8" w:rsidP="005A1B0E">
      <w:pPr>
        <w:pStyle w:val="2-SectionHeading"/>
        <w:numPr>
          <w:ilvl w:val="0"/>
          <w:numId w:val="43"/>
        </w:numPr>
      </w:pPr>
      <w:r w:rsidRPr="00E578E1">
        <w:t xml:space="preserve">Background </w:t>
      </w:r>
    </w:p>
    <w:p w14:paraId="2D34E4B0" w14:textId="39CFE18B" w:rsidR="00B133A8" w:rsidRDefault="00B133A8" w:rsidP="00B133A8">
      <w:pPr>
        <w:widowControl w:val="0"/>
        <w:numPr>
          <w:ilvl w:val="1"/>
          <w:numId w:val="1"/>
        </w:numPr>
        <w:spacing w:after="120"/>
        <w:ind w:left="720"/>
      </w:pPr>
      <w:r>
        <w:t>At its November 2025 meeting, t</w:t>
      </w:r>
      <w:r w:rsidRPr="00BA471B">
        <w:t>he PBAC deferred making a recommendation for the listing of retifanlimab for the treatment of metastatic or recurrent locally advanced Merkel cell carcinoma (MCC) not amenable to curative surgery or radiation. The PBAC was of a mind to recommend retifanlimab pending the provision of a positive TGA Delegate’s Overview</w:t>
      </w:r>
      <w:r>
        <w:t xml:space="preserve"> (see paragraph</w:t>
      </w:r>
      <w:r w:rsidR="008D62D0">
        <w:t xml:space="preserve"> </w:t>
      </w:r>
      <w:r w:rsidR="008D62D0">
        <w:fldChar w:fldCharType="begin"/>
      </w:r>
      <w:r w:rsidR="008D62D0">
        <w:instrText xml:space="preserve"> REF _Ref234230376 \r \h </w:instrText>
      </w:r>
      <w:r w:rsidR="008D62D0">
        <w:fldChar w:fldCharType="separate"/>
      </w:r>
      <w:r w:rsidR="00B5448B">
        <w:t>7.1</w:t>
      </w:r>
      <w:r w:rsidR="008D62D0">
        <w:fldChar w:fldCharType="end"/>
      </w:r>
      <w:r>
        <w:t>).</w:t>
      </w:r>
    </w:p>
    <w:p w14:paraId="6135FE31" w14:textId="13B5F7E3" w:rsidR="00B133A8" w:rsidRPr="00E578E1" w:rsidRDefault="00B133A8" w:rsidP="00B133A8">
      <w:pPr>
        <w:widowControl w:val="0"/>
        <w:numPr>
          <w:ilvl w:val="1"/>
          <w:numId w:val="1"/>
        </w:numPr>
        <w:spacing w:after="120"/>
        <w:ind w:left="720"/>
      </w:pPr>
      <w:r>
        <w:t>The TGA Delegate’s Overview has been provided and the Delegate has proposed the registration of retifanlimab for the treatment of adult patients with metastatic or recurrent locally advanced MCC.</w:t>
      </w:r>
    </w:p>
    <w:p w14:paraId="6F6577DD" w14:textId="77777777" w:rsidR="00B133A8" w:rsidRPr="00E578E1" w:rsidRDefault="00B133A8" w:rsidP="00B133A8">
      <w:pPr>
        <w:pStyle w:val="2-SectionHeading"/>
      </w:pPr>
      <w:r w:rsidRPr="00E578E1">
        <w:t>PBAC Outcome</w:t>
      </w:r>
    </w:p>
    <w:p w14:paraId="22B43FDD" w14:textId="77777777" w:rsidR="00B133A8" w:rsidRDefault="00B133A8" w:rsidP="00B133A8">
      <w:pPr>
        <w:widowControl w:val="0"/>
        <w:numPr>
          <w:ilvl w:val="1"/>
          <w:numId w:val="1"/>
        </w:numPr>
        <w:spacing w:after="120"/>
        <w:ind w:left="720"/>
      </w:pPr>
      <w:r w:rsidRPr="002419DC">
        <w:t>The PBAC recommended retifanlimab for the treatment of metastatic or recurrent locally advanced Merkel cell carcinoma (MCC) not amenable to curative surgery or radiation.</w:t>
      </w:r>
      <w:r>
        <w:t xml:space="preserve"> T</w:t>
      </w:r>
      <w:r w:rsidRPr="00A031A3">
        <w:t xml:space="preserve">he PBAC </w:t>
      </w:r>
      <w:r>
        <w:t xml:space="preserve">recalled it had previously </w:t>
      </w:r>
      <w:r w:rsidRPr="00A031A3">
        <w:t xml:space="preserve">deferred making a recommendation for the listing of retifanlimab </w:t>
      </w:r>
      <w:r>
        <w:t xml:space="preserve">for MCC </w:t>
      </w:r>
      <w:r w:rsidRPr="00A031A3">
        <w:t>pending the provision of a positive TGA Delegate’s Overview</w:t>
      </w:r>
      <w:r>
        <w:t xml:space="preserve">, which had now been received. </w:t>
      </w:r>
    </w:p>
    <w:p w14:paraId="7802CE62" w14:textId="1985C5F1" w:rsidR="00B133A8" w:rsidRDefault="00B133A8" w:rsidP="00B133A8">
      <w:pPr>
        <w:widowControl w:val="0"/>
        <w:numPr>
          <w:ilvl w:val="1"/>
          <w:numId w:val="1"/>
        </w:numPr>
        <w:spacing w:after="120"/>
        <w:ind w:left="720"/>
      </w:pPr>
      <w:r>
        <w:t>The PBAC recalled the unmet clinical need for treatments for MCC (paragraph</w:t>
      </w:r>
      <w:r w:rsidR="008D62D0">
        <w:t xml:space="preserve"> </w:t>
      </w:r>
      <w:r w:rsidR="008D62D0">
        <w:fldChar w:fldCharType="begin"/>
      </w:r>
      <w:r w:rsidR="008D62D0">
        <w:instrText xml:space="preserve"> REF _Ref234230135 \r \h </w:instrText>
      </w:r>
      <w:r w:rsidR="008D62D0">
        <w:fldChar w:fldCharType="separate"/>
      </w:r>
      <w:r w:rsidR="008D62D0">
        <w:t>7.2</w:t>
      </w:r>
      <w:r w:rsidR="008D62D0">
        <w:fldChar w:fldCharType="end"/>
      </w:r>
      <w:r>
        <w:t>) and the consumer input received (paragraph</w:t>
      </w:r>
      <w:r w:rsidR="008D62D0">
        <w:t xml:space="preserve"> </w:t>
      </w:r>
      <w:r w:rsidR="008D62D0">
        <w:fldChar w:fldCharType="begin"/>
      </w:r>
      <w:r w:rsidR="008D62D0">
        <w:instrText xml:space="preserve"> REF _Ref234230172 \r \h </w:instrText>
      </w:r>
      <w:r w:rsidR="008D62D0">
        <w:fldChar w:fldCharType="separate"/>
      </w:r>
      <w:r w:rsidR="008D62D0">
        <w:t>7.3</w:t>
      </w:r>
      <w:r w:rsidR="008D62D0">
        <w:fldChar w:fldCharType="end"/>
      </w:r>
      <w:r>
        <w:t>) during its previous consideration.</w:t>
      </w:r>
    </w:p>
    <w:p w14:paraId="1EB48249" w14:textId="139B4F62" w:rsidR="00B133A8" w:rsidRDefault="00B133A8" w:rsidP="00B133A8">
      <w:pPr>
        <w:widowControl w:val="0"/>
        <w:numPr>
          <w:ilvl w:val="1"/>
          <w:numId w:val="1"/>
        </w:numPr>
        <w:spacing w:after="120"/>
        <w:ind w:left="720"/>
      </w:pPr>
      <w:r>
        <w:t>The PBAC advised that its previous recommendations with regards to the restriction (paragraph</w:t>
      </w:r>
      <w:r w:rsidR="008D62D0">
        <w:t xml:space="preserve"> </w:t>
      </w:r>
      <w:r w:rsidR="008D62D0">
        <w:fldChar w:fldCharType="begin"/>
      </w:r>
      <w:r w:rsidR="008D62D0">
        <w:instrText xml:space="preserve"> REF _Ref234230304 \r \h </w:instrText>
      </w:r>
      <w:r w:rsidR="008D62D0">
        <w:fldChar w:fldCharType="separate"/>
      </w:r>
      <w:r w:rsidR="008D62D0">
        <w:t>7.4</w:t>
      </w:r>
      <w:r w:rsidR="008D62D0">
        <w:fldChar w:fldCharType="end"/>
      </w:r>
      <w:r>
        <w:t>), clinical claim (paragraphs</w:t>
      </w:r>
      <w:r w:rsidR="008D62D0">
        <w:t xml:space="preserve"> </w:t>
      </w:r>
      <w:r w:rsidR="008D62D0">
        <w:fldChar w:fldCharType="begin"/>
      </w:r>
      <w:r w:rsidR="008D62D0">
        <w:instrText xml:space="preserve"> REF _Ref234230317 \r \h </w:instrText>
      </w:r>
      <w:r w:rsidR="008D62D0">
        <w:fldChar w:fldCharType="separate"/>
      </w:r>
      <w:r w:rsidR="008D62D0">
        <w:t>7.7</w:t>
      </w:r>
      <w:r w:rsidR="008D62D0">
        <w:fldChar w:fldCharType="end"/>
      </w:r>
      <w:r>
        <w:t xml:space="preserve"> and</w:t>
      </w:r>
      <w:r w:rsidR="008D62D0">
        <w:t xml:space="preserve"> </w:t>
      </w:r>
      <w:r w:rsidR="008D62D0">
        <w:fldChar w:fldCharType="begin"/>
      </w:r>
      <w:r w:rsidR="008D62D0">
        <w:instrText xml:space="preserve"> REF _Ref234230327 \r \h </w:instrText>
      </w:r>
      <w:r w:rsidR="008D62D0">
        <w:fldChar w:fldCharType="separate"/>
      </w:r>
      <w:r w:rsidR="008D62D0">
        <w:t>7.8</w:t>
      </w:r>
      <w:r w:rsidR="008D62D0">
        <w:fldChar w:fldCharType="end"/>
      </w:r>
      <w:r>
        <w:t>), cost effectiveness (paragraph</w:t>
      </w:r>
      <w:r w:rsidR="008D62D0">
        <w:t xml:space="preserve"> </w:t>
      </w:r>
      <w:r w:rsidR="008D62D0">
        <w:fldChar w:fldCharType="begin"/>
      </w:r>
      <w:r w:rsidR="008D62D0">
        <w:instrText xml:space="preserve"> REF _Ref234230342 \r \h </w:instrText>
      </w:r>
      <w:r w:rsidR="008D62D0">
        <w:fldChar w:fldCharType="separate"/>
      </w:r>
      <w:r w:rsidR="008D62D0">
        <w:t>7.9</w:t>
      </w:r>
      <w:r w:rsidR="008D62D0">
        <w:fldChar w:fldCharType="end"/>
      </w:r>
      <w:r>
        <w:t xml:space="preserve">) and financials (paragraphs </w:t>
      </w:r>
      <w:r w:rsidR="008D62D0">
        <w:fldChar w:fldCharType="begin"/>
      </w:r>
      <w:r w:rsidR="008D62D0">
        <w:instrText xml:space="preserve"> REF _Ref234230350 \r \h </w:instrText>
      </w:r>
      <w:r w:rsidR="008D62D0">
        <w:fldChar w:fldCharType="separate"/>
      </w:r>
      <w:r w:rsidR="008D62D0">
        <w:t>7.10</w:t>
      </w:r>
      <w:r w:rsidR="008D62D0">
        <w:fldChar w:fldCharType="end"/>
      </w:r>
      <w:r>
        <w:t xml:space="preserve"> and</w:t>
      </w:r>
      <w:r w:rsidR="008D62D0">
        <w:t xml:space="preserve"> </w:t>
      </w:r>
      <w:r w:rsidR="008D62D0">
        <w:fldChar w:fldCharType="begin"/>
      </w:r>
      <w:r w:rsidR="008D62D0">
        <w:instrText xml:space="preserve"> REF _Ref234230359 \r \h </w:instrText>
      </w:r>
      <w:r w:rsidR="008D62D0">
        <w:fldChar w:fldCharType="separate"/>
      </w:r>
      <w:r w:rsidR="008D62D0">
        <w:t>7.11</w:t>
      </w:r>
      <w:r w:rsidR="008D62D0">
        <w:fldChar w:fldCharType="end"/>
      </w:r>
      <w:r>
        <w:t>)</w:t>
      </w:r>
      <w:r w:rsidR="008D62D0">
        <w:t xml:space="preserve"> </w:t>
      </w:r>
      <w:r>
        <w:t>remained appropriate.</w:t>
      </w:r>
    </w:p>
    <w:p w14:paraId="0DF6E797" w14:textId="77777777" w:rsidR="00B133A8" w:rsidRPr="00881526" w:rsidRDefault="00B133A8" w:rsidP="00B133A8">
      <w:pPr>
        <w:pStyle w:val="3-BodyText"/>
        <w:ind w:left="720"/>
        <w:rPr>
          <w:b/>
          <w:bCs/>
          <w:lang w:val="en-GB"/>
        </w:rPr>
      </w:pPr>
      <w:r w:rsidRPr="00525B39">
        <w:rPr>
          <w:rFonts w:cs="Arial"/>
          <w:bCs/>
          <w:snapToGrid w:val="0"/>
          <w:lang w:val="en-GB"/>
        </w:rPr>
        <w:t xml:space="preserve">The PBAC advised that </w:t>
      </w:r>
      <w:r>
        <w:rPr>
          <w:rFonts w:cs="Arial"/>
          <w:bCs/>
          <w:snapToGrid w:val="0"/>
          <w:lang w:val="en-GB"/>
        </w:rPr>
        <w:t xml:space="preserve">retifanlimab </w:t>
      </w:r>
      <w:r w:rsidRPr="00525B39">
        <w:rPr>
          <w:rFonts w:cs="Arial"/>
          <w:bCs/>
          <w:snapToGrid w:val="0"/>
          <w:lang w:val="en-GB"/>
        </w:rPr>
        <w:t>is not suitable for presc</w:t>
      </w:r>
      <w:r>
        <w:rPr>
          <w:rFonts w:cs="Arial"/>
          <w:bCs/>
          <w:snapToGrid w:val="0"/>
          <w:lang w:val="en-GB"/>
        </w:rPr>
        <w:t>ribing by nurse practitioners.</w:t>
      </w:r>
    </w:p>
    <w:p w14:paraId="541F40C1" w14:textId="77777777" w:rsidR="00B133A8" w:rsidRPr="007A62BE" w:rsidRDefault="00B133A8" w:rsidP="00B133A8">
      <w:pPr>
        <w:pStyle w:val="3-BodyText"/>
        <w:ind w:left="720"/>
        <w:rPr>
          <w:b/>
          <w:bCs/>
          <w:lang w:val="en-GB"/>
        </w:rPr>
      </w:pPr>
      <w:r w:rsidRPr="00525B39">
        <w:rPr>
          <w:rFonts w:cs="Arial"/>
          <w:bCs/>
          <w:snapToGrid w:val="0"/>
          <w:lang w:val="en-GB"/>
        </w:rPr>
        <w:t xml:space="preserve">The PBAC recommended that </w:t>
      </w:r>
      <w:r>
        <w:rPr>
          <w:rFonts w:cs="Arial"/>
          <w:bCs/>
          <w:snapToGrid w:val="0"/>
          <w:lang w:val="en-GB"/>
        </w:rPr>
        <w:t xml:space="preserve">retifanlimab </w:t>
      </w:r>
      <w:r w:rsidRPr="00525B39">
        <w:rPr>
          <w:rFonts w:cs="Arial"/>
          <w:bCs/>
          <w:snapToGrid w:val="0"/>
          <w:lang w:val="en-GB"/>
        </w:rPr>
        <w:t xml:space="preserve">should </w:t>
      </w:r>
      <w:r>
        <w:rPr>
          <w:rFonts w:cs="Arial"/>
          <w:bCs/>
          <w:snapToGrid w:val="0"/>
          <w:lang w:val="en-GB"/>
        </w:rPr>
        <w:t xml:space="preserve">not </w:t>
      </w:r>
      <w:r w:rsidRPr="00525B39">
        <w:rPr>
          <w:rFonts w:cs="Arial"/>
          <w:bCs/>
          <w:snapToGrid w:val="0"/>
          <w:lang w:val="en-GB"/>
        </w:rPr>
        <w:t xml:space="preserve">be treated as interchangeable </w:t>
      </w:r>
      <w:r>
        <w:rPr>
          <w:rFonts w:cs="Arial"/>
          <w:bCs/>
          <w:snapToGrid w:val="0"/>
          <w:lang w:val="en-GB"/>
        </w:rPr>
        <w:t>with any other drugs</w:t>
      </w:r>
      <w:r w:rsidRPr="00525B39">
        <w:rPr>
          <w:rFonts w:cs="Arial"/>
          <w:bCs/>
          <w:snapToGrid w:val="0"/>
          <w:lang w:val="en-GB"/>
        </w:rPr>
        <w:t>.</w:t>
      </w:r>
    </w:p>
    <w:p w14:paraId="4E040F18" w14:textId="77777777" w:rsidR="00B133A8" w:rsidRPr="00531A05" w:rsidRDefault="00B133A8" w:rsidP="00B133A8">
      <w:pPr>
        <w:pStyle w:val="3-BodyText"/>
        <w:ind w:left="720"/>
        <w:rPr>
          <w:b/>
          <w:bCs/>
          <w:lang w:val="en-GB"/>
        </w:rPr>
      </w:pPr>
      <w:r w:rsidRPr="00D121C5">
        <w:rPr>
          <w:lang w:val="en-GB"/>
        </w:rPr>
        <w:t>The PBAC noted that its recommendation was on a cost</w:t>
      </w:r>
      <w:r>
        <w:rPr>
          <w:lang w:val="en-GB"/>
        </w:rPr>
        <w:noBreakHyphen/>
      </w:r>
      <w:r w:rsidRPr="00D121C5">
        <w:rPr>
          <w:lang w:val="en-GB"/>
        </w:rPr>
        <w:t xml:space="preserve">minimisation basis and advised that, because </w:t>
      </w:r>
      <w:r>
        <w:rPr>
          <w:lang w:val="en-GB"/>
        </w:rPr>
        <w:t xml:space="preserve">retifanlimab </w:t>
      </w:r>
      <w:r w:rsidRPr="00D121C5">
        <w:rPr>
          <w:lang w:val="en-GB"/>
        </w:rPr>
        <w:t>is not expected to provide a substantial</w:t>
      </w:r>
      <w:r w:rsidRPr="00D121C5">
        <w:rPr>
          <w:bCs/>
          <w:lang w:val="en-GB"/>
        </w:rPr>
        <w:t xml:space="preserve"> and</w:t>
      </w:r>
      <w:r w:rsidRPr="00531A05">
        <w:rPr>
          <w:bCs/>
          <w:lang w:val="en-GB"/>
        </w:rPr>
        <w:t xml:space="preserve"> clinically relevant improvement in efficacy, or reduction of toxicity, over </w:t>
      </w:r>
      <w:r>
        <w:rPr>
          <w:bCs/>
          <w:lang w:val="en-GB"/>
        </w:rPr>
        <w:t>avelumab</w:t>
      </w:r>
      <w:r w:rsidRPr="00531A05">
        <w:rPr>
          <w:bCs/>
          <w:lang w:val="en-GB"/>
        </w:rPr>
        <w:t xml:space="preserve">, or not expected to address a high and urgent unmet clinical need given the presence of </w:t>
      </w:r>
      <w:r w:rsidRPr="00531A05">
        <w:rPr>
          <w:bCs/>
          <w:lang w:val="en-GB"/>
        </w:rPr>
        <w:lastRenderedPageBreak/>
        <w:t xml:space="preserve">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0CC3E38A" w14:textId="77777777" w:rsidR="00B133A8" w:rsidRPr="002419DC" w:rsidRDefault="00B133A8" w:rsidP="00B133A8">
      <w:pPr>
        <w:widowControl w:val="0"/>
        <w:numPr>
          <w:ilvl w:val="1"/>
          <w:numId w:val="1"/>
        </w:numPr>
        <w:spacing w:after="120"/>
        <w:ind w:left="720"/>
      </w:pPr>
      <w:r w:rsidRPr="00525B39">
        <w:rPr>
          <w:rFonts w:asciiTheme="minorHAnsi" w:hAnsiTheme="minorHAnsi"/>
          <w:bCs/>
          <w:snapToGrid w:val="0"/>
          <w:lang w:val="en-GB"/>
        </w:rPr>
        <w:t xml:space="preserve">The PBAC noted </w:t>
      </w:r>
      <w:r w:rsidRPr="00191459">
        <w:rPr>
          <w:rFonts w:asciiTheme="minorHAnsi" w:hAnsiTheme="minorHAnsi"/>
          <w:bCs/>
          <w:snapToGrid w:val="0"/>
          <w:lang w:val="en-GB"/>
        </w:rPr>
        <w:t>that this submission is</w:t>
      </w:r>
      <w:r w:rsidRPr="00525B39">
        <w:rPr>
          <w:rFonts w:asciiTheme="minorHAnsi" w:hAnsiTheme="minorHAnsi"/>
          <w:bCs/>
          <w:snapToGrid w:val="0"/>
          <w:lang w:val="en-GB"/>
        </w:rPr>
        <w:t xml:space="preserve"> not eligible for an Independent Review.</w:t>
      </w:r>
    </w:p>
    <w:p w14:paraId="51FCD41D" w14:textId="77777777" w:rsidR="00B133A8" w:rsidRPr="00525B39" w:rsidRDefault="00B133A8" w:rsidP="00B133A8">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B62321A" w14:textId="269AF4D2" w:rsidR="00F6344B" w:rsidRDefault="00B133A8" w:rsidP="00B133A8">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21AEE4D2" w14:textId="77777777" w:rsidR="00F6344B" w:rsidRDefault="00F6344B">
      <w:pPr>
        <w:jc w:val="left"/>
        <w:rPr>
          <w:rFonts w:asciiTheme="minorHAnsi" w:hAnsiTheme="minorHAnsi"/>
          <w:bCs/>
          <w:snapToGrid w:val="0"/>
          <w:lang w:val="en-GB"/>
        </w:rPr>
      </w:pPr>
      <w:r>
        <w:rPr>
          <w:rFonts w:asciiTheme="minorHAnsi" w:hAnsiTheme="minorHAnsi"/>
          <w:bCs/>
          <w:snapToGrid w:val="0"/>
          <w:lang w:val="en-GB"/>
        </w:rPr>
        <w:br w:type="page"/>
      </w:r>
    </w:p>
    <w:p w14:paraId="3128F9EB" w14:textId="77777777" w:rsidR="00B133A8" w:rsidRDefault="00B133A8" w:rsidP="00B133A8">
      <w:pPr>
        <w:pStyle w:val="2-SectionHeading"/>
      </w:pPr>
      <w:r>
        <w:lastRenderedPageBreak/>
        <w:t>Recommended listing</w:t>
      </w:r>
    </w:p>
    <w:p w14:paraId="511C771F" w14:textId="05914E4F" w:rsidR="00F6344B" w:rsidRDefault="00B133A8" w:rsidP="00F6344B">
      <w:pPr>
        <w:widowControl w:val="0"/>
        <w:numPr>
          <w:ilvl w:val="1"/>
          <w:numId w:val="1"/>
        </w:numPr>
        <w:spacing w:after="120"/>
        <w:ind w:left="720"/>
      </w:pPr>
      <w:r>
        <w:t>Add new item:</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2532"/>
        <w:gridCol w:w="1971"/>
        <w:gridCol w:w="1971"/>
        <w:gridCol w:w="2031"/>
      </w:tblGrid>
      <w:tr w:rsidR="00B133A8" w:rsidRPr="00634118" w14:paraId="6A758C7A" w14:textId="77777777" w:rsidTr="008524BC">
        <w:trPr>
          <w:cantSplit/>
          <w:trHeight w:val="20"/>
        </w:trPr>
        <w:tc>
          <w:tcPr>
            <w:tcW w:w="1706" w:type="pct"/>
            <w:gridSpan w:val="2"/>
            <w:vAlign w:val="center"/>
          </w:tcPr>
          <w:p w14:paraId="3EB84FCA" w14:textId="77777777" w:rsidR="00B133A8" w:rsidRPr="00634118" w:rsidRDefault="00B133A8" w:rsidP="00802B74">
            <w:pPr>
              <w:keepNext/>
              <w:keepLines/>
              <w:rPr>
                <w:rFonts w:ascii="Arial Narrow" w:hAnsi="Arial Narrow"/>
                <w:b/>
                <w:bCs/>
                <w:sz w:val="20"/>
                <w:szCs w:val="20"/>
              </w:rPr>
            </w:pPr>
            <w:r w:rsidRPr="00634118">
              <w:rPr>
                <w:rFonts w:ascii="Arial Narrow" w:hAnsi="Arial Narrow"/>
                <w:b/>
                <w:bCs/>
                <w:sz w:val="20"/>
                <w:szCs w:val="20"/>
              </w:rPr>
              <w:t>MEDICINAL PRODUCT</w:t>
            </w:r>
          </w:p>
          <w:p w14:paraId="3FD9C8EE" w14:textId="77777777" w:rsidR="00B133A8" w:rsidRPr="00634118" w:rsidRDefault="00B133A8" w:rsidP="00802B74">
            <w:pPr>
              <w:keepNext/>
              <w:keepLines/>
              <w:rPr>
                <w:rFonts w:ascii="Arial Narrow" w:hAnsi="Arial Narrow"/>
                <w:b/>
                <w:sz w:val="20"/>
                <w:szCs w:val="20"/>
              </w:rPr>
            </w:pPr>
            <w:r w:rsidRPr="00634118">
              <w:rPr>
                <w:rFonts w:ascii="Arial Narrow" w:hAnsi="Arial Narrow"/>
                <w:b/>
                <w:sz w:val="20"/>
                <w:szCs w:val="20"/>
              </w:rPr>
              <w:t>Form</w:t>
            </w:r>
          </w:p>
        </w:tc>
        <w:tc>
          <w:tcPr>
            <w:tcW w:w="1087" w:type="pct"/>
            <w:vAlign w:val="center"/>
          </w:tcPr>
          <w:p w14:paraId="20FE366B" w14:textId="77777777" w:rsidR="00B133A8" w:rsidRPr="00634118" w:rsidRDefault="00B133A8" w:rsidP="00802B74">
            <w:pPr>
              <w:keepNext/>
              <w:keepLines/>
              <w:jc w:val="center"/>
              <w:rPr>
                <w:rFonts w:ascii="Arial Narrow" w:hAnsi="Arial Narrow"/>
                <w:b/>
                <w:sz w:val="20"/>
                <w:szCs w:val="20"/>
              </w:rPr>
            </w:pPr>
            <w:r w:rsidRPr="00634118">
              <w:rPr>
                <w:rFonts w:ascii="Arial Narrow" w:hAnsi="Arial Narrow"/>
                <w:b/>
                <w:sz w:val="20"/>
                <w:szCs w:val="20"/>
              </w:rPr>
              <w:t>PBS item code</w:t>
            </w:r>
          </w:p>
        </w:tc>
        <w:tc>
          <w:tcPr>
            <w:tcW w:w="1087" w:type="pct"/>
            <w:vAlign w:val="center"/>
          </w:tcPr>
          <w:p w14:paraId="537A662F" w14:textId="77777777" w:rsidR="00B133A8" w:rsidRPr="00634118" w:rsidRDefault="00B133A8" w:rsidP="00802B74">
            <w:pPr>
              <w:keepNext/>
              <w:keepLines/>
              <w:jc w:val="center"/>
              <w:rPr>
                <w:rFonts w:ascii="Arial Narrow" w:hAnsi="Arial Narrow"/>
                <w:b/>
                <w:sz w:val="20"/>
                <w:szCs w:val="20"/>
              </w:rPr>
            </w:pPr>
            <w:r w:rsidRPr="00634118">
              <w:rPr>
                <w:rFonts w:ascii="Arial Narrow" w:hAnsi="Arial Narrow"/>
                <w:b/>
                <w:sz w:val="20"/>
                <w:szCs w:val="20"/>
              </w:rPr>
              <w:t>Max. Amount</w:t>
            </w:r>
          </w:p>
        </w:tc>
        <w:tc>
          <w:tcPr>
            <w:tcW w:w="1119" w:type="pct"/>
            <w:vAlign w:val="center"/>
          </w:tcPr>
          <w:p w14:paraId="19AF0593" w14:textId="77777777" w:rsidR="00B133A8" w:rsidRPr="00634118" w:rsidRDefault="00B133A8" w:rsidP="00802B74">
            <w:pPr>
              <w:keepNext/>
              <w:keepLines/>
              <w:jc w:val="center"/>
              <w:rPr>
                <w:rFonts w:ascii="Arial Narrow" w:hAnsi="Arial Narrow"/>
                <w:b/>
                <w:sz w:val="20"/>
                <w:szCs w:val="20"/>
              </w:rPr>
            </w:pPr>
            <w:r w:rsidRPr="00634118">
              <w:rPr>
                <w:rFonts w:ascii="Arial Narrow" w:hAnsi="Arial Narrow"/>
                <w:b/>
                <w:sz w:val="20"/>
                <w:szCs w:val="20"/>
              </w:rPr>
              <w:t>№.of Rpts</w:t>
            </w:r>
          </w:p>
        </w:tc>
      </w:tr>
      <w:tr w:rsidR="00B133A8" w:rsidRPr="00634118" w14:paraId="3607C78F" w14:textId="77777777" w:rsidTr="008524BC">
        <w:trPr>
          <w:cantSplit/>
          <w:trHeight w:val="20"/>
        </w:trPr>
        <w:tc>
          <w:tcPr>
            <w:tcW w:w="1706" w:type="pct"/>
            <w:gridSpan w:val="2"/>
            <w:vAlign w:val="center"/>
          </w:tcPr>
          <w:p w14:paraId="3A9B0760" w14:textId="77777777" w:rsidR="00B133A8" w:rsidRPr="00634118" w:rsidRDefault="00B133A8" w:rsidP="00802B74">
            <w:pPr>
              <w:keepNext/>
              <w:keepLines/>
              <w:rPr>
                <w:rFonts w:ascii="Arial Narrow" w:hAnsi="Arial Narrow"/>
                <w:sz w:val="20"/>
                <w:szCs w:val="20"/>
              </w:rPr>
            </w:pPr>
            <w:r w:rsidRPr="00634118">
              <w:rPr>
                <w:rFonts w:ascii="Arial Narrow" w:hAnsi="Arial Narrow"/>
                <w:sz w:val="20"/>
                <w:szCs w:val="20"/>
              </w:rPr>
              <w:t>RETIFANLIMAB</w:t>
            </w:r>
            <w:r w:rsidRPr="00634118">
              <w:rPr>
                <w:rFonts w:ascii="Arial Narrow" w:hAnsi="Arial Narrow"/>
                <w:color w:val="FF0000"/>
                <w:sz w:val="20"/>
                <w:szCs w:val="20"/>
              </w:rPr>
              <w:br/>
            </w:r>
            <w:r w:rsidRPr="00634118">
              <w:rPr>
                <w:rFonts w:ascii="Arial Narrow" w:hAnsi="Arial Narrow" w:cs="Arial Narrow"/>
                <w:sz w:val="20"/>
                <w:szCs w:val="20"/>
              </w:rPr>
              <w:t>Injection</w:t>
            </w:r>
          </w:p>
        </w:tc>
        <w:tc>
          <w:tcPr>
            <w:tcW w:w="1087" w:type="pct"/>
            <w:vAlign w:val="center"/>
          </w:tcPr>
          <w:p w14:paraId="6876CCA8" w14:textId="77777777" w:rsidR="00B133A8" w:rsidRPr="00634118" w:rsidRDefault="00B133A8" w:rsidP="00802B74">
            <w:pPr>
              <w:keepNext/>
              <w:keepLines/>
              <w:jc w:val="center"/>
              <w:rPr>
                <w:rFonts w:ascii="Arial Narrow" w:hAnsi="Arial Narrow"/>
                <w:sz w:val="20"/>
                <w:szCs w:val="20"/>
              </w:rPr>
            </w:pPr>
            <w:r w:rsidRPr="00634118">
              <w:rPr>
                <w:rFonts w:ascii="Arial Narrow" w:hAnsi="Arial Narrow"/>
                <w:sz w:val="20"/>
                <w:szCs w:val="20"/>
              </w:rPr>
              <w:t>NEW (Public)</w:t>
            </w:r>
            <w:r w:rsidRPr="00634118">
              <w:rPr>
                <w:rFonts w:ascii="Arial Narrow" w:hAnsi="Arial Narrow"/>
                <w:sz w:val="20"/>
                <w:szCs w:val="20"/>
              </w:rPr>
              <w:br/>
              <w:t>NEW (Private)</w:t>
            </w:r>
          </w:p>
        </w:tc>
        <w:tc>
          <w:tcPr>
            <w:tcW w:w="1087" w:type="pct"/>
            <w:vAlign w:val="center"/>
          </w:tcPr>
          <w:p w14:paraId="3096409E" w14:textId="77777777" w:rsidR="00B133A8" w:rsidRPr="00634118" w:rsidRDefault="00B133A8" w:rsidP="00802B74">
            <w:pPr>
              <w:keepNext/>
              <w:keepLines/>
              <w:jc w:val="center"/>
              <w:rPr>
                <w:rFonts w:ascii="Arial Narrow" w:hAnsi="Arial Narrow"/>
                <w:sz w:val="20"/>
                <w:szCs w:val="20"/>
              </w:rPr>
            </w:pPr>
            <w:r w:rsidRPr="00634118">
              <w:rPr>
                <w:rFonts w:ascii="Arial Narrow" w:hAnsi="Arial Narrow"/>
                <w:sz w:val="20"/>
                <w:szCs w:val="20"/>
              </w:rPr>
              <w:t>500mg</w:t>
            </w:r>
          </w:p>
        </w:tc>
        <w:tc>
          <w:tcPr>
            <w:tcW w:w="1119" w:type="pct"/>
            <w:vAlign w:val="center"/>
          </w:tcPr>
          <w:p w14:paraId="0F39C358" w14:textId="77777777" w:rsidR="00B133A8" w:rsidRPr="00634118" w:rsidRDefault="00B133A8" w:rsidP="00802B74">
            <w:pPr>
              <w:keepNext/>
              <w:keepLines/>
              <w:jc w:val="center"/>
              <w:rPr>
                <w:rFonts w:ascii="Arial Narrow" w:hAnsi="Arial Narrow"/>
                <w:sz w:val="20"/>
                <w:szCs w:val="20"/>
              </w:rPr>
            </w:pPr>
            <w:r w:rsidRPr="00634118">
              <w:rPr>
                <w:rFonts w:ascii="Arial Narrow" w:hAnsi="Arial Narrow"/>
                <w:sz w:val="20"/>
                <w:szCs w:val="20"/>
              </w:rPr>
              <w:t>5</w:t>
            </w:r>
          </w:p>
        </w:tc>
      </w:tr>
      <w:tr w:rsidR="00B133A8" w:rsidRPr="00634118" w14:paraId="2DBC7D40" w14:textId="77777777" w:rsidTr="008524BC">
        <w:trPr>
          <w:cantSplit/>
          <w:trHeight w:val="20"/>
        </w:trPr>
        <w:tc>
          <w:tcPr>
            <w:tcW w:w="5000" w:type="pct"/>
            <w:gridSpan w:val="5"/>
            <w:vAlign w:val="center"/>
          </w:tcPr>
          <w:p w14:paraId="637F8274" w14:textId="77777777" w:rsidR="00B133A8" w:rsidRPr="00634118" w:rsidRDefault="00B133A8" w:rsidP="00802B74">
            <w:pPr>
              <w:keepNext/>
              <w:keepLines/>
              <w:rPr>
                <w:rFonts w:ascii="Arial Narrow" w:hAnsi="Arial Narrow"/>
                <w:b/>
                <w:sz w:val="20"/>
                <w:szCs w:val="20"/>
              </w:rPr>
            </w:pPr>
            <w:r w:rsidRPr="00634118">
              <w:rPr>
                <w:rFonts w:ascii="Arial Narrow" w:hAnsi="Arial Narrow"/>
                <w:b/>
                <w:sz w:val="20"/>
                <w:szCs w:val="20"/>
              </w:rPr>
              <w:t xml:space="preserve">Available brands </w:t>
            </w:r>
          </w:p>
        </w:tc>
      </w:tr>
      <w:tr w:rsidR="00B133A8" w:rsidRPr="00634118" w14:paraId="17DA9D58" w14:textId="77777777" w:rsidTr="008524BC">
        <w:trPr>
          <w:cantSplit/>
          <w:trHeight w:val="20"/>
        </w:trPr>
        <w:tc>
          <w:tcPr>
            <w:tcW w:w="5000" w:type="pct"/>
            <w:gridSpan w:val="5"/>
            <w:vAlign w:val="center"/>
          </w:tcPr>
          <w:p w14:paraId="331DC350" w14:textId="77777777" w:rsidR="00B133A8" w:rsidRPr="00634118" w:rsidRDefault="00B133A8" w:rsidP="00802B74">
            <w:pPr>
              <w:keepNext/>
              <w:keepLines/>
              <w:rPr>
                <w:rFonts w:ascii="Arial Narrow" w:hAnsi="Arial Narrow"/>
                <w:sz w:val="20"/>
                <w:szCs w:val="20"/>
              </w:rPr>
            </w:pPr>
            <w:r w:rsidRPr="00634118">
              <w:rPr>
                <w:rFonts w:ascii="Arial Narrow" w:hAnsi="Arial Narrow"/>
                <w:sz w:val="20"/>
                <w:szCs w:val="20"/>
              </w:rPr>
              <w:t>Zynyz</w:t>
            </w:r>
            <w:r w:rsidRPr="00634118">
              <w:rPr>
                <w:rFonts w:ascii="Arial Narrow" w:hAnsi="Arial Narrow"/>
                <w:sz w:val="20"/>
                <w:szCs w:val="20"/>
              </w:rPr>
              <w:br/>
              <w:t>(retifanlimab 500 mg/20 mL injection, 20 mL vial)</w:t>
            </w:r>
          </w:p>
        </w:tc>
      </w:tr>
      <w:tr w:rsidR="00B133A8" w:rsidRPr="00634118" w14:paraId="127A3869" w14:textId="77777777" w:rsidTr="008524BC">
        <w:trPr>
          <w:cantSplit/>
          <w:trHeight w:val="20"/>
        </w:trPr>
        <w:tc>
          <w:tcPr>
            <w:tcW w:w="5000" w:type="pct"/>
            <w:gridSpan w:val="5"/>
            <w:vAlign w:val="center"/>
          </w:tcPr>
          <w:p w14:paraId="38D3052C" w14:textId="77777777" w:rsidR="00B133A8" w:rsidRPr="00634118" w:rsidRDefault="00B133A8" w:rsidP="00802B74">
            <w:pPr>
              <w:keepNext/>
              <w:keepLines/>
              <w:rPr>
                <w:rFonts w:ascii="Arial Narrow" w:hAnsi="Arial Narrow"/>
                <w:color w:val="FF0000"/>
                <w:sz w:val="20"/>
                <w:szCs w:val="20"/>
              </w:rPr>
            </w:pPr>
          </w:p>
        </w:tc>
      </w:tr>
      <w:tr w:rsidR="00B133A8" w:rsidRPr="00634118" w14:paraId="355A4CBE" w14:textId="77777777" w:rsidTr="008524BC">
        <w:trPr>
          <w:cantSplit/>
          <w:trHeight w:val="20"/>
        </w:trPr>
        <w:tc>
          <w:tcPr>
            <w:tcW w:w="5000" w:type="pct"/>
            <w:gridSpan w:val="5"/>
            <w:vAlign w:val="center"/>
          </w:tcPr>
          <w:p w14:paraId="75D2DC4C" w14:textId="77777777" w:rsidR="00B133A8" w:rsidRPr="00634118" w:rsidRDefault="00B133A8" w:rsidP="00802B74">
            <w:pPr>
              <w:keepNext/>
              <w:keepLines/>
              <w:rPr>
                <w:rFonts w:ascii="Arial Narrow" w:hAnsi="Arial Narrow"/>
                <w:color w:val="FF0000"/>
                <w:sz w:val="20"/>
                <w:szCs w:val="20"/>
              </w:rPr>
            </w:pPr>
            <w:r w:rsidRPr="00634118">
              <w:rPr>
                <w:rFonts w:ascii="Arial Narrow" w:hAnsi="Arial Narrow"/>
                <w:b/>
                <w:sz w:val="20"/>
                <w:szCs w:val="20"/>
              </w:rPr>
              <w:t>Restriction Summary NEW1 / Treatment of Concept: NEW1A</w:t>
            </w:r>
          </w:p>
        </w:tc>
      </w:tr>
      <w:tr w:rsidR="008524BC" w:rsidRPr="00634118" w14:paraId="4D0F4621"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tcPr>
          <w:p w14:paraId="59989169" w14:textId="77777777" w:rsidR="008524BC" w:rsidRPr="00634118" w:rsidRDefault="008524BC" w:rsidP="00802B74">
            <w:pPr>
              <w:keepNext/>
              <w:keepLines/>
              <w:rPr>
                <w:rFonts w:ascii="Arial Narrow" w:hAnsi="Arial Narrow"/>
                <w:sz w:val="20"/>
                <w:szCs w:val="20"/>
              </w:rPr>
            </w:pPr>
            <w:r w:rsidRPr="00634118">
              <w:rPr>
                <w:rFonts w:ascii="Arial Narrow" w:hAnsi="Arial Narrow"/>
                <w:b/>
                <w:sz w:val="20"/>
                <w:szCs w:val="20"/>
              </w:rPr>
              <w:t xml:space="preserve">Category / Program: </w:t>
            </w:r>
            <w:r w:rsidRPr="00634118">
              <w:rPr>
                <w:rFonts w:ascii="Arial Narrow" w:hAnsi="Arial Narrow"/>
                <w:sz w:val="20"/>
                <w:szCs w:val="20"/>
              </w:rPr>
              <w:t>Section 100 – Efficient Funding of Chemotherapy Public/Private hospitals</w:t>
            </w:r>
          </w:p>
        </w:tc>
      </w:tr>
      <w:tr w:rsidR="008524BC" w:rsidRPr="00634118" w14:paraId="5407930A"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tcPr>
          <w:p w14:paraId="18D59025" w14:textId="77777777" w:rsidR="008524BC" w:rsidRPr="00634118" w:rsidRDefault="008524BC" w:rsidP="00802B74">
            <w:pPr>
              <w:keepNext/>
              <w:keepLines/>
              <w:rPr>
                <w:rFonts w:ascii="Arial Narrow" w:hAnsi="Arial Narrow"/>
                <w:b/>
                <w:sz w:val="20"/>
                <w:szCs w:val="20"/>
              </w:rPr>
            </w:pPr>
            <w:r w:rsidRPr="00634118">
              <w:rPr>
                <w:rFonts w:ascii="Arial Narrow" w:hAnsi="Arial Narrow"/>
                <w:b/>
                <w:sz w:val="20"/>
                <w:szCs w:val="20"/>
              </w:rPr>
              <w:t xml:space="preserve">Prescriber type: </w:t>
            </w:r>
            <w:r w:rsidRPr="00634118">
              <w:rPr>
                <w:rFonts w:ascii="Arial Narrow" w:hAnsi="Arial Narrow"/>
                <w:sz w:val="20"/>
                <w:szCs w:val="20"/>
              </w:rPr>
              <w:fldChar w:fldCharType="begin">
                <w:ffData>
                  <w:name w:val=""/>
                  <w:enabled/>
                  <w:calcOnExit w:val="0"/>
                  <w:checkBox>
                    <w:sizeAuto/>
                    <w:default w:val="1"/>
                  </w:checkBox>
                </w:ffData>
              </w:fldChar>
            </w:r>
            <w:r w:rsidRPr="00634118">
              <w:rPr>
                <w:rFonts w:ascii="Arial Narrow" w:hAnsi="Arial Narrow"/>
                <w:sz w:val="20"/>
                <w:szCs w:val="20"/>
              </w:rPr>
              <w:instrText xml:space="preserve"> FORMCHECKBOX </w:instrText>
            </w:r>
            <w:r w:rsidRPr="00634118">
              <w:rPr>
                <w:rFonts w:ascii="Arial Narrow" w:hAnsi="Arial Narrow"/>
                <w:sz w:val="20"/>
                <w:szCs w:val="20"/>
              </w:rPr>
            </w:r>
            <w:r w:rsidRPr="00634118">
              <w:rPr>
                <w:rFonts w:ascii="Arial Narrow" w:hAnsi="Arial Narrow"/>
                <w:sz w:val="20"/>
                <w:szCs w:val="20"/>
              </w:rPr>
              <w:fldChar w:fldCharType="separate"/>
            </w:r>
            <w:r w:rsidRPr="00634118">
              <w:rPr>
                <w:rFonts w:ascii="Arial Narrow" w:hAnsi="Arial Narrow"/>
                <w:sz w:val="20"/>
                <w:szCs w:val="20"/>
              </w:rPr>
              <w:fldChar w:fldCharType="end"/>
            </w:r>
            <w:r w:rsidRPr="00634118">
              <w:rPr>
                <w:rFonts w:ascii="Arial Narrow" w:hAnsi="Arial Narrow"/>
                <w:sz w:val="20"/>
                <w:szCs w:val="20"/>
              </w:rPr>
              <w:t xml:space="preserve">Medical Practitioners </w:t>
            </w:r>
          </w:p>
        </w:tc>
      </w:tr>
      <w:tr w:rsidR="008524BC" w:rsidRPr="00634118" w14:paraId="6710D957"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tcPr>
          <w:p w14:paraId="4DBD025F" w14:textId="77777777" w:rsidR="008524BC" w:rsidRPr="00634118" w:rsidRDefault="008524BC" w:rsidP="00802B74">
            <w:pPr>
              <w:keepNext/>
              <w:keepLines/>
              <w:rPr>
                <w:rFonts w:ascii="Arial Narrow" w:eastAsia="Calibri" w:hAnsi="Arial Narrow"/>
                <w:sz w:val="20"/>
                <w:szCs w:val="20"/>
              </w:rPr>
            </w:pPr>
            <w:r w:rsidRPr="00634118">
              <w:rPr>
                <w:rFonts w:ascii="Arial Narrow" w:hAnsi="Arial Narrow"/>
                <w:b/>
                <w:sz w:val="20"/>
                <w:szCs w:val="20"/>
              </w:rPr>
              <w:t xml:space="preserve">Restriction type: </w:t>
            </w:r>
            <w:r w:rsidRPr="00634118">
              <w:rPr>
                <w:rFonts w:ascii="Arial Narrow" w:eastAsia="Calibri" w:hAnsi="Arial Narrow"/>
                <w:sz w:val="20"/>
                <w:szCs w:val="20"/>
              </w:rPr>
              <w:fldChar w:fldCharType="begin">
                <w:ffData>
                  <w:name w:val=""/>
                  <w:enabled/>
                  <w:calcOnExit w:val="0"/>
                  <w:checkBox>
                    <w:sizeAuto/>
                    <w:default w:val="1"/>
                  </w:checkBox>
                </w:ffData>
              </w:fldChar>
            </w:r>
            <w:r w:rsidRPr="00634118">
              <w:rPr>
                <w:rFonts w:ascii="Arial Narrow" w:eastAsia="Calibri" w:hAnsi="Arial Narrow"/>
                <w:sz w:val="20"/>
                <w:szCs w:val="20"/>
              </w:rPr>
              <w:instrText xml:space="preserve"> FORMCHECKBOX </w:instrText>
            </w:r>
            <w:r w:rsidRPr="00634118">
              <w:rPr>
                <w:rFonts w:ascii="Arial Narrow" w:eastAsia="Calibri" w:hAnsi="Arial Narrow"/>
                <w:sz w:val="20"/>
                <w:szCs w:val="20"/>
              </w:rPr>
            </w:r>
            <w:r w:rsidRPr="00634118">
              <w:rPr>
                <w:rFonts w:ascii="Arial Narrow" w:eastAsia="Calibri" w:hAnsi="Arial Narrow"/>
                <w:sz w:val="20"/>
                <w:szCs w:val="20"/>
              </w:rPr>
              <w:fldChar w:fldCharType="separate"/>
            </w:r>
            <w:r w:rsidRPr="00634118">
              <w:rPr>
                <w:rFonts w:ascii="Arial Narrow" w:eastAsia="Calibri" w:hAnsi="Arial Narrow"/>
                <w:sz w:val="20"/>
                <w:szCs w:val="20"/>
              </w:rPr>
              <w:fldChar w:fldCharType="end"/>
            </w:r>
            <w:r w:rsidRPr="00634118">
              <w:rPr>
                <w:rFonts w:ascii="Arial Narrow" w:eastAsia="Calibri" w:hAnsi="Arial Narrow"/>
                <w:sz w:val="20"/>
                <w:szCs w:val="20"/>
              </w:rPr>
              <w:t>Authority Required (STREAMLINED) NEW</w:t>
            </w:r>
            <w:r w:rsidRPr="00634118">
              <w:rPr>
                <w:rFonts w:ascii="Arial Narrow" w:eastAsia="Calibri" w:hAnsi="Arial Narrow"/>
                <w:color w:val="FF0000"/>
                <w:sz w:val="20"/>
                <w:szCs w:val="20"/>
              </w:rPr>
              <w:t xml:space="preserve"> </w:t>
            </w:r>
          </w:p>
        </w:tc>
      </w:tr>
      <w:tr w:rsidR="008524BC" w:rsidRPr="00634118" w14:paraId="4C879274" w14:textId="77777777" w:rsidTr="008524BC">
        <w:tblPrEx>
          <w:tblCellMar>
            <w:top w:w="15" w:type="dxa"/>
            <w:bottom w:w="15" w:type="dxa"/>
          </w:tblCellMar>
          <w:tblLook w:val="04A0" w:firstRow="1" w:lastRow="0" w:firstColumn="1" w:lastColumn="0" w:noHBand="0" w:noVBand="1"/>
        </w:tblPrEx>
        <w:trPr>
          <w:trHeight w:val="20"/>
        </w:trPr>
        <w:tc>
          <w:tcPr>
            <w:tcW w:w="310" w:type="pct"/>
            <w:vMerge w:val="restart"/>
            <w:textDirection w:val="btLr"/>
            <w:vAlign w:val="center"/>
          </w:tcPr>
          <w:p w14:paraId="0C6ECEDA" w14:textId="77777777" w:rsidR="008524BC" w:rsidRPr="00CF7DED" w:rsidRDefault="008524BC" w:rsidP="00802B74">
            <w:pPr>
              <w:keepNext/>
              <w:keepLines/>
              <w:ind w:right="113"/>
              <w:jc w:val="center"/>
              <w:rPr>
                <w:rFonts w:ascii="Arial Narrow" w:hAnsi="Arial Narrow"/>
                <w:color w:val="333333"/>
                <w:sz w:val="14"/>
                <w:szCs w:val="14"/>
              </w:rPr>
            </w:pPr>
            <w:r w:rsidRPr="00CF7DED">
              <w:rPr>
                <w:rFonts w:ascii="Arial Narrow" w:hAnsi="Arial Narrow"/>
                <w:color w:val="333333"/>
                <w:sz w:val="14"/>
                <w:szCs w:val="14"/>
              </w:rPr>
              <w:t>Prescribing rule level</w:t>
            </w:r>
          </w:p>
        </w:tc>
        <w:tc>
          <w:tcPr>
            <w:tcW w:w="4689" w:type="pct"/>
            <w:gridSpan w:val="4"/>
            <w:vAlign w:val="center"/>
          </w:tcPr>
          <w:p w14:paraId="7A3B35B0" w14:textId="77777777" w:rsidR="008524BC" w:rsidRPr="00634118" w:rsidRDefault="008524BC" w:rsidP="00802B74">
            <w:pPr>
              <w:keepNext/>
              <w:keepLines/>
              <w:rPr>
                <w:rFonts w:ascii="Arial Narrow" w:hAnsi="Arial Narrow"/>
                <w:b/>
                <w:bCs/>
                <w:i/>
                <w:iCs/>
                <w:sz w:val="20"/>
                <w:szCs w:val="20"/>
              </w:rPr>
            </w:pPr>
            <w:r w:rsidRPr="00BF57A1">
              <w:rPr>
                <w:rFonts w:ascii="Arial Narrow" w:hAnsi="Arial Narrow"/>
                <w:b/>
                <w:sz w:val="20"/>
                <w:szCs w:val="20"/>
              </w:rPr>
              <w:t>Administrative Advice:</w:t>
            </w:r>
            <w:r w:rsidRPr="00BF57A1">
              <w:rPr>
                <w:rFonts w:ascii="Arial Narrow" w:hAnsi="Arial Narrow"/>
                <w:bCs/>
                <w:sz w:val="20"/>
                <w:szCs w:val="20"/>
              </w:rPr>
              <w:t xml:space="preserve"> </w:t>
            </w:r>
            <w:r w:rsidRPr="00BF57A1">
              <w:rPr>
                <w:rFonts w:ascii="Arial Narrow" w:hAnsi="Arial Narrow"/>
                <w:sz w:val="20"/>
                <w:szCs w:val="20"/>
              </w:rPr>
              <w:t>No increase in the maximum amount or number of units may be authorised</w:t>
            </w:r>
            <w:r w:rsidRPr="00634118">
              <w:rPr>
                <w:rFonts w:ascii="Arial Narrow" w:hAnsi="Arial Narrow"/>
                <w:i/>
                <w:iCs/>
                <w:sz w:val="20"/>
                <w:szCs w:val="20"/>
              </w:rPr>
              <w:t>.</w:t>
            </w:r>
          </w:p>
        </w:tc>
      </w:tr>
      <w:tr w:rsidR="008524BC" w:rsidRPr="00634118" w14:paraId="338BC4F8" w14:textId="77777777" w:rsidTr="008524BC">
        <w:tblPrEx>
          <w:tblCellMar>
            <w:top w:w="15" w:type="dxa"/>
            <w:bottom w:w="15" w:type="dxa"/>
          </w:tblCellMar>
          <w:tblLook w:val="04A0" w:firstRow="1" w:lastRow="0" w:firstColumn="1" w:lastColumn="0" w:noHBand="0" w:noVBand="1"/>
        </w:tblPrEx>
        <w:trPr>
          <w:trHeight w:val="20"/>
        </w:trPr>
        <w:tc>
          <w:tcPr>
            <w:tcW w:w="310" w:type="pct"/>
            <w:vMerge/>
            <w:textDirection w:val="btLr"/>
            <w:vAlign w:val="center"/>
          </w:tcPr>
          <w:p w14:paraId="080A4D2D" w14:textId="77777777" w:rsidR="008524BC" w:rsidRPr="00634118" w:rsidRDefault="008524BC" w:rsidP="00802B74">
            <w:pPr>
              <w:keepNext/>
              <w:keepLines/>
              <w:ind w:right="113"/>
              <w:jc w:val="center"/>
              <w:rPr>
                <w:rFonts w:ascii="Arial Narrow" w:hAnsi="Arial Narrow"/>
                <w:color w:val="333333"/>
                <w:sz w:val="20"/>
                <w:szCs w:val="20"/>
              </w:rPr>
            </w:pPr>
          </w:p>
        </w:tc>
        <w:tc>
          <w:tcPr>
            <w:tcW w:w="4689" w:type="pct"/>
            <w:gridSpan w:val="4"/>
            <w:vAlign w:val="center"/>
          </w:tcPr>
          <w:p w14:paraId="333C8374" w14:textId="77777777" w:rsidR="008524BC" w:rsidRPr="00634118" w:rsidRDefault="008524BC" w:rsidP="00802B74">
            <w:pPr>
              <w:keepNext/>
              <w:keepLines/>
              <w:rPr>
                <w:rFonts w:ascii="Arial Narrow" w:hAnsi="Arial Narrow"/>
                <w:color w:val="333333"/>
                <w:sz w:val="20"/>
                <w:szCs w:val="20"/>
              </w:rPr>
            </w:pPr>
            <w:r w:rsidRPr="00634118">
              <w:rPr>
                <w:rFonts w:ascii="Arial Narrow" w:hAnsi="Arial Narrow"/>
                <w:b/>
                <w:bCs/>
                <w:sz w:val="20"/>
                <w:szCs w:val="20"/>
              </w:rPr>
              <w:t xml:space="preserve">Administrative Advice: </w:t>
            </w:r>
            <w:r w:rsidRPr="00634118">
              <w:rPr>
                <w:rFonts w:ascii="Arial Narrow" w:hAnsi="Arial Narrow"/>
                <w:bCs/>
                <w:sz w:val="20"/>
                <w:szCs w:val="20"/>
              </w:rPr>
              <w:t>No increase in the maximum number of repeats may be authorised.</w:t>
            </w:r>
          </w:p>
        </w:tc>
      </w:tr>
      <w:tr w:rsidR="008524BC" w:rsidRPr="00634118" w14:paraId="04C1389E" w14:textId="77777777" w:rsidTr="008524BC">
        <w:tblPrEx>
          <w:tblCellMar>
            <w:top w:w="15" w:type="dxa"/>
            <w:bottom w:w="15" w:type="dxa"/>
          </w:tblCellMar>
          <w:tblLook w:val="04A0" w:firstRow="1" w:lastRow="0" w:firstColumn="1" w:lastColumn="0" w:noHBand="0" w:noVBand="1"/>
        </w:tblPrEx>
        <w:trPr>
          <w:trHeight w:val="20"/>
        </w:trPr>
        <w:tc>
          <w:tcPr>
            <w:tcW w:w="310" w:type="pct"/>
            <w:vMerge/>
            <w:vAlign w:val="center"/>
          </w:tcPr>
          <w:p w14:paraId="1410310B" w14:textId="77777777" w:rsidR="008524BC" w:rsidRPr="00634118" w:rsidRDefault="008524BC" w:rsidP="00802B74">
            <w:pPr>
              <w:keepNext/>
              <w:keepLines/>
              <w:jc w:val="center"/>
              <w:rPr>
                <w:rFonts w:ascii="Arial Narrow" w:hAnsi="Arial Narrow"/>
                <w:color w:val="333333"/>
                <w:sz w:val="20"/>
                <w:szCs w:val="20"/>
              </w:rPr>
            </w:pPr>
          </w:p>
        </w:tc>
        <w:tc>
          <w:tcPr>
            <w:tcW w:w="4689" w:type="pct"/>
            <w:gridSpan w:val="4"/>
            <w:vAlign w:val="center"/>
          </w:tcPr>
          <w:p w14:paraId="54DEDC96" w14:textId="77777777" w:rsidR="008524BC" w:rsidRPr="00634118" w:rsidRDefault="008524BC" w:rsidP="00802B74">
            <w:pPr>
              <w:keepNext/>
              <w:keepLines/>
              <w:rPr>
                <w:rFonts w:ascii="Arial Narrow" w:hAnsi="Arial Narrow"/>
                <w:b/>
                <w:bCs/>
                <w:color w:val="333333"/>
                <w:sz w:val="20"/>
                <w:szCs w:val="20"/>
              </w:rPr>
            </w:pPr>
            <w:r w:rsidRPr="00634118">
              <w:rPr>
                <w:rFonts w:ascii="Arial Narrow" w:hAnsi="Arial Narrow"/>
                <w:b/>
                <w:bCs/>
                <w:sz w:val="20"/>
                <w:szCs w:val="20"/>
              </w:rPr>
              <w:t xml:space="preserve">Administrative Advice: </w:t>
            </w:r>
            <w:r w:rsidRPr="00634118">
              <w:rPr>
                <w:rFonts w:ascii="Arial Narrow" w:hAnsi="Arial Narrow"/>
                <w:bCs/>
                <w:sz w:val="20"/>
                <w:szCs w:val="20"/>
              </w:rPr>
              <w:t>Special Pricing Arrangements apply.</w:t>
            </w:r>
          </w:p>
        </w:tc>
      </w:tr>
      <w:tr w:rsidR="008524BC" w:rsidRPr="00634118" w14:paraId="1690A061"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082535E1" w14:textId="77777777" w:rsidR="008524BC" w:rsidRPr="00634118" w:rsidRDefault="008524BC" w:rsidP="00802B74">
            <w:pPr>
              <w:keepNext/>
              <w:keepLines/>
              <w:rPr>
                <w:rFonts w:ascii="Arial Narrow" w:hAnsi="Arial Narrow"/>
                <w:bCs/>
                <w:sz w:val="20"/>
                <w:szCs w:val="20"/>
              </w:rPr>
            </w:pPr>
            <w:r w:rsidRPr="00634118">
              <w:rPr>
                <w:rFonts w:ascii="Arial Narrow" w:hAnsi="Arial Narrow"/>
                <w:b/>
                <w:bCs/>
                <w:sz w:val="20"/>
                <w:szCs w:val="20"/>
              </w:rPr>
              <w:t xml:space="preserve">Episodicity: </w:t>
            </w:r>
            <w:r w:rsidRPr="00634118">
              <w:rPr>
                <w:rFonts w:ascii="Arial Narrow" w:hAnsi="Arial Narrow"/>
                <w:bCs/>
                <w:sz w:val="20"/>
                <w:szCs w:val="20"/>
              </w:rPr>
              <w:t>BLANK</w:t>
            </w:r>
          </w:p>
        </w:tc>
      </w:tr>
      <w:tr w:rsidR="008524BC" w:rsidRPr="00634118" w14:paraId="49C710A3"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5D240455" w14:textId="77777777" w:rsidR="008524BC" w:rsidRPr="00634118" w:rsidRDefault="008524BC" w:rsidP="00802B74">
            <w:pPr>
              <w:keepNext/>
              <w:keepLines/>
              <w:rPr>
                <w:rFonts w:ascii="Arial Narrow" w:hAnsi="Arial Narrow"/>
                <w:b/>
                <w:bCs/>
                <w:sz w:val="20"/>
                <w:szCs w:val="20"/>
              </w:rPr>
            </w:pPr>
            <w:r w:rsidRPr="00634118">
              <w:rPr>
                <w:rFonts w:ascii="Arial Narrow" w:hAnsi="Arial Narrow"/>
                <w:b/>
                <w:bCs/>
                <w:sz w:val="20"/>
                <w:szCs w:val="20"/>
              </w:rPr>
              <w:t xml:space="preserve">Severity: </w:t>
            </w:r>
            <w:r w:rsidRPr="00BF57A1">
              <w:rPr>
                <w:rFonts w:ascii="Arial Narrow" w:hAnsi="Arial Narrow"/>
                <w:sz w:val="20"/>
                <w:szCs w:val="20"/>
              </w:rPr>
              <w:t xml:space="preserve">Recurrent locally advanced or </w:t>
            </w:r>
            <w:r w:rsidRPr="00BF57A1">
              <w:rPr>
                <w:rFonts w:ascii="Arial Narrow" w:hAnsi="Arial Narrow"/>
                <w:bCs/>
                <w:color w:val="333333"/>
                <w:sz w:val="20"/>
                <w:szCs w:val="20"/>
              </w:rPr>
              <w:t>Stage IV (metastatic)</w:t>
            </w:r>
          </w:p>
        </w:tc>
      </w:tr>
      <w:tr w:rsidR="008524BC" w:rsidRPr="00634118" w14:paraId="41A4F136"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55087CB4" w14:textId="77777777" w:rsidR="008524BC" w:rsidRPr="00634118" w:rsidRDefault="008524BC" w:rsidP="00802B74">
            <w:pPr>
              <w:keepNext/>
              <w:keepLines/>
              <w:rPr>
                <w:rFonts w:ascii="Arial Narrow" w:hAnsi="Arial Narrow"/>
                <w:b/>
                <w:bCs/>
                <w:color w:val="333333"/>
                <w:sz w:val="20"/>
                <w:szCs w:val="20"/>
              </w:rPr>
            </w:pPr>
            <w:r w:rsidRPr="00634118">
              <w:rPr>
                <w:rFonts w:ascii="Arial Narrow" w:hAnsi="Arial Narrow"/>
                <w:b/>
                <w:bCs/>
                <w:color w:val="333333"/>
                <w:sz w:val="20"/>
                <w:szCs w:val="20"/>
              </w:rPr>
              <w:t xml:space="preserve">Condition: </w:t>
            </w:r>
            <w:r w:rsidRPr="00634118">
              <w:rPr>
                <w:rFonts w:ascii="Arial Narrow" w:hAnsi="Arial Narrow"/>
                <w:color w:val="333333"/>
                <w:sz w:val="20"/>
                <w:szCs w:val="20"/>
              </w:rPr>
              <w:t>Merkel Cell Carcinoma</w:t>
            </w:r>
          </w:p>
        </w:tc>
      </w:tr>
      <w:tr w:rsidR="008524BC" w:rsidRPr="00634118" w14:paraId="45F7E07E"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2F1EA6F5" w14:textId="77777777" w:rsidR="008524BC" w:rsidRPr="00634118" w:rsidRDefault="008524BC" w:rsidP="00802B74">
            <w:pPr>
              <w:keepNext/>
              <w:keepLines/>
              <w:rPr>
                <w:rFonts w:ascii="Arial Narrow" w:hAnsi="Arial Narrow"/>
                <w:color w:val="333333"/>
                <w:sz w:val="20"/>
                <w:szCs w:val="20"/>
              </w:rPr>
            </w:pPr>
            <w:r w:rsidRPr="00634118">
              <w:rPr>
                <w:rFonts w:ascii="Arial Narrow" w:hAnsi="Arial Narrow"/>
                <w:b/>
                <w:bCs/>
                <w:color w:val="333333"/>
                <w:sz w:val="20"/>
                <w:szCs w:val="20"/>
              </w:rPr>
              <w:t>Indication:</w:t>
            </w:r>
            <w:r w:rsidRPr="00634118">
              <w:rPr>
                <w:rFonts w:ascii="Arial Narrow" w:hAnsi="Arial Narrow"/>
                <w:color w:val="333333"/>
                <w:sz w:val="20"/>
                <w:szCs w:val="20"/>
              </w:rPr>
              <w:t xml:space="preserve"> Recurrent locally advanced</w:t>
            </w:r>
            <w:r>
              <w:rPr>
                <w:rFonts w:ascii="Arial Narrow" w:hAnsi="Arial Narrow"/>
                <w:color w:val="333333"/>
                <w:sz w:val="20"/>
                <w:szCs w:val="20"/>
              </w:rPr>
              <w:t xml:space="preserve"> </w:t>
            </w:r>
            <w:r w:rsidRPr="00BF57A1">
              <w:rPr>
                <w:rFonts w:ascii="Arial Narrow" w:hAnsi="Arial Narrow"/>
                <w:color w:val="333333"/>
                <w:sz w:val="20"/>
                <w:szCs w:val="20"/>
              </w:rPr>
              <w:t xml:space="preserve">or </w:t>
            </w:r>
            <w:r w:rsidRPr="00634118">
              <w:rPr>
                <w:rFonts w:ascii="Arial Narrow" w:hAnsi="Arial Narrow"/>
                <w:color w:val="333333"/>
                <w:sz w:val="20"/>
                <w:szCs w:val="20"/>
              </w:rPr>
              <w:t>Stage IV (metastatic) Merkel Cell Carcinoma</w:t>
            </w:r>
          </w:p>
        </w:tc>
      </w:tr>
      <w:tr w:rsidR="008524BC" w:rsidRPr="00634118" w14:paraId="6EB43A47"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3A2D1610" w14:textId="77777777" w:rsidR="008524BC" w:rsidRPr="00634118" w:rsidRDefault="008524BC" w:rsidP="00802B74">
            <w:pPr>
              <w:keepNext/>
              <w:keepLines/>
              <w:rPr>
                <w:rFonts w:ascii="Arial Narrow" w:hAnsi="Arial Narrow"/>
                <w:color w:val="FF0000"/>
                <w:sz w:val="20"/>
                <w:szCs w:val="20"/>
              </w:rPr>
            </w:pPr>
            <w:r w:rsidRPr="00634118">
              <w:rPr>
                <w:rFonts w:ascii="Arial Narrow" w:hAnsi="Arial Narrow"/>
                <w:b/>
                <w:bCs/>
                <w:color w:val="333333"/>
                <w:sz w:val="20"/>
                <w:szCs w:val="20"/>
              </w:rPr>
              <w:t>Treatment Phase:</w:t>
            </w:r>
            <w:r w:rsidRPr="00634118">
              <w:rPr>
                <w:rFonts w:ascii="Arial Narrow" w:hAnsi="Arial Narrow"/>
                <w:color w:val="FF0000"/>
                <w:sz w:val="20"/>
                <w:szCs w:val="20"/>
              </w:rPr>
              <w:t xml:space="preserve"> </w:t>
            </w:r>
          </w:p>
        </w:tc>
      </w:tr>
      <w:tr w:rsidR="008524BC" w:rsidRPr="00634118" w14:paraId="601AAE9B"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3315A2FE" w14:textId="77777777" w:rsidR="008524BC" w:rsidRPr="00BF57A1" w:rsidRDefault="008524BC" w:rsidP="00802B74">
            <w:pPr>
              <w:keepNext/>
              <w:keepLines/>
              <w:rPr>
                <w:rFonts w:ascii="Arial Narrow" w:hAnsi="Arial Narrow"/>
                <w:b/>
                <w:bCs/>
                <w:color w:val="333333"/>
                <w:sz w:val="20"/>
                <w:szCs w:val="20"/>
              </w:rPr>
            </w:pPr>
            <w:r w:rsidRPr="00BF57A1">
              <w:rPr>
                <w:rFonts w:ascii="Arial Narrow" w:hAnsi="Arial Narrow"/>
                <w:b/>
                <w:bCs/>
                <w:color w:val="333333"/>
                <w:sz w:val="20"/>
                <w:szCs w:val="20"/>
              </w:rPr>
              <w:t>Population criteria:</w:t>
            </w:r>
          </w:p>
        </w:tc>
      </w:tr>
      <w:tr w:rsidR="008524BC" w:rsidRPr="00634118" w14:paraId="6D42CE1F"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4F543A06" w14:textId="77777777" w:rsidR="008524BC" w:rsidRPr="00BF57A1" w:rsidDel="00DF1C9D" w:rsidRDefault="008524BC" w:rsidP="00802B74">
            <w:pPr>
              <w:keepNext/>
              <w:keepLines/>
              <w:rPr>
                <w:rFonts w:ascii="Arial Narrow" w:hAnsi="Arial Narrow"/>
                <w:color w:val="333333"/>
                <w:sz w:val="20"/>
                <w:szCs w:val="20"/>
              </w:rPr>
            </w:pPr>
            <w:r w:rsidRPr="00BF57A1">
              <w:rPr>
                <w:rFonts w:ascii="Arial Narrow" w:hAnsi="Arial Narrow"/>
                <w:color w:val="333333"/>
                <w:sz w:val="20"/>
                <w:szCs w:val="20"/>
              </w:rPr>
              <w:t>Patient must have either of the following at treatment initiation: (i) recurrent locally advanced disease not amenable to surgery or radiotherapy, (ii) metastatic disease</w:t>
            </w:r>
          </w:p>
        </w:tc>
      </w:tr>
      <w:tr w:rsidR="008524BC" w:rsidRPr="00634118" w14:paraId="5733B2E5"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58C6A1A2" w14:textId="77777777" w:rsidR="008524BC" w:rsidRPr="00BF57A1" w:rsidRDefault="008524BC" w:rsidP="00802B74">
            <w:pPr>
              <w:keepNext/>
              <w:keepLines/>
              <w:rPr>
                <w:rFonts w:ascii="Arial Narrow" w:hAnsi="Arial Narrow"/>
                <w:color w:val="333333"/>
                <w:sz w:val="20"/>
                <w:szCs w:val="20"/>
              </w:rPr>
            </w:pPr>
            <w:r w:rsidRPr="00BF57A1">
              <w:rPr>
                <w:rFonts w:ascii="Arial Narrow" w:hAnsi="Arial Narrow"/>
                <w:b/>
                <w:bCs/>
                <w:color w:val="333333"/>
                <w:sz w:val="20"/>
                <w:szCs w:val="20"/>
              </w:rPr>
              <w:t>AND</w:t>
            </w:r>
          </w:p>
        </w:tc>
      </w:tr>
      <w:tr w:rsidR="008524BC" w:rsidRPr="00634118" w14:paraId="47A14171"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6CAD18E7" w14:textId="77777777" w:rsidR="008524BC" w:rsidRPr="00634118" w:rsidRDefault="008524BC" w:rsidP="00802B74">
            <w:pPr>
              <w:keepNext/>
              <w:keepLines/>
              <w:rPr>
                <w:rFonts w:ascii="Arial Narrow" w:hAnsi="Arial Narrow"/>
                <w:color w:val="FF0000"/>
                <w:sz w:val="20"/>
                <w:szCs w:val="20"/>
              </w:rPr>
            </w:pPr>
            <w:r w:rsidRPr="00634118">
              <w:rPr>
                <w:rFonts w:ascii="Arial Narrow" w:hAnsi="Arial Narrow"/>
                <w:b/>
                <w:bCs/>
                <w:sz w:val="20"/>
                <w:szCs w:val="20"/>
              </w:rPr>
              <w:t>Clinical criteria:</w:t>
            </w:r>
          </w:p>
        </w:tc>
      </w:tr>
      <w:tr w:rsidR="008524BC" w:rsidRPr="00634118" w14:paraId="17291423"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284FC443" w14:textId="77777777" w:rsidR="008524BC" w:rsidRPr="00634118" w:rsidRDefault="008524BC" w:rsidP="00802B74">
            <w:pPr>
              <w:keepNext/>
              <w:keepLines/>
              <w:rPr>
                <w:rFonts w:ascii="Arial Narrow" w:hAnsi="Arial Narrow"/>
                <w:b/>
                <w:bCs/>
                <w:sz w:val="20"/>
                <w:szCs w:val="20"/>
              </w:rPr>
            </w:pPr>
            <w:r w:rsidRPr="00634118">
              <w:rPr>
                <w:rFonts w:ascii="Arial Narrow" w:hAnsi="Arial Narrow"/>
                <w:bCs/>
                <w:sz w:val="20"/>
                <w:szCs w:val="20"/>
              </w:rPr>
              <w:t>The treatment must be the sole PBS</w:t>
            </w:r>
            <w:r>
              <w:rPr>
                <w:rFonts w:ascii="Arial Narrow" w:hAnsi="Arial Narrow"/>
                <w:bCs/>
                <w:sz w:val="20"/>
                <w:szCs w:val="20"/>
              </w:rPr>
              <w:noBreakHyphen/>
            </w:r>
            <w:r w:rsidRPr="00634118">
              <w:rPr>
                <w:rFonts w:ascii="Arial Narrow" w:hAnsi="Arial Narrow"/>
                <w:bCs/>
                <w:sz w:val="20"/>
                <w:szCs w:val="20"/>
              </w:rPr>
              <w:t xml:space="preserve">subsidised </w:t>
            </w:r>
            <w:r w:rsidRPr="00367979">
              <w:rPr>
                <w:rFonts w:ascii="Arial Narrow" w:hAnsi="Arial Narrow"/>
                <w:bCs/>
                <w:sz w:val="20"/>
                <w:szCs w:val="20"/>
              </w:rPr>
              <w:t>systemic anti</w:t>
            </w:r>
            <w:r>
              <w:rPr>
                <w:rFonts w:ascii="Arial Narrow" w:hAnsi="Arial Narrow"/>
                <w:bCs/>
                <w:sz w:val="20"/>
                <w:szCs w:val="20"/>
              </w:rPr>
              <w:noBreakHyphen/>
            </w:r>
            <w:r w:rsidRPr="00367979">
              <w:rPr>
                <w:rFonts w:ascii="Arial Narrow" w:hAnsi="Arial Narrow"/>
                <w:bCs/>
                <w:sz w:val="20"/>
                <w:szCs w:val="20"/>
              </w:rPr>
              <w:t>cancer</w:t>
            </w:r>
            <w:r w:rsidRPr="00634118">
              <w:rPr>
                <w:rFonts w:ascii="Arial Narrow" w:hAnsi="Arial Narrow"/>
                <w:bCs/>
                <w:i/>
                <w:iCs/>
                <w:sz w:val="20"/>
                <w:szCs w:val="20"/>
              </w:rPr>
              <w:t xml:space="preserve"> </w:t>
            </w:r>
            <w:r w:rsidRPr="00634118">
              <w:rPr>
                <w:rFonts w:ascii="Arial Narrow" w:hAnsi="Arial Narrow"/>
                <w:bCs/>
                <w:sz w:val="20"/>
                <w:szCs w:val="20"/>
              </w:rPr>
              <w:t>therapy for this condition</w:t>
            </w:r>
          </w:p>
        </w:tc>
      </w:tr>
      <w:tr w:rsidR="008524BC" w:rsidRPr="00634118" w14:paraId="48AFB98D"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096A28E6" w14:textId="77777777" w:rsidR="008524BC" w:rsidRPr="00634118" w:rsidRDefault="008524BC" w:rsidP="00802B74">
            <w:pPr>
              <w:keepNext/>
              <w:keepLines/>
              <w:rPr>
                <w:rFonts w:ascii="Arial Narrow" w:hAnsi="Arial Narrow"/>
                <w:color w:val="333333"/>
                <w:sz w:val="20"/>
                <w:szCs w:val="20"/>
              </w:rPr>
            </w:pPr>
            <w:r w:rsidRPr="00634118">
              <w:rPr>
                <w:rFonts w:ascii="Arial Narrow" w:hAnsi="Arial Narrow"/>
                <w:b/>
                <w:bCs/>
                <w:color w:val="333333"/>
                <w:sz w:val="20"/>
                <w:szCs w:val="20"/>
              </w:rPr>
              <w:t>AND</w:t>
            </w:r>
          </w:p>
        </w:tc>
      </w:tr>
      <w:tr w:rsidR="008524BC" w:rsidRPr="00634118" w14:paraId="14013C66"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53DB02A4" w14:textId="77777777" w:rsidR="008524BC" w:rsidRPr="00634118" w:rsidRDefault="008524BC" w:rsidP="00802B74">
            <w:pPr>
              <w:keepNext/>
              <w:keepLines/>
              <w:rPr>
                <w:rFonts w:ascii="Arial Narrow" w:hAnsi="Arial Narrow"/>
                <w:color w:val="333333"/>
                <w:sz w:val="20"/>
                <w:szCs w:val="20"/>
              </w:rPr>
            </w:pPr>
            <w:r w:rsidRPr="00634118">
              <w:rPr>
                <w:rFonts w:ascii="Arial Narrow" w:hAnsi="Arial Narrow"/>
                <w:b/>
                <w:bCs/>
                <w:color w:val="333333"/>
                <w:sz w:val="20"/>
                <w:szCs w:val="20"/>
              </w:rPr>
              <w:t>Clinical criteria:</w:t>
            </w:r>
          </w:p>
        </w:tc>
      </w:tr>
      <w:tr w:rsidR="008524BC" w:rsidRPr="00634118" w14:paraId="3DA75177"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01AF5046" w14:textId="77777777" w:rsidR="008524BC" w:rsidRPr="00634118" w:rsidRDefault="008524BC" w:rsidP="00802B74">
            <w:pPr>
              <w:keepNext/>
              <w:keepLines/>
              <w:rPr>
                <w:rFonts w:ascii="Arial Narrow" w:hAnsi="Arial Narrow"/>
                <w:color w:val="FF0000"/>
                <w:sz w:val="20"/>
                <w:szCs w:val="20"/>
              </w:rPr>
            </w:pPr>
            <w:r w:rsidRPr="00634118">
              <w:rPr>
                <w:rFonts w:ascii="Arial Narrow" w:hAnsi="Arial Narrow"/>
                <w:sz w:val="20"/>
                <w:szCs w:val="20"/>
              </w:rPr>
              <w:t xml:space="preserve">The </w:t>
            </w:r>
            <w:r w:rsidRPr="00BF57A1">
              <w:rPr>
                <w:rFonts w:ascii="Arial Narrow" w:hAnsi="Arial Narrow"/>
                <w:sz w:val="20"/>
                <w:szCs w:val="20"/>
              </w:rPr>
              <w:t xml:space="preserve">treatment must not exceed a total of (i) cumulative 24 months, (ii) 26 doses </w:t>
            </w:r>
            <w:r w:rsidRPr="00BF57A1">
              <w:rPr>
                <w:rFonts w:ascii="Arial Narrow" w:hAnsi="Arial Narrow"/>
                <w:bCs/>
                <w:sz w:val="20"/>
                <w:szCs w:val="20"/>
              </w:rPr>
              <w:t xml:space="preserve">whichever comes first from the first dose of this drug </w:t>
            </w:r>
            <w:proofErr w:type="gramStart"/>
            <w:r w:rsidRPr="00BF57A1">
              <w:rPr>
                <w:rFonts w:ascii="Arial Narrow" w:hAnsi="Arial Narrow"/>
                <w:bCs/>
                <w:sz w:val="20"/>
                <w:szCs w:val="20"/>
              </w:rPr>
              <w:t>regardless</w:t>
            </w:r>
            <w:proofErr w:type="gramEnd"/>
            <w:r w:rsidRPr="00BF57A1">
              <w:rPr>
                <w:rFonts w:ascii="Arial Narrow" w:hAnsi="Arial Narrow"/>
                <w:bCs/>
                <w:sz w:val="20"/>
                <w:szCs w:val="20"/>
              </w:rPr>
              <w:t xml:space="preserve"> if it was PBS/non</w:t>
            </w:r>
            <w:r>
              <w:rPr>
                <w:rFonts w:ascii="Arial Narrow" w:hAnsi="Arial Narrow"/>
                <w:bCs/>
                <w:sz w:val="20"/>
                <w:szCs w:val="20"/>
              </w:rPr>
              <w:noBreakHyphen/>
            </w:r>
            <w:r w:rsidRPr="00BF57A1">
              <w:rPr>
                <w:rFonts w:ascii="Arial Narrow" w:hAnsi="Arial Narrow"/>
                <w:bCs/>
                <w:sz w:val="20"/>
                <w:szCs w:val="20"/>
              </w:rPr>
              <w:t>PBS subsidised</w:t>
            </w:r>
          </w:p>
        </w:tc>
      </w:tr>
      <w:tr w:rsidR="008524BC" w:rsidRPr="00634118" w14:paraId="70B2753D"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60F34BDE" w14:textId="77777777" w:rsidR="008524BC" w:rsidRPr="00634118" w:rsidRDefault="008524BC" w:rsidP="00802B74">
            <w:pPr>
              <w:keepNext/>
              <w:keepLines/>
              <w:rPr>
                <w:rFonts w:ascii="Arial Narrow" w:hAnsi="Arial Narrow"/>
                <w:color w:val="333333"/>
                <w:sz w:val="20"/>
                <w:szCs w:val="20"/>
              </w:rPr>
            </w:pPr>
            <w:r w:rsidRPr="00634118">
              <w:rPr>
                <w:rFonts w:ascii="Arial Narrow" w:hAnsi="Arial Narrow"/>
                <w:b/>
                <w:bCs/>
                <w:color w:val="333333"/>
                <w:sz w:val="20"/>
                <w:szCs w:val="20"/>
              </w:rPr>
              <w:t>AND</w:t>
            </w:r>
          </w:p>
        </w:tc>
      </w:tr>
      <w:tr w:rsidR="008524BC" w:rsidRPr="00634118" w14:paraId="623BE730"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3F595C6F" w14:textId="77777777" w:rsidR="008524BC" w:rsidRPr="00634118" w:rsidRDefault="008524BC" w:rsidP="00802B74">
            <w:pPr>
              <w:keepNext/>
              <w:keepLines/>
              <w:rPr>
                <w:rFonts w:ascii="Arial Narrow" w:hAnsi="Arial Narrow"/>
                <w:color w:val="333333"/>
                <w:sz w:val="20"/>
                <w:szCs w:val="20"/>
              </w:rPr>
            </w:pPr>
            <w:r w:rsidRPr="00634118">
              <w:rPr>
                <w:rFonts w:ascii="Arial Narrow" w:hAnsi="Arial Narrow"/>
                <w:b/>
                <w:bCs/>
                <w:color w:val="333333"/>
                <w:sz w:val="20"/>
                <w:szCs w:val="20"/>
              </w:rPr>
              <w:t>Clinical criteria:</w:t>
            </w:r>
          </w:p>
        </w:tc>
      </w:tr>
      <w:tr w:rsidR="008524BC" w:rsidRPr="00634118" w14:paraId="367781C9"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hideMark/>
          </w:tcPr>
          <w:p w14:paraId="21077746" w14:textId="77777777" w:rsidR="008524BC" w:rsidRPr="00BF57A1" w:rsidRDefault="008524BC" w:rsidP="00802B74">
            <w:pPr>
              <w:keepNext/>
              <w:keepLines/>
              <w:rPr>
                <w:rFonts w:ascii="Arial Narrow" w:hAnsi="Arial Narrow"/>
                <w:strike/>
                <w:color w:val="333333"/>
                <w:sz w:val="20"/>
                <w:szCs w:val="20"/>
              </w:rPr>
            </w:pPr>
            <w:r w:rsidRPr="00BF57A1">
              <w:rPr>
                <w:rFonts w:ascii="Arial Narrow" w:hAnsi="Arial Narrow"/>
                <w:bCs/>
                <w:sz w:val="20"/>
                <w:szCs w:val="20"/>
              </w:rPr>
              <w:t>Patient must not have experienced disease progression while being treated with this drug for this condition</w:t>
            </w:r>
          </w:p>
        </w:tc>
      </w:tr>
      <w:tr w:rsidR="008524BC" w:rsidRPr="00634118" w14:paraId="46131257"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vAlign w:val="center"/>
          </w:tcPr>
          <w:p w14:paraId="16AB561B" w14:textId="77777777" w:rsidR="008524BC" w:rsidRPr="00BF57A1" w:rsidRDefault="008524BC" w:rsidP="00802B74">
            <w:pPr>
              <w:keepNext/>
              <w:keepLines/>
              <w:rPr>
                <w:rFonts w:ascii="Arial Narrow" w:hAnsi="Arial Narrow"/>
                <w:strike/>
                <w:color w:val="333333"/>
                <w:sz w:val="20"/>
                <w:szCs w:val="20"/>
              </w:rPr>
            </w:pPr>
            <w:r w:rsidRPr="00BF57A1">
              <w:rPr>
                <w:rFonts w:ascii="Arial Narrow" w:hAnsi="Arial Narrow"/>
                <w:b/>
                <w:sz w:val="20"/>
                <w:szCs w:val="20"/>
              </w:rPr>
              <w:t>AND</w:t>
            </w:r>
          </w:p>
        </w:tc>
      </w:tr>
      <w:tr w:rsidR="008524BC" w:rsidRPr="00634118" w14:paraId="585C3F01"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tcPr>
          <w:p w14:paraId="517D8B77" w14:textId="77777777" w:rsidR="008524BC" w:rsidRPr="00BF57A1" w:rsidRDefault="008524BC" w:rsidP="00802B74">
            <w:pPr>
              <w:keepNext/>
              <w:keepLines/>
              <w:autoSpaceDE w:val="0"/>
              <w:autoSpaceDN w:val="0"/>
              <w:adjustRightInd w:val="0"/>
              <w:rPr>
                <w:rFonts w:ascii="Arial Narrow" w:hAnsi="Arial Narrow" w:cs="Open Sans"/>
                <w:b/>
                <w:bCs/>
                <w:strike/>
                <w:color w:val="333333"/>
                <w:sz w:val="20"/>
                <w:szCs w:val="20"/>
              </w:rPr>
            </w:pPr>
            <w:r w:rsidRPr="00BF57A1">
              <w:rPr>
                <w:rFonts w:ascii="Arial Narrow" w:hAnsi="Arial Narrow"/>
                <w:b/>
                <w:bCs/>
                <w:color w:val="333333"/>
                <w:sz w:val="20"/>
                <w:szCs w:val="20"/>
              </w:rPr>
              <w:t xml:space="preserve">Clinical criteria: </w:t>
            </w:r>
          </w:p>
        </w:tc>
      </w:tr>
      <w:tr w:rsidR="008524BC" w:rsidRPr="00634118" w14:paraId="4E2CFFC7"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tcPr>
          <w:p w14:paraId="57CF7E4C" w14:textId="77777777" w:rsidR="008524BC" w:rsidRPr="00BF57A1" w:rsidRDefault="008524BC" w:rsidP="00802B74">
            <w:pPr>
              <w:keepNext/>
              <w:keepLines/>
              <w:autoSpaceDE w:val="0"/>
              <w:autoSpaceDN w:val="0"/>
              <w:adjustRightInd w:val="0"/>
              <w:rPr>
                <w:rFonts w:ascii="Arial Narrow" w:hAnsi="Arial Narrow" w:cs="Open Sans"/>
                <w:b/>
                <w:bCs/>
                <w:strike/>
                <w:color w:val="333333"/>
                <w:sz w:val="20"/>
                <w:szCs w:val="20"/>
              </w:rPr>
            </w:pPr>
            <w:r w:rsidRPr="00BF57A1">
              <w:rPr>
                <w:rFonts w:ascii="Arial Narrow" w:hAnsi="Arial Narrow"/>
                <w:color w:val="333333"/>
                <w:sz w:val="20"/>
                <w:szCs w:val="20"/>
              </w:rPr>
              <w:t>Patient must be untreated with programmed cell death</w:t>
            </w:r>
            <w:r>
              <w:rPr>
                <w:rFonts w:ascii="Arial Narrow" w:hAnsi="Arial Narrow"/>
                <w:color w:val="333333"/>
                <w:sz w:val="20"/>
                <w:szCs w:val="20"/>
              </w:rPr>
              <w:noBreakHyphen/>
            </w:r>
            <w:r w:rsidRPr="00BF57A1">
              <w:rPr>
                <w:rFonts w:ascii="Arial Narrow" w:hAnsi="Arial Narrow"/>
                <w:color w:val="333333"/>
                <w:sz w:val="20"/>
                <w:szCs w:val="20"/>
              </w:rPr>
              <w:t>1/ligand 1 (PD</w:t>
            </w:r>
            <w:r>
              <w:rPr>
                <w:rFonts w:ascii="Arial Narrow" w:hAnsi="Arial Narrow"/>
                <w:color w:val="333333"/>
                <w:sz w:val="20"/>
                <w:szCs w:val="20"/>
              </w:rPr>
              <w:noBreakHyphen/>
            </w:r>
            <w:r w:rsidRPr="00BF57A1">
              <w:rPr>
                <w:rFonts w:ascii="Arial Narrow" w:hAnsi="Arial Narrow"/>
                <w:color w:val="333333"/>
                <w:sz w:val="20"/>
                <w:szCs w:val="20"/>
              </w:rPr>
              <w:t>1/PD</w:t>
            </w:r>
            <w:r>
              <w:rPr>
                <w:rFonts w:ascii="Arial Narrow" w:hAnsi="Arial Narrow"/>
                <w:color w:val="333333"/>
                <w:sz w:val="20"/>
                <w:szCs w:val="20"/>
              </w:rPr>
              <w:noBreakHyphen/>
            </w:r>
            <w:r w:rsidRPr="00BF57A1">
              <w:rPr>
                <w:rFonts w:ascii="Arial Narrow" w:hAnsi="Arial Narrow"/>
                <w:color w:val="333333"/>
                <w:sz w:val="20"/>
                <w:szCs w:val="20"/>
              </w:rPr>
              <w:t xml:space="preserve">L1) inhibitor therapy at initiation therapy for this </w:t>
            </w:r>
            <w:r>
              <w:rPr>
                <w:rFonts w:ascii="Arial Narrow" w:hAnsi="Arial Narrow"/>
                <w:color w:val="333333"/>
                <w:sz w:val="20"/>
                <w:szCs w:val="20"/>
              </w:rPr>
              <w:t>condition</w:t>
            </w:r>
            <w:r w:rsidRPr="00BF57A1">
              <w:rPr>
                <w:rFonts w:ascii="Arial Narrow" w:hAnsi="Arial Narrow"/>
                <w:color w:val="333333"/>
                <w:sz w:val="20"/>
                <w:szCs w:val="20"/>
              </w:rPr>
              <w:t>;</w:t>
            </w:r>
          </w:p>
        </w:tc>
      </w:tr>
      <w:tr w:rsidR="008524BC" w:rsidRPr="00634118" w14:paraId="21EDCAEA" w14:textId="77777777" w:rsidTr="008524BC">
        <w:tblPrEx>
          <w:tblCellMar>
            <w:top w:w="15" w:type="dxa"/>
            <w:bottom w:w="15" w:type="dxa"/>
          </w:tblCellMar>
          <w:tblLook w:val="04A0" w:firstRow="1" w:lastRow="0" w:firstColumn="1" w:lastColumn="0" w:noHBand="0" w:noVBand="1"/>
        </w:tblPrEx>
        <w:trPr>
          <w:cantSplit/>
          <w:trHeight w:val="20"/>
        </w:trPr>
        <w:tc>
          <w:tcPr>
            <w:tcW w:w="4999" w:type="pct"/>
            <w:gridSpan w:val="5"/>
          </w:tcPr>
          <w:p w14:paraId="290AE487" w14:textId="77777777" w:rsidR="008524BC" w:rsidRPr="00634118" w:rsidRDefault="008524BC" w:rsidP="00802B74">
            <w:pPr>
              <w:keepNext/>
              <w:keepLines/>
              <w:autoSpaceDE w:val="0"/>
              <w:autoSpaceDN w:val="0"/>
              <w:adjustRightInd w:val="0"/>
              <w:rPr>
                <w:rFonts w:ascii="Arial Narrow" w:hAnsi="Arial Narrow" w:cs="Open Sans"/>
                <w:i/>
                <w:iCs/>
                <w:strike/>
                <w:color w:val="333333"/>
                <w:sz w:val="20"/>
                <w:szCs w:val="20"/>
              </w:rPr>
            </w:pPr>
          </w:p>
        </w:tc>
      </w:tr>
    </w:tbl>
    <w:p w14:paraId="3A8E2B81" w14:textId="603DAE2A" w:rsidR="00F6344B" w:rsidRDefault="00F6344B" w:rsidP="00B133A8">
      <w:pPr>
        <w:rPr>
          <w:snapToGrid w:val="0"/>
        </w:rPr>
      </w:pPr>
      <w:bookmarkStart w:id="115" w:name="_Toc208988071"/>
    </w:p>
    <w:p w14:paraId="394F7DDD" w14:textId="77777777" w:rsidR="00F6344B" w:rsidRDefault="00F6344B">
      <w:pPr>
        <w:jc w:val="left"/>
        <w:rPr>
          <w:snapToGrid w:val="0"/>
        </w:rPr>
      </w:pPr>
      <w:r>
        <w:rPr>
          <w:snapToGrid w:val="0"/>
        </w:rPr>
        <w:br w:type="page"/>
      </w:r>
    </w:p>
    <w:p w14:paraId="7B27CC0D" w14:textId="77777777" w:rsidR="00B133A8" w:rsidRPr="00980F85" w:rsidRDefault="00B133A8" w:rsidP="00B133A8">
      <w:pPr>
        <w:pStyle w:val="3-BodyText"/>
        <w:ind w:left="720"/>
        <w:rPr>
          <w:bCs/>
          <w:lang w:val="en-GB"/>
        </w:rPr>
      </w:pPr>
      <w:r>
        <w:rPr>
          <w:bCs/>
          <w:lang w:val="en-GB"/>
        </w:rPr>
        <w:lastRenderedPageBreak/>
        <w:t xml:space="preserve">Flow on changes to avelumab </w:t>
      </w:r>
      <w:r w:rsidRPr="00980F85">
        <w:rPr>
          <w:bCs/>
          <w:lang w:val="en-GB"/>
        </w:rPr>
        <w:t xml:space="preserve">listing </w:t>
      </w:r>
      <w:r>
        <w:rPr>
          <w:bCs/>
          <w:lang w:val="en-GB"/>
        </w:rPr>
        <w:t xml:space="preserve">(shown in italics) </w:t>
      </w:r>
      <w:r w:rsidRPr="00980F85">
        <w:rPr>
          <w:bCs/>
          <w:lang w:val="en-GB"/>
        </w:rPr>
        <w:t>as follows:</w:t>
      </w:r>
    </w:p>
    <w:bookmarkEnd w:id="115"/>
    <w:p w14:paraId="40CC06E8" w14:textId="77777777" w:rsidR="00B133A8" w:rsidRPr="00634118" w:rsidRDefault="00B133A8" w:rsidP="00B133A8">
      <w:pPr>
        <w:spacing w:after="120"/>
        <w:rPr>
          <w:rFonts w:cs="Calibri"/>
          <w:b/>
          <w:bCs/>
          <w:u w:val="single"/>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low on changes to avelumab"/>
      </w:tblPr>
      <w:tblGrid>
        <w:gridCol w:w="3095"/>
        <w:gridCol w:w="1973"/>
        <w:gridCol w:w="1973"/>
        <w:gridCol w:w="2026"/>
      </w:tblGrid>
      <w:tr w:rsidR="00B133A8" w:rsidRPr="00634118" w14:paraId="7DEE5D44" w14:textId="77777777" w:rsidTr="008524BC">
        <w:trPr>
          <w:cantSplit/>
          <w:trHeight w:val="20"/>
        </w:trPr>
        <w:tc>
          <w:tcPr>
            <w:tcW w:w="1707" w:type="pct"/>
            <w:vAlign w:val="center"/>
          </w:tcPr>
          <w:p w14:paraId="6E31D99B" w14:textId="77777777" w:rsidR="00B133A8" w:rsidRPr="00634118" w:rsidRDefault="00B133A8" w:rsidP="00802B74">
            <w:pPr>
              <w:keepNext/>
              <w:rPr>
                <w:rFonts w:ascii="Arial Narrow" w:hAnsi="Arial Narrow"/>
                <w:b/>
                <w:bCs/>
                <w:sz w:val="20"/>
                <w:szCs w:val="20"/>
              </w:rPr>
            </w:pPr>
            <w:r w:rsidRPr="00634118">
              <w:rPr>
                <w:rFonts w:ascii="Arial Narrow" w:hAnsi="Arial Narrow"/>
                <w:b/>
                <w:bCs/>
                <w:sz w:val="20"/>
                <w:szCs w:val="20"/>
              </w:rPr>
              <w:t>MEDICINAL PRODUCT</w:t>
            </w:r>
          </w:p>
          <w:p w14:paraId="0975FBA9" w14:textId="77777777" w:rsidR="00B133A8" w:rsidRPr="00634118" w:rsidRDefault="00B133A8" w:rsidP="00802B74">
            <w:pPr>
              <w:keepNext/>
              <w:rPr>
                <w:rFonts w:ascii="Arial Narrow" w:hAnsi="Arial Narrow"/>
                <w:b/>
                <w:sz w:val="20"/>
                <w:szCs w:val="20"/>
              </w:rPr>
            </w:pPr>
            <w:r w:rsidRPr="00634118">
              <w:rPr>
                <w:rFonts w:ascii="Arial Narrow" w:hAnsi="Arial Narrow"/>
                <w:b/>
                <w:sz w:val="20"/>
                <w:szCs w:val="20"/>
              </w:rPr>
              <w:t>Form</w:t>
            </w:r>
          </w:p>
        </w:tc>
        <w:tc>
          <w:tcPr>
            <w:tcW w:w="1088" w:type="pct"/>
            <w:vAlign w:val="center"/>
          </w:tcPr>
          <w:p w14:paraId="0E4428B0" w14:textId="77777777" w:rsidR="00B133A8" w:rsidRPr="00634118" w:rsidRDefault="00B133A8" w:rsidP="00802B74">
            <w:pPr>
              <w:keepNext/>
              <w:jc w:val="center"/>
              <w:rPr>
                <w:rFonts w:ascii="Arial Narrow" w:hAnsi="Arial Narrow"/>
                <w:b/>
                <w:sz w:val="20"/>
                <w:szCs w:val="20"/>
              </w:rPr>
            </w:pPr>
            <w:r w:rsidRPr="00634118">
              <w:rPr>
                <w:rFonts w:ascii="Arial Narrow" w:hAnsi="Arial Narrow"/>
                <w:b/>
                <w:sz w:val="20"/>
                <w:szCs w:val="20"/>
              </w:rPr>
              <w:t>PBS item code</w:t>
            </w:r>
          </w:p>
        </w:tc>
        <w:tc>
          <w:tcPr>
            <w:tcW w:w="1088" w:type="pct"/>
            <w:vAlign w:val="center"/>
          </w:tcPr>
          <w:p w14:paraId="67D99471" w14:textId="77777777" w:rsidR="00B133A8" w:rsidRPr="00634118" w:rsidRDefault="00B133A8" w:rsidP="00802B74">
            <w:pPr>
              <w:keepNext/>
              <w:jc w:val="center"/>
              <w:rPr>
                <w:rFonts w:ascii="Arial Narrow" w:hAnsi="Arial Narrow"/>
                <w:b/>
                <w:sz w:val="20"/>
                <w:szCs w:val="20"/>
              </w:rPr>
            </w:pPr>
            <w:r w:rsidRPr="00634118">
              <w:rPr>
                <w:rFonts w:ascii="Arial Narrow" w:hAnsi="Arial Narrow"/>
                <w:b/>
                <w:sz w:val="20"/>
                <w:szCs w:val="20"/>
              </w:rPr>
              <w:t>Max. Amount</w:t>
            </w:r>
          </w:p>
        </w:tc>
        <w:tc>
          <w:tcPr>
            <w:tcW w:w="1117" w:type="pct"/>
            <w:vAlign w:val="center"/>
          </w:tcPr>
          <w:p w14:paraId="2120AF36" w14:textId="77777777" w:rsidR="00B133A8" w:rsidRPr="00634118" w:rsidRDefault="00B133A8" w:rsidP="00802B74">
            <w:pPr>
              <w:keepNext/>
              <w:jc w:val="center"/>
              <w:rPr>
                <w:rFonts w:ascii="Arial Narrow" w:hAnsi="Arial Narrow"/>
                <w:b/>
                <w:sz w:val="20"/>
                <w:szCs w:val="20"/>
              </w:rPr>
            </w:pPr>
            <w:r w:rsidRPr="00634118">
              <w:rPr>
                <w:rFonts w:ascii="Arial Narrow" w:hAnsi="Arial Narrow"/>
                <w:b/>
                <w:sz w:val="20"/>
                <w:szCs w:val="20"/>
              </w:rPr>
              <w:t>№.of Rpts</w:t>
            </w:r>
          </w:p>
        </w:tc>
      </w:tr>
      <w:tr w:rsidR="00B133A8" w:rsidRPr="00634118" w14:paraId="63C24E42" w14:textId="77777777" w:rsidTr="008524BC">
        <w:trPr>
          <w:cantSplit/>
          <w:trHeight w:val="20"/>
        </w:trPr>
        <w:tc>
          <w:tcPr>
            <w:tcW w:w="1707" w:type="pct"/>
            <w:vAlign w:val="center"/>
          </w:tcPr>
          <w:p w14:paraId="3C7CF1D0" w14:textId="77777777" w:rsidR="00B133A8" w:rsidRPr="00634118" w:rsidRDefault="00B133A8" w:rsidP="00802B74">
            <w:pPr>
              <w:keepNext/>
              <w:rPr>
                <w:rFonts w:ascii="Arial Narrow" w:hAnsi="Arial Narrow"/>
                <w:sz w:val="20"/>
                <w:szCs w:val="20"/>
              </w:rPr>
            </w:pPr>
            <w:r w:rsidRPr="00634118">
              <w:rPr>
                <w:rFonts w:ascii="Arial Narrow" w:hAnsi="Arial Narrow"/>
                <w:sz w:val="20"/>
                <w:szCs w:val="20"/>
              </w:rPr>
              <w:t>AVELUMAB</w:t>
            </w:r>
            <w:r w:rsidRPr="00634118">
              <w:rPr>
                <w:rFonts w:ascii="Arial Narrow" w:hAnsi="Arial Narrow"/>
                <w:color w:val="FF0000"/>
                <w:sz w:val="20"/>
                <w:szCs w:val="20"/>
              </w:rPr>
              <w:br/>
            </w:r>
            <w:r w:rsidRPr="00634118">
              <w:rPr>
                <w:rFonts w:ascii="Arial Narrow" w:hAnsi="Arial Narrow" w:cs="Arial Narrow"/>
                <w:sz w:val="20"/>
                <w:szCs w:val="20"/>
              </w:rPr>
              <w:t>Injection</w:t>
            </w:r>
          </w:p>
        </w:tc>
        <w:tc>
          <w:tcPr>
            <w:tcW w:w="1088" w:type="pct"/>
            <w:vAlign w:val="center"/>
          </w:tcPr>
          <w:p w14:paraId="205598FF" w14:textId="77777777" w:rsidR="00B133A8" w:rsidRPr="00634118" w:rsidRDefault="00B133A8" w:rsidP="00802B74">
            <w:pPr>
              <w:keepNext/>
              <w:jc w:val="center"/>
              <w:rPr>
                <w:rFonts w:ascii="Arial Narrow" w:hAnsi="Arial Narrow"/>
                <w:sz w:val="20"/>
                <w:szCs w:val="20"/>
              </w:rPr>
            </w:pPr>
            <w:r w:rsidRPr="00634118">
              <w:rPr>
                <w:rFonts w:ascii="Arial Narrow" w:hAnsi="Arial Narrow"/>
                <w:sz w:val="20"/>
                <w:szCs w:val="20"/>
              </w:rPr>
              <w:t>11679Q (private)</w:t>
            </w:r>
          </w:p>
          <w:p w14:paraId="0EDB3FB6" w14:textId="77777777" w:rsidR="00B133A8" w:rsidRPr="00634118" w:rsidRDefault="00B133A8" w:rsidP="00802B74">
            <w:pPr>
              <w:keepNext/>
              <w:jc w:val="center"/>
              <w:rPr>
                <w:rFonts w:ascii="Arial Narrow" w:hAnsi="Arial Narrow"/>
                <w:sz w:val="20"/>
                <w:szCs w:val="20"/>
              </w:rPr>
            </w:pPr>
            <w:r w:rsidRPr="00634118">
              <w:rPr>
                <w:rFonts w:ascii="Arial Narrow" w:hAnsi="Arial Narrow"/>
                <w:sz w:val="20"/>
                <w:szCs w:val="20"/>
              </w:rPr>
              <w:t>11695M (public)</w:t>
            </w:r>
          </w:p>
        </w:tc>
        <w:tc>
          <w:tcPr>
            <w:tcW w:w="1088" w:type="pct"/>
            <w:vAlign w:val="center"/>
          </w:tcPr>
          <w:p w14:paraId="0C27F120" w14:textId="77777777" w:rsidR="00B133A8" w:rsidRPr="00634118" w:rsidRDefault="00B133A8" w:rsidP="00802B74">
            <w:pPr>
              <w:keepNext/>
              <w:jc w:val="center"/>
              <w:rPr>
                <w:rFonts w:ascii="Arial Narrow" w:hAnsi="Arial Narrow"/>
                <w:sz w:val="20"/>
                <w:szCs w:val="20"/>
              </w:rPr>
            </w:pPr>
            <w:r w:rsidRPr="00634118">
              <w:rPr>
                <w:rFonts w:ascii="Arial Narrow" w:hAnsi="Arial Narrow"/>
                <w:sz w:val="20"/>
                <w:szCs w:val="20"/>
              </w:rPr>
              <w:t>1200mg</w:t>
            </w:r>
          </w:p>
        </w:tc>
        <w:tc>
          <w:tcPr>
            <w:tcW w:w="1117" w:type="pct"/>
            <w:vAlign w:val="center"/>
          </w:tcPr>
          <w:p w14:paraId="735A2174" w14:textId="77777777" w:rsidR="00B133A8" w:rsidRPr="00634118" w:rsidRDefault="00B133A8" w:rsidP="00802B74">
            <w:pPr>
              <w:keepNext/>
              <w:jc w:val="center"/>
              <w:rPr>
                <w:rFonts w:ascii="Arial Narrow" w:hAnsi="Arial Narrow"/>
                <w:sz w:val="20"/>
                <w:szCs w:val="20"/>
              </w:rPr>
            </w:pPr>
            <w:r w:rsidRPr="00634118">
              <w:rPr>
                <w:rFonts w:ascii="Arial Narrow" w:hAnsi="Arial Narrow"/>
                <w:sz w:val="20"/>
                <w:szCs w:val="20"/>
              </w:rPr>
              <w:t>8</w:t>
            </w:r>
          </w:p>
        </w:tc>
      </w:tr>
      <w:tr w:rsidR="00B133A8" w:rsidRPr="00634118" w14:paraId="27B01A2D" w14:textId="77777777" w:rsidTr="008524BC">
        <w:trPr>
          <w:cantSplit/>
          <w:trHeight w:val="20"/>
        </w:trPr>
        <w:tc>
          <w:tcPr>
            <w:tcW w:w="1707" w:type="pct"/>
            <w:vAlign w:val="center"/>
          </w:tcPr>
          <w:p w14:paraId="30412234" w14:textId="77777777" w:rsidR="00B133A8" w:rsidRPr="00634118" w:rsidRDefault="00B133A8" w:rsidP="00802B74">
            <w:pPr>
              <w:keepNext/>
              <w:rPr>
                <w:rFonts w:ascii="Arial Narrow" w:hAnsi="Arial Narrow"/>
                <w:sz w:val="20"/>
                <w:szCs w:val="20"/>
              </w:rPr>
            </w:pPr>
          </w:p>
        </w:tc>
        <w:tc>
          <w:tcPr>
            <w:tcW w:w="1088" w:type="pct"/>
            <w:vAlign w:val="center"/>
          </w:tcPr>
          <w:p w14:paraId="4DC9F1C4" w14:textId="77777777" w:rsidR="00B133A8" w:rsidRPr="00634118" w:rsidRDefault="00B133A8" w:rsidP="00802B74">
            <w:pPr>
              <w:keepNext/>
              <w:jc w:val="center"/>
              <w:rPr>
                <w:rFonts w:ascii="Arial Narrow" w:hAnsi="Arial Narrow"/>
                <w:sz w:val="20"/>
                <w:szCs w:val="20"/>
              </w:rPr>
            </w:pPr>
          </w:p>
        </w:tc>
        <w:tc>
          <w:tcPr>
            <w:tcW w:w="1088" w:type="pct"/>
            <w:vAlign w:val="center"/>
          </w:tcPr>
          <w:p w14:paraId="574CD3FA" w14:textId="77777777" w:rsidR="00B133A8" w:rsidRPr="00634118" w:rsidRDefault="00B133A8" w:rsidP="00802B74">
            <w:pPr>
              <w:keepNext/>
              <w:jc w:val="center"/>
              <w:rPr>
                <w:rFonts w:ascii="Arial Narrow" w:hAnsi="Arial Narrow"/>
                <w:sz w:val="20"/>
                <w:szCs w:val="20"/>
              </w:rPr>
            </w:pPr>
          </w:p>
        </w:tc>
        <w:tc>
          <w:tcPr>
            <w:tcW w:w="1117" w:type="pct"/>
            <w:vAlign w:val="center"/>
          </w:tcPr>
          <w:p w14:paraId="396D0D9D" w14:textId="77777777" w:rsidR="00B133A8" w:rsidRPr="00634118" w:rsidRDefault="00B133A8" w:rsidP="00802B74">
            <w:pPr>
              <w:keepNext/>
              <w:jc w:val="center"/>
              <w:rPr>
                <w:rFonts w:ascii="Arial Narrow" w:hAnsi="Arial Narrow"/>
                <w:sz w:val="20"/>
                <w:szCs w:val="20"/>
              </w:rPr>
            </w:pPr>
          </w:p>
        </w:tc>
      </w:tr>
      <w:tr w:rsidR="00B133A8" w:rsidRPr="00634118" w14:paraId="696CE54F" w14:textId="77777777" w:rsidTr="008524BC">
        <w:trPr>
          <w:cantSplit/>
          <w:trHeight w:val="20"/>
        </w:trPr>
        <w:tc>
          <w:tcPr>
            <w:tcW w:w="5000" w:type="pct"/>
            <w:gridSpan w:val="4"/>
            <w:vAlign w:val="center"/>
          </w:tcPr>
          <w:p w14:paraId="29E8F788" w14:textId="77777777" w:rsidR="00B133A8" w:rsidRPr="00634118" w:rsidRDefault="00B133A8" w:rsidP="00802B74">
            <w:pPr>
              <w:keepNext/>
              <w:rPr>
                <w:rFonts w:ascii="Arial Narrow" w:hAnsi="Arial Narrow"/>
                <w:b/>
                <w:sz w:val="20"/>
                <w:szCs w:val="20"/>
              </w:rPr>
            </w:pPr>
            <w:r w:rsidRPr="00634118">
              <w:rPr>
                <w:rFonts w:ascii="Arial Narrow" w:hAnsi="Arial Narrow"/>
                <w:b/>
                <w:sz w:val="20"/>
                <w:szCs w:val="20"/>
              </w:rPr>
              <w:t xml:space="preserve">Available brands </w:t>
            </w:r>
          </w:p>
        </w:tc>
      </w:tr>
      <w:tr w:rsidR="00B133A8" w:rsidRPr="00634118" w14:paraId="063D7502" w14:textId="77777777" w:rsidTr="008524BC">
        <w:trPr>
          <w:cantSplit/>
          <w:trHeight w:val="20"/>
        </w:trPr>
        <w:tc>
          <w:tcPr>
            <w:tcW w:w="5000" w:type="pct"/>
            <w:gridSpan w:val="4"/>
            <w:vAlign w:val="center"/>
          </w:tcPr>
          <w:p w14:paraId="11A5FDCA" w14:textId="77777777" w:rsidR="00B133A8" w:rsidRPr="00634118" w:rsidRDefault="00B133A8" w:rsidP="00802B74">
            <w:pPr>
              <w:keepNext/>
              <w:rPr>
                <w:rFonts w:ascii="Arial Narrow" w:hAnsi="Arial Narrow"/>
                <w:sz w:val="20"/>
                <w:szCs w:val="20"/>
              </w:rPr>
            </w:pPr>
            <w:r w:rsidRPr="00634118">
              <w:rPr>
                <w:rFonts w:ascii="Arial Narrow" w:hAnsi="Arial Narrow"/>
                <w:sz w:val="20"/>
                <w:szCs w:val="20"/>
              </w:rPr>
              <w:t xml:space="preserve">Bavencio </w:t>
            </w:r>
          </w:p>
          <w:p w14:paraId="2805EC0D" w14:textId="77777777" w:rsidR="00B133A8" w:rsidRPr="00634118" w:rsidRDefault="00B133A8" w:rsidP="00802B74">
            <w:pPr>
              <w:keepNext/>
              <w:rPr>
                <w:rFonts w:ascii="Arial Narrow" w:hAnsi="Arial Narrow"/>
                <w:sz w:val="20"/>
                <w:szCs w:val="20"/>
              </w:rPr>
            </w:pPr>
            <w:r w:rsidRPr="00634118">
              <w:rPr>
                <w:rFonts w:ascii="Arial Narrow" w:hAnsi="Arial Narrow"/>
                <w:sz w:val="20"/>
                <w:szCs w:val="20"/>
              </w:rPr>
              <w:t>(avelumab 200 mg/10 mL injection, 10 mL vial)</w:t>
            </w:r>
          </w:p>
        </w:tc>
      </w:tr>
      <w:tr w:rsidR="00B133A8" w:rsidRPr="00634118" w14:paraId="6F9D2078" w14:textId="77777777" w:rsidTr="008524BC">
        <w:trPr>
          <w:cantSplit/>
          <w:trHeight w:val="20"/>
        </w:trPr>
        <w:tc>
          <w:tcPr>
            <w:tcW w:w="5000" w:type="pct"/>
            <w:gridSpan w:val="4"/>
            <w:vAlign w:val="center"/>
          </w:tcPr>
          <w:p w14:paraId="7EBE8FBC" w14:textId="77777777" w:rsidR="00B133A8" w:rsidRPr="00634118" w:rsidRDefault="00B133A8" w:rsidP="00802B74">
            <w:pPr>
              <w:rPr>
                <w:rFonts w:ascii="Arial Narrow" w:hAnsi="Arial Narrow"/>
                <w:color w:val="FF0000"/>
                <w:sz w:val="20"/>
                <w:szCs w:val="20"/>
              </w:rPr>
            </w:pPr>
          </w:p>
        </w:tc>
      </w:tr>
      <w:tr w:rsidR="00B133A8" w:rsidRPr="00634118" w14:paraId="12872908" w14:textId="77777777" w:rsidTr="008524BC">
        <w:trPr>
          <w:cantSplit/>
          <w:trHeight w:val="20"/>
        </w:trPr>
        <w:tc>
          <w:tcPr>
            <w:tcW w:w="5000" w:type="pct"/>
            <w:gridSpan w:val="4"/>
            <w:vAlign w:val="center"/>
          </w:tcPr>
          <w:p w14:paraId="79F3A17D" w14:textId="77777777" w:rsidR="00B133A8" w:rsidRPr="00634118" w:rsidRDefault="00B133A8" w:rsidP="00802B74">
            <w:pPr>
              <w:keepNext/>
              <w:rPr>
                <w:rFonts w:ascii="Arial Narrow" w:hAnsi="Arial Narrow"/>
                <w:color w:val="FF0000"/>
                <w:sz w:val="20"/>
                <w:szCs w:val="20"/>
              </w:rPr>
            </w:pPr>
            <w:r w:rsidRPr="00634118">
              <w:rPr>
                <w:rFonts w:ascii="Arial Narrow" w:hAnsi="Arial Narrow"/>
                <w:b/>
                <w:sz w:val="20"/>
                <w:szCs w:val="20"/>
              </w:rPr>
              <w:t>Restriction Summary 16084 / Treatment of Concept: 16053</w:t>
            </w:r>
          </w:p>
        </w:tc>
      </w:tr>
      <w:tr w:rsidR="008524BC" w:rsidRPr="00634118" w14:paraId="1CB83E62"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tcPr>
          <w:p w14:paraId="6BBBBFC1" w14:textId="77777777" w:rsidR="008524BC" w:rsidRPr="00634118" w:rsidRDefault="008524BC" w:rsidP="00802B74">
            <w:pPr>
              <w:keepNext/>
              <w:rPr>
                <w:rFonts w:ascii="Arial Narrow" w:hAnsi="Arial Narrow"/>
                <w:sz w:val="20"/>
                <w:szCs w:val="20"/>
              </w:rPr>
            </w:pPr>
            <w:r w:rsidRPr="00634118">
              <w:rPr>
                <w:rFonts w:ascii="Arial Narrow" w:hAnsi="Arial Narrow"/>
                <w:b/>
                <w:sz w:val="20"/>
                <w:szCs w:val="20"/>
              </w:rPr>
              <w:t xml:space="preserve">Category / Program: </w:t>
            </w:r>
            <w:r w:rsidRPr="00634118">
              <w:rPr>
                <w:rFonts w:ascii="Arial Narrow" w:hAnsi="Arial Narrow"/>
                <w:sz w:val="20"/>
                <w:szCs w:val="20"/>
              </w:rPr>
              <w:t>Section 100 – Efficient Funding of Chemotherapy Public/Private hospitals</w:t>
            </w:r>
          </w:p>
        </w:tc>
      </w:tr>
      <w:tr w:rsidR="008524BC" w:rsidRPr="00634118" w14:paraId="1468AC40"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tcPr>
          <w:p w14:paraId="5D62050D" w14:textId="77777777" w:rsidR="008524BC" w:rsidRPr="00634118" w:rsidRDefault="008524BC" w:rsidP="00802B74">
            <w:pPr>
              <w:keepNext/>
              <w:rPr>
                <w:rFonts w:ascii="Arial Narrow" w:hAnsi="Arial Narrow"/>
                <w:b/>
                <w:sz w:val="20"/>
                <w:szCs w:val="20"/>
              </w:rPr>
            </w:pPr>
            <w:r w:rsidRPr="00634118">
              <w:rPr>
                <w:rFonts w:ascii="Arial Narrow" w:hAnsi="Arial Narrow"/>
                <w:b/>
                <w:sz w:val="20"/>
                <w:szCs w:val="20"/>
              </w:rPr>
              <w:t xml:space="preserve">Prescriber type: </w:t>
            </w:r>
            <w:r w:rsidRPr="00634118">
              <w:rPr>
                <w:rFonts w:ascii="Arial Narrow" w:hAnsi="Arial Narrow"/>
                <w:sz w:val="20"/>
                <w:szCs w:val="20"/>
              </w:rPr>
              <w:fldChar w:fldCharType="begin">
                <w:ffData>
                  <w:name w:val=""/>
                  <w:enabled/>
                  <w:calcOnExit w:val="0"/>
                  <w:checkBox>
                    <w:sizeAuto/>
                    <w:default w:val="1"/>
                  </w:checkBox>
                </w:ffData>
              </w:fldChar>
            </w:r>
            <w:r w:rsidRPr="00634118">
              <w:rPr>
                <w:rFonts w:ascii="Arial Narrow" w:hAnsi="Arial Narrow"/>
                <w:sz w:val="20"/>
                <w:szCs w:val="20"/>
              </w:rPr>
              <w:instrText xml:space="preserve"> FORMCHECKBOX </w:instrText>
            </w:r>
            <w:r w:rsidRPr="00634118">
              <w:rPr>
                <w:rFonts w:ascii="Arial Narrow" w:hAnsi="Arial Narrow"/>
                <w:sz w:val="20"/>
                <w:szCs w:val="20"/>
              </w:rPr>
            </w:r>
            <w:r w:rsidRPr="00634118">
              <w:rPr>
                <w:rFonts w:ascii="Arial Narrow" w:hAnsi="Arial Narrow"/>
                <w:sz w:val="20"/>
                <w:szCs w:val="20"/>
              </w:rPr>
              <w:fldChar w:fldCharType="separate"/>
            </w:r>
            <w:r w:rsidRPr="00634118">
              <w:rPr>
                <w:rFonts w:ascii="Arial Narrow" w:hAnsi="Arial Narrow"/>
                <w:sz w:val="20"/>
                <w:szCs w:val="20"/>
              </w:rPr>
              <w:fldChar w:fldCharType="end"/>
            </w:r>
            <w:r w:rsidRPr="00634118">
              <w:rPr>
                <w:rFonts w:ascii="Arial Narrow" w:hAnsi="Arial Narrow"/>
                <w:sz w:val="20"/>
                <w:szCs w:val="20"/>
              </w:rPr>
              <w:t xml:space="preserve">Medical Practitioners </w:t>
            </w:r>
          </w:p>
        </w:tc>
      </w:tr>
      <w:tr w:rsidR="008524BC" w:rsidRPr="00634118" w14:paraId="1B6E3728"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tcPr>
          <w:p w14:paraId="64A4A581" w14:textId="77777777" w:rsidR="008524BC" w:rsidRPr="00634118" w:rsidRDefault="008524BC" w:rsidP="00802B74">
            <w:pPr>
              <w:rPr>
                <w:rFonts w:ascii="Arial Narrow" w:eastAsia="Calibri" w:hAnsi="Arial Narrow"/>
                <w:sz w:val="20"/>
                <w:szCs w:val="20"/>
              </w:rPr>
            </w:pPr>
            <w:r w:rsidRPr="00634118">
              <w:rPr>
                <w:rFonts w:ascii="Arial Narrow" w:hAnsi="Arial Narrow"/>
                <w:b/>
                <w:sz w:val="20"/>
                <w:szCs w:val="20"/>
              </w:rPr>
              <w:t xml:space="preserve">Restriction type: </w:t>
            </w:r>
            <w:r w:rsidRPr="00634118">
              <w:rPr>
                <w:rFonts w:ascii="Arial Narrow" w:eastAsia="Calibri" w:hAnsi="Arial Narrow"/>
                <w:sz w:val="20"/>
                <w:szCs w:val="20"/>
              </w:rPr>
              <w:fldChar w:fldCharType="begin">
                <w:ffData>
                  <w:name w:val=""/>
                  <w:enabled/>
                  <w:calcOnExit w:val="0"/>
                  <w:checkBox>
                    <w:sizeAuto/>
                    <w:default w:val="1"/>
                  </w:checkBox>
                </w:ffData>
              </w:fldChar>
            </w:r>
            <w:r w:rsidRPr="00634118">
              <w:rPr>
                <w:rFonts w:ascii="Arial Narrow" w:eastAsia="Calibri" w:hAnsi="Arial Narrow"/>
                <w:sz w:val="20"/>
                <w:szCs w:val="20"/>
              </w:rPr>
              <w:instrText xml:space="preserve"> FORMCHECKBOX </w:instrText>
            </w:r>
            <w:r w:rsidRPr="00634118">
              <w:rPr>
                <w:rFonts w:ascii="Arial Narrow" w:eastAsia="Calibri" w:hAnsi="Arial Narrow"/>
                <w:sz w:val="20"/>
                <w:szCs w:val="20"/>
              </w:rPr>
            </w:r>
            <w:r w:rsidRPr="00634118">
              <w:rPr>
                <w:rFonts w:ascii="Arial Narrow" w:eastAsia="Calibri" w:hAnsi="Arial Narrow"/>
                <w:sz w:val="20"/>
                <w:szCs w:val="20"/>
              </w:rPr>
              <w:fldChar w:fldCharType="separate"/>
            </w:r>
            <w:r w:rsidRPr="00634118">
              <w:rPr>
                <w:rFonts w:ascii="Arial Narrow" w:eastAsia="Calibri" w:hAnsi="Arial Narrow"/>
                <w:sz w:val="20"/>
                <w:szCs w:val="20"/>
              </w:rPr>
              <w:fldChar w:fldCharType="end"/>
            </w:r>
            <w:r w:rsidRPr="00634118">
              <w:rPr>
                <w:rFonts w:ascii="Arial Narrow" w:eastAsia="Calibri" w:hAnsi="Arial Narrow"/>
                <w:sz w:val="20"/>
                <w:szCs w:val="20"/>
              </w:rPr>
              <w:t>Authority Required (STREAMLINED) [16053]</w:t>
            </w:r>
          </w:p>
        </w:tc>
      </w:tr>
      <w:tr w:rsidR="008524BC" w:rsidRPr="00634118" w14:paraId="1F2AAEE4" w14:textId="77777777" w:rsidTr="008524BC">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1C289BC" w14:textId="77777777" w:rsidR="008524BC" w:rsidRPr="00634118" w:rsidRDefault="008524BC" w:rsidP="00802B74">
            <w:pPr>
              <w:keepLines/>
              <w:rPr>
                <w:rFonts w:ascii="Arial Narrow" w:hAnsi="Arial Narrow"/>
                <w:color w:val="333333"/>
                <w:sz w:val="20"/>
                <w:szCs w:val="20"/>
              </w:rPr>
            </w:pPr>
            <w:r w:rsidRPr="00634118">
              <w:rPr>
                <w:rFonts w:ascii="Arial Narrow" w:hAnsi="Arial Narrow"/>
                <w:b/>
                <w:bCs/>
                <w:sz w:val="20"/>
                <w:szCs w:val="20"/>
              </w:rPr>
              <w:t xml:space="preserve">Administrative Advice: </w:t>
            </w:r>
            <w:r w:rsidRPr="00634118">
              <w:rPr>
                <w:rFonts w:ascii="Arial Narrow" w:hAnsi="Arial Narrow"/>
                <w:bCs/>
                <w:sz w:val="20"/>
                <w:szCs w:val="20"/>
              </w:rPr>
              <w:t>No increase in the maximum number of repeats may be authorised.</w:t>
            </w:r>
          </w:p>
        </w:tc>
      </w:tr>
      <w:tr w:rsidR="008524BC" w:rsidRPr="00634118" w14:paraId="03730D99" w14:textId="77777777" w:rsidTr="008524BC">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1A9FE724" w14:textId="77777777" w:rsidR="008524BC" w:rsidRPr="00634118" w:rsidRDefault="008524BC" w:rsidP="00802B74">
            <w:pPr>
              <w:keepLines/>
              <w:rPr>
                <w:rFonts w:ascii="Arial Narrow" w:hAnsi="Arial Narrow"/>
                <w:b/>
                <w:bCs/>
                <w:color w:val="333333"/>
                <w:sz w:val="20"/>
                <w:szCs w:val="20"/>
              </w:rPr>
            </w:pPr>
            <w:r w:rsidRPr="00634118">
              <w:rPr>
                <w:rFonts w:ascii="Arial Narrow" w:hAnsi="Arial Narrow"/>
                <w:b/>
                <w:bCs/>
                <w:sz w:val="20"/>
                <w:szCs w:val="20"/>
              </w:rPr>
              <w:t xml:space="preserve">Administrative Advice: </w:t>
            </w:r>
            <w:r w:rsidRPr="00634118">
              <w:rPr>
                <w:rFonts w:ascii="Arial Narrow" w:hAnsi="Arial Narrow"/>
                <w:bCs/>
                <w:sz w:val="20"/>
                <w:szCs w:val="20"/>
              </w:rPr>
              <w:t>Special Pricing Arrangements apply.</w:t>
            </w:r>
          </w:p>
        </w:tc>
      </w:tr>
      <w:tr w:rsidR="008524BC" w:rsidRPr="00634118" w14:paraId="122F389F"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1A8F9AB8" w14:textId="77777777" w:rsidR="008524BC" w:rsidRPr="00634118" w:rsidRDefault="008524BC" w:rsidP="00802B74">
            <w:pPr>
              <w:keepLines/>
              <w:rPr>
                <w:rFonts w:ascii="Arial Narrow" w:hAnsi="Arial Narrow"/>
                <w:color w:val="333333"/>
                <w:sz w:val="20"/>
                <w:szCs w:val="20"/>
              </w:rPr>
            </w:pPr>
            <w:r w:rsidRPr="00634118">
              <w:rPr>
                <w:rFonts w:ascii="Arial Narrow" w:hAnsi="Arial Narrow"/>
                <w:b/>
                <w:bCs/>
                <w:color w:val="333333"/>
                <w:sz w:val="20"/>
                <w:szCs w:val="20"/>
              </w:rPr>
              <w:t>Indication:</w:t>
            </w:r>
            <w:r w:rsidRPr="00634118">
              <w:rPr>
                <w:rFonts w:ascii="Arial Narrow" w:hAnsi="Arial Narrow"/>
                <w:color w:val="333333"/>
                <w:sz w:val="20"/>
                <w:szCs w:val="20"/>
              </w:rPr>
              <w:t xml:space="preserve"> Stage IV (metastatic) Merkel Cell Carcinoma</w:t>
            </w:r>
          </w:p>
        </w:tc>
      </w:tr>
      <w:tr w:rsidR="008524BC" w:rsidRPr="00634118" w14:paraId="65E0A603"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51C3F6D2" w14:textId="77777777" w:rsidR="008524BC" w:rsidRPr="00634118" w:rsidRDefault="008524BC" w:rsidP="00802B74">
            <w:pPr>
              <w:rPr>
                <w:rFonts w:ascii="Arial Narrow" w:hAnsi="Arial Narrow"/>
                <w:color w:val="FF0000"/>
                <w:sz w:val="20"/>
                <w:szCs w:val="20"/>
              </w:rPr>
            </w:pPr>
            <w:r w:rsidRPr="00634118">
              <w:rPr>
                <w:rFonts w:ascii="Arial Narrow" w:hAnsi="Arial Narrow"/>
                <w:b/>
                <w:bCs/>
                <w:color w:val="333333"/>
                <w:sz w:val="20"/>
                <w:szCs w:val="20"/>
              </w:rPr>
              <w:t>Treatment Phase:</w:t>
            </w:r>
            <w:r w:rsidRPr="00634118">
              <w:rPr>
                <w:rFonts w:ascii="Arial Narrow" w:hAnsi="Arial Narrow"/>
                <w:color w:val="FF0000"/>
                <w:sz w:val="20"/>
                <w:szCs w:val="20"/>
              </w:rPr>
              <w:t xml:space="preserve"> </w:t>
            </w:r>
            <w:r w:rsidRPr="00634118">
              <w:rPr>
                <w:rFonts w:ascii="Arial Narrow" w:hAnsi="Arial Narrow"/>
                <w:sz w:val="20"/>
                <w:szCs w:val="20"/>
              </w:rPr>
              <w:t>Initial treatment</w:t>
            </w:r>
          </w:p>
        </w:tc>
      </w:tr>
      <w:tr w:rsidR="008524BC" w:rsidRPr="00634118" w14:paraId="571F2905"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1BC45C8C" w14:textId="77777777" w:rsidR="008524BC" w:rsidRPr="00634118" w:rsidRDefault="008524BC" w:rsidP="00802B74">
            <w:pPr>
              <w:rPr>
                <w:rFonts w:ascii="Arial Narrow" w:hAnsi="Arial Narrow"/>
                <w:color w:val="FF0000"/>
                <w:sz w:val="20"/>
                <w:szCs w:val="20"/>
              </w:rPr>
            </w:pPr>
            <w:r w:rsidRPr="00634118">
              <w:rPr>
                <w:rFonts w:ascii="Arial Narrow" w:hAnsi="Arial Narrow"/>
                <w:b/>
                <w:bCs/>
                <w:sz w:val="20"/>
                <w:szCs w:val="20"/>
              </w:rPr>
              <w:t>Clinical criteria:</w:t>
            </w:r>
          </w:p>
        </w:tc>
      </w:tr>
      <w:tr w:rsidR="008524BC" w:rsidRPr="00634118" w14:paraId="5D364D3B"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9AB5706" w14:textId="77777777" w:rsidR="008524BC" w:rsidRPr="00C64EDC" w:rsidRDefault="008524BC" w:rsidP="00802B74">
            <w:pPr>
              <w:rPr>
                <w:rFonts w:ascii="Arial Narrow" w:hAnsi="Arial Narrow"/>
                <w:b/>
                <w:bCs/>
                <w:sz w:val="20"/>
                <w:szCs w:val="20"/>
              </w:rPr>
            </w:pPr>
            <w:r w:rsidRPr="00C64EDC">
              <w:rPr>
                <w:rFonts w:ascii="Arial Narrow" w:hAnsi="Arial Narrow"/>
                <w:bCs/>
                <w:sz w:val="20"/>
                <w:szCs w:val="20"/>
              </w:rPr>
              <w:t>The treatment must be the sole PBS</w:t>
            </w:r>
            <w:r>
              <w:rPr>
                <w:rFonts w:ascii="Arial Narrow" w:hAnsi="Arial Narrow"/>
                <w:bCs/>
                <w:sz w:val="20"/>
                <w:szCs w:val="20"/>
              </w:rPr>
              <w:noBreakHyphen/>
            </w:r>
            <w:r w:rsidRPr="00C64EDC">
              <w:rPr>
                <w:rFonts w:ascii="Arial Narrow" w:hAnsi="Arial Narrow"/>
                <w:bCs/>
                <w:sz w:val="20"/>
                <w:szCs w:val="20"/>
              </w:rPr>
              <w:t xml:space="preserve">subsidised </w:t>
            </w:r>
            <w:r w:rsidRPr="00C64EDC">
              <w:rPr>
                <w:rFonts w:ascii="Arial Narrow" w:hAnsi="Arial Narrow"/>
                <w:bCs/>
                <w:i/>
                <w:iCs/>
                <w:sz w:val="20"/>
                <w:szCs w:val="20"/>
              </w:rPr>
              <w:t>systemic anti</w:t>
            </w:r>
            <w:r>
              <w:rPr>
                <w:rFonts w:ascii="Arial Narrow" w:hAnsi="Arial Narrow"/>
                <w:bCs/>
                <w:i/>
                <w:iCs/>
                <w:sz w:val="20"/>
                <w:szCs w:val="20"/>
              </w:rPr>
              <w:noBreakHyphen/>
            </w:r>
            <w:r w:rsidRPr="00C64EDC">
              <w:rPr>
                <w:rFonts w:ascii="Arial Narrow" w:hAnsi="Arial Narrow"/>
                <w:bCs/>
                <w:i/>
                <w:iCs/>
                <w:sz w:val="20"/>
                <w:szCs w:val="20"/>
              </w:rPr>
              <w:t xml:space="preserve">cancer </w:t>
            </w:r>
            <w:r w:rsidRPr="00C64EDC">
              <w:rPr>
                <w:rFonts w:ascii="Arial Narrow" w:hAnsi="Arial Narrow"/>
                <w:bCs/>
                <w:sz w:val="20"/>
                <w:szCs w:val="20"/>
              </w:rPr>
              <w:t>therapy for this condition</w:t>
            </w:r>
          </w:p>
        </w:tc>
      </w:tr>
      <w:tr w:rsidR="008524BC" w:rsidRPr="00634118" w14:paraId="019E4565"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5D398EA" w14:textId="77777777" w:rsidR="008524BC" w:rsidRPr="00C64EDC" w:rsidRDefault="008524BC" w:rsidP="00802B74">
            <w:pPr>
              <w:rPr>
                <w:rFonts w:ascii="Arial Narrow" w:hAnsi="Arial Narrow"/>
                <w:color w:val="333333"/>
                <w:sz w:val="20"/>
                <w:szCs w:val="20"/>
              </w:rPr>
            </w:pPr>
            <w:r w:rsidRPr="00C64EDC">
              <w:rPr>
                <w:rFonts w:ascii="Arial Narrow" w:hAnsi="Arial Narrow"/>
                <w:b/>
                <w:bCs/>
                <w:color w:val="333333"/>
                <w:sz w:val="20"/>
                <w:szCs w:val="20"/>
              </w:rPr>
              <w:t>AND</w:t>
            </w:r>
          </w:p>
        </w:tc>
      </w:tr>
      <w:tr w:rsidR="008524BC" w:rsidRPr="00634118" w14:paraId="3EC4EAD1"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C6BCDDA" w14:textId="77777777" w:rsidR="008524BC" w:rsidRPr="00C64EDC" w:rsidRDefault="008524BC" w:rsidP="00802B74">
            <w:pPr>
              <w:rPr>
                <w:rFonts w:ascii="Arial Narrow" w:hAnsi="Arial Narrow"/>
                <w:color w:val="333333"/>
                <w:sz w:val="20"/>
                <w:szCs w:val="20"/>
              </w:rPr>
            </w:pPr>
            <w:r w:rsidRPr="00C64EDC">
              <w:rPr>
                <w:rFonts w:ascii="Arial Narrow" w:hAnsi="Arial Narrow"/>
                <w:b/>
                <w:bCs/>
                <w:color w:val="333333"/>
                <w:sz w:val="20"/>
                <w:szCs w:val="20"/>
              </w:rPr>
              <w:t>Clinical criteria:</w:t>
            </w:r>
          </w:p>
        </w:tc>
      </w:tr>
      <w:tr w:rsidR="008524BC" w:rsidRPr="00634118" w14:paraId="35F06DD5"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46368DF3" w14:textId="77777777" w:rsidR="008524BC" w:rsidRPr="00C64EDC" w:rsidRDefault="008524BC" w:rsidP="00802B74">
            <w:pPr>
              <w:rPr>
                <w:rFonts w:ascii="Arial Narrow" w:hAnsi="Arial Narrow"/>
                <w:color w:val="333333"/>
                <w:sz w:val="20"/>
                <w:szCs w:val="20"/>
              </w:rPr>
            </w:pPr>
            <w:r w:rsidRPr="00C64EDC">
              <w:rPr>
                <w:rFonts w:ascii="Arial Narrow" w:hAnsi="Arial Narrow"/>
                <w:color w:val="333333"/>
                <w:sz w:val="20"/>
                <w:szCs w:val="20"/>
              </w:rPr>
              <w:t>The treatment must not exceed a total of 9 doses at a maximum dose of 10 mg per kg every 2 weeks under this restriction; or</w:t>
            </w:r>
          </w:p>
        </w:tc>
      </w:tr>
      <w:tr w:rsidR="008524BC" w:rsidRPr="00634118" w14:paraId="2C8933D3"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B4B8DBC" w14:textId="77777777" w:rsidR="008524BC" w:rsidRPr="00C64EDC" w:rsidRDefault="008524BC" w:rsidP="00802B74">
            <w:pPr>
              <w:rPr>
                <w:rFonts w:ascii="Arial Narrow" w:hAnsi="Arial Narrow"/>
                <w:color w:val="333333"/>
                <w:sz w:val="20"/>
                <w:szCs w:val="20"/>
              </w:rPr>
            </w:pPr>
            <w:r w:rsidRPr="00C64EDC">
              <w:rPr>
                <w:rFonts w:ascii="Arial Narrow" w:hAnsi="Arial Narrow"/>
                <w:bCs/>
                <w:sz w:val="20"/>
                <w:szCs w:val="20"/>
              </w:rPr>
              <w:t>The treatment must not exceed a dose of 800 mg every 2 weeks under this restriction</w:t>
            </w:r>
          </w:p>
        </w:tc>
      </w:tr>
      <w:tr w:rsidR="008524BC" w:rsidRPr="00634118" w14:paraId="2A0480AB"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FC880DD" w14:textId="77777777" w:rsidR="008524BC" w:rsidRPr="00C64EDC" w:rsidRDefault="008524BC" w:rsidP="00802B74">
            <w:pPr>
              <w:rPr>
                <w:rFonts w:ascii="Arial Narrow" w:hAnsi="Arial Narrow"/>
                <w:b/>
                <w:i/>
                <w:iCs/>
                <w:sz w:val="20"/>
                <w:szCs w:val="20"/>
              </w:rPr>
            </w:pPr>
            <w:r w:rsidRPr="00C64EDC">
              <w:rPr>
                <w:rFonts w:ascii="Arial Narrow" w:hAnsi="Arial Narrow"/>
                <w:b/>
                <w:i/>
                <w:iCs/>
                <w:sz w:val="20"/>
                <w:szCs w:val="20"/>
              </w:rPr>
              <w:t>AND</w:t>
            </w:r>
          </w:p>
        </w:tc>
      </w:tr>
      <w:tr w:rsidR="008524BC" w:rsidRPr="00634118" w14:paraId="20784B58"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B41A588" w14:textId="77777777" w:rsidR="008524BC" w:rsidRPr="00C64EDC" w:rsidRDefault="008524BC" w:rsidP="00802B74">
            <w:pPr>
              <w:rPr>
                <w:rFonts w:ascii="Arial Narrow" w:hAnsi="Arial Narrow"/>
                <w:bCs/>
                <w:i/>
                <w:iCs/>
                <w:sz w:val="20"/>
                <w:szCs w:val="20"/>
              </w:rPr>
            </w:pPr>
            <w:r w:rsidRPr="00C64EDC">
              <w:rPr>
                <w:rFonts w:ascii="Arial Narrow" w:hAnsi="Arial Narrow"/>
                <w:b/>
                <w:bCs/>
                <w:i/>
                <w:iCs/>
                <w:color w:val="333333"/>
                <w:sz w:val="20"/>
                <w:szCs w:val="20"/>
              </w:rPr>
              <w:t>Clinical criteria:</w:t>
            </w:r>
          </w:p>
        </w:tc>
      </w:tr>
      <w:tr w:rsidR="008524BC" w:rsidRPr="00634118" w14:paraId="7C4728C2"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F0635B5" w14:textId="77777777" w:rsidR="008524BC" w:rsidRPr="00C64EDC" w:rsidRDefault="008524BC" w:rsidP="00802B74">
            <w:pPr>
              <w:rPr>
                <w:rFonts w:ascii="Arial Narrow" w:hAnsi="Arial Narrow"/>
                <w:bCs/>
                <w:i/>
                <w:iCs/>
                <w:sz w:val="20"/>
                <w:szCs w:val="20"/>
              </w:rPr>
            </w:pPr>
            <w:r w:rsidRPr="00C64EDC">
              <w:rPr>
                <w:rFonts w:ascii="Arial Narrow" w:hAnsi="Arial Narrow"/>
                <w:i/>
                <w:iCs/>
                <w:color w:val="333333"/>
                <w:sz w:val="20"/>
                <w:szCs w:val="20"/>
              </w:rPr>
              <w:t>Patient must be untreated with programmed cell death</w:t>
            </w:r>
            <w:r>
              <w:rPr>
                <w:rFonts w:ascii="Arial Narrow" w:hAnsi="Arial Narrow"/>
                <w:i/>
                <w:iCs/>
                <w:color w:val="333333"/>
                <w:sz w:val="20"/>
                <w:szCs w:val="20"/>
              </w:rPr>
              <w:noBreakHyphen/>
            </w:r>
            <w:r w:rsidRPr="00C64EDC">
              <w:rPr>
                <w:rFonts w:ascii="Arial Narrow" w:hAnsi="Arial Narrow"/>
                <w:i/>
                <w:iCs/>
                <w:color w:val="333333"/>
                <w:sz w:val="20"/>
                <w:szCs w:val="20"/>
              </w:rPr>
              <w:t>1/ligand 1 (PD</w:t>
            </w:r>
            <w:r>
              <w:rPr>
                <w:rFonts w:ascii="Arial Narrow" w:hAnsi="Arial Narrow"/>
                <w:i/>
                <w:iCs/>
                <w:color w:val="333333"/>
                <w:sz w:val="20"/>
                <w:szCs w:val="20"/>
              </w:rPr>
              <w:noBreakHyphen/>
            </w:r>
            <w:r w:rsidRPr="00C64EDC">
              <w:rPr>
                <w:rFonts w:ascii="Arial Narrow" w:hAnsi="Arial Narrow"/>
                <w:i/>
                <w:iCs/>
                <w:color w:val="333333"/>
                <w:sz w:val="20"/>
                <w:szCs w:val="20"/>
              </w:rPr>
              <w:t>1/PD</w:t>
            </w:r>
            <w:r>
              <w:rPr>
                <w:rFonts w:ascii="Arial Narrow" w:hAnsi="Arial Narrow"/>
                <w:i/>
                <w:iCs/>
                <w:color w:val="333333"/>
                <w:sz w:val="20"/>
                <w:szCs w:val="20"/>
              </w:rPr>
              <w:noBreakHyphen/>
            </w:r>
            <w:r w:rsidRPr="00C64EDC">
              <w:rPr>
                <w:rFonts w:ascii="Arial Narrow" w:hAnsi="Arial Narrow"/>
                <w:i/>
                <w:iCs/>
                <w:color w:val="333333"/>
                <w:sz w:val="20"/>
                <w:szCs w:val="20"/>
              </w:rPr>
              <w:t>L1) inhibitor therapy for this condition</w:t>
            </w:r>
          </w:p>
        </w:tc>
      </w:tr>
      <w:tr w:rsidR="008524BC" w:rsidRPr="00634118" w14:paraId="43AD9050"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9F5543E" w14:textId="77777777" w:rsidR="008524BC" w:rsidRPr="00634118" w:rsidRDefault="008524BC" w:rsidP="00802B74">
            <w:pPr>
              <w:rPr>
                <w:rFonts w:ascii="Arial Narrow" w:hAnsi="Arial Narrow"/>
                <w:b/>
                <w:sz w:val="20"/>
                <w:szCs w:val="20"/>
              </w:rPr>
            </w:pPr>
            <w:r w:rsidRPr="00634118">
              <w:rPr>
                <w:rFonts w:ascii="Arial Narrow" w:hAnsi="Arial Narrow"/>
                <w:b/>
                <w:sz w:val="20"/>
                <w:szCs w:val="20"/>
              </w:rPr>
              <w:t>Prescribing Instructions:</w:t>
            </w:r>
          </w:p>
        </w:tc>
      </w:tr>
      <w:tr w:rsidR="008524BC" w:rsidRPr="00634118" w14:paraId="52109C54" w14:textId="77777777" w:rsidTr="008524BC">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6929FFD" w14:textId="77777777" w:rsidR="008524BC" w:rsidRPr="00634118" w:rsidRDefault="008524BC" w:rsidP="00802B74">
            <w:pPr>
              <w:rPr>
                <w:rFonts w:ascii="Arial Narrow" w:hAnsi="Arial Narrow"/>
                <w:bCs/>
                <w:sz w:val="20"/>
                <w:szCs w:val="20"/>
              </w:rPr>
            </w:pPr>
            <w:r w:rsidRPr="00634118">
              <w:rPr>
                <w:rFonts w:ascii="Arial Narrow" w:hAnsi="Arial Narrow"/>
                <w:bCs/>
                <w:sz w:val="20"/>
                <w:szCs w:val="20"/>
              </w:rPr>
              <w:t>The patient's body weight must be documented in the patient's medical records at the time treatment is initiated.</w:t>
            </w:r>
          </w:p>
        </w:tc>
      </w:tr>
    </w:tbl>
    <w:p w14:paraId="624A202D" w14:textId="77777777" w:rsidR="00B133A8" w:rsidRPr="005C25D6" w:rsidRDefault="00B133A8" w:rsidP="00B133A8">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60CFC45E" w14:textId="77777777" w:rsidR="007221D4" w:rsidRDefault="007221D4" w:rsidP="000B0FBE">
      <w:pPr>
        <w:pStyle w:val="FooterTableFigure"/>
      </w:pPr>
    </w:p>
    <w:p w14:paraId="3010EBBD" w14:textId="60B69951" w:rsidR="00F6344B" w:rsidRPr="00061CBE" w:rsidRDefault="00F6344B" w:rsidP="00F6344B">
      <w:pPr>
        <w:pStyle w:val="2-SectionHeading"/>
        <w:numPr>
          <w:ilvl w:val="0"/>
          <w:numId w:val="0"/>
        </w:numPr>
        <w:ind w:left="720" w:hanging="720"/>
        <w:rPr>
          <w:lang w:val="en-GB"/>
        </w:rPr>
      </w:pPr>
      <w:r>
        <w:t>14</w:t>
      </w:r>
      <w:r w:rsidRPr="00061CBE">
        <w:tab/>
        <w:t>Context for Decision</w:t>
      </w:r>
    </w:p>
    <w:p w14:paraId="1430855C" w14:textId="77777777" w:rsidR="00F6344B" w:rsidRPr="00061CBE" w:rsidRDefault="00F6344B" w:rsidP="00F6344B">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549C18F" w14:textId="32BB97EA" w:rsidR="008524BC" w:rsidRPr="00C105AD" w:rsidRDefault="00F6344B" w:rsidP="00C105AD">
      <w:pPr>
        <w:pStyle w:val="2-SectionHeading"/>
        <w:numPr>
          <w:ilvl w:val="0"/>
          <w:numId w:val="0"/>
        </w:numPr>
        <w:ind w:left="720" w:hanging="720"/>
      </w:pPr>
      <w:r>
        <w:lastRenderedPageBreak/>
        <w:t>15</w:t>
      </w:r>
      <w:r w:rsidRPr="00061CBE">
        <w:tab/>
        <w:t>Sponsor’s Comment</w:t>
      </w:r>
    </w:p>
    <w:p w14:paraId="558BB6B1" w14:textId="3E700FC2" w:rsidR="008524BC" w:rsidRDefault="008524BC" w:rsidP="008524BC">
      <w:pPr>
        <w:ind w:left="720"/>
        <w:rPr>
          <w:bCs/>
        </w:rPr>
      </w:pPr>
      <w:r>
        <w:rPr>
          <w:bCs/>
        </w:rPr>
        <w:t>The sponsor had no comment.</w:t>
      </w:r>
    </w:p>
    <w:p w14:paraId="22EB1853" w14:textId="77777777" w:rsidR="00F6344B" w:rsidRPr="00D30537" w:rsidRDefault="00F6344B" w:rsidP="000B0FBE">
      <w:pPr>
        <w:pStyle w:val="FooterTableFigure"/>
      </w:pPr>
    </w:p>
    <w:sectPr w:rsidR="00F6344B" w:rsidRPr="00D30537" w:rsidSect="004927F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A1F1" w14:textId="77777777" w:rsidR="009211F8" w:rsidRDefault="009211F8" w:rsidP="00124A51">
      <w:r>
        <w:separator/>
      </w:r>
    </w:p>
    <w:p w14:paraId="6A2A7F54" w14:textId="77777777" w:rsidR="009211F8" w:rsidRDefault="009211F8"/>
  </w:endnote>
  <w:endnote w:type="continuationSeparator" w:id="0">
    <w:p w14:paraId="37DC276D" w14:textId="77777777" w:rsidR="009211F8" w:rsidRDefault="009211F8" w:rsidP="00124A51">
      <w:r>
        <w:continuationSeparator/>
      </w:r>
    </w:p>
    <w:p w14:paraId="13E15F3C" w14:textId="77777777" w:rsidR="009211F8" w:rsidRDefault="00921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7C6D" w14:textId="73658F80" w:rsidR="00B32D4B" w:rsidRDefault="00B32D4B">
    <w:pPr>
      <w:pStyle w:val="Footer"/>
    </w:pPr>
    <w:r>
      <w:rPr>
        <w:noProof/>
      </w:rPr>
      <mc:AlternateContent>
        <mc:Choice Requires="wps">
          <w:drawing>
            <wp:anchor distT="0" distB="0" distL="0" distR="0" simplePos="0" relativeHeight="251658244" behindDoc="0" locked="0" layoutInCell="1" allowOverlap="1" wp14:anchorId="1A3F1498" wp14:editId="7FB2F938">
              <wp:simplePos x="635" y="635"/>
              <wp:positionH relativeFrom="page">
                <wp:align>center</wp:align>
              </wp:positionH>
              <wp:positionV relativeFrom="page">
                <wp:align>bottom</wp:align>
              </wp:positionV>
              <wp:extent cx="622300" cy="376555"/>
              <wp:effectExtent l="0" t="0" r="6350" b="0"/>
              <wp:wrapNone/>
              <wp:docPr id="12083281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EEB0A3" w14:textId="5CFB108A"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F1498"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21EEB0A3" w14:textId="5CFB108A"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49D4D04B" w:rsidR="00D843F2" w:rsidRDefault="00B32D4B" w:rsidP="00753B29">
    <w:pPr>
      <w:pStyle w:val="Footer"/>
      <w:jc w:val="center"/>
    </w:pPr>
    <w:r>
      <w:rPr>
        <w:noProof/>
      </w:rPr>
      <mc:AlternateContent>
        <mc:Choice Requires="wps">
          <w:drawing>
            <wp:anchor distT="0" distB="0" distL="0" distR="0" simplePos="0" relativeHeight="251658245" behindDoc="0" locked="0" layoutInCell="1" allowOverlap="1" wp14:anchorId="0447B9E5" wp14:editId="06ACB0A5">
              <wp:simplePos x="635" y="635"/>
              <wp:positionH relativeFrom="page">
                <wp:align>center</wp:align>
              </wp:positionH>
              <wp:positionV relativeFrom="page">
                <wp:align>bottom</wp:align>
              </wp:positionV>
              <wp:extent cx="622300" cy="376555"/>
              <wp:effectExtent l="0" t="0" r="6350" b="0"/>
              <wp:wrapNone/>
              <wp:docPr id="11526182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1151EC" w14:textId="7080BB46"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7B9E5"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11151EC" w14:textId="7080BB46"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p w14:paraId="37484CD3" w14:textId="61D16193" w:rsidR="00D843F2" w:rsidRPr="007C1CD9" w:rsidRDefault="009211F8"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B434" w14:textId="115F6910" w:rsidR="00B32D4B" w:rsidRDefault="00B32D4B">
    <w:pPr>
      <w:pStyle w:val="Footer"/>
    </w:pPr>
    <w:r>
      <w:rPr>
        <w:noProof/>
      </w:rPr>
      <mc:AlternateContent>
        <mc:Choice Requires="wps">
          <w:drawing>
            <wp:anchor distT="0" distB="0" distL="0" distR="0" simplePos="0" relativeHeight="251658243" behindDoc="0" locked="0" layoutInCell="1" allowOverlap="1" wp14:anchorId="144E49AE" wp14:editId="2B899CDC">
              <wp:simplePos x="635" y="635"/>
              <wp:positionH relativeFrom="page">
                <wp:align>center</wp:align>
              </wp:positionH>
              <wp:positionV relativeFrom="page">
                <wp:align>bottom</wp:align>
              </wp:positionV>
              <wp:extent cx="622300" cy="376555"/>
              <wp:effectExtent l="0" t="0" r="6350" b="0"/>
              <wp:wrapNone/>
              <wp:docPr id="5835692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ABE1DE" w14:textId="7D04CF32"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49AE" id="_x0000_t202" coordsize="21600,21600" o:spt="202" path="m,l,21600r21600,l21600,xe">
              <v:stroke joinstyle="miter"/>
              <v:path gradientshapeok="t" o:connecttype="rect"/>
            </v:shapetype>
            <v:shape id="Text Box 4" o:spid="_x0000_s1030"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20ABE1DE" w14:textId="7D04CF32"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12EA" w14:textId="77777777" w:rsidR="009211F8" w:rsidRDefault="009211F8" w:rsidP="00124A51">
      <w:r>
        <w:separator/>
      </w:r>
    </w:p>
    <w:p w14:paraId="19D054C8" w14:textId="77777777" w:rsidR="009211F8" w:rsidRDefault="009211F8"/>
  </w:footnote>
  <w:footnote w:type="continuationSeparator" w:id="0">
    <w:p w14:paraId="0DF2770D" w14:textId="77777777" w:rsidR="009211F8" w:rsidRDefault="009211F8" w:rsidP="00124A51">
      <w:r>
        <w:continuationSeparator/>
      </w:r>
    </w:p>
    <w:p w14:paraId="29CDF50E" w14:textId="77777777" w:rsidR="009211F8" w:rsidRDefault="009211F8"/>
  </w:footnote>
  <w:footnote w:id="1">
    <w:p w14:paraId="1A04436C" w14:textId="47D14B3D" w:rsidR="001D5F5A" w:rsidRPr="001D5F5A" w:rsidRDefault="001D5F5A">
      <w:pPr>
        <w:pStyle w:val="FootnoteText"/>
        <w:rPr>
          <w:lang w:val="en-US"/>
        </w:rPr>
      </w:pPr>
      <w:r>
        <w:rPr>
          <w:rStyle w:val="FootnoteReference"/>
        </w:rPr>
        <w:footnoteRef/>
      </w:r>
      <w:r>
        <w:t xml:space="preserve"> </w:t>
      </w:r>
      <w:r w:rsidRPr="001D5F5A">
        <w:t xml:space="preserve">Wang AJ, </w:t>
      </w:r>
      <w:r w:rsidR="00982C2C">
        <w:t xml:space="preserve">et al. </w:t>
      </w:r>
      <w:r w:rsidRPr="001D5F5A">
        <w:t>2023. Merkel cell carcinoma: a forty-year experience at the Peter MacCallum Cancer Centre. BMC Cancer 23(1): 30. Available at: 10.1186/s12885-022-10349-1.</w:t>
      </w:r>
    </w:p>
  </w:footnote>
  <w:footnote w:id="2">
    <w:p w14:paraId="59E40EA3" w14:textId="5F3CB2BD" w:rsidR="001D5F5A" w:rsidRPr="001D5F5A" w:rsidRDefault="001D5F5A">
      <w:pPr>
        <w:pStyle w:val="FootnoteText"/>
        <w:rPr>
          <w:lang w:val="en-US"/>
        </w:rPr>
      </w:pPr>
      <w:r>
        <w:rPr>
          <w:rStyle w:val="FootnoteReference"/>
        </w:rPr>
        <w:footnoteRef/>
      </w:r>
      <w:r>
        <w:t xml:space="preserve"> </w:t>
      </w:r>
      <w:r w:rsidRPr="001D5F5A">
        <w:t>Li Z</w:t>
      </w:r>
      <w:r w:rsidR="00982C2C">
        <w:t xml:space="preserve">, et al. </w:t>
      </w:r>
      <w:r w:rsidRPr="001D5F5A">
        <w:t>2024. Current status of Merkel cell carcinoma: Epidemiology, pathogenesis and prognostic factors. Virology 599: 110186. Available at: https://doi.org/10.1016/j.virol.2024.110186.</w:t>
      </w:r>
    </w:p>
  </w:footnote>
  <w:footnote w:id="3">
    <w:p w14:paraId="00965A62" w14:textId="5B68345D" w:rsidR="00A8707A" w:rsidRPr="00A8707A" w:rsidRDefault="00A8707A">
      <w:pPr>
        <w:pStyle w:val="FootnoteText"/>
        <w:rPr>
          <w:lang w:val="en-US"/>
        </w:rPr>
      </w:pPr>
      <w:r>
        <w:rPr>
          <w:rStyle w:val="FootnoteReference"/>
        </w:rPr>
        <w:footnoteRef/>
      </w:r>
      <w:r>
        <w:t xml:space="preserve"> </w:t>
      </w:r>
      <w:r w:rsidRPr="00A8707A">
        <w:t xml:space="preserve">Garbutcheon-Singh KB, </w:t>
      </w:r>
      <w:r w:rsidR="00982C2C">
        <w:t>et al</w:t>
      </w:r>
      <w:r w:rsidRPr="00A8707A">
        <w:t>. 2020. Trends in the incidence of Merkel cell carcinoma in Victoria, Australia, between 1986 and 2016. Australas J Dermatol 61(1): e34-e38. Available at: 10.1111/ajd.13131.</w:t>
      </w:r>
    </w:p>
  </w:footnote>
  <w:footnote w:id="4">
    <w:p w14:paraId="7F079D43" w14:textId="602346BD" w:rsidR="00A8707A" w:rsidRPr="00A8707A" w:rsidRDefault="00A8707A">
      <w:pPr>
        <w:pStyle w:val="FootnoteText"/>
        <w:rPr>
          <w:lang w:val="en-US"/>
        </w:rPr>
      </w:pPr>
      <w:r>
        <w:rPr>
          <w:rStyle w:val="FootnoteReference"/>
        </w:rPr>
        <w:footnoteRef/>
      </w:r>
      <w:r>
        <w:t xml:space="preserve"> </w:t>
      </w:r>
      <w:r w:rsidRPr="00A8707A">
        <w:t>Xu W,</w:t>
      </w:r>
      <w:r w:rsidR="00982C2C">
        <w:t xml:space="preserve"> et al</w:t>
      </w:r>
      <w:r w:rsidRPr="00A8707A">
        <w:t xml:space="preserve">. 2025. e21593 Outcomes of </w:t>
      </w:r>
      <w:r w:rsidR="00C9160C" w:rsidRPr="00A8707A">
        <w:t>Merkel</w:t>
      </w:r>
      <w:r w:rsidRPr="00A8707A">
        <w:t xml:space="preserve"> cell carcinoma: A 10-year population-based study in Queensland, Australia. American Society of Clinical Oncology (ASCO).</w:t>
      </w:r>
    </w:p>
  </w:footnote>
  <w:footnote w:id="5">
    <w:p w14:paraId="259BC4CB" w14:textId="23C7BECF" w:rsidR="00A8707A" w:rsidRPr="00A8707A" w:rsidRDefault="00A8707A">
      <w:pPr>
        <w:pStyle w:val="FootnoteText"/>
        <w:rPr>
          <w:lang w:val="en-US"/>
        </w:rPr>
      </w:pPr>
      <w:r>
        <w:rPr>
          <w:rStyle w:val="FootnoteReference"/>
        </w:rPr>
        <w:footnoteRef/>
      </w:r>
      <w:r>
        <w:t xml:space="preserve"> </w:t>
      </w:r>
      <w:r w:rsidRPr="00A8707A">
        <w:t xml:space="preserve">Girschik J, </w:t>
      </w:r>
      <w:r w:rsidR="00982C2C">
        <w:t>et al</w:t>
      </w:r>
      <w:r w:rsidRPr="00A8707A">
        <w:t>. 2011. Merkel cell carcinoma in Western Australia: a population‐based study of incidence and survival. British Journal of Dermatology 165(5): 1051-1057. Available at: 10.1111/j.1365-2133.2011.10493.x (accessed 4/15/2025).</w:t>
      </w:r>
    </w:p>
  </w:footnote>
  <w:footnote w:id="6">
    <w:p w14:paraId="42B655D3" w14:textId="0D23E6EC" w:rsidR="00982C2C" w:rsidRPr="00982C2C" w:rsidRDefault="00982C2C">
      <w:pPr>
        <w:pStyle w:val="FootnoteText"/>
        <w:rPr>
          <w:lang w:val="en-US"/>
        </w:rPr>
      </w:pPr>
      <w:r>
        <w:rPr>
          <w:rStyle w:val="FootnoteReference"/>
        </w:rPr>
        <w:footnoteRef/>
      </w:r>
      <w:r>
        <w:t xml:space="preserve"> </w:t>
      </w:r>
      <w:r>
        <w:rPr>
          <w:lang w:val="en-US"/>
        </w:rPr>
        <w:t xml:space="preserve">Marcos R. Gonzalez, et al. 2022. Treatment and survival outcomes in metastatic Merkel cell carcinoma: Analysis of 2010 patients from the SEER database. Available at: </w:t>
      </w:r>
      <w:r w:rsidRPr="00982C2C">
        <w:rPr>
          <w:lang w:val="en-US"/>
        </w:rPr>
        <w:t>https://doi.org/10.1016/j.ctarc.2022.100665</w:t>
      </w:r>
    </w:p>
  </w:footnote>
  <w:footnote w:id="7">
    <w:p w14:paraId="1CFC207B" w14:textId="0A45D2F1" w:rsidR="0064543E" w:rsidRDefault="0064543E">
      <w:pPr>
        <w:pStyle w:val="FootnoteText"/>
      </w:pPr>
      <w:r>
        <w:rPr>
          <w:rStyle w:val="FootnoteReference"/>
        </w:rPr>
        <w:footnoteRef/>
      </w:r>
      <w:r>
        <w:t xml:space="preserve"> </w:t>
      </w:r>
      <w:r w:rsidRPr="006C168D">
        <w:t>https://www.pbs.gov.au/info/industry/listing/elements/pbac-meetings/agenda/september-2025-pbac-intracycle-meeting</w:t>
      </w:r>
    </w:p>
  </w:footnote>
  <w:footnote w:id="8">
    <w:p w14:paraId="4943E661" w14:textId="07EA3A66" w:rsidR="00B24B61" w:rsidRDefault="00B24B61">
      <w:pPr>
        <w:pStyle w:val="FootnoteText"/>
      </w:pPr>
      <w:r>
        <w:rPr>
          <w:rStyle w:val="FootnoteReference"/>
        </w:rPr>
        <w:footnoteRef/>
      </w:r>
      <w:r>
        <w:t xml:space="preserve"> </w:t>
      </w:r>
      <w:r w:rsidR="00746E7F" w:rsidRPr="00746E7F">
        <w:t>Recommendations made by the PBAC – September 2025 Intracycle Meeting</w:t>
      </w:r>
      <w:r w:rsidR="00746E7F">
        <w:t xml:space="preserve">; </w:t>
      </w:r>
      <w:r w:rsidRPr="00B24B61">
        <w:t>https://www.pbs.gov.au/info/industry/listing/elements/pbac-meetings/pbac-outcomes/recommendations-made-by-the-pbac-september-2025</w:t>
      </w:r>
    </w:p>
  </w:footnote>
  <w:footnote w:id="9">
    <w:p w14:paraId="47258BF6" w14:textId="5CAABD50" w:rsidR="00972EA3" w:rsidRDefault="00972EA3">
      <w:pPr>
        <w:pStyle w:val="FootnoteText"/>
      </w:pPr>
      <w:r>
        <w:rPr>
          <w:rStyle w:val="FootnoteReference"/>
        </w:rPr>
        <w:footnoteRef/>
      </w:r>
      <w:r>
        <w:t xml:space="preserve"> </w:t>
      </w:r>
      <w:r w:rsidRPr="00972EA3">
        <w:t>Cherny NI, Dafni U, Bogaerts J, et al: ESMO-Magnitude of Clinical Benefit Scale version 1.1. Annals of Oncology 28:2340-2366, 2017]</w:t>
      </w:r>
    </w:p>
  </w:footnote>
  <w:footnote w:id="10">
    <w:p w14:paraId="109CA16B" w14:textId="604AEC68" w:rsidR="007E7040" w:rsidRPr="007E7040" w:rsidRDefault="007E7040">
      <w:pPr>
        <w:pStyle w:val="FootnoteText"/>
        <w:rPr>
          <w:lang w:val="en-US"/>
        </w:rPr>
      </w:pPr>
      <w:r>
        <w:rPr>
          <w:rStyle w:val="FootnoteReference"/>
        </w:rPr>
        <w:footnoteRef/>
      </w:r>
      <w:r>
        <w:t xml:space="preserve"> </w:t>
      </w:r>
      <w:r w:rsidRPr="007E7040">
        <w:t>Kearney et al. Population-adjusted indirect comparison (PAIC) of avelumab (AVE) and retifanlimab (RETI) in the first-line (1L) treatment of patients (pts) with metastatic Merkel cell carcinoma (</w:t>
      </w:r>
      <w:r w:rsidRPr="007E7040">
        <w:t>mMCC). Journal of Clinical Oncology June 2025; Volume 43, Number 16_suppl; e21513-e21513</w:t>
      </w:r>
    </w:p>
  </w:footnote>
  <w:footnote w:id="11">
    <w:p w14:paraId="63BFF6C9" w14:textId="77777777" w:rsidR="00A014A5" w:rsidRPr="00816FB2" w:rsidRDefault="00A014A5" w:rsidP="00A014A5">
      <w:pPr>
        <w:pStyle w:val="FootnoteText"/>
        <w:rPr>
          <w:i/>
          <w:iCs/>
          <w:lang w:val="en-US"/>
        </w:rPr>
      </w:pPr>
      <w:r>
        <w:rPr>
          <w:rStyle w:val="FootnoteReference"/>
        </w:rPr>
        <w:footnoteRef/>
      </w:r>
      <w:r>
        <w:t xml:space="preserve"> </w:t>
      </w:r>
      <w:r>
        <w:rPr>
          <w:lang w:val="en-US"/>
        </w:rPr>
        <w:t xml:space="preserve">Schadendorf D, et al. (2017), </w:t>
      </w:r>
      <w:r w:rsidRPr="00816FB2">
        <w:rPr>
          <w:lang w:val="en-US"/>
        </w:rPr>
        <w:t>Merkel cell carcinoma: Epidemiology, prognosis, therapy and unmet medical needs</w:t>
      </w:r>
      <w:r>
        <w:rPr>
          <w:lang w:val="en-US"/>
        </w:rPr>
        <w:t xml:space="preserve">, </w:t>
      </w:r>
      <w:r>
        <w:rPr>
          <w:i/>
          <w:iCs/>
          <w:lang w:val="en-US"/>
        </w:rPr>
        <w:t xml:space="preserve">European Journal of Cancer, </w:t>
      </w:r>
      <w:r w:rsidRPr="00816FB2">
        <w:rPr>
          <w:lang w:val="en-US"/>
        </w:rPr>
        <w:t>https://doi.org/10.1016/j.ejca.2016.10.022</w:t>
      </w:r>
    </w:p>
  </w:footnote>
  <w:footnote w:id="12">
    <w:p w14:paraId="668C6372" w14:textId="77777777" w:rsidR="00216F7F" w:rsidRPr="009B2B99" w:rsidRDefault="00216F7F" w:rsidP="00216F7F">
      <w:pPr>
        <w:pStyle w:val="FootnoteText"/>
        <w:rPr>
          <w:lang w:val="en-GB"/>
        </w:rPr>
      </w:pPr>
      <w:r>
        <w:rPr>
          <w:rStyle w:val="FootnoteReference"/>
        </w:rPr>
        <w:footnoteRef/>
      </w:r>
      <w:r>
        <w:t xml:space="preserve"> </w:t>
      </w:r>
      <w:r w:rsidRPr="00A80748">
        <w:t>IQVIA. (2022, May 9). In the eye of the storm: PD-(L)1 inhibitors weathering turbulence. IQVIA. https://www.iqvia.com/library/white-papers/in-the-eye-of-the-storm-pd-l-1-inhibitors-weathering-turbulence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DB55" w14:textId="3D61079F" w:rsidR="00B32D4B" w:rsidRDefault="00B32D4B">
    <w:pPr>
      <w:pStyle w:val="Header"/>
    </w:pPr>
    <w:r>
      <w:rPr>
        <w:noProof/>
      </w:rPr>
      <mc:AlternateContent>
        <mc:Choice Requires="wps">
          <w:drawing>
            <wp:anchor distT="0" distB="0" distL="0" distR="0" simplePos="0" relativeHeight="251658241" behindDoc="0" locked="0" layoutInCell="1" allowOverlap="1" wp14:anchorId="4E6E280B" wp14:editId="3CCBE4A1">
              <wp:simplePos x="635" y="635"/>
              <wp:positionH relativeFrom="page">
                <wp:align>center</wp:align>
              </wp:positionH>
              <wp:positionV relativeFrom="page">
                <wp:align>top</wp:align>
              </wp:positionV>
              <wp:extent cx="622300" cy="376555"/>
              <wp:effectExtent l="0" t="0" r="6350" b="4445"/>
              <wp:wrapNone/>
              <wp:docPr id="13610512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9969CD" w14:textId="187C8DE1"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6E280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09969CD" w14:textId="187C8DE1"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F656" w14:textId="385C98A2" w:rsidR="00B133A8" w:rsidRDefault="005A1B0E" w:rsidP="00B133A8">
    <w:pPr>
      <w:pStyle w:val="Header"/>
      <w:rPr>
        <w:rFonts w:asciiTheme="minorHAnsi" w:hAnsiTheme="minorHAnsi"/>
        <w:color w:val="808080"/>
      </w:rPr>
    </w:pPr>
    <w:r>
      <w:rPr>
        <w:rFonts w:asciiTheme="minorHAnsi" w:hAnsiTheme="minorHAnsi" w:cstheme="minorHAnsi"/>
        <w:color w:val="808080"/>
      </w:rPr>
      <w:t>Public Summary Document</w:t>
    </w:r>
    <w:r w:rsidR="00B133A8" w:rsidRPr="007C13CC">
      <w:rPr>
        <w:rFonts w:asciiTheme="minorHAnsi" w:hAnsiTheme="minorHAnsi" w:cstheme="minorHAnsi"/>
        <w:color w:val="808080"/>
      </w:rPr>
      <w:t xml:space="preserve"> – </w:t>
    </w:r>
    <w:r w:rsidR="00B133A8">
      <w:rPr>
        <w:rFonts w:asciiTheme="minorHAnsi" w:hAnsiTheme="minorHAnsi"/>
        <w:color w:val="808080"/>
      </w:rPr>
      <w:t xml:space="preserve">November 2025 </w:t>
    </w:r>
    <w:r w:rsidR="00B133A8" w:rsidRPr="00195452">
      <w:rPr>
        <w:rFonts w:asciiTheme="minorHAnsi" w:hAnsiTheme="minorHAnsi"/>
        <w:color w:val="808080"/>
      </w:rPr>
      <w:t>PBAC Meeting</w:t>
    </w:r>
    <w:r w:rsidR="00B133A8">
      <w:rPr>
        <w:rFonts w:asciiTheme="minorHAnsi" w:hAnsiTheme="minorHAnsi"/>
        <w:color w:val="808080"/>
      </w:rPr>
      <w:t xml:space="preserve"> with March 2026 Addendum</w:t>
    </w:r>
  </w:p>
  <w:p w14:paraId="03AF943B" w14:textId="77777777" w:rsidR="00D843F2" w:rsidRPr="008C7ECB" w:rsidRDefault="00D843F2" w:rsidP="00B95B5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7F88" w14:textId="213A67B0" w:rsidR="00B32D4B" w:rsidRDefault="00B32D4B">
    <w:pPr>
      <w:pStyle w:val="Header"/>
    </w:pPr>
    <w:r>
      <w:rPr>
        <w:noProof/>
      </w:rPr>
      <mc:AlternateContent>
        <mc:Choice Requires="wps">
          <w:drawing>
            <wp:anchor distT="0" distB="0" distL="0" distR="0" simplePos="0" relativeHeight="251658240" behindDoc="0" locked="0" layoutInCell="1" allowOverlap="1" wp14:anchorId="58A88096" wp14:editId="761FAEDB">
              <wp:simplePos x="635" y="635"/>
              <wp:positionH relativeFrom="page">
                <wp:align>center</wp:align>
              </wp:positionH>
              <wp:positionV relativeFrom="page">
                <wp:align>top</wp:align>
              </wp:positionV>
              <wp:extent cx="622300" cy="376555"/>
              <wp:effectExtent l="0" t="0" r="6350" b="4445"/>
              <wp:wrapNone/>
              <wp:docPr id="15003928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3D998D" w14:textId="7F388EEF"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88096" id="_x0000_t202" coordsize="21600,21600" o:spt="202" path="m,l,21600r21600,l21600,xe">
              <v:stroke joinstyle="miter"/>
              <v:path gradientshapeok="t" o:connecttype="rect"/>
            </v:shapetype>
            <v:shape id="Text Box 1" o:spid="_x0000_s1029"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3D3D998D" w14:textId="7F388EEF" w:rsidR="00B32D4B" w:rsidRPr="00B32D4B" w:rsidRDefault="00B32D4B" w:rsidP="00B32D4B">
                    <w:pPr>
                      <w:rPr>
                        <w:rFonts w:ascii="Aptos" w:eastAsia="Aptos" w:hAnsi="Aptos" w:cs="Aptos"/>
                        <w:noProof/>
                        <w:color w:val="FF0000"/>
                      </w:rPr>
                    </w:pPr>
                    <w:r w:rsidRPr="00B32D4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12B0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C1C6A"/>
    <w:multiLevelType w:val="hybridMultilevel"/>
    <w:tmpl w:val="674072AE"/>
    <w:lvl w:ilvl="0" w:tplc="ECE492CC">
      <w:start w:val="1"/>
      <w:numFmt w:val="bullet"/>
      <w:lvlText w:val=""/>
      <w:lvlJc w:val="left"/>
      <w:pPr>
        <w:ind w:left="1800" w:hanging="360"/>
      </w:pPr>
      <w:rPr>
        <w:rFonts w:ascii="Symbol" w:hAnsi="Symbol"/>
      </w:rPr>
    </w:lvl>
    <w:lvl w:ilvl="1" w:tplc="4558D1BA">
      <w:start w:val="1"/>
      <w:numFmt w:val="bullet"/>
      <w:lvlText w:val=""/>
      <w:lvlJc w:val="left"/>
      <w:pPr>
        <w:ind w:left="1800" w:hanging="360"/>
      </w:pPr>
      <w:rPr>
        <w:rFonts w:ascii="Symbol" w:hAnsi="Symbol"/>
      </w:rPr>
    </w:lvl>
    <w:lvl w:ilvl="2" w:tplc="68BC89B2">
      <w:start w:val="1"/>
      <w:numFmt w:val="bullet"/>
      <w:lvlText w:val=""/>
      <w:lvlJc w:val="left"/>
      <w:pPr>
        <w:ind w:left="1800" w:hanging="360"/>
      </w:pPr>
      <w:rPr>
        <w:rFonts w:ascii="Symbol" w:hAnsi="Symbol"/>
      </w:rPr>
    </w:lvl>
    <w:lvl w:ilvl="3" w:tplc="D334FA0E">
      <w:start w:val="1"/>
      <w:numFmt w:val="bullet"/>
      <w:lvlText w:val=""/>
      <w:lvlJc w:val="left"/>
      <w:pPr>
        <w:ind w:left="1800" w:hanging="360"/>
      </w:pPr>
      <w:rPr>
        <w:rFonts w:ascii="Symbol" w:hAnsi="Symbol"/>
      </w:rPr>
    </w:lvl>
    <w:lvl w:ilvl="4" w:tplc="92F089B0">
      <w:start w:val="1"/>
      <w:numFmt w:val="bullet"/>
      <w:lvlText w:val=""/>
      <w:lvlJc w:val="left"/>
      <w:pPr>
        <w:ind w:left="1800" w:hanging="360"/>
      </w:pPr>
      <w:rPr>
        <w:rFonts w:ascii="Symbol" w:hAnsi="Symbol"/>
      </w:rPr>
    </w:lvl>
    <w:lvl w:ilvl="5" w:tplc="BC4ADA62">
      <w:start w:val="1"/>
      <w:numFmt w:val="bullet"/>
      <w:lvlText w:val=""/>
      <w:lvlJc w:val="left"/>
      <w:pPr>
        <w:ind w:left="1800" w:hanging="360"/>
      </w:pPr>
      <w:rPr>
        <w:rFonts w:ascii="Symbol" w:hAnsi="Symbol"/>
      </w:rPr>
    </w:lvl>
    <w:lvl w:ilvl="6" w:tplc="6A523766">
      <w:start w:val="1"/>
      <w:numFmt w:val="bullet"/>
      <w:lvlText w:val=""/>
      <w:lvlJc w:val="left"/>
      <w:pPr>
        <w:ind w:left="1800" w:hanging="360"/>
      </w:pPr>
      <w:rPr>
        <w:rFonts w:ascii="Symbol" w:hAnsi="Symbol"/>
      </w:rPr>
    </w:lvl>
    <w:lvl w:ilvl="7" w:tplc="BDF25C3E">
      <w:start w:val="1"/>
      <w:numFmt w:val="bullet"/>
      <w:lvlText w:val=""/>
      <w:lvlJc w:val="left"/>
      <w:pPr>
        <w:ind w:left="1800" w:hanging="360"/>
      </w:pPr>
      <w:rPr>
        <w:rFonts w:ascii="Symbol" w:hAnsi="Symbol"/>
      </w:rPr>
    </w:lvl>
    <w:lvl w:ilvl="8" w:tplc="1226A02A">
      <w:start w:val="1"/>
      <w:numFmt w:val="bullet"/>
      <w:lvlText w:val=""/>
      <w:lvlJc w:val="left"/>
      <w:pPr>
        <w:ind w:left="1800" w:hanging="360"/>
      </w:pPr>
      <w:rPr>
        <w:rFonts w:ascii="Symbol" w:hAnsi="Symbol"/>
      </w:rPr>
    </w:lvl>
  </w:abstractNum>
  <w:abstractNum w:abstractNumId="2" w15:restartNumberingAfterBreak="0">
    <w:nsid w:val="027909C3"/>
    <w:multiLevelType w:val="hybridMultilevel"/>
    <w:tmpl w:val="4B9C117C"/>
    <w:lvl w:ilvl="0" w:tplc="FF589D76">
      <w:start w:val="1"/>
      <w:numFmt w:val="bullet"/>
      <w:lvlText w:val=""/>
      <w:lvlJc w:val="left"/>
      <w:pPr>
        <w:ind w:left="1080" w:hanging="360"/>
      </w:pPr>
      <w:rPr>
        <w:rFonts w:ascii="Symbol" w:hAnsi="Symbol"/>
      </w:rPr>
    </w:lvl>
    <w:lvl w:ilvl="1" w:tplc="5346F4C0">
      <w:start w:val="1"/>
      <w:numFmt w:val="bullet"/>
      <w:lvlText w:val=""/>
      <w:lvlJc w:val="left"/>
      <w:pPr>
        <w:ind w:left="1080" w:hanging="360"/>
      </w:pPr>
      <w:rPr>
        <w:rFonts w:ascii="Symbol" w:hAnsi="Symbol"/>
      </w:rPr>
    </w:lvl>
    <w:lvl w:ilvl="2" w:tplc="02F272CC">
      <w:start w:val="1"/>
      <w:numFmt w:val="bullet"/>
      <w:lvlText w:val=""/>
      <w:lvlJc w:val="left"/>
      <w:pPr>
        <w:ind w:left="1080" w:hanging="360"/>
      </w:pPr>
      <w:rPr>
        <w:rFonts w:ascii="Symbol" w:hAnsi="Symbol"/>
      </w:rPr>
    </w:lvl>
    <w:lvl w:ilvl="3" w:tplc="6616D11A">
      <w:start w:val="1"/>
      <w:numFmt w:val="bullet"/>
      <w:lvlText w:val=""/>
      <w:lvlJc w:val="left"/>
      <w:pPr>
        <w:ind w:left="1080" w:hanging="360"/>
      </w:pPr>
      <w:rPr>
        <w:rFonts w:ascii="Symbol" w:hAnsi="Symbol"/>
      </w:rPr>
    </w:lvl>
    <w:lvl w:ilvl="4" w:tplc="8BD4B5C4">
      <w:start w:val="1"/>
      <w:numFmt w:val="bullet"/>
      <w:lvlText w:val=""/>
      <w:lvlJc w:val="left"/>
      <w:pPr>
        <w:ind w:left="1080" w:hanging="360"/>
      </w:pPr>
      <w:rPr>
        <w:rFonts w:ascii="Symbol" w:hAnsi="Symbol"/>
      </w:rPr>
    </w:lvl>
    <w:lvl w:ilvl="5" w:tplc="9B0468CE">
      <w:start w:val="1"/>
      <w:numFmt w:val="bullet"/>
      <w:lvlText w:val=""/>
      <w:lvlJc w:val="left"/>
      <w:pPr>
        <w:ind w:left="1080" w:hanging="360"/>
      </w:pPr>
      <w:rPr>
        <w:rFonts w:ascii="Symbol" w:hAnsi="Symbol"/>
      </w:rPr>
    </w:lvl>
    <w:lvl w:ilvl="6" w:tplc="1B5C1940">
      <w:start w:val="1"/>
      <w:numFmt w:val="bullet"/>
      <w:lvlText w:val=""/>
      <w:lvlJc w:val="left"/>
      <w:pPr>
        <w:ind w:left="1080" w:hanging="360"/>
      </w:pPr>
      <w:rPr>
        <w:rFonts w:ascii="Symbol" w:hAnsi="Symbol"/>
      </w:rPr>
    </w:lvl>
    <w:lvl w:ilvl="7" w:tplc="2D78E320">
      <w:start w:val="1"/>
      <w:numFmt w:val="bullet"/>
      <w:lvlText w:val=""/>
      <w:lvlJc w:val="left"/>
      <w:pPr>
        <w:ind w:left="1080" w:hanging="360"/>
      </w:pPr>
      <w:rPr>
        <w:rFonts w:ascii="Symbol" w:hAnsi="Symbol"/>
      </w:rPr>
    </w:lvl>
    <w:lvl w:ilvl="8" w:tplc="F97EF09C">
      <w:start w:val="1"/>
      <w:numFmt w:val="bullet"/>
      <w:lvlText w:val=""/>
      <w:lvlJc w:val="left"/>
      <w:pPr>
        <w:ind w:left="1080" w:hanging="360"/>
      </w:pPr>
      <w:rPr>
        <w:rFonts w:ascii="Symbol" w:hAnsi="Symbol"/>
      </w:rPr>
    </w:lvl>
  </w:abstractNum>
  <w:abstractNum w:abstractNumId="3" w15:restartNumberingAfterBreak="0">
    <w:nsid w:val="046C4270"/>
    <w:multiLevelType w:val="hybridMultilevel"/>
    <w:tmpl w:val="E5F2FB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C91B6B"/>
    <w:multiLevelType w:val="hybridMultilevel"/>
    <w:tmpl w:val="29F636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504BBB"/>
    <w:multiLevelType w:val="hybridMultilevel"/>
    <w:tmpl w:val="00AE8594"/>
    <w:lvl w:ilvl="0" w:tplc="0854CA48">
      <w:start w:val="1"/>
      <w:numFmt w:val="bullet"/>
      <w:lvlText w:val=""/>
      <w:lvlJc w:val="left"/>
      <w:pPr>
        <w:ind w:left="1020" w:hanging="360"/>
      </w:pPr>
      <w:rPr>
        <w:rFonts w:ascii="Symbol" w:hAnsi="Symbol"/>
      </w:rPr>
    </w:lvl>
    <w:lvl w:ilvl="1" w:tplc="CBA2BD02">
      <w:start w:val="1"/>
      <w:numFmt w:val="bullet"/>
      <w:lvlText w:val=""/>
      <w:lvlJc w:val="left"/>
      <w:pPr>
        <w:ind w:left="1020" w:hanging="360"/>
      </w:pPr>
      <w:rPr>
        <w:rFonts w:ascii="Symbol" w:hAnsi="Symbol"/>
      </w:rPr>
    </w:lvl>
    <w:lvl w:ilvl="2" w:tplc="8A8EF728">
      <w:start w:val="1"/>
      <w:numFmt w:val="bullet"/>
      <w:lvlText w:val=""/>
      <w:lvlJc w:val="left"/>
      <w:pPr>
        <w:ind w:left="1020" w:hanging="360"/>
      </w:pPr>
      <w:rPr>
        <w:rFonts w:ascii="Symbol" w:hAnsi="Symbol"/>
      </w:rPr>
    </w:lvl>
    <w:lvl w:ilvl="3" w:tplc="5F049E66">
      <w:start w:val="1"/>
      <w:numFmt w:val="bullet"/>
      <w:lvlText w:val=""/>
      <w:lvlJc w:val="left"/>
      <w:pPr>
        <w:ind w:left="1020" w:hanging="360"/>
      </w:pPr>
      <w:rPr>
        <w:rFonts w:ascii="Symbol" w:hAnsi="Symbol"/>
      </w:rPr>
    </w:lvl>
    <w:lvl w:ilvl="4" w:tplc="166446E2">
      <w:start w:val="1"/>
      <w:numFmt w:val="bullet"/>
      <w:lvlText w:val=""/>
      <w:lvlJc w:val="left"/>
      <w:pPr>
        <w:ind w:left="1020" w:hanging="360"/>
      </w:pPr>
      <w:rPr>
        <w:rFonts w:ascii="Symbol" w:hAnsi="Symbol"/>
      </w:rPr>
    </w:lvl>
    <w:lvl w:ilvl="5" w:tplc="E2E04EFE">
      <w:start w:val="1"/>
      <w:numFmt w:val="bullet"/>
      <w:lvlText w:val=""/>
      <w:lvlJc w:val="left"/>
      <w:pPr>
        <w:ind w:left="1020" w:hanging="360"/>
      </w:pPr>
      <w:rPr>
        <w:rFonts w:ascii="Symbol" w:hAnsi="Symbol"/>
      </w:rPr>
    </w:lvl>
    <w:lvl w:ilvl="6" w:tplc="DA5EEEBA">
      <w:start w:val="1"/>
      <w:numFmt w:val="bullet"/>
      <w:lvlText w:val=""/>
      <w:lvlJc w:val="left"/>
      <w:pPr>
        <w:ind w:left="1020" w:hanging="360"/>
      </w:pPr>
      <w:rPr>
        <w:rFonts w:ascii="Symbol" w:hAnsi="Symbol"/>
      </w:rPr>
    </w:lvl>
    <w:lvl w:ilvl="7" w:tplc="DCF89940">
      <w:start w:val="1"/>
      <w:numFmt w:val="bullet"/>
      <w:lvlText w:val=""/>
      <w:lvlJc w:val="left"/>
      <w:pPr>
        <w:ind w:left="1020" w:hanging="360"/>
      </w:pPr>
      <w:rPr>
        <w:rFonts w:ascii="Symbol" w:hAnsi="Symbol"/>
      </w:rPr>
    </w:lvl>
    <w:lvl w:ilvl="8" w:tplc="95F09800">
      <w:start w:val="1"/>
      <w:numFmt w:val="bullet"/>
      <w:lvlText w:val=""/>
      <w:lvlJc w:val="left"/>
      <w:pPr>
        <w:ind w:left="1020" w:hanging="360"/>
      </w:pPr>
      <w:rPr>
        <w:rFonts w:ascii="Symbol" w:hAnsi="Symbol"/>
      </w:rPr>
    </w:lvl>
  </w:abstractNum>
  <w:abstractNum w:abstractNumId="6" w15:restartNumberingAfterBreak="0">
    <w:nsid w:val="133E7893"/>
    <w:multiLevelType w:val="hybridMultilevel"/>
    <w:tmpl w:val="DCF8B868"/>
    <w:lvl w:ilvl="0" w:tplc="074E7A4A">
      <w:start w:val="1"/>
      <w:numFmt w:val="bullet"/>
      <w:lvlText w:val=""/>
      <w:lvlJc w:val="left"/>
      <w:pPr>
        <w:ind w:left="1020" w:hanging="360"/>
      </w:pPr>
      <w:rPr>
        <w:rFonts w:ascii="Symbol" w:hAnsi="Symbol"/>
      </w:rPr>
    </w:lvl>
    <w:lvl w:ilvl="1" w:tplc="0A2ED1CE">
      <w:start w:val="1"/>
      <w:numFmt w:val="bullet"/>
      <w:lvlText w:val=""/>
      <w:lvlJc w:val="left"/>
      <w:pPr>
        <w:ind w:left="1020" w:hanging="360"/>
      </w:pPr>
      <w:rPr>
        <w:rFonts w:ascii="Symbol" w:hAnsi="Symbol"/>
      </w:rPr>
    </w:lvl>
    <w:lvl w:ilvl="2" w:tplc="75B047B8">
      <w:start w:val="1"/>
      <w:numFmt w:val="bullet"/>
      <w:lvlText w:val=""/>
      <w:lvlJc w:val="left"/>
      <w:pPr>
        <w:ind w:left="1020" w:hanging="360"/>
      </w:pPr>
      <w:rPr>
        <w:rFonts w:ascii="Symbol" w:hAnsi="Symbol"/>
      </w:rPr>
    </w:lvl>
    <w:lvl w:ilvl="3" w:tplc="C76E4252">
      <w:start w:val="1"/>
      <w:numFmt w:val="bullet"/>
      <w:lvlText w:val=""/>
      <w:lvlJc w:val="left"/>
      <w:pPr>
        <w:ind w:left="1020" w:hanging="360"/>
      </w:pPr>
      <w:rPr>
        <w:rFonts w:ascii="Symbol" w:hAnsi="Symbol"/>
      </w:rPr>
    </w:lvl>
    <w:lvl w:ilvl="4" w:tplc="C646E084">
      <w:start w:val="1"/>
      <w:numFmt w:val="bullet"/>
      <w:lvlText w:val=""/>
      <w:lvlJc w:val="left"/>
      <w:pPr>
        <w:ind w:left="1020" w:hanging="360"/>
      </w:pPr>
      <w:rPr>
        <w:rFonts w:ascii="Symbol" w:hAnsi="Symbol"/>
      </w:rPr>
    </w:lvl>
    <w:lvl w:ilvl="5" w:tplc="B57CEFA0">
      <w:start w:val="1"/>
      <w:numFmt w:val="bullet"/>
      <w:lvlText w:val=""/>
      <w:lvlJc w:val="left"/>
      <w:pPr>
        <w:ind w:left="1020" w:hanging="360"/>
      </w:pPr>
      <w:rPr>
        <w:rFonts w:ascii="Symbol" w:hAnsi="Symbol"/>
      </w:rPr>
    </w:lvl>
    <w:lvl w:ilvl="6" w:tplc="773247EC">
      <w:start w:val="1"/>
      <w:numFmt w:val="bullet"/>
      <w:lvlText w:val=""/>
      <w:lvlJc w:val="left"/>
      <w:pPr>
        <w:ind w:left="1020" w:hanging="360"/>
      </w:pPr>
      <w:rPr>
        <w:rFonts w:ascii="Symbol" w:hAnsi="Symbol"/>
      </w:rPr>
    </w:lvl>
    <w:lvl w:ilvl="7" w:tplc="9DA8E73C">
      <w:start w:val="1"/>
      <w:numFmt w:val="bullet"/>
      <w:lvlText w:val=""/>
      <w:lvlJc w:val="left"/>
      <w:pPr>
        <w:ind w:left="1020" w:hanging="360"/>
      </w:pPr>
      <w:rPr>
        <w:rFonts w:ascii="Symbol" w:hAnsi="Symbol"/>
      </w:rPr>
    </w:lvl>
    <w:lvl w:ilvl="8" w:tplc="A466547A">
      <w:start w:val="1"/>
      <w:numFmt w:val="bullet"/>
      <w:lvlText w:val=""/>
      <w:lvlJc w:val="left"/>
      <w:pPr>
        <w:ind w:left="1020" w:hanging="360"/>
      </w:pPr>
      <w:rPr>
        <w:rFonts w:ascii="Symbol" w:hAnsi="Symbol"/>
      </w:rPr>
    </w:lvl>
  </w:abstractNum>
  <w:abstractNum w:abstractNumId="7" w15:restartNumberingAfterBreak="0">
    <w:nsid w:val="171E083C"/>
    <w:multiLevelType w:val="hybridMultilevel"/>
    <w:tmpl w:val="2ADE0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A05FAA"/>
    <w:multiLevelType w:val="hybridMultilevel"/>
    <w:tmpl w:val="7BCE1114"/>
    <w:lvl w:ilvl="0" w:tplc="69BE31A6">
      <w:start w:val="1"/>
      <w:numFmt w:val="bullet"/>
      <w:lvlText w:val=""/>
      <w:lvlJc w:val="left"/>
      <w:pPr>
        <w:ind w:left="1260" w:hanging="360"/>
      </w:pPr>
      <w:rPr>
        <w:rFonts w:ascii="Symbol" w:hAnsi="Symbol"/>
      </w:rPr>
    </w:lvl>
    <w:lvl w:ilvl="1" w:tplc="33861868">
      <w:start w:val="1"/>
      <w:numFmt w:val="bullet"/>
      <w:lvlText w:val=""/>
      <w:lvlJc w:val="left"/>
      <w:pPr>
        <w:ind w:left="1260" w:hanging="360"/>
      </w:pPr>
      <w:rPr>
        <w:rFonts w:ascii="Symbol" w:hAnsi="Symbol"/>
      </w:rPr>
    </w:lvl>
    <w:lvl w:ilvl="2" w:tplc="AF62E312">
      <w:start w:val="1"/>
      <w:numFmt w:val="bullet"/>
      <w:lvlText w:val=""/>
      <w:lvlJc w:val="left"/>
      <w:pPr>
        <w:ind w:left="1260" w:hanging="360"/>
      </w:pPr>
      <w:rPr>
        <w:rFonts w:ascii="Symbol" w:hAnsi="Symbol"/>
      </w:rPr>
    </w:lvl>
    <w:lvl w:ilvl="3" w:tplc="BFC46D3C">
      <w:start w:val="1"/>
      <w:numFmt w:val="bullet"/>
      <w:lvlText w:val=""/>
      <w:lvlJc w:val="left"/>
      <w:pPr>
        <w:ind w:left="1260" w:hanging="360"/>
      </w:pPr>
      <w:rPr>
        <w:rFonts w:ascii="Symbol" w:hAnsi="Symbol"/>
      </w:rPr>
    </w:lvl>
    <w:lvl w:ilvl="4" w:tplc="F04EA3EE">
      <w:start w:val="1"/>
      <w:numFmt w:val="bullet"/>
      <w:lvlText w:val=""/>
      <w:lvlJc w:val="left"/>
      <w:pPr>
        <w:ind w:left="1260" w:hanging="360"/>
      </w:pPr>
      <w:rPr>
        <w:rFonts w:ascii="Symbol" w:hAnsi="Symbol"/>
      </w:rPr>
    </w:lvl>
    <w:lvl w:ilvl="5" w:tplc="585296F8">
      <w:start w:val="1"/>
      <w:numFmt w:val="bullet"/>
      <w:lvlText w:val=""/>
      <w:lvlJc w:val="left"/>
      <w:pPr>
        <w:ind w:left="1260" w:hanging="360"/>
      </w:pPr>
      <w:rPr>
        <w:rFonts w:ascii="Symbol" w:hAnsi="Symbol"/>
      </w:rPr>
    </w:lvl>
    <w:lvl w:ilvl="6" w:tplc="48B6F73E">
      <w:start w:val="1"/>
      <w:numFmt w:val="bullet"/>
      <w:lvlText w:val=""/>
      <w:lvlJc w:val="left"/>
      <w:pPr>
        <w:ind w:left="1260" w:hanging="360"/>
      </w:pPr>
      <w:rPr>
        <w:rFonts w:ascii="Symbol" w:hAnsi="Symbol"/>
      </w:rPr>
    </w:lvl>
    <w:lvl w:ilvl="7" w:tplc="B09CF64E">
      <w:start w:val="1"/>
      <w:numFmt w:val="bullet"/>
      <w:lvlText w:val=""/>
      <w:lvlJc w:val="left"/>
      <w:pPr>
        <w:ind w:left="1260" w:hanging="360"/>
      </w:pPr>
      <w:rPr>
        <w:rFonts w:ascii="Symbol" w:hAnsi="Symbol"/>
      </w:rPr>
    </w:lvl>
    <w:lvl w:ilvl="8" w:tplc="CE8A293E">
      <w:start w:val="1"/>
      <w:numFmt w:val="bullet"/>
      <w:lvlText w:val=""/>
      <w:lvlJc w:val="left"/>
      <w:pPr>
        <w:ind w:left="1260" w:hanging="360"/>
      </w:pPr>
      <w:rPr>
        <w:rFonts w:ascii="Symbol" w:hAnsi="Symbol"/>
      </w:rPr>
    </w:lvl>
  </w:abstractNum>
  <w:abstractNum w:abstractNumId="9" w15:restartNumberingAfterBreak="0">
    <w:nsid w:val="27A64AB8"/>
    <w:multiLevelType w:val="hybridMultilevel"/>
    <w:tmpl w:val="562C6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169B7"/>
    <w:multiLevelType w:val="hybridMultilevel"/>
    <w:tmpl w:val="A2B6A3A0"/>
    <w:lvl w:ilvl="0" w:tplc="AD507F34">
      <w:start w:val="1"/>
      <w:numFmt w:val="bullet"/>
      <w:lvlText w:val=""/>
      <w:lvlJc w:val="left"/>
      <w:pPr>
        <w:ind w:left="2520" w:hanging="360"/>
      </w:pPr>
      <w:rPr>
        <w:rFonts w:ascii="Symbol" w:hAnsi="Symbol"/>
      </w:rPr>
    </w:lvl>
    <w:lvl w:ilvl="1" w:tplc="66CE7F48">
      <w:start w:val="1"/>
      <w:numFmt w:val="bullet"/>
      <w:lvlText w:val=""/>
      <w:lvlJc w:val="left"/>
      <w:pPr>
        <w:ind w:left="2520" w:hanging="360"/>
      </w:pPr>
      <w:rPr>
        <w:rFonts w:ascii="Symbol" w:hAnsi="Symbol"/>
      </w:rPr>
    </w:lvl>
    <w:lvl w:ilvl="2" w:tplc="88CA3EB6">
      <w:start w:val="1"/>
      <w:numFmt w:val="bullet"/>
      <w:lvlText w:val=""/>
      <w:lvlJc w:val="left"/>
      <w:pPr>
        <w:ind w:left="2520" w:hanging="360"/>
      </w:pPr>
      <w:rPr>
        <w:rFonts w:ascii="Symbol" w:hAnsi="Symbol"/>
      </w:rPr>
    </w:lvl>
    <w:lvl w:ilvl="3" w:tplc="3DB6DB16">
      <w:start w:val="1"/>
      <w:numFmt w:val="bullet"/>
      <w:lvlText w:val=""/>
      <w:lvlJc w:val="left"/>
      <w:pPr>
        <w:ind w:left="2520" w:hanging="360"/>
      </w:pPr>
      <w:rPr>
        <w:rFonts w:ascii="Symbol" w:hAnsi="Symbol"/>
      </w:rPr>
    </w:lvl>
    <w:lvl w:ilvl="4" w:tplc="59B86068">
      <w:start w:val="1"/>
      <w:numFmt w:val="bullet"/>
      <w:lvlText w:val=""/>
      <w:lvlJc w:val="left"/>
      <w:pPr>
        <w:ind w:left="2520" w:hanging="360"/>
      </w:pPr>
      <w:rPr>
        <w:rFonts w:ascii="Symbol" w:hAnsi="Symbol"/>
      </w:rPr>
    </w:lvl>
    <w:lvl w:ilvl="5" w:tplc="F9CA426C">
      <w:start w:val="1"/>
      <w:numFmt w:val="bullet"/>
      <w:lvlText w:val=""/>
      <w:lvlJc w:val="left"/>
      <w:pPr>
        <w:ind w:left="2520" w:hanging="360"/>
      </w:pPr>
      <w:rPr>
        <w:rFonts w:ascii="Symbol" w:hAnsi="Symbol"/>
      </w:rPr>
    </w:lvl>
    <w:lvl w:ilvl="6" w:tplc="AD869FB2">
      <w:start w:val="1"/>
      <w:numFmt w:val="bullet"/>
      <w:lvlText w:val=""/>
      <w:lvlJc w:val="left"/>
      <w:pPr>
        <w:ind w:left="2520" w:hanging="360"/>
      </w:pPr>
      <w:rPr>
        <w:rFonts w:ascii="Symbol" w:hAnsi="Symbol"/>
      </w:rPr>
    </w:lvl>
    <w:lvl w:ilvl="7" w:tplc="1DC2205A">
      <w:start w:val="1"/>
      <w:numFmt w:val="bullet"/>
      <w:lvlText w:val=""/>
      <w:lvlJc w:val="left"/>
      <w:pPr>
        <w:ind w:left="2520" w:hanging="360"/>
      </w:pPr>
      <w:rPr>
        <w:rFonts w:ascii="Symbol" w:hAnsi="Symbol"/>
      </w:rPr>
    </w:lvl>
    <w:lvl w:ilvl="8" w:tplc="7B5ACA7C">
      <w:start w:val="1"/>
      <w:numFmt w:val="bullet"/>
      <w:lvlText w:val=""/>
      <w:lvlJc w:val="left"/>
      <w:pPr>
        <w:ind w:left="2520" w:hanging="360"/>
      </w:pPr>
      <w:rPr>
        <w:rFonts w:ascii="Symbol" w:hAnsi="Symbol"/>
      </w:rPr>
    </w:lvl>
  </w:abstractNum>
  <w:abstractNum w:abstractNumId="11" w15:restartNumberingAfterBreak="0">
    <w:nsid w:val="2C6261EB"/>
    <w:multiLevelType w:val="hybridMultilevel"/>
    <w:tmpl w:val="6CB871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2EC41C5"/>
    <w:multiLevelType w:val="hybridMultilevel"/>
    <w:tmpl w:val="EA1A6C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7297110"/>
    <w:multiLevelType w:val="hybridMultilevel"/>
    <w:tmpl w:val="537E7B9E"/>
    <w:lvl w:ilvl="0" w:tplc="A9EA0B2C">
      <w:start w:val="1"/>
      <w:numFmt w:val="bullet"/>
      <w:lvlText w:val=""/>
      <w:lvlJc w:val="left"/>
      <w:pPr>
        <w:ind w:left="720" w:hanging="360"/>
      </w:pPr>
      <w:rPr>
        <w:rFonts w:ascii="Symbol" w:hAnsi="Symbol"/>
      </w:rPr>
    </w:lvl>
    <w:lvl w:ilvl="1" w:tplc="C0D2B7D2">
      <w:start w:val="1"/>
      <w:numFmt w:val="bullet"/>
      <w:lvlText w:val=""/>
      <w:lvlJc w:val="left"/>
      <w:pPr>
        <w:ind w:left="720" w:hanging="360"/>
      </w:pPr>
      <w:rPr>
        <w:rFonts w:ascii="Symbol" w:hAnsi="Symbol"/>
      </w:rPr>
    </w:lvl>
    <w:lvl w:ilvl="2" w:tplc="9424C00A">
      <w:start w:val="1"/>
      <w:numFmt w:val="bullet"/>
      <w:lvlText w:val=""/>
      <w:lvlJc w:val="left"/>
      <w:pPr>
        <w:ind w:left="720" w:hanging="360"/>
      </w:pPr>
      <w:rPr>
        <w:rFonts w:ascii="Symbol" w:hAnsi="Symbol"/>
      </w:rPr>
    </w:lvl>
    <w:lvl w:ilvl="3" w:tplc="BD7CEF90">
      <w:start w:val="1"/>
      <w:numFmt w:val="bullet"/>
      <w:lvlText w:val=""/>
      <w:lvlJc w:val="left"/>
      <w:pPr>
        <w:ind w:left="720" w:hanging="360"/>
      </w:pPr>
      <w:rPr>
        <w:rFonts w:ascii="Symbol" w:hAnsi="Symbol"/>
      </w:rPr>
    </w:lvl>
    <w:lvl w:ilvl="4" w:tplc="0A6416AA">
      <w:start w:val="1"/>
      <w:numFmt w:val="bullet"/>
      <w:lvlText w:val=""/>
      <w:lvlJc w:val="left"/>
      <w:pPr>
        <w:ind w:left="720" w:hanging="360"/>
      </w:pPr>
      <w:rPr>
        <w:rFonts w:ascii="Symbol" w:hAnsi="Symbol"/>
      </w:rPr>
    </w:lvl>
    <w:lvl w:ilvl="5" w:tplc="B4B2B796">
      <w:start w:val="1"/>
      <w:numFmt w:val="bullet"/>
      <w:lvlText w:val=""/>
      <w:lvlJc w:val="left"/>
      <w:pPr>
        <w:ind w:left="720" w:hanging="360"/>
      </w:pPr>
      <w:rPr>
        <w:rFonts w:ascii="Symbol" w:hAnsi="Symbol"/>
      </w:rPr>
    </w:lvl>
    <w:lvl w:ilvl="6" w:tplc="9B22D764">
      <w:start w:val="1"/>
      <w:numFmt w:val="bullet"/>
      <w:lvlText w:val=""/>
      <w:lvlJc w:val="left"/>
      <w:pPr>
        <w:ind w:left="720" w:hanging="360"/>
      </w:pPr>
      <w:rPr>
        <w:rFonts w:ascii="Symbol" w:hAnsi="Symbol"/>
      </w:rPr>
    </w:lvl>
    <w:lvl w:ilvl="7" w:tplc="CBF4E858">
      <w:start w:val="1"/>
      <w:numFmt w:val="bullet"/>
      <w:lvlText w:val=""/>
      <w:lvlJc w:val="left"/>
      <w:pPr>
        <w:ind w:left="720" w:hanging="360"/>
      </w:pPr>
      <w:rPr>
        <w:rFonts w:ascii="Symbol" w:hAnsi="Symbol"/>
      </w:rPr>
    </w:lvl>
    <w:lvl w:ilvl="8" w:tplc="FCCA586C">
      <w:start w:val="1"/>
      <w:numFmt w:val="bullet"/>
      <w:lvlText w:val=""/>
      <w:lvlJc w:val="left"/>
      <w:pPr>
        <w:ind w:left="720" w:hanging="360"/>
      </w:pPr>
      <w:rPr>
        <w:rFonts w:ascii="Symbol" w:hAnsi="Symbol"/>
      </w:rPr>
    </w:lvl>
  </w:abstractNum>
  <w:abstractNum w:abstractNumId="15" w15:restartNumberingAfterBreak="0">
    <w:nsid w:val="3B0C0997"/>
    <w:multiLevelType w:val="hybridMultilevel"/>
    <w:tmpl w:val="9C445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271308"/>
    <w:multiLevelType w:val="hybridMultilevel"/>
    <w:tmpl w:val="91444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373E83"/>
    <w:multiLevelType w:val="hybridMultilevel"/>
    <w:tmpl w:val="F4C033EC"/>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8474D"/>
    <w:multiLevelType w:val="hybridMultilevel"/>
    <w:tmpl w:val="1302AAC8"/>
    <w:lvl w:ilvl="0" w:tplc="29167DC6">
      <w:start w:val="1"/>
      <w:numFmt w:val="bullet"/>
      <w:lvlText w:val=""/>
      <w:lvlJc w:val="left"/>
      <w:pPr>
        <w:ind w:left="2160" w:hanging="360"/>
      </w:pPr>
      <w:rPr>
        <w:rFonts w:ascii="Symbol" w:hAnsi="Symbol"/>
      </w:rPr>
    </w:lvl>
    <w:lvl w:ilvl="1" w:tplc="7EEC80A8">
      <w:start w:val="1"/>
      <w:numFmt w:val="bullet"/>
      <w:lvlText w:val=""/>
      <w:lvlJc w:val="left"/>
      <w:pPr>
        <w:ind w:left="2160" w:hanging="360"/>
      </w:pPr>
      <w:rPr>
        <w:rFonts w:ascii="Symbol" w:hAnsi="Symbol"/>
      </w:rPr>
    </w:lvl>
    <w:lvl w:ilvl="2" w:tplc="50BA765A">
      <w:start w:val="1"/>
      <w:numFmt w:val="bullet"/>
      <w:lvlText w:val=""/>
      <w:lvlJc w:val="left"/>
      <w:pPr>
        <w:ind w:left="2160" w:hanging="360"/>
      </w:pPr>
      <w:rPr>
        <w:rFonts w:ascii="Symbol" w:hAnsi="Symbol"/>
      </w:rPr>
    </w:lvl>
    <w:lvl w:ilvl="3" w:tplc="E03C0E6E">
      <w:start w:val="1"/>
      <w:numFmt w:val="bullet"/>
      <w:lvlText w:val=""/>
      <w:lvlJc w:val="left"/>
      <w:pPr>
        <w:ind w:left="2160" w:hanging="360"/>
      </w:pPr>
      <w:rPr>
        <w:rFonts w:ascii="Symbol" w:hAnsi="Symbol"/>
      </w:rPr>
    </w:lvl>
    <w:lvl w:ilvl="4" w:tplc="D65409B0">
      <w:start w:val="1"/>
      <w:numFmt w:val="bullet"/>
      <w:lvlText w:val=""/>
      <w:lvlJc w:val="left"/>
      <w:pPr>
        <w:ind w:left="2160" w:hanging="360"/>
      </w:pPr>
      <w:rPr>
        <w:rFonts w:ascii="Symbol" w:hAnsi="Symbol"/>
      </w:rPr>
    </w:lvl>
    <w:lvl w:ilvl="5" w:tplc="E1B227EC">
      <w:start w:val="1"/>
      <w:numFmt w:val="bullet"/>
      <w:lvlText w:val=""/>
      <w:lvlJc w:val="left"/>
      <w:pPr>
        <w:ind w:left="2160" w:hanging="360"/>
      </w:pPr>
      <w:rPr>
        <w:rFonts w:ascii="Symbol" w:hAnsi="Symbol"/>
      </w:rPr>
    </w:lvl>
    <w:lvl w:ilvl="6" w:tplc="E556A864">
      <w:start w:val="1"/>
      <w:numFmt w:val="bullet"/>
      <w:lvlText w:val=""/>
      <w:lvlJc w:val="left"/>
      <w:pPr>
        <w:ind w:left="2160" w:hanging="360"/>
      </w:pPr>
      <w:rPr>
        <w:rFonts w:ascii="Symbol" w:hAnsi="Symbol"/>
      </w:rPr>
    </w:lvl>
    <w:lvl w:ilvl="7" w:tplc="7734A2C2">
      <w:start w:val="1"/>
      <w:numFmt w:val="bullet"/>
      <w:lvlText w:val=""/>
      <w:lvlJc w:val="left"/>
      <w:pPr>
        <w:ind w:left="2160" w:hanging="360"/>
      </w:pPr>
      <w:rPr>
        <w:rFonts w:ascii="Symbol" w:hAnsi="Symbol"/>
      </w:rPr>
    </w:lvl>
    <w:lvl w:ilvl="8" w:tplc="850A429C">
      <w:start w:val="1"/>
      <w:numFmt w:val="bullet"/>
      <w:lvlText w:val=""/>
      <w:lvlJc w:val="left"/>
      <w:pPr>
        <w:ind w:left="2160" w:hanging="360"/>
      </w:pPr>
      <w:rPr>
        <w:rFonts w:ascii="Symbol" w:hAnsi="Symbol"/>
      </w:rPr>
    </w:lvl>
  </w:abstractNum>
  <w:abstractNum w:abstractNumId="20" w15:restartNumberingAfterBreak="0">
    <w:nsid w:val="458369A3"/>
    <w:multiLevelType w:val="hybridMultilevel"/>
    <w:tmpl w:val="B0D2183C"/>
    <w:lvl w:ilvl="0" w:tplc="12886DE6">
      <w:start w:val="1"/>
      <w:numFmt w:val="bullet"/>
      <w:lvlText w:val=""/>
      <w:lvlJc w:val="left"/>
      <w:pPr>
        <w:ind w:left="1080" w:hanging="360"/>
      </w:pPr>
      <w:rPr>
        <w:rFonts w:ascii="Symbol" w:hAnsi="Symbol"/>
      </w:rPr>
    </w:lvl>
    <w:lvl w:ilvl="1" w:tplc="87AC53C4">
      <w:start w:val="1"/>
      <w:numFmt w:val="bullet"/>
      <w:lvlText w:val=""/>
      <w:lvlJc w:val="left"/>
      <w:pPr>
        <w:ind w:left="1080" w:hanging="360"/>
      </w:pPr>
      <w:rPr>
        <w:rFonts w:ascii="Symbol" w:hAnsi="Symbol"/>
      </w:rPr>
    </w:lvl>
    <w:lvl w:ilvl="2" w:tplc="02967BF8">
      <w:start w:val="1"/>
      <w:numFmt w:val="bullet"/>
      <w:lvlText w:val=""/>
      <w:lvlJc w:val="left"/>
      <w:pPr>
        <w:ind w:left="1080" w:hanging="360"/>
      </w:pPr>
      <w:rPr>
        <w:rFonts w:ascii="Symbol" w:hAnsi="Symbol"/>
      </w:rPr>
    </w:lvl>
    <w:lvl w:ilvl="3" w:tplc="42729008">
      <w:start w:val="1"/>
      <w:numFmt w:val="bullet"/>
      <w:lvlText w:val=""/>
      <w:lvlJc w:val="left"/>
      <w:pPr>
        <w:ind w:left="1080" w:hanging="360"/>
      </w:pPr>
      <w:rPr>
        <w:rFonts w:ascii="Symbol" w:hAnsi="Symbol"/>
      </w:rPr>
    </w:lvl>
    <w:lvl w:ilvl="4" w:tplc="EEDC1F62">
      <w:start w:val="1"/>
      <w:numFmt w:val="bullet"/>
      <w:lvlText w:val=""/>
      <w:lvlJc w:val="left"/>
      <w:pPr>
        <w:ind w:left="1080" w:hanging="360"/>
      </w:pPr>
      <w:rPr>
        <w:rFonts w:ascii="Symbol" w:hAnsi="Symbol"/>
      </w:rPr>
    </w:lvl>
    <w:lvl w:ilvl="5" w:tplc="6FD251BA">
      <w:start w:val="1"/>
      <w:numFmt w:val="bullet"/>
      <w:lvlText w:val=""/>
      <w:lvlJc w:val="left"/>
      <w:pPr>
        <w:ind w:left="1080" w:hanging="360"/>
      </w:pPr>
      <w:rPr>
        <w:rFonts w:ascii="Symbol" w:hAnsi="Symbol"/>
      </w:rPr>
    </w:lvl>
    <w:lvl w:ilvl="6" w:tplc="D4C6314A">
      <w:start w:val="1"/>
      <w:numFmt w:val="bullet"/>
      <w:lvlText w:val=""/>
      <w:lvlJc w:val="left"/>
      <w:pPr>
        <w:ind w:left="1080" w:hanging="360"/>
      </w:pPr>
      <w:rPr>
        <w:rFonts w:ascii="Symbol" w:hAnsi="Symbol"/>
      </w:rPr>
    </w:lvl>
    <w:lvl w:ilvl="7" w:tplc="74E4F2A0">
      <w:start w:val="1"/>
      <w:numFmt w:val="bullet"/>
      <w:lvlText w:val=""/>
      <w:lvlJc w:val="left"/>
      <w:pPr>
        <w:ind w:left="1080" w:hanging="360"/>
      </w:pPr>
      <w:rPr>
        <w:rFonts w:ascii="Symbol" w:hAnsi="Symbol"/>
      </w:rPr>
    </w:lvl>
    <w:lvl w:ilvl="8" w:tplc="6426A55C">
      <w:start w:val="1"/>
      <w:numFmt w:val="bullet"/>
      <w:lvlText w:val=""/>
      <w:lvlJc w:val="left"/>
      <w:pPr>
        <w:ind w:left="1080" w:hanging="360"/>
      </w:pPr>
      <w:rPr>
        <w:rFonts w:ascii="Symbol" w:hAnsi="Symbol"/>
      </w:rPr>
    </w:lvl>
  </w:abstractNum>
  <w:abstractNum w:abstractNumId="21" w15:restartNumberingAfterBreak="0">
    <w:nsid w:val="4CB330D3"/>
    <w:multiLevelType w:val="hybridMultilevel"/>
    <w:tmpl w:val="AF44485A"/>
    <w:lvl w:ilvl="0" w:tplc="F51A7B9C">
      <w:start w:val="1"/>
      <w:numFmt w:val="bullet"/>
      <w:lvlText w:val=""/>
      <w:lvlJc w:val="left"/>
      <w:pPr>
        <w:ind w:left="1020" w:hanging="360"/>
      </w:pPr>
      <w:rPr>
        <w:rFonts w:ascii="Symbol" w:hAnsi="Symbol"/>
      </w:rPr>
    </w:lvl>
    <w:lvl w:ilvl="1" w:tplc="6FD24504">
      <w:start w:val="1"/>
      <w:numFmt w:val="bullet"/>
      <w:lvlText w:val=""/>
      <w:lvlJc w:val="left"/>
      <w:pPr>
        <w:ind w:left="1020" w:hanging="360"/>
      </w:pPr>
      <w:rPr>
        <w:rFonts w:ascii="Symbol" w:hAnsi="Symbol"/>
      </w:rPr>
    </w:lvl>
    <w:lvl w:ilvl="2" w:tplc="1CC2A7D4">
      <w:start w:val="1"/>
      <w:numFmt w:val="bullet"/>
      <w:lvlText w:val=""/>
      <w:lvlJc w:val="left"/>
      <w:pPr>
        <w:ind w:left="1020" w:hanging="360"/>
      </w:pPr>
      <w:rPr>
        <w:rFonts w:ascii="Symbol" w:hAnsi="Symbol"/>
      </w:rPr>
    </w:lvl>
    <w:lvl w:ilvl="3" w:tplc="DB0CF2B8">
      <w:start w:val="1"/>
      <w:numFmt w:val="bullet"/>
      <w:lvlText w:val=""/>
      <w:lvlJc w:val="left"/>
      <w:pPr>
        <w:ind w:left="1020" w:hanging="360"/>
      </w:pPr>
      <w:rPr>
        <w:rFonts w:ascii="Symbol" w:hAnsi="Symbol"/>
      </w:rPr>
    </w:lvl>
    <w:lvl w:ilvl="4" w:tplc="1730EE16">
      <w:start w:val="1"/>
      <w:numFmt w:val="bullet"/>
      <w:lvlText w:val=""/>
      <w:lvlJc w:val="left"/>
      <w:pPr>
        <w:ind w:left="1020" w:hanging="360"/>
      </w:pPr>
      <w:rPr>
        <w:rFonts w:ascii="Symbol" w:hAnsi="Symbol"/>
      </w:rPr>
    </w:lvl>
    <w:lvl w:ilvl="5" w:tplc="628ACC82">
      <w:start w:val="1"/>
      <w:numFmt w:val="bullet"/>
      <w:lvlText w:val=""/>
      <w:lvlJc w:val="left"/>
      <w:pPr>
        <w:ind w:left="1020" w:hanging="360"/>
      </w:pPr>
      <w:rPr>
        <w:rFonts w:ascii="Symbol" w:hAnsi="Symbol"/>
      </w:rPr>
    </w:lvl>
    <w:lvl w:ilvl="6" w:tplc="30662008">
      <w:start w:val="1"/>
      <w:numFmt w:val="bullet"/>
      <w:lvlText w:val=""/>
      <w:lvlJc w:val="left"/>
      <w:pPr>
        <w:ind w:left="1020" w:hanging="360"/>
      </w:pPr>
      <w:rPr>
        <w:rFonts w:ascii="Symbol" w:hAnsi="Symbol"/>
      </w:rPr>
    </w:lvl>
    <w:lvl w:ilvl="7" w:tplc="45BE19DE">
      <w:start w:val="1"/>
      <w:numFmt w:val="bullet"/>
      <w:lvlText w:val=""/>
      <w:lvlJc w:val="left"/>
      <w:pPr>
        <w:ind w:left="1020" w:hanging="360"/>
      </w:pPr>
      <w:rPr>
        <w:rFonts w:ascii="Symbol" w:hAnsi="Symbol"/>
      </w:rPr>
    </w:lvl>
    <w:lvl w:ilvl="8" w:tplc="E2B4CEDC">
      <w:start w:val="1"/>
      <w:numFmt w:val="bullet"/>
      <w:lvlText w:val=""/>
      <w:lvlJc w:val="left"/>
      <w:pPr>
        <w:ind w:left="1020" w:hanging="360"/>
      </w:pPr>
      <w:rPr>
        <w:rFonts w:ascii="Symbol" w:hAnsi="Symbol"/>
      </w:rPr>
    </w:lvl>
  </w:abstractNum>
  <w:abstractNum w:abstractNumId="22" w15:restartNumberingAfterBreak="0">
    <w:nsid w:val="4E876631"/>
    <w:multiLevelType w:val="hybridMultilevel"/>
    <w:tmpl w:val="8A626298"/>
    <w:lvl w:ilvl="0" w:tplc="D32A8182">
      <w:start w:val="1"/>
      <w:numFmt w:val="bullet"/>
      <w:lvlText w:val=""/>
      <w:lvlJc w:val="left"/>
      <w:pPr>
        <w:ind w:left="1080" w:hanging="360"/>
      </w:pPr>
      <w:rPr>
        <w:rFonts w:ascii="Symbol" w:hAnsi="Symbol"/>
      </w:rPr>
    </w:lvl>
    <w:lvl w:ilvl="1" w:tplc="C6949622">
      <w:start w:val="1"/>
      <w:numFmt w:val="bullet"/>
      <w:lvlText w:val=""/>
      <w:lvlJc w:val="left"/>
      <w:pPr>
        <w:ind w:left="1080" w:hanging="360"/>
      </w:pPr>
      <w:rPr>
        <w:rFonts w:ascii="Symbol" w:hAnsi="Symbol"/>
      </w:rPr>
    </w:lvl>
    <w:lvl w:ilvl="2" w:tplc="12549D1A">
      <w:start w:val="1"/>
      <w:numFmt w:val="bullet"/>
      <w:lvlText w:val=""/>
      <w:lvlJc w:val="left"/>
      <w:pPr>
        <w:ind w:left="1080" w:hanging="360"/>
      </w:pPr>
      <w:rPr>
        <w:rFonts w:ascii="Symbol" w:hAnsi="Symbol"/>
      </w:rPr>
    </w:lvl>
    <w:lvl w:ilvl="3" w:tplc="95B4C486">
      <w:start w:val="1"/>
      <w:numFmt w:val="bullet"/>
      <w:lvlText w:val=""/>
      <w:lvlJc w:val="left"/>
      <w:pPr>
        <w:ind w:left="1080" w:hanging="360"/>
      </w:pPr>
      <w:rPr>
        <w:rFonts w:ascii="Symbol" w:hAnsi="Symbol"/>
      </w:rPr>
    </w:lvl>
    <w:lvl w:ilvl="4" w:tplc="D9CCF9DE">
      <w:start w:val="1"/>
      <w:numFmt w:val="bullet"/>
      <w:lvlText w:val=""/>
      <w:lvlJc w:val="left"/>
      <w:pPr>
        <w:ind w:left="1080" w:hanging="360"/>
      </w:pPr>
      <w:rPr>
        <w:rFonts w:ascii="Symbol" w:hAnsi="Symbol"/>
      </w:rPr>
    </w:lvl>
    <w:lvl w:ilvl="5" w:tplc="840AEAC0">
      <w:start w:val="1"/>
      <w:numFmt w:val="bullet"/>
      <w:lvlText w:val=""/>
      <w:lvlJc w:val="left"/>
      <w:pPr>
        <w:ind w:left="1080" w:hanging="360"/>
      </w:pPr>
      <w:rPr>
        <w:rFonts w:ascii="Symbol" w:hAnsi="Symbol"/>
      </w:rPr>
    </w:lvl>
    <w:lvl w:ilvl="6" w:tplc="4D227532">
      <w:start w:val="1"/>
      <w:numFmt w:val="bullet"/>
      <w:lvlText w:val=""/>
      <w:lvlJc w:val="left"/>
      <w:pPr>
        <w:ind w:left="1080" w:hanging="360"/>
      </w:pPr>
      <w:rPr>
        <w:rFonts w:ascii="Symbol" w:hAnsi="Symbol"/>
      </w:rPr>
    </w:lvl>
    <w:lvl w:ilvl="7" w:tplc="99AE1048">
      <w:start w:val="1"/>
      <w:numFmt w:val="bullet"/>
      <w:lvlText w:val=""/>
      <w:lvlJc w:val="left"/>
      <w:pPr>
        <w:ind w:left="1080" w:hanging="360"/>
      </w:pPr>
      <w:rPr>
        <w:rFonts w:ascii="Symbol" w:hAnsi="Symbol"/>
      </w:rPr>
    </w:lvl>
    <w:lvl w:ilvl="8" w:tplc="14FEA544">
      <w:start w:val="1"/>
      <w:numFmt w:val="bullet"/>
      <w:lvlText w:val=""/>
      <w:lvlJc w:val="left"/>
      <w:pPr>
        <w:ind w:left="1080" w:hanging="360"/>
      </w:pPr>
      <w:rPr>
        <w:rFonts w:ascii="Symbol" w:hAnsi="Symbol"/>
      </w:rPr>
    </w:lvl>
  </w:abstractNum>
  <w:abstractNum w:abstractNumId="23" w15:restartNumberingAfterBreak="0">
    <w:nsid w:val="513A5410"/>
    <w:multiLevelType w:val="hybridMultilevel"/>
    <w:tmpl w:val="67D60D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25D7A08"/>
    <w:multiLevelType w:val="hybridMultilevel"/>
    <w:tmpl w:val="BCC45E1A"/>
    <w:lvl w:ilvl="0" w:tplc="920A1FDA">
      <w:start w:val="1"/>
      <w:numFmt w:val="bullet"/>
      <w:lvlText w:val=""/>
      <w:lvlJc w:val="left"/>
      <w:pPr>
        <w:ind w:left="1800" w:hanging="360"/>
      </w:pPr>
      <w:rPr>
        <w:rFonts w:ascii="Symbol" w:hAnsi="Symbol"/>
      </w:rPr>
    </w:lvl>
    <w:lvl w:ilvl="1" w:tplc="55D8B514">
      <w:start w:val="1"/>
      <w:numFmt w:val="bullet"/>
      <w:lvlText w:val=""/>
      <w:lvlJc w:val="left"/>
      <w:pPr>
        <w:ind w:left="1800" w:hanging="360"/>
      </w:pPr>
      <w:rPr>
        <w:rFonts w:ascii="Symbol" w:hAnsi="Symbol"/>
      </w:rPr>
    </w:lvl>
    <w:lvl w:ilvl="2" w:tplc="33801B4C">
      <w:start w:val="1"/>
      <w:numFmt w:val="bullet"/>
      <w:lvlText w:val=""/>
      <w:lvlJc w:val="left"/>
      <w:pPr>
        <w:ind w:left="1800" w:hanging="360"/>
      </w:pPr>
      <w:rPr>
        <w:rFonts w:ascii="Symbol" w:hAnsi="Symbol"/>
      </w:rPr>
    </w:lvl>
    <w:lvl w:ilvl="3" w:tplc="7C02C69E">
      <w:start w:val="1"/>
      <w:numFmt w:val="bullet"/>
      <w:lvlText w:val=""/>
      <w:lvlJc w:val="left"/>
      <w:pPr>
        <w:ind w:left="1800" w:hanging="360"/>
      </w:pPr>
      <w:rPr>
        <w:rFonts w:ascii="Symbol" w:hAnsi="Symbol"/>
      </w:rPr>
    </w:lvl>
    <w:lvl w:ilvl="4" w:tplc="4670C4FC">
      <w:start w:val="1"/>
      <w:numFmt w:val="bullet"/>
      <w:lvlText w:val=""/>
      <w:lvlJc w:val="left"/>
      <w:pPr>
        <w:ind w:left="1800" w:hanging="360"/>
      </w:pPr>
      <w:rPr>
        <w:rFonts w:ascii="Symbol" w:hAnsi="Symbol"/>
      </w:rPr>
    </w:lvl>
    <w:lvl w:ilvl="5" w:tplc="7EA63E90">
      <w:start w:val="1"/>
      <w:numFmt w:val="bullet"/>
      <w:lvlText w:val=""/>
      <w:lvlJc w:val="left"/>
      <w:pPr>
        <w:ind w:left="1800" w:hanging="360"/>
      </w:pPr>
      <w:rPr>
        <w:rFonts w:ascii="Symbol" w:hAnsi="Symbol"/>
      </w:rPr>
    </w:lvl>
    <w:lvl w:ilvl="6" w:tplc="A96C26CE">
      <w:start w:val="1"/>
      <w:numFmt w:val="bullet"/>
      <w:lvlText w:val=""/>
      <w:lvlJc w:val="left"/>
      <w:pPr>
        <w:ind w:left="1800" w:hanging="360"/>
      </w:pPr>
      <w:rPr>
        <w:rFonts w:ascii="Symbol" w:hAnsi="Symbol"/>
      </w:rPr>
    </w:lvl>
    <w:lvl w:ilvl="7" w:tplc="2772BEB6">
      <w:start w:val="1"/>
      <w:numFmt w:val="bullet"/>
      <w:lvlText w:val=""/>
      <w:lvlJc w:val="left"/>
      <w:pPr>
        <w:ind w:left="1800" w:hanging="360"/>
      </w:pPr>
      <w:rPr>
        <w:rFonts w:ascii="Symbol" w:hAnsi="Symbol"/>
      </w:rPr>
    </w:lvl>
    <w:lvl w:ilvl="8" w:tplc="D76E2EBC">
      <w:start w:val="1"/>
      <w:numFmt w:val="bullet"/>
      <w:lvlText w:val=""/>
      <w:lvlJc w:val="left"/>
      <w:pPr>
        <w:ind w:left="1800" w:hanging="360"/>
      </w:pPr>
      <w:rPr>
        <w:rFonts w:ascii="Symbol" w:hAnsi="Symbol"/>
      </w:rPr>
    </w:lvl>
  </w:abstractNum>
  <w:abstractNum w:abstractNumId="25" w15:restartNumberingAfterBreak="0">
    <w:nsid w:val="5DFD1048"/>
    <w:multiLevelType w:val="hybridMultilevel"/>
    <w:tmpl w:val="764A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A5365C"/>
    <w:multiLevelType w:val="hybridMultilevel"/>
    <w:tmpl w:val="4B7E8222"/>
    <w:lvl w:ilvl="0" w:tplc="C40EF158">
      <w:start w:val="1"/>
      <w:numFmt w:val="bullet"/>
      <w:lvlText w:val=""/>
      <w:lvlJc w:val="left"/>
      <w:pPr>
        <w:ind w:left="720" w:hanging="360"/>
      </w:pPr>
      <w:rPr>
        <w:rFonts w:ascii="Symbol" w:hAnsi="Symbol"/>
      </w:rPr>
    </w:lvl>
    <w:lvl w:ilvl="1" w:tplc="4AA4ED90">
      <w:start w:val="1"/>
      <w:numFmt w:val="bullet"/>
      <w:lvlText w:val=""/>
      <w:lvlJc w:val="left"/>
      <w:pPr>
        <w:ind w:left="720" w:hanging="360"/>
      </w:pPr>
      <w:rPr>
        <w:rFonts w:ascii="Symbol" w:hAnsi="Symbol"/>
      </w:rPr>
    </w:lvl>
    <w:lvl w:ilvl="2" w:tplc="6F5C8418">
      <w:start w:val="1"/>
      <w:numFmt w:val="bullet"/>
      <w:lvlText w:val=""/>
      <w:lvlJc w:val="left"/>
      <w:pPr>
        <w:ind w:left="720" w:hanging="360"/>
      </w:pPr>
      <w:rPr>
        <w:rFonts w:ascii="Symbol" w:hAnsi="Symbol"/>
      </w:rPr>
    </w:lvl>
    <w:lvl w:ilvl="3" w:tplc="05806932">
      <w:start w:val="1"/>
      <w:numFmt w:val="bullet"/>
      <w:lvlText w:val=""/>
      <w:lvlJc w:val="left"/>
      <w:pPr>
        <w:ind w:left="720" w:hanging="360"/>
      </w:pPr>
      <w:rPr>
        <w:rFonts w:ascii="Symbol" w:hAnsi="Symbol"/>
      </w:rPr>
    </w:lvl>
    <w:lvl w:ilvl="4" w:tplc="0F84A466">
      <w:start w:val="1"/>
      <w:numFmt w:val="bullet"/>
      <w:lvlText w:val=""/>
      <w:lvlJc w:val="left"/>
      <w:pPr>
        <w:ind w:left="720" w:hanging="360"/>
      </w:pPr>
      <w:rPr>
        <w:rFonts w:ascii="Symbol" w:hAnsi="Symbol"/>
      </w:rPr>
    </w:lvl>
    <w:lvl w:ilvl="5" w:tplc="8EC21584">
      <w:start w:val="1"/>
      <w:numFmt w:val="bullet"/>
      <w:lvlText w:val=""/>
      <w:lvlJc w:val="left"/>
      <w:pPr>
        <w:ind w:left="720" w:hanging="360"/>
      </w:pPr>
      <w:rPr>
        <w:rFonts w:ascii="Symbol" w:hAnsi="Symbol"/>
      </w:rPr>
    </w:lvl>
    <w:lvl w:ilvl="6" w:tplc="D14E2C4C">
      <w:start w:val="1"/>
      <w:numFmt w:val="bullet"/>
      <w:lvlText w:val=""/>
      <w:lvlJc w:val="left"/>
      <w:pPr>
        <w:ind w:left="720" w:hanging="360"/>
      </w:pPr>
      <w:rPr>
        <w:rFonts w:ascii="Symbol" w:hAnsi="Symbol"/>
      </w:rPr>
    </w:lvl>
    <w:lvl w:ilvl="7" w:tplc="E3582B60">
      <w:start w:val="1"/>
      <w:numFmt w:val="bullet"/>
      <w:lvlText w:val=""/>
      <w:lvlJc w:val="left"/>
      <w:pPr>
        <w:ind w:left="720" w:hanging="360"/>
      </w:pPr>
      <w:rPr>
        <w:rFonts w:ascii="Symbol" w:hAnsi="Symbol"/>
      </w:rPr>
    </w:lvl>
    <w:lvl w:ilvl="8" w:tplc="55947854">
      <w:start w:val="1"/>
      <w:numFmt w:val="bullet"/>
      <w:lvlText w:val=""/>
      <w:lvlJc w:val="left"/>
      <w:pPr>
        <w:ind w:left="720" w:hanging="360"/>
      </w:pPr>
      <w:rPr>
        <w:rFonts w:ascii="Symbol" w:hAnsi="Symbol"/>
      </w:rPr>
    </w:lvl>
  </w:abstractNum>
  <w:abstractNum w:abstractNumId="27" w15:restartNumberingAfterBreak="0">
    <w:nsid w:val="60043BFE"/>
    <w:multiLevelType w:val="hybridMultilevel"/>
    <w:tmpl w:val="A4D4EF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1542607"/>
    <w:multiLevelType w:val="hybridMultilevel"/>
    <w:tmpl w:val="33C80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AA1512"/>
    <w:multiLevelType w:val="hybridMultilevel"/>
    <w:tmpl w:val="12907AAA"/>
    <w:lvl w:ilvl="0" w:tplc="33D4BCDA">
      <w:start w:val="1"/>
      <w:numFmt w:val="bullet"/>
      <w:lvlText w:val=""/>
      <w:lvlJc w:val="left"/>
      <w:pPr>
        <w:ind w:left="1440" w:hanging="360"/>
      </w:pPr>
      <w:rPr>
        <w:rFonts w:ascii="Symbol" w:hAnsi="Symbol"/>
      </w:rPr>
    </w:lvl>
    <w:lvl w:ilvl="1" w:tplc="896444C8">
      <w:start w:val="1"/>
      <w:numFmt w:val="bullet"/>
      <w:lvlText w:val=""/>
      <w:lvlJc w:val="left"/>
      <w:pPr>
        <w:ind w:left="1440" w:hanging="360"/>
      </w:pPr>
      <w:rPr>
        <w:rFonts w:ascii="Symbol" w:hAnsi="Symbol"/>
      </w:rPr>
    </w:lvl>
    <w:lvl w:ilvl="2" w:tplc="2CC88086">
      <w:start w:val="1"/>
      <w:numFmt w:val="bullet"/>
      <w:lvlText w:val=""/>
      <w:lvlJc w:val="left"/>
      <w:pPr>
        <w:ind w:left="1440" w:hanging="360"/>
      </w:pPr>
      <w:rPr>
        <w:rFonts w:ascii="Symbol" w:hAnsi="Symbol"/>
      </w:rPr>
    </w:lvl>
    <w:lvl w:ilvl="3" w:tplc="048A7214">
      <w:start w:val="1"/>
      <w:numFmt w:val="bullet"/>
      <w:lvlText w:val=""/>
      <w:lvlJc w:val="left"/>
      <w:pPr>
        <w:ind w:left="1440" w:hanging="360"/>
      </w:pPr>
      <w:rPr>
        <w:rFonts w:ascii="Symbol" w:hAnsi="Symbol"/>
      </w:rPr>
    </w:lvl>
    <w:lvl w:ilvl="4" w:tplc="08B4363C">
      <w:start w:val="1"/>
      <w:numFmt w:val="bullet"/>
      <w:lvlText w:val=""/>
      <w:lvlJc w:val="left"/>
      <w:pPr>
        <w:ind w:left="1440" w:hanging="360"/>
      </w:pPr>
      <w:rPr>
        <w:rFonts w:ascii="Symbol" w:hAnsi="Symbol"/>
      </w:rPr>
    </w:lvl>
    <w:lvl w:ilvl="5" w:tplc="0E9A8C98">
      <w:start w:val="1"/>
      <w:numFmt w:val="bullet"/>
      <w:lvlText w:val=""/>
      <w:lvlJc w:val="left"/>
      <w:pPr>
        <w:ind w:left="1440" w:hanging="360"/>
      </w:pPr>
      <w:rPr>
        <w:rFonts w:ascii="Symbol" w:hAnsi="Symbol"/>
      </w:rPr>
    </w:lvl>
    <w:lvl w:ilvl="6" w:tplc="1C9CDD88">
      <w:start w:val="1"/>
      <w:numFmt w:val="bullet"/>
      <w:lvlText w:val=""/>
      <w:lvlJc w:val="left"/>
      <w:pPr>
        <w:ind w:left="1440" w:hanging="360"/>
      </w:pPr>
      <w:rPr>
        <w:rFonts w:ascii="Symbol" w:hAnsi="Symbol"/>
      </w:rPr>
    </w:lvl>
    <w:lvl w:ilvl="7" w:tplc="2E3C3330">
      <w:start w:val="1"/>
      <w:numFmt w:val="bullet"/>
      <w:lvlText w:val=""/>
      <w:lvlJc w:val="left"/>
      <w:pPr>
        <w:ind w:left="1440" w:hanging="360"/>
      </w:pPr>
      <w:rPr>
        <w:rFonts w:ascii="Symbol" w:hAnsi="Symbol"/>
      </w:rPr>
    </w:lvl>
    <w:lvl w:ilvl="8" w:tplc="2AEAD16A">
      <w:start w:val="1"/>
      <w:numFmt w:val="bullet"/>
      <w:lvlText w:val=""/>
      <w:lvlJc w:val="left"/>
      <w:pPr>
        <w:ind w:left="1440" w:hanging="360"/>
      </w:pPr>
      <w:rPr>
        <w:rFonts w:ascii="Symbol" w:hAnsi="Symbol"/>
      </w:rPr>
    </w:lvl>
  </w:abstractNum>
  <w:abstractNum w:abstractNumId="30" w15:restartNumberingAfterBreak="0">
    <w:nsid w:val="61DB5851"/>
    <w:multiLevelType w:val="hybridMultilevel"/>
    <w:tmpl w:val="A69EAB72"/>
    <w:lvl w:ilvl="0" w:tplc="B1569CB8">
      <w:start w:val="1"/>
      <w:numFmt w:val="bullet"/>
      <w:lvlText w:val=""/>
      <w:lvlJc w:val="left"/>
      <w:pPr>
        <w:ind w:left="1020" w:hanging="360"/>
      </w:pPr>
      <w:rPr>
        <w:rFonts w:ascii="Symbol" w:hAnsi="Symbol"/>
      </w:rPr>
    </w:lvl>
    <w:lvl w:ilvl="1" w:tplc="A448EA38">
      <w:start w:val="1"/>
      <w:numFmt w:val="bullet"/>
      <w:lvlText w:val=""/>
      <w:lvlJc w:val="left"/>
      <w:pPr>
        <w:ind w:left="1020" w:hanging="360"/>
      </w:pPr>
      <w:rPr>
        <w:rFonts w:ascii="Symbol" w:hAnsi="Symbol"/>
      </w:rPr>
    </w:lvl>
    <w:lvl w:ilvl="2" w:tplc="E90AA878">
      <w:start w:val="1"/>
      <w:numFmt w:val="bullet"/>
      <w:lvlText w:val=""/>
      <w:lvlJc w:val="left"/>
      <w:pPr>
        <w:ind w:left="1020" w:hanging="360"/>
      </w:pPr>
      <w:rPr>
        <w:rFonts w:ascii="Symbol" w:hAnsi="Symbol"/>
      </w:rPr>
    </w:lvl>
    <w:lvl w:ilvl="3" w:tplc="8CA0602A">
      <w:start w:val="1"/>
      <w:numFmt w:val="bullet"/>
      <w:lvlText w:val=""/>
      <w:lvlJc w:val="left"/>
      <w:pPr>
        <w:ind w:left="1020" w:hanging="360"/>
      </w:pPr>
      <w:rPr>
        <w:rFonts w:ascii="Symbol" w:hAnsi="Symbol"/>
      </w:rPr>
    </w:lvl>
    <w:lvl w:ilvl="4" w:tplc="9D86B6CC">
      <w:start w:val="1"/>
      <w:numFmt w:val="bullet"/>
      <w:lvlText w:val=""/>
      <w:lvlJc w:val="left"/>
      <w:pPr>
        <w:ind w:left="1020" w:hanging="360"/>
      </w:pPr>
      <w:rPr>
        <w:rFonts w:ascii="Symbol" w:hAnsi="Symbol"/>
      </w:rPr>
    </w:lvl>
    <w:lvl w:ilvl="5" w:tplc="1F660A04">
      <w:start w:val="1"/>
      <w:numFmt w:val="bullet"/>
      <w:lvlText w:val=""/>
      <w:lvlJc w:val="left"/>
      <w:pPr>
        <w:ind w:left="1020" w:hanging="360"/>
      </w:pPr>
      <w:rPr>
        <w:rFonts w:ascii="Symbol" w:hAnsi="Symbol"/>
      </w:rPr>
    </w:lvl>
    <w:lvl w:ilvl="6" w:tplc="A8100828">
      <w:start w:val="1"/>
      <w:numFmt w:val="bullet"/>
      <w:lvlText w:val=""/>
      <w:lvlJc w:val="left"/>
      <w:pPr>
        <w:ind w:left="1020" w:hanging="360"/>
      </w:pPr>
      <w:rPr>
        <w:rFonts w:ascii="Symbol" w:hAnsi="Symbol"/>
      </w:rPr>
    </w:lvl>
    <w:lvl w:ilvl="7" w:tplc="5CF49616">
      <w:start w:val="1"/>
      <w:numFmt w:val="bullet"/>
      <w:lvlText w:val=""/>
      <w:lvlJc w:val="left"/>
      <w:pPr>
        <w:ind w:left="1020" w:hanging="360"/>
      </w:pPr>
      <w:rPr>
        <w:rFonts w:ascii="Symbol" w:hAnsi="Symbol"/>
      </w:rPr>
    </w:lvl>
    <w:lvl w:ilvl="8" w:tplc="3A4A928E">
      <w:start w:val="1"/>
      <w:numFmt w:val="bullet"/>
      <w:lvlText w:val=""/>
      <w:lvlJc w:val="left"/>
      <w:pPr>
        <w:ind w:left="1020" w:hanging="360"/>
      </w:pPr>
      <w:rPr>
        <w:rFonts w:ascii="Symbol" w:hAnsi="Symbol"/>
      </w:r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5844CB5"/>
    <w:multiLevelType w:val="hybridMultilevel"/>
    <w:tmpl w:val="FDCAF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BA27F3"/>
    <w:multiLevelType w:val="hybridMultilevel"/>
    <w:tmpl w:val="A324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E1E1B"/>
    <w:multiLevelType w:val="hybridMultilevel"/>
    <w:tmpl w:val="4E9AC4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FFE2974"/>
    <w:multiLevelType w:val="hybridMultilevel"/>
    <w:tmpl w:val="1136916A"/>
    <w:lvl w:ilvl="0" w:tplc="F892819C">
      <w:start w:val="1"/>
      <w:numFmt w:val="bullet"/>
      <w:lvlText w:val=""/>
      <w:lvlJc w:val="left"/>
      <w:pPr>
        <w:ind w:left="1020" w:hanging="360"/>
      </w:pPr>
      <w:rPr>
        <w:rFonts w:ascii="Symbol" w:hAnsi="Symbol"/>
      </w:rPr>
    </w:lvl>
    <w:lvl w:ilvl="1" w:tplc="B43A929E">
      <w:start w:val="1"/>
      <w:numFmt w:val="bullet"/>
      <w:lvlText w:val=""/>
      <w:lvlJc w:val="left"/>
      <w:pPr>
        <w:ind w:left="1020" w:hanging="360"/>
      </w:pPr>
      <w:rPr>
        <w:rFonts w:ascii="Symbol" w:hAnsi="Symbol"/>
      </w:rPr>
    </w:lvl>
    <w:lvl w:ilvl="2" w:tplc="3D9CF620">
      <w:start w:val="1"/>
      <w:numFmt w:val="bullet"/>
      <w:lvlText w:val=""/>
      <w:lvlJc w:val="left"/>
      <w:pPr>
        <w:ind w:left="1020" w:hanging="360"/>
      </w:pPr>
      <w:rPr>
        <w:rFonts w:ascii="Symbol" w:hAnsi="Symbol"/>
      </w:rPr>
    </w:lvl>
    <w:lvl w:ilvl="3" w:tplc="C23C22B0">
      <w:start w:val="1"/>
      <w:numFmt w:val="bullet"/>
      <w:lvlText w:val=""/>
      <w:lvlJc w:val="left"/>
      <w:pPr>
        <w:ind w:left="1020" w:hanging="360"/>
      </w:pPr>
      <w:rPr>
        <w:rFonts w:ascii="Symbol" w:hAnsi="Symbol"/>
      </w:rPr>
    </w:lvl>
    <w:lvl w:ilvl="4" w:tplc="35EC05B0">
      <w:start w:val="1"/>
      <w:numFmt w:val="bullet"/>
      <w:lvlText w:val=""/>
      <w:lvlJc w:val="left"/>
      <w:pPr>
        <w:ind w:left="1020" w:hanging="360"/>
      </w:pPr>
      <w:rPr>
        <w:rFonts w:ascii="Symbol" w:hAnsi="Symbol"/>
      </w:rPr>
    </w:lvl>
    <w:lvl w:ilvl="5" w:tplc="95E4DAEC">
      <w:start w:val="1"/>
      <w:numFmt w:val="bullet"/>
      <w:lvlText w:val=""/>
      <w:lvlJc w:val="left"/>
      <w:pPr>
        <w:ind w:left="1020" w:hanging="360"/>
      </w:pPr>
      <w:rPr>
        <w:rFonts w:ascii="Symbol" w:hAnsi="Symbol"/>
      </w:rPr>
    </w:lvl>
    <w:lvl w:ilvl="6" w:tplc="47A29260">
      <w:start w:val="1"/>
      <w:numFmt w:val="bullet"/>
      <w:lvlText w:val=""/>
      <w:lvlJc w:val="left"/>
      <w:pPr>
        <w:ind w:left="1020" w:hanging="360"/>
      </w:pPr>
      <w:rPr>
        <w:rFonts w:ascii="Symbol" w:hAnsi="Symbol"/>
      </w:rPr>
    </w:lvl>
    <w:lvl w:ilvl="7" w:tplc="1642600C">
      <w:start w:val="1"/>
      <w:numFmt w:val="bullet"/>
      <w:lvlText w:val=""/>
      <w:lvlJc w:val="left"/>
      <w:pPr>
        <w:ind w:left="1020" w:hanging="360"/>
      </w:pPr>
      <w:rPr>
        <w:rFonts w:ascii="Symbol" w:hAnsi="Symbol"/>
      </w:rPr>
    </w:lvl>
    <w:lvl w:ilvl="8" w:tplc="0F1CEDA6">
      <w:start w:val="1"/>
      <w:numFmt w:val="bullet"/>
      <w:lvlText w:val=""/>
      <w:lvlJc w:val="left"/>
      <w:pPr>
        <w:ind w:left="1020" w:hanging="360"/>
      </w:pPr>
      <w:rPr>
        <w:rFonts w:ascii="Symbol" w:hAnsi="Symbol"/>
      </w:rPr>
    </w:lvl>
  </w:abstractNum>
  <w:abstractNum w:abstractNumId="36" w15:restartNumberingAfterBreak="0">
    <w:nsid w:val="71E95440"/>
    <w:multiLevelType w:val="hybridMultilevel"/>
    <w:tmpl w:val="80907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4D033C"/>
    <w:multiLevelType w:val="multilevel"/>
    <w:tmpl w:val="EB06EF7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287"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8A25F5"/>
    <w:multiLevelType w:val="hybridMultilevel"/>
    <w:tmpl w:val="C5F4DAA0"/>
    <w:lvl w:ilvl="0" w:tplc="C8A01844">
      <w:start w:val="1"/>
      <w:numFmt w:val="bullet"/>
      <w:lvlText w:val=""/>
      <w:lvlJc w:val="left"/>
      <w:pPr>
        <w:ind w:left="1440" w:hanging="360"/>
      </w:pPr>
      <w:rPr>
        <w:rFonts w:ascii="Symbol" w:hAnsi="Symbol"/>
      </w:rPr>
    </w:lvl>
    <w:lvl w:ilvl="1" w:tplc="5C523840">
      <w:start w:val="1"/>
      <w:numFmt w:val="bullet"/>
      <w:lvlText w:val=""/>
      <w:lvlJc w:val="left"/>
      <w:pPr>
        <w:ind w:left="1440" w:hanging="360"/>
      </w:pPr>
      <w:rPr>
        <w:rFonts w:ascii="Symbol" w:hAnsi="Symbol"/>
      </w:rPr>
    </w:lvl>
    <w:lvl w:ilvl="2" w:tplc="616A9962">
      <w:start w:val="1"/>
      <w:numFmt w:val="bullet"/>
      <w:lvlText w:val=""/>
      <w:lvlJc w:val="left"/>
      <w:pPr>
        <w:ind w:left="1440" w:hanging="360"/>
      </w:pPr>
      <w:rPr>
        <w:rFonts w:ascii="Symbol" w:hAnsi="Symbol"/>
      </w:rPr>
    </w:lvl>
    <w:lvl w:ilvl="3" w:tplc="B51805F4">
      <w:start w:val="1"/>
      <w:numFmt w:val="bullet"/>
      <w:lvlText w:val=""/>
      <w:lvlJc w:val="left"/>
      <w:pPr>
        <w:ind w:left="1440" w:hanging="360"/>
      </w:pPr>
      <w:rPr>
        <w:rFonts w:ascii="Symbol" w:hAnsi="Symbol"/>
      </w:rPr>
    </w:lvl>
    <w:lvl w:ilvl="4" w:tplc="D09C9E52">
      <w:start w:val="1"/>
      <w:numFmt w:val="bullet"/>
      <w:lvlText w:val=""/>
      <w:lvlJc w:val="left"/>
      <w:pPr>
        <w:ind w:left="1440" w:hanging="360"/>
      </w:pPr>
      <w:rPr>
        <w:rFonts w:ascii="Symbol" w:hAnsi="Symbol"/>
      </w:rPr>
    </w:lvl>
    <w:lvl w:ilvl="5" w:tplc="34CE1F14">
      <w:start w:val="1"/>
      <w:numFmt w:val="bullet"/>
      <w:lvlText w:val=""/>
      <w:lvlJc w:val="left"/>
      <w:pPr>
        <w:ind w:left="1440" w:hanging="360"/>
      </w:pPr>
      <w:rPr>
        <w:rFonts w:ascii="Symbol" w:hAnsi="Symbol"/>
      </w:rPr>
    </w:lvl>
    <w:lvl w:ilvl="6" w:tplc="9CE461DC">
      <w:start w:val="1"/>
      <w:numFmt w:val="bullet"/>
      <w:lvlText w:val=""/>
      <w:lvlJc w:val="left"/>
      <w:pPr>
        <w:ind w:left="1440" w:hanging="360"/>
      </w:pPr>
      <w:rPr>
        <w:rFonts w:ascii="Symbol" w:hAnsi="Symbol"/>
      </w:rPr>
    </w:lvl>
    <w:lvl w:ilvl="7" w:tplc="8B90931E">
      <w:start w:val="1"/>
      <w:numFmt w:val="bullet"/>
      <w:lvlText w:val=""/>
      <w:lvlJc w:val="left"/>
      <w:pPr>
        <w:ind w:left="1440" w:hanging="360"/>
      </w:pPr>
      <w:rPr>
        <w:rFonts w:ascii="Symbol" w:hAnsi="Symbol"/>
      </w:rPr>
    </w:lvl>
    <w:lvl w:ilvl="8" w:tplc="50809C42">
      <w:start w:val="1"/>
      <w:numFmt w:val="bullet"/>
      <w:lvlText w:val=""/>
      <w:lvlJc w:val="left"/>
      <w:pPr>
        <w:ind w:left="1440" w:hanging="360"/>
      </w:pPr>
      <w:rPr>
        <w:rFonts w:ascii="Symbol" w:hAnsi="Symbol"/>
      </w:rPr>
    </w:lvl>
  </w:abstractNum>
  <w:num w:numId="1" w16cid:durableId="816186631">
    <w:abstractNumId w:val="37"/>
  </w:num>
  <w:num w:numId="2" w16cid:durableId="917793048">
    <w:abstractNumId w:val="18"/>
  </w:num>
  <w:num w:numId="3" w16cid:durableId="263461728">
    <w:abstractNumId w:val="0"/>
  </w:num>
  <w:num w:numId="4" w16cid:durableId="220360847">
    <w:abstractNumId w:val="31"/>
  </w:num>
  <w:num w:numId="5" w16cid:durableId="268196418">
    <w:abstractNumId w:val="12"/>
  </w:num>
  <w:num w:numId="6" w16cid:durableId="1751079183">
    <w:abstractNumId w:val="28"/>
  </w:num>
  <w:num w:numId="7" w16cid:durableId="893615985">
    <w:abstractNumId w:val="36"/>
  </w:num>
  <w:num w:numId="8" w16cid:durableId="1035080061">
    <w:abstractNumId w:val="7"/>
  </w:num>
  <w:num w:numId="9" w16cid:durableId="133110256">
    <w:abstractNumId w:val="16"/>
  </w:num>
  <w:num w:numId="10" w16cid:durableId="344601428">
    <w:abstractNumId w:val="33"/>
  </w:num>
  <w:num w:numId="11" w16cid:durableId="718285207">
    <w:abstractNumId w:val="15"/>
  </w:num>
  <w:num w:numId="12" w16cid:durableId="1975020845">
    <w:abstractNumId w:val="9"/>
  </w:num>
  <w:num w:numId="13" w16cid:durableId="483159353">
    <w:abstractNumId w:val="27"/>
  </w:num>
  <w:num w:numId="14" w16cid:durableId="696391183">
    <w:abstractNumId w:val="32"/>
  </w:num>
  <w:num w:numId="15" w16cid:durableId="1996836618">
    <w:abstractNumId w:val="3"/>
  </w:num>
  <w:num w:numId="16" w16cid:durableId="1480682509">
    <w:abstractNumId w:val="34"/>
  </w:num>
  <w:num w:numId="17" w16cid:durableId="723794502">
    <w:abstractNumId w:val="25"/>
  </w:num>
  <w:num w:numId="18" w16cid:durableId="991524369">
    <w:abstractNumId w:val="13"/>
  </w:num>
  <w:num w:numId="19" w16cid:durableId="486553414">
    <w:abstractNumId w:val="17"/>
  </w:num>
  <w:num w:numId="20" w16cid:durableId="376585390">
    <w:abstractNumId w:val="11"/>
  </w:num>
  <w:num w:numId="21" w16cid:durableId="339242615">
    <w:abstractNumId w:val="38"/>
  </w:num>
  <w:num w:numId="22" w16cid:durableId="928350088">
    <w:abstractNumId w:val="29"/>
  </w:num>
  <w:num w:numId="23" w16cid:durableId="592979473">
    <w:abstractNumId w:val="20"/>
  </w:num>
  <w:num w:numId="24" w16cid:durableId="918826374">
    <w:abstractNumId w:val="24"/>
  </w:num>
  <w:num w:numId="25" w16cid:durableId="1418747392">
    <w:abstractNumId w:val="10"/>
  </w:num>
  <w:num w:numId="26" w16cid:durableId="1991715311">
    <w:abstractNumId w:val="1"/>
  </w:num>
  <w:num w:numId="27" w16cid:durableId="1429040980">
    <w:abstractNumId w:val="22"/>
  </w:num>
  <w:num w:numId="28" w16cid:durableId="1220242887">
    <w:abstractNumId w:val="8"/>
  </w:num>
  <w:num w:numId="29" w16cid:durableId="655576920">
    <w:abstractNumId w:val="2"/>
  </w:num>
  <w:num w:numId="30" w16cid:durableId="1209298495">
    <w:abstractNumId w:val="35"/>
  </w:num>
  <w:num w:numId="31" w16cid:durableId="1612324098">
    <w:abstractNumId w:val="14"/>
  </w:num>
  <w:num w:numId="32" w16cid:durableId="1727292234">
    <w:abstractNumId w:val="19"/>
  </w:num>
  <w:num w:numId="33" w16cid:durableId="889153582">
    <w:abstractNumId w:val="37"/>
  </w:num>
  <w:num w:numId="34" w16cid:durableId="2084446741">
    <w:abstractNumId w:val="37"/>
  </w:num>
  <w:num w:numId="35" w16cid:durableId="1286036871">
    <w:abstractNumId w:val="23"/>
  </w:num>
  <w:num w:numId="36" w16cid:durableId="2064014312">
    <w:abstractNumId w:val="4"/>
  </w:num>
  <w:num w:numId="37" w16cid:durableId="754127661">
    <w:abstractNumId w:val="21"/>
  </w:num>
  <w:num w:numId="38" w16cid:durableId="477500963">
    <w:abstractNumId w:val="6"/>
  </w:num>
  <w:num w:numId="39" w16cid:durableId="1629622775">
    <w:abstractNumId w:val="30"/>
  </w:num>
  <w:num w:numId="40" w16cid:durableId="1589776681">
    <w:abstractNumId w:val="26"/>
  </w:num>
  <w:num w:numId="41" w16cid:durableId="1378965927">
    <w:abstractNumId w:val="5"/>
  </w:num>
  <w:num w:numId="42" w16cid:durableId="1424111207">
    <w:abstractNumId w:val="37"/>
  </w:num>
  <w:num w:numId="43" w16cid:durableId="921569238">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55"/>
    <w:rsid w:val="00000790"/>
    <w:rsid w:val="00000B4C"/>
    <w:rsid w:val="00000CCE"/>
    <w:rsid w:val="0000110B"/>
    <w:rsid w:val="000014C9"/>
    <w:rsid w:val="00001627"/>
    <w:rsid w:val="00002119"/>
    <w:rsid w:val="0000242F"/>
    <w:rsid w:val="00002937"/>
    <w:rsid w:val="00002E1F"/>
    <w:rsid w:val="00003499"/>
    <w:rsid w:val="000039B7"/>
    <w:rsid w:val="00003A0B"/>
    <w:rsid w:val="00003CDA"/>
    <w:rsid w:val="00004225"/>
    <w:rsid w:val="00004871"/>
    <w:rsid w:val="000056B9"/>
    <w:rsid w:val="00005B49"/>
    <w:rsid w:val="00005BAE"/>
    <w:rsid w:val="0000639A"/>
    <w:rsid w:val="00006596"/>
    <w:rsid w:val="00007A8E"/>
    <w:rsid w:val="00007F09"/>
    <w:rsid w:val="0001001D"/>
    <w:rsid w:val="00011349"/>
    <w:rsid w:val="00011838"/>
    <w:rsid w:val="000119A7"/>
    <w:rsid w:val="00011B78"/>
    <w:rsid w:val="000120DD"/>
    <w:rsid w:val="00012168"/>
    <w:rsid w:val="0001261B"/>
    <w:rsid w:val="00013132"/>
    <w:rsid w:val="00013247"/>
    <w:rsid w:val="00013C3E"/>
    <w:rsid w:val="00014A67"/>
    <w:rsid w:val="00015886"/>
    <w:rsid w:val="000162EF"/>
    <w:rsid w:val="00017105"/>
    <w:rsid w:val="000171FF"/>
    <w:rsid w:val="0001732F"/>
    <w:rsid w:val="00017B98"/>
    <w:rsid w:val="000207C9"/>
    <w:rsid w:val="00021262"/>
    <w:rsid w:val="000214F3"/>
    <w:rsid w:val="000216B1"/>
    <w:rsid w:val="00021E2C"/>
    <w:rsid w:val="0002225F"/>
    <w:rsid w:val="00022AA0"/>
    <w:rsid w:val="00022B6E"/>
    <w:rsid w:val="00022C39"/>
    <w:rsid w:val="00022CD9"/>
    <w:rsid w:val="00023175"/>
    <w:rsid w:val="00023473"/>
    <w:rsid w:val="0002359C"/>
    <w:rsid w:val="00023763"/>
    <w:rsid w:val="00024145"/>
    <w:rsid w:val="000241F5"/>
    <w:rsid w:val="000243F1"/>
    <w:rsid w:val="00024884"/>
    <w:rsid w:val="000249BE"/>
    <w:rsid w:val="00024BBA"/>
    <w:rsid w:val="00024EB5"/>
    <w:rsid w:val="00025135"/>
    <w:rsid w:val="00025139"/>
    <w:rsid w:val="000256B7"/>
    <w:rsid w:val="000257C8"/>
    <w:rsid w:val="00025B32"/>
    <w:rsid w:val="00026202"/>
    <w:rsid w:val="000273B4"/>
    <w:rsid w:val="000274B8"/>
    <w:rsid w:val="0002762F"/>
    <w:rsid w:val="00027714"/>
    <w:rsid w:val="0003108D"/>
    <w:rsid w:val="000312FE"/>
    <w:rsid w:val="000319F0"/>
    <w:rsid w:val="00031B24"/>
    <w:rsid w:val="000323B7"/>
    <w:rsid w:val="000326B9"/>
    <w:rsid w:val="00032D01"/>
    <w:rsid w:val="00032E20"/>
    <w:rsid w:val="00033863"/>
    <w:rsid w:val="000339F6"/>
    <w:rsid w:val="00033A61"/>
    <w:rsid w:val="00033CC9"/>
    <w:rsid w:val="00033D25"/>
    <w:rsid w:val="000341EE"/>
    <w:rsid w:val="000342E8"/>
    <w:rsid w:val="00034744"/>
    <w:rsid w:val="000349A8"/>
    <w:rsid w:val="000350C3"/>
    <w:rsid w:val="000350F4"/>
    <w:rsid w:val="00035905"/>
    <w:rsid w:val="00035DC0"/>
    <w:rsid w:val="00036829"/>
    <w:rsid w:val="000369D4"/>
    <w:rsid w:val="00037F76"/>
    <w:rsid w:val="0004066E"/>
    <w:rsid w:val="00040895"/>
    <w:rsid w:val="000410A0"/>
    <w:rsid w:val="0004119A"/>
    <w:rsid w:val="00041D27"/>
    <w:rsid w:val="0004269F"/>
    <w:rsid w:val="00042BE7"/>
    <w:rsid w:val="000435EE"/>
    <w:rsid w:val="00043C37"/>
    <w:rsid w:val="00043FA3"/>
    <w:rsid w:val="00044547"/>
    <w:rsid w:val="0004471F"/>
    <w:rsid w:val="00044FEE"/>
    <w:rsid w:val="00045017"/>
    <w:rsid w:val="00045A2B"/>
    <w:rsid w:val="00045BDC"/>
    <w:rsid w:val="000461E7"/>
    <w:rsid w:val="0004698F"/>
    <w:rsid w:val="00046D64"/>
    <w:rsid w:val="00050562"/>
    <w:rsid w:val="000508C2"/>
    <w:rsid w:val="00050F10"/>
    <w:rsid w:val="000519E1"/>
    <w:rsid w:val="00051E41"/>
    <w:rsid w:val="00051EEE"/>
    <w:rsid w:val="000533E7"/>
    <w:rsid w:val="000539D0"/>
    <w:rsid w:val="00054621"/>
    <w:rsid w:val="000546D7"/>
    <w:rsid w:val="00054A8D"/>
    <w:rsid w:val="00055643"/>
    <w:rsid w:val="00055A95"/>
    <w:rsid w:val="00055AE7"/>
    <w:rsid w:val="00055DFF"/>
    <w:rsid w:val="00056403"/>
    <w:rsid w:val="00056ECF"/>
    <w:rsid w:val="0005704A"/>
    <w:rsid w:val="0005707E"/>
    <w:rsid w:val="00057226"/>
    <w:rsid w:val="00057868"/>
    <w:rsid w:val="0005791C"/>
    <w:rsid w:val="00057A0E"/>
    <w:rsid w:val="00057E8A"/>
    <w:rsid w:val="000604DF"/>
    <w:rsid w:val="000606DD"/>
    <w:rsid w:val="0006088E"/>
    <w:rsid w:val="00061836"/>
    <w:rsid w:val="00061CBE"/>
    <w:rsid w:val="00061CFD"/>
    <w:rsid w:val="00062324"/>
    <w:rsid w:val="000626C4"/>
    <w:rsid w:val="00062BA4"/>
    <w:rsid w:val="00062E26"/>
    <w:rsid w:val="00063D37"/>
    <w:rsid w:val="00064FAD"/>
    <w:rsid w:val="000653B5"/>
    <w:rsid w:val="0006554B"/>
    <w:rsid w:val="00065B11"/>
    <w:rsid w:val="00066218"/>
    <w:rsid w:val="00066360"/>
    <w:rsid w:val="00066AF8"/>
    <w:rsid w:val="00066E4D"/>
    <w:rsid w:val="00067071"/>
    <w:rsid w:val="0006714A"/>
    <w:rsid w:val="00067F6C"/>
    <w:rsid w:val="00070296"/>
    <w:rsid w:val="000705D5"/>
    <w:rsid w:val="00070872"/>
    <w:rsid w:val="00070946"/>
    <w:rsid w:val="00070FBB"/>
    <w:rsid w:val="00071248"/>
    <w:rsid w:val="00071C95"/>
    <w:rsid w:val="00071E69"/>
    <w:rsid w:val="00072080"/>
    <w:rsid w:val="000720B9"/>
    <w:rsid w:val="0007224D"/>
    <w:rsid w:val="000725AF"/>
    <w:rsid w:val="00072658"/>
    <w:rsid w:val="00072A26"/>
    <w:rsid w:val="00072C7E"/>
    <w:rsid w:val="00073402"/>
    <w:rsid w:val="0007342D"/>
    <w:rsid w:val="000737F7"/>
    <w:rsid w:val="00073D23"/>
    <w:rsid w:val="000742D0"/>
    <w:rsid w:val="0007446C"/>
    <w:rsid w:val="0007489E"/>
    <w:rsid w:val="00074ADC"/>
    <w:rsid w:val="00075501"/>
    <w:rsid w:val="00076173"/>
    <w:rsid w:val="00076597"/>
    <w:rsid w:val="0007672F"/>
    <w:rsid w:val="00076B54"/>
    <w:rsid w:val="00076C7A"/>
    <w:rsid w:val="000774F0"/>
    <w:rsid w:val="00077CB1"/>
    <w:rsid w:val="00077EC4"/>
    <w:rsid w:val="0008078E"/>
    <w:rsid w:val="00080909"/>
    <w:rsid w:val="00080F82"/>
    <w:rsid w:val="000810AD"/>
    <w:rsid w:val="000812CA"/>
    <w:rsid w:val="00081388"/>
    <w:rsid w:val="00081E63"/>
    <w:rsid w:val="00082288"/>
    <w:rsid w:val="0008258D"/>
    <w:rsid w:val="00082F94"/>
    <w:rsid w:val="00083423"/>
    <w:rsid w:val="00083468"/>
    <w:rsid w:val="00083853"/>
    <w:rsid w:val="00083E99"/>
    <w:rsid w:val="00084034"/>
    <w:rsid w:val="000848B1"/>
    <w:rsid w:val="00084A1B"/>
    <w:rsid w:val="00084B3F"/>
    <w:rsid w:val="00084FA8"/>
    <w:rsid w:val="000856C5"/>
    <w:rsid w:val="00085C31"/>
    <w:rsid w:val="00085E67"/>
    <w:rsid w:val="00086282"/>
    <w:rsid w:val="00086559"/>
    <w:rsid w:val="00086B90"/>
    <w:rsid w:val="00086FE4"/>
    <w:rsid w:val="00087893"/>
    <w:rsid w:val="00087971"/>
    <w:rsid w:val="000902D9"/>
    <w:rsid w:val="00090A24"/>
    <w:rsid w:val="00090C7E"/>
    <w:rsid w:val="00090E6A"/>
    <w:rsid w:val="00090F50"/>
    <w:rsid w:val="00090F82"/>
    <w:rsid w:val="00091076"/>
    <w:rsid w:val="00091176"/>
    <w:rsid w:val="000911AC"/>
    <w:rsid w:val="000911F8"/>
    <w:rsid w:val="00091523"/>
    <w:rsid w:val="000916F5"/>
    <w:rsid w:val="00091DEC"/>
    <w:rsid w:val="00092600"/>
    <w:rsid w:val="0009262B"/>
    <w:rsid w:val="00092A97"/>
    <w:rsid w:val="00092C71"/>
    <w:rsid w:val="00093310"/>
    <w:rsid w:val="00093D5B"/>
    <w:rsid w:val="000942F1"/>
    <w:rsid w:val="0009445C"/>
    <w:rsid w:val="00095200"/>
    <w:rsid w:val="00095716"/>
    <w:rsid w:val="00095754"/>
    <w:rsid w:val="00095784"/>
    <w:rsid w:val="00095A62"/>
    <w:rsid w:val="00095F86"/>
    <w:rsid w:val="00095FE5"/>
    <w:rsid w:val="00096284"/>
    <w:rsid w:val="000967E9"/>
    <w:rsid w:val="00097628"/>
    <w:rsid w:val="00097925"/>
    <w:rsid w:val="00097E61"/>
    <w:rsid w:val="00097EB7"/>
    <w:rsid w:val="000A0174"/>
    <w:rsid w:val="000A0469"/>
    <w:rsid w:val="000A05EB"/>
    <w:rsid w:val="000A061B"/>
    <w:rsid w:val="000A0944"/>
    <w:rsid w:val="000A1BC0"/>
    <w:rsid w:val="000A1CB3"/>
    <w:rsid w:val="000A1E3D"/>
    <w:rsid w:val="000A2646"/>
    <w:rsid w:val="000A2839"/>
    <w:rsid w:val="000A2BF0"/>
    <w:rsid w:val="000A2F9E"/>
    <w:rsid w:val="000A3492"/>
    <w:rsid w:val="000A36C3"/>
    <w:rsid w:val="000A3CCA"/>
    <w:rsid w:val="000A3E47"/>
    <w:rsid w:val="000A4C11"/>
    <w:rsid w:val="000A4CB3"/>
    <w:rsid w:val="000A522B"/>
    <w:rsid w:val="000A581A"/>
    <w:rsid w:val="000A5ED3"/>
    <w:rsid w:val="000A6039"/>
    <w:rsid w:val="000A62FC"/>
    <w:rsid w:val="000A6422"/>
    <w:rsid w:val="000A6A98"/>
    <w:rsid w:val="000A6E49"/>
    <w:rsid w:val="000A6E61"/>
    <w:rsid w:val="000A7136"/>
    <w:rsid w:val="000A7453"/>
    <w:rsid w:val="000A79DD"/>
    <w:rsid w:val="000A7B2B"/>
    <w:rsid w:val="000A7D08"/>
    <w:rsid w:val="000B0121"/>
    <w:rsid w:val="000B0670"/>
    <w:rsid w:val="000B0E75"/>
    <w:rsid w:val="000B0FBE"/>
    <w:rsid w:val="000B0FCB"/>
    <w:rsid w:val="000B2195"/>
    <w:rsid w:val="000B21D6"/>
    <w:rsid w:val="000B2DCB"/>
    <w:rsid w:val="000B4326"/>
    <w:rsid w:val="000B4AF2"/>
    <w:rsid w:val="000B525F"/>
    <w:rsid w:val="000B57A2"/>
    <w:rsid w:val="000B58B7"/>
    <w:rsid w:val="000B5CE0"/>
    <w:rsid w:val="000B643F"/>
    <w:rsid w:val="000B6774"/>
    <w:rsid w:val="000B6999"/>
    <w:rsid w:val="000B6CAC"/>
    <w:rsid w:val="000B6CFE"/>
    <w:rsid w:val="000B70D0"/>
    <w:rsid w:val="000B7612"/>
    <w:rsid w:val="000B78AE"/>
    <w:rsid w:val="000B7B36"/>
    <w:rsid w:val="000C02C3"/>
    <w:rsid w:val="000C0690"/>
    <w:rsid w:val="000C098E"/>
    <w:rsid w:val="000C0A1A"/>
    <w:rsid w:val="000C163C"/>
    <w:rsid w:val="000C1A90"/>
    <w:rsid w:val="000C1D83"/>
    <w:rsid w:val="000C26D7"/>
    <w:rsid w:val="000C2866"/>
    <w:rsid w:val="000C2F40"/>
    <w:rsid w:val="000C2F6B"/>
    <w:rsid w:val="000C3383"/>
    <w:rsid w:val="000C3392"/>
    <w:rsid w:val="000C360C"/>
    <w:rsid w:val="000C36AF"/>
    <w:rsid w:val="000C3DF9"/>
    <w:rsid w:val="000C3FB4"/>
    <w:rsid w:val="000C4888"/>
    <w:rsid w:val="000C4B49"/>
    <w:rsid w:val="000C4CF2"/>
    <w:rsid w:val="000C5FB5"/>
    <w:rsid w:val="000C6713"/>
    <w:rsid w:val="000C7828"/>
    <w:rsid w:val="000D0162"/>
    <w:rsid w:val="000D02F1"/>
    <w:rsid w:val="000D0834"/>
    <w:rsid w:val="000D0C3A"/>
    <w:rsid w:val="000D1BFC"/>
    <w:rsid w:val="000D1D5D"/>
    <w:rsid w:val="000D281A"/>
    <w:rsid w:val="000D2848"/>
    <w:rsid w:val="000D31A3"/>
    <w:rsid w:val="000D326A"/>
    <w:rsid w:val="000D3E59"/>
    <w:rsid w:val="000D3EA0"/>
    <w:rsid w:val="000D433F"/>
    <w:rsid w:val="000D4D5E"/>
    <w:rsid w:val="000D51FB"/>
    <w:rsid w:val="000D6453"/>
    <w:rsid w:val="000D6582"/>
    <w:rsid w:val="000D663F"/>
    <w:rsid w:val="000D6EA1"/>
    <w:rsid w:val="000D7123"/>
    <w:rsid w:val="000D7499"/>
    <w:rsid w:val="000D7C2F"/>
    <w:rsid w:val="000D7FD1"/>
    <w:rsid w:val="000E009A"/>
    <w:rsid w:val="000E0640"/>
    <w:rsid w:val="000E11BC"/>
    <w:rsid w:val="000E135D"/>
    <w:rsid w:val="000E149B"/>
    <w:rsid w:val="000E217C"/>
    <w:rsid w:val="000E2A4F"/>
    <w:rsid w:val="000E3194"/>
    <w:rsid w:val="000E351F"/>
    <w:rsid w:val="000E3573"/>
    <w:rsid w:val="000E35EA"/>
    <w:rsid w:val="000E3BF7"/>
    <w:rsid w:val="000E4AA7"/>
    <w:rsid w:val="000E559B"/>
    <w:rsid w:val="000E5919"/>
    <w:rsid w:val="000E5949"/>
    <w:rsid w:val="000E5CE4"/>
    <w:rsid w:val="000E6083"/>
    <w:rsid w:val="000E77BB"/>
    <w:rsid w:val="000E7BDA"/>
    <w:rsid w:val="000F00BA"/>
    <w:rsid w:val="000F0A45"/>
    <w:rsid w:val="000F0DDA"/>
    <w:rsid w:val="000F0E4E"/>
    <w:rsid w:val="000F1074"/>
    <w:rsid w:val="000F169E"/>
    <w:rsid w:val="000F1C3D"/>
    <w:rsid w:val="000F25D2"/>
    <w:rsid w:val="000F2975"/>
    <w:rsid w:val="000F303E"/>
    <w:rsid w:val="000F316A"/>
    <w:rsid w:val="000F376F"/>
    <w:rsid w:val="000F3C74"/>
    <w:rsid w:val="000F4534"/>
    <w:rsid w:val="000F4640"/>
    <w:rsid w:val="000F464B"/>
    <w:rsid w:val="000F470E"/>
    <w:rsid w:val="000F47E5"/>
    <w:rsid w:val="000F4BB8"/>
    <w:rsid w:val="000F4CBF"/>
    <w:rsid w:val="000F4D30"/>
    <w:rsid w:val="000F4FA9"/>
    <w:rsid w:val="000F50D5"/>
    <w:rsid w:val="000F53FB"/>
    <w:rsid w:val="000F552E"/>
    <w:rsid w:val="000F6170"/>
    <w:rsid w:val="000F6BC1"/>
    <w:rsid w:val="000F7127"/>
    <w:rsid w:val="000F788E"/>
    <w:rsid w:val="000F78E8"/>
    <w:rsid w:val="000F7B54"/>
    <w:rsid w:val="000F7DC5"/>
    <w:rsid w:val="00100070"/>
    <w:rsid w:val="001000B3"/>
    <w:rsid w:val="0010010F"/>
    <w:rsid w:val="00100278"/>
    <w:rsid w:val="001007B3"/>
    <w:rsid w:val="00100F8A"/>
    <w:rsid w:val="001011A7"/>
    <w:rsid w:val="00101966"/>
    <w:rsid w:val="001025FB"/>
    <w:rsid w:val="00102849"/>
    <w:rsid w:val="00102FFD"/>
    <w:rsid w:val="00103047"/>
    <w:rsid w:val="00103C30"/>
    <w:rsid w:val="00103CC6"/>
    <w:rsid w:val="00104422"/>
    <w:rsid w:val="0010452E"/>
    <w:rsid w:val="00104B94"/>
    <w:rsid w:val="00105616"/>
    <w:rsid w:val="00105764"/>
    <w:rsid w:val="00105835"/>
    <w:rsid w:val="00105933"/>
    <w:rsid w:val="00105AE2"/>
    <w:rsid w:val="00105C14"/>
    <w:rsid w:val="001060C6"/>
    <w:rsid w:val="001069E3"/>
    <w:rsid w:val="00106B80"/>
    <w:rsid w:val="00107502"/>
    <w:rsid w:val="0010767C"/>
    <w:rsid w:val="00107B97"/>
    <w:rsid w:val="00107F67"/>
    <w:rsid w:val="001101CA"/>
    <w:rsid w:val="0011032E"/>
    <w:rsid w:val="00110455"/>
    <w:rsid w:val="0011048E"/>
    <w:rsid w:val="0011049E"/>
    <w:rsid w:val="00110E47"/>
    <w:rsid w:val="00112F44"/>
    <w:rsid w:val="0011314C"/>
    <w:rsid w:val="0011348B"/>
    <w:rsid w:val="001135F0"/>
    <w:rsid w:val="00113B8B"/>
    <w:rsid w:val="00113D69"/>
    <w:rsid w:val="00114461"/>
    <w:rsid w:val="00114F65"/>
    <w:rsid w:val="00115982"/>
    <w:rsid w:val="00115E7C"/>
    <w:rsid w:val="00116C53"/>
    <w:rsid w:val="00116E7A"/>
    <w:rsid w:val="0011714F"/>
    <w:rsid w:val="0011734F"/>
    <w:rsid w:val="00117568"/>
    <w:rsid w:val="001176D3"/>
    <w:rsid w:val="001201DF"/>
    <w:rsid w:val="00121647"/>
    <w:rsid w:val="00121799"/>
    <w:rsid w:val="001222FC"/>
    <w:rsid w:val="00122B4D"/>
    <w:rsid w:val="00123129"/>
    <w:rsid w:val="001231A3"/>
    <w:rsid w:val="00123586"/>
    <w:rsid w:val="00123776"/>
    <w:rsid w:val="001237AB"/>
    <w:rsid w:val="00123902"/>
    <w:rsid w:val="00123C48"/>
    <w:rsid w:val="00124A4C"/>
    <w:rsid w:val="00124A51"/>
    <w:rsid w:val="00125C79"/>
    <w:rsid w:val="0012654E"/>
    <w:rsid w:val="00126621"/>
    <w:rsid w:val="00126683"/>
    <w:rsid w:val="00126B1D"/>
    <w:rsid w:val="00127BA6"/>
    <w:rsid w:val="001301E9"/>
    <w:rsid w:val="001309B2"/>
    <w:rsid w:val="00130D2C"/>
    <w:rsid w:val="001316D2"/>
    <w:rsid w:val="00131D82"/>
    <w:rsid w:val="001325B7"/>
    <w:rsid w:val="00132B22"/>
    <w:rsid w:val="0013311A"/>
    <w:rsid w:val="00133236"/>
    <w:rsid w:val="00133D36"/>
    <w:rsid w:val="00133FF6"/>
    <w:rsid w:val="001344CC"/>
    <w:rsid w:val="0013478C"/>
    <w:rsid w:val="001357C3"/>
    <w:rsid w:val="00135B87"/>
    <w:rsid w:val="00135E0A"/>
    <w:rsid w:val="00136562"/>
    <w:rsid w:val="001365B8"/>
    <w:rsid w:val="00136E20"/>
    <w:rsid w:val="00137645"/>
    <w:rsid w:val="0013782D"/>
    <w:rsid w:val="001378CC"/>
    <w:rsid w:val="00137B1B"/>
    <w:rsid w:val="00137E6D"/>
    <w:rsid w:val="0014015A"/>
    <w:rsid w:val="00140AC5"/>
    <w:rsid w:val="00140E04"/>
    <w:rsid w:val="00140E99"/>
    <w:rsid w:val="00141073"/>
    <w:rsid w:val="00141375"/>
    <w:rsid w:val="001419D5"/>
    <w:rsid w:val="001421F0"/>
    <w:rsid w:val="00142A3C"/>
    <w:rsid w:val="0014396E"/>
    <w:rsid w:val="00143A51"/>
    <w:rsid w:val="00143E7F"/>
    <w:rsid w:val="00143F67"/>
    <w:rsid w:val="00144010"/>
    <w:rsid w:val="001442E7"/>
    <w:rsid w:val="00144C66"/>
    <w:rsid w:val="00145234"/>
    <w:rsid w:val="00145540"/>
    <w:rsid w:val="001456B0"/>
    <w:rsid w:val="001464BB"/>
    <w:rsid w:val="00146C1F"/>
    <w:rsid w:val="0014728E"/>
    <w:rsid w:val="001503DB"/>
    <w:rsid w:val="001504D6"/>
    <w:rsid w:val="001508C7"/>
    <w:rsid w:val="00150997"/>
    <w:rsid w:val="0015107A"/>
    <w:rsid w:val="001512A9"/>
    <w:rsid w:val="001514B7"/>
    <w:rsid w:val="00151A12"/>
    <w:rsid w:val="00151A71"/>
    <w:rsid w:val="0015277D"/>
    <w:rsid w:val="00152F2A"/>
    <w:rsid w:val="001533BF"/>
    <w:rsid w:val="00153801"/>
    <w:rsid w:val="00153833"/>
    <w:rsid w:val="0015429F"/>
    <w:rsid w:val="001547AB"/>
    <w:rsid w:val="00155053"/>
    <w:rsid w:val="001553FA"/>
    <w:rsid w:val="00155C8E"/>
    <w:rsid w:val="00156350"/>
    <w:rsid w:val="001563E2"/>
    <w:rsid w:val="00156F8F"/>
    <w:rsid w:val="00157130"/>
    <w:rsid w:val="001576B1"/>
    <w:rsid w:val="00157D0C"/>
    <w:rsid w:val="0016036D"/>
    <w:rsid w:val="0016047B"/>
    <w:rsid w:val="00160A4C"/>
    <w:rsid w:val="00160F42"/>
    <w:rsid w:val="001612CE"/>
    <w:rsid w:val="0016158B"/>
    <w:rsid w:val="0016201D"/>
    <w:rsid w:val="00162913"/>
    <w:rsid w:val="00163B02"/>
    <w:rsid w:val="00163B36"/>
    <w:rsid w:val="00163EFF"/>
    <w:rsid w:val="00163F66"/>
    <w:rsid w:val="0016478E"/>
    <w:rsid w:val="00164A24"/>
    <w:rsid w:val="00164E9B"/>
    <w:rsid w:val="001658E5"/>
    <w:rsid w:val="00165EC4"/>
    <w:rsid w:val="00165EE9"/>
    <w:rsid w:val="00166030"/>
    <w:rsid w:val="001661FB"/>
    <w:rsid w:val="001668BC"/>
    <w:rsid w:val="001669D1"/>
    <w:rsid w:val="00166D03"/>
    <w:rsid w:val="00166D43"/>
    <w:rsid w:val="001671A0"/>
    <w:rsid w:val="0016767F"/>
    <w:rsid w:val="001676AB"/>
    <w:rsid w:val="00167CD2"/>
    <w:rsid w:val="00167CD4"/>
    <w:rsid w:val="00170F07"/>
    <w:rsid w:val="001720C6"/>
    <w:rsid w:val="001723C9"/>
    <w:rsid w:val="00173565"/>
    <w:rsid w:val="00173779"/>
    <w:rsid w:val="00173B07"/>
    <w:rsid w:val="00173D43"/>
    <w:rsid w:val="001748CE"/>
    <w:rsid w:val="001749C4"/>
    <w:rsid w:val="00174FE1"/>
    <w:rsid w:val="001751FA"/>
    <w:rsid w:val="00175305"/>
    <w:rsid w:val="0017555B"/>
    <w:rsid w:val="001757D5"/>
    <w:rsid w:val="00175F12"/>
    <w:rsid w:val="00176602"/>
    <w:rsid w:val="00176AEF"/>
    <w:rsid w:val="00177736"/>
    <w:rsid w:val="00180A7B"/>
    <w:rsid w:val="00180B20"/>
    <w:rsid w:val="00180BAA"/>
    <w:rsid w:val="00181392"/>
    <w:rsid w:val="00181C10"/>
    <w:rsid w:val="00181CBA"/>
    <w:rsid w:val="00181D9C"/>
    <w:rsid w:val="001824EA"/>
    <w:rsid w:val="001837FF"/>
    <w:rsid w:val="00183A1F"/>
    <w:rsid w:val="00183DAC"/>
    <w:rsid w:val="0018442F"/>
    <w:rsid w:val="00184B0E"/>
    <w:rsid w:val="00184EEF"/>
    <w:rsid w:val="00185B90"/>
    <w:rsid w:val="00185DCE"/>
    <w:rsid w:val="00185E2B"/>
    <w:rsid w:val="001860BE"/>
    <w:rsid w:val="00186CD6"/>
    <w:rsid w:val="00187103"/>
    <w:rsid w:val="0018752F"/>
    <w:rsid w:val="00187968"/>
    <w:rsid w:val="001904E2"/>
    <w:rsid w:val="001905C3"/>
    <w:rsid w:val="00191AA2"/>
    <w:rsid w:val="00191BBA"/>
    <w:rsid w:val="00192DA2"/>
    <w:rsid w:val="00192E07"/>
    <w:rsid w:val="00193838"/>
    <w:rsid w:val="00193BD8"/>
    <w:rsid w:val="00193EDA"/>
    <w:rsid w:val="0019445C"/>
    <w:rsid w:val="001946B4"/>
    <w:rsid w:val="00194AD8"/>
    <w:rsid w:val="001950D1"/>
    <w:rsid w:val="00195222"/>
    <w:rsid w:val="00195452"/>
    <w:rsid w:val="001955D5"/>
    <w:rsid w:val="00196196"/>
    <w:rsid w:val="001961F1"/>
    <w:rsid w:val="00196674"/>
    <w:rsid w:val="00196A24"/>
    <w:rsid w:val="001975D8"/>
    <w:rsid w:val="00197796"/>
    <w:rsid w:val="00197CBA"/>
    <w:rsid w:val="001A015C"/>
    <w:rsid w:val="001A0313"/>
    <w:rsid w:val="001A0329"/>
    <w:rsid w:val="001A0A3E"/>
    <w:rsid w:val="001A154C"/>
    <w:rsid w:val="001A178E"/>
    <w:rsid w:val="001A17B5"/>
    <w:rsid w:val="001A1B94"/>
    <w:rsid w:val="001A1DC0"/>
    <w:rsid w:val="001A26CD"/>
    <w:rsid w:val="001A3341"/>
    <w:rsid w:val="001A33E3"/>
    <w:rsid w:val="001A34D2"/>
    <w:rsid w:val="001A4002"/>
    <w:rsid w:val="001A43FA"/>
    <w:rsid w:val="001A47C5"/>
    <w:rsid w:val="001A48C1"/>
    <w:rsid w:val="001A5699"/>
    <w:rsid w:val="001A5919"/>
    <w:rsid w:val="001A59FB"/>
    <w:rsid w:val="001A5E9E"/>
    <w:rsid w:val="001A6354"/>
    <w:rsid w:val="001A6366"/>
    <w:rsid w:val="001A6486"/>
    <w:rsid w:val="001A6A3D"/>
    <w:rsid w:val="001A6A5B"/>
    <w:rsid w:val="001A6CA9"/>
    <w:rsid w:val="001A6CE0"/>
    <w:rsid w:val="001A72C4"/>
    <w:rsid w:val="001A78F8"/>
    <w:rsid w:val="001A7AE8"/>
    <w:rsid w:val="001B0051"/>
    <w:rsid w:val="001B00E5"/>
    <w:rsid w:val="001B1257"/>
    <w:rsid w:val="001B1802"/>
    <w:rsid w:val="001B1A40"/>
    <w:rsid w:val="001B1A9D"/>
    <w:rsid w:val="001B1B9A"/>
    <w:rsid w:val="001B204E"/>
    <w:rsid w:val="001B22D8"/>
    <w:rsid w:val="001B2372"/>
    <w:rsid w:val="001B23A9"/>
    <w:rsid w:val="001B2498"/>
    <w:rsid w:val="001B2538"/>
    <w:rsid w:val="001B3443"/>
    <w:rsid w:val="001B364A"/>
    <w:rsid w:val="001B3A40"/>
    <w:rsid w:val="001B3CE0"/>
    <w:rsid w:val="001B4D02"/>
    <w:rsid w:val="001B4D20"/>
    <w:rsid w:val="001B564A"/>
    <w:rsid w:val="001B58F7"/>
    <w:rsid w:val="001B6823"/>
    <w:rsid w:val="001B6BAF"/>
    <w:rsid w:val="001B70CB"/>
    <w:rsid w:val="001B7F84"/>
    <w:rsid w:val="001C0B55"/>
    <w:rsid w:val="001C0C54"/>
    <w:rsid w:val="001C12C3"/>
    <w:rsid w:val="001C1601"/>
    <w:rsid w:val="001C1A45"/>
    <w:rsid w:val="001C1EE4"/>
    <w:rsid w:val="001C2279"/>
    <w:rsid w:val="001C2A9B"/>
    <w:rsid w:val="001C3028"/>
    <w:rsid w:val="001C3086"/>
    <w:rsid w:val="001C30B3"/>
    <w:rsid w:val="001C3386"/>
    <w:rsid w:val="001C3DD6"/>
    <w:rsid w:val="001C40C2"/>
    <w:rsid w:val="001C4299"/>
    <w:rsid w:val="001C4874"/>
    <w:rsid w:val="001C579E"/>
    <w:rsid w:val="001C57E6"/>
    <w:rsid w:val="001C5B7D"/>
    <w:rsid w:val="001C5D3A"/>
    <w:rsid w:val="001C5F94"/>
    <w:rsid w:val="001C6999"/>
    <w:rsid w:val="001C6A71"/>
    <w:rsid w:val="001C6E66"/>
    <w:rsid w:val="001C73F8"/>
    <w:rsid w:val="001C7584"/>
    <w:rsid w:val="001C784F"/>
    <w:rsid w:val="001C7A08"/>
    <w:rsid w:val="001D0193"/>
    <w:rsid w:val="001D0330"/>
    <w:rsid w:val="001D07C5"/>
    <w:rsid w:val="001D0ACE"/>
    <w:rsid w:val="001D0C71"/>
    <w:rsid w:val="001D1100"/>
    <w:rsid w:val="001D1391"/>
    <w:rsid w:val="001D13E2"/>
    <w:rsid w:val="001D1678"/>
    <w:rsid w:val="001D25D7"/>
    <w:rsid w:val="001D27C8"/>
    <w:rsid w:val="001D2951"/>
    <w:rsid w:val="001D3887"/>
    <w:rsid w:val="001D43F1"/>
    <w:rsid w:val="001D45CF"/>
    <w:rsid w:val="001D4C27"/>
    <w:rsid w:val="001D50B2"/>
    <w:rsid w:val="001D5184"/>
    <w:rsid w:val="001D54BD"/>
    <w:rsid w:val="001D5A14"/>
    <w:rsid w:val="001D5F5A"/>
    <w:rsid w:val="001D5F6F"/>
    <w:rsid w:val="001D6638"/>
    <w:rsid w:val="001D6D09"/>
    <w:rsid w:val="001D6DEE"/>
    <w:rsid w:val="001D71E8"/>
    <w:rsid w:val="001D71F4"/>
    <w:rsid w:val="001D7645"/>
    <w:rsid w:val="001D7BB5"/>
    <w:rsid w:val="001E0901"/>
    <w:rsid w:val="001E0B8C"/>
    <w:rsid w:val="001E12E8"/>
    <w:rsid w:val="001E13D3"/>
    <w:rsid w:val="001E1A16"/>
    <w:rsid w:val="001E1A9E"/>
    <w:rsid w:val="001E1C1C"/>
    <w:rsid w:val="001E1E86"/>
    <w:rsid w:val="001E20DC"/>
    <w:rsid w:val="001E238E"/>
    <w:rsid w:val="001E2483"/>
    <w:rsid w:val="001E2B1E"/>
    <w:rsid w:val="001E2CFF"/>
    <w:rsid w:val="001E2F24"/>
    <w:rsid w:val="001E30D4"/>
    <w:rsid w:val="001E34DF"/>
    <w:rsid w:val="001E4295"/>
    <w:rsid w:val="001E43B0"/>
    <w:rsid w:val="001E52EB"/>
    <w:rsid w:val="001E53D8"/>
    <w:rsid w:val="001E55A2"/>
    <w:rsid w:val="001E61D2"/>
    <w:rsid w:val="001E6448"/>
    <w:rsid w:val="001E6994"/>
    <w:rsid w:val="001E6D66"/>
    <w:rsid w:val="001E740C"/>
    <w:rsid w:val="001F0F20"/>
    <w:rsid w:val="001F106C"/>
    <w:rsid w:val="001F1141"/>
    <w:rsid w:val="001F1235"/>
    <w:rsid w:val="001F1CB3"/>
    <w:rsid w:val="001F21CD"/>
    <w:rsid w:val="001F25AC"/>
    <w:rsid w:val="001F2AA5"/>
    <w:rsid w:val="001F2D26"/>
    <w:rsid w:val="001F2E73"/>
    <w:rsid w:val="001F2FC9"/>
    <w:rsid w:val="001F3761"/>
    <w:rsid w:val="001F38B5"/>
    <w:rsid w:val="001F391F"/>
    <w:rsid w:val="001F4081"/>
    <w:rsid w:val="001F492C"/>
    <w:rsid w:val="001F4A5E"/>
    <w:rsid w:val="001F4AE4"/>
    <w:rsid w:val="001F515C"/>
    <w:rsid w:val="001F5E21"/>
    <w:rsid w:val="001F6483"/>
    <w:rsid w:val="001F7361"/>
    <w:rsid w:val="001F7D2D"/>
    <w:rsid w:val="002001C0"/>
    <w:rsid w:val="00200582"/>
    <w:rsid w:val="002007F8"/>
    <w:rsid w:val="002011B0"/>
    <w:rsid w:val="002013A6"/>
    <w:rsid w:val="00201407"/>
    <w:rsid w:val="0020227E"/>
    <w:rsid w:val="0020317E"/>
    <w:rsid w:val="00203181"/>
    <w:rsid w:val="00203783"/>
    <w:rsid w:val="0020385F"/>
    <w:rsid w:val="00203CAC"/>
    <w:rsid w:val="00204179"/>
    <w:rsid w:val="00204369"/>
    <w:rsid w:val="00204682"/>
    <w:rsid w:val="00204B67"/>
    <w:rsid w:val="00204EA3"/>
    <w:rsid w:val="0020507F"/>
    <w:rsid w:val="00205204"/>
    <w:rsid w:val="00206522"/>
    <w:rsid w:val="0020660D"/>
    <w:rsid w:val="002068A0"/>
    <w:rsid w:val="00207021"/>
    <w:rsid w:val="0020721F"/>
    <w:rsid w:val="0020732F"/>
    <w:rsid w:val="002074E6"/>
    <w:rsid w:val="0020777F"/>
    <w:rsid w:val="00207959"/>
    <w:rsid w:val="00207D00"/>
    <w:rsid w:val="002103EE"/>
    <w:rsid w:val="002105C1"/>
    <w:rsid w:val="002116FD"/>
    <w:rsid w:val="002119A6"/>
    <w:rsid w:val="00212EF0"/>
    <w:rsid w:val="002132FD"/>
    <w:rsid w:val="00213697"/>
    <w:rsid w:val="00213EF5"/>
    <w:rsid w:val="0021415A"/>
    <w:rsid w:val="002143D9"/>
    <w:rsid w:val="00214B8E"/>
    <w:rsid w:val="00214F6A"/>
    <w:rsid w:val="00215031"/>
    <w:rsid w:val="00215EEC"/>
    <w:rsid w:val="002166E8"/>
    <w:rsid w:val="00216BF2"/>
    <w:rsid w:val="00216BF5"/>
    <w:rsid w:val="00216F7F"/>
    <w:rsid w:val="00217153"/>
    <w:rsid w:val="0021776C"/>
    <w:rsid w:val="0021791F"/>
    <w:rsid w:val="00217E19"/>
    <w:rsid w:val="00217F05"/>
    <w:rsid w:val="00220B5E"/>
    <w:rsid w:val="00220BC8"/>
    <w:rsid w:val="00220C84"/>
    <w:rsid w:val="00221173"/>
    <w:rsid w:val="00221310"/>
    <w:rsid w:val="0022184D"/>
    <w:rsid w:val="00221B35"/>
    <w:rsid w:val="00221FA5"/>
    <w:rsid w:val="0022243D"/>
    <w:rsid w:val="002229EA"/>
    <w:rsid w:val="00222B1A"/>
    <w:rsid w:val="00222F6F"/>
    <w:rsid w:val="00222F85"/>
    <w:rsid w:val="00223231"/>
    <w:rsid w:val="00223589"/>
    <w:rsid w:val="002237B8"/>
    <w:rsid w:val="00223B49"/>
    <w:rsid w:val="00223C2A"/>
    <w:rsid w:val="00223D5A"/>
    <w:rsid w:val="00223FC3"/>
    <w:rsid w:val="0022417C"/>
    <w:rsid w:val="002247C4"/>
    <w:rsid w:val="00224974"/>
    <w:rsid w:val="00224DD4"/>
    <w:rsid w:val="0022501F"/>
    <w:rsid w:val="002268F0"/>
    <w:rsid w:val="00226D75"/>
    <w:rsid w:val="0022706B"/>
    <w:rsid w:val="0022710D"/>
    <w:rsid w:val="00227536"/>
    <w:rsid w:val="002278A0"/>
    <w:rsid w:val="002309CC"/>
    <w:rsid w:val="00230CBF"/>
    <w:rsid w:val="00230D52"/>
    <w:rsid w:val="00230F5D"/>
    <w:rsid w:val="0023186B"/>
    <w:rsid w:val="00231BA9"/>
    <w:rsid w:val="0023209F"/>
    <w:rsid w:val="0023229B"/>
    <w:rsid w:val="002326FC"/>
    <w:rsid w:val="00233926"/>
    <w:rsid w:val="00233C01"/>
    <w:rsid w:val="00233EEE"/>
    <w:rsid w:val="0023413C"/>
    <w:rsid w:val="00234271"/>
    <w:rsid w:val="00234556"/>
    <w:rsid w:val="002346F0"/>
    <w:rsid w:val="00235DF9"/>
    <w:rsid w:val="0023629D"/>
    <w:rsid w:val="002364ED"/>
    <w:rsid w:val="00236549"/>
    <w:rsid w:val="00236D5D"/>
    <w:rsid w:val="00237255"/>
    <w:rsid w:val="002379D8"/>
    <w:rsid w:val="00240F4E"/>
    <w:rsid w:val="00240F70"/>
    <w:rsid w:val="0024109A"/>
    <w:rsid w:val="0024119F"/>
    <w:rsid w:val="002414B8"/>
    <w:rsid w:val="00242095"/>
    <w:rsid w:val="002420DB"/>
    <w:rsid w:val="002424AF"/>
    <w:rsid w:val="002426CE"/>
    <w:rsid w:val="00242A67"/>
    <w:rsid w:val="00242C37"/>
    <w:rsid w:val="00242EAF"/>
    <w:rsid w:val="00243843"/>
    <w:rsid w:val="002439DC"/>
    <w:rsid w:val="00243CFC"/>
    <w:rsid w:val="00243D19"/>
    <w:rsid w:val="002441D2"/>
    <w:rsid w:val="00244409"/>
    <w:rsid w:val="00244711"/>
    <w:rsid w:val="00244836"/>
    <w:rsid w:val="0024499B"/>
    <w:rsid w:val="00244B98"/>
    <w:rsid w:val="00244DC8"/>
    <w:rsid w:val="00244DFC"/>
    <w:rsid w:val="0024523F"/>
    <w:rsid w:val="002458BA"/>
    <w:rsid w:val="00245B57"/>
    <w:rsid w:val="00245CE9"/>
    <w:rsid w:val="00245D67"/>
    <w:rsid w:val="00245FFC"/>
    <w:rsid w:val="0024636C"/>
    <w:rsid w:val="00246FF5"/>
    <w:rsid w:val="00247308"/>
    <w:rsid w:val="00247925"/>
    <w:rsid w:val="00247EB8"/>
    <w:rsid w:val="00250563"/>
    <w:rsid w:val="00250EF4"/>
    <w:rsid w:val="00251006"/>
    <w:rsid w:val="002510B4"/>
    <w:rsid w:val="00251578"/>
    <w:rsid w:val="00251694"/>
    <w:rsid w:val="00251D73"/>
    <w:rsid w:val="00251E04"/>
    <w:rsid w:val="0025205B"/>
    <w:rsid w:val="00252114"/>
    <w:rsid w:val="002524D5"/>
    <w:rsid w:val="00253490"/>
    <w:rsid w:val="00253B1D"/>
    <w:rsid w:val="00253FC0"/>
    <w:rsid w:val="002548C3"/>
    <w:rsid w:val="00254DCF"/>
    <w:rsid w:val="00254DE3"/>
    <w:rsid w:val="00254F1F"/>
    <w:rsid w:val="0025534B"/>
    <w:rsid w:val="00255A5A"/>
    <w:rsid w:val="00255BB7"/>
    <w:rsid w:val="00255C4A"/>
    <w:rsid w:val="00256085"/>
    <w:rsid w:val="0025642D"/>
    <w:rsid w:val="00256654"/>
    <w:rsid w:val="0025671A"/>
    <w:rsid w:val="00256AB6"/>
    <w:rsid w:val="00256B55"/>
    <w:rsid w:val="00256CC1"/>
    <w:rsid w:val="0025704B"/>
    <w:rsid w:val="0025748F"/>
    <w:rsid w:val="00257541"/>
    <w:rsid w:val="00257A39"/>
    <w:rsid w:val="00257AC3"/>
    <w:rsid w:val="00257AC4"/>
    <w:rsid w:val="00257BBE"/>
    <w:rsid w:val="00260564"/>
    <w:rsid w:val="0026069F"/>
    <w:rsid w:val="0026091F"/>
    <w:rsid w:val="00261330"/>
    <w:rsid w:val="002618A6"/>
    <w:rsid w:val="00261EEF"/>
    <w:rsid w:val="002624B9"/>
    <w:rsid w:val="002628F6"/>
    <w:rsid w:val="00262A1A"/>
    <w:rsid w:val="00262A87"/>
    <w:rsid w:val="00263A1F"/>
    <w:rsid w:val="00263E87"/>
    <w:rsid w:val="00264182"/>
    <w:rsid w:val="00264197"/>
    <w:rsid w:val="002641C7"/>
    <w:rsid w:val="00264D26"/>
    <w:rsid w:val="0026517C"/>
    <w:rsid w:val="002657D9"/>
    <w:rsid w:val="00265F6A"/>
    <w:rsid w:val="0026629B"/>
    <w:rsid w:val="002663C5"/>
    <w:rsid w:val="00266862"/>
    <w:rsid w:val="00267642"/>
    <w:rsid w:val="00267AEA"/>
    <w:rsid w:val="00267DDF"/>
    <w:rsid w:val="002700DC"/>
    <w:rsid w:val="002700E6"/>
    <w:rsid w:val="0027014F"/>
    <w:rsid w:val="002708EC"/>
    <w:rsid w:val="00270BF2"/>
    <w:rsid w:val="00270D1F"/>
    <w:rsid w:val="002712AA"/>
    <w:rsid w:val="002719A9"/>
    <w:rsid w:val="00271AA3"/>
    <w:rsid w:val="00271EC3"/>
    <w:rsid w:val="002720A5"/>
    <w:rsid w:val="002724C4"/>
    <w:rsid w:val="00272773"/>
    <w:rsid w:val="0027294B"/>
    <w:rsid w:val="00273053"/>
    <w:rsid w:val="00273135"/>
    <w:rsid w:val="002734FB"/>
    <w:rsid w:val="00273611"/>
    <w:rsid w:val="00273A2F"/>
    <w:rsid w:val="00273EB4"/>
    <w:rsid w:val="002741EA"/>
    <w:rsid w:val="00274682"/>
    <w:rsid w:val="002749C2"/>
    <w:rsid w:val="00275158"/>
    <w:rsid w:val="0027556E"/>
    <w:rsid w:val="002755B9"/>
    <w:rsid w:val="00275675"/>
    <w:rsid w:val="00275C5A"/>
    <w:rsid w:val="00275EBC"/>
    <w:rsid w:val="002760CD"/>
    <w:rsid w:val="0027611B"/>
    <w:rsid w:val="0027691B"/>
    <w:rsid w:val="00277614"/>
    <w:rsid w:val="00280345"/>
    <w:rsid w:val="00280F9E"/>
    <w:rsid w:val="00281014"/>
    <w:rsid w:val="0028150F"/>
    <w:rsid w:val="00281EEC"/>
    <w:rsid w:val="00282277"/>
    <w:rsid w:val="002822FD"/>
    <w:rsid w:val="002827D1"/>
    <w:rsid w:val="00282FF2"/>
    <w:rsid w:val="00283664"/>
    <w:rsid w:val="002836FA"/>
    <w:rsid w:val="00283DBE"/>
    <w:rsid w:val="00284603"/>
    <w:rsid w:val="00284FBB"/>
    <w:rsid w:val="00285490"/>
    <w:rsid w:val="00285BCE"/>
    <w:rsid w:val="0028651D"/>
    <w:rsid w:val="0028665D"/>
    <w:rsid w:val="00286C4D"/>
    <w:rsid w:val="002872F5"/>
    <w:rsid w:val="00287843"/>
    <w:rsid w:val="00287AFA"/>
    <w:rsid w:val="00287C6A"/>
    <w:rsid w:val="00287DFC"/>
    <w:rsid w:val="00290359"/>
    <w:rsid w:val="002907AB"/>
    <w:rsid w:val="00290B1D"/>
    <w:rsid w:val="002911DC"/>
    <w:rsid w:val="0029163D"/>
    <w:rsid w:val="002920B9"/>
    <w:rsid w:val="00292636"/>
    <w:rsid w:val="002928EE"/>
    <w:rsid w:val="002934A9"/>
    <w:rsid w:val="002940E2"/>
    <w:rsid w:val="00294513"/>
    <w:rsid w:val="0029489C"/>
    <w:rsid w:val="00294EF5"/>
    <w:rsid w:val="002952BD"/>
    <w:rsid w:val="00295696"/>
    <w:rsid w:val="00295E6C"/>
    <w:rsid w:val="00295F36"/>
    <w:rsid w:val="00296018"/>
    <w:rsid w:val="00296299"/>
    <w:rsid w:val="002963C1"/>
    <w:rsid w:val="00296507"/>
    <w:rsid w:val="002965A2"/>
    <w:rsid w:val="00297503"/>
    <w:rsid w:val="002979CB"/>
    <w:rsid w:val="00297A01"/>
    <w:rsid w:val="00297A27"/>
    <w:rsid w:val="002A0065"/>
    <w:rsid w:val="002A084F"/>
    <w:rsid w:val="002A122B"/>
    <w:rsid w:val="002A14AB"/>
    <w:rsid w:val="002A2ADE"/>
    <w:rsid w:val="002A2DEF"/>
    <w:rsid w:val="002A2F50"/>
    <w:rsid w:val="002A481B"/>
    <w:rsid w:val="002A5186"/>
    <w:rsid w:val="002A5348"/>
    <w:rsid w:val="002A5384"/>
    <w:rsid w:val="002A5514"/>
    <w:rsid w:val="002A58F3"/>
    <w:rsid w:val="002A5BAF"/>
    <w:rsid w:val="002A7943"/>
    <w:rsid w:val="002B05A1"/>
    <w:rsid w:val="002B09A4"/>
    <w:rsid w:val="002B0E1A"/>
    <w:rsid w:val="002B109B"/>
    <w:rsid w:val="002B1357"/>
    <w:rsid w:val="002B1512"/>
    <w:rsid w:val="002B15CF"/>
    <w:rsid w:val="002B1C1F"/>
    <w:rsid w:val="002B24E1"/>
    <w:rsid w:val="002B25A2"/>
    <w:rsid w:val="002B281E"/>
    <w:rsid w:val="002B2E79"/>
    <w:rsid w:val="002B3723"/>
    <w:rsid w:val="002B3E4F"/>
    <w:rsid w:val="002B432F"/>
    <w:rsid w:val="002B4778"/>
    <w:rsid w:val="002B55A1"/>
    <w:rsid w:val="002B5C55"/>
    <w:rsid w:val="002B5F04"/>
    <w:rsid w:val="002B61D5"/>
    <w:rsid w:val="002B62B3"/>
    <w:rsid w:val="002B6754"/>
    <w:rsid w:val="002B6CCE"/>
    <w:rsid w:val="002B7DF8"/>
    <w:rsid w:val="002C0B7A"/>
    <w:rsid w:val="002C1289"/>
    <w:rsid w:val="002C1667"/>
    <w:rsid w:val="002C1F09"/>
    <w:rsid w:val="002C2088"/>
    <w:rsid w:val="002C2510"/>
    <w:rsid w:val="002C2775"/>
    <w:rsid w:val="002C27C1"/>
    <w:rsid w:val="002C2A50"/>
    <w:rsid w:val="002C2BBE"/>
    <w:rsid w:val="002C36E3"/>
    <w:rsid w:val="002C3B00"/>
    <w:rsid w:val="002C4714"/>
    <w:rsid w:val="002C4B33"/>
    <w:rsid w:val="002C4F17"/>
    <w:rsid w:val="002C5099"/>
    <w:rsid w:val="002C5889"/>
    <w:rsid w:val="002C6717"/>
    <w:rsid w:val="002C7009"/>
    <w:rsid w:val="002C71BA"/>
    <w:rsid w:val="002C71CE"/>
    <w:rsid w:val="002C7A13"/>
    <w:rsid w:val="002C7D97"/>
    <w:rsid w:val="002D05DC"/>
    <w:rsid w:val="002D08F8"/>
    <w:rsid w:val="002D09A0"/>
    <w:rsid w:val="002D13D2"/>
    <w:rsid w:val="002D1446"/>
    <w:rsid w:val="002D253A"/>
    <w:rsid w:val="002D28B4"/>
    <w:rsid w:val="002D2A8D"/>
    <w:rsid w:val="002D2DFD"/>
    <w:rsid w:val="002D3F6B"/>
    <w:rsid w:val="002D4724"/>
    <w:rsid w:val="002D4A2D"/>
    <w:rsid w:val="002D577C"/>
    <w:rsid w:val="002D585C"/>
    <w:rsid w:val="002D5D77"/>
    <w:rsid w:val="002D5EB8"/>
    <w:rsid w:val="002D5FCA"/>
    <w:rsid w:val="002D7253"/>
    <w:rsid w:val="002D7832"/>
    <w:rsid w:val="002E06EE"/>
    <w:rsid w:val="002E0E42"/>
    <w:rsid w:val="002E1071"/>
    <w:rsid w:val="002E130F"/>
    <w:rsid w:val="002E158F"/>
    <w:rsid w:val="002E15B9"/>
    <w:rsid w:val="002E15F5"/>
    <w:rsid w:val="002E192D"/>
    <w:rsid w:val="002E1CC8"/>
    <w:rsid w:val="002E2078"/>
    <w:rsid w:val="002E2158"/>
    <w:rsid w:val="002E28C0"/>
    <w:rsid w:val="002E30E1"/>
    <w:rsid w:val="002E4CDB"/>
    <w:rsid w:val="002E4F02"/>
    <w:rsid w:val="002E52AE"/>
    <w:rsid w:val="002E58B6"/>
    <w:rsid w:val="002E5962"/>
    <w:rsid w:val="002E5E8C"/>
    <w:rsid w:val="002E6257"/>
    <w:rsid w:val="002E7722"/>
    <w:rsid w:val="002E79AC"/>
    <w:rsid w:val="002F03F7"/>
    <w:rsid w:val="002F07BA"/>
    <w:rsid w:val="002F0DA9"/>
    <w:rsid w:val="002F1014"/>
    <w:rsid w:val="002F1B19"/>
    <w:rsid w:val="002F1E3B"/>
    <w:rsid w:val="002F22A0"/>
    <w:rsid w:val="002F28AB"/>
    <w:rsid w:val="002F2A16"/>
    <w:rsid w:val="002F2B17"/>
    <w:rsid w:val="002F2D20"/>
    <w:rsid w:val="002F3362"/>
    <w:rsid w:val="002F3858"/>
    <w:rsid w:val="002F3BB9"/>
    <w:rsid w:val="002F40CE"/>
    <w:rsid w:val="002F4969"/>
    <w:rsid w:val="002F4D9A"/>
    <w:rsid w:val="002F57C8"/>
    <w:rsid w:val="002F596A"/>
    <w:rsid w:val="002F5F2B"/>
    <w:rsid w:val="002F6076"/>
    <w:rsid w:val="002F643C"/>
    <w:rsid w:val="002F71C0"/>
    <w:rsid w:val="002F74F1"/>
    <w:rsid w:val="002F785B"/>
    <w:rsid w:val="00300CC6"/>
    <w:rsid w:val="00300D00"/>
    <w:rsid w:val="00300F5B"/>
    <w:rsid w:val="00300FFB"/>
    <w:rsid w:val="00301017"/>
    <w:rsid w:val="0030155F"/>
    <w:rsid w:val="00301807"/>
    <w:rsid w:val="00301D14"/>
    <w:rsid w:val="003020FF"/>
    <w:rsid w:val="003028EA"/>
    <w:rsid w:val="00302F42"/>
    <w:rsid w:val="00303587"/>
    <w:rsid w:val="00303853"/>
    <w:rsid w:val="00303872"/>
    <w:rsid w:val="00303B81"/>
    <w:rsid w:val="00303F62"/>
    <w:rsid w:val="003051FF"/>
    <w:rsid w:val="0030530C"/>
    <w:rsid w:val="00305493"/>
    <w:rsid w:val="00305814"/>
    <w:rsid w:val="0030587B"/>
    <w:rsid w:val="00305A3A"/>
    <w:rsid w:val="00305F57"/>
    <w:rsid w:val="00306829"/>
    <w:rsid w:val="00306D98"/>
    <w:rsid w:val="0030786C"/>
    <w:rsid w:val="00307AB5"/>
    <w:rsid w:val="00307BEF"/>
    <w:rsid w:val="00307E28"/>
    <w:rsid w:val="0031031A"/>
    <w:rsid w:val="00310424"/>
    <w:rsid w:val="0031046B"/>
    <w:rsid w:val="003105EB"/>
    <w:rsid w:val="003106D1"/>
    <w:rsid w:val="00310981"/>
    <w:rsid w:val="00310E91"/>
    <w:rsid w:val="00310F1F"/>
    <w:rsid w:val="00311A70"/>
    <w:rsid w:val="00311D9B"/>
    <w:rsid w:val="00312122"/>
    <w:rsid w:val="00312407"/>
    <w:rsid w:val="003124D9"/>
    <w:rsid w:val="003124FC"/>
    <w:rsid w:val="0031250B"/>
    <w:rsid w:val="00312594"/>
    <w:rsid w:val="00312845"/>
    <w:rsid w:val="003136F3"/>
    <w:rsid w:val="00313C10"/>
    <w:rsid w:val="00313D74"/>
    <w:rsid w:val="0031493F"/>
    <w:rsid w:val="0031495F"/>
    <w:rsid w:val="00314BC7"/>
    <w:rsid w:val="00314CA7"/>
    <w:rsid w:val="00315498"/>
    <w:rsid w:val="00316474"/>
    <w:rsid w:val="00316527"/>
    <w:rsid w:val="0031722F"/>
    <w:rsid w:val="00317338"/>
    <w:rsid w:val="00317E1D"/>
    <w:rsid w:val="00320168"/>
    <w:rsid w:val="003211AC"/>
    <w:rsid w:val="0032178B"/>
    <w:rsid w:val="003218ED"/>
    <w:rsid w:val="00322107"/>
    <w:rsid w:val="0032219D"/>
    <w:rsid w:val="00322355"/>
    <w:rsid w:val="00322535"/>
    <w:rsid w:val="00322692"/>
    <w:rsid w:val="00322846"/>
    <w:rsid w:val="003229F9"/>
    <w:rsid w:val="00322D43"/>
    <w:rsid w:val="0032313F"/>
    <w:rsid w:val="00323157"/>
    <w:rsid w:val="0032352D"/>
    <w:rsid w:val="00324957"/>
    <w:rsid w:val="00324D78"/>
    <w:rsid w:val="00324F10"/>
    <w:rsid w:val="0032560B"/>
    <w:rsid w:val="00326520"/>
    <w:rsid w:val="00326DA7"/>
    <w:rsid w:val="003270E4"/>
    <w:rsid w:val="00327775"/>
    <w:rsid w:val="00327AA4"/>
    <w:rsid w:val="00330137"/>
    <w:rsid w:val="003305F7"/>
    <w:rsid w:val="003309E1"/>
    <w:rsid w:val="00330DAA"/>
    <w:rsid w:val="00330F5C"/>
    <w:rsid w:val="00331ACF"/>
    <w:rsid w:val="0033280C"/>
    <w:rsid w:val="00332B3D"/>
    <w:rsid w:val="00332F79"/>
    <w:rsid w:val="00333899"/>
    <w:rsid w:val="00333A60"/>
    <w:rsid w:val="00333D44"/>
    <w:rsid w:val="00333FBC"/>
    <w:rsid w:val="003340E8"/>
    <w:rsid w:val="003350F6"/>
    <w:rsid w:val="0033559E"/>
    <w:rsid w:val="00335D76"/>
    <w:rsid w:val="0033604B"/>
    <w:rsid w:val="00336162"/>
    <w:rsid w:val="003364B2"/>
    <w:rsid w:val="003366C9"/>
    <w:rsid w:val="0033683E"/>
    <w:rsid w:val="00336FB6"/>
    <w:rsid w:val="003371B0"/>
    <w:rsid w:val="003371B6"/>
    <w:rsid w:val="00337C75"/>
    <w:rsid w:val="00337E73"/>
    <w:rsid w:val="00340DF1"/>
    <w:rsid w:val="003424DA"/>
    <w:rsid w:val="0034386A"/>
    <w:rsid w:val="003439C4"/>
    <w:rsid w:val="00344FF3"/>
    <w:rsid w:val="0034509E"/>
    <w:rsid w:val="00345272"/>
    <w:rsid w:val="00345B32"/>
    <w:rsid w:val="00346128"/>
    <w:rsid w:val="0034676A"/>
    <w:rsid w:val="00346DBD"/>
    <w:rsid w:val="00347D4C"/>
    <w:rsid w:val="003502D2"/>
    <w:rsid w:val="0035153F"/>
    <w:rsid w:val="00351621"/>
    <w:rsid w:val="003516AE"/>
    <w:rsid w:val="003517F9"/>
    <w:rsid w:val="003519B0"/>
    <w:rsid w:val="00351BA9"/>
    <w:rsid w:val="00351FFF"/>
    <w:rsid w:val="00352D69"/>
    <w:rsid w:val="00353514"/>
    <w:rsid w:val="00353D52"/>
    <w:rsid w:val="00353F25"/>
    <w:rsid w:val="003541A3"/>
    <w:rsid w:val="003545AD"/>
    <w:rsid w:val="00354E10"/>
    <w:rsid w:val="00354E3C"/>
    <w:rsid w:val="00354F64"/>
    <w:rsid w:val="00355BF2"/>
    <w:rsid w:val="00355C25"/>
    <w:rsid w:val="0035620E"/>
    <w:rsid w:val="0035660A"/>
    <w:rsid w:val="0035669C"/>
    <w:rsid w:val="00356E4B"/>
    <w:rsid w:val="003570FA"/>
    <w:rsid w:val="003575BE"/>
    <w:rsid w:val="003578ED"/>
    <w:rsid w:val="00357D92"/>
    <w:rsid w:val="00360345"/>
    <w:rsid w:val="00361225"/>
    <w:rsid w:val="003619D5"/>
    <w:rsid w:val="00361A05"/>
    <w:rsid w:val="00361E9E"/>
    <w:rsid w:val="00362080"/>
    <w:rsid w:val="00362180"/>
    <w:rsid w:val="003624C4"/>
    <w:rsid w:val="00362BBB"/>
    <w:rsid w:val="00363B00"/>
    <w:rsid w:val="00364CFD"/>
    <w:rsid w:val="00365499"/>
    <w:rsid w:val="003654AC"/>
    <w:rsid w:val="003656BE"/>
    <w:rsid w:val="00367171"/>
    <w:rsid w:val="003679C0"/>
    <w:rsid w:val="00367A7C"/>
    <w:rsid w:val="00370354"/>
    <w:rsid w:val="003706FB"/>
    <w:rsid w:val="003710CF"/>
    <w:rsid w:val="003710F7"/>
    <w:rsid w:val="0037138C"/>
    <w:rsid w:val="0037233D"/>
    <w:rsid w:val="003725CE"/>
    <w:rsid w:val="00372A70"/>
    <w:rsid w:val="0037308F"/>
    <w:rsid w:val="003733F8"/>
    <w:rsid w:val="0037358A"/>
    <w:rsid w:val="00373CDF"/>
    <w:rsid w:val="003750F6"/>
    <w:rsid w:val="0037551E"/>
    <w:rsid w:val="00375BB8"/>
    <w:rsid w:val="00376057"/>
    <w:rsid w:val="003760FC"/>
    <w:rsid w:val="00376446"/>
    <w:rsid w:val="00376D98"/>
    <w:rsid w:val="00376E6A"/>
    <w:rsid w:val="003776E7"/>
    <w:rsid w:val="00377FDC"/>
    <w:rsid w:val="003804D7"/>
    <w:rsid w:val="003805BC"/>
    <w:rsid w:val="00380788"/>
    <w:rsid w:val="00380AC6"/>
    <w:rsid w:val="00380E67"/>
    <w:rsid w:val="00381249"/>
    <w:rsid w:val="00381C5B"/>
    <w:rsid w:val="00381D9A"/>
    <w:rsid w:val="00381F7E"/>
    <w:rsid w:val="00381FC3"/>
    <w:rsid w:val="0038212B"/>
    <w:rsid w:val="003822EB"/>
    <w:rsid w:val="00382B7D"/>
    <w:rsid w:val="003833AD"/>
    <w:rsid w:val="00383489"/>
    <w:rsid w:val="0038365C"/>
    <w:rsid w:val="0038369B"/>
    <w:rsid w:val="00383716"/>
    <w:rsid w:val="00383B78"/>
    <w:rsid w:val="00383CC2"/>
    <w:rsid w:val="00384269"/>
    <w:rsid w:val="0038435F"/>
    <w:rsid w:val="00384892"/>
    <w:rsid w:val="003851EE"/>
    <w:rsid w:val="0038525F"/>
    <w:rsid w:val="0038571A"/>
    <w:rsid w:val="00385A9D"/>
    <w:rsid w:val="00385E86"/>
    <w:rsid w:val="00385F3E"/>
    <w:rsid w:val="00386546"/>
    <w:rsid w:val="00386FBA"/>
    <w:rsid w:val="00387121"/>
    <w:rsid w:val="003873F5"/>
    <w:rsid w:val="0038746E"/>
    <w:rsid w:val="003879BD"/>
    <w:rsid w:val="003902B1"/>
    <w:rsid w:val="00390859"/>
    <w:rsid w:val="00390D53"/>
    <w:rsid w:val="0039148A"/>
    <w:rsid w:val="0039179C"/>
    <w:rsid w:val="003918A5"/>
    <w:rsid w:val="0039345E"/>
    <w:rsid w:val="00394217"/>
    <w:rsid w:val="003946EB"/>
    <w:rsid w:val="00394A5B"/>
    <w:rsid w:val="0039555D"/>
    <w:rsid w:val="00395A6E"/>
    <w:rsid w:val="00396098"/>
    <w:rsid w:val="00396418"/>
    <w:rsid w:val="00396491"/>
    <w:rsid w:val="003967CC"/>
    <w:rsid w:val="00396896"/>
    <w:rsid w:val="00396FD0"/>
    <w:rsid w:val="003971AE"/>
    <w:rsid w:val="003973A8"/>
    <w:rsid w:val="00397946"/>
    <w:rsid w:val="00397E6A"/>
    <w:rsid w:val="003A018A"/>
    <w:rsid w:val="003A0962"/>
    <w:rsid w:val="003A0EB4"/>
    <w:rsid w:val="003A1A49"/>
    <w:rsid w:val="003A1A7A"/>
    <w:rsid w:val="003A1B88"/>
    <w:rsid w:val="003A2392"/>
    <w:rsid w:val="003A25B2"/>
    <w:rsid w:val="003A2831"/>
    <w:rsid w:val="003A35F5"/>
    <w:rsid w:val="003A3CB6"/>
    <w:rsid w:val="003A3ED1"/>
    <w:rsid w:val="003A44DB"/>
    <w:rsid w:val="003A4A94"/>
    <w:rsid w:val="003A4C14"/>
    <w:rsid w:val="003A5583"/>
    <w:rsid w:val="003A58E8"/>
    <w:rsid w:val="003A5DC5"/>
    <w:rsid w:val="003A6A50"/>
    <w:rsid w:val="003A7126"/>
    <w:rsid w:val="003A7942"/>
    <w:rsid w:val="003A7D38"/>
    <w:rsid w:val="003B015B"/>
    <w:rsid w:val="003B04C6"/>
    <w:rsid w:val="003B0F7D"/>
    <w:rsid w:val="003B1E3E"/>
    <w:rsid w:val="003B2564"/>
    <w:rsid w:val="003B25D1"/>
    <w:rsid w:val="003B2F8C"/>
    <w:rsid w:val="003B324B"/>
    <w:rsid w:val="003B3912"/>
    <w:rsid w:val="003B3971"/>
    <w:rsid w:val="003B44FA"/>
    <w:rsid w:val="003B4576"/>
    <w:rsid w:val="003B47C9"/>
    <w:rsid w:val="003B5243"/>
    <w:rsid w:val="003B53BE"/>
    <w:rsid w:val="003B55AF"/>
    <w:rsid w:val="003B55D1"/>
    <w:rsid w:val="003B581D"/>
    <w:rsid w:val="003B5879"/>
    <w:rsid w:val="003B58E4"/>
    <w:rsid w:val="003B5AE7"/>
    <w:rsid w:val="003B5B61"/>
    <w:rsid w:val="003B67E5"/>
    <w:rsid w:val="003B6813"/>
    <w:rsid w:val="003B6E78"/>
    <w:rsid w:val="003B6F57"/>
    <w:rsid w:val="003B720D"/>
    <w:rsid w:val="003B726D"/>
    <w:rsid w:val="003B73D8"/>
    <w:rsid w:val="003C02F8"/>
    <w:rsid w:val="003C0A50"/>
    <w:rsid w:val="003C0B71"/>
    <w:rsid w:val="003C1654"/>
    <w:rsid w:val="003C1E39"/>
    <w:rsid w:val="003C2E61"/>
    <w:rsid w:val="003C31D9"/>
    <w:rsid w:val="003C3945"/>
    <w:rsid w:val="003C3CBE"/>
    <w:rsid w:val="003C5542"/>
    <w:rsid w:val="003C558D"/>
    <w:rsid w:val="003C5B8C"/>
    <w:rsid w:val="003C5EDC"/>
    <w:rsid w:val="003C619B"/>
    <w:rsid w:val="003C6399"/>
    <w:rsid w:val="003C65E7"/>
    <w:rsid w:val="003C66D2"/>
    <w:rsid w:val="003C67E5"/>
    <w:rsid w:val="003C6C86"/>
    <w:rsid w:val="003C7143"/>
    <w:rsid w:val="003C75F6"/>
    <w:rsid w:val="003C7C15"/>
    <w:rsid w:val="003C7D19"/>
    <w:rsid w:val="003C7D2F"/>
    <w:rsid w:val="003D04B1"/>
    <w:rsid w:val="003D069E"/>
    <w:rsid w:val="003D091E"/>
    <w:rsid w:val="003D0A78"/>
    <w:rsid w:val="003D0C5A"/>
    <w:rsid w:val="003D1103"/>
    <w:rsid w:val="003D139F"/>
    <w:rsid w:val="003D1828"/>
    <w:rsid w:val="003D193A"/>
    <w:rsid w:val="003D1DE4"/>
    <w:rsid w:val="003D1E9A"/>
    <w:rsid w:val="003D22F2"/>
    <w:rsid w:val="003D235D"/>
    <w:rsid w:val="003D2422"/>
    <w:rsid w:val="003D29CA"/>
    <w:rsid w:val="003D2EB5"/>
    <w:rsid w:val="003D3576"/>
    <w:rsid w:val="003D37BF"/>
    <w:rsid w:val="003D39A1"/>
    <w:rsid w:val="003D3BF7"/>
    <w:rsid w:val="003D3FBF"/>
    <w:rsid w:val="003D430E"/>
    <w:rsid w:val="003D4353"/>
    <w:rsid w:val="003D4983"/>
    <w:rsid w:val="003D4A30"/>
    <w:rsid w:val="003D50C6"/>
    <w:rsid w:val="003D5C59"/>
    <w:rsid w:val="003D5E40"/>
    <w:rsid w:val="003D5F3B"/>
    <w:rsid w:val="003D6682"/>
    <w:rsid w:val="003D6A39"/>
    <w:rsid w:val="003D70A0"/>
    <w:rsid w:val="003D7275"/>
    <w:rsid w:val="003D7452"/>
    <w:rsid w:val="003D79BB"/>
    <w:rsid w:val="003D7C98"/>
    <w:rsid w:val="003D7D9D"/>
    <w:rsid w:val="003E019B"/>
    <w:rsid w:val="003E0249"/>
    <w:rsid w:val="003E0369"/>
    <w:rsid w:val="003E0543"/>
    <w:rsid w:val="003E0D57"/>
    <w:rsid w:val="003E13F9"/>
    <w:rsid w:val="003E284D"/>
    <w:rsid w:val="003E2A08"/>
    <w:rsid w:val="003E3370"/>
    <w:rsid w:val="003E51D5"/>
    <w:rsid w:val="003E5603"/>
    <w:rsid w:val="003E597E"/>
    <w:rsid w:val="003E5C66"/>
    <w:rsid w:val="003E5D8B"/>
    <w:rsid w:val="003E5E04"/>
    <w:rsid w:val="003E6585"/>
    <w:rsid w:val="003E6CE8"/>
    <w:rsid w:val="003E6ED7"/>
    <w:rsid w:val="003E749E"/>
    <w:rsid w:val="003E756F"/>
    <w:rsid w:val="003E77EE"/>
    <w:rsid w:val="003E7DDB"/>
    <w:rsid w:val="003E7F70"/>
    <w:rsid w:val="003F058B"/>
    <w:rsid w:val="003F0717"/>
    <w:rsid w:val="003F0A28"/>
    <w:rsid w:val="003F0A69"/>
    <w:rsid w:val="003F0D23"/>
    <w:rsid w:val="003F10EB"/>
    <w:rsid w:val="003F2530"/>
    <w:rsid w:val="003F2865"/>
    <w:rsid w:val="003F2C7D"/>
    <w:rsid w:val="003F3395"/>
    <w:rsid w:val="003F3A7C"/>
    <w:rsid w:val="003F4156"/>
    <w:rsid w:val="003F4B26"/>
    <w:rsid w:val="003F5666"/>
    <w:rsid w:val="003F5ADF"/>
    <w:rsid w:val="003F5CAB"/>
    <w:rsid w:val="003F6C53"/>
    <w:rsid w:val="003F6D49"/>
    <w:rsid w:val="003F6F02"/>
    <w:rsid w:val="003F7FB7"/>
    <w:rsid w:val="00400016"/>
    <w:rsid w:val="004005EC"/>
    <w:rsid w:val="00400B29"/>
    <w:rsid w:val="00400B73"/>
    <w:rsid w:val="00400FD5"/>
    <w:rsid w:val="00401028"/>
    <w:rsid w:val="004010B6"/>
    <w:rsid w:val="00401847"/>
    <w:rsid w:val="0040187D"/>
    <w:rsid w:val="00401BD2"/>
    <w:rsid w:val="0040206E"/>
    <w:rsid w:val="00402780"/>
    <w:rsid w:val="00402812"/>
    <w:rsid w:val="00402846"/>
    <w:rsid w:val="00402BF9"/>
    <w:rsid w:val="00403292"/>
    <w:rsid w:val="0040337E"/>
    <w:rsid w:val="00403641"/>
    <w:rsid w:val="004037D8"/>
    <w:rsid w:val="00403B3E"/>
    <w:rsid w:val="0040431D"/>
    <w:rsid w:val="0040504B"/>
    <w:rsid w:val="004059F4"/>
    <w:rsid w:val="00405CD3"/>
    <w:rsid w:val="00406832"/>
    <w:rsid w:val="00406F25"/>
    <w:rsid w:val="00406F56"/>
    <w:rsid w:val="00407F67"/>
    <w:rsid w:val="00407FE5"/>
    <w:rsid w:val="004101B0"/>
    <w:rsid w:val="004101F3"/>
    <w:rsid w:val="00410326"/>
    <w:rsid w:val="00410708"/>
    <w:rsid w:val="004107A2"/>
    <w:rsid w:val="0041086A"/>
    <w:rsid w:val="00410EC7"/>
    <w:rsid w:val="00411139"/>
    <w:rsid w:val="00411AB2"/>
    <w:rsid w:val="00411B39"/>
    <w:rsid w:val="0041273F"/>
    <w:rsid w:val="004127A7"/>
    <w:rsid w:val="00412FC3"/>
    <w:rsid w:val="0041317C"/>
    <w:rsid w:val="004134ED"/>
    <w:rsid w:val="00413A1E"/>
    <w:rsid w:val="00413B96"/>
    <w:rsid w:val="00413D2D"/>
    <w:rsid w:val="00414264"/>
    <w:rsid w:val="00414476"/>
    <w:rsid w:val="00414C2E"/>
    <w:rsid w:val="0041513D"/>
    <w:rsid w:val="004151CF"/>
    <w:rsid w:val="00416139"/>
    <w:rsid w:val="004161AF"/>
    <w:rsid w:val="00416364"/>
    <w:rsid w:val="00416A29"/>
    <w:rsid w:val="00416D67"/>
    <w:rsid w:val="004170FE"/>
    <w:rsid w:val="0041747A"/>
    <w:rsid w:val="0041763C"/>
    <w:rsid w:val="00417830"/>
    <w:rsid w:val="0042047F"/>
    <w:rsid w:val="00420A8D"/>
    <w:rsid w:val="00420AA6"/>
    <w:rsid w:val="00420AAC"/>
    <w:rsid w:val="00420B9F"/>
    <w:rsid w:val="00421020"/>
    <w:rsid w:val="00421050"/>
    <w:rsid w:val="004213B0"/>
    <w:rsid w:val="0042192C"/>
    <w:rsid w:val="004220B9"/>
    <w:rsid w:val="00422260"/>
    <w:rsid w:val="00422DBD"/>
    <w:rsid w:val="00422E69"/>
    <w:rsid w:val="00422E9F"/>
    <w:rsid w:val="00423E47"/>
    <w:rsid w:val="00423EB6"/>
    <w:rsid w:val="0042413F"/>
    <w:rsid w:val="004242A0"/>
    <w:rsid w:val="00424526"/>
    <w:rsid w:val="00424618"/>
    <w:rsid w:val="004251F6"/>
    <w:rsid w:val="00425F1A"/>
    <w:rsid w:val="00426965"/>
    <w:rsid w:val="004270B5"/>
    <w:rsid w:val="0042767B"/>
    <w:rsid w:val="00427A65"/>
    <w:rsid w:val="00430803"/>
    <w:rsid w:val="00430997"/>
    <w:rsid w:val="00430B38"/>
    <w:rsid w:val="00430F40"/>
    <w:rsid w:val="0043179E"/>
    <w:rsid w:val="004319F8"/>
    <w:rsid w:val="00431C2C"/>
    <w:rsid w:val="00431E55"/>
    <w:rsid w:val="004321F6"/>
    <w:rsid w:val="0043287A"/>
    <w:rsid w:val="00432970"/>
    <w:rsid w:val="00433044"/>
    <w:rsid w:val="004334CC"/>
    <w:rsid w:val="004334FD"/>
    <w:rsid w:val="00433764"/>
    <w:rsid w:val="004339E0"/>
    <w:rsid w:val="00433AF3"/>
    <w:rsid w:val="00433B07"/>
    <w:rsid w:val="00433BF7"/>
    <w:rsid w:val="00434088"/>
    <w:rsid w:val="00434205"/>
    <w:rsid w:val="004354DA"/>
    <w:rsid w:val="00436C6D"/>
    <w:rsid w:val="004375B9"/>
    <w:rsid w:val="00437B91"/>
    <w:rsid w:val="00440D72"/>
    <w:rsid w:val="00441148"/>
    <w:rsid w:val="0044153D"/>
    <w:rsid w:val="00442000"/>
    <w:rsid w:val="004428D0"/>
    <w:rsid w:val="004428E4"/>
    <w:rsid w:val="00443C11"/>
    <w:rsid w:val="00444185"/>
    <w:rsid w:val="004443A7"/>
    <w:rsid w:val="0044442C"/>
    <w:rsid w:val="004446C7"/>
    <w:rsid w:val="00444E8C"/>
    <w:rsid w:val="004458C9"/>
    <w:rsid w:val="00445941"/>
    <w:rsid w:val="00445B2C"/>
    <w:rsid w:val="00445BFE"/>
    <w:rsid w:val="004464EB"/>
    <w:rsid w:val="004466EE"/>
    <w:rsid w:val="00446960"/>
    <w:rsid w:val="00446E37"/>
    <w:rsid w:val="00447D26"/>
    <w:rsid w:val="00447DFC"/>
    <w:rsid w:val="00450BF2"/>
    <w:rsid w:val="0045105F"/>
    <w:rsid w:val="00451FEA"/>
    <w:rsid w:val="00452650"/>
    <w:rsid w:val="00452C78"/>
    <w:rsid w:val="00453A8D"/>
    <w:rsid w:val="00453FB8"/>
    <w:rsid w:val="00454426"/>
    <w:rsid w:val="0045472B"/>
    <w:rsid w:val="00454FED"/>
    <w:rsid w:val="004553DA"/>
    <w:rsid w:val="00455CBC"/>
    <w:rsid w:val="00455D45"/>
    <w:rsid w:val="004570F0"/>
    <w:rsid w:val="004601A7"/>
    <w:rsid w:val="00460529"/>
    <w:rsid w:val="00460BC0"/>
    <w:rsid w:val="0046165F"/>
    <w:rsid w:val="0046269B"/>
    <w:rsid w:val="004627B7"/>
    <w:rsid w:val="00462D6F"/>
    <w:rsid w:val="00463742"/>
    <w:rsid w:val="00463864"/>
    <w:rsid w:val="00463A73"/>
    <w:rsid w:val="00463B76"/>
    <w:rsid w:val="00463C2B"/>
    <w:rsid w:val="00464595"/>
    <w:rsid w:val="004646FF"/>
    <w:rsid w:val="00464C3B"/>
    <w:rsid w:val="004658B5"/>
    <w:rsid w:val="00465983"/>
    <w:rsid w:val="0046686A"/>
    <w:rsid w:val="00466B38"/>
    <w:rsid w:val="00470107"/>
    <w:rsid w:val="0047022F"/>
    <w:rsid w:val="00470559"/>
    <w:rsid w:val="00471BAE"/>
    <w:rsid w:val="00471EA5"/>
    <w:rsid w:val="00472A79"/>
    <w:rsid w:val="00473F19"/>
    <w:rsid w:val="00474C35"/>
    <w:rsid w:val="00474DCF"/>
    <w:rsid w:val="00475358"/>
    <w:rsid w:val="004759F0"/>
    <w:rsid w:val="00475E22"/>
    <w:rsid w:val="00476280"/>
    <w:rsid w:val="0047669B"/>
    <w:rsid w:val="004767BE"/>
    <w:rsid w:val="00476A37"/>
    <w:rsid w:val="00476CCD"/>
    <w:rsid w:val="004775A5"/>
    <w:rsid w:val="00477E0B"/>
    <w:rsid w:val="0048012F"/>
    <w:rsid w:val="0048088E"/>
    <w:rsid w:val="00480F12"/>
    <w:rsid w:val="00480F2B"/>
    <w:rsid w:val="00481476"/>
    <w:rsid w:val="00481542"/>
    <w:rsid w:val="00481740"/>
    <w:rsid w:val="00481A12"/>
    <w:rsid w:val="00481C44"/>
    <w:rsid w:val="00481E92"/>
    <w:rsid w:val="00482720"/>
    <w:rsid w:val="004827AC"/>
    <w:rsid w:val="004830E7"/>
    <w:rsid w:val="004831EE"/>
    <w:rsid w:val="004835E7"/>
    <w:rsid w:val="004838BA"/>
    <w:rsid w:val="004838F4"/>
    <w:rsid w:val="004857F0"/>
    <w:rsid w:val="0048583D"/>
    <w:rsid w:val="004859E1"/>
    <w:rsid w:val="00485AA8"/>
    <w:rsid w:val="004861A9"/>
    <w:rsid w:val="004861CE"/>
    <w:rsid w:val="004867E2"/>
    <w:rsid w:val="00487031"/>
    <w:rsid w:val="004900C5"/>
    <w:rsid w:val="0049010C"/>
    <w:rsid w:val="00490B17"/>
    <w:rsid w:val="00490E1F"/>
    <w:rsid w:val="00490EFD"/>
    <w:rsid w:val="00491B3A"/>
    <w:rsid w:val="004927F7"/>
    <w:rsid w:val="00492CFD"/>
    <w:rsid w:val="00492FE5"/>
    <w:rsid w:val="00493166"/>
    <w:rsid w:val="004941EA"/>
    <w:rsid w:val="00494207"/>
    <w:rsid w:val="00494463"/>
    <w:rsid w:val="00494DD5"/>
    <w:rsid w:val="004950A8"/>
    <w:rsid w:val="0049531E"/>
    <w:rsid w:val="00495401"/>
    <w:rsid w:val="00495C65"/>
    <w:rsid w:val="00495EE3"/>
    <w:rsid w:val="00496031"/>
    <w:rsid w:val="00496290"/>
    <w:rsid w:val="004962D2"/>
    <w:rsid w:val="00496B69"/>
    <w:rsid w:val="00496BA4"/>
    <w:rsid w:val="0049700B"/>
    <w:rsid w:val="004A0AF3"/>
    <w:rsid w:val="004A0DA1"/>
    <w:rsid w:val="004A0FED"/>
    <w:rsid w:val="004A13D6"/>
    <w:rsid w:val="004A2026"/>
    <w:rsid w:val="004A264A"/>
    <w:rsid w:val="004A28BD"/>
    <w:rsid w:val="004A36ED"/>
    <w:rsid w:val="004A377B"/>
    <w:rsid w:val="004A38F9"/>
    <w:rsid w:val="004A3E7B"/>
    <w:rsid w:val="004A40B7"/>
    <w:rsid w:val="004A4694"/>
    <w:rsid w:val="004A52E9"/>
    <w:rsid w:val="004A534C"/>
    <w:rsid w:val="004A6040"/>
    <w:rsid w:val="004A6597"/>
    <w:rsid w:val="004A6F0D"/>
    <w:rsid w:val="004A7106"/>
    <w:rsid w:val="004A7155"/>
    <w:rsid w:val="004A736E"/>
    <w:rsid w:val="004A764B"/>
    <w:rsid w:val="004A7848"/>
    <w:rsid w:val="004A793B"/>
    <w:rsid w:val="004A7FC2"/>
    <w:rsid w:val="004B0B50"/>
    <w:rsid w:val="004B12C2"/>
    <w:rsid w:val="004B1CB4"/>
    <w:rsid w:val="004B1ED4"/>
    <w:rsid w:val="004B2024"/>
    <w:rsid w:val="004B218F"/>
    <w:rsid w:val="004B2488"/>
    <w:rsid w:val="004B2685"/>
    <w:rsid w:val="004B2F18"/>
    <w:rsid w:val="004B31CD"/>
    <w:rsid w:val="004B327F"/>
    <w:rsid w:val="004B3736"/>
    <w:rsid w:val="004B3853"/>
    <w:rsid w:val="004B3B69"/>
    <w:rsid w:val="004B3D50"/>
    <w:rsid w:val="004B3D54"/>
    <w:rsid w:val="004B3DDB"/>
    <w:rsid w:val="004B44FD"/>
    <w:rsid w:val="004B5072"/>
    <w:rsid w:val="004B5CFC"/>
    <w:rsid w:val="004B5F8A"/>
    <w:rsid w:val="004B669E"/>
    <w:rsid w:val="004B67EC"/>
    <w:rsid w:val="004B6DFC"/>
    <w:rsid w:val="004B6F79"/>
    <w:rsid w:val="004B774D"/>
    <w:rsid w:val="004B7F96"/>
    <w:rsid w:val="004C0086"/>
    <w:rsid w:val="004C0CCD"/>
    <w:rsid w:val="004C1B72"/>
    <w:rsid w:val="004C25EB"/>
    <w:rsid w:val="004C28DE"/>
    <w:rsid w:val="004C2AC2"/>
    <w:rsid w:val="004C3B02"/>
    <w:rsid w:val="004C3B42"/>
    <w:rsid w:val="004C3D2D"/>
    <w:rsid w:val="004C3DAA"/>
    <w:rsid w:val="004C3FC7"/>
    <w:rsid w:val="004C462A"/>
    <w:rsid w:val="004C48E2"/>
    <w:rsid w:val="004C4A12"/>
    <w:rsid w:val="004C4AED"/>
    <w:rsid w:val="004C4C73"/>
    <w:rsid w:val="004C5738"/>
    <w:rsid w:val="004C5A5A"/>
    <w:rsid w:val="004C5D44"/>
    <w:rsid w:val="004C69D9"/>
    <w:rsid w:val="004C7293"/>
    <w:rsid w:val="004C7763"/>
    <w:rsid w:val="004D0E68"/>
    <w:rsid w:val="004D1004"/>
    <w:rsid w:val="004D1150"/>
    <w:rsid w:val="004D1184"/>
    <w:rsid w:val="004D196C"/>
    <w:rsid w:val="004D1FB1"/>
    <w:rsid w:val="004D2180"/>
    <w:rsid w:val="004D26F3"/>
    <w:rsid w:val="004D2AFB"/>
    <w:rsid w:val="004D2C2D"/>
    <w:rsid w:val="004D2CDE"/>
    <w:rsid w:val="004D47E4"/>
    <w:rsid w:val="004D53B9"/>
    <w:rsid w:val="004D55EF"/>
    <w:rsid w:val="004D5730"/>
    <w:rsid w:val="004D5DF4"/>
    <w:rsid w:val="004D63D7"/>
    <w:rsid w:val="004D6676"/>
    <w:rsid w:val="004D69B5"/>
    <w:rsid w:val="004D6A30"/>
    <w:rsid w:val="004D7227"/>
    <w:rsid w:val="004D7B5E"/>
    <w:rsid w:val="004E030D"/>
    <w:rsid w:val="004E0BCC"/>
    <w:rsid w:val="004E0DA5"/>
    <w:rsid w:val="004E0E7F"/>
    <w:rsid w:val="004E0EB8"/>
    <w:rsid w:val="004E12D5"/>
    <w:rsid w:val="004E1824"/>
    <w:rsid w:val="004E18A7"/>
    <w:rsid w:val="004E18E9"/>
    <w:rsid w:val="004E1E89"/>
    <w:rsid w:val="004E23F4"/>
    <w:rsid w:val="004E2452"/>
    <w:rsid w:val="004E2ADC"/>
    <w:rsid w:val="004E2B52"/>
    <w:rsid w:val="004E2BAD"/>
    <w:rsid w:val="004E3F51"/>
    <w:rsid w:val="004E415A"/>
    <w:rsid w:val="004E42E1"/>
    <w:rsid w:val="004E43B2"/>
    <w:rsid w:val="004E4590"/>
    <w:rsid w:val="004E4917"/>
    <w:rsid w:val="004E4E10"/>
    <w:rsid w:val="004E5347"/>
    <w:rsid w:val="004E5383"/>
    <w:rsid w:val="004E5D34"/>
    <w:rsid w:val="004E5DF5"/>
    <w:rsid w:val="004E5E6D"/>
    <w:rsid w:val="004E5EB4"/>
    <w:rsid w:val="004E6267"/>
    <w:rsid w:val="004E662D"/>
    <w:rsid w:val="004E6A2F"/>
    <w:rsid w:val="004E761F"/>
    <w:rsid w:val="004F03C8"/>
    <w:rsid w:val="004F06B2"/>
    <w:rsid w:val="004F1130"/>
    <w:rsid w:val="004F113B"/>
    <w:rsid w:val="004F141F"/>
    <w:rsid w:val="004F196C"/>
    <w:rsid w:val="004F1D02"/>
    <w:rsid w:val="004F2679"/>
    <w:rsid w:val="004F28DD"/>
    <w:rsid w:val="004F2DCF"/>
    <w:rsid w:val="004F2F21"/>
    <w:rsid w:val="004F3269"/>
    <w:rsid w:val="004F32B5"/>
    <w:rsid w:val="004F333C"/>
    <w:rsid w:val="004F3446"/>
    <w:rsid w:val="004F3558"/>
    <w:rsid w:val="004F3666"/>
    <w:rsid w:val="004F3DE5"/>
    <w:rsid w:val="004F5646"/>
    <w:rsid w:val="004F571F"/>
    <w:rsid w:val="004F575A"/>
    <w:rsid w:val="004F5D5A"/>
    <w:rsid w:val="004F68C9"/>
    <w:rsid w:val="004F6913"/>
    <w:rsid w:val="004F6BB6"/>
    <w:rsid w:val="004F7128"/>
    <w:rsid w:val="004F7865"/>
    <w:rsid w:val="004F7D00"/>
    <w:rsid w:val="004F7DD0"/>
    <w:rsid w:val="005001B0"/>
    <w:rsid w:val="005003EF"/>
    <w:rsid w:val="00500815"/>
    <w:rsid w:val="00500C7B"/>
    <w:rsid w:val="00500E6E"/>
    <w:rsid w:val="0050174E"/>
    <w:rsid w:val="00501854"/>
    <w:rsid w:val="005019CD"/>
    <w:rsid w:val="00501D85"/>
    <w:rsid w:val="00501E6A"/>
    <w:rsid w:val="0050219B"/>
    <w:rsid w:val="005031EC"/>
    <w:rsid w:val="005037D9"/>
    <w:rsid w:val="00503AAF"/>
    <w:rsid w:val="00503C2B"/>
    <w:rsid w:val="00503DA8"/>
    <w:rsid w:val="00503E88"/>
    <w:rsid w:val="00503F17"/>
    <w:rsid w:val="00503F3A"/>
    <w:rsid w:val="0050439E"/>
    <w:rsid w:val="00505559"/>
    <w:rsid w:val="005055C7"/>
    <w:rsid w:val="005055E0"/>
    <w:rsid w:val="005059DF"/>
    <w:rsid w:val="00505D70"/>
    <w:rsid w:val="0050617A"/>
    <w:rsid w:val="005062F8"/>
    <w:rsid w:val="00506928"/>
    <w:rsid w:val="00506C1C"/>
    <w:rsid w:val="00506F40"/>
    <w:rsid w:val="0050726F"/>
    <w:rsid w:val="005073D7"/>
    <w:rsid w:val="005075F6"/>
    <w:rsid w:val="005077EF"/>
    <w:rsid w:val="0050784A"/>
    <w:rsid w:val="005105BB"/>
    <w:rsid w:val="00510DB2"/>
    <w:rsid w:val="00510E04"/>
    <w:rsid w:val="005113FC"/>
    <w:rsid w:val="00511AD5"/>
    <w:rsid w:val="00511B5C"/>
    <w:rsid w:val="00511DC7"/>
    <w:rsid w:val="005127B1"/>
    <w:rsid w:val="005129A5"/>
    <w:rsid w:val="00512BB4"/>
    <w:rsid w:val="00513123"/>
    <w:rsid w:val="005132C4"/>
    <w:rsid w:val="00513A1C"/>
    <w:rsid w:val="00513F28"/>
    <w:rsid w:val="005142C5"/>
    <w:rsid w:val="0051436F"/>
    <w:rsid w:val="005145F3"/>
    <w:rsid w:val="0051487C"/>
    <w:rsid w:val="00514D56"/>
    <w:rsid w:val="00514F1E"/>
    <w:rsid w:val="0051501B"/>
    <w:rsid w:val="0051516F"/>
    <w:rsid w:val="005152B5"/>
    <w:rsid w:val="00515557"/>
    <w:rsid w:val="005155AD"/>
    <w:rsid w:val="00515845"/>
    <w:rsid w:val="00515886"/>
    <w:rsid w:val="0051597E"/>
    <w:rsid w:val="005164AC"/>
    <w:rsid w:val="005165D6"/>
    <w:rsid w:val="00517AAF"/>
    <w:rsid w:val="0052011E"/>
    <w:rsid w:val="00520C04"/>
    <w:rsid w:val="00520EFE"/>
    <w:rsid w:val="005210A3"/>
    <w:rsid w:val="0052123C"/>
    <w:rsid w:val="00521319"/>
    <w:rsid w:val="0052175D"/>
    <w:rsid w:val="00521E45"/>
    <w:rsid w:val="00522003"/>
    <w:rsid w:val="00522AC5"/>
    <w:rsid w:val="00522BC8"/>
    <w:rsid w:val="00523701"/>
    <w:rsid w:val="0052373D"/>
    <w:rsid w:val="00523C28"/>
    <w:rsid w:val="00523DFF"/>
    <w:rsid w:val="00523E33"/>
    <w:rsid w:val="00525166"/>
    <w:rsid w:val="0052582E"/>
    <w:rsid w:val="005273B2"/>
    <w:rsid w:val="00527C1B"/>
    <w:rsid w:val="00530245"/>
    <w:rsid w:val="00530A04"/>
    <w:rsid w:val="005311F3"/>
    <w:rsid w:val="0053176B"/>
    <w:rsid w:val="0053264A"/>
    <w:rsid w:val="005326D2"/>
    <w:rsid w:val="005331D5"/>
    <w:rsid w:val="00533315"/>
    <w:rsid w:val="00533C7E"/>
    <w:rsid w:val="005341B3"/>
    <w:rsid w:val="005349F7"/>
    <w:rsid w:val="00535952"/>
    <w:rsid w:val="00536F42"/>
    <w:rsid w:val="0053711D"/>
    <w:rsid w:val="00537182"/>
    <w:rsid w:val="00537F33"/>
    <w:rsid w:val="005409B4"/>
    <w:rsid w:val="00541707"/>
    <w:rsid w:val="00541849"/>
    <w:rsid w:val="00541D3C"/>
    <w:rsid w:val="00541EDD"/>
    <w:rsid w:val="00541F8A"/>
    <w:rsid w:val="00542743"/>
    <w:rsid w:val="00542C2D"/>
    <w:rsid w:val="00542C80"/>
    <w:rsid w:val="00544100"/>
    <w:rsid w:val="00544241"/>
    <w:rsid w:val="00544462"/>
    <w:rsid w:val="00545166"/>
    <w:rsid w:val="005454E8"/>
    <w:rsid w:val="00545B4A"/>
    <w:rsid w:val="00546CDB"/>
    <w:rsid w:val="00547022"/>
    <w:rsid w:val="005478BD"/>
    <w:rsid w:val="005479E3"/>
    <w:rsid w:val="0055020D"/>
    <w:rsid w:val="00550724"/>
    <w:rsid w:val="00550CDD"/>
    <w:rsid w:val="00551147"/>
    <w:rsid w:val="00551985"/>
    <w:rsid w:val="00552990"/>
    <w:rsid w:val="00552BD3"/>
    <w:rsid w:val="005531CE"/>
    <w:rsid w:val="005532A0"/>
    <w:rsid w:val="00553395"/>
    <w:rsid w:val="00554266"/>
    <w:rsid w:val="00554C57"/>
    <w:rsid w:val="00554F6C"/>
    <w:rsid w:val="00555109"/>
    <w:rsid w:val="0055559C"/>
    <w:rsid w:val="00555870"/>
    <w:rsid w:val="005559E4"/>
    <w:rsid w:val="00555F02"/>
    <w:rsid w:val="00555F82"/>
    <w:rsid w:val="00556B35"/>
    <w:rsid w:val="0055741A"/>
    <w:rsid w:val="005579D6"/>
    <w:rsid w:val="00557CFE"/>
    <w:rsid w:val="00560579"/>
    <w:rsid w:val="00560DA4"/>
    <w:rsid w:val="00560F61"/>
    <w:rsid w:val="005611B7"/>
    <w:rsid w:val="005618D4"/>
    <w:rsid w:val="00561D1A"/>
    <w:rsid w:val="00561F31"/>
    <w:rsid w:val="00562C30"/>
    <w:rsid w:val="00562F35"/>
    <w:rsid w:val="00564867"/>
    <w:rsid w:val="0056488B"/>
    <w:rsid w:val="00564931"/>
    <w:rsid w:val="00564A85"/>
    <w:rsid w:val="00565457"/>
    <w:rsid w:val="00565485"/>
    <w:rsid w:val="0056549F"/>
    <w:rsid w:val="005655A7"/>
    <w:rsid w:val="0056574C"/>
    <w:rsid w:val="005657DB"/>
    <w:rsid w:val="00565C79"/>
    <w:rsid w:val="00565D5D"/>
    <w:rsid w:val="00565DF0"/>
    <w:rsid w:val="0056656B"/>
    <w:rsid w:val="005667BE"/>
    <w:rsid w:val="0056696F"/>
    <w:rsid w:val="00566BB3"/>
    <w:rsid w:val="00566F51"/>
    <w:rsid w:val="00567B90"/>
    <w:rsid w:val="00567C1A"/>
    <w:rsid w:val="00570343"/>
    <w:rsid w:val="00570516"/>
    <w:rsid w:val="00570F5A"/>
    <w:rsid w:val="00571DFC"/>
    <w:rsid w:val="00571EC5"/>
    <w:rsid w:val="00572269"/>
    <w:rsid w:val="0057244A"/>
    <w:rsid w:val="0057249C"/>
    <w:rsid w:val="00572F26"/>
    <w:rsid w:val="00573A2B"/>
    <w:rsid w:val="00573B3B"/>
    <w:rsid w:val="005743CC"/>
    <w:rsid w:val="00574698"/>
    <w:rsid w:val="00574D15"/>
    <w:rsid w:val="005750C5"/>
    <w:rsid w:val="005750FD"/>
    <w:rsid w:val="0057522F"/>
    <w:rsid w:val="005752DE"/>
    <w:rsid w:val="00575D60"/>
    <w:rsid w:val="00575D8D"/>
    <w:rsid w:val="0057609B"/>
    <w:rsid w:val="00576697"/>
    <w:rsid w:val="0057696C"/>
    <w:rsid w:val="00576972"/>
    <w:rsid w:val="00576A61"/>
    <w:rsid w:val="00576E1F"/>
    <w:rsid w:val="00577003"/>
    <w:rsid w:val="00577248"/>
    <w:rsid w:val="00577763"/>
    <w:rsid w:val="0058017D"/>
    <w:rsid w:val="0058043E"/>
    <w:rsid w:val="0058050E"/>
    <w:rsid w:val="005810B8"/>
    <w:rsid w:val="005814DF"/>
    <w:rsid w:val="005815D3"/>
    <w:rsid w:val="005816F2"/>
    <w:rsid w:val="00581890"/>
    <w:rsid w:val="00582589"/>
    <w:rsid w:val="005828AF"/>
    <w:rsid w:val="00582C47"/>
    <w:rsid w:val="005830A1"/>
    <w:rsid w:val="00583268"/>
    <w:rsid w:val="005833DC"/>
    <w:rsid w:val="00583699"/>
    <w:rsid w:val="00583F25"/>
    <w:rsid w:val="00584270"/>
    <w:rsid w:val="00584565"/>
    <w:rsid w:val="00584B05"/>
    <w:rsid w:val="00584EED"/>
    <w:rsid w:val="0058523A"/>
    <w:rsid w:val="00585507"/>
    <w:rsid w:val="00585651"/>
    <w:rsid w:val="00585823"/>
    <w:rsid w:val="00585CDD"/>
    <w:rsid w:val="005864DF"/>
    <w:rsid w:val="00587058"/>
    <w:rsid w:val="005873E9"/>
    <w:rsid w:val="00587C53"/>
    <w:rsid w:val="00587F3C"/>
    <w:rsid w:val="00591957"/>
    <w:rsid w:val="00591A29"/>
    <w:rsid w:val="00591C8C"/>
    <w:rsid w:val="00593210"/>
    <w:rsid w:val="00593570"/>
    <w:rsid w:val="00593897"/>
    <w:rsid w:val="00594AD4"/>
    <w:rsid w:val="00594C65"/>
    <w:rsid w:val="00595783"/>
    <w:rsid w:val="00595B40"/>
    <w:rsid w:val="00595DEC"/>
    <w:rsid w:val="0059615A"/>
    <w:rsid w:val="00596501"/>
    <w:rsid w:val="00596658"/>
    <w:rsid w:val="005970A8"/>
    <w:rsid w:val="0059718C"/>
    <w:rsid w:val="00597BF9"/>
    <w:rsid w:val="00597CE0"/>
    <w:rsid w:val="00597E3B"/>
    <w:rsid w:val="00597F37"/>
    <w:rsid w:val="00597F52"/>
    <w:rsid w:val="005A0955"/>
    <w:rsid w:val="005A0C11"/>
    <w:rsid w:val="005A1AC6"/>
    <w:rsid w:val="005A1B0E"/>
    <w:rsid w:val="005A2C31"/>
    <w:rsid w:val="005A309A"/>
    <w:rsid w:val="005A3176"/>
    <w:rsid w:val="005A373D"/>
    <w:rsid w:val="005A3A95"/>
    <w:rsid w:val="005A3F24"/>
    <w:rsid w:val="005A41FD"/>
    <w:rsid w:val="005A496B"/>
    <w:rsid w:val="005A4A0A"/>
    <w:rsid w:val="005A4BB2"/>
    <w:rsid w:val="005A6CEF"/>
    <w:rsid w:val="005A7244"/>
    <w:rsid w:val="005A72BA"/>
    <w:rsid w:val="005B018F"/>
    <w:rsid w:val="005B0750"/>
    <w:rsid w:val="005B082C"/>
    <w:rsid w:val="005B0833"/>
    <w:rsid w:val="005B0A4A"/>
    <w:rsid w:val="005B0B58"/>
    <w:rsid w:val="005B13AA"/>
    <w:rsid w:val="005B1409"/>
    <w:rsid w:val="005B1600"/>
    <w:rsid w:val="005B1685"/>
    <w:rsid w:val="005B2692"/>
    <w:rsid w:val="005B315D"/>
    <w:rsid w:val="005B32F8"/>
    <w:rsid w:val="005B3396"/>
    <w:rsid w:val="005B44D6"/>
    <w:rsid w:val="005B4C16"/>
    <w:rsid w:val="005B4E53"/>
    <w:rsid w:val="005B54C9"/>
    <w:rsid w:val="005B5857"/>
    <w:rsid w:val="005B58DA"/>
    <w:rsid w:val="005B616C"/>
    <w:rsid w:val="005B6C12"/>
    <w:rsid w:val="005B6D37"/>
    <w:rsid w:val="005B7027"/>
    <w:rsid w:val="005B70E7"/>
    <w:rsid w:val="005B7160"/>
    <w:rsid w:val="005B753E"/>
    <w:rsid w:val="005B75DE"/>
    <w:rsid w:val="005B76FF"/>
    <w:rsid w:val="005B7EDA"/>
    <w:rsid w:val="005B7FAE"/>
    <w:rsid w:val="005C0220"/>
    <w:rsid w:val="005C094F"/>
    <w:rsid w:val="005C0A0D"/>
    <w:rsid w:val="005C0D92"/>
    <w:rsid w:val="005C0E07"/>
    <w:rsid w:val="005C19C4"/>
    <w:rsid w:val="005C1B83"/>
    <w:rsid w:val="005C1C5F"/>
    <w:rsid w:val="005C1D6A"/>
    <w:rsid w:val="005C24F4"/>
    <w:rsid w:val="005C25FF"/>
    <w:rsid w:val="005C2B80"/>
    <w:rsid w:val="005C2D55"/>
    <w:rsid w:val="005C3363"/>
    <w:rsid w:val="005C346B"/>
    <w:rsid w:val="005C3B34"/>
    <w:rsid w:val="005C45F9"/>
    <w:rsid w:val="005C4622"/>
    <w:rsid w:val="005C4A68"/>
    <w:rsid w:val="005C4C11"/>
    <w:rsid w:val="005C4C1E"/>
    <w:rsid w:val="005C51A6"/>
    <w:rsid w:val="005C5432"/>
    <w:rsid w:val="005C5897"/>
    <w:rsid w:val="005C5ABC"/>
    <w:rsid w:val="005C5C8D"/>
    <w:rsid w:val="005C5DE9"/>
    <w:rsid w:val="005C5E20"/>
    <w:rsid w:val="005C5FDE"/>
    <w:rsid w:val="005C62E5"/>
    <w:rsid w:val="005C6323"/>
    <w:rsid w:val="005D00EA"/>
    <w:rsid w:val="005D03D5"/>
    <w:rsid w:val="005D044D"/>
    <w:rsid w:val="005D07AC"/>
    <w:rsid w:val="005D0ABD"/>
    <w:rsid w:val="005D0ADE"/>
    <w:rsid w:val="005D118B"/>
    <w:rsid w:val="005D122B"/>
    <w:rsid w:val="005D18AD"/>
    <w:rsid w:val="005D18F1"/>
    <w:rsid w:val="005D1937"/>
    <w:rsid w:val="005D1B48"/>
    <w:rsid w:val="005D1EF7"/>
    <w:rsid w:val="005D1F1C"/>
    <w:rsid w:val="005D26B4"/>
    <w:rsid w:val="005D2B2C"/>
    <w:rsid w:val="005D2C6E"/>
    <w:rsid w:val="005D2F43"/>
    <w:rsid w:val="005D33D1"/>
    <w:rsid w:val="005D4A3C"/>
    <w:rsid w:val="005D4E3D"/>
    <w:rsid w:val="005D51C2"/>
    <w:rsid w:val="005D5624"/>
    <w:rsid w:val="005D6182"/>
    <w:rsid w:val="005D61F7"/>
    <w:rsid w:val="005D63A9"/>
    <w:rsid w:val="005D7663"/>
    <w:rsid w:val="005D7E77"/>
    <w:rsid w:val="005E0134"/>
    <w:rsid w:val="005E0D4A"/>
    <w:rsid w:val="005E0D78"/>
    <w:rsid w:val="005E1015"/>
    <w:rsid w:val="005E134B"/>
    <w:rsid w:val="005E1462"/>
    <w:rsid w:val="005E1638"/>
    <w:rsid w:val="005E1995"/>
    <w:rsid w:val="005E1A1E"/>
    <w:rsid w:val="005E21E5"/>
    <w:rsid w:val="005E2492"/>
    <w:rsid w:val="005E2652"/>
    <w:rsid w:val="005E2887"/>
    <w:rsid w:val="005E2DC0"/>
    <w:rsid w:val="005E2ECA"/>
    <w:rsid w:val="005E3370"/>
    <w:rsid w:val="005E3578"/>
    <w:rsid w:val="005E3886"/>
    <w:rsid w:val="005E3888"/>
    <w:rsid w:val="005E3AEC"/>
    <w:rsid w:val="005E499B"/>
    <w:rsid w:val="005E4A6E"/>
    <w:rsid w:val="005E505D"/>
    <w:rsid w:val="005E6432"/>
    <w:rsid w:val="005E6CBC"/>
    <w:rsid w:val="005E711B"/>
    <w:rsid w:val="005E72FF"/>
    <w:rsid w:val="005E73C0"/>
    <w:rsid w:val="005E77DE"/>
    <w:rsid w:val="005F0415"/>
    <w:rsid w:val="005F0650"/>
    <w:rsid w:val="005F0685"/>
    <w:rsid w:val="005F07ED"/>
    <w:rsid w:val="005F08B6"/>
    <w:rsid w:val="005F0A0E"/>
    <w:rsid w:val="005F1774"/>
    <w:rsid w:val="005F1B56"/>
    <w:rsid w:val="005F1D99"/>
    <w:rsid w:val="005F23C9"/>
    <w:rsid w:val="005F24EE"/>
    <w:rsid w:val="005F2706"/>
    <w:rsid w:val="005F2808"/>
    <w:rsid w:val="005F2E29"/>
    <w:rsid w:val="005F2E45"/>
    <w:rsid w:val="005F3294"/>
    <w:rsid w:val="005F3564"/>
    <w:rsid w:val="005F3AC7"/>
    <w:rsid w:val="005F400D"/>
    <w:rsid w:val="005F4383"/>
    <w:rsid w:val="005F4429"/>
    <w:rsid w:val="005F5439"/>
    <w:rsid w:val="005F58CD"/>
    <w:rsid w:val="005F5C2A"/>
    <w:rsid w:val="005F625E"/>
    <w:rsid w:val="005F6A8F"/>
    <w:rsid w:val="005F6BB7"/>
    <w:rsid w:val="005F7588"/>
    <w:rsid w:val="005F7893"/>
    <w:rsid w:val="005F7DE0"/>
    <w:rsid w:val="0060017A"/>
    <w:rsid w:val="006005B4"/>
    <w:rsid w:val="0060065C"/>
    <w:rsid w:val="006007D8"/>
    <w:rsid w:val="00600E6D"/>
    <w:rsid w:val="0060115A"/>
    <w:rsid w:val="00601593"/>
    <w:rsid w:val="00601793"/>
    <w:rsid w:val="0060209C"/>
    <w:rsid w:val="006028D3"/>
    <w:rsid w:val="00602B14"/>
    <w:rsid w:val="0060383B"/>
    <w:rsid w:val="00603DB9"/>
    <w:rsid w:val="0060405C"/>
    <w:rsid w:val="00604DE5"/>
    <w:rsid w:val="0060516C"/>
    <w:rsid w:val="00606C48"/>
    <w:rsid w:val="00606D4C"/>
    <w:rsid w:val="00606FBA"/>
    <w:rsid w:val="00607669"/>
    <w:rsid w:val="006076F4"/>
    <w:rsid w:val="00607AFD"/>
    <w:rsid w:val="00610801"/>
    <w:rsid w:val="006117C0"/>
    <w:rsid w:val="006119F9"/>
    <w:rsid w:val="00611B12"/>
    <w:rsid w:val="00611E07"/>
    <w:rsid w:val="00611FBA"/>
    <w:rsid w:val="00612134"/>
    <w:rsid w:val="006124EC"/>
    <w:rsid w:val="0061273E"/>
    <w:rsid w:val="00612F97"/>
    <w:rsid w:val="0061345D"/>
    <w:rsid w:val="00613CC4"/>
    <w:rsid w:val="0061441D"/>
    <w:rsid w:val="00614669"/>
    <w:rsid w:val="006151AC"/>
    <w:rsid w:val="0061548C"/>
    <w:rsid w:val="0061549B"/>
    <w:rsid w:val="006159DA"/>
    <w:rsid w:val="006167E3"/>
    <w:rsid w:val="00616802"/>
    <w:rsid w:val="006170E1"/>
    <w:rsid w:val="0061733A"/>
    <w:rsid w:val="006179D5"/>
    <w:rsid w:val="00617E12"/>
    <w:rsid w:val="006207D4"/>
    <w:rsid w:val="00620B81"/>
    <w:rsid w:val="00620C25"/>
    <w:rsid w:val="00621290"/>
    <w:rsid w:val="00621477"/>
    <w:rsid w:val="00621ADA"/>
    <w:rsid w:val="00621C5B"/>
    <w:rsid w:val="00621F61"/>
    <w:rsid w:val="0062204A"/>
    <w:rsid w:val="006225AE"/>
    <w:rsid w:val="006225C4"/>
    <w:rsid w:val="00622EA6"/>
    <w:rsid w:val="0062310C"/>
    <w:rsid w:val="00623882"/>
    <w:rsid w:val="00623DA4"/>
    <w:rsid w:val="00623F7B"/>
    <w:rsid w:val="00624920"/>
    <w:rsid w:val="00624ADF"/>
    <w:rsid w:val="00624AEC"/>
    <w:rsid w:val="00624B6C"/>
    <w:rsid w:val="00624BD4"/>
    <w:rsid w:val="0062591D"/>
    <w:rsid w:val="00625E1A"/>
    <w:rsid w:val="00627264"/>
    <w:rsid w:val="00630A34"/>
    <w:rsid w:val="00630B96"/>
    <w:rsid w:val="00630DB9"/>
    <w:rsid w:val="006310FF"/>
    <w:rsid w:val="0063158F"/>
    <w:rsid w:val="00631D6B"/>
    <w:rsid w:val="006320C5"/>
    <w:rsid w:val="00632183"/>
    <w:rsid w:val="006327DD"/>
    <w:rsid w:val="00632BEA"/>
    <w:rsid w:val="00632D21"/>
    <w:rsid w:val="006330A1"/>
    <w:rsid w:val="0063394D"/>
    <w:rsid w:val="00633B95"/>
    <w:rsid w:val="0063418B"/>
    <w:rsid w:val="0063479F"/>
    <w:rsid w:val="00634B70"/>
    <w:rsid w:val="00634C76"/>
    <w:rsid w:val="00634D47"/>
    <w:rsid w:val="006351BA"/>
    <w:rsid w:val="006353F0"/>
    <w:rsid w:val="006355A6"/>
    <w:rsid w:val="0063561A"/>
    <w:rsid w:val="006357B5"/>
    <w:rsid w:val="00635954"/>
    <w:rsid w:val="006360CD"/>
    <w:rsid w:val="006360DE"/>
    <w:rsid w:val="006364A1"/>
    <w:rsid w:val="006366D1"/>
    <w:rsid w:val="0063678E"/>
    <w:rsid w:val="00637253"/>
    <w:rsid w:val="00637833"/>
    <w:rsid w:val="00637BFD"/>
    <w:rsid w:val="00637C5C"/>
    <w:rsid w:val="0064050D"/>
    <w:rsid w:val="00640EBC"/>
    <w:rsid w:val="00640FDB"/>
    <w:rsid w:val="0064180B"/>
    <w:rsid w:val="00641C4E"/>
    <w:rsid w:val="00641FB3"/>
    <w:rsid w:val="00642D93"/>
    <w:rsid w:val="00643765"/>
    <w:rsid w:val="00643AEE"/>
    <w:rsid w:val="00643F71"/>
    <w:rsid w:val="00643FDC"/>
    <w:rsid w:val="0064434C"/>
    <w:rsid w:val="0064543E"/>
    <w:rsid w:val="0064560A"/>
    <w:rsid w:val="00645B76"/>
    <w:rsid w:val="0064603B"/>
    <w:rsid w:val="006471CC"/>
    <w:rsid w:val="006472EE"/>
    <w:rsid w:val="006472FE"/>
    <w:rsid w:val="0064751A"/>
    <w:rsid w:val="00647A29"/>
    <w:rsid w:val="00647EDA"/>
    <w:rsid w:val="0065079F"/>
    <w:rsid w:val="00650AE1"/>
    <w:rsid w:val="00650B3F"/>
    <w:rsid w:val="00650D93"/>
    <w:rsid w:val="00650DB5"/>
    <w:rsid w:val="0065136B"/>
    <w:rsid w:val="00651670"/>
    <w:rsid w:val="0065184E"/>
    <w:rsid w:val="00651A39"/>
    <w:rsid w:val="00652201"/>
    <w:rsid w:val="00652388"/>
    <w:rsid w:val="00652A28"/>
    <w:rsid w:val="00652C17"/>
    <w:rsid w:val="00652D35"/>
    <w:rsid w:val="00653320"/>
    <w:rsid w:val="0065379F"/>
    <w:rsid w:val="00653B48"/>
    <w:rsid w:val="00653DE5"/>
    <w:rsid w:val="00654995"/>
    <w:rsid w:val="00654EF1"/>
    <w:rsid w:val="00655357"/>
    <w:rsid w:val="006557DA"/>
    <w:rsid w:val="00655BAA"/>
    <w:rsid w:val="00655E26"/>
    <w:rsid w:val="00655FDF"/>
    <w:rsid w:val="00656188"/>
    <w:rsid w:val="0065675E"/>
    <w:rsid w:val="00656B0B"/>
    <w:rsid w:val="0065715A"/>
    <w:rsid w:val="006571DE"/>
    <w:rsid w:val="0066057F"/>
    <w:rsid w:val="0066070F"/>
    <w:rsid w:val="00660D5F"/>
    <w:rsid w:val="00660FE4"/>
    <w:rsid w:val="006610F1"/>
    <w:rsid w:val="0066133C"/>
    <w:rsid w:val="006614FF"/>
    <w:rsid w:val="00661ABA"/>
    <w:rsid w:val="00661C6B"/>
    <w:rsid w:val="00661FFA"/>
    <w:rsid w:val="0066274A"/>
    <w:rsid w:val="006628B4"/>
    <w:rsid w:val="00662C16"/>
    <w:rsid w:val="00662D3E"/>
    <w:rsid w:val="00662E6A"/>
    <w:rsid w:val="006632DD"/>
    <w:rsid w:val="006641C2"/>
    <w:rsid w:val="00664203"/>
    <w:rsid w:val="006645B2"/>
    <w:rsid w:val="0066486E"/>
    <w:rsid w:val="006650B1"/>
    <w:rsid w:val="006654A4"/>
    <w:rsid w:val="0066565B"/>
    <w:rsid w:val="00665964"/>
    <w:rsid w:val="00665CD8"/>
    <w:rsid w:val="006660AB"/>
    <w:rsid w:val="00666339"/>
    <w:rsid w:val="006669C6"/>
    <w:rsid w:val="00667BE3"/>
    <w:rsid w:val="00667F93"/>
    <w:rsid w:val="00670801"/>
    <w:rsid w:val="00670A18"/>
    <w:rsid w:val="00670AD0"/>
    <w:rsid w:val="00671004"/>
    <w:rsid w:val="0067105D"/>
    <w:rsid w:val="00672646"/>
    <w:rsid w:val="00672B0D"/>
    <w:rsid w:val="00672D1F"/>
    <w:rsid w:val="006731A6"/>
    <w:rsid w:val="00674E42"/>
    <w:rsid w:val="0067502A"/>
    <w:rsid w:val="0067555F"/>
    <w:rsid w:val="00675741"/>
    <w:rsid w:val="006757BC"/>
    <w:rsid w:val="00675BBF"/>
    <w:rsid w:val="00676563"/>
    <w:rsid w:val="00676589"/>
    <w:rsid w:val="00676B5A"/>
    <w:rsid w:val="00676B99"/>
    <w:rsid w:val="00676CA6"/>
    <w:rsid w:val="006773DE"/>
    <w:rsid w:val="00677A4A"/>
    <w:rsid w:val="0068034A"/>
    <w:rsid w:val="00680418"/>
    <w:rsid w:val="006805A6"/>
    <w:rsid w:val="00680932"/>
    <w:rsid w:val="006813F8"/>
    <w:rsid w:val="00681C93"/>
    <w:rsid w:val="00682112"/>
    <w:rsid w:val="00682875"/>
    <w:rsid w:val="00682BA6"/>
    <w:rsid w:val="00682D8F"/>
    <w:rsid w:val="00682F84"/>
    <w:rsid w:val="00683E8F"/>
    <w:rsid w:val="0068433C"/>
    <w:rsid w:val="0068463E"/>
    <w:rsid w:val="00684B62"/>
    <w:rsid w:val="00684B6F"/>
    <w:rsid w:val="00684C6B"/>
    <w:rsid w:val="00685010"/>
    <w:rsid w:val="00685363"/>
    <w:rsid w:val="00685D88"/>
    <w:rsid w:val="00685FF3"/>
    <w:rsid w:val="0068669A"/>
    <w:rsid w:val="00686957"/>
    <w:rsid w:val="0068695D"/>
    <w:rsid w:val="006872BA"/>
    <w:rsid w:val="006873A9"/>
    <w:rsid w:val="0068748B"/>
    <w:rsid w:val="00687C8B"/>
    <w:rsid w:val="00687DFB"/>
    <w:rsid w:val="00687E79"/>
    <w:rsid w:val="006904A9"/>
    <w:rsid w:val="00690528"/>
    <w:rsid w:val="006906E2"/>
    <w:rsid w:val="00690771"/>
    <w:rsid w:val="00690795"/>
    <w:rsid w:val="00690A59"/>
    <w:rsid w:val="00691648"/>
    <w:rsid w:val="006917D7"/>
    <w:rsid w:val="0069184C"/>
    <w:rsid w:val="00691A3B"/>
    <w:rsid w:val="00691B2F"/>
    <w:rsid w:val="00691DB5"/>
    <w:rsid w:val="00692024"/>
    <w:rsid w:val="00692749"/>
    <w:rsid w:val="00692CCB"/>
    <w:rsid w:val="0069305B"/>
    <w:rsid w:val="006934FC"/>
    <w:rsid w:val="00693798"/>
    <w:rsid w:val="0069434C"/>
    <w:rsid w:val="00694F44"/>
    <w:rsid w:val="00695302"/>
    <w:rsid w:val="006956F0"/>
    <w:rsid w:val="00695EF2"/>
    <w:rsid w:val="00696060"/>
    <w:rsid w:val="00696218"/>
    <w:rsid w:val="00696891"/>
    <w:rsid w:val="00696EF9"/>
    <w:rsid w:val="00696F51"/>
    <w:rsid w:val="00697199"/>
    <w:rsid w:val="0069725B"/>
    <w:rsid w:val="006979A5"/>
    <w:rsid w:val="00697AFA"/>
    <w:rsid w:val="006A016F"/>
    <w:rsid w:val="006A052D"/>
    <w:rsid w:val="006A090F"/>
    <w:rsid w:val="006A0DA3"/>
    <w:rsid w:val="006A0DF7"/>
    <w:rsid w:val="006A0F4C"/>
    <w:rsid w:val="006A11EE"/>
    <w:rsid w:val="006A1BB8"/>
    <w:rsid w:val="006A23D6"/>
    <w:rsid w:val="006A24AC"/>
    <w:rsid w:val="006A2503"/>
    <w:rsid w:val="006A2592"/>
    <w:rsid w:val="006A27FB"/>
    <w:rsid w:val="006A2EAF"/>
    <w:rsid w:val="006A3901"/>
    <w:rsid w:val="006A4321"/>
    <w:rsid w:val="006A43D9"/>
    <w:rsid w:val="006A448E"/>
    <w:rsid w:val="006A4B9A"/>
    <w:rsid w:val="006A4E2B"/>
    <w:rsid w:val="006A5370"/>
    <w:rsid w:val="006A5D9A"/>
    <w:rsid w:val="006A638C"/>
    <w:rsid w:val="006A65A7"/>
    <w:rsid w:val="006A6958"/>
    <w:rsid w:val="006A6B99"/>
    <w:rsid w:val="006A6D45"/>
    <w:rsid w:val="006A7405"/>
    <w:rsid w:val="006A791C"/>
    <w:rsid w:val="006A7B9A"/>
    <w:rsid w:val="006A7C63"/>
    <w:rsid w:val="006A7D57"/>
    <w:rsid w:val="006A7E5F"/>
    <w:rsid w:val="006B03D0"/>
    <w:rsid w:val="006B089E"/>
    <w:rsid w:val="006B0BF4"/>
    <w:rsid w:val="006B13B9"/>
    <w:rsid w:val="006B1919"/>
    <w:rsid w:val="006B1E0A"/>
    <w:rsid w:val="006B261B"/>
    <w:rsid w:val="006B264D"/>
    <w:rsid w:val="006B2816"/>
    <w:rsid w:val="006B2C90"/>
    <w:rsid w:val="006B2ECF"/>
    <w:rsid w:val="006B303B"/>
    <w:rsid w:val="006B35E6"/>
    <w:rsid w:val="006B465A"/>
    <w:rsid w:val="006B54CC"/>
    <w:rsid w:val="006B5A07"/>
    <w:rsid w:val="006B5EC8"/>
    <w:rsid w:val="006B61DD"/>
    <w:rsid w:val="006B6691"/>
    <w:rsid w:val="006B6DD0"/>
    <w:rsid w:val="006B7274"/>
    <w:rsid w:val="006B7328"/>
    <w:rsid w:val="006B7AEE"/>
    <w:rsid w:val="006C022E"/>
    <w:rsid w:val="006C0399"/>
    <w:rsid w:val="006C039D"/>
    <w:rsid w:val="006C0415"/>
    <w:rsid w:val="006C0906"/>
    <w:rsid w:val="006C129C"/>
    <w:rsid w:val="006C13A9"/>
    <w:rsid w:val="006C1670"/>
    <w:rsid w:val="006C168D"/>
    <w:rsid w:val="006C1F9C"/>
    <w:rsid w:val="006C202B"/>
    <w:rsid w:val="006C26C9"/>
    <w:rsid w:val="006C2A8E"/>
    <w:rsid w:val="006C3255"/>
    <w:rsid w:val="006C35A9"/>
    <w:rsid w:val="006C3F26"/>
    <w:rsid w:val="006C3F8B"/>
    <w:rsid w:val="006C40AF"/>
    <w:rsid w:val="006C4599"/>
    <w:rsid w:val="006C4D97"/>
    <w:rsid w:val="006C56F7"/>
    <w:rsid w:val="006C69D2"/>
    <w:rsid w:val="006D026A"/>
    <w:rsid w:val="006D02EE"/>
    <w:rsid w:val="006D0783"/>
    <w:rsid w:val="006D0D17"/>
    <w:rsid w:val="006D1013"/>
    <w:rsid w:val="006D1805"/>
    <w:rsid w:val="006D1AEF"/>
    <w:rsid w:val="006D2120"/>
    <w:rsid w:val="006D294A"/>
    <w:rsid w:val="006D2BCF"/>
    <w:rsid w:val="006D3C7D"/>
    <w:rsid w:val="006D4659"/>
    <w:rsid w:val="006D4A6A"/>
    <w:rsid w:val="006D54DC"/>
    <w:rsid w:val="006D5D5F"/>
    <w:rsid w:val="006D616B"/>
    <w:rsid w:val="006D68FB"/>
    <w:rsid w:val="006D6AD4"/>
    <w:rsid w:val="006D6AE1"/>
    <w:rsid w:val="006D7224"/>
    <w:rsid w:val="006D7A47"/>
    <w:rsid w:val="006D7AF9"/>
    <w:rsid w:val="006E0000"/>
    <w:rsid w:val="006E059A"/>
    <w:rsid w:val="006E0AF4"/>
    <w:rsid w:val="006E0B29"/>
    <w:rsid w:val="006E0B7E"/>
    <w:rsid w:val="006E13BD"/>
    <w:rsid w:val="006E1BFE"/>
    <w:rsid w:val="006E239E"/>
    <w:rsid w:val="006E2780"/>
    <w:rsid w:val="006E2868"/>
    <w:rsid w:val="006E2CF1"/>
    <w:rsid w:val="006E2FC8"/>
    <w:rsid w:val="006E3D94"/>
    <w:rsid w:val="006E439E"/>
    <w:rsid w:val="006E4ADF"/>
    <w:rsid w:val="006E4EFF"/>
    <w:rsid w:val="006E5405"/>
    <w:rsid w:val="006E5867"/>
    <w:rsid w:val="006E5D6A"/>
    <w:rsid w:val="006E64FD"/>
    <w:rsid w:val="006E7A5F"/>
    <w:rsid w:val="006E7D6F"/>
    <w:rsid w:val="006F019F"/>
    <w:rsid w:val="006F1507"/>
    <w:rsid w:val="006F2154"/>
    <w:rsid w:val="006F306C"/>
    <w:rsid w:val="006F3475"/>
    <w:rsid w:val="006F3F89"/>
    <w:rsid w:val="006F4BEC"/>
    <w:rsid w:val="006F54E2"/>
    <w:rsid w:val="006F58C6"/>
    <w:rsid w:val="006F5F34"/>
    <w:rsid w:val="006F5FF9"/>
    <w:rsid w:val="006F63A5"/>
    <w:rsid w:val="006F6EB0"/>
    <w:rsid w:val="006F768E"/>
    <w:rsid w:val="006F7ECE"/>
    <w:rsid w:val="006F7F68"/>
    <w:rsid w:val="00700B8F"/>
    <w:rsid w:val="00700F7A"/>
    <w:rsid w:val="00701218"/>
    <w:rsid w:val="0070142B"/>
    <w:rsid w:val="00701674"/>
    <w:rsid w:val="00701A86"/>
    <w:rsid w:val="007023E5"/>
    <w:rsid w:val="0070276E"/>
    <w:rsid w:val="00702B74"/>
    <w:rsid w:val="00702F8F"/>
    <w:rsid w:val="007031AE"/>
    <w:rsid w:val="007033C2"/>
    <w:rsid w:val="00704B70"/>
    <w:rsid w:val="00704C0F"/>
    <w:rsid w:val="00704C57"/>
    <w:rsid w:val="00704F6E"/>
    <w:rsid w:val="00705066"/>
    <w:rsid w:val="00705ED6"/>
    <w:rsid w:val="00706506"/>
    <w:rsid w:val="00706875"/>
    <w:rsid w:val="007068C3"/>
    <w:rsid w:val="00706A1B"/>
    <w:rsid w:val="00706FFD"/>
    <w:rsid w:val="007079A9"/>
    <w:rsid w:val="007079FC"/>
    <w:rsid w:val="00707E3C"/>
    <w:rsid w:val="00710322"/>
    <w:rsid w:val="00710360"/>
    <w:rsid w:val="00711223"/>
    <w:rsid w:val="0071123E"/>
    <w:rsid w:val="00711421"/>
    <w:rsid w:val="007114E1"/>
    <w:rsid w:val="00711748"/>
    <w:rsid w:val="00711A36"/>
    <w:rsid w:val="00711E53"/>
    <w:rsid w:val="00711EA5"/>
    <w:rsid w:val="00711F32"/>
    <w:rsid w:val="0071223D"/>
    <w:rsid w:val="007125D3"/>
    <w:rsid w:val="00712A8E"/>
    <w:rsid w:val="00712BE2"/>
    <w:rsid w:val="00713DF9"/>
    <w:rsid w:val="00714719"/>
    <w:rsid w:val="00714C26"/>
    <w:rsid w:val="0071529C"/>
    <w:rsid w:val="007157C3"/>
    <w:rsid w:val="00715FAE"/>
    <w:rsid w:val="00716249"/>
    <w:rsid w:val="00716CF4"/>
    <w:rsid w:val="007170DA"/>
    <w:rsid w:val="007172AD"/>
    <w:rsid w:val="007173FB"/>
    <w:rsid w:val="00717546"/>
    <w:rsid w:val="007203AB"/>
    <w:rsid w:val="007207E5"/>
    <w:rsid w:val="00720801"/>
    <w:rsid w:val="007216B1"/>
    <w:rsid w:val="00721817"/>
    <w:rsid w:val="00721C1B"/>
    <w:rsid w:val="00721E60"/>
    <w:rsid w:val="00721EE0"/>
    <w:rsid w:val="007220F2"/>
    <w:rsid w:val="007221A5"/>
    <w:rsid w:val="007221D4"/>
    <w:rsid w:val="00722B1B"/>
    <w:rsid w:val="007232A2"/>
    <w:rsid w:val="00723A07"/>
    <w:rsid w:val="00723CE3"/>
    <w:rsid w:val="0072416F"/>
    <w:rsid w:val="00724181"/>
    <w:rsid w:val="007241DC"/>
    <w:rsid w:val="00724691"/>
    <w:rsid w:val="00725473"/>
    <w:rsid w:val="00725779"/>
    <w:rsid w:val="00725AEC"/>
    <w:rsid w:val="00725B3B"/>
    <w:rsid w:val="00726FD4"/>
    <w:rsid w:val="00727900"/>
    <w:rsid w:val="00727C94"/>
    <w:rsid w:val="00730063"/>
    <w:rsid w:val="0073035E"/>
    <w:rsid w:val="0073056A"/>
    <w:rsid w:val="007305B2"/>
    <w:rsid w:val="00730DCE"/>
    <w:rsid w:val="00730FAA"/>
    <w:rsid w:val="00731265"/>
    <w:rsid w:val="00731A7F"/>
    <w:rsid w:val="00731B0A"/>
    <w:rsid w:val="00731EAE"/>
    <w:rsid w:val="007320A7"/>
    <w:rsid w:val="00733073"/>
    <w:rsid w:val="00733234"/>
    <w:rsid w:val="00733B13"/>
    <w:rsid w:val="0073422A"/>
    <w:rsid w:val="00734653"/>
    <w:rsid w:val="00734688"/>
    <w:rsid w:val="007347C3"/>
    <w:rsid w:val="00735033"/>
    <w:rsid w:val="00735328"/>
    <w:rsid w:val="0073555E"/>
    <w:rsid w:val="007356F5"/>
    <w:rsid w:val="00735992"/>
    <w:rsid w:val="00735B58"/>
    <w:rsid w:val="00735C92"/>
    <w:rsid w:val="00735DE7"/>
    <w:rsid w:val="0073685B"/>
    <w:rsid w:val="007368F8"/>
    <w:rsid w:val="0074032B"/>
    <w:rsid w:val="0074080E"/>
    <w:rsid w:val="007414DF"/>
    <w:rsid w:val="007418FE"/>
    <w:rsid w:val="0074289F"/>
    <w:rsid w:val="00742AD3"/>
    <w:rsid w:val="00743538"/>
    <w:rsid w:val="00744032"/>
    <w:rsid w:val="0074473E"/>
    <w:rsid w:val="007449BF"/>
    <w:rsid w:val="00744C96"/>
    <w:rsid w:val="00745558"/>
    <w:rsid w:val="00746278"/>
    <w:rsid w:val="0074631B"/>
    <w:rsid w:val="007463FE"/>
    <w:rsid w:val="00746499"/>
    <w:rsid w:val="00746729"/>
    <w:rsid w:val="00746BC0"/>
    <w:rsid w:val="00746E7F"/>
    <w:rsid w:val="00746FF9"/>
    <w:rsid w:val="007505C3"/>
    <w:rsid w:val="007510B4"/>
    <w:rsid w:val="0075142A"/>
    <w:rsid w:val="00751CC2"/>
    <w:rsid w:val="00752142"/>
    <w:rsid w:val="00752258"/>
    <w:rsid w:val="007522FA"/>
    <w:rsid w:val="007523F9"/>
    <w:rsid w:val="007525B5"/>
    <w:rsid w:val="00752D11"/>
    <w:rsid w:val="00752E95"/>
    <w:rsid w:val="00752F4C"/>
    <w:rsid w:val="0075357E"/>
    <w:rsid w:val="00753B29"/>
    <w:rsid w:val="00753BC1"/>
    <w:rsid w:val="00753DDC"/>
    <w:rsid w:val="00753ED0"/>
    <w:rsid w:val="00754006"/>
    <w:rsid w:val="007541D6"/>
    <w:rsid w:val="007542B3"/>
    <w:rsid w:val="00754431"/>
    <w:rsid w:val="00754E2F"/>
    <w:rsid w:val="00754E97"/>
    <w:rsid w:val="00755751"/>
    <w:rsid w:val="007557A4"/>
    <w:rsid w:val="00756571"/>
    <w:rsid w:val="00756BF1"/>
    <w:rsid w:val="0075736F"/>
    <w:rsid w:val="007573E8"/>
    <w:rsid w:val="00757407"/>
    <w:rsid w:val="00760056"/>
    <w:rsid w:val="00760228"/>
    <w:rsid w:val="00760C4E"/>
    <w:rsid w:val="00760D8A"/>
    <w:rsid w:val="00760F9E"/>
    <w:rsid w:val="007614FA"/>
    <w:rsid w:val="0076150F"/>
    <w:rsid w:val="007616E6"/>
    <w:rsid w:val="00761817"/>
    <w:rsid w:val="00761F28"/>
    <w:rsid w:val="00761FCA"/>
    <w:rsid w:val="007627BE"/>
    <w:rsid w:val="00762975"/>
    <w:rsid w:val="00762E3A"/>
    <w:rsid w:val="00762E6D"/>
    <w:rsid w:val="00763EDA"/>
    <w:rsid w:val="00764F03"/>
    <w:rsid w:val="007653FE"/>
    <w:rsid w:val="00765B1A"/>
    <w:rsid w:val="00765DC1"/>
    <w:rsid w:val="00765FB5"/>
    <w:rsid w:val="00767804"/>
    <w:rsid w:val="00770783"/>
    <w:rsid w:val="007713E2"/>
    <w:rsid w:val="0077143A"/>
    <w:rsid w:val="007718F3"/>
    <w:rsid w:val="00771D27"/>
    <w:rsid w:val="00771E18"/>
    <w:rsid w:val="007720CD"/>
    <w:rsid w:val="00773022"/>
    <w:rsid w:val="00773ADC"/>
    <w:rsid w:val="00773E19"/>
    <w:rsid w:val="00774B77"/>
    <w:rsid w:val="00775B62"/>
    <w:rsid w:val="00775B74"/>
    <w:rsid w:val="00775CBE"/>
    <w:rsid w:val="00775F74"/>
    <w:rsid w:val="00776A29"/>
    <w:rsid w:val="00776F83"/>
    <w:rsid w:val="00777335"/>
    <w:rsid w:val="00777747"/>
    <w:rsid w:val="00780954"/>
    <w:rsid w:val="00780D01"/>
    <w:rsid w:val="00780F35"/>
    <w:rsid w:val="007818BF"/>
    <w:rsid w:val="00781A3C"/>
    <w:rsid w:val="00781F0B"/>
    <w:rsid w:val="007821EB"/>
    <w:rsid w:val="00783277"/>
    <w:rsid w:val="00784334"/>
    <w:rsid w:val="007843F2"/>
    <w:rsid w:val="00784603"/>
    <w:rsid w:val="007846FA"/>
    <w:rsid w:val="0078515E"/>
    <w:rsid w:val="00785926"/>
    <w:rsid w:val="00785A9F"/>
    <w:rsid w:val="0078603C"/>
    <w:rsid w:val="00786629"/>
    <w:rsid w:val="00786BD8"/>
    <w:rsid w:val="007871C8"/>
    <w:rsid w:val="00787271"/>
    <w:rsid w:val="007878A2"/>
    <w:rsid w:val="007902FD"/>
    <w:rsid w:val="0079031A"/>
    <w:rsid w:val="00790A3C"/>
    <w:rsid w:val="007914BA"/>
    <w:rsid w:val="007925DF"/>
    <w:rsid w:val="00792F13"/>
    <w:rsid w:val="00793103"/>
    <w:rsid w:val="00793C7C"/>
    <w:rsid w:val="00793D86"/>
    <w:rsid w:val="00793E8F"/>
    <w:rsid w:val="007945C9"/>
    <w:rsid w:val="0079494B"/>
    <w:rsid w:val="00794AD3"/>
    <w:rsid w:val="00795C6B"/>
    <w:rsid w:val="00795CAD"/>
    <w:rsid w:val="0079644B"/>
    <w:rsid w:val="007966AF"/>
    <w:rsid w:val="007A0088"/>
    <w:rsid w:val="007A02D3"/>
    <w:rsid w:val="007A08AA"/>
    <w:rsid w:val="007A095E"/>
    <w:rsid w:val="007A0A12"/>
    <w:rsid w:val="007A0AFB"/>
    <w:rsid w:val="007A0CD6"/>
    <w:rsid w:val="007A132D"/>
    <w:rsid w:val="007A1345"/>
    <w:rsid w:val="007A1F48"/>
    <w:rsid w:val="007A2DDB"/>
    <w:rsid w:val="007A3BFF"/>
    <w:rsid w:val="007A3F5A"/>
    <w:rsid w:val="007A41D8"/>
    <w:rsid w:val="007A5288"/>
    <w:rsid w:val="007A53AF"/>
    <w:rsid w:val="007A5E01"/>
    <w:rsid w:val="007A5EB7"/>
    <w:rsid w:val="007A63D9"/>
    <w:rsid w:val="007A6AD5"/>
    <w:rsid w:val="007A6BF8"/>
    <w:rsid w:val="007A6D23"/>
    <w:rsid w:val="007A6DCA"/>
    <w:rsid w:val="007A70BA"/>
    <w:rsid w:val="007A7D06"/>
    <w:rsid w:val="007B074A"/>
    <w:rsid w:val="007B0D68"/>
    <w:rsid w:val="007B1CA5"/>
    <w:rsid w:val="007B24D7"/>
    <w:rsid w:val="007B251D"/>
    <w:rsid w:val="007B28A9"/>
    <w:rsid w:val="007B2B08"/>
    <w:rsid w:val="007B2FFF"/>
    <w:rsid w:val="007B30E4"/>
    <w:rsid w:val="007B317D"/>
    <w:rsid w:val="007B31A8"/>
    <w:rsid w:val="007B3528"/>
    <w:rsid w:val="007B3533"/>
    <w:rsid w:val="007B3B7B"/>
    <w:rsid w:val="007B46F8"/>
    <w:rsid w:val="007B4788"/>
    <w:rsid w:val="007B4F58"/>
    <w:rsid w:val="007B527E"/>
    <w:rsid w:val="007B528D"/>
    <w:rsid w:val="007B5B7F"/>
    <w:rsid w:val="007B63CA"/>
    <w:rsid w:val="007B711A"/>
    <w:rsid w:val="007B7716"/>
    <w:rsid w:val="007B77D1"/>
    <w:rsid w:val="007C07C7"/>
    <w:rsid w:val="007C0929"/>
    <w:rsid w:val="007C1026"/>
    <w:rsid w:val="007C1CD9"/>
    <w:rsid w:val="007C1D4F"/>
    <w:rsid w:val="007C1F3F"/>
    <w:rsid w:val="007C2041"/>
    <w:rsid w:val="007C2FB0"/>
    <w:rsid w:val="007C32EF"/>
    <w:rsid w:val="007C361D"/>
    <w:rsid w:val="007C37BF"/>
    <w:rsid w:val="007C4718"/>
    <w:rsid w:val="007C4777"/>
    <w:rsid w:val="007C47E9"/>
    <w:rsid w:val="007C4B84"/>
    <w:rsid w:val="007C527D"/>
    <w:rsid w:val="007C55C9"/>
    <w:rsid w:val="007C55CD"/>
    <w:rsid w:val="007C5755"/>
    <w:rsid w:val="007C5C3E"/>
    <w:rsid w:val="007C5C67"/>
    <w:rsid w:val="007C5D39"/>
    <w:rsid w:val="007C642E"/>
    <w:rsid w:val="007C70FF"/>
    <w:rsid w:val="007C74C8"/>
    <w:rsid w:val="007C7B06"/>
    <w:rsid w:val="007C7C25"/>
    <w:rsid w:val="007C7CCB"/>
    <w:rsid w:val="007D004F"/>
    <w:rsid w:val="007D035F"/>
    <w:rsid w:val="007D06B2"/>
    <w:rsid w:val="007D08E2"/>
    <w:rsid w:val="007D0B38"/>
    <w:rsid w:val="007D0BB8"/>
    <w:rsid w:val="007D0E16"/>
    <w:rsid w:val="007D1018"/>
    <w:rsid w:val="007D1530"/>
    <w:rsid w:val="007D2BBD"/>
    <w:rsid w:val="007D3864"/>
    <w:rsid w:val="007D3A01"/>
    <w:rsid w:val="007D42CD"/>
    <w:rsid w:val="007D5440"/>
    <w:rsid w:val="007D6388"/>
    <w:rsid w:val="007D649B"/>
    <w:rsid w:val="007D69EB"/>
    <w:rsid w:val="007D7453"/>
    <w:rsid w:val="007D77EB"/>
    <w:rsid w:val="007E030E"/>
    <w:rsid w:val="007E042D"/>
    <w:rsid w:val="007E084D"/>
    <w:rsid w:val="007E09E6"/>
    <w:rsid w:val="007E10F3"/>
    <w:rsid w:val="007E1173"/>
    <w:rsid w:val="007E128F"/>
    <w:rsid w:val="007E139D"/>
    <w:rsid w:val="007E14E7"/>
    <w:rsid w:val="007E163D"/>
    <w:rsid w:val="007E1F31"/>
    <w:rsid w:val="007E20E3"/>
    <w:rsid w:val="007E212A"/>
    <w:rsid w:val="007E2A69"/>
    <w:rsid w:val="007E2BE9"/>
    <w:rsid w:val="007E2F1C"/>
    <w:rsid w:val="007E30DB"/>
    <w:rsid w:val="007E3C4D"/>
    <w:rsid w:val="007E4D5C"/>
    <w:rsid w:val="007E5034"/>
    <w:rsid w:val="007E542C"/>
    <w:rsid w:val="007E55A8"/>
    <w:rsid w:val="007E5884"/>
    <w:rsid w:val="007E6336"/>
    <w:rsid w:val="007E6706"/>
    <w:rsid w:val="007E7040"/>
    <w:rsid w:val="007E7B9F"/>
    <w:rsid w:val="007E7D02"/>
    <w:rsid w:val="007F01A2"/>
    <w:rsid w:val="007F05CF"/>
    <w:rsid w:val="007F09FE"/>
    <w:rsid w:val="007F0AAA"/>
    <w:rsid w:val="007F0C4F"/>
    <w:rsid w:val="007F1017"/>
    <w:rsid w:val="007F17FD"/>
    <w:rsid w:val="007F1B15"/>
    <w:rsid w:val="007F1ED3"/>
    <w:rsid w:val="007F2819"/>
    <w:rsid w:val="007F3650"/>
    <w:rsid w:val="007F39ED"/>
    <w:rsid w:val="007F44D5"/>
    <w:rsid w:val="007F4A3F"/>
    <w:rsid w:val="007F4A4A"/>
    <w:rsid w:val="007F4A61"/>
    <w:rsid w:val="007F5255"/>
    <w:rsid w:val="007F53DC"/>
    <w:rsid w:val="007F56CC"/>
    <w:rsid w:val="007F5B56"/>
    <w:rsid w:val="007F618E"/>
    <w:rsid w:val="007F61C2"/>
    <w:rsid w:val="007F6A45"/>
    <w:rsid w:val="007F718E"/>
    <w:rsid w:val="007F76F6"/>
    <w:rsid w:val="007F7C00"/>
    <w:rsid w:val="007F7E50"/>
    <w:rsid w:val="00800BDE"/>
    <w:rsid w:val="0080146B"/>
    <w:rsid w:val="008014DA"/>
    <w:rsid w:val="00801F12"/>
    <w:rsid w:val="00802670"/>
    <w:rsid w:val="008027CA"/>
    <w:rsid w:val="008027CD"/>
    <w:rsid w:val="008032AE"/>
    <w:rsid w:val="00803304"/>
    <w:rsid w:val="008037D5"/>
    <w:rsid w:val="008040AF"/>
    <w:rsid w:val="008047AE"/>
    <w:rsid w:val="008049A2"/>
    <w:rsid w:val="00805142"/>
    <w:rsid w:val="008055FC"/>
    <w:rsid w:val="00805601"/>
    <w:rsid w:val="0080566B"/>
    <w:rsid w:val="00805B69"/>
    <w:rsid w:val="00805FCE"/>
    <w:rsid w:val="008064AF"/>
    <w:rsid w:val="00807848"/>
    <w:rsid w:val="00807A8B"/>
    <w:rsid w:val="00807BCB"/>
    <w:rsid w:val="00810126"/>
    <w:rsid w:val="008103E5"/>
    <w:rsid w:val="00810403"/>
    <w:rsid w:val="00810F95"/>
    <w:rsid w:val="00811383"/>
    <w:rsid w:val="00811471"/>
    <w:rsid w:val="008117B5"/>
    <w:rsid w:val="00811EE9"/>
    <w:rsid w:val="00812149"/>
    <w:rsid w:val="00812CAC"/>
    <w:rsid w:val="00813442"/>
    <w:rsid w:val="00813528"/>
    <w:rsid w:val="00813D34"/>
    <w:rsid w:val="00814FE1"/>
    <w:rsid w:val="008156C8"/>
    <w:rsid w:val="008159DC"/>
    <w:rsid w:val="00815DCD"/>
    <w:rsid w:val="0081600E"/>
    <w:rsid w:val="0081613E"/>
    <w:rsid w:val="00816361"/>
    <w:rsid w:val="00816403"/>
    <w:rsid w:val="0081647E"/>
    <w:rsid w:val="008166EF"/>
    <w:rsid w:val="0081685B"/>
    <w:rsid w:val="00816FB2"/>
    <w:rsid w:val="00816FEF"/>
    <w:rsid w:val="00817854"/>
    <w:rsid w:val="00820540"/>
    <w:rsid w:val="00820A8C"/>
    <w:rsid w:val="00820F81"/>
    <w:rsid w:val="008212E9"/>
    <w:rsid w:val="008215FB"/>
    <w:rsid w:val="008216F5"/>
    <w:rsid w:val="008220CC"/>
    <w:rsid w:val="008226B8"/>
    <w:rsid w:val="00822B33"/>
    <w:rsid w:val="00823174"/>
    <w:rsid w:val="00823A81"/>
    <w:rsid w:val="0082497F"/>
    <w:rsid w:val="00824B21"/>
    <w:rsid w:val="00825751"/>
    <w:rsid w:val="00825EBD"/>
    <w:rsid w:val="00826317"/>
    <w:rsid w:val="008264EB"/>
    <w:rsid w:val="008265A4"/>
    <w:rsid w:val="008265A6"/>
    <w:rsid w:val="00826870"/>
    <w:rsid w:val="008268CE"/>
    <w:rsid w:val="00826DCB"/>
    <w:rsid w:val="00827C23"/>
    <w:rsid w:val="008301F6"/>
    <w:rsid w:val="00830CE1"/>
    <w:rsid w:val="00830D81"/>
    <w:rsid w:val="008310B4"/>
    <w:rsid w:val="00832597"/>
    <w:rsid w:val="00832A22"/>
    <w:rsid w:val="00832C62"/>
    <w:rsid w:val="00832DAA"/>
    <w:rsid w:val="00833283"/>
    <w:rsid w:val="00833348"/>
    <w:rsid w:val="0083358A"/>
    <w:rsid w:val="00833752"/>
    <w:rsid w:val="00833AA8"/>
    <w:rsid w:val="00833B05"/>
    <w:rsid w:val="00835155"/>
    <w:rsid w:val="008356C0"/>
    <w:rsid w:val="00835D29"/>
    <w:rsid w:val="00835EEF"/>
    <w:rsid w:val="0083615D"/>
    <w:rsid w:val="008362B4"/>
    <w:rsid w:val="0083688C"/>
    <w:rsid w:val="008370D6"/>
    <w:rsid w:val="00837241"/>
    <w:rsid w:val="0083729D"/>
    <w:rsid w:val="0083788E"/>
    <w:rsid w:val="00837972"/>
    <w:rsid w:val="00837A22"/>
    <w:rsid w:val="00837D6F"/>
    <w:rsid w:val="00840CA2"/>
    <w:rsid w:val="00840DEB"/>
    <w:rsid w:val="0084105A"/>
    <w:rsid w:val="0084170B"/>
    <w:rsid w:val="0084176F"/>
    <w:rsid w:val="008417D8"/>
    <w:rsid w:val="0084233F"/>
    <w:rsid w:val="0084243C"/>
    <w:rsid w:val="008425EE"/>
    <w:rsid w:val="00842908"/>
    <w:rsid w:val="00842D64"/>
    <w:rsid w:val="00843146"/>
    <w:rsid w:val="00843286"/>
    <w:rsid w:val="0084330F"/>
    <w:rsid w:val="008436FE"/>
    <w:rsid w:val="0084374F"/>
    <w:rsid w:val="00843B44"/>
    <w:rsid w:val="00844A22"/>
    <w:rsid w:val="00845165"/>
    <w:rsid w:val="0084538D"/>
    <w:rsid w:val="00845E1A"/>
    <w:rsid w:val="00846087"/>
    <w:rsid w:val="00846120"/>
    <w:rsid w:val="00846293"/>
    <w:rsid w:val="00846298"/>
    <w:rsid w:val="00846794"/>
    <w:rsid w:val="00846ABB"/>
    <w:rsid w:val="00846FF2"/>
    <w:rsid w:val="008473FA"/>
    <w:rsid w:val="00847703"/>
    <w:rsid w:val="00847904"/>
    <w:rsid w:val="00847DF5"/>
    <w:rsid w:val="008509BC"/>
    <w:rsid w:val="00850F3C"/>
    <w:rsid w:val="0085164F"/>
    <w:rsid w:val="00851E3E"/>
    <w:rsid w:val="008524BC"/>
    <w:rsid w:val="00852510"/>
    <w:rsid w:val="0085253D"/>
    <w:rsid w:val="00852A99"/>
    <w:rsid w:val="0085309D"/>
    <w:rsid w:val="00853295"/>
    <w:rsid w:val="00854024"/>
    <w:rsid w:val="00854622"/>
    <w:rsid w:val="008554D6"/>
    <w:rsid w:val="00855E31"/>
    <w:rsid w:val="008566B8"/>
    <w:rsid w:val="008566E9"/>
    <w:rsid w:val="00856827"/>
    <w:rsid w:val="00856897"/>
    <w:rsid w:val="00856D93"/>
    <w:rsid w:val="00856E21"/>
    <w:rsid w:val="00856E9A"/>
    <w:rsid w:val="0085706E"/>
    <w:rsid w:val="0085723C"/>
    <w:rsid w:val="00857529"/>
    <w:rsid w:val="00857CEE"/>
    <w:rsid w:val="00857D6B"/>
    <w:rsid w:val="00857D9F"/>
    <w:rsid w:val="0086075D"/>
    <w:rsid w:val="00860DFA"/>
    <w:rsid w:val="0086133E"/>
    <w:rsid w:val="008613F8"/>
    <w:rsid w:val="00861C8C"/>
    <w:rsid w:val="00862502"/>
    <w:rsid w:val="00862A41"/>
    <w:rsid w:val="00862A97"/>
    <w:rsid w:val="00862CC1"/>
    <w:rsid w:val="0086330D"/>
    <w:rsid w:val="008642A7"/>
    <w:rsid w:val="00864FC9"/>
    <w:rsid w:val="008656C2"/>
    <w:rsid w:val="008656E6"/>
    <w:rsid w:val="00865AE5"/>
    <w:rsid w:val="00865C68"/>
    <w:rsid w:val="00865EC0"/>
    <w:rsid w:val="00866062"/>
    <w:rsid w:val="008660D4"/>
    <w:rsid w:val="00866B5F"/>
    <w:rsid w:val="0087013B"/>
    <w:rsid w:val="0087060B"/>
    <w:rsid w:val="00871447"/>
    <w:rsid w:val="00871933"/>
    <w:rsid w:val="00871FA9"/>
    <w:rsid w:val="0087241A"/>
    <w:rsid w:val="008728E9"/>
    <w:rsid w:val="0087298E"/>
    <w:rsid w:val="00872A94"/>
    <w:rsid w:val="00873127"/>
    <w:rsid w:val="0087391C"/>
    <w:rsid w:val="00873C80"/>
    <w:rsid w:val="00873C96"/>
    <w:rsid w:val="0087470C"/>
    <w:rsid w:val="008761D8"/>
    <w:rsid w:val="00876B83"/>
    <w:rsid w:val="008776CD"/>
    <w:rsid w:val="00877C96"/>
    <w:rsid w:val="008807C4"/>
    <w:rsid w:val="00881025"/>
    <w:rsid w:val="008810EB"/>
    <w:rsid w:val="008811D7"/>
    <w:rsid w:val="00881EA9"/>
    <w:rsid w:val="008826E0"/>
    <w:rsid w:val="00882874"/>
    <w:rsid w:val="008829AA"/>
    <w:rsid w:val="00882E3C"/>
    <w:rsid w:val="0088308A"/>
    <w:rsid w:val="00883398"/>
    <w:rsid w:val="008835AA"/>
    <w:rsid w:val="00883787"/>
    <w:rsid w:val="00883BC5"/>
    <w:rsid w:val="00883F11"/>
    <w:rsid w:val="00883F91"/>
    <w:rsid w:val="008845EB"/>
    <w:rsid w:val="008848DB"/>
    <w:rsid w:val="00884F6A"/>
    <w:rsid w:val="008855E4"/>
    <w:rsid w:val="008858C4"/>
    <w:rsid w:val="00885FB1"/>
    <w:rsid w:val="00885FB4"/>
    <w:rsid w:val="00885FBF"/>
    <w:rsid w:val="00886861"/>
    <w:rsid w:val="00886A39"/>
    <w:rsid w:val="00886CD2"/>
    <w:rsid w:val="00886D75"/>
    <w:rsid w:val="00886E23"/>
    <w:rsid w:val="008871CD"/>
    <w:rsid w:val="0088750B"/>
    <w:rsid w:val="00887637"/>
    <w:rsid w:val="00887878"/>
    <w:rsid w:val="00890704"/>
    <w:rsid w:val="008907B7"/>
    <w:rsid w:val="00890932"/>
    <w:rsid w:val="00891E6F"/>
    <w:rsid w:val="00892116"/>
    <w:rsid w:val="00892371"/>
    <w:rsid w:val="0089275D"/>
    <w:rsid w:val="00892A36"/>
    <w:rsid w:val="00892AC7"/>
    <w:rsid w:val="00892E8C"/>
    <w:rsid w:val="0089309B"/>
    <w:rsid w:val="00893239"/>
    <w:rsid w:val="00893800"/>
    <w:rsid w:val="00893EAA"/>
    <w:rsid w:val="00893F98"/>
    <w:rsid w:val="0089420E"/>
    <w:rsid w:val="00894489"/>
    <w:rsid w:val="008945B6"/>
    <w:rsid w:val="008947A8"/>
    <w:rsid w:val="00894CD6"/>
    <w:rsid w:val="00894D5B"/>
    <w:rsid w:val="00894FB4"/>
    <w:rsid w:val="008959E3"/>
    <w:rsid w:val="00895A8C"/>
    <w:rsid w:val="00895D93"/>
    <w:rsid w:val="008963A5"/>
    <w:rsid w:val="00896D5D"/>
    <w:rsid w:val="00897721"/>
    <w:rsid w:val="008978FD"/>
    <w:rsid w:val="00897B17"/>
    <w:rsid w:val="008A0037"/>
    <w:rsid w:val="008A1866"/>
    <w:rsid w:val="008A1B0A"/>
    <w:rsid w:val="008A241A"/>
    <w:rsid w:val="008A2429"/>
    <w:rsid w:val="008A26AA"/>
    <w:rsid w:val="008A3158"/>
    <w:rsid w:val="008A3342"/>
    <w:rsid w:val="008A3363"/>
    <w:rsid w:val="008A3371"/>
    <w:rsid w:val="008A35C9"/>
    <w:rsid w:val="008A3C3E"/>
    <w:rsid w:val="008A5F91"/>
    <w:rsid w:val="008A6DD6"/>
    <w:rsid w:val="008A756E"/>
    <w:rsid w:val="008A78CC"/>
    <w:rsid w:val="008A79DE"/>
    <w:rsid w:val="008B028C"/>
    <w:rsid w:val="008B1757"/>
    <w:rsid w:val="008B1840"/>
    <w:rsid w:val="008B19D8"/>
    <w:rsid w:val="008B1BE0"/>
    <w:rsid w:val="008B1C33"/>
    <w:rsid w:val="008B1C77"/>
    <w:rsid w:val="008B21DD"/>
    <w:rsid w:val="008B268C"/>
    <w:rsid w:val="008B30B4"/>
    <w:rsid w:val="008B4866"/>
    <w:rsid w:val="008B4B6F"/>
    <w:rsid w:val="008B5306"/>
    <w:rsid w:val="008B571C"/>
    <w:rsid w:val="008B5A83"/>
    <w:rsid w:val="008B5B8E"/>
    <w:rsid w:val="008B6481"/>
    <w:rsid w:val="008B6A26"/>
    <w:rsid w:val="008B6B89"/>
    <w:rsid w:val="008B7182"/>
    <w:rsid w:val="008B76E0"/>
    <w:rsid w:val="008B7992"/>
    <w:rsid w:val="008B7D7E"/>
    <w:rsid w:val="008C00B6"/>
    <w:rsid w:val="008C10DC"/>
    <w:rsid w:val="008C1188"/>
    <w:rsid w:val="008C11CB"/>
    <w:rsid w:val="008C11E3"/>
    <w:rsid w:val="008C16D3"/>
    <w:rsid w:val="008C1FB3"/>
    <w:rsid w:val="008C259F"/>
    <w:rsid w:val="008C26DC"/>
    <w:rsid w:val="008C2CA4"/>
    <w:rsid w:val="008C30E9"/>
    <w:rsid w:val="008C36E2"/>
    <w:rsid w:val="008C3856"/>
    <w:rsid w:val="008C519F"/>
    <w:rsid w:val="008C5429"/>
    <w:rsid w:val="008C552E"/>
    <w:rsid w:val="008C5610"/>
    <w:rsid w:val="008C5739"/>
    <w:rsid w:val="008C5868"/>
    <w:rsid w:val="008C5DA8"/>
    <w:rsid w:val="008C6366"/>
    <w:rsid w:val="008C7040"/>
    <w:rsid w:val="008C7282"/>
    <w:rsid w:val="008C7307"/>
    <w:rsid w:val="008C7D8E"/>
    <w:rsid w:val="008C7ECB"/>
    <w:rsid w:val="008D01AB"/>
    <w:rsid w:val="008D2797"/>
    <w:rsid w:val="008D28ED"/>
    <w:rsid w:val="008D371A"/>
    <w:rsid w:val="008D3B86"/>
    <w:rsid w:val="008D3BB3"/>
    <w:rsid w:val="008D3F6F"/>
    <w:rsid w:val="008D4208"/>
    <w:rsid w:val="008D43FD"/>
    <w:rsid w:val="008D446B"/>
    <w:rsid w:val="008D4755"/>
    <w:rsid w:val="008D4C3D"/>
    <w:rsid w:val="008D4D65"/>
    <w:rsid w:val="008D4F07"/>
    <w:rsid w:val="008D57E4"/>
    <w:rsid w:val="008D5DD5"/>
    <w:rsid w:val="008D62D0"/>
    <w:rsid w:val="008D743C"/>
    <w:rsid w:val="008D7AED"/>
    <w:rsid w:val="008D7E1B"/>
    <w:rsid w:val="008E036E"/>
    <w:rsid w:val="008E0D3C"/>
    <w:rsid w:val="008E1216"/>
    <w:rsid w:val="008E14CC"/>
    <w:rsid w:val="008E1B57"/>
    <w:rsid w:val="008E1B9E"/>
    <w:rsid w:val="008E2302"/>
    <w:rsid w:val="008E2CF3"/>
    <w:rsid w:val="008E2D64"/>
    <w:rsid w:val="008E32B6"/>
    <w:rsid w:val="008E33C9"/>
    <w:rsid w:val="008E3453"/>
    <w:rsid w:val="008E36DD"/>
    <w:rsid w:val="008E3858"/>
    <w:rsid w:val="008E3949"/>
    <w:rsid w:val="008E4D1B"/>
    <w:rsid w:val="008E50F2"/>
    <w:rsid w:val="008E55AB"/>
    <w:rsid w:val="008E55C8"/>
    <w:rsid w:val="008E569F"/>
    <w:rsid w:val="008E580D"/>
    <w:rsid w:val="008E64DF"/>
    <w:rsid w:val="008E6597"/>
    <w:rsid w:val="008E666E"/>
    <w:rsid w:val="008E682A"/>
    <w:rsid w:val="008E6C90"/>
    <w:rsid w:val="008E6EBD"/>
    <w:rsid w:val="008E6EE8"/>
    <w:rsid w:val="008E78D5"/>
    <w:rsid w:val="008F0D5A"/>
    <w:rsid w:val="008F120A"/>
    <w:rsid w:val="008F1287"/>
    <w:rsid w:val="008F1533"/>
    <w:rsid w:val="008F15D3"/>
    <w:rsid w:val="008F18DB"/>
    <w:rsid w:val="008F1B12"/>
    <w:rsid w:val="008F20A1"/>
    <w:rsid w:val="008F2334"/>
    <w:rsid w:val="008F27E0"/>
    <w:rsid w:val="008F2E48"/>
    <w:rsid w:val="008F310A"/>
    <w:rsid w:val="008F37FA"/>
    <w:rsid w:val="008F3A13"/>
    <w:rsid w:val="008F3B79"/>
    <w:rsid w:val="008F415E"/>
    <w:rsid w:val="008F41E9"/>
    <w:rsid w:val="008F48EB"/>
    <w:rsid w:val="008F495F"/>
    <w:rsid w:val="008F4F0B"/>
    <w:rsid w:val="008F5760"/>
    <w:rsid w:val="008F5829"/>
    <w:rsid w:val="008F64EF"/>
    <w:rsid w:val="008F6749"/>
    <w:rsid w:val="008F737C"/>
    <w:rsid w:val="008F7C25"/>
    <w:rsid w:val="008F7CB5"/>
    <w:rsid w:val="008F7D45"/>
    <w:rsid w:val="008F7EE4"/>
    <w:rsid w:val="00900721"/>
    <w:rsid w:val="0090075B"/>
    <w:rsid w:val="00901596"/>
    <w:rsid w:val="0090165B"/>
    <w:rsid w:val="009020E3"/>
    <w:rsid w:val="00903451"/>
    <w:rsid w:val="00903A8C"/>
    <w:rsid w:val="00903C7B"/>
    <w:rsid w:val="00903DB3"/>
    <w:rsid w:val="00903F21"/>
    <w:rsid w:val="009041E8"/>
    <w:rsid w:val="009046C4"/>
    <w:rsid w:val="009052DA"/>
    <w:rsid w:val="00905AA9"/>
    <w:rsid w:val="00905ACB"/>
    <w:rsid w:val="00905F4F"/>
    <w:rsid w:val="0090607F"/>
    <w:rsid w:val="009062A5"/>
    <w:rsid w:val="0090645D"/>
    <w:rsid w:val="00906B37"/>
    <w:rsid w:val="00906CDE"/>
    <w:rsid w:val="00907380"/>
    <w:rsid w:val="00907699"/>
    <w:rsid w:val="009079C6"/>
    <w:rsid w:val="00910744"/>
    <w:rsid w:val="00910FA7"/>
    <w:rsid w:val="00911272"/>
    <w:rsid w:val="00911339"/>
    <w:rsid w:val="00911C3F"/>
    <w:rsid w:val="009120D1"/>
    <w:rsid w:val="00912161"/>
    <w:rsid w:val="009124B6"/>
    <w:rsid w:val="009131C7"/>
    <w:rsid w:val="009135D6"/>
    <w:rsid w:val="00913B80"/>
    <w:rsid w:val="0091487C"/>
    <w:rsid w:val="00914C77"/>
    <w:rsid w:val="00914E61"/>
    <w:rsid w:val="009158A8"/>
    <w:rsid w:val="00915A9C"/>
    <w:rsid w:val="00916462"/>
    <w:rsid w:val="00916EA1"/>
    <w:rsid w:val="00916EDE"/>
    <w:rsid w:val="00916F8A"/>
    <w:rsid w:val="0091745F"/>
    <w:rsid w:val="00917A4F"/>
    <w:rsid w:val="00917DA4"/>
    <w:rsid w:val="00917E28"/>
    <w:rsid w:val="00920520"/>
    <w:rsid w:val="009208FD"/>
    <w:rsid w:val="00920BF5"/>
    <w:rsid w:val="00920D16"/>
    <w:rsid w:val="00920EB0"/>
    <w:rsid w:val="009211F8"/>
    <w:rsid w:val="00921292"/>
    <w:rsid w:val="00921ACB"/>
    <w:rsid w:val="00922360"/>
    <w:rsid w:val="0092257F"/>
    <w:rsid w:val="009232C7"/>
    <w:rsid w:val="0092369B"/>
    <w:rsid w:val="00923700"/>
    <w:rsid w:val="009241D6"/>
    <w:rsid w:val="009256B8"/>
    <w:rsid w:val="009257BC"/>
    <w:rsid w:val="0092601E"/>
    <w:rsid w:val="00926715"/>
    <w:rsid w:val="00926C86"/>
    <w:rsid w:val="00926D66"/>
    <w:rsid w:val="00926D81"/>
    <w:rsid w:val="0092721A"/>
    <w:rsid w:val="00927481"/>
    <w:rsid w:val="009274E3"/>
    <w:rsid w:val="00927E6F"/>
    <w:rsid w:val="009300C0"/>
    <w:rsid w:val="0093023B"/>
    <w:rsid w:val="009307E3"/>
    <w:rsid w:val="0093088F"/>
    <w:rsid w:val="00931543"/>
    <w:rsid w:val="00931711"/>
    <w:rsid w:val="0093175A"/>
    <w:rsid w:val="00931DA2"/>
    <w:rsid w:val="00932028"/>
    <w:rsid w:val="0093268D"/>
    <w:rsid w:val="00932CBD"/>
    <w:rsid w:val="00933D34"/>
    <w:rsid w:val="00934111"/>
    <w:rsid w:val="00934494"/>
    <w:rsid w:val="00934847"/>
    <w:rsid w:val="00934988"/>
    <w:rsid w:val="009351DB"/>
    <w:rsid w:val="009351F9"/>
    <w:rsid w:val="00935666"/>
    <w:rsid w:val="00935C47"/>
    <w:rsid w:val="00935DBC"/>
    <w:rsid w:val="009369BE"/>
    <w:rsid w:val="00936C08"/>
    <w:rsid w:val="00936CB4"/>
    <w:rsid w:val="00937089"/>
    <w:rsid w:val="0093796E"/>
    <w:rsid w:val="00937BB7"/>
    <w:rsid w:val="00937C49"/>
    <w:rsid w:val="009401EF"/>
    <w:rsid w:val="00940258"/>
    <w:rsid w:val="00940414"/>
    <w:rsid w:val="00940DE8"/>
    <w:rsid w:val="00941047"/>
    <w:rsid w:val="00941E48"/>
    <w:rsid w:val="009430D5"/>
    <w:rsid w:val="009439B5"/>
    <w:rsid w:val="00943E39"/>
    <w:rsid w:val="00944F8A"/>
    <w:rsid w:val="00945000"/>
    <w:rsid w:val="0094579E"/>
    <w:rsid w:val="0094628C"/>
    <w:rsid w:val="00946301"/>
    <w:rsid w:val="00946F86"/>
    <w:rsid w:val="009510A2"/>
    <w:rsid w:val="009524D5"/>
    <w:rsid w:val="00952833"/>
    <w:rsid w:val="00952E45"/>
    <w:rsid w:val="00953257"/>
    <w:rsid w:val="0095341C"/>
    <w:rsid w:val="0095381B"/>
    <w:rsid w:val="00953E53"/>
    <w:rsid w:val="00954374"/>
    <w:rsid w:val="0095474C"/>
    <w:rsid w:val="00954801"/>
    <w:rsid w:val="00954D52"/>
    <w:rsid w:val="00955134"/>
    <w:rsid w:val="009551D9"/>
    <w:rsid w:val="00956E21"/>
    <w:rsid w:val="0095742E"/>
    <w:rsid w:val="009577AE"/>
    <w:rsid w:val="00957D92"/>
    <w:rsid w:val="00957E59"/>
    <w:rsid w:val="00957EEC"/>
    <w:rsid w:val="00960FBF"/>
    <w:rsid w:val="009617DD"/>
    <w:rsid w:val="00961935"/>
    <w:rsid w:val="00961DEC"/>
    <w:rsid w:val="00962132"/>
    <w:rsid w:val="009623CD"/>
    <w:rsid w:val="0096264A"/>
    <w:rsid w:val="009626AB"/>
    <w:rsid w:val="00962AEC"/>
    <w:rsid w:val="00962CB9"/>
    <w:rsid w:val="00962D57"/>
    <w:rsid w:val="00963601"/>
    <w:rsid w:val="009636D2"/>
    <w:rsid w:val="00963AFC"/>
    <w:rsid w:val="00963D2F"/>
    <w:rsid w:val="00964312"/>
    <w:rsid w:val="00965B8A"/>
    <w:rsid w:val="00965ED0"/>
    <w:rsid w:val="009660F5"/>
    <w:rsid w:val="00966D76"/>
    <w:rsid w:val="0097057E"/>
    <w:rsid w:val="0097071F"/>
    <w:rsid w:val="009717AC"/>
    <w:rsid w:val="00972501"/>
    <w:rsid w:val="009726EF"/>
    <w:rsid w:val="0097287E"/>
    <w:rsid w:val="00972EA3"/>
    <w:rsid w:val="00973E25"/>
    <w:rsid w:val="009751C1"/>
    <w:rsid w:val="009763E3"/>
    <w:rsid w:val="009763EC"/>
    <w:rsid w:val="009768BE"/>
    <w:rsid w:val="00976EAE"/>
    <w:rsid w:val="00977A00"/>
    <w:rsid w:val="00977E94"/>
    <w:rsid w:val="0098024A"/>
    <w:rsid w:val="009802AF"/>
    <w:rsid w:val="009808D3"/>
    <w:rsid w:val="00980C2F"/>
    <w:rsid w:val="00980DB4"/>
    <w:rsid w:val="0098113B"/>
    <w:rsid w:val="009811F1"/>
    <w:rsid w:val="00981501"/>
    <w:rsid w:val="00982226"/>
    <w:rsid w:val="0098262F"/>
    <w:rsid w:val="00982845"/>
    <w:rsid w:val="00982C24"/>
    <w:rsid w:val="00982C2C"/>
    <w:rsid w:val="009839E1"/>
    <w:rsid w:val="00983E57"/>
    <w:rsid w:val="009842AE"/>
    <w:rsid w:val="00984B84"/>
    <w:rsid w:val="00985994"/>
    <w:rsid w:val="00985A68"/>
    <w:rsid w:val="00985DE2"/>
    <w:rsid w:val="009860C2"/>
    <w:rsid w:val="00986733"/>
    <w:rsid w:val="0098675D"/>
    <w:rsid w:val="00986CA1"/>
    <w:rsid w:val="00987120"/>
    <w:rsid w:val="009871B7"/>
    <w:rsid w:val="00987306"/>
    <w:rsid w:val="009875CE"/>
    <w:rsid w:val="00987BA4"/>
    <w:rsid w:val="00987E59"/>
    <w:rsid w:val="00990861"/>
    <w:rsid w:val="00990A00"/>
    <w:rsid w:val="0099148F"/>
    <w:rsid w:val="00991FF2"/>
    <w:rsid w:val="009926E0"/>
    <w:rsid w:val="00992DFE"/>
    <w:rsid w:val="00992FFC"/>
    <w:rsid w:val="00993681"/>
    <w:rsid w:val="009939A2"/>
    <w:rsid w:val="00993A1E"/>
    <w:rsid w:val="0099415F"/>
    <w:rsid w:val="0099451E"/>
    <w:rsid w:val="00994F79"/>
    <w:rsid w:val="009958F7"/>
    <w:rsid w:val="00995F32"/>
    <w:rsid w:val="0099613E"/>
    <w:rsid w:val="0099686D"/>
    <w:rsid w:val="0099688B"/>
    <w:rsid w:val="009968A2"/>
    <w:rsid w:val="00996B1A"/>
    <w:rsid w:val="00997BE2"/>
    <w:rsid w:val="009A07C3"/>
    <w:rsid w:val="009A0936"/>
    <w:rsid w:val="009A0F62"/>
    <w:rsid w:val="009A149B"/>
    <w:rsid w:val="009A18F6"/>
    <w:rsid w:val="009A1A27"/>
    <w:rsid w:val="009A1DEC"/>
    <w:rsid w:val="009A216A"/>
    <w:rsid w:val="009A2427"/>
    <w:rsid w:val="009A2612"/>
    <w:rsid w:val="009A2DCC"/>
    <w:rsid w:val="009A3190"/>
    <w:rsid w:val="009A324C"/>
    <w:rsid w:val="009A3601"/>
    <w:rsid w:val="009A400B"/>
    <w:rsid w:val="009A45F7"/>
    <w:rsid w:val="009A4C2D"/>
    <w:rsid w:val="009A4E34"/>
    <w:rsid w:val="009A515F"/>
    <w:rsid w:val="009A5ABC"/>
    <w:rsid w:val="009A5E0C"/>
    <w:rsid w:val="009A5F2F"/>
    <w:rsid w:val="009A6388"/>
    <w:rsid w:val="009A6A26"/>
    <w:rsid w:val="009A7E05"/>
    <w:rsid w:val="009A7F10"/>
    <w:rsid w:val="009B026B"/>
    <w:rsid w:val="009B0566"/>
    <w:rsid w:val="009B05D8"/>
    <w:rsid w:val="009B08AF"/>
    <w:rsid w:val="009B0F4E"/>
    <w:rsid w:val="009B1342"/>
    <w:rsid w:val="009B3E26"/>
    <w:rsid w:val="009B400D"/>
    <w:rsid w:val="009B402A"/>
    <w:rsid w:val="009B41FF"/>
    <w:rsid w:val="009B45C4"/>
    <w:rsid w:val="009B52FA"/>
    <w:rsid w:val="009B5BED"/>
    <w:rsid w:val="009B5C3F"/>
    <w:rsid w:val="009B5F4D"/>
    <w:rsid w:val="009B634D"/>
    <w:rsid w:val="009B6373"/>
    <w:rsid w:val="009B68F5"/>
    <w:rsid w:val="009B6D4C"/>
    <w:rsid w:val="009B6EC7"/>
    <w:rsid w:val="009B7284"/>
    <w:rsid w:val="009B772E"/>
    <w:rsid w:val="009B7A0A"/>
    <w:rsid w:val="009C0247"/>
    <w:rsid w:val="009C06CF"/>
    <w:rsid w:val="009C0AB6"/>
    <w:rsid w:val="009C0C6F"/>
    <w:rsid w:val="009C0CD3"/>
    <w:rsid w:val="009C0F99"/>
    <w:rsid w:val="009C1271"/>
    <w:rsid w:val="009C12D5"/>
    <w:rsid w:val="009C1402"/>
    <w:rsid w:val="009C2A2C"/>
    <w:rsid w:val="009C357D"/>
    <w:rsid w:val="009C3633"/>
    <w:rsid w:val="009C3706"/>
    <w:rsid w:val="009C3A3A"/>
    <w:rsid w:val="009C3AB5"/>
    <w:rsid w:val="009C426B"/>
    <w:rsid w:val="009C4C87"/>
    <w:rsid w:val="009C5442"/>
    <w:rsid w:val="009C5AE8"/>
    <w:rsid w:val="009C5C57"/>
    <w:rsid w:val="009C5CAB"/>
    <w:rsid w:val="009C5EA7"/>
    <w:rsid w:val="009C5F1A"/>
    <w:rsid w:val="009C633C"/>
    <w:rsid w:val="009C6425"/>
    <w:rsid w:val="009C6CEA"/>
    <w:rsid w:val="009C70FE"/>
    <w:rsid w:val="009C7619"/>
    <w:rsid w:val="009C77D7"/>
    <w:rsid w:val="009C7B1B"/>
    <w:rsid w:val="009C7B85"/>
    <w:rsid w:val="009D015A"/>
    <w:rsid w:val="009D024E"/>
    <w:rsid w:val="009D0254"/>
    <w:rsid w:val="009D04F0"/>
    <w:rsid w:val="009D0D31"/>
    <w:rsid w:val="009D1A64"/>
    <w:rsid w:val="009D29C4"/>
    <w:rsid w:val="009D3096"/>
    <w:rsid w:val="009D448C"/>
    <w:rsid w:val="009D475F"/>
    <w:rsid w:val="009D5B91"/>
    <w:rsid w:val="009D5BC8"/>
    <w:rsid w:val="009D6456"/>
    <w:rsid w:val="009D757E"/>
    <w:rsid w:val="009D792E"/>
    <w:rsid w:val="009D7B0A"/>
    <w:rsid w:val="009E0DFE"/>
    <w:rsid w:val="009E19A3"/>
    <w:rsid w:val="009E1B58"/>
    <w:rsid w:val="009E200E"/>
    <w:rsid w:val="009E228D"/>
    <w:rsid w:val="009E29AB"/>
    <w:rsid w:val="009E29C5"/>
    <w:rsid w:val="009E2EFE"/>
    <w:rsid w:val="009E3123"/>
    <w:rsid w:val="009E31F6"/>
    <w:rsid w:val="009E34DB"/>
    <w:rsid w:val="009E4C07"/>
    <w:rsid w:val="009E4CC9"/>
    <w:rsid w:val="009E4F5A"/>
    <w:rsid w:val="009E54C1"/>
    <w:rsid w:val="009E5B3B"/>
    <w:rsid w:val="009E5D63"/>
    <w:rsid w:val="009E625B"/>
    <w:rsid w:val="009E7540"/>
    <w:rsid w:val="009E777F"/>
    <w:rsid w:val="009E7AD4"/>
    <w:rsid w:val="009F0B1A"/>
    <w:rsid w:val="009F0BC8"/>
    <w:rsid w:val="009F0FD4"/>
    <w:rsid w:val="009F1BF1"/>
    <w:rsid w:val="009F1D3B"/>
    <w:rsid w:val="009F1DDB"/>
    <w:rsid w:val="009F20CE"/>
    <w:rsid w:val="009F2A56"/>
    <w:rsid w:val="009F2D75"/>
    <w:rsid w:val="009F3671"/>
    <w:rsid w:val="009F4913"/>
    <w:rsid w:val="009F4DFA"/>
    <w:rsid w:val="009F5574"/>
    <w:rsid w:val="009F6120"/>
    <w:rsid w:val="009F6312"/>
    <w:rsid w:val="009F6ABB"/>
    <w:rsid w:val="009F74C1"/>
    <w:rsid w:val="009F76FB"/>
    <w:rsid w:val="009F7B40"/>
    <w:rsid w:val="009F7BFD"/>
    <w:rsid w:val="009F7CAB"/>
    <w:rsid w:val="009F7EA5"/>
    <w:rsid w:val="00A00937"/>
    <w:rsid w:val="00A00D4F"/>
    <w:rsid w:val="00A00D76"/>
    <w:rsid w:val="00A00EEF"/>
    <w:rsid w:val="00A01184"/>
    <w:rsid w:val="00A01449"/>
    <w:rsid w:val="00A014A5"/>
    <w:rsid w:val="00A016F4"/>
    <w:rsid w:val="00A017E2"/>
    <w:rsid w:val="00A01AB7"/>
    <w:rsid w:val="00A01AFF"/>
    <w:rsid w:val="00A01D16"/>
    <w:rsid w:val="00A032E1"/>
    <w:rsid w:val="00A037C2"/>
    <w:rsid w:val="00A03D43"/>
    <w:rsid w:val="00A04316"/>
    <w:rsid w:val="00A04380"/>
    <w:rsid w:val="00A04786"/>
    <w:rsid w:val="00A05472"/>
    <w:rsid w:val="00A054D7"/>
    <w:rsid w:val="00A05C32"/>
    <w:rsid w:val="00A06250"/>
    <w:rsid w:val="00A06375"/>
    <w:rsid w:val="00A0653F"/>
    <w:rsid w:val="00A06556"/>
    <w:rsid w:val="00A06C34"/>
    <w:rsid w:val="00A06CC4"/>
    <w:rsid w:val="00A07327"/>
    <w:rsid w:val="00A07A22"/>
    <w:rsid w:val="00A1002A"/>
    <w:rsid w:val="00A10C5B"/>
    <w:rsid w:val="00A11026"/>
    <w:rsid w:val="00A111CA"/>
    <w:rsid w:val="00A11269"/>
    <w:rsid w:val="00A11CD0"/>
    <w:rsid w:val="00A11FF1"/>
    <w:rsid w:val="00A1217B"/>
    <w:rsid w:val="00A12F9B"/>
    <w:rsid w:val="00A1328E"/>
    <w:rsid w:val="00A13948"/>
    <w:rsid w:val="00A13B94"/>
    <w:rsid w:val="00A13C9F"/>
    <w:rsid w:val="00A1405F"/>
    <w:rsid w:val="00A14AF2"/>
    <w:rsid w:val="00A1555B"/>
    <w:rsid w:val="00A155C5"/>
    <w:rsid w:val="00A15AC3"/>
    <w:rsid w:val="00A15F9D"/>
    <w:rsid w:val="00A1604E"/>
    <w:rsid w:val="00A16701"/>
    <w:rsid w:val="00A16A49"/>
    <w:rsid w:val="00A16AD8"/>
    <w:rsid w:val="00A16CF4"/>
    <w:rsid w:val="00A1705A"/>
    <w:rsid w:val="00A179F2"/>
    <w:rsid w:val="00A2021E"/>
    <w:rsid w:val="00A2104F"/>
    <w:rsid w:val="00A21C95"/>
    <w:rsid w:val="00A21CF3"/>
    <w:rsid w:val="00A22A96"/>
    <w:rsid w:val="00A23C57"/>
    <w:rsid w:val="00A23D5D"/>
    <w:rsid w:val="00A23ED8"/>
    <w:rsid w:val="00A244A8"/>
    <w:rsid w:val="00A24659"/>
    <w:rsid w:val="00A24813"/>
    <w:rsid w:val="00A2593A"/>
    <w:rsid w:val="00A26924"/>
    <w:rsid w:val="00A270E5"/>
    <w:rsid w:val="00A27AEC"/>
    <w:rsid w:val="00A308F5"/>
    <w:rsid w:val="00A320DB"/>
    <w:rsid w:val="00A3222B"/>
    <w:rsid w:val="00A32620"/>
    <w:rsid w:val="00A3410A"/>
    <w:rsid w:val="00A34920"/>
    <w:rsid w:val="00A34C10"/>
    <w:rsid w:val="00A34EAC"/>
    <w:rsid w:val="00A35159"/>
    <w:rsid w:val="00A35360"/>
    <w:rsid w:val="00A355D2"/>
    <w:rsid w:val="00A35B32"/>
    <w:rsid w:val="00A35C95"/>
    <w:rsid w:val="00A35D16"/>
    <w:rsid w:val="00A3632A"/>
    <w:rsid w:val="00A368C2"/>
    <w:rsid w:val="00A36C5F"/>
    <w:rsid w:val="00A37531"/>
    <w:rsid w:val="00A37B3E"/>
    <w:rsid w:val="00A37BCD"/>
    <w:rsid w:val="00A37BFC"/>
    <w:rsid w:val="00A37C61"/>
    <w:rsid w:val="00A402C8"/>
    <w:rsid w:val="00A40C24"/>
    <w:rsid w:val="00A40D4F"/>
    <w:rsid w:val="00A40F25"/>
    <w:rsid w:val="00A412F7"/>
    <w:rsid w:val="00A41689"/>
    <w:rsid w:val="00A419FC"/>
    <w:rsid w:val="00A424E0"/>
    <w:rsid w:val="00A42592"/>
    <w:rsid w:val="00A42A32"/>
    <w:rsid w:val="00A42D0C"/>
    <w:rsid w:val="00A43206"/>
    <w:rsid w:val="00A438F9"/>
    <w:rsid w:val="00A439C0"/>
    <w:rsid w:val="00A43C26"/>
    <w:rsid w:val="00A43C47"/>
    <w:rsid w:val="00A43C59"/>
    <w:rsid w:val="00A45128"/>
    <w:rsid w:val="00A45299"/>
    <w:rsid w:val="00A458C9"/>
    <w:rsid w:val="00A45CD0"/>
    <w:rsid w:val="00A47C23"/>
    <w:rsid w:val="00A50000"/>
    <w:rsid w:val="00A50A5C"/>
    <w:rsid w:val="00A50ECD"/>
    <w:rsid w:val="00A51633"/>
    <w:rsid w:val="00A518F3"/>
    <w:rsid w:val="00A51C4C"/>
    <w:rsid w:val="00A5226A"/>
    <w:rsid w:val="00A52729"/>
    <w:rsid w:val="00A52887"/>
    <w:rsid w:val="00A528E3"/>
    <w:rsid w:val="00A5351E"/>
    <w:rsid w:val="00A53675"/>
    <w:rsid w:val="00A53B41"/>
    <w:rsid w:val="00A54BBE"/>
    <w:rsid w:val="00A54F5B"/>
    <w:rsid w:val="00A5550B"/>
    <w:rsid w:val="00A558AB"/>
    <w:rsid w:val="00A55ABB"/>
    <w:rsid w:val="00A55E7E"/>
    <w:rsid w:val="00A564D7"/>
    <w:rsid w:val="00A56683"/>
    <w:rsid w:val="00A56A26"/>
    <w:rsid w:val="00A56B6A"/>
    <w:rsid w:val="00A578DC"/>
    <w:rsid w:val="00A604AE"/>
    <w:rsid w:val="00A60A6D"/>
    <w:rsid w:val="00A60B78"/>
    <w:rsid w:val="00A613CC"/>
    <w:rsid w:val="00A61E4A"/>
    <w:rsid w:val="00A62283"/>
    <w:rsid w:val="00A62305"/>
    <w:rsid w:val="00A624D9"/>
    <w:rsid w:val="00A62928"/>
    <w:rsid w:val="00A62DDF"/>
    <w:rsid w:val="00A63736"/>
    <w:rsid w:val="00A640E2"/>
    <w:rsid w:val="00A64B2D"/>
    <w:rsid w:val="00A64D65"/>
    <w:rsid w:val="00A64DB9"/>
    <w:rsid w:val="00A6567F"/>
    <w:rsid w:val="00A657C3"/>
    <w:rsid w:val="00A65902"/>
    <w:rsid w:val="00A65B3B"/>
    <w:rsid w:val="00A65E56"/>
    <w:rsid w:val="00A668AA"/>
    <w:rsid w:val="00A6725B"/>
    <w:rsid w:val="00A67295"/>
    <w:rsid w:val="00A67931"/>
    <w:rsid w:val="00A70605"/>
    <w:rsid w:val="00A70CF9"/>
    <w:rsid w:val="00A7188F"/>
    <w:rsid w:val="00A71B39"/>
    <w:rsid w:val="00A721C1"/>
    <w:rsid w:val="00A725F6"/>
    <w:rsid w:val="00A72862"/>
    <w:rsid w:val="00A73134"/>
    <w:rsid w:val="00A732EA"/>
    <w:rsid w:val="00A7365A"/>
    <w:rsid w:val="00A73C63"/>
    <w:rsid w:val="00A74C86"/>
    <w:rsid w:val="00A74FDB"/>
    <w:rsid w:val="00A7573B"/>
    <w:rsid w:val="00A758F1"/>
    <w:rsid w:val="00A75D63"/>
    <w:rsid w:val="00A75EAB"/>
    <w:rsid w:val="00A76001"/>
    <w:rsid w:val="00A76063"/>
    <w:rsid w:val="00A76288"/>
    <w:rsid w:val="00A76481"/>
    <w:rsid w:val="00A768E6"/>
    <w:rsid w:val="00A76953"/>
    <w:rsid w:val="00A76B67"/>
    <w:rsid w:val="00A774BF"/>
    <w:rsid w:val="00A777B2"/>
    <w:rsid w:val="00A7781D"/>
    <w:rsid w:val="00A77D50"/>
    <w:rsid w:val="00A80C34"/>
    <w:rsid w:val="00A810AE"/>
    <w:rsid w:val="00A818D3"/>
    <w:rsid w:val="00A81A86"/>
    <w:rsid w:val="00A82197"/>
    <w:rsid w:val="00A825D4"/>
    <w:rsid w:val="00A82845"/>
    <w:rsid w:val="00A828F6"/>
    <w:rsid w:val="00A82B73"/>
    <w:rsid w:val="00A82D62"/>
    <w:rsid w:val="00A82DDE"/>
    <w:rsid w:val="00A83099"/>
    <w:rsid w:val="00A83676"/>
    <w:rsid w:val="00A83879"/>
    <w:rsid w:val="00A83955"/>
    <w:rsid w:val="00A849AF"/>
    <w:rsid w:val="00A849E8"/>
    <w:rsid w:val="00A852B1"/>
    <w:rsid w:val="00A8532E"/>
    <w:rsid w:val="00A8592B"/>
    <w:rsid w:val="00A85FA5"/>
    <w:rsid w:val="00A86E8B"/>
    <w:rsid w:val="00A86EDF"/>
    <w:rsid w:val="00A86F31"/>
    <w:rsid w:val="00A8707A"/>
    <w:rsid w:val="00A87164"/>
    <w:rsid w:val="00A871A9"/>
    <w:rsid w:val="00A874A6"/>
    <w:rsid w:val="00A9021E"/>
    <w:rsid w:val="00A9061D"/>
    <w:rsid w:val="00A90DD4"/>
    <w:rsid w:val="00A91335"/>
    <w:rsid w:val="00A925F7"/>
    <w:rsid w:val="00A92EC2"/>
    <w:rsid w:val="00A93072"/>
    <w:rsid w:val="00A930BB"/>
    <w:rsid w:val="00A9328E"/>
    <w:rsid w:val="00A934E9"/>
    <w:rsid w:val="00A93690"/>
    <w:rsid w:val="00A93695"/>
    <w:rsid w:val="00A938BD"/>
    <w:rsid w:val="00A93953"/>
    <w:rsid w:val="00A93AC3"/>
    <w:rsid w:val="00A94574"/>
    <w:rsid w:val="00A94CD5"/>
    <w:rsid w:val="00A95638"/>
    <w:rsid w:val="00A9581D"/>
    <w:rsid w:val="00A959D8"/>
    <w:rsid w:val="00A95B97"/>
    <w:rsid w:val="00A95D6B"/>
    <w:rsid w:val="00A969B5"/>
    <w:rsid w:val="00A96D73"/>
    <w:rsid w:val="00A96F20"/>
    <w:rsid w:val="00A974C0"/>
    <w:rsid w:val="00A97C4C"/>
    <w:rsid w:val="00A97CB1"/>
    <w:rsid w:val="00AA051C"/>
    <w:rsid w:val="00AA113D"/>
    <w:rsid w:val="00AA213A"/>
    <w:rsid w:val="00AA2789"/>
    <w:rsid w:val="00AA281F"/>
    <w:rsid w:val="00AA34D1"/>
    <w:rsid w:val="00AA350E"/>
    <w:rsid w:val="00AA3710"/>
    <w:rsid w:val="00AA39D7"/>
    <w:rsid w:val="00AA3E01"/>
    <w:rsid w:val="00AA420F"/>
    <w:rsid w:val="00AA4D2C"/>
    <w:rsid w:val="00AA5200"/>
    <w:rsid w:val="00AA54A0"/>
    <w:rsid w:val="00AA5900"/>
    <w:rsid w:val="00AA617B"/>
    <w:rsid w:val="00AA677F"/>
    <w:rsid w:val="00AA6A62"/>
    <w:rsid w:val="00AA6BD5"/>
    <w:rsid w:val="00AA6BD8"/>
    <w:rsid w:val="00AA6C7D"/>
    <w:rsid w:val="00AA6D29"/>
    <w:rsid w:val="00AA78D2"/>
    <w:rsid w:val="00AA7FD6"/>
    <w:rsid w:val="00AB042A"/>
    <w:rsid w:val="00AB0AE7"/>
    <w:rsid w:val="00AB0FBA"/>
    <w:rsid w:val="00AB10E8"/>
    <w:rsid w:val="00AB11AD"/>
    <w:rsid w:val="00AB1338"/>
    <w:rsid w:val="00AB1784"/>
    <w:rsid w:val="00AB19EF"/>
    <w:rsid w:val="00AB1BD0"/>
    <w:rsid w:val="00AB1C2A"/>
    <w:rsid w:val="00AB20A2"/>
    <w:rsid w:val="00AB2495"/>
    <w:rsid w:val="00AB2D34"/>
    <w:rsid w:val="00AB3214"/>
    <w:rsid w:val="00AB3430"/>
    <w:rsid w:val="00AB36A1"/>
    <w:rsid w:val="00AB37B9"/>
    <w:rsid w:val="00AB3E44"/>
    <w:rsid w:val="00AB406B"/>
    <w:rsid w:val="00AB4797"/>
    <w:rsid w:val="00AB4AD1"/>
    <w:rsid w:val="00AB4E14"/>
    <w:rsid w:val="00AB4EB1"/>
    <w:rsid w:val="00AB4FA5"/>
    <w:rsid w:val="00AB505B"/>
    <w:rsid w:val="00AB54BE"/>
    <w:rsid w:val="00AB5E07"/>
    <w:rsid w:val="00AB5FD2"/>
    <w:rsid w:val="00AB65AE"/>
    <w:rsid w:val="00AB68F2"/>
    <w:rsid w:val="00AB6BA8"/>
    <w:rsid w:val="00AB6C17"/>
    <w:rsid w:val="00AB6C55"/>
    <w:rsid w:val="00AB6DBF"/>
    <w:rsid w:val="00AB6DC6"/>
    <w:rsid w:val="00AB7CFA"/>
    <w:rsid w:val="00AB7FDD"/>
    <w:rsid w:val="00AC03CF"/>
    <w:rsid w:val="00AC0574"/>
    <w:rsid w:val="00AC0F37"/>
    <w:rsid w:val="00AC2219"/>
    <w:rsid w:val="00AC23AA"/>
    <w:rsid w:val="00AC2D82"/>
    <w:rsid w:val="00AC30F0"/>
    <w:rsid w:val="00AC325E"/>
    <w:rsid w:val="00AC35BC"/>
    <w:rsid w:val="00AC36F7"/>
    <w:rsid w:val="00AC4B28"/>
    <w:rsid w:val="00AC4C6A"/>
    <w:rsid w:val="00AC4F54"/>
    <w:rsid w:val="00AC52CD"/>
    <w:rsid w:val="00AC593F"/>
    <w:rsid w:val="00AC5B42"/>
    <w:rsid w:val="00AC5B48"/>
    <w:rsid w:val="00AC5C31"/>
    <w:rsid w:val="00AC6691"/>
    <w:rsid w:val="00AC79F9"/>
    <w:rsid w:val="00AD05CF"/>
    <w:rsid w:val="00AD0E9C"/>
    <w:rsid w:val="00AD1450"/>
    <w:rsid w:val="00AD15E8"/>
    <w:rsid w:val="00AD1AA0"/>
    <w:rsid w:val="00AD25B9"/>
    <w:rsid w:val="00AD2ADA"/>
    <w:rsid w:val="00AD3144"/>
    <w:rsid w:val="00AD34C1"/>
    <w:rsid w:val="00AD356D"/>
    <w:rsid w:val="00AD375B"/>
    <w:rsid w:val="00AD3AA7"/>
    <w:rsid w:val="00AD3DD9"/>
    <w:rsid w:val="00AD4BCA"/>
    <w:rsid w:val="00AD4BFC"/>
    <w:rsid w:val="00AD52EF"/>
    <w:rsid w:val="00AD5656"/>
    <w:rsid w:val="00AD59B0"/>
    <w:rsid w:val="00AD5B73"/>
    <w:rsid w:val="00AD5EDB"/>
    <w:rsid w:val="00AD6502"/>
    <w:rsid w:val="00AD7378"/>
    <w:rsid w:val="00AD74B2"/>
    <w:rsid w:val="00AE049F"/>
    <w:rsid w:val="00AE066C"/>
    <w:rsid w:val="00AE0695"/>
    <w:rsid w:val="00AE0E28"/>
    <w:rsid w:val="00AE1B6A"/>
    <w:rsid w:val="00AE1DA9"/>
    <w:rsid w:val="00AE1F29"/>
    <w:rsid w:val="00AE2433"/>
    <w:rsid w:val="00AE30FA"/>
    <w:rsid w:val="00AE336B"/>
    <w:rsid w:val="00AE336F"/>
    <w:rsid w:val="00AE3DF7"/>
    <w:rsid w:val="00AE3E7E"/>
    <w:rsid w:val="00AE427C"/>
    <w:rsid w:val="00AE499C"/>
    <w:rsid w:val="00AE56D3"/>
    <w:rsid w:val="00AE57C4"/>
    <w:rsid w:val="00AE58DD"/>
    <w:rsid w:val="00AE5DB9"/>
    <w:rsid w:val="00AE5DFE"/>
    <w:rsid w:val="00AE60D3"/>
    <w:rsid w:val="00AE65DF"/>
    <w:rsid w:val="00AE6829"/>
    <w:rsid w:val="00AE767C"/>
    <w:rsid w:val="00AE7823"/>
    <w:rsid w:val="00AE7C9B"/>
    <w:rsid w:val="00AE7E53"/>
    <w:rsid w:val="00AF0B8B"/>
    <w:rsid w:val="00AF0C4A"/>
    <w:rsid w:val="00AF10FB"/>
    <w:rsid w:val="00AF1315"/>
    <w:rsid w:val="00AF19BF"/>
    <w:rsid w:val="00AF1F9D"/>
    <w:rsid w:val="00AF205B"/>
    <w:rsid w:val="00AF22ED"/>
    <w:rsid w:val="00AF2352"/>
    <w:rsid w:val="00AF2DC3"/>
    <w:rsid w:val="00AF2EBC"/>
    <w:rsid w:val="00AF3678"/>
    <w:rsid w:val="00AF4545"/>
    <w:rsid w:val="00AF4571"/>
    <w:rsid w:val="00AF5236"/>
    <w:rsid w:val="00AF5895"/>
    <w:rsid w:val="00AF596E"/>
    <w:rsid w:val="00AF5EF6"/>
    <w:rsid w:val="00AF68E7"/>
    <w:rsid w:val="00AF6F7B"/>
    <w:rsid w:val="00AF7052"/>
    <w:rsid w:val="00AF7110"/>
    <w:rsid w:val="00AF7675"/>
    <w:rsid w:val="00AF7967"/>
    <w:rsid w:val="00AF7F50"/>
    <w:rsid w:val="00B00116"/>
    <w:rsid w:val="00B008FE"/>
    <w:rsid w:val="00B00CBE"/>
    <w:rsid w:val="00B00E0C"/>
    <w:rsid w:val="00B01885"/>
    <w:rsid w:val="00B02E62"/>
    <w:rsid w:val="00B02EC6"/>
    <w:rsid w:val="00B0322D"/>
    <w:rsid w:val="00B0330B"/>
    <w:rsid w:val="00B033E5"/>
    <w:rsid w:val="00B03405"/>
    <w:rsid w:val="00B0379D"/>
    <w:rsid w:val="00B03A2D"/>
    <w:rsid w:val="00B03A63"/>
    <w:rsid w:val="00B03C32"/>
    <w:rsid w:val="00B0507B"/>
    <w:rsid w:val="00B05310"/>
    <w:rsid w:val="00B05422"/>
    <w:rsid w:val="00B05A0A"/>
    <w:rsid w:val="00B05D68"/>
    <w:rsid w:val="00B06223"/>
    <w:rsid w:val="00B0630B"/>
    <w:rsid w:val="00B063EA"/>
    <w:rsid w:val="00B0692A"/>
    <w:rsid w:val="00B06B95"/>
    <w:rsid w:val="00B07B37"/>
    <w:rsid w:val="00B07EF9"/>
    <w:rsid w:val="00B10760"/>
    <w:rsid w:val="00B108BA"/>
    <w:rsid w:val="00B10A38"/>
    <w:rsid w:val="00B10E29"/>
    <w:rsid w:val="00B10FB6"/>
    <w:rsid w:val="00B110BE"/>
    <w:rsid w:val="00B114C4"/>
    <w:rsid w:val="00B1150F"/>
    <w:rsid w:val="00B128A9"/>
    <w:rsid w:val="00B129A4"/>
    <w:rsid w:val="00B1300A"/>
    <w:rsid w:val="00B133A8"/>
    <w:rsid w:val="00B13C29"/>
    <w:rsid w:val="00B13E37"/>
    <w:rsid w:val="00B15350"/>
    <w:rsid w:val="00B15780"/>
    <w:rsid w:val="00B161EB"/>
    <w:rsid w:val="00B168DA"/>
    <w:rsid w:val="00B17A76"/>
    <w:rsid w:val="00B17BC0"/>
    <w:rsid w:val="00B201A4"/>
    <w:rsid w:val="00B201D1"/>
    <w:rsid w:val="00B2025A"/>
    <w:rsid w:val="00B20DAD"/>
    <w:rsid w:val="00B20EE6"/>
    <w:rsid w:val="00B21331"/>
    <w:rsid w:val="00B213A6"/>
    <w:rsid w:val="00B21A26"/>
    <w:rsid w:val="00B21CCB"/>
    <w:rsid w:val="00B21E41"/>
    <w:rsid w:val="00B22576"/>
    <w:rsid w:val="00B2285A"/>
    <w:rsid w:val="00B22E3E"/>
    <w:rsid w:val="00B23024"/>
    <w:rsid w:val="00B2344B"/>
    <w:rsid w:val="00B235B0"/>
    <w:rsid w:val="00B24505"/>
    <w:rsid w:val="00B24772"/>
    <w:rsid w:val="00B24B61"/>
    <w:rsid w:val="00B24DF6"/>
    <w:rsid w:val="00B24FE8"/>
    <w:rsid w:val="00B25158"/>
    <w:rsid w:val="00B25708"/>
    <w:rsid w:val="00B25F83"/>
    <w:rsid w:val="00B26877"/>
    <w:rsid w:val="00B272FE"/>
    <w:rsid w:val="00B278B6"/>
    <w:rsid w:val="00B27A61"/>
    <w:rsid w:val="00B27B94"/>
    <w:rsid w:val="00B27D00"/>
    <w:rsid w:val="00B27D70"/>
    <w:rsid w:val="00B27E89"/>
    <w:rsid w:val="00B3020F"/>
    <w:rsid w:val="00B30560"/>
    <w:rsid w:val="00B308C7"/>
    <w:rsid w:val="00B312F4"/>
    <w:rsid w:val="00B31347"/>
    <w:rsid w:val="00B3189C"/>
    <w:rsid w:val="00B318C8"/>
    <w:rsid w:val="00B31AAD"/>
    <w:rsid w:val="00B32272"/>
    <w:rsid w:val="00B326B4"/>
    <w:rsid w:val="00B326C3"/>
    <w:rsid w:val="00B32D4B"/>
    <w:rsid w:val="00B338F3"/>
    <w:rsid w:val="00B339FE"/>
    <w:rsid w:val="00B34FE2"/>
    <w:rsid w:val="00B35013"/>
    <w:rsid w:val="00B35166"/>
    <w:rsid w:val="00B357A4"/>
    <w:rsid w:val="00B357D8"/>
    <w:rsid w:val="00B35AAB"/>
    <w:rsid w:val="00B360F4"/>
    <w:rsid w:val="00B36A00"/>
    <w:rsid w:val="00B37659"/>
    <w:rsid w:val="00B377C7"/>
    <w:rsid w:val="00B378E4"/>
    <w:rsid w:val="00B3792B"/>
    <w:rsid w:val="00B37BFC"/>
    <w:rsid w:val="00B40358"/>
    <w:rsid w:val="00B40911"/>
    <w:rsid w:val="00B40C82"/>
    <w:rsid w:val="00B41614"/>
    <w:rsid w:val="00B41A32"/>
    <w:rsid w:val="00B425A3"/>
    <w:rsid w:val="00B42851"/>
    <w:rsid w:val="00B429B8"/>
    <w:rsid w:val="00B42F80"/>
    <w:rsid w:val="00B42FE3"/>
    <w:rsid w:val="00B43006"/>
    <w:rsid w:val="00B435CB"/>
    <w:rsid w:val="00B435D8"/>
    <w:rsid w:val="00B438C7"/>
    <w:rsid w:val="00B4393D"/>
    <w:rsid w:val="00B43C74"/>
    <w:rsid w:val="00B4495C"/>
    <w:rsid w:val="00B4590A"/>
    <w:rsid w:val="00B45C4F"/>
    <w:rsid w:val="00B465EC"/>
    <w:rsid w:val="00B46976"/>
    <w:rsid w:val="00B46FC5"/>
    <w:rsid w:val="00B47911"/>
    <w:rsid w:val="00B47A6F"/>
    <w:rsid w:val="00B47CDF"/>
    <w:rsid w:val="00B505C8"/>
    <w:rsid w:val="00B50DB8"/>
    <w:rsid w:val="00B517F5"/>
    <w:rsid w:val="00B518F8"/>
    <w:rsid w:val="00B52823"/>
    <w:rsid w:val="00B52831"/>
    <w:rsid w:val="00B52885"/>
    <w:rsid w:val="00B52D59"/>
    <w:rsid w:val="00B535B4"/>
    <w:rsid w:val="00B53654"/>
    <w:rsid w:val="00B538F1"/>
    <w:rsid w:val="00B53905"/>
    <w:rsid w:val="00B54026"/>
    <w:rsid w:val="00B54362"/>
    <w:rsid w:val="00B54478"/>
    <w:rsid w:val="00B5448B"/>
    <w:rsid w:val="00B546DB"/>
    <w:rsid w:val="00B547DE"/>
    <w:rsid w:val="00B54B5B"/>
    <w:rsid w:val="00B54B82"/>
    <w:rsid w:val="00B54BA5"/>
    <w:rsid w:val="00B54BB0"/>
    <w:rsid w:val="00B5562E"/>
    <w:rsid w:val="00B55862"/>
    <w:rsid w:val="00B5593F"/>
    <w:rsid w:val="00B55C12"/>
    <w:rsid w:val="00B55D65"/>
    <w:rsid w:val="00B56305"/>
    <w:rsid w:val="00B564ED"/>
    <w:rsid w:val="00B5683D"/>
    <w:rsid w:val="00B56899"/>
    <w:rsid w:val="00B57000"/>
    <w:rsid w:val="00B575E5"/>
    <w:rsid w:val="00B57A10"/>
    <w:rsid w:val="00B57B76"/>
    <w:rsid w:val="00B57B87"/>
    <w:rsid w:val="00B57B88"/>
    <w:rsid w:val="00B60481"/>
    <w:rsid w:val="00B60939"/>
    <w:rsid w:val="00B60A64"/>
    <w:rsid w:val="00B60AFD"/>
    <w:rsid w:val="00B623C8"/>
    <w:rsid w:val="00B62494"/>
    <w:rsid w:val="00B62715"/>
    <w:rsid w:val="00B639D8"/>
    <w:rsid w:val="00B6498D"/>
    <w:rsid w:val="00B64C16"/>
    <w:rsid w:val="00B64E89"/>
    <w:rsid w:val="00B65611"/>
    <w:rsid w:val="00B657B5"/>
    <w:rsid w:val="00B65982"/>
    <w:rsid w:val="00B65B7A"/>
    <w:rsid w:val="00B66BEE"/>
    <w:rsid w:val="00B67199"/>
    <w:rsid w:val="00B678B5"/>
    <w:rsid w:val="00B67B8A"/>
    <w:rsid w:val="00B70E8E"/>
    <w:rsid w:val="00B70ED3"/>
    <w:rsid w:val="00B718ED"/>
    <w:rsid w:val="00B71B3E"/>
    <w:rsid w:val="00B71EA8"/>
    <w:rsid w:val="00B73383"/>
    <w:rsid w:val="00B735C0"/>
    <w:rsid w:val="00B73C25"/>
    <w:rsid w:val="00B7405A"/>
    <w:rsid w:val="00B74185"/>
    <w:rsid w:val="00B7467C"/>
    <w:rsid w:val="00B74A49"/>
    <w:rsid w:val="00B75137"/>
    <w:rsid w:val="00B75213"/>
    <w:rsid w:val="00B75D34"/>
    <w:rsid w:val="00B75EAB"/>
    <w:rsid w:val="00B76343"/>
    <w:rsid w:val="00B76A2B"/>
    <w:rsid w:val="00B76C92"/>
    <w:rsid w:val="00B76D59"/>
    <w:rsid w:val="00B77411"/>
    <w:rsid w:val="00B7796C"/>
    <w:rsid w:val="00B77B43"/>
    <w:rsid w:val="00B80EFD"/>
    <w:rsid w:val="00B818A4"/>
    <w:rsid w:val="00B819E9"/>
    <w:rsid w:val="00B8203F"/>
    <w:rsid w:val="00B821EA"/>
    <w:rsid w:val="00B8261A"/>
    <w:rsid w:val="00B82E6B"/>
    <w:rsid w:val="00B830F6"/>
    <w:rsid w:val="00B83306"/>
    <w:rsid w:val="00B833D0"/>
    <w:rsid w:val="00B83739"/>
    <w:rsid w:val="00B83CDB"/>
    <w:rsid w:val="00B84117"/>
    <w:rsid w:val="00B84419"/>
    <w:rsid w:val="00B84913"/>
    <w:rsid w:val="00B84D77"/>
    <w:rsid w:val="00B85572"/>
    <w:rsid w:val="00B85846"/>
    <w:rsid w:val="00B858F0"/>
    <w:rsid w:val="00B85AA2"/>
    <w:rsid w:val="00B85ABE"/>
    <w:rsid w:val="00B85B95"/>
    <w:rsid w:val="00B86042"/>
    <w:rsid w:val="00B86126"/>
    <w:rsid w:val="00B8649C"/>
    <w:rsid w:val="00B8695D"/>
    <w:rsid w:val="00B86E10"/>
    <w:rsid w:val="00B8714F"/>
    <w:rsid w:val="00B871F8"/>
    <w:rsid w:val="00B87553"/>
    <w:rsid w:val="00B87A36"/>
    <w:rsid w:val="00B87F0A"/>
    <w:rsid w:val="00B90559"/>
    <w:rsid w:val="00B90AB9"/>
    <w:rsid w:val="00B9170C"/>
    <w:rsid w:val="00B92784"/>
    <w:rsid w:val="00B9292F"/>
    <w:rsid w:val="00B92D0B"/>
    <w:rsid w:val="00B92E7B"/>
    <w:rsid w:val="00B932DA"/>
    <w:rsid w:val="00B93C8F"/>
    <w:rsid w:val="00B945D6"/>
    <w:rsid w:val="00B94945"/>
    <w:rsid w:val="00B94C6C"/>
    <w:rsid w:val="00B94DD6"/>
    <w:rsid w:val="00B94EE1"/>
    <w:rsid w:val="00B95244"/>
    <w:rsid w:val="00B95263"/>
    <w:rsid w:val="00B958DB"/>
    <w:rsid w:val="00B95B51"/>
    <w:rsid w:val="00B95D59"/>
    <w:rsid w:val="00B96D4B"/>
    <w:rsid w:val="00B970F9"/>
    <w:rsid w:val="00B978CD"/>
    <w:rsid w:val="00B97C3A"/>
    <w:rsid w:val="00BA01FC"/>
    <w:rsid w:val="00BA035A"/>
    <w:rsid w:val="00BA0D47"/>
    <w:rsid w:val="00BA1666"/>
    <w:rsid w:val="00BA18B1"/>
    <w:rsid w:val="00BA2002"/>
    <w:rsid w:val="00BA2641"/>
    <w:rsid w:val="00BA2B9D"/>
    <w:rsid w:val="00BA322D"/>
    <w:rsid w:val="00BA350C"/>
    <w:rsid w:val="00BA36DE"/>
    <w:rsid w:val="00BA44A2"/>
    <w:rsid w:val="00BA44AC"/>
    <w:rsid w:val="00BA4963"/>
    <w:rsid w:val="00BA4B41"/>
    <w:rsid w:val="00BA4C4E"/>
    <w:rsid w:val="00BA5359"/>
    <w:rsid w:val="00BA57E7"/>
    <w:rsid w:val="00BA63FA"/>
    <w:rsid w:val="00BA6DCA"/>
    <w:rsid w:val="00BA6E07"/>
    <w:rsid w:val="00BA716F"/>
    <w:rsid w:val="00BA742A"/>
    <w:rsid w:val="00BB00B3"/>
    <w:rsid w:val="00BB0158"/>
    <w:rsid w:val="00BB05BE"/>
    <w:rsid w:val="00BB081B"/>
    <w:rsid w:val="00BB0BDD"/>
    <w:rsid w:val="00BB0E7E"/>
    <w:rsid w:val="00BB16D2"/>
    <w:rsid w:val="00BB16DE"/>
    <w:rsid w:val="00BB1713"/>
    <w:rsid w:val="00BB176C"/>
    <w:rsid w:val="00BB17BE"/>
    <w:rsid w:val="00BB1969"/>
    <w:rsid w:val="00BB2074"/>
    <w:rsid w:val="00BB2A73"/>
    <w:rsid w:val="00BB3A45"/>
    <w:rsid w:val="00BB3C94"/>
    <w:rsid w:val="00BB3EF0"/>
    <w:rsid w:val="00BB4ACC"/>
    <w:rsid w:val="00BB4D1D"/>
    <w:rsid w:val="00BB4FA6"/>
    <w:rsid w:val="00BB514E"/>
    <w:rsid w:val="00BB6207"/>
    <w:rsid w:val="00BB65E5"/>
    <w:rsid w:val="00BB6747"/>
    <w:rsid w:val="00BB703E"/>
    <w:rsid w:val="00BB732D"/>
    <w:rsid w:val="00BB7405"/>
    <w:rsid w:val="00BB77B2"/>
    <w:rsid w:val="00BB7CEC"/>
    <w:rsid w:val="00BC0526"/>
    <w:rsid w:val="00BC0DB7"/>
    <w:rsid w:val="00BC12F5"/>
    <w:rsid w:val="00BC1529"/>
    <w:rsid w:val="00BC1675"/>
    <w:rsid w:val="00BC1892"/>
    <w:rsid w:val="00BC1DBE"/>
    <w:rsid w:val="00BC251E"/>
    <w:rsid w:val="00BC2A39"/>
    <w:rsid w:val="00BC331B"/>
    <w:rsid w:val="00BC35B7"/>
    <w:rsid w:val="00BC3631"/>
    <w:rsid w:val="00BC407F"/>
    <w:rsid w:val="00BC4829"/>
    <w:rsid w:val="00BC5100"/>
    <w:rsid w:val="00BC5206"/>
    <w:rsid w:val="00BC54EB"/>
    <w:rsid w:val="00BC591F"/>
    <w:rsid w:val="00BC5A93"/>
    <w:rsid w:val="00BC64F5"/>
    <w:rsid w:val="00BC70E7"/>
    <w:rsid w:val="00BC74D6"/>
    <w:rsid w:val="00BC7886"/>
    <w:rsid w:val="00BC7D6D"/>
    <w:rsid w:val="00BD1CFF"/>
    <w:rsid w:val="00BD2108"/>
    <w:rsid w:val="00BD2887"/>
    <w:rsid w:val="00BD28CA"/>
    <w:rsid w:val="00BD351A"/>
    <w:rsid w:val="00BD37F9"/>
    <w:rsid w:val="00BD3835"/>
    <w:rsid w:val="00BD460E"/>
    <w:rsid w:val="00BD479D"/>
    <w:rsid w:val="00BD60F6"/>
    <w:rsid w:val="00BD639D"/>
    <w:rsid w:val="00BD68A3"/>
    <w:rsid w:val="00BD6938"/>
    <w:rsid w:val="00BD6996"/>
    <w:rsid w:val="00BD6CF3"/>
    <w:rsid w:val="00BD6DAD"/>
    <w:rsid w:val="00BD77A4"/>
    <w:rsid w:val="00BD7DA5"/>
    <w:rsid w:val="00BD7F72"/>
    <w:rsid w:val="00BE0C98"/>
    <w:rsid w:val="00BE0D8F"/>
    <w:rsid w:val="00BE0ECA"/>
    <w:rsid w:val="00BE165E"/>
    <w:rsid w:val="00BE2180"/>
    <w:rsid w:val="00BE21F2"/>
    <w:rsid w:val="00BE27F3"/>
    <w:rsid w:val="00BE29B8"/>
    <w:rsid w:val="00BE2CB9"/>
    <w:rsid w:val="00BE32EC"/>
    <w:rsid w:val="00BE3DF1"/>
    <w:rsid w:val="00BE4275"/>
    <w:rsid w:val="00BE4E2E"/>
    <w:rsid w:val="00BE4E6A"/>
    <w:rsid w:val="00BE5223"/>
    <w:rsid w:val="00BE5C63"/>
    <w:rsid w:val="00BE68D8"/>
    <w:rsid w:val="00BE6AAC"/>
    <w:rsid w:val="00BE6D43"/>
    <w:rsid w:val="00BE6E03"/>
    <w:rsid w:val="00BE7410"/>
    <w:rsid w:val="00BE7C25"/>
    <w:rsid w:val="00BF06AE"/>
    <w:rsid w:val="00BF0ABD"/>
    <w:rsid w:val="00BF0AC5"/>
    <w:rsid w:val="00BF0D86"/>
    <w:rsid w:val="00BF0F95"/>
    <w:rsid w:val="00BF1506"/>
    <w:rsid w:val="00BF1A41"/>
    <w:rsid w:val="00BF2433"/>
    <w:rsid w:val="00BF2A03"/>
    <w:rsid w:val="00BF2E6E"/>
    <w:rsid w:val="00BF2F0D"/>
    <w:rsid w:val="00BF393E"/>
    <w:rsid w:val="00BF4CBD"/>
    <w:rsid w:val="00BF5600"/>
    <w:rsid w:val="00BF586B"/>
    <w:rsid w:val="00BF5D58"/>
    <w:rsid w:val="00BF61C9"/>
    <w:rsid w:val="00BF6C94"/>
    <w:rsid w:val="00BF6D9F"/>
    <w:rsid w:val="00BF7A1C"/>
    <w:rsid w:val="00C00424"/>
    <w:rsid w:val="00C00BB0"/>
    <w:rsid w:val="00C00C14"/>
    <w:rsid w:val="00C010D3"/>
    <w:rsid w:val="00C0164D"/>
    <w:rsid w:val="00C01E50"/>
    <w:rsid w:val="00C0239C"/>
    <w:rsid w:val="00C025BD"/>
    <w:rsid w:val="00C02646"/>
    <w:rsid w:val="00C03112"/>
    <w:rsid w:val="00C03127"/>
    <w:rsid w:val="00C0319C"/>
    <w:rsid w:val="00C03B45"/>
    <w:rsid w:val="00C04030"/>
    <w:rsid w:val="00C045E4"/>
    <w:rsid w:val="00C054BC"/>
    <w:rsid w:val="00C06911"/>
    <w:rsid w:val="00C069CF"/>
    <w:rsid w:val="00C06C21"/>
    <w:rsid w:val="00C06DE8"/>
    <w:rsid w:val="00C06FF3"/>
    <w:rsid w:val="00C07CA9"/>
    <w:rsid w:val="00C07FF8"/>
    <w:rsid w:val="00C101C4"/>
    <w:rsid w:val="00C105AD"/>
    <w:rsid w:val="00C105B1"/>
    <w:rsid w:val="00C1179F"/>
    <w:rsid w:val="00C1198A"/>
    <w:rsid w:val="00C11D6F"/>
    <w:rsid w:val="00C127B9"/>
    <w:rsid w:val="00C128FA"/>
    <w:rsid w:val="00C12C0C"/>
    <w:rsid w:val="00C12C14"/>
    <w:rsid w:val="00C12FEE"/>
    <w:rsid w:val="00C131B2"/>
    <w:rsid w:val="00C1422E"/>
    <w:rsid w:val="00C148B2"/>
    <w:rsid w:val="00C14B27"/>
    <w:rsid w:val="00C151BB"/>
    <w:rsid w:val="00C156C6"/>
    <w:rsid w:val="00C156D5"/>
    <w:rsid w:val="00C15E1E"/>
    <w:rsid w:val="00C15F04"/>
    <w:rsid w:val="00C16A6E"/>
    <w:rsid w:val="00C179B3"/>
    <w:rsid w:val="00C17C23"/>
    <w:rsid w:val="00C17E3F"/>
    <w:rsid w:val="00C200AA"/>
    <w:rsid w:val="00C2080A"/>
    <w:rsid w:val="00C20FBE"/>
    <w:rsid w:val="00C2157E"/>
    <w:rsid w:val="00C218D8"/>
    <w:rsid w:val="00C21AA5"/>
    <w:rsid w:val="00C22E22"/>
    <w:rsid w:val="00C23557"/>
    <w:rsid w:val="00C237ED"/>
    <w:rsid w:val="00C2394A"/>
    <w:rsid w:val="00C23ACA"/>
    <w:rsid w:val="00C23AF8"/>
    <w:rsid w:val="00C24632"/>
    <w:rsid w:val="00C24A50"/>
    <w:rsid w:val="00C24BE4"/>
    <w:rsid w:val="00C25418"/>
    <w:rsid w:val="00C257A5"/>
    <w:rsid w:val="00C258FC"/>
    <w:rsid w:val="00C25D1B"/>
    <w:rsid w:val="00C25D9C"/>
    <w:rsid w:val="00C2778B"/>
    <w:rsid w:val="00C27868"/>
    <w:rsid w:val="00C3045D"/>
    <w:rsid w:val="00C307FB"/>
    <w:rsid w:val="00C30E4D"/>
    <w:rsid w:val="00C31649"/>
    <w:rsid w:val="00C31E49"/>
    <w:rsid w:val="00C3282C"/>
    <w:rsid w:val="00C32CCE"/>
    <w:rsid w:val="00C32E1C"/>
    <w:rsid w:val="00C3434C"/>
    <w:rsid w:val="00C345A4"/>
    <w:rsid w:val="00C347D5"/>
    <w:rsid w:val="00C3549A"/>
    <w:rsid w:val="00C35924"/>
    <w:rsid w:val="00C362B4"/>
    <w:rsid w:val="00C375E0"/>
    <w:rsid w:val="00C379D4"/>
    <w:rsid w:val="00C40385"/>
    <w:rsid w:val="00C40446"/>
    <w:rsid w:val="00C40544"/>
    <w:rsid w:val="00C40C38"/>
    <w:rsid w:val="00C40D9F"/>
    <w:rsid w:val="00C41768"/>
    <w:rsid w:val="00C41ECC"/>
    <w:rsid w:val="00C4223D"/>
    <w:rsid w:val="00C42376"/>
    <w:rsid w:val="00C42D2D"/>
    <w:rsid w:val="00C4303A"/>
    <w:rsid w:val="00C438B9"/>
    <w:rsid w:val="00C44090"/>
    <w:rsid w:val="00C4466F"/>
    <w:rsid w:val="00C44988"/>
    <w:rsid w:val="00C44D00"/>
    <w:rsid w:val="00C44EDD"/>
    <w:rsid w:val="00C45149"/>
    <w:rsid w:val="00C45426"/>
    <w:rsid w:val="00C459C3"/>
    <w:rsid w:val="00C46124"/>
    <w:rsid w:val="00C4628D"/>
    <w:rsid w:val="00C472B7"/>
    <w:rsid w:val="00C475AA"/>
    <w:rsid w:val="00C47D50"/>
    <w:rsid w:val="00C50344"/>
    <w:rsid w:val="00C5096F"/>
    <w:rsid w:val="00C50C63"/>
    <w:rsid w:val="00C517C3"/>
    <w:rsid w:val="00C521C3"/>
    <w:rsid w:val="00C52434"/>
    <w:rsid w:val="00C527C7"/>
    <w:rsid w:val="00C53C98"/>
    <w:rsid w:val="00C53D94"/>
    <w:rsid w:val="00C5482D"/>
    <w:rsid w:val="00C54832"/>
    <w:rsid w:val="00C54CE2"/>
    <w:rsid w:val="00C551E4"/>
    <w:rsid w:val="00C553E9"/>
    <w:rsid w:val="00C56FCF"/>
    <w:rsid w:val="00C572F6"/>
    <w:rsid w:val="00C575E7"/>
    <w:rsid w:val="00C57B6C"/>
    <w:rsid w:val="00C6030E"/>
    <w:rsid w:val="00C6078C"/>
    <w:rsid w:val="00C6091E"/>
    <w:rsid w:val="00C609A5"/>
    <w:rsid w:val="00C61A59"/>
    <w:rsid w:val="00C62042"/>
    <w:rsid w:val="00C624EB"/>
    <w:rsid w:val="00C625A2"/>
    <w:rsid w:val="00C6277C"/>
    <w:rsid w:val="00C628A6"/>
    <w:rsid w:val="00C6333F"/>
    <w:rsid w:val="00C6360C"/>
    <w:rsid w:val="00C636A1"/>
    <w:rsid w:val="00C64344"/>
    <w:rsid w:val="00C64492"/>
    <w:rsid w:val="00C64ACF"/>
    <w:rsid w:val="00C64C6C"/>
    <w:rsid w:val="00C65108"/>
    <w:rsid w:val="00C65576"/>
    <w:rsid w:val="00C65785"/>
    <w:rsid w:val="00C65D72"/>
    <w:rsid w:val="00C66020"/>
    <w:rsid w:val="00C66165"/>
    <w:rsid w:val="00C67362"/>
    <w:rsid w:val="00C675A5"/>
    <w:rsid w:val="00C67766"/>
    <w:rsid w:val="00C67976"/>
    <w:rsid w:val="00C67ABB"/>
    <w:rsid w:val="00C7060A"/>
    <w:rsid w:val="00C70DC6"/>
    <w:rsid w:val="00C71464"/>
    <w:rsid w:val="00C7151A"/>
    <w:rsid w:val="00C717E3"/>
    <w:rsid w:val="00C71EE4"/>
    <w:rsid w:val="00C71F60"/>
    <w:rsid w:val="00C72241"/>
    <w:rsid w:val="00C7311C"/>
    <w:rsid w:val="00C7340F"/>
    <w:rsid w:val="00C734FE"/>
    <w:rsid w:val="00C73800"/>
    <w:rsid w:val="00C73D79"/>
    <w:rsid w:val="00C74E85"/>
    <w:rsid w:val="00C750C8"/>
    <w:rsid w:val="00C7560F"/>
    <w:rsid w:val="00C77F84"/>
    <w:rsid w:val="00C8077B"/>
    <w:rsid w:val="00C808B1"/>
    <w:rsid w:val="00C80A0E"/>
    <w:rsid w:val="00C80F29"/>
    <w:rsid w:val="00C815BE"/>
    <w:rsid w:val="00C81B1B"/>
    <w:rsid w:val="00C81F78"/>
    <w:rsid w:val="00C81FFD"/>
    <w:rsid w:val="00C8213F"/>
    <w:rsid w:val="00C828B9"/>
    <w:rsid w:val="00C82929"/>
    <w:rsid w:val="00C82CE7"/>
    <w:rsid w:val="00C8303F"/>
    <w:rsid w:val="00C83888"/>
    <w:rsid w:val="00C839D7"/>
    <w:rsid w:val="00C84478"/>
    <w:rsid w:val="00C84571"/>
    <w:rsid w:val="00C845AC"/>
    <w:rsid w:val="00C84C60"/>
    <w:rsid w:val="00C84F0B"/>
    <w:rsid w:val="00C85133"/>
    <w:rsid w:val="00C85154"/>
    <w:rsid w:val="00C8520F"/>
    <w:rsid w:val="00C85A70"/>
    <w:rsid w:val="00C85B23"/>
    <w:rsid w:val="00C8625B"/>
    <w:rsid w:val="00C86371"/>
    <w:rsid w:val="00C866F8"/>
    <w:rsid w:val="00C867D3"/>
    <w:rsid w:val="00C86A8B"/>
    <w:rsid w:val="00C878CB"/>
    <w:rsid w:val="00C8797A"/>
    <w:rsid w:val="00C87FBA"/>
    <w:rsid w:val="00C900B8"/>
    <w:rsid w:val="00C90197"/>
    <w:rsid w:val="00C90C71"/>
    <w:rsid w:val="00C910FD"/>
    <w:rsid w:val="00C9160C"/>
    <w:rsid w:val="00C91FD1"/>
    <w:rsid w:val="00C927FF"/>
    <w:rsid w:val="00C9299B"/>
    <w:rsid w:val="00C93105"/>
    <w:rsid w:val="00C931CF"/>
    <w:rsid w:val="00C93287"/>
    <w:rsid w:val="00C938CF"/>
    <w:rsid w:val="00C93C99"/>
    <w:rsid w:val="00C94053"/>
    <w:rsid w:val="00C94308"/>
    <w:rsid w:val="00C945E1"/>
    <w:rsid w:val="00C94A7C"/>
    <w:rsid w:val="00C94E9A"/>
    <w:rsid w:val="00C9556E"/>
    <w:rsid w:val="00C956C2"/>
    <w:rsid w:val="00C9586A"/>
    <w:rsid w:val="00C95DE0"/>
    <w:rsid w:val="00C9624D"/>
    <w:rsid w:val="00C969DA"/>
    <w:rsid w:val="00C972AD"/>
    <w:rsid w:val="00C972C0"/>
    <w:rsid w:val="00C9737D"/>
    <w:rsid w:val="00C9755E"/>
    <w:rsid w:val="00C979A3"/>
    <w:rsid w:val="00CA036F"/>
    <w:rsid w:val="00CA04F9"/>
    <w:rsid w:val="00CA0769"/>
    <w:rsid w:val="00CA0AF2"/>
    <w:rsid w:val="00CA10F1"/>
    <w:rsid w:val="00CA1A3A"/>
    <w:rsid w:val="00CA1AEF"/>
    <w:rsid w:val="00CA1B72"/>
    <w:rsid w:val="00CA1DE1"/>
    <w:rsid w:val="00CA23FC"/>
    <w:rsid w:val="00CA2C77"/>
    <w:rsid w:val="00CA2CCB"/>
    <w:rsid w:val="00CA2F9F"/>
    <w:rsid w:val="00CA2FD3"/>
    <w:rsid w:val="00CA324C"/>
    <w:rsid w:val="00CA3534"/>
    <w:rsid w:val="00CA36F7"/>
    <w:rsid w:val="00CA37B0"/>
    <w:rsid w:val="00CA3C97"/>
    <w:rsid w:val="00CA3E53"/>
    <w:rsid w:val="00CA444F"/>
    <w:rsid w:val="00CA446E"/>
    <w:rsid w:val="00CA47A2"/>
    <w:rsid w:val="00CA48AB"/>
    <w:rsid w:val="00CA5245"/>
    <w:rsid w:val="00CA55F4"/>
    <w:rsid w:val="00CA5D1E"/>
    <w:rsid w:val="00CA681B"/>
    <w:rsid w:val="00CA6BFF"/>
    <w:rsid w:val="00CA6EA7"/>
    <w:rsid w:val="00CA71F4"/>
    <w:rsid w:val="00CA732C"/>
    <w:rsid w:val="00CA7B09"/>
    <w:rsid w:val="00CB03B1"/>
    <w:rsid w:val="00CB0D44"/>
    <w:rsid w:val="00CB1149"/>
    <w:rsid w:val="00CB12A5"/>
    <w:rsid w:val="00CB150B"/>
    <w:rsid w:val="00CB1B53"/>
    <w:rsid w:val="00CB1CAC"/>
    <w:rsid w:val="00CB20CB"/>
    <w:rsid w:val="00CB240B"/>
    <w:rsid w:val="00CB262E"/>
    <w:rsid w:val="00CB2665"/>
    <w:rsid w:val="00CB289E"/>
    <w:rsid w:val="00CB2A6C"/>
    <w:rsid w:val="00CB2F2A"/>
    <w:rsid w:val="00CB3493"/>
    <w:rsid w:val="00CB3F8C"/>
    <w:rsid w:val="00CB4181"/>
    <w:rsid w:val="00CB4CAA"/>
    <w:rsid w:val="00CB4EF3"/>
    <w:rsid w:val="00CB5194"/>
    <w:rsid w:val="00CB5B1A"/>
    <w:rsid w:val="00CB5BD2"/>
    <w:rsid w:val="00CB67C0"/>
    <w:rsid w:val="00CB6B22"/>
    <w:rsid w:val="00CB74B5"/>
    <w:rsid w:val="00CB7574"/>
    <w:rsid w:val="00CB788A"/>
    <w:rsid w:val="00CB7F5F"/>
    <w:rsid w:val="00CC010B"/>
    <w:rsid w:val="00CC018C"/>
    <w:rsid w:val="00CC084D"/>
    <w:rsid w:val="00CC0B75"/>
    <w:rsid w:val="00CC1120"/>
    <w:rsid w:val="00CC1B39"/>
    <w:rsid w:val="00CC1BFA"/>
    <w:rsid w:val="00CC2365"/>
    <w:rsid w:val="00CC25A5"/>
    <w:rsid w:val="00CC271C"/>
    <w:rsid w:val="00CC2996"/>
    <w:rsid w:val="00CC2A3D"/>
    <w:rsid w:val="00CC2E9F"/>
    <w:rsid w:val="00CC3083"/>
    <w:rsid w:val="00CC3566"/>
    <w:rsid w:val="00CC35EA"/>
    <w:rsid w:val="00CC3848"/>
    <w:rsid w:val="00CC3F6F"/>
    <w:rsid w:val="00CC40E6"/>
    <w:rsid w:val="00CC4386"/>
    <w:rsid w:val="00CC62AF"/>
    <w:rsid w:val="00CC6B6D"/>
    <w:rsid w:val="00CC6D5E"/>
    <w:rsid w:val="00CC77C7"/>
    <w:rsid w:val="00CC7ED3"/>
    <w:rsid w:val="00CD0200"/>
    <w:rsid w:val="00CD0382"/>
    <w:rsid w:val="00CD0E72"/>
    <w:rsid w:val="00CD13BC"/>
    <w:rsid w:val="00CD1B35"/>
    <w:rsid w:val="00CD2110"/>
    <w:rsid w:val="00CD212B"/>
    <w:rsid w:val="00CD23C9"/>
    <w:rsid w:val="00CD2856"/>
    <w:rsid w:val="00CD2F22"/>
    <w:rsid w:val="00CD2F46"/>
    <w:rsid w:val="00CD37A1"/>
    <w:rsid w:val="00CD3BD6"/>
    <w:rsid w:val="00CD3D65"/>
    <w:rsid w:val="00CD3F77"/>
    <w:rsid w:val="00CD434A"/>
    <w:rsid w:val="00CD484F"/>
    <w:rsid w:val="00CD4A7E"/>
    <w:rsid w:val="00CD4F00"/>
    <w:rsid w:val="00CD531D"/>
    <w:rsid w:val="00CD5819"/>
    <w:rsid w:val="00CD6019"/>
    <w:rsid w:val="00CD656E"/>
    <w:rsid w:val="00CD6ADC"/>
    <w:rsid w:val="00CD6BB2"/>
    <w:rsid w:val="00CD6DF8"/>
    <w:rsid w:val="00CD7193"/>
    <w:rsid w:val="00CD774D"/>
    <w:rsid w:val="00CD79C6"/>
    <w:rsid w:val="00CD7C24"/>
    <w:rsid w:val="00CD7EFC"/>
    <w:rsid w:val="00CE04AC"/>
    <w:rsid w:val="00CE0655"/>
    <w:rsid w:val="00CE1E35"/>
    <w:rsid w:val="00CE350C"/>
    <w:rsid w:val="00CE371B"/>
    <w:rsid w:val="00CE38C8"/>
    <w:rsid w:val="00CE44DE"/>
    <w:rsid w:val="00CE50AD"/>
    <w:rsid w:val="00CE524F"/>
    <w:rsid w:val="00CE53BF"/>
    <w:rsid w:val="00CE55D9"/>
    <w:rsid w:val="00CE58CC"/>
    <w:rsid w:val="00CE6274"/>
    <w:rsid w:val="00CE6D84"/>
    <w:rsid w:val="00CE72F4"/>
    <w:rsid w:val="00CE77B6"/>
    <w:rsid w:val="00CE7861"/>
    <w:rsid w:val="00CE793D"/>
    <w:rsid w:val="00CF0A36"/>
    <w:rsid w:val="00CF12B7"/>
    <w:rsid w:val="00CF1ECE"/>
    <w:rsid w:val="00CF2338"/>
    <w:rsid w:val="00CF25F4"/>
    <w:rsid w:val="00CF2964"/>
    <w:rsid w:val="00CF2B8D"/>
    <w:rsid w:val="00CF3311"/>
    <w:rsid w:val="00CF3A1B"/>
    <w:rsid w:val="00CF3F3C"/>
    <w:rsid w:val="00CF3F8D"/>
    <w:rsid w:val="00CF400C"/>
    <w:rsid w:val="00CF456B"/>
    <w:rsid w:val="00CF496A"/>
    <w:rsid w:val="00CF5167"/>
    <w:rsid w:val="00CF5A22"/>
    <w:rsid w:val="00CF6A10"/>
    <w:rsid w:val="00CF7549"/>
    <w:rsid w:val="00CF7C95"/>
    <w:rsid w:val="00CF7D29"/>
    <w:rsid w:val="00D003E1"/>
    <w:rsid w:val="00D004E9"/>
    <w:rsid w:val="00D0077C"/>
    <w:rsid w:val="00D00D1E"/>
    <w:rsid w:val="00D012D3"/>
    <w:rsid w:val="00D02595"/>
    <w:rsid w:val="00D0262E"/>
    <w:rsid w:val="00D028DA"/>
    <w:rsid w:val="00D03679"/>
    <w:rsid w:val="00D03B65"/>
    <w:rsid w:val="00D04A91"/>
    <w:rsid w:val="00D050E6"/>
    <w:rsid w:val="00D054B1"/>
    <w:rsid w:val="00D05E3D"/>
    <w:rsid w:val="00D06139"/>
    <w:rsid w:val="00D0621D"/>
    <w:rsid w:val="00D06C04"/>
    <w:rsid w:val="00D06EAA"/>
    <w:rsid w:val="00D07546"/>
    <w:rsid w:val="00D078A1"/>
    <w:rsid w:val="00D07A26"/>
    <w:rsid w:val="00D07B27"/>
    <w:rsid w:val="00D07D3C"/>
    <w:rsid w:val="00D1022B"/>
    <w:rsid w:val="00D1025B"/>
    <w:rsid w:val="00D10B47"/>
    <w:rsid w:val="00D110BD"/>
    <w:rsid w:val="00D11C77"/>
    <w:rsid w:val="00D11F0D"/>
    <w:rsid w:val="00D12AE2"/>
    <w:rsid w:val="00D13675"/>
    <w:rsid w:val="00D137D6"/>
    <w:rsid w:val="00D1395E"/>
    <w:rsid w:val="00D13BF3"/>
    <w:rsid w:val="00D13D2A"/>
    <w:rsid w:val="00D141E1"/>
    <w:rsid w:val="00D1431B"/>
    <w:rsid w:val="00D15314"/>
    <w:rsid w:val="00D1598F"/>
    <w:rsid w:val="00D15B48"/>
    <w:rsid w:val="00D16236"/>
    <w:rsid w:val="00D163A3"/>
    <w:rsid w:val="00D16B0C"/>
    <w:rsid w:val="00D16F49"/>
    <w:rsid w:val="00D17CB7"/>
    <w:rsid w:val="00D17D6C"/>
    <w:rsid w:val="00D17DFA"/>
    <w:rsid w:val="00D2005F"/>
    <w:rsid w:val="00D214EC"/>
    <w:rsid w:val="00D2155B"/>
    <w:rsid w:val="00D2195B"/>
    <w:rsid w:val="00D21BBA"/>
    <w:rsid w:val="00D221FE"/>
    <w:rsid w:val="00D222BA"/>
    <w:rsid w:val="00D2280E"/>
    <w:rsid w:val="00D22D03"/>
    <w:rsid w:val="00D22EC2"/>
    <w:rsid w:val="00D2332A"/>
    <w:rsid w:val="00D2380E"/>
    <w:rsid w:val="00D23D11"/>
    <w:rsid w:val="00D23EE3"/>
    <w:rsid w:val="00D244B6"/>
    <w:rsid w:val="00D2464C"/>
    <w:rsid w:val="00D24758"/>
    <w:rsid w:val="00D24B8C"/>
    <w:rsid w:val="00D25440"/>
    <w:rsid w:val="00D265E0"/>
    <w:rsid w:val="00D26AC6"/>
    <w:rsid w:val="00D272A5"/>
    <w:rsid w:val="00D2754D"/>
    <w:rsid w:val="00D276D0"/>
    <w:rsid w:val="00D277C7"/>
    <w:rsid w:val="00D278A8"/>
    <w:rsid w:val="00D278D8"/>
    <w:rsid w:val="00D27B27"/>
    <w:rsid w:val="00D27F04"/>
    <w:rsid w:val="00D30537"/>
    <w:rsid w:val="00D30589"/>
    <w:rsid w:val="00D30D5B"/>
    <w:rsid w:val="00D31969"/>
    <w:rsid w:val="00D3203B"/>
    <w:rsid w:val="00D321F2"/>
    <w:rsid w:val="00D323A0"/>
    <w:rsid w:val="00D32708"/>
    <w:rsid w:val="00D32DF9"/>
    <w:rsid w:val="00D332BE"/>
    <w:rsid w:val="00D33B9C"/>
    <w:rsid w:val="00D33BE9"/>
    <w:rsid w:val="00D33F93"/>
    <w:rsid w:val="00D34790"/>
    <w:rsid w:val="00D34AD6"/>
    <w:rsid w:val="00D34B37"/>
    <w:rsid w:val="00D34E8C"/>
    <w:rsid w:val="00D352F1"/>
    <w:rsid w:val="00D357FF"/>
    <w:rsid w:val="00D35BA5"/>
    <w:rsid w:val="00D35DDC"/>
    <w:rsid w:val="00D35F03"/>
    <w:rsid w:val="00D36331"/>
    <w:rsid w:val="00D365D0"/>
    <w:rsid w:val="00D3692C"/>
    <w:rsid w:val="00D3716D"/>
    <w:rsid w:val="00D373ED"/>
    <w:rsid w:val="00D37A6E"/>
    <w:rsid w:val="00D413DA"/>
    <w:rsid w:val="00D41687"/>
    <w:rsid w:val="00D418C4"/>
    <w:rsid w:val="00D422BD"/>
    <w:rsid w:val="00D4243B"/>
    <w:rsid w:val="00D424C7"/>
    <w:rsid w:val="00D42C79"/>
    <w:rsid w:val="00D43B2A"/>
    <w:rsid w:val="00D43C09"/>
    <w:rsid w:val="00D43CF1"/>
    <w:rsid w:val="00D43D83"/>
    <w:rsid w:val="00D44187"/>
    <w:rsid w:val="00D44465"/>
    <w:rsid w:val="00D44497"/>
    <w:rsid w:val="00D447C2"/>
    <w:rsid w:val="00D449C4"/>
    <w:rsid w:val="00D44DB9"/>
    <w:rsid w:val="00D46297"/>
    <w:rsid w:val="00D466AA"/>
    <w:rsid w:val="00D46E0B"/>
    <w:rsid w:val="00D4723F"/>
    <w:rsid w:val="00D473C2"/>
    <w:rsid w:val="00D47575"/>
    <w:rsid w:val="00D475D0"/>
    <w:rsid w:val="00D47745"/>
    <w:rsid w:val="00D5060F"/>
    <w:rsid w:val="00D51493"/>
    <w:rsid w:val="00D51550"/>
    <w:rsid w:val="00D51790"/>
    <w:rsid w:val="00D51B71"/>
    <w:rsid w:val="00D51EC0"/>
    <w:rsid w:val="00D521DB"/>
    <w:rsid w:val="00D5243B"/>
    <w:rsid w:val="00D52970"/>
    <w:rsid w:val="00D52B8A"/>
    <w:rsid w:val="00D5309B"/>
    <w:rsid w:val="00D533BB"/>
    <w:rsid w:val="00D533EC"/>
    <w:rsid w:val="00D537E3"/>
    <w:rsid w:val="00D53B58"/>
    <w:rsid w:val="00D54567"/>
    <w:rsid w:val="00D545A9"/>
    <w:rsid w:val="00D54FCC"/>
    <w:rsid w:val="00D55EBC"/>
    <w:rsid w:val="00D568CD"/>
    <w:rsid w:val="00D56A95"/>
    <w:rsid w:val="00D6073B"/>
    <w:rsid w:val="00D6076E"/>
    <w:rsid w:val="00D61113"/>
    <w:rsid w:val="00D616EB"/>
    <w:rsid w:val="00D61788"/>
    <w:rsid w:val="00D61DE4"/>
    <w:rsid w:val="00D631EF"/>
    <w:rsid w:val="00D63FB5"/>
    <w:rsid w:val="00D64409"/>
    <w:rsid w:val="00D64BCC"/>
    <w:rsid w:val="00D6510C"/>
    <w:rsid w:val="00D65578"/>
    <w:rsid w:val="00D66419"/>
    <w:rsid w:val="00D67D48"/>
    <w:rsid w:val="00D70AAC"/>
    <w:rsid w:val="00D70C10"/>
    <w:rsid w:val="00D70F16"/>
    <w:rsid w:val="00D724D2"/>
    <w:rsid w:val="00D72617"/>
    <w:rsid w:val="00D72F57"/>
    <w:rsid w:val="00D73137"/>
    <w:rsid w:val="00D733D5"/>
    <w:rsid w:val="00D73AF7"/>
    <w:rsid w:val="00D73D8E"/>
    <w:rsid w:val="00D73E94"/>
    <w:rsid w:val="00D74523"/>
    <w:rsid w:val="00D7495D"/>
    <w:rsid w:val="00D74EDC"/>
    <w:rsid w:val="00D752A8"/>
    <w:rsid w:val="00D7560D"/>
    <w:rsid w:val="00D7643F"/>
    <w:rsid w:val="00D76A44"/>
    <w:rsid w:val="00D76F60"/>
    <w:rsid w:val="00D770FA"/>
    <w:rsid w:val="00D7738C"/>
    <w:rsid w:val="00D77417"/>
    <w:rsid w:val="00D779DB"/>
    <w:rsid w:val="00D77D73"/>
    <w:rsid w:val="00D80748"/>
    <w:rsid w:val="00D807EC"/>
    <w:rsid w:val="00D808B1"/>
    <w:rsid w:val="00D81079"/>
    <w:rsid w:val="00D81171"/>
    <w:rsid w:val="00D81374"/>
    <w:rsid w:val="00D814C2"/>
    <w:rsid w:val="00D815EF"/>
    <w:rsid w:val="00D81949"/>
    <w:rsid w:val="00D81C6A"/>
    <w:rsid w:val="00D81F26"/>
    <w:rsid w:val="00D822E2"/>
    <w:rsid w:val="00D83A7B"/>
    <w:rsid w:val="00D83D2B"/>
    <w:rsid w:val="00D843F2"/>
    <w:rsid w:val="00D85181"/>
    <w:rsid w:val="00D859C0"/>
    <w:rsid w:val="00D859C4"/>
    <w:rsid w:val="00D85EB5"/>
    <w:rsid w:val="00D86231"/>
    <w:rsid w:val="00D862F5"/>
    <w:rsid w:val="00D863F0"/>
    <w:rsid w:val="00D86534"/>
    <w:rsid w:val="00D86802"/>
    <w:rsid w:val="00D8685C"/>
    <w:rsid w:val="00D86A08"/>
    <w:rsid w:val="00D86D2E"/>
    <w:rsid w:val="00D87075"/>
    <w:rsid w:val="00D879A5"/>
    <w:rsid w:val="00D87DE6"/>
    <w:rsid w:val="00D9039E"/>
    <w:rsid w:val="00D912AB"/>
    <w:rsid w:val="00D91923"/>
    <w:rsid w:val="00D91D5D"/>
    <w:rsid w:val="00D9285A"/>
    <w:rsid w:val="00D92B06"/>
    <w:rsid w:val="00D92D9D"/>
    <w:rsid w:val="00D932AE"/>
    <w:rsid w:val="00D93342"/>
    <w:rsid w:val="00D93753"/>
    <w:rsid w:val="00D93ED0"/>
    <w:rsid w:val="00D942D0"/>
    <w:rsid w:val="00D944C2"/>
    <w:rsid w:val="00D9479A"/>
    <w:rsid w:val="00D94E31"/>
    <w:rsid w:val="00D962A9"/>
    <w:rsid w:val="00D96703"/>
    <w:rsid w:val="00D96D00"/>
    <w:rsid w:val="00D974A4"/>
    <w:rsid w:val="00D97905"/>
    <w:rsid w:val="00D97963"/>
    <w:rsid w:val="00D97CF4"/>
    <w:rsid w:val="00D97F68"/>
    <w:rsid w:val="00DA04DC"/>
    <w:rsid w:val="00DA04E2"/>
    <w:rsid w:val="00DA16AE"/>
    <w:rsid w:val="00DA2361"/>
    <w:rsid w:val="00DA3167"/>
    <w:rsid w:val="00DA325B"/>
    <w:rsid w:val="00DA3562"/>
    <w:rsid w:val="00DA356D"/>
    <w:rsid w:val="00DA3CE3"/>
    <w:rsid w:val="00DA44B2"/>
    <w:rsid w:val="00DA4DC3"/>
    <w:rsid w:val="00DA5659"/>
    <w:rsid w:val="00DA5688"/>
    <w:rsid w:val="00DA5E5F"/>
    <w:rsid w:val="00DA5EB8"/>
    <w:rsid w:val="00DA6000"/>
    <w:rsid w:val="00DA6542"/>
    <w:rsid w:val="00DA671C"/>
    <w:rsid w:val="00DA6773"/>
    <w:rsid w:val="00DA7635"/>
    <w:rsid w:val="00DA77A5"/>
    <w:rsid w:val="00DA79B9"/>
    <w:rsid w:val="00DA7D4D"/>
    <w:rsid w:val="00DA7D5C"/>
    <w:rsid w:val="00DA7DC0"/>
    <w:rsid w:val="00DB01BA"/>
    <w:rsid w:val="00DB0438"/>
    <w:rsid w:val="00DB0845"/>
    <w:rsid w:val="00DB0B5A"/>
    <w:rsid w:val="00DB0BC0"/>
    <w:rsid w:val="00DB0E36"/>
    <w:rsid w:val="00DB1159"/>
    <w:rsid w:val="00DB2723"/>
    <w:rsid w:val="00DB2CA3"/>
    <w:rsid w:val="00DB32E8"/>
    <w:rsid w:val="00DB32F0"/>
    <w:rsid w:val="00DB3DBF"/>
    <w:rsid w:val="00DB44C6"/>
    <w:rsid w:val="00DB46A2"/>
    <w:rsid w:val="00DB484F"/>
    <w:rsid w:val="00DB4A22"/>
    <w:rsid w:val="00DB5100"/>
    <w:rsid w:val="00DB59EA"/>
    <w:rsid w:val="00DB5AB6"/>
    <w:rsid w:val="00DB7473"/>
    <w:rsid w:val="00DB74CE"/>
    <w:rsid w:val="00DC04F6"/>
    <w:rsid w:val="00DC0690"/>
    <w:rsid w:val="00DC0C17"/>
    <w:rsid w:val="00DC11CA"/>
    <w:rsid w:val="00DC1913"/>
    <w:rsid w:val="00DC1D65"/>
    <w:rsid w:val="00DC1E98"/>
    <w:rsid w:val="00DC20A5"/>
    <w:rsid w:val="00DC2AF5"/>
    <w:rsid w:val="00DC2EBC"/>
    <w:rsid w:val="00DC2FE8"/>
    <w:rsid w:val="00DC3791"/>
    <w:rsid w:val="00DC3C57"/>
    <w:rsid w:val="00DC3FEE"/>
    <w:rsid w:val="00DC45BF"/>
    <w:rsid w:val="00DC47B2"/>
    <w:rsid w:val="00DC5501"/>
    <w:rsid w:val="00DC5DE4"/>
    <w:rsid w:val="00DC6213"/>
    <w:rsid w:val="00DC6528"/>
    <w:rsid w:val="00DC6BA8"/>
    <w:rsid w:val="00DC6BE2"/>
    <w:rsid w:val="00DC6F27"/>
    <w:rsid w:val="00DC7154"/>
    <w:rsid w:val="00DC734A"/>
    <w:rsid w:val="00DC7E77"/>
    <w:rsid w:val="00DC7E8A"/>
    <w:rsid w:val="00DD0195"/>
    <w:rsid w:val="00DD01EE"/>
    <w:rsid w:val="00DD0A71"/>
    <w:rsid w:val="00DD0C7A"/>
    <w:rsid w:val="00DD0F78"/>
    <w:rsid w:val="00DD273C"/>
    <w:rsid w:val="00DD3074"/>
    <w:rsid w:val="00DD3127"/>
    <w:rsid w:val="00DD35D1"/>
    <w:rsid w:val="00DD37EE"/>
    <w:rsid w:val="00DD39D6"/>
    <w:rsid w:val="00DD3F28"/>
    <w:rsid w:val="00DD4446"/>
    <w:rsid w:val="00DD4537"/>
    <w:rsid w:val="00DD479B"/>
    <w:rsid w:val="00DD4E15"/>
    <w:rsid w:val="00DD567F"/>
    <w:rsid w:val="00DD586C"/>
    <w:rsid w:val="00DD5E1F"/>
    <w:rsid w:val="00DD6ACD"/>
    <w:rsid w:val="00DD6CDC"/>
    <w:rsid w:val="00DD7BB4"/>
    <w:rsid w:val="00DD7E48"/>
    <w:rsid w:val="00DD7F58"/>
    <w:rsid w:val="00DE0028"/>
    <w:rsid w:val="00DE007A"/>
    <w:rsid w:val="00DE0AA3"/>
    <w:rsid w:val="00DE1104"/>
    <w:rsid w:val="00DE1126"/>
    <w:rsid w:val="00DE158B"/>
    <w:rsid w:val="00DE1658"/>
    <w:rsid w:val="00DE2304"/>
    <w:rsid w:val="00DE2326"/>
    <w:rsid w:val="00DE282D"/>
    <w:rsid w:val="00DE29C4"/>
    <w:rsid w:val="00DE3138"/>
    <w:rsid w:val="00DE3264"/>
    <w:rsid w:val="00DE3561"/>
    <w:rsid w:val="00DE37F8"/>
    <w:rsid w:val="00DE3842"/>
    <w:rsid w:val="00DE390B"/>
    <w:rsid w:val="00DE3EFE"/>
    <w:rsid w:val="00DE4273"/>
    <w:rsid w:val="00DE4285"/>
    <w:rsid w:val="00DE48D3"/>
    <w:rsid w:val="00DE4FCB"/>
    <w:rsid w:val="00DE534E"/>
    <w:rsid w:val="00DE5485"/>
    <w:rsid w:val="00DE56CA"/>
    <w:rsid w:val="00DE5960"/>
    <w:rsid w:val="00DE5D07"/>
    <w:rsid w:val="00DE7110"/>
    <w:rsid w:val="00DE72A7"/>
    <w:rsid w:val="00DE7389"/>
    <w:rsid w:val="00DE7832"/>
    <w:rsid w:val="00DE7EAA"/>
    <w:rsid w:val="00DF03AF"/>
    <w:rsid w:val="00DF055F"/>
    <w:rsid w:val="00DF0724"/>
    <w:rsid w:val="00DF07DE"/>
    <w:rsid w:val="00DF0B4A"/>
    <w:rsid w:val="00DF1413"/>
    <w:rsid w:val="00DF185A"/>
    <w:rsid w:val="00DF18FC"/>
    <w:rsid w:val="00DF1D83"/>
    <w:rsid w:val="00DF277B"/>
    <w:rsid w:val="00DF3318"/>
    <w:rsid w:val="00DF3616"/>
    <w:rsid w:val="00DF3808"/>
    <w:rsid w:val="00DF4556"/>
    <w:rsid w:val="00DF4A24"/>
    <w:rsid w:val="00DF4AED"/>
    <w:rsid w:val="00DF4D36"/>
    <w:rsid w:val="00DF52E2"/>
    <w:rsid w:val="00DF5D2B"/>
    <w:rsid w:val="00DF6341"/>
    <w:rsid w:val="00DF639D"/>
    <w:rsid w:val="00DF7824"/>
    <w:rsid w:val="00DF7C5A"/>
    <w:rsid w:val="00DF7EE4"/>
    <w:rsid w:val="00E00332"/>
    <w:rsid w:val="00E007EA"/>
    <w:rsid w:val="00E00E8E"/>
    <w:rsid w:val="00E01956"/>
    <w:rsid w:val="00E0325C"/>
    <w:rsid w:val="00E03874"/>
    <w:rsid w:val="00E03A08"/>
    <w:rsid w:val="00E03DBB"/>
    <w:rsid w:val="00E049DD"/>
    <w:rsid w:val="00E05395"/>
    <w:rsid w:val="00E055A6"/>
    <w:rsid w:val="00E05630"/>
    <w:rsid w:val="00E05CA0"/>
    <w:rsid w:val="00E0602B"/>
    <w:rsid w:val="00E06CC0"/>
    <w:rsid w:val="00E06DBB"/>
    <w:rsid w:val="00E07B91"/>
    <w:rsid w:val="00E10061"/>
    <w:rsid w:val="00E10149"/>
    <w:rsid w:val="00E10174"/>
    <w:rsid w:val="00E10BAF"/>
    <w:rsid w:val="00E10F33"/>
    <w:rsid w:val="00E11340"/>
    <w:rsid w:val="00E11A96"/>
    <w:rsid w:val="00E12070"/>
    <w:rsid w:val="00E12183"/>
    <w:rsid w:val="00E122A1"/>
    <w:rsid w:val="00E133E0"/>
    <w:rsid w:val="00E137AE"/>
    <w:rsid w:val="00E13ABF"/>
    <w:rsid w:val="00E13E4A"/>
    <w:rsid w:val="00E13F14"/>
    <w:rsid w:val="00E145E2"/>
    <w:rsid w:val="00E149E3"/>
    <w:rsid w:val="00E1556F"/>
    <w:rsid w:val="00E15687"/>
    <w:rsid w:val="00E15824"/>
    <w:rsid w:val="00E15A29"/>
    <w:rsid w:val="00E15A81"/>
    <w:rsid w:val="00E16372"/>
    <w:rsid w:val="00E168DF"/>
    <w:rsid w:val="00E16AD8"/>
    <w:rsid w:val="00E16D63"/>
    <w:rsid w:val="00E17851"/>
    <w:rsid w:val="00E1796C"/>
    <w:rsid w:val="00E17FFA"/>
    <w:rsid w:val="00E20113"/>
    <w:rsid w:val="00E20D7D"/>
    <w:rsid w:val="00E20E4D"/>
    <w:rsid w:val="00E20ED6"/>
    <w:rsid w:val="00E21358"/>
    <w:rsid w:val="00E21B7E"/>
    <w:rsid w:val="00E22143"/>
    <w:rsid w:val="00E2249B"/>
    <w:rsid w:val="00E227CB"/>
    <w:rsid w:val="00E22A0D"/>
    <w:rsid w:val="00E22CC0"/>
    <w:rsid w:val="00E23901"/>
    <w:rsid w:val="00E23A08"/>
    <w:rsid w:val="00E244F6"/>
    <w:rsid w:val="00E248F6"/>
    <w:rsid w:val="00E24AAD"/>
    <w:rsid w:val="00E258DB"/>
    <w:rsid w:val="00E25B2B"/>
    <w:rsid w:val="00E26E18"/>
    <w:rsid w:val="00E2771E"/>
    <w:rsid w:val="00E278AB"/>
    <w:rsid w:val="00E27A8B"/>
    <w:rsid w:val="00E301E5"/>
    <w:rsid w:val="00E301F0"/>
    <w:rsid w:val="00E3032D"/>
    <w:rsid w:val="00E30B12"/>
    <w:rsid w:val="00E311EF"/>
    <w:rsid w:val="00E31961"/>
    <w:rsid w:val="00E31AB0"/>
    <w:rsid w:val="00E31EC2"/>
    <w:rsid w:val="00E31FF0"/>
    <w:rsid w:val="00E32180"/>
    <w:rsid w:val="00E32287"/>
    <w:rsid w:val="00E32623"/>
    <w:rsid w:val="00E3289E"/>
    <w:rsid w:val="00E32B65"/>
    <w:rsid w:val="00E32CA7"/>
    <w:rsid w:val="00E33FEC"/>
    <w:rsid w:val="00E34407"/>
    <w:rsid w:val="00E348DF"/>
    <w:rsid w:val="00E34948"/>
    <w:rsid w:val="00E3553B"/>
    <w:rsid w:val="00E35732"/>
    <w:rsid w:val="00E35D13"/>
    <w:rsid w:val="00E35E77"/>
    <w:rsid w:val="00E36163"/>
    <w:rsid w:val="00E3692D"/>
    <w:rsid w:val="00E37520"/>
    <w:rsid w:val="00E37569"/>
    <w:rsid w:val="00E3770C"/>
    <w:rsid w:val="00E379A8"/>
    <w:rsid w:val="00E401B2"/>
    <w:rsid w:val="00E406F2"/>
    <w:rsid w:val="00E40BE1"/>
    <w:rsid w:val="00E41E30"/>
    <w:rsid w:val="00E41E6C"/>
    <w:rsid w:val="00E41FE0"/>
    <w:rsid w:val="00E42031"/>
    <w:rsid w:val="00E42655"/>
    <w:rsid w:val="00E428CC"/>
    <w:rsid w:val="00E42D49"/>
    <w:rsid w:val="00E42F73"/>
    <w:rsid w:val="00E42F9F"/>
    <w:rsid w:val="00E43307"/>
    <w:rsid w:val="00E436B4"/>
    <w:rsid w:val="00E43A73"/>
    <w:rsid w:val="00E43D70"/>
    <w:rsid w:val="00E43FB7"/>
    <w:rsid w:val="00E44F00"/>
    <w:rsid w:val="00E45975"/>
    <w:rsid w:val="00E45C8E"/>
    <w:rsid w:val="00E466F3"/>
    <w:rsid w:val="00E46ED9"/>
    <w:rsid w:val="00E47388"/>
    <w:rsid w:val="00E473C3"/>
    <w:rsid w:val="00E4773E"/>
    <w:rsid w:val="00E47847"/>
    <w:rsid w:val="00E47B2C"/>
    <w:rsid w:val="00E47F3E"/>
    <w:rsid w:val="00E50262"/>
    <w:rsid w:val="00E5053C"/>
    <w:rsid w:val="00E51263"/>
    <w:rsid w:val="00E51560"/>
    <w:rsid w:val="00E51821"/>
    <w:rsid w:val="00E51A27"/>
    <w:rsid w:val="00E51D82"/>
    <w:rsid w:val="00E51EA9"/>
    <w:rsid w:val="00E535AE"/>
    <w:rsid w:val="00E53FC8"/>
    <w:rsid w:val="00E54000"/>
    <w:rsid w:val="00E542C1"/>
    <w:rsid w:val="00E54347"/>
    <w:rsid w:val="00E54A31"/>
    <w:rsid w:val="00E55209"/>
    <w:rsid w:val="00E55424"/>
    <w:rsid w:val="00E55452"/>
    <w:rsid w:val="00E55868"/>
    <w:rsid w:val="00E55887"/>
    <w:rsid w:val="00E55915"/>
    <w:rsid w:val="00E55BB5"/>
    <w:rsid w:val="00E55DC6"/>
    <w:rsid w:val="00E568A6"/>
    <w:rsid w:val="00E56953"/>
    <w:rsid w:val="00E56BBF"/>
    <w:rsid w:val="00E56CC1"/>
    <w:rsid w:val="00E56ED1"/>
    <w:rsid w:val="00E5779F"/>
    <w:rsid w:val="00E60134"/>
    <w:rsid w:val="00E6024B"/>
    <w:rsid w:val="00E60E61"/>
    <w:rsid w:val="00E611DF"/>
    <w:rsid w:val="00E617C9"/>
    <w:rsid w:val="00E61A8D"/>
    <w:rsid w:val="00E61E75"/>
    <w:rsid w:val="00E6255F"/>
    <w:rsid w:val="00E62649"/>
    <w:rsid w:val="00E62FB0"/>
    <w:rsid w:val="00E632FF"/>
    <w:rsid w:val="00E63D32"/>
    <w:rsid w:val="00E63EA5"/>
    <w:rsid w:val="00E64082"/>
    <w:rsid w:val="00E64278"/>
    <w:rsid w:val="00E644A7"/>
    <w:rsid w:val="00E64CF9"/>
    <w:rsid w:val="00E64E3A"/>
    <w:rsid w:val="00E653FA"/>
    <w:rsid w:val="00E656F7"/>
    <w:rsid w:val="00E65E79"/>
    <w:rsid w:val="00E65F42"/>
    <w:rsid w:val="00E66139"/>
    <w:rsid w:val="00E668AC"/>
    <w:rsid w:val="00E66BA2"/>
    <w:rsid w:val="00E67416"/>
    <w:rsid w:val="00E67F43"/>
    <w:rsid w:val="00E67F92"/>
    <w:rsid w:val="00E70441"/>
    <w:rsid w:val="00E71226"/>
    <w:rsid w:val="00E718B6"/>
    <w:rsid w:val="00E71AC3"/>
    <w:rsid w:val="00E723BA"/>
    <w:rsid w:val="00E72872"/>
    <w:rsid w:val="00E72AFA"/>
    <w:rsid w:val="00E72EFD"/>
    <w:rsid w:val="00E73581"/>
    <w:rsid w:val="00E7376A"/>
    <w:rsid w:val="00E73DD4"/>
    <w:rsid w:val="00E73F2D"/>
    <w:rsid w:val="00E73FD0"/>
    <w:rsid w:val="00E752A1"/>
    <w:rsid w:val="00E76388"/>
    <w:rsid w:val="00E77392"/>
    <w:rsid w:val="00E80A37"/>
    <w:rsid w:val="00E81473"/>
    <w:rsid w:val="00E81623"/>
    <w:rsid w:val="00E81DBB"/>
    <w:rsid w:val="00E82492"/>
    <w:rsid w:val="00E833F7"/>
    <w:rsid w:val="00E834A9"/>
    <w:rsid w:val="00E83BDF"/>
    <w:rsid w:val="00E84176"/>
    <w:rsid w:val="00E84493"/>
    <w:rsid w:val="00E84815"/>
    <w:rsid w:val="00E84893"/>
    <w:rsid w:val="00E84C51"/>
    <w:rsid w:val="00E84E7C"/>
    <w:rsid w:val="00E85327"/>
    <w:rsid w:val="00E855BF"/>
    <w:rsid w:val="00E859C9"/>
    <w:rsid w:val="00E85A92"/>
    <w:rsid w:val="00E85C1F"/>
    <w:rsid w:val="00E85C79"/>
    <w:rsid w:val="00E85DAB"/>
    <w:rsid w:val="00E86214"/>
    <w:rsid w:val="00E86646"/>
    <w:rsid w:val="00E86FCC"/>
    <w:rsid w:val="00E875A2"/>
    <w:rsid w:val="00E877C6"/>
    <w:rsid w:val="00E87A1D"/>
    <w:rsid w:val="00E87D06"/>
    <w:rsid w:val="00E908EE"/>
    <w:rsid w:val="00E9094A"/>
    <w:rsid w:val="00E91D35"/>
    <w:rsid w:val="00E91F75"/>
    <w:rsid w:val="00E920DB"/>
    <w:rsid w:val="00E926A5"/>
    <w:rsid w:val="00E934F3"/>
    <w:rsid w:val="00E94E8C"/>
    <w:rsid w:val="00E953DF"/>
    <w:rsid w:val="00E9543C"/>
    <w:rsid w:val="00E95783"/>
    <w:rsid w:val="00E962CC"/>
    <w:rsid w:val="00E96342"/>
    <w:rsid w:val="00E96641"/>
    <w:rsid w:val="00E969B3"/>
    <w:rsid w:val="00E9745C"/>
    <w:rsid w:val="00EA0633"/>
    <w:rsid w:val="00EA0A3E"/>
    <w:rsid w:val="00EA0DBD"/>
    <w:rsid w:val="00EA17C3"/>
    <w:rsid w:val="00EA1D03"/>
    <w:rsid w:val="00EA1DD0"/>
    <w:rsid w:val="00EA2580"/>
    <w:rsid w:val="00EA29C9"/>
    <w:rsid w:val="00EA2CAA"/>
    <w:rsid w:val="00EA31ED"/>
    <w:rsid w:val="00EA3774"/>
    <w:rsid w:val="00EA3864"/>
    <w:rsid w:val="00EA397C"/>
    <w:rsid w:val="00EA3A0B"/>
    <w:rsid w:val="00EA3A4E"/>
    <w:rsid w:val="00EA3E62"/>
    <w:rsid w:val="00EA495A"/>
    <w:rsid w:val="00EA4CEB"/>
    <w:rsid w:val="00EA51C1"/>
    <w:rsid w:val="00EA5A90"/>
    <w:rsid w:val="00EA66FF"/>
    <w:rsid w:val="00EA6C31"/>
    <w:rsid w:val="00EA7804"/>
    <w:rsid w:val="00EA7D51"/>
    <w:rsid w:val="00EA7EED"/>
    <w:rsid w:val="00EA7F1C"/>
    <w:rsid w:val="00EB07DA"/>
    <w:rsid w:val="00EB0A48"/>
    <w:rsid w:val="00EB1131"/>
    <w:rsid w:val="00EB15B6"/>
    <w:rsid w:val="00EB196D"/>
    <w:rsid w:val="00EB2996"/>
    <w:rsid w:val="00EB34AB"/>
    <w:rsid w:val="00EB395F"/>
    <w:rsid w:val="00EB3BFA"/>
    <w:rsid w:val="00EB3C5B"/>
    <w:rsid w:val="00EB3D06"/>
    <w:rsid w:val="00EB43AB"/>
    <w:rsid w:val="00EB4916"/>
    <w:rsid w:val="00EB4BFE"/>
    <w:rsid w:val="00EB4D03"/>
    <w:rsid w:val="00EB58CC"/>
    <w:rsid w:val="00EB5E7C"/>
    <w:rsid w:val="00EB669B"/>
    <w:rsid w:val="00EB6731"/>
    <w:rsid w:val="00EB67BD"/>
    <w:rsid w:val="00EB6CFD"/>
    <w:rsid w:val="00EB6E5E"/>
    <w:rsid w:val="00EB7957"/>
    <w:rsid w:val="00EB7DE8"/>
    <w:rsid w:val="00EB7E76"/>
    <w:rsid w:val="00EC00C9"/>
    <w:rsid w:val="00EC00D4"/>
    <w:rsid w:val="00EC082D"/>
    <w:rsid w:val="00EC0884"/>
    <w:rsid w:val="00EC0977"/>
    <w:rsid w:val="00EC0DD9"/>
    <w:rsid w:val="00EC0F16"/>
    <w:rsid w:val="00EC1562"/>
    <w:rsid w:val="00EC1597"/>
    <w:rsid w:val="00EC1904"/>
    <w:rsid w:val="00EC1A44"/>
    <w:rsid w:val="00EC1FDE"/>
    <w:rsid w:val="00EC22D9"/>
    <w:rsid w:val="00EC2649"/>
    <w:rsid w:val="00EC31ED"/>
    <w:rsid w:val="00EC3228"/>
    <w:rsid w:val="00EC32CD"/>
    <w:rsid w:val="00EC368B"/>
    <w:rsid w:val="00EC4754"/>
    <w:rsid w:val="00EC55FE"/>
    <w:rsid w:val="00EC5836"/>
    <w:rsid w:val="00EC60EB"/>
    <w:rsid w:val="00EC6369"/>
    <w:rsid w:val="00EC6837"/>
    <w:rsid w:val="00EC688C"/>
    <w:rsid w:val="00EC721B"/>
    <w:rsid w:val="00EC736A"/>
    <w:rsid w:val="00EC74C9"/>
    <w:rsid w:val="00EC7D34"/>
    <w:rsid w:val="00ED0A62"/>
    <w:rsid w:val="00ED0CBB"/>
    <w:rsid w:val="00ED12E3"/>
    <w:rsid w:val="00ED1567"/>
    <w:rsid w:val="00ED1917"/>
    <w:rsid w:val="00ED19DC"/>
    <w:rsid w:val="00ED214B"/>
    <w:rsid w:val="00ED2A4A"/>
    <w:rsid w:val="00ED2BB1"/>
    <w:rsid w:val="00ED3182"/>
    <w:rsid w:val="00ED384F"/>
    <w:rsid w:val="00ED3BCF"/>
    <w:rsid w:val="00ED40E9"/>
    <w:rsid w:val="00ED4B04"/>
    <w:rsid w:val="00ED57EA"/>
    <w:rsid w:val="00ED5BD4"/>
    <w:rsid w:val="00ED6744"/>
    <w:rsid w:val="00ED68DE"/>
    <w:rsid w:val="00ED693A"/>
    <w:rsid w:val="00ED6D64"/>
    <w:rsid w:val="00ED77E7"/>
    <w:rsid w:val="00ED7A38"/>
    <w:rsid w:val="00ED7D17"/>
    <w:rsid w:val="00ED7F2C"/>
    <w:rsid w:val="00EE06C2"/>
    <w:rsid w:val="00EE07D3"/>
    <w:rsid w:val="00EE08C3"/>
    <w:rsid w:val="00EE0CB2"/>
    <w:rsid w:val="00EE12BF"/>
    <w:rsid w:val="00EE1996"/>
    <w:rsid w:val="00EE19E7"/>
    <w:rsid w:val="00EE1C01"/>
    <w:rsid w:val="00EE1D46"/>
    <w:rsid w:val="00EE21C2"/>
    <w:rsid w:val="00EE22AF"/>
    <w:rsid w:val="00EE2F33"/>
    <w:rsid w:val="00EE3415"/>
    <w:rsid w:val="00EE3493"/>
    <w:rsid w:val="00EE3657"/>
    <w:rsid w:val="00EE40B9"/>
    <w:rsid w:val="00EE4641"/>
    <w:rsid w:val="00EE5006"/>
    <w:rsid w:val="00EE57AD"/>
    <w:rsid w:val="00EE5EB2"/>
    <w:rsid w:val="00EE72B3"/>
    <w:rsid w:val="00EE7434"/>
    <w:rsid w:val="00EE7AFA"/>
    <w:rsid w:val="00EE7E14"/>
    <w:rsid w:val="00EE7FAB"/>
    <w:rsid w:val="00EF0171"/>
    <w:rsid w:val="00EF01AD"/>
    <w:rsid w:val="00EF0530"/>
    <w:rsid w:val="00EF0856"/>
    <w:rsid w:val="00EF10B9"/>
    <w:rsid w:val="00EF1771"/>
    <w:rsid w:val="00EF1B25"/>
    <w:rsid w:val="00EF1BF4"/>
    <w:rsid w:val="00EF1DA0"/>
    <w:rsid w:val="00EF2722"/>
    <w:rsid w:val="00EF2DC7"/>
    <w:rsid w:val="00EF2F72"/>
    <w:rsid w:val="00EF3316"/>
    <w:rsid w:val="00EF3404"/>
    <w:rsid w:val="00EF3585"/>
    <w:rsid w:val="00EF35B4"/>
    <w:rsid w:val="00EF4747"/>
    <w:rsid w:val="00EF4977"/>
    <w:rsid w:val="00EF4B7B"/>
    <w:rsid w:val="00EF4BF8"/>
    <w:rsid w:val="00EF5335"/>
    <w:rsid w:val="00EF5B1B"/>
    <w:rsid w:val="00EF5D73"/>
    <w:rsid w:val="00EF5F6D"/>
    <w:rsid w:val="00EF67BC"/>
    <w:rsid w:val="00EF6943"/>
    <w:rsid w:val="00EF77B4"/>
    <w:rsid w:val="00EF7E4E"/>
    <w:rsid w:val="00F00A7E"/>
    <w:rsid w:val="00F00F3E"/>
    <w:rsid w:val="00F014E7"/>
    <w:rsid w:val="00F0163A"/>
    <w:rsid w:val="00F02253"/>
    <w:rsid w:val="00F02565"/>
    <w:rsid w:val="00F02ADC"/>
    <w:rsid w:val="00F02D93"/>
    <w:rsid w:val="00F033C1"/>
    <w:rsid w:val="00F03C2E"/>
    <w:rsid w:val="00F03E5A"/>
    <w:rsid w:val="00F045FC"/>
    <w:rsid w:val="00F04A66"/>
    <w:rsid w:val="00F04B4B"/>
    <w:rsid w:val="00F04C94"/>
    <w:rsid w:val="00F0516C"/>
    <w:rsid w:val="00F05222"/>
    <w:rsid w:val="00F05802"/>
    <w:rsid w:val="00F05BA2"/>
    <w:rsid w:val="00F05EB5"/>
    <w:rsid w:val="00F060DA"/>
    <w:rsid w:val="00F062E2"/>
    <w:rsid w:val="00F06419"/>
    <w:rsid w:val="00F067A2"/>
    <w:rsid w:val="00F07314"/>
    <w:rsid w:val="00F07A48"/>
    <w:rsid w:val="00F07B9E"/>
    <w:rsid w:val="00F101F2"/>
    <w:rsid w:val="00F103E5"/>
    <w:rsid w:val="00F104A7"/>
    <w:rsid w:val="00F10539"/>
    <w:rsid w:val="00F10D91"/>
    <w:rsid w:val="00F10DBF"/>
    <w:rsid w:val="00F10E5A"/>
    <w:rsid w:val="00F10F67"/>
    <w:rsid w:val="00F1116F"/>
    <w:rsid w:val="00F117B2"/>
    <w:rsid w:val="00F11C71"/>
    <w:rsid w:val="00F1263A"/>
    <w:rsid w:val="00F12799"/>
    <w:rsid w:val="00F12881"/>
    <w:rsid w:val="00F12CDD"/>
    <w:rsid w:val="00F1323C"/>
    <w:rsid w:val="00F13480"/>
    <w:rsid w:val="00F135C1"/>
    <w:rsid w:val="00F139C5"/>
    <w:rsid w:val="00F13B7E"/>
    <w:rsid w:val="00F13CCC"/>
    <w:rsid w:val="00F14519"/>
    <w:rsid w:val="00F145FA"/>
    <w:rsid w:val="00F147C3"/>
    <w:rsid w:val="00F149E0"/>
    <w:rsid w:val="00F14D0F"/>
    <w:rsid w:val="00F15B77"/>
    <w:rsid w:val="00F162D0"/>
    <w:rsid w:val="00F17007"/>
    <w:rsid w:val="00F17743"/>
    <w:rsid w:val="00F17B57"/>
    <w:rsid w:val="00F17E6B"/>
    <w:rsid w:val="00F20297"/>
    <w:rsid w:val="00F211ED"/>
    <w:rsid w:val="00F21236"/>
    <w:rsid w:val="00F213A2"/>
    <w:rsid w:val="00F213B5"/>
    <w:rsid w:val="00F21890"/>
    <w:rsid w:val="00F21A27"/>
    <w:rsid w:val="00F22592"/>
    <w:rsid w:val="00F2263A"/>
    <w:rsid w:val="00F23099"/>
    <w:rsid w:val="00F239DF"/>
    <w:rsid w:val="00F23ADD"/>
    <w:rsid w:val="00F24226"/>
    <w:rsid w:val="00F243C0"/>
    <w:rsid w:val="00F24837"/>
    <w:rsid w:val="00F24AF4"/>
    <w:rsid w:val="00F24D68"/>
    <w:rsid w:val="00F25109"/>
    <w:rsid w:val="00F2539A"/>
    <w:rsid w:val="00F2575F"/>
    <w:rsid w:val="00F25A31"/>
    <w:rsid w:val="00F25A35"/>
    <w:rsid w:val="00F266BF"/>
    <w:rsid w:val="00F267AB"/>
    <w:rsid w:val="00F26B2D"/>
    <w:rsid w:val="00F27565"/>
    <w:rsid w:val="00F30956"/>
    <w:rsid w:val="00F309DF"/>
    <w:rsid w:val="00F30D4F"/>
    <w:rsid w:val="00F310D4"/>
    <w:rsid w:val="00F31D5A"/>
    <w:rsid w:val="00F320C0"/>
    <w:rsid w:val="00F321A1"/>
    <w:rsid w:val="00F32564"/>
    <w:rsid w:val="00F336FD"/>
    <w:rsid w:val="00F33975"/>
    <w:rsid w:val="00F33DE9"/>
    <w:rsid w:val="00F33FB0"/>
    <w:rsid w:val="00F34AC8"/>
    <w:rsid w:val="00F34BE2"/>
    <w:rsid w:val="00F35E6D"/>
    <w:rsid w:val="00F3619A"/>
    <w:rsid w:val="00F3765F"/>
    <w:rsid w:val="00F4005B"/>
    <w:rsid w:val="00F40572"/>
    <w:rsid w:val="00F405DB"/>
    <w:rsid w:val="00F40AAA"/>
    <w:rsid w:val="00F40BA7"/>
    <w:rsid w:val="00F40C55"/>
    <w:rsid w:val="00F40F9D"/>
    <w:rsid w:val="00F415FE"/>
    <w:rsid w:val="00F41ACD"/>
    <w:rsid w:val="00F43968"/>
    <w:rsid w:val="00F43ECD"/>
    <w:rsid w:val="00F4459F"/>
    <w:rsid w:val="00F44914"/>
    <w:rsid w:val="00F4586B"/>
    <w:rsid w:val="00F45D78"/>
    <w:rsid w:val="00F46636"/>
    <w:rsid w:val="00F468C0"/>
    <w:rsid w:val="00F46CB6"/>
    <w:rsid w:val="00F4737F"/>
    <w:rsid w:val="00F4756D"/>
    <w:rsid w:val="00F476FD"/>
    <w:rsid w:val="00F47DE8"/>
    <w:rsid w:val="00F5036B"/>
    <w:rsid w:val="00F5086A"/>
    <w:rsid w:val="00F50975"/>
    <w:rsid w:val="00F51049"/>
    <w:rsid w:val="00F514F7"/>
    <w:rsid w:val="00F51EB7"/>
    <w:rsid w:val="00F51EF9"/>
    <w:rsid w:val="00F51F2E"/>
    <w:rsid w:val="00F52590"/>
    <w:rsid w:val="00F53DD2"/>
    <w:rsid w:val="00F542C1"/>
    <w:rsid w:val="00F54676"/>
    <w:rsid w:val="00F54A9F"/>
    <w:rsid w:val="00F5506B"/>
    <w:rsid w:val="00F550E3"/>
    <w:rsid w:val="00F55A27"/>
    <w:rsid w:val="00F55AEC"/>
    <w:rsid w:val="00F55E73"/>
    <w:rsid w:val="00F55EDA"/>
    <w:rsid w:val="00F56C80"/>
    <w:rsid w:val="00F57200"/>
    <w:rsid w:val="00F5729C"/>
    <w:rsid w:val="00F60092"/>
    <w:rsid w:val="00F6054D"/>
    <w:rsid w:val="00F60DBD"/>
    <w:rsid w:val="00F60EE5"/>
    <w:rsid w:val="00F60FE1"/>
    <w:rsid w:val="00F610B7"/>
    <w:rsid w:val="00F61592"/>
    <w:rsid w:val="00F61920"/>
    <w:rsid w:val="00F61B7A"/>
    <w:rsid w:val="00F61C18"/>
    <w:rsid w:val="00F62560"/>
    <w:rsid w:val="00F626DC"/>
    <w:rsid w:val="00F62DDE"/>
    <w:rsid w:val="00F63016"/>
    <w:rsid w:val="00F6344B"/>
    <w:rsid w:val="00F642D9"/>
    <w:rsid w:val="00F642FD"/>
    <w:rsid w:val="00F64FFC"/>
    <w:rsid w:val="00F6556A"/>
    <w:rsid w:val="00F6564F"/>
    <w:rsid w:val="00F65F4B"/>
    <w:rsid w:val="00F6657B"/>
    <w:rsid w:val="00F66DC6"/>
    <w:rsid w:val="00F6702D"/>
    <w:rsid w:val="00F67709"/>
    <w:rsid w:val="00F67985"/>
    <w:rsid w:val="00F67A69"/>
    <w:rsid w:val="00F67FDE"/>
    <w:rsid w:val="00F70BFF"/>
    <w:rsid w:val="00F70C9D"/>
    <w:rsid w:val="00F70D36"/>
    <w:rsid w:val="00F70ED4"/>
    <w:rsid w:val="00F716E9"/>
    <w:rsid w:val="00F717B1"/>
    <w:rsid w:val="00F71AFF"/>
    <w:rsid w:val="00F71BC5"/>
    <w:rsid w:val="00F72350"/>
    <w:rsid w:val="00F73E08"/>
    <w:rsid w:val="00F73EBB"/>
    <w:rsid w:val="00F74378"/>
    <w:rsid w:val="00F749BE"/>
    <w:rsid w:val="00F74CD9"/>
    <w:rsid w:val="00F74D9C"/>
    <w:rsid w:val="00F75531"/>
    <w:rsid w:val="00F7580D"/>
    <w:rsid w:val="00F7639E"/>
    <w:rsid w:val="00F76645"/>
    <w:rsid w:val="00F76EBF"/>
    <w:rsid w:val="00F77909"/>
    <w:rsid w:val="00F77A21"/>
    <w:rsid w:val="00F800D8"/>
    <w:rsid w:val="00F80A0B"/>
    <w:rsid w:val="00F80A7B"/>
    <w:rsid w:val="00F80E5D"/>
    <w:rsid w:val="00F810E9"/>
    <w:rsid w:val="00F813F5"/>
    <w:rsid w:val="00F81AD7"/>
    <w:rsid w:val="00F81E78"/>
    <w:rsid w:val="00F82BE1"/>
    <w:rsid w:val="00F82F18"/>
    <w:rsid w:val="00F83128"/>
    <w:rsid w:val="00F83916"/>
    <w:rsid w:val="00F83EBC"/>
    <w:rsid w:val="00F842FD"/>
    <w:rsid w:val="00F84326"/>
    <w:rsid w:val="00F843EB"/>
    <w:rsid w:val="00F85146"/>
    <w:rsid w:val="00F851CE"/>
    <w:rsid w:val="00F857BE"/>
    <w:rsid w:val="00F85C78"/>
    <w:rsid w:val="00F85ECF"/>
    <w:rsid w:val="00F86A8E"/>
    <w:rsid w:val="00F86A9C"/>
    <w:rsid w:val="00F86BF7"/>
    <w:rsid w:val="00F91219"/>
    <w:rsid w:val="00F917EC"/>
    <w:rsid w:val="00F9194E"/>
    <w:rsid w:val="00F91D0B"/>
    <w:rsid w:val="00F9234F"/>
    <w:rsid w:val="00F92444"/>
    <w:rsid w:val="00F9393E"/>
    <w:rsid w:val="00F93F80"/>
    <w:rsid w:val="00F950D1"/>
    <w:rsid w:val="00F9529B"/>
    <w:rsid w:val="00F960AC"/>
    <w:rsid w:val="00F9649E"/>
    <w:rsid w:val="00F964B2"/>
    <w:rsid w:val="00F965D8"/>
    <w:rsid w:val="00F96647"/>
    <w:rsid w:val="00F96D48"/>
    <w:rsid w:val="00F96FD0"/>
    <w:rsid w:val="00F97167"/>
    <w:rsid w:val="00F978F1"/>
    <w:rsid w:val="00F97A78"/>
    <w:rsid w:val="00F97B3B"/>
    <w:rsid w:val="00F97CCE"/>
    <w:rsid w:val="00FA0037"/>
    <w:rsid w:val="00FA02E0"/>
    <w:rsid w:val="00FA0469"/>
    <w:rsid w:val="00FA07C6"/>
    <w:rsid w:val="00FA0B20"/>
    <w:rsid w:val="00FA0D80"/>
    <w:rsid w:val="00FA162C"/>
    <w:rsid w:val="00FA24E7"/>
    <w:rsid w:val="00FA2655"/>
    <w:rsid w:val="00FA2C08"/>
    <w:rsid w:val="00FA2C1B"/>
    <w:rsid w:val="00FA2E0B"/>
    <w:rsid w:val="00FA3152"/>
    <w:rsid w:val="00FA3403"/>
    <w:rsid w:val="00FA3670"/>
    <w:rsid w:val="00FA3695"/>
    <w:rsid w:val="00FA3B22"/>
    <w:rsid w:val="00FA400B"/>
    <w:rsid w:val="00FA403F"/>
    <w:rsid w:val="00FA46BC"/>
    <w:rsid w:val="00FA4D75"/>
    <w:rsid w:val="00FA5EE6"/>
    <w:rsid w:val="00FA641F"/>
    <w:rsid w:val="00FA6491"/>
    <w:rsid w:val="00FA64A8"/>
    <w:rsid w:val="00FA6640"/>
    <w:rsid w:val="00FA708A"/>
    <w:rsid w:val="00FA777B"/>
    <w:rsid w:val="00FA7956"/>
    <w:rsid w:val="00FA7C8C"/>
    <w:rsid w:val="00FA7D48"/>
    <w:rsid w:val="00FB04A5"/>
    <w:rsid w:val="00FB07BE"/>
    <w:rsid w:val="00FB0824"/>
    <w:rsid w:val="00FB0C6C"/>
    <w:rsid w:val="00FB12EF"/>
    <w:rsid w:val="00FB1685"/>
    <w:rsid w:val="00FB2570"/>
    <w:rsid w:val="00FB2590"/>
    <w:rsid w:val="00FB2785"/>
    <w:rsid w:val="00FB2AE2"/>
    <w:rsid w:val="00FB2FCB"/>
    <w:rsid w:val="00FB337C"/>
    <w:rsid w:val="00FB398C"/>
    <w:rsid w:val="00FB40B0"/>
    <w:rsid w:val="00FB41EA"/>
    <w:rsid w:val="00FB44E1"/>
    <w:rsid w:val="00FB4C9C"/>
    <w:rsid w:val="00FB5249"/>
    <w:rsid w:val="00FB64B7"/>
    <w:rsid w:val="00FB6950"/>
    <w:rsid w:val="00FB6C80"/>
    <w:rsid w:val="00FB7625"/>
    <w:rsid w:val="00FB79B2"/>
    <w:rsid w:val="00FB79D8"/>
    <w:rsid w:val="00FB7C55"/>
    <w:rsid w:val="00FB7E12"/>
    <w:rsid w:val="00FC02FE"/>
    <w:rsid w:val="00FC0312"/>
    <w:rsid w:val="00FC081C"/>
    <w:rsid w:val="00FC1074"/>
    <w:rsid w:val="00FC1127"/>
    <w:rsid w:val="00FC1884"/>
    <w:rsid w:val="00FC1938"/>
    <w:rsid w:val="00FC303E"/>
    <w:rsid w:val="00FC3091"/>
    <w:rsid w:val="00FC371D"/>
    <w:rsid w:val="00FC3D92"/>
    <w:rsid w:val="00FC3EF1"/>
    <w:rsid w:val="00FC40F4"/>
    <w:rsid w:val="00FC41E4"/>
    <w:rsid w:val="00FC438A"/>
    <w:rsid w:val="00FC45EC"/>
    <w:rsid w:val="00FC46E7"/>
    <w:rsid w:val="00FC49C0"/>
    <w:rsid w:val="00FC4DCC"/>
    <w:rsid w:val="00FC4F0C"/>
    <w:rsid w:val="00FC55BB"/>
    <w:rsid w:val="00FC5AAE"/>
    <w:rsid w:val="00FC5B39"/>
    <w:rsid w:val="00FC5BE9"/>
    <w:rsid w:val="00FC5F0B"/>
    <w:rsid w:val="00FC6686"/>
    <w:rsid w:val="00FC72E3"/>
    <w:rsid w:val="00FC7497"/>
    <w:rsid w:val="00FC7675"/>
    <w:rsid w:val="00FC780E"/>
    <w:rsid w:val="00FC7DD5"/>
    <w:rsid w:val="00FD0099"/>
    <w:rsid w:val="00FD0858"/>
    <w:rsid w:val="00FD1FD9"/>
    <w:rsid w:val="00FD2100"/>
    <w:rsid w:val="00FD2C70"/>
    <w:rsid w:val="00FD2C87"/>
    <w:rsid w:val="00FD2F37"/>
    <w:rsid w:val="00FD2F6C"/>
    <w:rsid w:val="00FD2F8D"/>
    <w:rsid w:val="00FD436C"/>
    <w:rsid w:val="00FD446D"/>
    <w:rsid w:val="00FD4C9C"/>
    <w:rsid w:val="00FD4D69"/>
    <w:rsid w:val="00FD4D83"/>
    <w:rsid w:val="00FD4F2C"/>
    <w:rsid w:val="00FD5195"/>
    <w:rsid w:val="00FD528F"/>
    <w:rsid w:val="00FD568A"/>
    <w:rsid w:val="00FD5FCC"/>
    <w:rsid w:val="00FD607B"/>
    <w:rsid w:val="00FD6394"/>
    <w:rsid w:val="00FD7439"/>
    <w:rsid w:val="00FD7846"/>
    <w:rsid w:val="00FE0947"/>
    <w:rsid w:val="00FE0BEB"/>
    <w:rsid w:val="00FE0E6C"/>
    <w:rsid w:val="00FE1022"/>
    <w:rsid w:val="00FE1BC0"/>
    <w:rsid w:val="00FE1CDC"/>
    <w:rsid w:val="00FE1F54"/>
    <w:rsid w:val="00FE29EC"/>
    <w:rsid w:val="00FE335F"/>
    <w:rsid w:val="00FE3371"/>
    <w:rsid w:val="00FE5216"/>
    <w:rsid w:val="00FE57A8"/>
    <w:rsid w:val="00FE57BD"/>
    <w:rsid w:val="00FE5CD5"/>
    <w:rsid w:val="00FE600A"/>
    <w:rsid w:val="00FE6F37"/>
    <w:rsid w:val="00FE7022"/>
    <w:rsid w:val="00FE70C3"/>
    <w:rsid w:val="00FE7458"/>
    <w:rsid w:val="00FE74D1"/>
    <w:rsid w:val="00FE7DEC"/>
    <w:rsid w:val="00FF0DAA"/>
    <w:rsid w:val="00FF1047"/>
    <w:rsid w:val="00FF1433"/>
    <w:rsid w:val="00FF1A7B"/>
    <w:rsid w:val="00FF1A8B"/>
    <w:rsid w:val="00FF21BB"/>
    <w:rsid w:val="00FF27D1"/>
    <w:rsid w:val="00FF2AD9"/>
    <w:rsid w:val="00FF359F"/>
    <w:rsid w:val="00FF38EA"/>
    <w:rsid w:val="00FF3DCF"/>
    <w:rsid w:val="00FF47BE"/>
    <w:rsid w:val="00FF492C"/>
    <w:rsid w:val="00FF4A21"/>
    <w:rsid w:val="00FF4A43"/>
    <w:rsid w:val="00FF4A57"/>
    <w:rsid w:val="00FF4B96"/>
    <w:rsid w:val="00FF567C"/>
    <w:rsid w:val="00FF5AA3"/>
    <w:rsid w:val="00FF5AD8"/>
    <w:rsid w:val="00FF5BB8"/>
    <w:rsid w:val="00FF5E21"/>
    <w:rsid w:val="00FF6542"/>
    <w:rsid w:val="00FF6F0E"/>
    <w:rsid w:val="00FF71EF"/>
    <w:rsid w:val="00FF798B"/>
    <w:rsid w:val="00FF7B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BBA"/>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1,Summary Bullets"/>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Section 3- footnotes,Lash Style Table,HTAtableplain,Summary Table,统计型"/>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6E0B7E"/>
    <w:pPr>
      <w:keepNext/>
      <w:keepLines/>
    </w:pPr>
    <w:rPr>
      <w:rFonts w:ascii="Arial Narrow" w:eastAsiaTheme="majorEastAsia" w:hAnsi="Arial Narrow"/>
      <w:b/>
      <w:szCs w:val="24"/>
    </w:rPr>
  </w:style>
  <w:style w:type="paragraph" w:customStyle="1" w:styleId="2-SectionHeading">
    <w:name w:val="2-Section Heading"/>
    <w:next w:val="3-BodyText"/>
    <w:qFormat/>
    <w:rsid w:val="004C3B02"/>
    <w:pPr>
      <w:keepNext/>
      <w:numPr>
        <w:numId w:val="4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42"/>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0461E7"/>
    <w:pPr>
      <w:widowControl w:val="0"/>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0461E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customStyle="1" w:styleId="Heading1Char">
    <w:name w:val="Heading 1 Char"/>
    <w:basedOn w:val="DefaultParagraphFont"/>
    <w:link w:val="Heading1"/>
    <w:uiPriority w:val="1"/>
    <w:rsid w:val="00E301E5"/>
    <w:rPr>
      <w:rFonts w:ascii="Calibri" w:hAnsi="Calibri" w:cs="Arial"/>
      <w:b/>
      <w:caps/>
      <w:sz w:val="32"/>
      <w:szCs w:val="24"/>
    </w:rPr>
  </w:style>
  <w:style w:type="character" w:customStyle="1" w:styleId="Heading3Char">
    <w:name w:val="Heading 3 Char"/>
    <w:basedOn w:val="DefaultParagraphFont"/>
    <w:link w:val="Heading3"/>
    <w:rsid w:val="00E301E5"/>
    <w:rPr>
      <w:rFonts w:ascii="Calibri" w:hAnsi="Calibri" w:cs="Arial"/>
      <w:sz w:val="24"/>
      <w:szCs w:val="24"/>
      <w:u w:val="single"/>
    </w:rPr>
  </w:style>
  <w:style w:type="character" w:customStyle="1" w:styleId="Heading4Char">
    <w:name w:val="Heading 4 Char"/>
    <w:basedOn w:val="DefaultParagraphFont"/>
    <w:link w:val="Heading4"/>
    <w:rsid w:val="00E301E5"/>
    <w:rPr>
      <w:rFonts w:ascii="Calibri" w:hAnsi="Calibri" w:cs="Arial"/>
      <w:b/>
      <w:bCs/>
      <w:i/>
      <w:sz w:val="26"/>
      <w:szCs w:val="28"/>
    </w:rPr>
  </w:style>
  <w:style w:type="character" w:customStyle="1" w:styleId="Heading5Char">
    <w:name w:val="Heading 5 Char"/>
    <w:basedOn w:val="DefaultParagraphFont"/>
    <w:link w:val="Heading5"/>
    <w:rsid w:val="00E301E5"/>
    <w:rPr>
      <w:rFonts w:ascii="Calibri" w:hAnsi="Calibri" w:cs="Arial"/>
      <w:b/>
      <w:bCs/>
      <w:iCs/>
      <w:sz w:val="26"/>
      <w:szCs w:val="26"/>
    </w:rPr>
  </w:style>
  <w:style w:type="character" w:customStyle="1" w:styleId="Heading6Char">
    <w:name w:val="Heading 6 Char"/>
    <w:basedOn w:val="DefaultParagraphFont"/>
    <w:link w:val="Heading6"/>
    <w:rsid w:val="00E301E5"/>
    <w:rPr>
      <w:rFonts w:ascii="Calibri" w:hAnsi="Calibri" w:cs="Arial"/>
      <w:b/>
      <w:bCs/>
      <w:i/>
      <w:sz w:val="24"/>
      <w:szCs w:val="24"/>
    </w:rPr>
  </w:style>
  <w:style w:type="paragraph" w:styleId="FootnoteText">
    <w:name w:val="footnote text"/>
    <w:basedOn w:val="Normal"/>
    <w:link w:val="FootnoteTextChar"/>
    <w:semiHidden/>
    <w:unhideWhenUsed/>
    <w:rsid w:val="00E301E5"/>
    <w:rPr>
      <w:sz w:val="20"/>
      <w:szCs w:val="20"/>
    </w:rPr>
  </w:style>
  <w:style w:type="character" w:customStyle="1" w:styleId="FootnoteTextChar">
    <w:name w:val="Footnote Text Char"/>
    <w:basedOn w:val="DefaultParagraphFont"/>
    <w:link w:val="FootnoteText"/>
    <w:semiHidden/>
    <w:rsid w:val="00E301E5"/>
    <w:rPr>
      <w:rFonts w:ascii="Calibri" w:hAnsi="Calibri" w:cs="Arial"/>
    </w:rPr>
  </w:style>
  <w:style w:type="character" w:styleId="FootnoteReference">
    <w:name w:val="footnote reference"/>
    <w:basedOn w:val="DefaultParagraphFont"/>
    <w:semiHidden/>
    <w:unhideWhenUsed/>
    <w:rsid w:val="00E301E5"/>
    <w:rPr>
      <w:vertAlign w:val="superscript"/>
    </w:rPr>
  </w:style>
  <w:style w:type="character" w:styleId="UnresolvedMention">
    <w:name w:val="Unresolved Mention"/>
    <w:basedOn w:val="DefaultParagraphFont"/>
    <w:uiPriority w:val="99"/>
    <w:semiHidden/>
    <w:unhideWhenUsed/>
    <w:rsid w:val="00E301E5"/>
    <w:rPr>
      <w:color w:val="605E5C"/>
      <w:shd w:val="clear" w:color="auto" w:fill="E1DFDD"/>
    </w:rPr>
  </w:style>
  <w:style w:type="paragraph" w:customStyle="1" w:styleId="PBACTableText">
    <w:name w:val="PBAC Table Text"/>
    <w:basedOn w:val="Normal"/>
    <w:link w:val="PBACTableTextChar"/>
    <w:qFormat/>
    <w:rsid w:val="007068C3"/>
    <w:pPr>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7068C3"/>
    <w:rPr>
      <w:rFonts w:ascii="Arial Narrow" w:hAnsi="Arial Narrow"/>
      <w:lang w:eastAsia="en-US"/>
    </w:rPr>
  </w:style>
  <w:style w:type="paragraph" w:customStyle="1" w:styleId="PBACTabletext0">
    <w:name w:val="PBAC Table text"/>
    <w:link w:val="PBACTabletextChar0"/>
    <w:qFormat/>
    <w:rsid w:val="00275EBC"/>
    <w:pPr>
      <w:keepNext/>
      <w:keepLines/>
      <w:suppressLineNumbers/>
      <w:textboxTightWrap w:val="allLines"/>
    </w:pPr>
    <w:rPr>
      <w:rFonts w:ascii="Arial Narrow" w:hAnsi="Arial Narrow" w:cs="Arial"/>
      <w:szCs w:val="24"/>
      <w:lang w:eastAsia="en-GB"/>
    </w:rPr>
  </w:style>
  <w:style w:type="character" w:customStyle="1" w:styleId="PBACTabletextChar0">
    <w:name w:val="PBAC Table text Char"/>
    <w:basedOn w:val="DefaultParagraphFont"/>
    <w:link w:val="PBACTabletext0"/>
    <w:rsid w:val="00275EBC"/>
    <w:rPr>
      <w:rFonts w:ascii="Arial Narrow" w:hAnsi="Arial Narrow" w:cs="Arial"/>
      <w:szCs w:val="24"/>
      <w:lang w:eastAsia="en-GB"/>
    </w:rPr>
  </w:style>
  <w:style w:type="paragraph" w:customStyle="1" w:styleId="paragraph">
    <w:name w:val="paragraph"/>
    <w:basedOn w:val="Normal"/>
    <w:rsid w:val="00B425A3"/>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B425A3"/>
  </w:style>
  <w:style w:type="character" w:customStyle="1" w:styleId="normaltextrun">
    <w:name w:val="normaltextrun"/>
    <w:basedOn w:val="DefaultParagraphFont"/>
    <w:rsid w:val="00B425A3"/>
  </w:style>
  <w:style w:type="character" w:styleId="Strong">
    <w:name w:val="Strong"/>
    <w:basedOn w:val="DefaultParagraphFont"/>
    <w:uiPriority w:val="22"/>
    <w:qFormat/>
    <w:rsid w:val="00B357A4"/>
    <w:rPr>
      <w:b/>
      <w:bCs/>
    </w:rPr>
  </w:style>
  <w:style w:type="paragraph" w:customStyle="1" w:styleId="3-SubsectionHeading">
    <w:name w:val="3-Subsection Heading"/>
    <w:basedOn w:val="Heading2"/>
    <w:next w:val="Normal"/>
    <w:link w:val="3-SubsectionHeadingChar"/>
    <w:qFormat/>
    <w:rsid w:val="0038348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83489"/>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CE50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0458829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8543079">
      <w:bodyDiv w:val="1"/>
      <w:marLeft w:val="0"/>
      <w:marRight w:val="0"/>
      <w:marTop w:val="0"/>
      <w:marBottom w:val="0"/>
      <w:divBdr>
        <w:top w:val="none" w:sz="0" w:space="0" w:color="auto"/>
        <w:left w:val="none" w:sz="0" w:space="0" w:color="auto"/>
        <w:bottom w:val="none" w:sz="0" w:space="0" w:color="auto"/>
        <w:right w:val="none" w:sz="0" w:space="0" w:color="auto"/>
      </w:divBdr>
    </w:div>
    <w:div w:id="1005983363">
      <w:bodyDiv w:val="1"/>
      <w:marLeft w:val="0"/>
      <w:marRight w:val="0"/>
      <w:marTop w:val="0"/>
      <w:marBottom w:val="0"/>
      <w:divBdr>
        <w:top w:val="none" w:sz="0" w:space="0" w:color="auto"/>
        <w:left w:val="none" w:sz="0" w:space="0" w:color="auto"/>
        <w:bottom w:val="none" w:sz="0" w:space="0" w:color="auto"/>
        <w:right w:val="none" w:sz="0" w:space="0" w:color="auto"/>
      </w:divBdr>
    </w:div>
    <w:div w:id="1094520170">
      <w:bodyDiv w:val="1"/>
      <w:marLeft w:val="0"/>
      <w:marRight w:val="0"/>
      <w:marTop w:val="0"/>
      <w:marBottom w:val="0"/>
      <w:divBdr>
        <w:top w:val="none" w:sz="0" w:space="0" w:color="auto"/>
        <w:left w:val="none" w:sz="0" w:space="0" w:color="auto"/>
        <w:bottom w:val="none" w:sz="0" w:space="0" w:color="auto"/>
        <w:right w:val="none" w:sz="0" w:space="0" w:color="auto"/>
      </w:divBdr>
      <w:divsChild>
        <w:div w:id="127433659">
          <w:marLeft w:val="1080"/>
          <w:marRight w:val="0"/>
          <w:marTop w:val="100"/>
          <w:marBottom w:val="0"/>
          <w:divBdr>
            <w:top w:val="none" w:sz="0" w:space="0" w:color="auto"/>
            <w:left w:val="none" w:sz="0" w:space="0" w:color="auto"/>
            <w:bottom w:val="none" w:sz="0" w:space="0" w:color="auto"/>
            <w:right w:val="none" w:sz="0" w:space="0" w:color="auto"/>
          </w:divBdr>
        </w:div>
        <w:div w:id="584994416">
          <w:marLeft w:val="1080"/>
          <w:marRight w:val="0"/>
          <w:marTop w:val="100"/>
          <w:marBottom w:val="0"/>
          <w:divBdr>
            <w:top w:val="none" w:sz="0" w:space="0" w:color="auto"/>
            <w:left w:val="none" w:sz="0" w:space="0" w:color="auto"/>
            <w:bottom w:val="none" w:sz="0" w:space="0" w:color="auto"/>
            <w:right w:val="none" w:sz="0" w:space="0" w:color="auto"/>
          </w:divBdr>
        </w:div>
        <w:div w:id="991178613">
          <w:marLeft w:val="1080"/>
          <w:marRight w:val="0"/>
          <w:marTop w:val="100"/>
          <w:marBottom w:val="0"/>
          <w:divBdr>
            <w:top w:val="none" w:sz="0" w:space="0" w:color="auto"/>
            <w:left w:val="none" w:sz="0" w:space="0" w:color="auto"/>
            <w:bottom w:val="none" w:sz="0" w:space="0" w:color="auto"/>
            <w:right w:val="none" w:sz="0" w:space="0" w:color="auto"/>
          </w:divBdr>
        </w:div>
        <w:div w:id="1132216383">
          <w:marLeft w:val="1080"/>
          <w:marRight w:val="0"/>
          <w:marTop w:val="100"/>
          <w:marBottom w:val="0"/>
          <w:divBdr>
            <w:top w:val="none" w:sz="0" w:space="0" w:color="auto"/>
            <w:left w:val="none" w:sz="0" w:space="0" w:color="auto"/>
            <w:bottom w:val="none" w:sz="0" w:space="0" w:color="auto"/>
            <w:right w:val="none" w:sz="0" w:space="0" w:color="auto"/>
          </w:divBdr>
        </w:div>
        <w:div w:id="1143622079">
          <w:marLeft w:val="360"/>
          <w:marRight w:val="0"/>
          <w:marTop w:val="200"/>
          <w:marBottom w:val="0"/>
          <w:divBdr>
            <w:top w:val="none" w:sz="0" w:space="0" w:color="auto"/>
            <w:left w:val="none" w:sz="0" w:space="0" w:color="auto"/>
            <w:bottom w:val="none" w:sz="0" w:space="0" w:color="auto"/>
            <w:right w:val="none" w:sz="0" w:space="0" w:color="auto"/>
          </w:divBdr>
        </w:div>
        <w:div w:id="1168861418">
          <w:marLeft w:val="360"/>
          <w:marRight w:val="0"/>
          <w:marTop w:val="200"/>
          <w:marBottom w:val="0"/>
          <w:divBdr>
            <w:top w:val="none" w:sz="0" w:space="0" w:color="auto"/>
            <w:left w:val="none" w:sz="0" w:space="0" w:color="auto"/>
            <w:bottom w:val="none" w:sz="0" w:space="0" w:color="auto"/>
            <w:right w:val="none" w:sz="0" w:space="0" w:color="auto"/>
          </w:divBdr>
        </w:div>
        <w:div w:id="1333070951">
          <w:marLeft w:val="1080"/>
          <w:marRight w:val="0"/>
          <w:marTop w:val="100"/>
          <w:marBottom w:val="0"/>
          <w:divBdr>
            <w:top w:val="none" w:sz="0" w:space="0" w:color="auto"/>
            <w:left w:val="none" w:sz="0" w:space="0" w:color="auto"/>
            <w:bottom w:val="none" w:sz="0" w:space="0" w:color="auto"/>
            <w:right w:val="none" w:sz="0" w:space="0" w:color="auto"/>
          </w:divBdr>
        </w:div>
        <w:div w:id="1697387950">
          <w:marLeft w:val="1080"/>
          <w:marRight w:val="0"/>
          <w:marTop w:val="100"/>
          <w:marBottom w:val="0"/>
          <w:divBdr>
            <w:top w:val="none" w:sz="0" w:space="0" w:color="auto"/>
            <w:left w:val="none" w:sz="0" w:space="0" w:color="auto"/>
            <w:bottom w:val="none" w:sz="0" w:space="0" w:color="auto"/>
            <w:right w:val="none" w:sz="0" w:space="0" w:color="auto"/>
          </w:divBdr>
        </w:div>
        <w:div w:id="1743484534">
          <w:marLeft w:val="1080"/>
          <w:marRight w:val="0"/>
          <w:marTop w:val="100"/>
          <w:marBottom w:val="0"/>
          <w:divBdr>
            <w:top w:val="none" w:sz="0" w:space="0" w:color="auto"/>
            <w:left w:val="none" w:sz="0" w:space="0" w:color="auto"/>
            <w:bottom w:val="none" w:sz="0" w:space="0" w:color="auto"/>
            <w:right w:val="none" w:sz="0" w:space="0" w:color="auto"/>
          </w:divBdr>
        </w:div>
        <w:div w:id="1858347993">
          <w:marLeft w:val="1080"/>
          <w:marRight w:val="0"/>
          <w:marTop w:val="100"/>
          <w:marBottom w:val="0"/>
          <w:divBdr>
            <w:top w:val="none" w:sz="0" w:space="0" w:color="auto"/>
            <w:left w:val="none" w:sz="0" w:space="0" w:color="auto"/>
            <w:bottom w:val="none" w:sz="0" w:space="0" w:color="auto"/>
            <w:right w:val="none" w:sz="0" w:space="0" w:color="auto"/>
          </w:divBdr>
        </w:div>
      </w:divsChild>
    </w:div>
    <w:div w:id="114335289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48321310">
      <w:bodyDiv w:val="1"/>
      <w:marLeft w:val="0"/>
      <w:marRight w:val="0"/>
      <w:marTop w:val="0"/>
      <w:marBottom w:val="0"/>
      <w:divBdr>
        <w:top w:val="none" w:sz="0" w:space="0" w:color="auto"/>
        <w:left w:val="none" w:sz="0" w:space="0" w:color="auto"/>
        <w:bottom w:val="none" w:sz="0" w:space="0" w:color="auto"/>
        <w:right w:val="none" w:sz="0" w:space="0" w:color="auto"/>
      </w:divBdr>
      <w:divsChild>
        <w:div w:id="180165042">
          <w:marLeft w:val="806"/>
          <w:marRight w:val="0"/>
          <w:marTop w:val="200"/>
          <w:marBottom w:val="0"/>
          <w:divBdr>
            <w:top w:val="none" w:sz="0" w:space="0" w:color="auto"/>
            <w:left w:val="none" w:sz="0" w:space="0" w:color="auto"/>
            <w:bottom w:val="none" w:sz="0" w:space="0" w:color="auto"/>
            <w:right w:val="none" w:sz="0" w:space="0" w:color="auto"/>
          </w:divBdr>
        </w:div>
      </w:divsChild>
    </w:div>
    <w:div w:id="1733845629">
      <w:bodyDiv w:val="1"/>
      <w:marLeft w:val="0"/>
      <w:marRight w:val="0"/>
      <w:marTop w:val="0"/>
      <w:marBottom w:val="0"/>
      <w:divBdr>
        <w:top w:val="none" w:sz="0" w:space="0" w:color="auto"/>
        <w:left w:val="none" w:sz="0" w:space="0" w:color="auto"/>
        <w:bottom w:val="none" w:sz="0" w:space="0" w:color="auto"/>
        <w:right w:val="none" w:sz="0" w:space="0" w:color="auto"/>
      </w:divBdr>
    </w:div>
    <w:div w:id="174910948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8235837">
      <w:bodyDiv w:val="1"/>
      <w:marLeft w:val="0"/>
      <w:marRight w:val="0"/>
      <w:marTop w:val="0"/>
      <w:marBottom w:val="0"/>
      <w:divBdr>
        <w:top w:val="none" w:sz="0" w:space="0" w:color="auto"/>
        <w:left w:val="none" w:sz="0" w:space="0" w:color="auto"/>
        <w:bottom w:val="none" w:sz="0" w:space="0" w:color="auto"/>
        <w:right w:val="none" w:sz="0" w:space="0" w:color="auto"/>
      </w:divBdr>
    </w:div>
    <w:div w:id="2046711143">
      <w:bodyDiv w:val="1"/>
      <w:marLeft w:val="0"/>
      <w:marRight w:val="0"/>
      <w:marTop w:val="0"/>
      <w:marBottom w:val="0"/>
      <w:divBdr>
        <w:top w:val="none" w:sz="0" w:space="0" w:color="auto"/>
        <w:left w:val="none" w:sz="0" w:space="0" w:color="auto"/>
        <w:bottom w:val="none" w:sz="0" w:space="0" w:color="auto"/>
        <w:right w:val="none" w:sz="0" w:space="0" w:color="auto"/>
      </w:divBdr>
    </w:div>
    <w:div w:id="21021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95BAB0BE-479F-4A76-B91D-2C0372661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B5CCEDE1-ED65-4D3A-B7B9-D128CE209E51}">
  <ds:schemaRefs>
    <ds:schemaRef ds:uri="http://schemas.microsoft.com/sharepoint/v3/contenttype/forms"/>
  </ds:schemaRefs>
</ds:datastoreItem>
</file>

<file path=customXml/itemProps4.xml><?xml version="1.0" encoding="utf-8"?>
<ds:datastoreItem xmlns:ds="http://schemas.openxmlformats.org/officeDocument/2006/customXml" ds:itemID="{915952E3-C114-4B78-B8CD-101D76F3DA1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14607</Words>
  <Characters>78295</Characters>
  <Application>Microsoft Office Word</Application>
  <DocSecurity>0</DocSecurity>
  <Lines>2446</Lines>
  <Paragraphs>1629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2026-04-28T01:09:00Z</dcterms:created>
  <dcterms:modified xsi:type="dcterms:W3CDTF">2026-07-06T01:47:00Z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596e2dc1,511ffe55,3b601ee3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22c88f64,48059ff0,44b38ef6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2025-12-12T01:49:14Z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79943573-b0a5-4bd4-8d16-02cad26a0d13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