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B85E" w14:textId="77777777" w:rsidR="008F00FE" w:rsidRDefault="008F00FE" w:rsidP="008F00FE">
      <w:pPr>
        <w:rPr>
          <w:rFonts w:cs="Calibri"/>
        </w:rPr>
      </w:pPr>
      <w:bookmarkStart w:id="0" w:name="_Toc208995329"/>
    </w:p>
    <w:p w14:paraId="271CD135" w14:textId="043E6CCE" w:rsidR="008F00FE" w:rsidRDefault="008F00FE" w:rsidP="008F00FE">
      <w:pPr>
        <w:rPr>
          <w:rFonts w:cs="Calibri"/>
          <w:color w:val="FF0000"/>
          <w:szCs w:val="32"/>
        </w:rPr>
      </w:pPr>
      <w:r w:rsidRPr="00C05757">
        <w:rPr>
          <w:rFonts w:cs="Calibri"/>
          <w:color w:val="FF0000"/>
          <w:szCs w:val="32"/>
        </w:rPr>
        <w:t xml:space="preserve">An </w:t>
      </w:r>
      <w:r w:rsidR="00397295">
        <w:rPr>
          <w:rFonts w:cs="Calibri"/>
          <w:color w:val="FF0000"/>
          <w:szCs w:val="32"/>
        </w:rPr>
        <w:t>A</w:t>
      </w:r>
      <w:r w:rsidRPr="00C05757">
        <w:rPr>
          <w:rFonts w:cs="Calibri"/>
          <w:color w:val="FF0000"/>
          <w:szCs w:val="32"/>
        </w:rPr>
        <w:t xml:space="preserve">ddendum to </w:t>
      </w:r>
      <w:r w:rsidR="006F34FF">
        <w:rPr>
          <w:rFonts w:cs="Calibri"/>
          <w:color w:val="FF0000"/>
          <w:szCs w:val="32"/>
        </w:rPr>
        <w:t>this Public Summary Document</w:t>
      </w:r>
      <w:r w:rsidRPr="00C05757">
        <w:rPr>
          <w:rFonts w:cs="Calibri"/>
          <w:color w:val="FF0000"/>
          <w:szCs w:val="32"/>
        </w:rPr>
        <w:t xml:space="preserve"> has been included at the end of this document.</w:t>
      </w:r>
    </w:p>
    <w:p w14:paraId="35251DE0" w14:textId="77777777" w:rsidR="008F00FE" w:rsidRPr="00F17C31" w:rsidRDefault="008F00FE" w:rsidP="008F00FE">
      <w:pPr>
        <w:rPr>
          <w:rFonts w:cs="Calibri"/>
          <w:color w:val="FF0000"/>
          <w:szCs w:val="32"/>
        </w:rPr>
      </w:pPr>
    </w:p>
    <w:p w14:paraId="4CAC8AB1" w14:textId="77777777" w:rsidR="009E051D" w:rsidRPr="000E5B3A" w:rsidRDefault="009E051D" w:rsidP="009E051D">
      <w:pPr>
        <w:pStyle w:val="1-MainHeading"/>
      </w:pPr>
      <w:r w:rsidRPr="000E5B3A">
        <w:t>5.11</w:t>
      </w:r>
      <w:r w:rsidRPr="000E5B3A">
        <w:tab/>
        <w:t xml:space="preserve">RETIFANLIMAB, </w:t>
      </w:r>
      <w:r w:rsidRPr="000E5B3A">
        <w:br/>
        <w:t>Solution concentrate for I.V. infusion,</w:t>
      </w:r>
      <w:r w:rsidRPr="000E5B3A">
        <w:br/>
        <w:t>500 mg in 20 mL,</w:t>
      </w:r>
      <w:r w:rsidRPr="000E5B3A">
        <w:br/>
        <w:t>Zynyz</w:t>
      </w:r>
      <w:r w:rsidRPr="000E5B3A">
        <w:rPr>
          <w:vertAlign w:val="superscript"/>
        </w:rPr>
        <w:t>®</w:t>
      </w:r>
      <w:r w:rsidRPr="000E5B3A">
        <w:t>,</w:t>
      </w:r>
      <w:r w:rsidRPr="000E5B3A">
        <w:br/>
        <w:t>Specialised Therapeutics Alim Pty Ltd</w:t>
      </w:r>
    </w:p>
    <w:p w14:paraId="11C00795" w14:textId="3DFB6D23" w:rsidR="00B50DB8" w:rsidRPr="000E5B3A" w:rsidRDefault="00B50DB8" w:rsidP="004A6040">
      <w:pPr>
        <w:pStyle w:val="2-SectionHeading"/>
      </w:pPr>
      <w:bookmarkStart w:id="1" w:name="_Toc208995331"/>
      <w:bookmarkEnd w:id="0"/>
      <w:r w:rsidRPr="000E5B3A">
        <w:t xml:space="preserve">Purpose of </w:t>
      </w:r>
      <w:r w:rsidR="00CD7193" w:rsidRPr="000E5B3A">
        <w:t>s</w:t>
      </w:r>
      <w:r w:rsidR="00BB3A45" w:rsidRPr="000E5B3A">
        <w:t>ubmission</w:t>
      </w:r>
      <w:bookmarkEnd w:id="1"/>
    </w:p>
    <w:p w14:paraId="19414AA1" w14:textId="12D47476" w:rsidR="002C2775" w:rsidRPr="000E5B3A" w:rsidRDefault="007170DA" w:rsidP="004E18E9">
      <w:pPr>
        <w:pStyle w:val="3-BodyText"/>
      </w:pPr>
      <w:r w:rsidRPr="000E5B3A">
        <w:t xml:space="preserve">The </w:t>
      </w:r>
      <w:r w:rsidR="00F73E08" w:rsidRPr="000E5B3A">
        <w:t xml:space="preserve">Category </w:t>
      </w:r>
      <w:r w:rsidR="00A41F23" w:rsidRPr="000E5B3A">
        <w:t xml:space="preserve">1 </w:t>
      </w:r>
      <w:r w:rsidRPr="000E5B3A">
        <w:t xml:space="preserve">submission requested </w:t>
      </w:r>
      <w:r w:rsidR="008B1757" w:rsidRPr="000E5B3A">
        <w:t xml:space="preserve">Section 100 </w:t>
      </w:r>
      <w:r w:rsidR="00322C21" w:rsidRPr="000E5B3A">
        <w:t xml:space="preserve">(Efficient </w:t>
      </w:r>
      <w:r w:rsidR="00616D4D">
        <w:t>F</w:t>
      </w:r>
      <w:r w:rsidR="00616D4D" w:rsidRPr="000E5B3A">
        <w:t xml:space="preserve">unding </w:t>
      </w:r>
      <w:r w:rsidR="00322C21" w:rsidRPr="000E5B3A">
        <w:t xml:space="preserve">of </w:t>
      </w:r>
      <w:r w:rsidR="00616D4D">
        <w:t>C</w:t>
      </w:r>
      <w:r w:rsidR="00616D4D" w:rsidRPr="000E5B3A">
        <w:t>hemotherapy</w:t>
      </w:r>
      <w:r w:rsidR="00322C21" w:rsidRPr="000E5B3A">
        <w:t>), Authority Required (</w:t>
      </w:r>
      <w:r w:rsidR="00763728" w:rsidRPr="000E5B3A">
        <w:t>STREAMLINED</w:t>
      </w:r>
      <w:r w:rsidR="00322C21" w:rsidRPr="000E5B3A">
        <w:t xml:space="preserve">) </w:t>
      </w:r>
      <w:r w:rsidR="008B1757" w:rsidRPr="000E5B3A">
        <w:t>listing for</w:t>
      </w:r>
      <w:r w:rsidR="005F5E0B" w:rsidRPr="000E5B3A">
        <w:t xml:space="preserve"> retifanlimab for use in combination with carboplatin and paclitaxel</w:t>
      </w:r>
      <w:r w:rsidR="00763728" w:rsidRPr="000E5B3A">
        <w:t xml:space="preserve"> (CP)</w:t>
      </w:r>
      <w:r w:rsidR="005F5E0B" w:rsidRPr="000E5B3A">
        <w:t xml:space="preserve"> for the treatment of inoperable locally recurrent or metastatic </w:t>
      </w:r>
      <w:r w:rsidR="00763728" w:rsidRPr="000E5B3A">
        <w:t>squamous cell anal carcinoma (</w:t>
      </w:r>
      <w:r w:rsidR="005F5E0B" w:rsidRPr="000E5B3A">
        <w:t>SCAC</w:t>
      </w:r>
      <w:r w:rsidR="00763728" w:rsidRPr="000E5B3A">
        <w:t>)</w:t>
      </w:r>
      <w:r w:rsidR="005F5E0B" w:rsidRPr="000E5B3A">
        <w:t xml:space="preserve"> not previously treated with systemic chemotherapy.</w:t>
      </w:r>
    </w:p>
    <w:p w14:paraId="4E9FBCB5" w14:textId="26F68E14" w:rsidR="00C2778B" w:rsidRPr="000E5B3A" w:rsidRDefault="005750C5" w:rsidP="004E18E9">
      <w:pPr>
        <w:pStyle w:val="3-BodyText"/>
      </w:pPr>
      <w:r w:rsidRPr="000E5B3A">
        <w:t>Listing was requested on the basis of a cost-effectiveness analysis</w:t>
      </w:r>
      <w:r w:rsidR="00A41F23" w:rsidRPr="000E5B3A">
        <w:t xml:space="preserve"> for retifanlimab</w:t>
      </w:r>
      <w:r w:rsidR="00155C54">
        <w:t> </w:t>
      </w:r>
      <w:r w:rsidR="00A41F23" w:rsidRPr="000E5B3A">
        <w:t>+</w:t>
      </w:r>
      <w:r w:rsidR="00155C54">
        <w:t> </w:t>
      </w:r>
      <w:r w:rsidR="00A41F23" w:rsidRPr="000E5B3A">
        <w:t>CP</w:t>
      </w:r>
      <w:r w:rsidRPr="000E5B3A">
        <w:t xml:space="preserve"> versus </w:t>
      </w:r>
      <w:r w:rsidR="00A41F23" w:rsidRPr="000E5B3A">
        <w:t>placebo + CP</w:t>
      </w:r>
      <w:r w:rsidR="00763728" w:rsidRPr="000E5B3A">
        <w:t xml:space="preserve"> (or CP alone)</w:t>
      </w:r>
      <w:r w:rsidRPr="000E5B3A">
        <w:t>.</w:t>
      </w:r>
    </w:p>
    <w:p w14:paraId="0C3619D8" w14:textId="6B1B05BC" w:rsidR="00322C21" w:rsidRPr="000E5B3A" w:rsidRDefault="00322C21" w:rsidP="00322C21">
      <w:pPr>
        <w:pStyle w:val="3-BodyText"/>
      </w:pPr>
      <w:r w:rsidRPr="000E5B3A">
        <w:t xml:space="preserve">A summary of the key components of the clinical issue addressed by the submission is presented in </w:t>
      </w:r>
      <w:r w:rsidRPr="000E5B3A">
        <w:fldChar w:fldCharType="begin"/>
      </w:r>
      <w:r w:rsidRPr="000E5B3A">
        <w:instrText xml:space="preserve"> REF _Ref207728660 \h </w:instrText>
      </w:r>
      <w:r w:rsidRPr="000E5B3A">
        <w:fldChar w:fldCharType="separate"/>
      </w:r>
      <w:r w:rsidR="00DB6E72" w:rsidRPr="000E5B3A">
        <w:t xml:space="preserve">Table </w:t>
      </w:r>
      <w:r w:rsidR="00DB6E72">
        <w:rPr>
          <w:noProof/>
        </w:rPr>
        <w:t>1</w:t>
      </w:r>
      <w:r w:rsidRPr="000E5B3A">
        <w:fldChar w:fldCharType="end"/>
      </w:r>
      <w:r w:rsidRPr="000E5B3A">
        <w:t>.</w:t>
      </w:r>
    </w:p>
    <w:p w14:paraId="3718DE61" w14:textId="0F9C4812" w:rsidR="008B1757" w:rsidRPr="000E5B3A" w:rsidRDefault="00696EF9" w:rsidP="004A6040">
      <w:pPr>
        <w:pStyle w:val="TableFigureHeading"/>
        <w:rPr>
          <w:rStyle w:val="CommentReference"/>
          <w:b/>
          <w:szCs w:val="24"/>
        </w:rPr>
      </w:pPr>
      <w:bookmarkStart w:id="2" w:name="_Ref207728660"/>
      <w:r w:rsidRPr="000E5B3A">
        <w:t xml:space="preserve">Table </w:t>
      </w:r>
      <w:fldSimple w:instr=" SEQ Table \* ARABIC ">
        <w:r w:rsidR="00DB6E72">
          <w:rPr>
            <w:noProof/>
          </w:rPr>
          <w:t>1</w:t>
        </w:r>
      </w:fldSimple>
      <w:bookmarkEnd w:id="2"/>
      <w:r w:rsidRPr="000E5B3A">
        <w:t>:</w:t>
      </w:r>
      <w:r w:rsidR="00BC591F" w:rsidRPr="000E5B3A">
        <w:rPr>
          <w:rStyle w:val="CommentReference"/>
          <w:b/>
          <w:szCs w:val="24"/>
        </w:rPr>
        <w:t xml:space="preserve"> </w:t>
      </w:r>
      <w:r w:rsidR="008B1757" w:rsidRPr="000E5B3A">
        <w:rPr>
          <w:rStyle w:val="CommentReference"/>
          <w:b/>
          <w:szCs w:val="24"/>
        </w:rPr>
        <w:t>Key components of the clinical issue addressed by the submission</w:t>
      </w:r>
      <w:r w:rsidR="007170DA" w:rsidRPr="000E5B3A">
        <w:rPr>
          <w:rStyle w:val="CommentReference"/>
          <w:b/>
          <w:szCs w:val="24"/>
        </w:rPr>
        <w:t xml:space="preserve">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Pr>
      <w:tblGrid>
        <w:gridCol w:w="1127"/>
        <w:gridCol w:w="7889"/>
      </w:tblGrid>
      <w:tr w:rsidR="00A41F23" w:rsidRPr="000E5B3A" w14:paraId="75BDCD55" w14:textId="77777777">
        <w:tc>
          <w:tcPr>
            <w:tcW w:w="625" w:type="pct"/>
            <w:vAlign w:val="center"/>
            <w:hideMark/>
          </w:tcPr>
          <w:p w14:paraId="208B7446" w14:textId="77777777" w:rsidR="00A41F23" w:rsidRPr="000E5B3A" w:rsidRDefault="00A41F23">
            <w:pPr>
              <w:pStyle w:val="In-tableHeading"/>
              <w:jc w:val="left"/>
              <w:rPr>
                <w:lang w:val="en-AU"/>
              </w:rPr>
            </w:pPr>
            <w:r w:rsidRPr="000E5B3A">
              <w:rPr>
                <w:lang w:val="en-AU"/>
              </w:rPr>
              <w:t>Component</w:t>
            </w:r>
          </w:p>
        </w:tc>
        <w:tc>
          <w:tcPr>
            <w:tcW w:w="4375" w:type="pct"/>
            <w:hideMark/>
          </w:tcPr>
          <w:p w14:paraId="20F86EC2" w14:textId="77777777" w:rsidR="00A41F23" w:rsidRPr="000E5B3A" w:rsidRDefault="00A41F23">
            <w:pPr>
              <w:pStyle w:val="In-tableHeading"/>
              <w:rPr>
                <w:lang w:val="en-AU"/>
              </w:rPr>
            </w:pPr>
            <w:r w:rsidRPr="000E5B3A">
              <w:rPr>
                <w:lang w:val="en-AU"/>
              </w:rPr>
              <w:t>Description</w:t>
            </w:r>
          </w:p>
        </w:tc>
      </w:tr>
      <w:tr w:rsidR="00A41F23" w:rsidRPr="000E5B3A" w14:paraId="3502F626" w14:textId="77777777">
        <w:tc>
          <w:tcPr>
            <w:tcW w:w="625" w:type="pct"/>
            <w:vAlign w:val="center"/>
            <w:hideMark/>
          </w:tcPr>
          <w:p w14:paraId="0D7B3350" w14:textId="77777777" w:rsidR="00A41F23" w:rsidRPr="000E5B3A" w:rsidRDefault="00A41F23">
            <w:pPr>
              <w:pStyle w:val="TableText0"/>
            </w:pPr>
            <w:r w:rsidRPr="000E5B3A">
              <w:t>Population</w:t>
            </w:r>
          </w:p>
        </w:tc>
        <w:tc>
          <w:tcPr>
            <w:tcW w:w="4375" w:type="pct"/>
          </w:tcPr>
          <w:p w14:paraId="4A6C3A3C" w14:textId="77777777" w:rsidR="00A41F23" w:rsidRPr="000E5B3A" w:rsidRDefault="00A41F23">
            <w:pPr>
              <w:pStyle w:val="TableText0"/>
            </w:pPr>
            <w:r w:rsidRPr="000E5B3A">
              <w:t>Adults who have inoperable locally recurrent or metastatic SCAC not previously treated with systemic chemotherapy.</w:t>
            </w:r>
          </w:p>
        </w:tc>
      </w:tr>
      <w:tr w:rsidR="00A41F23" w:rsidRPr="000E5B3A" w14:paraId="01E475A6" w14:textId="77777777">
        <w:tc>
          <w:tcPr>
            <w:tcW w:w="625" w:type="pct"/>
            <w:vAlign w:val="center"/>
            <w:hideMark/>
          </w:tcPr>
          <w:p w14:paraId="4DA9EE4A" w14:textId="77777777" w:rsidR="00A41F23" w:rsidRPr="000E5B3A" w:rsidRDefault="00A41F23">
            <w:pPr>
              <w:pStyle w:val="TableText0"/>
            </w:pPr>
            <w:r w:rsidRPr="000E5B3A">
              <w:t>Intervention</w:t>
            </w:r>
          </w:p>
        </w:tc>
        <w:tc>
          <w:tcPr>
            <w:tcW w:w="4375" w:type="pct"/>
            <w:hideMark/>
          </w:tcPr>
          <w:p w14:paraId="0B276899" w14:textId="77777777" w:rsidR="00A41F23" w:rsidRPr="000E5B3A" w:rsidRDefault="00A41F23">
            <w:pPr>
              <w:pStyle w:val="TableText0"/>
            </w:pPr>
            <w:r w:rsidRPr="000E5B3A">
              <w:t>Patients receive retifanlimab (up to 12 months or 13 x 28 day cycles) in combination with carboplatin and paclitaxel (up to 6 months or 6 x 28 day cycles) until disease progression or unacceptable toxicity.</w:t>
            </w:r>
          </w:p>
        </w:tc>
      </w:tr>
      <w:tr w:rsidR="00A41F23" w:rsidRPr="000E5B3A" w14:paraId="4728B9F6" w14:textId="77777777">
        <w:tc>
          <w:tcPr>
            <w:tcW w:w="625" w:type="pct"/>
            <w:vAlign w:val="center"/>
            <w:hideMark/>
          </w:tcPr>
          <w:p w14:paraId="34822065" w14:textId="77777777" w:rsidR="00A41F23" w:rsidRPr="000E5B3A" w:rsidRDefault="00A41F23">
            <w:pPr>
              <w:pStyle w:val="TableText0"/>
            </w:pPr>
            <w:r w:rsidRPr="000E5B3A">
              <w:t>Comparator</w:t>
            </w:r>
          </w:p>
        </w:tc>
        <w:tc>
          <w:tcPr>
            <w:tcW w:w="4375" w:type="pct"/>
            <w:hideMark/>
          </w:tcPr>
          <w:p w14:paraId="7F219A48" w14:textId="77777777" w:rsidR="00A41F23" w:rsidRPr="000E5B3A" w:rsidRDefault="00A41F23">
            <w:pPr>
              <w:pStyle w:val="TableText0"/>
            </w:pPr>
            <w:r w:rsidRPr="000E5B3A">
              <w:t>Carboplatin and paclitaxel (up to 6 months).</w:t>
            </w:r>
          </w:p>
        </w:tc>
      </w:tr>
      <w:tr w:rsidR="00A41F23" w:rsidRPr="000E5B3A" w14:paraId="21B12CCD" w14:textId="77777777">
        <w:tc>
          <w:tcPr>
            <w:tcW w:w="625" w:type="pct"/>
            <w:vAlign w:val="center"/>
            <w:hideMark/>
          </w:tcPr>
          <w:p w14:paraId="0072EB50" w14:textId="77777777" w:rsidR="00A41F23" w:rsidRPr="000E5B3A" w:rsidRDefault="00A41F23">
            <w:pPr>
              <w:pStyle w:val="TableText0"/>
            </w:pPr>
            <w:r w:rsidRPr="000E5B3A">
              <w:t>Outcomes</w:t>
            </w:r>
          </w:p>
        </w:tc>
        <w:tc>
          <w:tcPr>
            <w:tcW w:w="4375" w:type="pct"/>
            <w:hideMark/>
          </w:tcPr>
          <w:p w14:paraId="53BA007A" w14:textId="77777777" w:rsidR="00A41F23" w:rsidRPr="000E5B3A" w:rsidRDefault="00A41F23">
            <w:pPr>
              <w:pStyle w:val="TableText0"/>
            </w:pPr>
            <w:r w:rsidRPr="000E5B3A">
              <w:t>Progression-free survival (PFS), overall survival (OS), objective response rate (ORR), duration of response (DOR), disease control rate (DCR), patient-reported outcomes (PROs), safety.</w:t>
            </w:r>
          </w:p>
        </w:tc>
      </w:tr>
      <w:tr w:rsidR="00A41F23" w:rsidRPr="000E5B3A" w14:paraId="3187B477" w14:textId="77777777">
        <w:tc>
          <w:tcPr>
            <w:tcW w:w="625" w:type="pct"/>
            <w:vAlign w:val="center"/>
            <w:hideMark/>
          </w:tcPr>
          <w:p w14:paraId="251089AB" w14:textId="77777777" w:rsidR="00A41F23" w:rsidRPr="000E5B3A" w:rsidRDefault="00A41F23">
            <w:pPr>
              <w:pStyle w:val="TableText0"/>
            </w:pPr>
            <w:r w:rsidRPr="000E5B3A">
              <w:t>Clinical claim</w:t>
            </w:r>
          </w:p>
        </w:tc>
        <w:tc>
          <w:tcPr>
            <w:tcW w:w="4375" w:type="pct"/>
            <w:hideMark/>
          </w:tcPr>
          <w:p w14:paraId="067E2CC2" w14:textId="77777777" w:rsidR="00A41F23" w:rsidRPr="000E5B3A" w:rsidRDefault="00A41F23">
            <w:pPr>
              <w:pStyle w:val="TableText0"/>
            </w:pPr>
            <w:r w:rsidRPr="000E5B3A">
              <w:t>In patients with inoperable locally recurrent or metastatic SCAC not previously treated with systemic chemotherapy, retifanlimab in combination with carboplatin and paclitaxel is superior in terms of efficacy and inferior in terms of safety when compared to carboplatin and paclitaxel.</w:t>
            </w:r>
          </w:p>
        </w:tc>
      </w:tr>
    </w:tbl>
    <w:p w14:paraId="3E231697" w14:textId="77777777" w:rsidR="00A41F23" w:rsidRPr="000E5B3A" w:rsidRDefault="00A41F23" w:rsidP="00A41F23">
      <w:pPr>
        <w:pStyle w:val="TableFigureFooter"/>
      </w:pPr>
      <w:r w:rsidRPr="000E5B3A">
        <w:t>Source: Table 1, p8 of the submission.</w:t>
      </w:r>
    </w:p>
    <w:p w14:paraId="63268521" w14:textId="2678C2FD" w:rsidR="00A41F23" w:rsidRPr="000E5B3A" w:rsidRDefault="00A41F23" w:rsidP="00A41F23">
      <w:pPr>
        <w:pStyle w:val="TableFigureFooter"/>
      </w:pPr>
      <w:r w:rsidRPr="000E5B3A">
        <w:t>SCAC = squamous cell anal carcinoma</w:t>
      </w:r>
    </w:p>
    <w:p w14:paraId="6B4AB6C2" w14:textId="7F01D731" w:rsidR="005C25FF" w:rsidRPr="000E5B3A" w:rsidRDefault="005C25FF" w:rsidP="004A6040">
      <w:pPr>
        <w:pStyle w:val="2-SectionHeading"/>
      </w:pPr>
      <w:bookmarkStart w:id="3" w:name="_Toc208995332"/>
      <w:r w:rsidRPr="000E5B3A">
        <w:t>Background</w:t>
      </w:r>
      <w:bookmarkEnd w:id="3"/>
    </w:p>
    <w:p w14:paraId="2C521D6D" w14:textId="78CF03EE" w:rsidR="005C25FF" w:rsidRPr="000E5B3A" w:rsidRDefault="005C25FF" w:rsidP="004A6040">
      <w:pPr>
        <w:pStyle w:val="4-SubsectionHeading"/>
      </w:pPr>
      <w:bookmarkStart w:id="4" w:name="_Toc22897638"/>
      <w:bookmarkStart w:id="5" w:name="_Toc208995333"/>
      <w:r w:rsidRPr="000E5B3A">
        <w:t>Registration status</w:t>
      </w:r>
      <w:bookmarkEnd w:id="4"/>
      <w:bookmarkEnd w:id="5"/>
    </w:p>
    <w:p w14:paraId="3F38E0B1" w14:textId="64236005" w:rsidR="00955ACC" w:rsidRPr="000E5B3A" w:rsidRDefault="00105DBF" w:rsidP="00FD03BB">
      <w:pPr>
        <w:pStyle w:val="3-BodyText"/>
      </w:pPr>
      <w:r w:rsidRPr="000E5B3A">
        <w:t xml:space="preserve">The submission was lodged under the Therapeutic Goods Administration (TGA)/PBAC </w:t>
      </w:r>
      <w:r w:rsidR="009E041D" w:rsidRPr="000E5B3A">
        <w:t xml:space="preserve">Parallel Process, </w:t>
      </w:r>
      <w:r w:rsidRPr="000E5B3A">
        <w:t xml:space="preserve">to be conducted under the Project ORBIS (Type B) program. </w:t>
      </w:r>
      <w:r w:rsidR="00955ACC" w:rsidRPr="000E5B3A">
        <w:t xml:space="preserve">The </w:t>
      </w:r>
      <w:r w:rsidR="00CF2D08">
        <w:t xml:space="preserve">submission stated that the </w:t>
      </w:r>
      <w:r w:rsidR="00955ACC" w:rsidRPr="000E5B3A">
        <w:t xml:space="preserve">Delegate’s </w:t>
      </w:r>
      <w:r w:rsidR="00F5387D">
        <w:t>O</w:t>
      </w:r>
      <w:r w:rsidR="00F5387D" w:rsidRPr="000E5B3A" w:rsidDel="004D7B17">
        <w:t xml:space="preserve">verview </w:t>
      </w:r>
      <w:r w:rsidR="001B03B3">
        <w:t>was</w:t>
      </w:r>
      <w:r w:rsidR="001B03B3" w:rsidRPr="000E5B3A">
        <w:t xml:space="preserve"> </w:t>
      </w:r>
      <w:r w:rsidR="00955ACC" w:rsidRPr="000E5B3A">
        <w:t>expected on 3 March 2026.</w:t>
      </w:r>
    </w:p>
    <w:p w14:paraId="48FE00CB" w14:textId="5E522206" w:rsidR="00461E13" w:rsidRPr="000E5B3A" w:rsidRDefault="00E67150" w:rsidP="00FD03BB">
      <w:pPr>
        <w:pStyle w:val="3-BodyText"/>
      </w:pPr>
      <w:r w:rsidRPr="000E5B3A">
        <w:lastRenderedPageBreak/>
        <w:t xml:space="preserve">The proposed TGA indication </w:t>
      </w:r>
      <w:r w:rsidR="007573E3" w:rsidRPr="000E5B3A">
        <w:t xml:space="preserve">relevant to this submission </w:t>
      </w:r>
      <w:r w:rsidRPr="000E5B3A">
        <w:t xml:space="preserve">was </w:t>
      </w:r>
      <w:r w:rsidR="00DC0254" w:rsidRPr="000E5B3A">
        <w:t>“</w:t>
      </w:r>
      <w:r w:rsidRPr="000E5B3A">
        <w:t xml:space="preserve">retifanlimab in combination with carboplatin and paclitaxel </w:t>
      </w:r>
      <w:r w:rsidR="007573E3" w:rsidRPr="000E5B3A">
        <w:t xml:space="preserve">for </w:t>
      </w:r>
      <w:r w:rsidRPr="000E5B3A">
        <w:t xml:space="preserve">the first-line </w:t>
      </w:r>
      <w:r w:rsidR="00B15FF4" w:rsidRPr="000E5B3A">
        <w:t xml:space="preserve">(1L) </w:t>
      </w:r>
      <w:r w:rsidRPr="000E5B3A">
        <w:t xml:space="preserve">treatment of adult patients with metastatic or with inoperable locally recurrent </w:t>
      </w:r>
      <w:r w:rsidR="007573E3" w:rsidRPr="000E5B3A">
        <w:t>SCAC</w:t>
      </w:r>
      <w:r w:rsidR="00DC0254" w:rsidRPr="000E5B3A">
        <w:t>"</w:t>
      </w:r>
      <w:r w:rsidRPr="000E5B3A">
        <w:t>.</w:t>
      </w:r>
      <w:r w:rsidR="007573E3" w:rsidRPr="000E5B3A">
        <w:t xml:space="preserve"> Additional TGA indications have been proposed for retifanlimab monotherapy for the </w:t>
      </w:r>
      <w:r w:rsidR="00303B7B">
        <w:t xml:space="preserve">second-line (2L) </w:t>
      </w:r>
      <w:r w:rsidR="007573E3" w:rsidRPr="000E5B3A">
        <w:t xml:space="preserve">treatment of adult patients with locally recurrent or with metastatic SCAC who have progressed on or who are intolerant of platinum-based chemotherapy, and for the treatment of adult patients with metastatic or recurrent locally advanced Merkel Cell Carcinoma (MCC). </w:t>
      </w:r>
    </w:p>
    <w:p w14:paraId="7E44D21F" w14:textId="0A6769DB" w:rsidR="00DE0EB6" w:rsidRPr="000E5B3A" w:rsidRDefault="00955ACC" w:rsidP="00FD03BB">
      <w:pPr>
        <w:pStyle w:val="3-BodyText"/>
      </w:pPr>
      <w:r w:rsidRPr="000E5B3A">
        <w:t xml:space="preserve">The TGA Clinical Evaluation Report (CER) – Round 1 was received in November 2025, </w:t>
      </w:r>
      <w:r w:rsidR="00A03B99" w:rsidRPr="000E5B3A">
        <w:t>indicating</w:t>
      </w:r>
      <w:r w:rsidRPr="000E5B3A">
        <w:t xml:space="preserve"> that the Clinical Evaluator ha</w:t>
      </w:r>
      <w:r w:rsidR="00C85061">
        <w:t>d</w:t>
      </w:r>
      <w:r w:rsidRPr="000E5B3A">
        <w:t xml:space="preserve"> no objection to approval of retifanlimab </w:t>
      </w:r>
      <w:r w:rsidR="003822F9" w:rsidRPr="000E5B3A">
        <w:t xml:space="preserve">for </w:t>
      </w:r>
      <w:r w:rsidR="00A03B99" w:rsidRPr="000E5B3A">
        <w:t xml:space="preserve">the </w:t>
      </w:r>
      <w:r w:rsidRPr="000E5B3A">
        <w:t>indication</w:t>
      </w:r>
      <w:r w:rsidR="00A03B99" w:rsidRPr="000E5B3A">
        <w:t xml:space="preserve"> requested in this submission</w:t>
      </w:r>
      <w:r w:rsidR="0089081B" w:rsidRPr="000E5B3A">
        <w:t xml:space="preserve"> </w:t>
      </w:r>
      <w:r w:rsidR="006642EB">
        <w:t xml:space="preserve">(i.e. 1L </w:t>
      </w:r>
      <w:r w:rsidR="00C77C63" w:rsidRPr="000E5B3A">
        <w:t xml:space="preserve">SCAC </w:t>
      </w:r>
      <w:r w:rsidR="0089081B" w:rsidRPr="000E5B3A">
        <w:t>in</w:t>
      </w:r>
      <w:r w:rsidR="00A03B99" w:rsidRPr="000E5B3A">
        <w:t xml:space="preserve"> </w:t>
      </w:r>
      <w:r w:rsidR="0089081B" w:rsidRPr="000E5B3A">
        <w:t>combination with carboplatin and paclitaxel</w:t>
      </w:r>
      <w:r w:rsidR="006642EB">
        <w:t>)</w:t>
      </w:r>
      <w:r w:rsidR="0089081B" w:rsidRPr="000E5B3A">
        <w:t xml:space="preserve"> or for the requested MCC indication</w:t>
      </w:r>
      <w:r w:rsidRPr="000E5B3A">
        <w:t xml:space="preserve">, </w:t>
      </w:r>
      <w:r w:rsidR="00CB24D6" w:rsidRPr="000E5B3A">
        <w:t>however</w:t>
      </w:r>
      <w:r w:rsidRPr="000E5B3A">
        <w:t xml:space="preserve"> </w:t>
      </w:r>
      <w:r w:rsidR="00F60425">
        <w:t xml:space="preserve">the </w:t>
      </w:r>
      <w:r w:rsidR="00F1309A">
        <w:t xml:space="preserve">TGA </w:t>
      </w:r>
      <w:r w:rsidR="00F60425">
        <w:t>clinical evaluat</w:t>
      </w:r>
      <w:r w:rsidR="00F1309A">
        <w:t xml:space="preserve">or </w:t>
      </w:r>
      <w:r w:rsidRPr="000E5B3A">
        <w:t xml:space="preserve">recommended that the application for second line treatment of SCAC as </w:t>
      </w:r>
      <w:r w:rsidR="00CB24D6" w:rsidRPr="000E5B3A">
        <w:t>a single agent</w:t>
      </w:r>
      <w:r w:rsidRPr="000E5B3A">
        <w:t xml:space="preserve"> should be rejected (p55, CER – Round 1).</w:t>
      </w:r>
    </w:p>
    <w:p w14:paraId="6DB80897" w14:textId="77777777" w:rsidR="00501EA5" w:rsidRPr="000321BD" w:rsidRDefault="00501EA5" w:rsidP="00CB2436">
      <w:pPr>
        <w:pStyle w:val="3-BodyText"/>
        <w:numPr>
          <w:ilvl w:val="0"/>
          <w:numId w:val="0"/>
        </w:numPr>
        <w:ind w:left="720"/>
        <w:rPr>
          <w:i/>
          <w:iCs/>
        </w:rPr>
      </w:pPr>
      <w:bookmarkStart w:id="6" w:name="_Hlk76375324"/>
      <w:r w:rsidRPr="000321BD">
        <w:rPr>
          <w:i/>
          <w:iCs/>
        </w:rPr>
        <w:t>For more detail on PBAC’s view, see section 7 PBAC outcome.</w:t>
      </w:r>
    </w:p>
    <w:p w14:paraId="76E4EF3C" w14:textId="13040F70" w:rsidR="00B60939" w:rsidRPr="000E5B3A" w:rsidRDefault="00B50DB8" w:rsidP="004E18E9">
      <w:pPr>
        <w:pStyle w:val="2-SectionHeading"/>
      </w:pPr>
      <w:bookmarkStart w:id="7" w:name="_Toc208995334"/>
      <w:bookmarkStart w:id="8" w:name="_Ref215044808"/>
      <w:bookmarkEnd w:id="6"/>
      <w:r w:rsidRPr="000E5B3A">
        <w:t>Requested listing</w:t>
      </w:r>
      <w:bookmarkEnd w:id="7"/>
      <w:bookmarkEnd w:id="8"/>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694"/>
        <w:gridCol w:w="2976"/>
        <w:gridCol w:w="1701"/>
        <w:gridCol w:w="1701"/>
      </w:tblGrid>
      <w:tr w:rsidR="000457C1" w:rsidRPr="000E5B3A" w14:paraId="17A75A3A" w14:textId="77777777" w:rsidTr="00726BE9">
        <w:trPr>
          <w:cantSplit/>
          <w:trHeight w:val="20"/>
        </w:trPr>
        <w:tc>
          <w:tcPr>
            <w:tcW w:w="2694" w:type="dxa"/>
            <w:vAlign w:val="center"/>
          </w:tcPr>
          <w:p w14:paraId="6ECAD09C" w14:textId="77777777" w:rsidR="000457C1" w:rsidRPr="000E5B3A" w:rsidRDefault="000457C1">
            <w:pPr>
              <w:pStyle w:val="In-tableHeading"/>
              <w:rPr>
                <w:bCs/>
                <w:lang w:val="en-AU"/>
              </w:rPr>
            </w:pPr>
            <w:r w:rsidRPr="000E5B3A">
              <w:rPr>
                <w:lang w:val="en-AU"/>
              </w:rPr>
              <w:t>MEDICINAL PRODUCT</w:t>
            </w:r>
          </w:p>
          <w:p w14:paraId="75B1ED93" w14:textId="77777777" w:rsidR="000457C1" w:rsidRPr="000E5B3A" w:rsidRDefault="000457C1">
            <w:pPr>
              <w:pStyle w:val="In-tableHeading"/>
              <w:rPr>
                <w:bCs/>
                <w:lang w:val="en-AU"/>
              </w:rPr>
            </w:pPr>
            <w:r w:rsidRPr="000E5B3A">
              <w:rPr>
                <w:lang w:val="en-AU"/>
              </w:rPr>
              <w:t>medicinal product pack</w:t>
            </w:r>
          </w:p>
        </w:tc>
        <w:tc>
          <w:tcPr>
            <w:tcW w:w="2976" w:type="dxa"/>
            <w:vAlign w:val="center"/>
          </w:tcPr>
          <w:p w14:paraId="45F418D0" w14:textId="26B6ABC9" w:rsidR="000457C1" w:rsidRPr="000E5B3A" w:rsidRDefault="000457C1">
            <w:pPr>
              <w:pStyle w:val="In-tableHeading"/>
              <w:rPr>
                <w:bCs/>
                <w:lang w:val="en-AU"/>
              </w:rPr>
            </w:pPr>
            <w:r w:rsidRPr="000E5B3A">
              <w:rPr>
                <w:snapToGrid w:val="0"/>
                <w:lang w:val="en-AU"/>
              </w:rPr>
              <w:t xml:space="preserve">Dispensed Price for Max. </w:t>
            </w:r>
            <w:r>
              <w:rPr>
                <w:snapToGrid w:val="0"/>
                <w:lang w:val="en-AU"/>
              </w:rPr>
              <w:t>Amount</w:t>
            </w:r>
            <w:r w:rsidRPr="000E5B3A">
              <w:rPr>
                <w:snapToGrid w:val="0"/>
                <w:lang w:val="en-AU"/>
              </w:rPr>
              <w:t xml:space="preserve"> </w:t>
            </w:r>
          </w:p>
        </w:tc>
        <w:tc>
          <w:tcPr>
            <w:tcW w:w="1701" w:type="dxa"/>
            <w:vAlign w:val="center"/>
          </w:tcPr>
          <w:p w14:paraId="5074FB54" w14:textId="77777777" w:rsidR="000457C1" w:rsidRPr="000E5B3A" w:rsidRDefault="000457C1">
            <w:pPr>
              <w:pStyle w:val="In-tableHeading"/>
              <w:rPr>
                <w:bCs/>
                <w:lang w:val="en-AU"/>
              </w:rPr>
            </w:pPr>
            <w:r w:rsidRPr="000E5B3A">
              <w:rPr>
                <w:lang w:val="en-AU"/>
              </w:rPr>
              <w:t>Max. amount</w:t>
            </w:r>
          </w:p>
          <w:p w14:paraId="0CA170D1" w14:textId="0AA1E617" w:rsidR="000457C1" w:rsidRPr="000E5B3A" w:rsidRDefault="000457C1">
            <w:pPr>
              <w:pStyle w:val="In-tableHeading"/>
              <w:rPr>
                <w:bCs/>
                <w:lang w:val="en-AU"/>
              </w:rPr>
            </w:pPr>
          </w:p>
        </w:tc>
        <w:tc>
          <w:tcPr>
            <w:tcW w:w="1701" w:type="dxa"/>
            <w:vAlign w:val="center"/>
          </w:tcPr>
          <w:p w14:paraId="2871CB6F" w14:textId="77777777" w:rsidR="000457C1" w:rsidRPr="000E5B3A" w:rsidRDefault="000457C1">
            <w:pPr>
              <w:pStyle w:val="In-tableHeading"/>
              <w:rPr>
                <w:bCs/>
                <w:lang w:val="en-AU"/>
              </w:rPr>
            </w:pPr>
            <w:r w:rsidRPr="000E5B3A">
              <w:rPr>
                <w:lang w:val="en-AU"/>
              </w:rPr>
              <w:t>№.of</w:t>
            </w:r>
          </w:p>
          <w:p w14:paraId="30961C12" w14:textId="77777777" w:rsidR="000457C1" w:rsidRPr="000E5B3A" w:rsidRDefault="000457C1">
            <w:pPr>
              <w:pStyle w:val="In-tableHeading"/>
              <w:rPr>
                <w:bCs/>
                <w:lang w:val="en-AU"/>
              </w:rPr>
            </w:pPr>
            <w:r w:rsidRPr="000E5B3A">
              <w:rPr>
                <w:lang w:val="en-AU"/>
              </w:rPr>
              <w:t>Rpts</w:t>
            </w:r>
          </w:p>
        </w:tc>
      </w:tr>
      <w:tr w:rsidR="000457C1" w:rsidRPr="000E5B3A" w14:paraId="4ACE762D" w14:textId="77777777" w:rsidTr="00726BE9">
        <w:trPr>
          <w:cantSplit/>
          <w:trHeight w:val="20"/>
        </w:trPr>
        <w:tc>
          <w:tcPr>
            <w:tcW w:w="2694" w:type="dxa"/>
            <w:vAlign w:val="center"/>
          </w:tcPr>
          <w:p w14:paraId="0A3D2F47" w14:textId="77777777" w:rsidR="000457C1" w:rsidRPr="000E5B3A" w:rsidRDefault="000457C1">
            <w:pPr>
              <w:pStyle w:val="TableText0"/>
            </w:pPr>
            <w:r w:rsidRPr="000E5B3A">
              <w:t>Retifanlimab 25mg/mL, 20mL vial</w:t>
            </w:r>
          </w:p>
        </w:tc>
        <w:tc>
          <w:tcPr>
            <w:tcW w:w="2976" w:type="dxa"/>
            <w:vAlign w:val="center"/>
          </w:tcPr>
          <w:p w14:paraId="684B5FDA" w14:textId="77777777" w:rsidR="000457C1" w:rsidRPr="000E5B3A" w:rsidRDefault="000457C1">
            <w:pPr>
              <w:pStyle w:val="TableText0"/>
            </w:pPr>
            <w:r w:rsidRPr="000E5B3A">
              <w:t>Published:</w:t>
            </w:r>
          </w:p>
          <w:p w14:paraId="2EA91CB7" w14:textId="77777777" w:rsidR="000457C1" w:rsidRPr="000E5B3A" w:rsidRDefault="000457C1">
            <w:pPr>
              <w:pStyle w:val="TableText0"/>
            </w:pPr>
            <w:r w:rsidRPr="000E5B3A">
              <w:t>Public - $22,091.23</w:t>
            </w:r>
          </w:p>
          <w:p w14:paraId="28BF6F40" w14:textId="77777777" w:rsidR="000457C1" w:rsidRPr="000E5B3A" w:rsidRDefault="000457C1">
            <w:pPr>
              <w:pStyle w:val="TableText0"/>
            </w:pPr>
            <w:r w:rsidRPr="000E5B3A">
              <w:t>Private - $22,444.90</w:t>
            </w:r>
          </w:p>
          <w:p w14:paraId="531BAAC3" w14:textId="77777777" w:rsidR="000457C1" w:rsidRPr="000E5B3A" w:rsidRDefault="000457C1">
            <w:pPr>
              <w:pStyle w:val="TableText0"/>
            </w:pPr>
            <w:r w:rsidRPr="000E5B3A">
              <w:t>Effective:</w:t>
            </w:r>
          </w:p>
          <w:p w14:paraId="6772E3BD" w14:textId="0D70170D" w:rsidR="000457C1" w:rsidRPr="000E5B3A" w:rsidRDefault="000457C1">
            <w:pPr>
              <w:pStyle w:val="TableText0"/>
            </w:pPr>
            <w:r w:rsidRPr="000E5B3A">
              <w:t>Public - $</w:t>
            </w:r>
            <w:r w:rsidR="009951A2" w:rsidRPr="009951A2">
              <w:rPr>
                <w:highlight w:val="black"/>
              </w:rPr>
              <w:t>&amp;&amp;&amp;&amp;</w:t>
            </w:r>
          </w:p>
          <w:p w14:paraId="3D97AEE4" w14:textId="13A32339" w:rsidR="000457C1" w:rsidRPr="000E5B3A" w:rsidRDefault="000457C1">
            <w:pPr>
              <w:pStyle w:val="TableText0"/>
              <w:rPr>
                <w:szCs w:val="20"/>
              </w:rPr>
            </w:pPr>
            <w:r w:rsidRPr="000E5B3A">
              <w:t>Private - $</w:t>
            </w:r>
            <w:r w:rsidR="009951A2" w:rsidRPr="009951A2">
              <w:rPr>
                <w:highlight w:val="black"/>
              </w:rPr>
              <w:t>&amp;&amp;&amp;&amp;</w:t>
            </w:r>
          </w:p>
        </w:tc>
        <w:tc>
          <w:tcPr>
            <w:tcW w:w="1701" w:type="dxa"/>
            <w:vAlign w:val="center"/>
          </w:tcPr>
          <w:p w14:paraId="10E23476" w14:textId="77777777" w:rsidR="000457C1" w:rsidRPr="000E5B3A" w:rsidRDefault="000457C1">
            <w:pPr>
              <w:pStyle w:val="TableText0"/>
            </w:pPr>
            <w:r w:rsidRPr="000E5B3A">
              <w:t>500 mg</w:t>
            </w:r>
          </w:p>
          <w:p w14:paraId="1BE84BC2" w14:textId="0004ABE5" w:rsidR="000457C1" w:rsidRPr="000E5B3A" w:rsidRDefault="000457C1">
            <w:pPr>
              <w:pStyle w:val="TableText0"/>
            </w:pPr>
          </w:p>
        </w:tc>
        <w:tc>
          <w:tcPr>
            <w:tcW w:w="1701" w:type="dxa"/>
            <w:vAlign w:val="center"/>
          </w:tcPr>
          <w:p w14:paraId="39AF0BFF" w14:textId="77777777" w:rsidR="000457C1" w:rsidRPr="000E5B3A" w:rsidRDefault="000457C1">
            <w:pPr>
              <w:pStyle w:val="TableText0"/>
            </w:pPr>
            <w:r w:rsidRPr="000E5B3A">
              <w:t>5</w:t>
            </w:r>
          </w:p>
        </w:tc>
      </w:tr>
      <w:tr w:rsidR="00F056A1" w:rsidRPr="000E5B3A" w14:paraId="409EB4D6" w14:textId="77777777" w:rsidTr="00F056A1">
        <w:trPr>
          <w:cantSplit/>
          <w:trHeight w:val="20"/>
        </w:trPr>
        <w:tc>
          <w:tcPr>
            <w:tcW w:w="9072" w:type="dxa"/>
            <w:gridSpan w:val="4"/>
            <w:vAlign w:val="center"/>
          </w:tcPr>
          <w:p w14:paraId="28D64EED" w14:textId="77777777" w:rsidR="00F056A1" w:rsidRPr="000E5B3A" w:rsidRDefault="00F056A1">
            <w:pPr>
              <w:pStyle w:val="TableText0"/>
            </w:pPr>
            <w:r w:rsidRPr="000E5B3A">
              <w:t xml:space="preserve">Available brands </w:t>
            </w:r>
          </w:p>
        </w:tc>
      </w:tr>
      <w:tr w:rsidR="00F056A1" w:rsidRPr="000E5B3A" w14:paraId="01D4DE11" w14:textId="77777777" w:rsidTr="00F056A1">
        <w:trPr>
          <w:cantSplit/>
          <w:trHeight w:val="20"/>
        </w:trPr>
        <w:tc>
          <w:tcPr>
            <w:tcW w:w="9072" w:type="dxa"/>
            <w:gridSpan w:val="4"/>
            <w:vAlign w:val="center"/>
          </w:tcPr>
          <w:p w14:paraId="238C4E4F" w14:textId="0B7E0F70" w:rsidR="00F056A1" w:rsidRPr="000E5B3A" w:rsidRDefault="00F056A1">
            <w:pPr>
              <w:pStyle w:val="TableText0"/>
            </w:pPr>
            <w:r w:rsidRPr="000E5B3A">
              <w:t>Zynyz</w:t>
            </w:r>
          </w:p>
          <w:p w14:paraId="4C3E01B8" w14:textId="299D2047" w:rsidR="00F056A1" w:rsidRPr="000E5B3A" w:rsidRDefault="00F056A1">
            <w:pPr>
              <w:pStyle w:val="TableText0"/>
            </w:pPr>
            <w:r w:rsidRPr="000E5B3A">
              <w:t>Retifanlimab 500 mg solution concentrate for I.V. infusion, 20 mL vial</w:t>
            </w:r>
          </w:p>
        </w:tc>
      </w:tr>
    </w:tbl>
    <w:p w14:paraId="6B6B4AAE" w14:textId="0450ADE5" w:rsidR="00EE7C61" w:rsidRPr="000E5B3A" w:rsidRDefault="00F056A1" w:rsidP="001359AB">
      <w:pPr>
        <w:pStyle w:val="TableFigureFooter"/>
      </w:pPr>
      <w:r w:rsidRPr="000E5B3A">
        <w:t>Source: Table 10, p36 of the submission.</w:t>
      </w:r>
    </w:p>
    <w:p w14:paraId="6CDE9037" w14:textId="3F8D3F59" w:rsidR="00DA1DA6" w:rsidRPr="000E5B3A" w:rsidRDefault="00E06E16" w:rsidP="006B6CEC">
      <w:pPr>
        <w:pStyle w:val="3-BodyText"/>
      </w:pPr>
      <w:r>
        <w:t xml:space="preserve">The restriction proposed in the submission is outlined below. </w:t>
      </w:r>
      <w:r w:rsidR="009A3D7A">
        <w:t>The PBAC’s</w:t>
      </w:r>
      <w:r w:rsidR="00D75E6F">
        <w:t xml:space="preserve"> </w:t>
      </w:r>
      <w:r w:rsidR="00861E24" w:rsidRPr="000E5B3A">
        <w:t>s</w:t>
      </w:r>
      <w:r w:rsidR="00DA1DA6" w:rsidRPr="000E5B3A">
        <w:t>uggested additions are in italics and deletions are in strikethrough</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9016"/>
      </w:tblGrid>
      <w:tr w:rsidR="00950216" w:rsidRPr="000E5B3A" w14:paraId="51457362" w14:textId="4A1DBA57" w:rsidTr="00950216">
        <w:trPr>
          <w:cantSplit/>
          <w:trHeight w:val="20"/>
        </w:trPr>
        <w:tc>
          <w:tcPr>
            <w:tcW w:w="5000" w:type="pct"/>
            <w:vAlign w:val="center"/>
          </w:tcPr>
          <w:p w14:paraId="71826914" w14:textId="37CA874F" w:rsidR="00950216" w:rsidRPr="000E5B3A" w:rsidRDefault="00950216" w:rsidP="00950216">
            <w:pPr>
              <w:keepNext/>
              <w:keepLines/>
              <w:rPr>
                <w:rFonts w:ascii="Arial Narrow" w:hAnsi="Arial Narrow"/>
                <w:sz w:val="20"/>
                <w:szCs w:val="20"/>
              </w:rPr>
            </w:pPr>
            <w:r w:rsidRPr="000E5B3A">
              <w:rPr>
                <w:rFonts w:ascii="Arial Narrow" w:hAnsi="Arial Narrow"/>
                <w:b/>
                <w:sz w:val="20"/>
                <w:szCs w:val="20"/>
              </w:rPr>
              <w:lastRenderedPageBreak/>
              <w:t>Restriction Summary NEW1 / Treatment of Concept: NEW1A</w:t>
            </w:r>
          </w:p>
        </w:tc>
      </w:tr>
      <w:tr w:rsidR="00950216" w:rsidRPr="000E5B3A" w14:paraId="4A8E5708" w14:textId="77777777" w:rsidTr="00950216">
        <w:tblPrEx>
          <w:tblCellMar>
            <w:top w:w="15" w:type="dxa"/>
            <w:bottom w:w="15" w:type="dxa"/>
          </w:tblCellMar>
          <w:tblLook w:val="04A0" w:firstRow="1" w:lastRow="0" w:firstColumn="1" w:lastColumn="0" w:noHBand="0" w:noVBand="1"/>
        </w:tblPrEx>
        <w:trPr>
          <w:cantSplit/>
          <w:trHeight w:val="20"/>
        </w:trPr>
        <w:tc>
          <w:tcPr>
            <w:tcW w:w="5000" w:type="pct"/>
          </w:tcPr>
          <w:p w14:paraId="6D0DEEC8" w14:textId="77777777" w:rsidR="00950216" w:rsidRPr="000E5B3A" w:rsidRDefault="00950216" w:rsidP="00950216">
            <w:pPr>
              <w:keepNext/>
              <w:keepLines/>
              <w:rPr>
                <w:rFonts w:ascii="Arial Narrow" w:hAnsi="Arial Narrow"/>
                <w:sz w:val="20"/>
                <w:szCs w:val="20"/>
              </w:rPr>
            </w:pPr>
            <w:r w:rsidRPr="000E5B3A">
              <w:rPr>
                <w:rFonts w:ascii="Arial Narrow" w:hAnsi="Arial Narrow"/>
                <w:b/>
                <w:sz w:val="20"/>
                <w:szCs w:val="20"/>
              </w:rPr>
              <w:t xml:space="preserve">Category / Program: </w:t>
            </w:r>
            <w:r w:rsidRPr="000E5B3A">
              <w:rPr>
                <w:rFonts w:ascii="Arial Narrow" w:hAnsi="Arial Narrow"/>
                <w:sz w:val="20"/>
                <w:szCs w:val="20"/>
              </w:rPr>
              <w:t>Section 100 – Efficient Funding of Chemotherapy Public/Private hospitals</w:t>
            </w:r>
          </w:p>
        </w:tc>
      </w:tr>
      <w:tr w:rsidR="00950216" w:rsidRPr="000E5B3A" w14:paraId="16600F50" w14:textId="77777777" w:rsidTr="00950216">
        <w:tblPrEx>
          <w:tblCellMar>
            <w:top w:w="15" w:type="dxa"/>
            <w:bottom w:w="15" w:type="dxa"/>
          </w:tblCellMar>
          <w:tblLook w:val="04A0" w:firstRow="1" w:lastRow="0" w:firstColumn="1" w:lastColumn="0" w:noHBand="0" w:noVBand="1"/>
        </w:tblPrEx>
        <w:trPr>
          <w:cantSplit/>
          <w:trHeight w:val="20"/>
        </w:trPr>
        <w:tc>
          <w:tcPr>
            <w:tcW w:w="5000" w:type="pct"/>
          </w:tcPr>
          <w:p w14:paraId="0E315A40" w14:textId="77777777" w:rsidR="00950216" w:rsidRPr="000E5B3A" w:rsidRDefault="00950216" w:rsidP="00950216">
            <w:pPr>
              <w:keepNext/>
              <w:keepLines/>
              <w:rPr>
                <w:rFonts w:ascii="Arial Narrow" w:hAnsi="Arial Narrow"/>
                <w:b/>
                <w:sz w:val="20"/>
                <w:szCs w:val="20"/>
              </w:rPr>
            </w:pPr>
            <w:r w:rsidRPr="000E5B3A">
              <w:rPr>
                <w:rFonts w:ascii="Arial Narrow" w:hAnsi="Arial Narrow"/>
                <w:b/>
                <w:sz w:val="20"/>
                <w:szCs w:val="20"/>
              </w:rPr>
              <w:t xml:space="preserve">Prescriber type: </w:t>
            </w:r>
            <w:r w:rsidRPr="000E5B3A">
              <w:rPr>
                <w:rFonts w:ascii="Arial Narrow" w:hAnsi="Arial Narrow"/>
                <w:sz w:val="20"/>
                <w:szCs w:val="20"/>
              </w:rPr>
              <w:fldChar w:fldCharType="begin">
                <w:ffData>
                  <w:name w:val=""/>
                  <w:enabled/>
                  <w:calcOnExit w:val="0"/>
                  <w:checkBox>
                    <w:sizeAuto/>
                    <w:default w:val="1"/>
                  </w:checkBox>
                </w:ffData>
              </w:fldChar>
            </w:r>
            <w:r w:rsidRPr="000E5B3A">
              <w:rPr>
                <w:rFonts w:ascii="Arial Narrow" w:hAnsi="Arial Narrow"/>
                <w:sz w:val="20"/>
                <w:szCs w:val="20"/>
              </w:rPr>
              <w:instrText xml:space="preserve"> FORMCHECKBOX </w:instrText>
            </w:r>
            <w:r w:rsidRPr="000E5B3A">
              <w:rPr>
                <w:rFonts w:ascii="Arial Narrow" w:hAnsi="Arial Narrow"/>
                <w:sz w:val="20"/>
                <w:szCs w:val="20"/>
              </w:rPr>
            </w:r>
            <w:r w:rsidRPr="000E5B3A">
              <w:rPr>
                <w:rFonts w:ascii="Arial Narrow" w:hAnsi="Arial Narrow"/>
                <w:sz w:val="20"/>
                <w:szCs w:val="20"/>
              </w:rPr>
              <w:fldChar w:fldCharType="separate"/>
            </w:r>
            <w:r w:rsidRPr="000E5B3A">
              <w:rPr>
                <w:rFonts w:ascii="Arial Narrow" w:hAnsi="Arial Narrow"/>
                <w:sz w:val="20"/>
                <w:szCs w:val="20"/>
              </w:rPr>
              <w:fldChar w:fldCharType="end"/>
            </w:r>
            <w:r w:rsidRPr="000E5B3A">
              <w:rPr>
                <w:rFonts w:ascii="Arial Narrow" w:hAnsi="Arial Narrow"/>
                <w:sz w:val="20"/>
                <w:szCs w:val="20"/>
              </w:rPr>
              <w:t xml:space="preserve">Medical Practitioners </w:t>
            </w:r>
          </w:p>
        </w:tc>
      </w:tr>
      <w:tr w:rsidR="00950216" w:rsidRPr="000E5B3A" w14:paraId="7ABA2D97" w14:textId="77777777" w:rsidTr="00950216">
        <w:tblPrEx>
          <w:tblCellMar>
            <w:top w:w="15" w:type="dxa"/>
            <w:bottom w:w="15" w:type="dxa"/>
          </w:tblCellMar>
          <w:tblLook w:val="04A0" w:firstRow="1" w:lastRow="0" w:firstColumn="1" w:lastColumn="0" w:noHBand="0" w:noVBand="1"/>
        </w:tblPrEx>
        <w:trPr>
          <w:cantSplit/>
          <w:trHeight w:val="20"/>
        </w:trPr>
        <w:tc>
          <w:tcPr>
            <w:tcW w:w="5000" w:type="pct"/>
          </w:tcPr>
          <w:p w14:paraId="49C3E1CC" w14:textId="77777777" w:rsidR="00950216" w:rsidRPr="000E5B3A" w:rsidRDefault="00950216" w:rsidP="00950216">
            <w:pPr>
              <w:keepNext/>
              <w:keepLines/>
              <w:rPr>
                <w:rFonts w:ascii="Arial Narrow" w:eastAsia="Calibri" w:hAnsi="Arial Narrow"/>
                <w:sz w:val="20"/>
                <w:szCs w:val="20"/>
              </w:rPr>
            </w:pPr>
            <w:r w:rsidRPr="000E5B3A">
              <w:rPr>
                <w:rFonts w:ascii="Arial Narrow" w:hAnsi="Arial Narrow"/>
                <w:b/>
                <w:sz w:val="20"/>
                <w:szCs w:val="20"/>
              </w:rPr>
              <w:t xml:space="preserve">Restriction type: </w:t>
            </w:r>
            <w:r w:rsidRPr="000E5B3A">
              <w:rPr>
                <w:rFonts w:ascii="Arial Narrow" w:eastAsia="Calibri" w:hAnsi="Arial Narrow"/>
                <w:sz w:val="20"/>
                <w:szCs w:val="20"/>
              </w:rPr>
              <w:fldChar w:fldCharType="begin">
                <w:ffData>
                  <w:name w:val=""/>
                  <w:enabled/>
                  <w:calcOnExit w:val="0"/>
                  <w:checkBox>
                    <w:sizeAuto/>
                    <w:default w:val="1"/>
                  </w:checkBox>
                </w:ffData>
              </w:fldChar>
            </w:r>
            <w:r w:rsidRPr="000E5B3A">
              <w:rPr>
                <w:rFonts w:ascii="Arial Narrow" w:eastAsia="Calibri" w:hAnsi="Arial Narrow"/>
                <w:sz w:val="20"/>
                <w:szCs w:val="20"/>
              </w:rPr>
              <w:instrText xml:space="preserve"> FORMCHECKBOX </w:instrText>
            </w:r>
            <w:r w:rsidRPr="000E5B3A">
              <w:rPr>
                <w:rFonts w:ascii="Arial Narrow" w:eastAsia="Calibri" w:hAnsi="Arial Narrow"/>
                <w:sz w:val="20"/>
                <w:szCs w:val="20"/>
              </w:rPr>
            </w:r>
            <w:r w:rsidRPr="000E5B3A">
              <w:rPr>
                <w:rFonts w:ascii="Arial Narrow" w:eastAsia="Calibri" w:hAnsi="Arial Narrow"/>
                <w:sz w:val="20"/>
                <w:szCs w:val="20"/>
              </w:rPr>
              <w:fldChar w:fldCharType="separate"/>
            </w:r>
            <w:r w:rsidRPr="000E5B3A">
              <w:rPr>
                <w:rFonts w:ascii="Arial Narrow" w:eastAsia="Calibri" w:hAnsi="Arial Narrow"/>
                <w:sz w:val="20"/>
                <w:szCs w:val="20"/>
              </w:rPr>
              <w:fldChar w:fldCharType="end"/>
            </w:r>
            <w:r w:rsidRPr="000E5B3A">
              <w:rPr>
                <w:rFonts w:ascii="Arial Narrow" w:eastAsia="Calibri" w:hAnsi="Arial Narrow"/>
                <w:sz w:val="20"/>
                <w:szCs w:val="20"/>
              </w:rPr>
              <w:t xml:space="preserve">Authority Required (STREAMLINED) NEW </w:t>
            </w:r>
          </w:p>
        </w:tc>
      </w:tr>
      <w:tr w:rsidR="00950216" w:rsidRPr="000E5B3A" w14:paraId="339DAAF7" w14:textId="77777777" w:rsidTr="00950216">
        <w:tblPrEx>
          <w:tblCellMar>
            <w:top w:w="15" w:type="dxa"/>
            <w:bottom w:w="15" w:type="dxa"/>
          </w:tblCellMar>
          <w:tblLook w:val="04A0" w:firstRow="1" w:lastRow="0" w:firstColumn="1" w:lastColumn="0" w:noHBand="0" w:noVBand="1"/>
        </w:tblPrEx>
        <w:trPr>
          <w:trHeight w:val="20"/>
        </w:trPr>
        <w:tc>
          <w:tcPr>
            <w:tcW w:w="5000" w:type="pct"/>
            <w:vAlign w:val="center"/>
          </w:tcPr>
          <w:p w14:paraId="1C924CEC" w14:textId="77777777" w:rsidR="00950216" w:rsidRPr="000E5B3A" w:rsidRDefault="00950216" w:rsidP="00950216">
            <w:pPr>
              <w:keepNext/>
              <w:keepLines/>
              <w:rPr>
                <w:rFonts w:ascii="Arial Narrow" w:hAnsi="Arial Narrow"/>
                <w:b/>
                <w:bCs/>
                <w:i/>
                <w:iCs/>
                <w:sz w:val="20"/>
                <w:szCs w:val="20"/>
              </w:rPr>
            </w:pPr>
            <w:r w:rsidRPr="000E5B3A">
              <w:rPr>
                <w:rFonts w:ascii="Arial Narrow" w:hAnsi="Arial Narrow"/>
                <w:b/>
                <w:i/>
                <w:iCs/>
                <w:sz w:val="20"/>
                <w:szCs w:val="20"/>
              </w:rPr>
              <w:t>Administrative Advice:</w:t>
            </w:r>
            <w:r w:rsidRPr="000E5B3A">
              <w:rPr>
                <w:rFonts w:ascii="Arial Narrow" w:hAnsi="Arial Narrow"/>
                <w:bCs/>
                <w:i/>
                <w:iCs/>
                <w:sz w:val="20"/>
                <w:szCs w:val="20"/>
              </w:rPr>
              <w:t xml:space="preserve"> </w:t>
            </w:r>
            <w:r w:rsidRPr="000E5B3A">
              <w:rPr>
                <w:rFonts w:ascii="Arial Narrow" w:hAnsi="Arial Narrow"/>
                <w:i/>
                <w:iCs/>
                <w:sz w:val="20"/>
                <w:szCs w:val="20"/>
              </w:rPr>
              <w:t>No increase in the maximum amount or number of units may be authorised.</w:t>
            </w:r>
          </w:p>
        </w:tc>
      </w:tr>
      <w:tr w:rsidR="00950216" w:rsidRPr="000E5B3A" w14:paraId="3FA634B7" w14:textId="77777777" w:rsidTr="00950216">
        <w:tblPrEx>
          <w:tblCellMar>
            <w:top w:w="15" w:type="dxa"/>
            <w:bottom w:w="15" w:type="dxa"/>
          </w:tblCellMar>
          <w:tblLook w:val="04A0" w:firstRow="1" w:lastRow="0" w:firstColumn="1" w:lastColumn="0" w:noHBand="0" w:noVBand="1"/>
        </w:tblPrEx>
        <w:trPr>
          <w:trHeight w:val="20"/>
        </w:trPr>
        <w:tc>
          <w:tcPr>
            <w:tcW w:w="5000" w:type="pct"/>
            <w:vAlign w:val="center"/>
          </w:tcPr>
          <w:p w14:paraId="70246792"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 xml:space="preserve">Administrative Advice: </w:t>
            </w:r>
            <w:r w:rsidRPr="000E5B3A">
              <w:rPr>
                <w:rFonts w:ascii="Arial Narrow" w:hAnsi="Arial Narrow"/>
                <w:bCs/>
                <w:sz w:val="20"/>
                <w:szCs w:val="20"/>
              </w:rPr>
              <w:t>No increase in the maximum number of repeats may be authorised.</w:t>
            </w:r>
          </w:p>
        </w:tc>
      </w:tr>
      <w:tr w:rsidR="00950216" w:rsidRPr="000E5B3A" w14:paraId="5889A5BA" w14:textId="77777777" w:rsidTr="00950216">
        <w:tblPrEx>
          <w:tblCellMar>
            <w:top w:w="15" w:type="dxa"/>
            <w:bottom w:w="15" w:type="dxa"/>
          </w:tblCellMar>
          <w:tblLook w:val="04A0" w:firstRow="1" w:lastRow="0" w:firstColumn="1" w:lastColumn="0" w:noHBand="0" w:noVBand="1"/>
        </w:tblPrEx>
        <w:trPr>
          <w:trHeight w:val="20"/>
        </w:trPr>
        <w:tc>
          <w:tcPr>
            <w:tcW w:w="5000" w:type="pct"/>
            <w:vAlign w:val="center"/>
          </w:tcPr>
          <w:p w14:paraId="21C33309"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sz w:val="20"/>
                <w:szCs w:val="20"/>
              </w:rPr>
              <w:t xml:space="preserve">Administrative Advice: </w:t>
            </w:r>
            <w:r w:rsidRPr="000E5B3A">
              <w:rPr>
                <w:rFonts w:ascii="Arial Narrow" w:hAnsi="Arial Narrow"/>
                <w:bCs/>
                <w:sz w:val="20"/>
                <w:szCs w:val="20"/>
              </w:rPr>
              <w:t>Special Pricing Arrangements apply.</w:t>
            </w:r>
          </w:p>
        </w:tc>
      </w:tr>
      <w:tr w:rsidR="00950216" w:rsidRPr="000E5B3A" w14:paraId="5E4286FE"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4471D699" w14:textId="77777777" w:rsidR="00950216" w:rsidRPr="000E5B3A" w:rsidRDefault="00950216" w:rsidP="00950216">
            <w:pPr>
              <w:keepNext/>
              <w:keepLines/>
              <w:rPr>
                <w:rFonts w:ascii="Arial Narrow" w:hAnsi="Arial Narrow"/>
                <w:bCs/>
                <w:sz w:val="20"/>
                <w:szCs w:val="20"/>
              </w:rPr>
            </w:pPr>
            <w:r w:rsidRPr="000E5B3A">
              <w:rPr>
                <w:rFonts w:ascii="Arial Narrow" w:hAnsi="Arial Narrow"/>
                <w:b/>
                <w:bCs/>
                <w:sz w:val="20"/>
                <w:szCs w:val="20"/>
              </w:rPr>
              <w:t xml:space="preserve">Episodicity: </w:t>
            </w:r>
            <w:r w:rsidRPr="000E5B3A">
              <w:rPr>
                <w:rFonts w:ascii="Arial Narrow" w:hAnsi="Arial Narrow"/>
                <w:bCs/>
                <w:sz w:val="20"/>
                <w:szCs w:val="20"/>
              </w:rPr>
              <w:t>BLANK</w:t>
            </w:r>
          </w:p>
        </w:tc>
      </w:tr>
      <w:tr w:rsidR="00950216" w:rsidRPr="000E5B3A" w14:paraId="72FCCAF7"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27EABA60"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sz w:val="20"/>
                <w:szCs w:val="20"/>
              </w:rPr>
              <w:t xml:space="preserve">Severity: </w:t>
            </w:r>
            <w:r w:rsidRPr="000E5B3A">
              <w:rPr>
                <w:rFonts w:ascii="Arial Narrow" w:hAnsi="Arial Narrow"/>
                <w:i/>
                <w:iCs/>
                <w:sz w:val="20"/>
                <w:szCs w:val="20"/>
              </w:rPr>
              <w:t xml:space="preserve">Recurrent or </w:t>
            </w:r>
            <w:r w:rsidRPr="000E5B3A">
              <w:rPr>
                <w:rFonts w:ascii="Arial Narrow" w:hAnsi="Arial Narrow"/>
                <w:bCs/>
                <w:i/>
                <w:iCs/>
                <w:sz w:val="20"/>
                <w:szCs w:val="20"/>
              </w:rPr>
              <w:t>Stage IV (metastatic)</w:t>
            </w:r>
          </w:p>
        </w:tc>
      </w:tr>
      <w:tr w:rsidR="00950216" w:rsidRPr="000E5B3A" w14:paraId="66899309"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06B84707"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sz w:val="20"/>
                <w:szCs w:val="20"/>
              </w:rPr>
              <w:t xml:space="preserve">Condition: </w:t>
            </w:r>
            <w:r w:rsidRPr="000E5B3A">
              <w:rPr>
                <w:rFonts w:ascii="Arial Narrow" w:hAnsi="Arial Narrow"/>
                <w:sz w:val="20"/>
                <w:szCs w:val="20"/>
              </w:rPr>
              <w:t>Squamous cell anal cancer</w:t>
            </w:r>
          </w:p>
        </w:tc>
      </w:tr>
      <w:tr w:rsidR="00950216" w:rsidRPr="000E5B3A" w14:paraId="7D7D6064"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hideMark/>
          </w:tcPr>
          <w:p w14:paraId="4C9EA71A"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Indication:</w:t>
            </w:r>
            <w:r w:rsidRPr="000E5B3A">
              <w:rPr>
                <w:rFonts w:ascii="Arial Narrow" w:hAnsi="Arial Narrow"/>
                <w:sz w:val="20"/>
                <w:szCs w:val="20"/>
              </w:rPr>
              <w:t xml:space="preserve"> </w:t>
            </w:r>
            <w:r w:rsidRPr="000E5B3A">
              <w:rPr>
                <w:rFonts w:ascii="Arial Narrow" w:hAnsi="Arial Narrow"/>
                <w:strike/>
                <w:sz w:val="20"/>
                <w:szCs w:val="20"/>
              </w:rPr>
              <w:t>Inoperable</w:t>
            </w:r>
            <w:r w:rsidRPr="000E5B3A">
              <w:rPr>
                <w:rFonts w:ascii="Arial Narrow" w:hAnsi="Arial Narrow"/>
                <w:sz w:val="20"/>
                <w:szCs w:val="20"/>
              </w:rPr>
              <w:t xml:space="preserve"> locally recurrent or metastatic squamous cell anal cancer</w:t>
            </w:r>
          </w:p>
        </w:tc>
      </w:tr>
      <w:tr w:rsidR="00950216" w:rsidRPr="000E5B3A" w14:paraId="1780BC01"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hideMark/>
          </w:tcPr>
          <w:p w14:paraId="51ED4BC6"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Treatment Phase:</w:t>
            </w:r>
            <w:r w:rsidRPr="000E5B3A">
              <w:rPr>
                <w:rFonts w:ascii="Arial Narrow" w:hAnsi="Arial Narrow"/>
                <w:sz w:val="20"/>
                <w:szCs w:val="20"/>
              </w:rPr>
              <w:t xml:space="preserve"> </w:t>
            </w:r>
            <w:r w:rsidRPr="000E5B3A">
              <w:rPr>
                <w:rFonts w:ascii="Arial Narrow" w:hAnsi="Arial Narrow"/>
                <w:strike/>
                <w:sz w:val="20"/>
                <w:szCs w:val="20"/>
              </w:rPr>
              <w:t>First-line therapy</w:t>
            </w:r>
          </w:p>
        </w:tc>
      </w:tr>
      <w:tr w:rsidR="00950216" w:rsidRPr="000E5B3A" w14:paraId="4DE953B9"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1D011758"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i/>
                <w:iCs/>
                <w:sz w:val="20"/>
                <w:szCs w:val="20"/>
              </w:rPr>
              <w:t>Clinical criteria:</w:t>
            </w:r>
          </w:p>
        </w:tc>
      </w:tr>
      <w:tr w:rsidR="00950216" w:rsidRPr="000E5B3A" w14:paraId="0D237D6A"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5C3C3754" w14:textId="77777777" w:rsidR="00950216" w:rsidRPr="000E5B3A" w:rsidRDefault="00950216" w:rsidP="00950216">
            <w:pPr>
              <w:keepNext/>
              <w:keepLines/>
              <w:rPr>
                <w:rFonts w:ascii="Arial Narrow" w:hAnsi="Arial Narrow"/>
                <w:b/>
                <w:bCs/>
                <w:sz w:val="20"/>
                <w:szCs w:val="20"/>
              </w:rPr>
            </w:pPr>
            <w:r w:rsidRPr="000E5B3A">
              <w:rPr>
                <w:rFonts w:ascii="Arial Narrow" w:hAnsi="Arial Narrow"/>
                <w:i/>
                <w:iCs/>
                <w:sz w:val="20"/>
                <w:szCs w:val="20"/>
              </w:rPr>
              <w:t>The condition must be inoperable</w:t>
            </w:r>
          </w:p>
        </w:tc>
      </w:tr>
      <w:tr w:rsidR="00950216" w:rsidRPr="000E5B3A" w14:paraId="1E95ED3F"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7D14B5F8"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i/>
                <w:iCs/>
                <w:sz w:val="20"/>
                <w:szCs w:val="20"/>
              </w:rPr>
              <w:t>AND</w:t>
            </w:r>
          </w:p>
        </w:tc>
      </w:tr>
      <w:tr w:rsidR="00950216" w:rsidRPr="000E5B3A" w14:paraId="5298C33F"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hideMark/>
          </w:tcPr>
          <w:p w14:paraId="451F0893"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Clinical criteria:</w:t>
            </w:r>
          </w:p>
        </w:tc>
      </w:tr>
      <w:tr w:rsidR="00950216" w:rsidRPr="000E5B3A" w14:paraId="0EA28998"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619E3D4C" w14:textId="77777777" w:rsidR="00950216" w:rsidRPr="000E5B3A" w:rsidRDefault="00950216" w:rsidP="00950216">
            <w:pPr>
              <w:keepNext/>
              <w:keepLines/>
              <w:rPr>
                <w:rFonts w:ascii="Arial Narrow" w:hAnsi="Arial Narrow"/>
                <w:i/>
                <w:iCs/>
                <w:sz w:val="20"/>
                <w:szCs w:val="20"/>
              </w:rPr>
            </w:pPr>
            <w:r w:rsidRPr="000E5B3A">
              <w:rPr>
                <w:rFonts w:ascii="Arial Narrow" w:hAnsi="Arial Narrow"/>
                <w:sz w:val="20"/>
                <w:szCs w:val="20"/>
              </w:rPr>
              <w:t xml:space="preserve">Treatment must be </w:t>
            </w:r>
            <w:r w:rsidRPr="000E5B3A">
              <w:rPr>
                <w:rFonts w:ascii="Arial Narrow" w:hAnsi="Arial Narrow"/>
                <w:strike/>
                <w:sz w:val="20"/>
                <w:szCs w:val="20"/>
              </w:rPr>
              <w:t>initiated</w:t>
            </w:r>
            <w:r w:rsidRPr="000E5B3A">
              <w:rPr>
                <w:rFonts w:ascii="Arial Narrow" w:hAnsi="Arial Narrow"/>
                <w:sz w:val="20"/>
                <w:szCs w:val="20"/>
              </w:rPr>
              <w:t xml:space="preserve"> in combination with </w:t>
            </w:r>
            <w:r w:rsidRPr="000E5B3A">
              <w:rPr>
                <w:rFonts w:ascii="Arial Narrow" w:hAnsi="Arial Narrow"/>
                <w:i/>
                <w:iCs/>
                <w:sz w:val="20"/>
                <w:szCs w:val="20"/>
              </w:rPr>
              <w:t>each of, (i)</w:t>
            </w:r>
            <w:r w:rsidRPr="000E5B3A">
              <w:rPr>
                <w:rFonts w:ascii="Arial Narrow" w:hAnsi="Arial Narrow"/>
                <w:sz w:val="20"/>
                <w:szCs w:val="20"/>
              </w:rPr>
              <w:t xml:space="preserve"> carboplatin </w:t>
            </w:r>
            <w:r w:rsidRPr="000E5B3A">
              <w:rPr>
                <w:rFonts w:ascii="Arial Narrow" w:hAnsi="Arial Narrow"/>
                <w:strike/>
                <w:sz w:val="20"/>
                <w:szCs w:val="20"/>
              </w:rPr>
              <w:t xml:space="preserve">and </w:t>
            </w:r>
            <w:r w:rsidRPr="000E5B3A">
              <w:rPr>
                <w:rFonts w:ascii="Arial Narrow" w:hAnsi="Arial Narrow"/>
                <w:i/>
                <w:iCs/>
                <w:sz w:val="20"/>
                <w:szCs w:val="20"/>
              </w:rPr>
              <w:t xml:space="preserve">(ii) </w:t>
            </w:r>
            <w:r w:rsidRPr="000E5B3A">
              <w:rPr>
                <w:rFonts w:ascii="Arial Narrow" w:hAnsi="Arial Narrow"/>
                <w:sz w:val="20"/>
                <w:szCs w:val="20"/>
              </w:rPr>
              <w:t xml:space="preserve">paclitaxel </w:t>
            </w:r>
            <w:r w:rsidRPr="000E5B3A">
              <w:rPr>
                <w:rFonts w:ascii="Arial Narrow" w:hAnsi="Arial Narrow"/>
                <w:i/>
                <w:iCs/>
                <w:sz w:val="20"/>
                <w:szCs w:val="20"/>
              </w:rPr>
              <w:t>at initiation</w:t>
            </w:r>
          </w:p>
        </w:tc>
      </w:tr>
      <w:tr w:rsidR="00950216" w:rsidRPr="000E5B3A" w14:paraId="5EFB02F1"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6EC6E2E3"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AND</w:t>
            </w:r>
          </w:p>
        </w:tc>
      </w:tr>
      <w:tr w:rsidR="00950216" w:rsidRPr="000E5B3A" w14:paraId="55F5EBCE"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2576B476"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Clinical criteria:</w:t>
            </w:r>
          </w:p>
        </w:tc>
      </w:tr>
      <w:tr w:rsidR="00950216" w:rsidRPr="000E5B3A" w14:paraId="128380B5"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5C6B114C" w14:textId="15EDAC29" w:rsidR="00950216" w:rsidRPr="000E5B3A" w:rsidRDefault="00950216" w:rsidP="00950216">
            <w:pPr>
              <w:keepNext/>
              <w:keepLines/>
              <w:rPr>
                <w:rFonts w:ascii="Arial Narrow" w:hAnsi="Arial Narrow"/>
                <w:sz w:val="20"/>
                <w:szCs w:val="20"/>
              </w:rPr>
            </w:pPr>
            <w:r w:rsidRPr="000E5B3A">
              <w:rPr>
                <w:rFonts w:ascii="Arial Narrow" w:hAnsi="Arial Narrow"/>
                <w:sz w:val="20"/>
                <w:szCs w:val="20"/>
              </w:rPr>
              <w:t xml:space="preserve">Patients must </w:t>
            </w:r>
            <w:r w:rsidRPr="000E5B3A">
              <w:rPr>
                <w:rFonts w:ascii="Arial Narrow" w:hAnsi="Arial Narrow"/>
                <w:i/>
                <w:iCs/>
                <w:sz w:val="20"/>
                <w:szCs w:val="20"/>
              </w:rPr>
              <w:t xml:space="preserve">not </w:t>
            </w:r>
            <w:r w:rsidRPr="000E5B3A">
              <w:rPr>
                <w:rFonts w:ascii="Arial Narrow" w:hAnsi="Arial Narrow"/>
                <w:sz w:val="20"/>
                <w:szCs w:val="20"/>
              </w:rPr>
              <w:t xml:space="preserve">have received </w:t>
            </w:r>
            <w:r w:rsidRPr="000E5B3A">
              <w:rPr>
                <w:rFonts w:ascii="Arial Narrow" w:hAnsi="Arial Narrow"/>
                <w:strike/>
                <w:sz w:val="20"/>
                <w:szCs w:val="20"/>
              </w:rPr>
              <w:t>no</w:t>
            </w:r>
            <w:r w:rsidRPr="000E5B3A">
              <w:rPr>
                <w:rFonts w:ascii="Arial Narrow" w:hAnsi="Arial Narrow"/>
                <w:sz w:val="20"/>
                <w:szCs w:val="20"/>
              </w:rPr>
              <w:t xml:space="preserve"> prior systemic </w:t>
            </w:r>
            <w:r w:rsidRPr="000E5B3A">
              <w:rPr>
                <w:rFonts w:ascii="Arial Narrow" w:hAnsi="Arial Narrow"/>
                <w:i/>
                <w:iCs/>
                <w:sz w:val="20"/>
                <w:szCs w:val="20"/>
              </w:rPr>
              <w:t xml:space="preserve">anti-cancer </w:t>
            </w:r>
            <w:r w:rsidRPr="000E5B3A">
              <w:rPr>
                <w:rFonts w:ascii="Arial Narrow" w:hAnsi="Arial Narrow"/>
                <w:sz w:val="20"/>
                <w:szCs w:val="20"/>
              </w:rPr>
              <w:t xml:space="preserve">therapy </w:t>
            </w:r>
            <w:r w:rsidRPr="000E5B3A">
              <w:rPr>
                <w:rFonts w:ascii="Arial Narrow" w:hAnsi="Arial Narrow"/>
                <w:i/>
                <w:iCs/>
                <w:sz w:val="20"/>
                <w:szCs w:val="20"/>
              </w:rPr>
              <w:t xml:space="preserve">in the inoperable locally recurrent/metastatic setting at </w:t>
            </w:r>
            <w:r w:rsidR="002D3365">
              <w:rPr>
                <w:rFonts w:ascii="Arial Narrow" w:hAnsi="Arial Narrow"/>
                <w:i/>
                <w:iCs/>
                <w:sz w:val="20"/>
                <w:szCs w:val="20"/>
              </w:rPr>
              <w:t xml:space="preserve">the </w:t>
            </w:r>
            <w:r w:rsidRPr="000E5B3A">
              <w:rPr>
                <w:rFonts w:ascii="Arial Narrow" w:hAnsi="Arial Narrow"/>
                <w:i/>
                <w:iCs/>
                <w:sz w:val="20"/>
                <w:szCs w:val="20"/>
              </w:rPr>
              <w:t>time treatment with this drug is initiated for this condition</w:t>
            </w:r>
          </w:p>
        </w:tc>
      </w:tr>
      <w:tr w:rsidR="00950216" w:rsidRPr="000E5B3A" w14:paraId="523A3411"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7F17E1B1"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AND</w:t>
            </w:r>
          </w:p>
        </w:tc>
      </w:tr>
      <w:tr w:rsidR="00950216" w:rsidRPr="000E5B3A" w14:paraId="6C3E353D"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0F02748E"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Clinical criteria:</w:t>
            </w:r>
          </w:p>
        </w:tc>
      </w:tr>
      <w:tr w:rsidR="00950216" w:rsidRPr="000E5B3A" w14:paraId="261AD2AD"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2DE43039" w14:textId="77777777" w:rsidR="00950216" w:rsidRPr="000E5B3A" w:rsidRDefault="00950216" w:rsidP="00950216">
            <w:pPr>
              <w:keepNext/>
              <w:keepLines/>
              <w:rPr>
                <w:rFonts w:ascii="Arial Narrow" w:hAnsi="Arial Narrow"/>
                <w:i/>
                <w:iCs/>
                <w:sz w:val="20"/>
                <w:szCs w:val="20"/>
              </w:rPr>
            </w:pPr>
            <w:r w:rsidRPr="000E5B3A">
              <w:rPr>
                <w:rFonts w:ascii="Arial Narrow" w:hAnsi="Arial Narrow"/>
                <w:i/>
                <w:iCs/>
                <w:sz w:val="20"/>
                <w:szCs w:val="20"/>
              </w:rPr>
              <w:t>Patient must not have experienced disease recurrence or progression while being treated with this drug for this condition</w:t>
            </w:r>
          </w:p>
        </w:tc>
      </w:tr>
      <w:tr w:rsidR="00950216" w:rsidRPr="000E5B3A" w14:paraId="77B0ED43"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1B647388"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AND</w:t>
            </w:r>
          </w:p>
        </w:tc>
      </w:tr>
      <w:tr w:rsidR="00950216" w:rsidRPr="000E5B3A" w14:paraId="28DE85CD"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4975021A"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Clinical criteria:</w:t>
            </w:r>
          </w:p>
        </w:tc>
      </w:tr>
      <w:tr w:rsidR="00950216" w:rsidRPr="000E5B3A" w14:paraId="7B39F3E2"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0672BFEF" w14:textId="77777777" w:rsidR="00950216" w:rsidRPr="000E5B3A" w:rsidRDefault="00950216" w:rsidP="00950216">
            <w:pPr>
              <w:keepNext/>
              <w:keepLines/>
              <w:rPr>
                <w:rFonts w:ascii="Arial Narrow" w:hAnsi="Arial Narrow"/>
                <w:i/>
                <w:iCs/>
                <w:sz w:val="20"/>
                <w:szCs w:val="20"/>
              </w:rPr>
            </w:pPr>
            <w:r w:rsidRPr="000E5B3A">
              <w:rPr>
                <w:rFonts w:ascii="Arial Narrow" w:hAnsi="Arial Narrow"/>
                <w:sz w:val="20"/>
                <w:szCs w:val="20"/>
              </w:rPr>
              <w:t xml:space="preserve">The treatment must not exceed </w:t>
            </w:r>
            <w:r w:rsidRPr="000E5B3A">
              <w:rPr>
                <w:rFonts w:ascii="Arial Narrow" w:hAnsi="Arial Narrow"/>
                <w:i/>
                <w:iCs/>
                <w:sz w:val="20"/>
                <w:szCs w:val="20"/>
              </w:rPr>
              <w:t>a total of (i) cumulative</w:t>
            </w:r>
            <w:r w:rsidRPr="000E5B3A">
              <w:rPr>
                <w:rFonts w:ascii="Arial Narrow" w:hAnsi="Arial Narrow"/>
                <w:sz w:val="20"/>
                <w:szCs w:val="20"/>
              </w:rPr>
              <w:t xml:space="preserve"> 12 months; </w:t>
            </w:r>
            <w:r w:rsidRPr="000E5B3A">
              <w:rPr>
                <w:rFonts w:ascii="Arial Narrow" w:hAnsi="Arial Narrow"/>
                <w:i/>
                <w:iCs/>
                <w:sz w:val="20"/>
                <w:szCs w:val="20"/>
              </w:rPr>
              <w:t>(ii) 13 doses of this drug whichever comes first from the first dose of this drug regardless of whether it was PBS/non-PBS subsidised</w:t>
            </w:r>
          </w:p>
        </w:tc>
      </w:tr>
    </w:tbl>
    <w:p w14:paraId="4F36BB7A" w14:textId="77777777" w:rsidR="00EE7C61" w:rsidRPr="000E5B3A" w:rsidRDefault="00EE7C61" w:rsidP="00251D92">
      <w:pPr>
        <w:pStyle w:val="TableFooter"/>
        <w:keepNext/>
        <w:keepLines/>
      </w:pPr>
      <w:r w:rsidRPr="000E5B3A">
        <w:t>Source: Table 11, p38 of the submission.</w:t>
      </w:r>
    </w:p>
    <w:p w14:paraId="2B37ED88" w14:textId="03E80E86" w:rsidR="00EE7C61" w:rsidRPr="000E5B3A" w:rsidRDefault="00EE7C61" w:rsidP="00251D92">
      <w:pPr>
        <w:pStyle w:val="TableFooter"/>
        <w:keepNext/>
        <w:keepLines/>
      </w:pPr>
      <w:r w:rsidRPr="000E5B3A">
        <w:rPr>
          <w:i/>
          <w:iCs/>
        </w:rPr>
        <w:t>Italics</w:t>
      </w:r>
      <w:r w:rsidRPr="000E5B3A">
        <w:t xml:space="preserve"> = </w:t>
      </w:r>
      <w:r w:rsidR="005D65AD" w:rsidRPr="000E5B3A">
        <w:t>additions proposed by the secretariat</w:t>
      </w:r>
    </w:p>
    <w:p w14:paraId="28629FA5" w14:textId="60B8B420" w:rsidR="005D65AD" w:rsidRPr="000E5B3A" w:rsidRDefault="005D65AD" w:rsidP="00EE7C61">
      <w:pPr>
        <w:pStyle w:val="TableFooter"/>
      </w:pPr>
      <w:r w:rsidRPr="000E5B3A">
        <w:rPr>
          <w:strike/>
        </w:rPr>
        <w:t>Strikethrough</w:t>
      </w:r>
      <w:r w:rsidRPr="000E5B3A">
        <w:t xml:space="preserve"> = deletions proposed by the secretariat </w:t>
      </w:r>
    </w:p>
    <w:p w14:paraId="6FA0CCF5" w14:textId="2AA57F97" w:rsidR="00713FF7" w:rsidRPr="00713FF7" w:rsidRDefault="00713FF7">
      <w:pPr>
        <w:pStyle w:val="3-BodyText"/>
        <w:rPr>
          <w:rFonts w:eastAsia="Calibri"/>
        </w:rPr>
      </w:pPr>
      <w:bookmarkStart w:id="9" w:name="_Ref208047392"/>
      <w:bookmarkStart w:id="10" w:name="_Ref208824502"/>
      <w:r>
        <w:rPr>
          <w:rFonts w:eastAsia="Calibri"/>
        </w:rPr>
        <w:t xml:space="preserve">The submission </w:t>
      </w:r>
      <w:r w:rsidR="009043F4">
        <w:rPr>
          <w:rFonts w:eastAsia="Calibri"/>
        </w:rPr>
        <w:t>requested a Special Pricing Arrangement,</w:t>
      </w:r>
      <w:r w:rsidR="00BC77CD">
        <w:rPr>
          <w:rFonts w:eastAsia="Calibri"/>
        </w:rPr>
        <w:t xml:space="preserve"> with a proposed effective ex-manufacturer price of $</w:t>
      </w:r>
      <w:r w:rsidR="009951A2" w:rsidRPr="009951A2">
        <w:rPr>
          <w:rFonts w:eastAsia="Calibri"/>
          <w:highlight w:val="black"/>
        </w:rPr>
        <w:t>&amp;&amp;&amp;&amp;</w:t>
      </w:r>
      <w:r w:rsidR="00D9154F">
        <w:rPr>
          <w:rFonts w:eastAsia="Calibri"/>
        </w:rPr>
        <w:t xml:space="preserve"> per 500 mg vial. In the pre-PBAC response, this was reduced to</w:t>
      </w:r>
      <w:r w:rsidR="00BC77CD">
        <w:rPr>
          <w:rFonts w:eastAsia="Calibri"/>
        </w:rPr>
        <w:t xml:space="preserve"> </w:t>
      </w:r>
      <w:r w:rsidR="00D9154F">
        <w:rPr>
          <w:rFonts w:eastAsia="Calibri"/>
        </w:rPr>
        <w:t>$</w:t>
      </w:r>
      <w:r w:rsidR="009951A2" w:rsidRPr="009951A2">
        <w:rPr>
          <w:highlight w:val="black"/>
        </w:rPr>
        <w:t>&amp;&amp;&amp;&amp;</w:t>
      </w:r>
      <w:r w:rsidR="00D9154F">
        <w:t>.</w:t>
      </w:r>
    </w:p>
    <w:p w14:paraId="3FBDFDFC" w14:textId="5A5D3184" w:rsidR="00852936" w:rsidRPr="00AB14F7" w:rsidRDefault="00005F75">
      <w:pPr>
        <w:pStyle w:val="3-BodyText"/>
        <w:rPr>
          <w:rFonts w:eastAsia="Calibri"/>
        </w:rPr>
      </w:pPr>
      <w:r w:rsidRPr="00AB14F7">
        <w:t>The proposed restriction state</w:t>
      </w:r>
      <w:r w:rsidR="00D55AD2" w:rsidRPr="00AB14F7">
        <w:t>d</w:t>
      </w:r>
      <w:r w:rsidRPr="00AB14F7">
        <w:t xml:space="preserve"> that retifanlimab treatment must be initiated in combination with CP, which </w:t>
      </w:r>
      <w:r w:rsidR="00D84309" w:rsidRPr="00AB14F7">
        <w:t>wa</w:t>
      </w:r>
      <w:r w:rsidRPr="00AB14F7">
        <w:t>s consistent with POD1UM-303</w:t>
      </w:r>
      <w:r w:rsidR="00EA6FE8" w:rsidRPr="00AB14F7">
        <w:t>,</w:t>
      </w:r>
      <w:r w:rsidRPr="00AB14F7">
        <w:t xml:space="preserve"> where all patients received at least one dose of carboplatin and one dose of paclitaxel</w:t>
      </w:r>
      <w:r w:rsidR="006874FD" w:rsidRPr="00AB14F7">
        <w:rPr>
          <w:rStyle w:val="FootnoteReference"/>
        </w:rPr>
        <w:footnoteReference w:id="1"/>
      </w:r>
      <w:r w:rsidR="008539D5" w:rsidRPr="00AB14F7">
        <w:t>.</w:t>
      </w:r>
      <w:r w:rsidR="00D83137" w:rsidRPr="00AB14F7">
        <w:t xml:space="preserve"> </w:t>
      </w:r>
      <w:r w:rsidRPr="00AB14F7">
        <w:t>While the proposed restriction states that retifanlimab “must be initiated in combination with” CP, the draft product information (PI) states that retifanlimab must be used “in combination with”</w:t>
      </w:r>
      <w:r w:rsidR="00F74FDC" w:rsidRPr="00AB14F7">
        <w:t xml:space="preserve"> CP</w:t>
      </w:r>
      <w:r w:rsidR="003041E4" w:rsidRPr="00AB14F7">
        <w:t xml:space="preserve">, and </w:t>
      </w:r>
      <w:bookmarkStart w:id="11" w:name="_Toc208995335"/>
      <w:bookmarkEnd w:id="9"/>
      <w:bookmarkEnd w:id="10"/>
      <w:r w:rsidR="00852936" w:rsidRPr="00AB14F7">
        <w:t xml:space="preserve">in the POD1UM-303 trial patients received </w:t>
      </w:r>
      <w:r w:rsidR="00187716" w:rsidRPr="00AB14F7">
        <w:t>CP</w:t>
      </w:r>
      <w:r w:rsidR="00852936" w:rsidRPr="00AB14F7">
        <w:t xml:space="preserve"> for 6</w:t>
      </w:r>
      <w:r w:rsidR="00155C54">
        <w:t> </w:t>
      </w:r>
      <w:r w:rsidR="00852936" w:rsidRPr="00AB14F7">
        <w:t xml:space="preserve">months. </w:t>
      </w:r>
    </w:p>
    <w:p w14:paraId="570DD2AA" w14:textId="49B28938" w:rsidR="0037366B" w:rsidRPr="000E5B3A" w:rsidRDefault="0037366B" w:rsidP="00155C54">
      <w:pPr>
        <w:pStyle w:val="3-BodyText"/>
        <w:keepNext/>
        <w:keepLines/>
      </w:pPr>
      <w:r w:rsidRPr="000E5B3A">
        <w:lastRenderedPageBreak/>
        <w:t xml:space="preserve">Under the proposed restriction, patients who are contraindicated to carboplatin and/or paclitaxel could not receive retifanlimab. </w:t>
      </w:r>
      <w:r w:rsidR="00A24E20" w:rsidRPr="000E5B3A">
        <w:t>The evaluation considered</w:t>
      </w:r>
      <w:r w:rsidRPr="000E5B3A">
        <w:t xml:space="preserve"> it would be possible that patients may use one dose of CP only to fulfil the criteria that retifanlimab “must be initiated in combination with” CP, effectively receiving retifanlimab monotherapy, which may not be intended under the proposed restriction</w:t>
      </w:r>
      <w:r w:rsidR="00295590" w:rsidRPr="000E5B3A">
        <w:t>, noting that</w:t>
      </w:r>
      <w:r w:rsidR="00473A7E" w:rsidRPr="000E5B3A">
        <w:t xml:space="preserve"> e</w:t>
      </w:r>
      <w:r w:rsidRPr="000E5B3A">
        <w:t>vidence of efficacy for retifanlimab monotherapy was limited</w:t>
      </w:r>
      <w:r w:rsidR="00BD2F03" w:rsidRPr="000E5B3A">
        <w:t xml:space="preserve">, and only for the second-line </w:t>
      </w:r>
      <w:r w:rsidR="00A926A1" w:rsidRPr="000E5B3A">
        <w:t>setting (</w:t>
      </w:r>
      <w:r w:rsidR="00076B2B" w:rsidRPr="000E5B3A">
        <w:t>s</w:t>
      </w:r>
      <w:r w:rsidRPr="000E5B3A">
        <w:t xml:space="preserve">ee paragraph </w:t>
      </w:r>
      <w:r w:rsidR="00363FF2">
        <w:fldChar w:fldCharType="begin"/>
      </w:r>
      <w:r w:rsidR="00363FF2">
        <w:instrText xml:space="preserve"> REF _Ref211443685 \r \h </w:instrText>
      </w:r>
      <w:r w:rsidR="00363FF2">
        <w:fldChar w:fldCharType="separate"/>
      </w:r>
      <w:r w:rsidR="00DB6E72">
        <w:t>6.17</w:t>
      </w:r>
      <w:r w:rsidR="00363FF2">
        <w:fldChar w:fldCharType="end"/>
      </w:r>
      <w:r w:rsidR="00A926A1" w:rsidRPr="000E5B3A">
        <w:t>)</w:t>
      </w:r>
      <w:r w:rsidRPr="000E5B3A">
        <w:t>.</w:t>
      </w:r>
      <w:r w:rsidR="00A926A1" w:rsidRPr="000E5B3A">
        <w:t xml:space="preserve"> However, the ESC considered that </w:t>
      </w:r>
      <w:r w:rsidR="00D15111" w:rsidRPr="000E5B3A">
        <w:t xml:space="preserve">it is unlikely the clinicians would </w:t>
      </w:r>
      <w:r w:rsidR="00076B2B" w:rsidRPr="000E5B3A">
        <w:t xml:space="preserve">cease </w:t>
      </w:r>
      <w:r w:rsidR="00D15111" w:rsidRPr="000E5B3A">
        <w:t xml:space="preserve">CP prematurely unless necessary for toxicity, given the best evidence </w:t>
      </w:r>
      <w:r w:rsidR="00B81B38" w:rsidRPr="000E5B3A">
        <w:t xml:space="preserve">is </w:t>
      </w:r>
      <w:r w:rsidR="00D15111" w:rsidRPr="000E5B3A">
        <w:t>for combination therapy.</w:t>
      </w:r>
    </w:p>
    <w:p w14:paraId="71436546" w14:textId="0CB8FAB3" w:rsidR="008E2B4B" w:rsidRPr="000E5B3A" w:rsidRDefault="008E2B4B" w:rsidP="0037366B">
      <w:pPr>
        <w:pStyle w:val="3-BodyText"/>
      </w:pPr>
      <w:r w:rsidRPr="000E5B3A">
        <w:t>The ESC considered that the</w:t>
      </w:r>
      <w:r w:rsidR="00093942" w:rsidRPr="000E5B3A">
        <w:t xml:space="preserve"> proposed clinical criterion ‘Patients must have received no prior systemic therapy’ should be amended to ‘Patients must</w:t>
      </w:r>
      <w:r w:rsidR="00821DEB">
        <w:t xml:space="preserve"> not</w:t>
      </w:r>
      <w:r w:rsidR="00093942" w:rsidRPr="000E5B3A">
        <w:t xml:space="preserve"> have received prior systemic </w:t>
      </w:r>
      <w:r w:rsidR="00F131E2" w:rsidRPr="00F131E2">
        <w:t>anti-cancer</w:t>
      </w:r>
      <w:r w:rsidR="00F131E2" w:rsidRPr="000E5B3A">
        <w:rPr>
          <w:rFonts w:ascii="Arial Narrow" w:hAnsi="Arial Narrow"/>
          <w:i/>
          <w:iCs/>
          <w:sz w:val="20"/>
          <w:szCs w:val="20"/>
        </w:rPr>
        <w:t xml:space="preserve"> </w:t>
      </w:r>
      <w:r w:rsidR="00093942" w:rsidRPr="000E5B3A">
        <w:t>therapy in the inoperable locally recurrent/metastatic setting</w:t>
      </w:r>
      <w:r w:rsidR="00F131E2">
        <w:t xml:space="preserve"> </w:t>
      </w:r>
      <w:r w:rsidR="00F131E2" w:rsidRPr="00F131E2">
        <w:t xml:space="preserve">at </w:t>
      </w:r>
      <w:r w:rsidR="00440062">
        <w:t xml:space="preserve">the </w:t>
      </w:r>
      <w:r w:rsidR="00F131E2" w:rsidRPr="00F131E2">
        <w:t>time treatment with this drug is initiated for this condition</w:t>
      </w:r>
      <w:r w:rsidR="00093942" w:rsidRPr="000E5B3A">
        <w:t>’.</w:t>
      </w:r>
      <w:r w:rsidR="00B63F9E" w:rsidRPr="000E5B3A">
        <w:t xml:space="preserve"> Further, the ESC considered it was </w:t>
      </w:r>
      <w:r w:rsidR="007E40F9" w:rsidRPr="000E5B3A">
        <w:t>not necessary</w:t>
      </w:r>
      <w:r w:rsidR="00B63F9E" w:rsidRPr="000E5B3A">
        <w:t xml:space="preserve"> to include ECOG performance status in the restriction</w:t>
      </w:r>
      <w:r w:rsidR="00DB7F41" w:rsidRPr="000E5B3A">
        <w:t xml:space="preserve"> as clinicians are unlikely </w:t>
      </w:r>
      <w:r w:rsidR="007E05C0" w:rsidRPr="000E5B3A">
        <w:t>to prescribe retifanlimab in patients with scores higher than one</w:t>
      </w:r>
      <w:r w:rsidR="00B63F9E" w:rsidRPr="000E5B3A">
        <w:t>.</w:t>
      </w:r>
    </w:p>
    <w:p w14:paraId="5CB484C5" w14:textId="15996B47" w:rsidR="00501EA5" w:rsidRPr="000E5B3A" w:rsidRDefault="00501EA5" w:rsidP="00A9231E">
      <w:pPr>
        <w:pStyle w:val="3-BodyText"/>
        <w:numPr>
          <w:ilvl w:val="0"/>
          <w:numId w:val="0"/>
        </w:numPr>
        <w:rPr>
          <w:i/>
          <w:iCs/>
        </w:rPr>
      </w:pPr>
      <w:r w:rsidRPr="000E5B3A">
        <w:rPr>
          <w:i/>
          <w:iCs/>
        </w:rPr>
        <w:t>For more detail on PBAC’s view, see section 7 PBAC outcome.</w:t>
      </w:r>
    </w:p>
    <w:p w14:paraId="7075B85C" w14:textId="62A47B7B" w:rsidR="00B50DB8" w:rsidRPr="000E5B3A" w:rsidDel="00195452" w:rsidRDefault="00203181" w:rsidP="004E18E9">
      <w:pPr>
        <w:pStyle w:val="2-SectionHeading"/>
      </w:pPr>
      <w:r w:rsidRPr="000E5B3A" w:rsidDel="00195452">
        <w:t xml:space="preserve">Population and </w:t>
      </w:r>
      <w:r w:rsidR="008E0D3C" w:rsidRPr="000E5B3A" w:rsidDel="00195452">
        <w:t>d</w:t>
      </w:r>
      <w:r w:rsidRPr="000E5B3A" w:rsidDel="00195452">
        <w:t>isease</w:t>
      </w:r>
      <w:bookmarkEnd w:id="11"/>
    </w:p>
    <w:p w14:paraId="3416D8F5" w14:textId="75DBEEAA" w:rsidR="00176EC0" w:rsidRPr="000E5B3A" w:rsidRDefault="00176EC0" w:rsidP="004E18E9">
      <w:pPr>
        <w:pStyle w:val="3-BodyText"/>
      </w:pPr>
      <w:r w:rsidRPr="000E5B3A">
        <w:t>Anal cancer is a rare disease that accounts for &lt;1% of all new cancer diagnoses and &lt;3% of all gastrointestinal tumours. SCAC is the dominant histology for anal carcinomas comprising 75%-95% of cases (Pedersen 2025</w:t>
      </w:r>
      <w:r w:rsidR="006867F5" w:rsidRPr="000E5B3A">
        <w:rPr>
          <w:rStyle w:val="FootnoteReference"/>
        </w:rPr>
        <w:footnoteReference w:id="2"/>
      </w:r>
      <w:r w:rsidRPr="000E5B3A">
        <w:t>), with an annual incidence of 0.5-2.0 per 100 000 (Rao 2021</w:t>
      </w:r>
      <w:r w:rsidR="00930A67" w:rsidRPr="000E5B3A">
        <w:rPr>
          <w:rStyle w:val="FootnoteReference"/>
        </w:rPr>
        <w:footnoteReference w:id="3"/>
      </w:r>
      <w:r w:rsidRPr="000E5B3A">
        <w:t xml:space="preserve">). SCAC is closely associated with </w:t>
      </w:r>
      <w:r w:rsidR="00146807" w:rsidRPr="000E5B3A">
        <w:t>human papilloma virus (HPV)</w:t>
      </w:r>
      <w:r w:rsidRPr="000E5B3A">
        <w:t>, with 86% to 97% of cancers of the anus attributable to HPV infection (</w:t>
      </w:r>
      <w:r w:rsidR="00146807" w:rsidRPr="000E5B3A">
        <w:t xml:space="preserve">National comprehensive Cancer Network </w:t>
      </w:r>
      <w:r w:rsidR="00105826">
        <w:t>(</w:t>
      </w:r>
      <w:r w:rsidRPr="000E5B3A">
        <w:t>NCCN</w:t>
      </w:r>
      <w:r w:rsidR="00105826">
        <w:t>)</w:t>
      </w:r>
      <w:r w:rsidRPr="000E5B3A">
        <w:t xml:space="preserve"> anal carcinoma guidelines, version 4.2025</w:t>
      </w:r>
      <w:r w:rsidR="00930A67" w:rsidRPr="000E5B3A">
        <w:rPr>
          <w:rStyle w:val="FootnoteReference"/>
        </w:rPr>
        <w:footnoteReference w:id="4"/>
      </w:r>
      <w:r w:rsidRPr="000E5B3A">
        <w:t>).</w:t>
      </w:r>
      <w:r w:rsidR="00146807" w:rsidRPr="000E5B3A">
        <w:t xml:space="preserve"> Additionally, people living with </w:t>
      </w:r>
      <w:r w:rsidR="00A23246" w:rsidRPr="000E5B3A">
        <w:t xml:space="preserve">human immunodeficiency virus (HIV) </w:t>
      </w:r>
      <w:r w:rsidR="00146807" w:rsidRPr="000E5B3A">
        <w:t>have an estimated 37-fold increased risk of being diagnosed with anal cancer compared with the general population (Colón-López 2018</w:t>
      </w:r>
      <w:r w:rsidR="006867F5" w:rsidRPr="000E5B3A">
        <w:rPr>
          <w:rStyle w:val="FootnoteReference"/>
        </w:rPr>
        <w:footnoteReference w:id="5"/>
      </w:r>
      <w:r w:rsidR="00146807" w:rsidRPr="000E5B3A">
        <w:t>).</w:t>
      </w:r>
    </w:p>
    <w:p w14:paraId="47175AA0" w14:textId="79581A0E" w:rsidR="00146807" w:rsidRPr="000E5B3A" w:rsidRDefault="00146807" w:rsidP="00146807">
      <w:pPr>
        <w:pStyle w:val="3-BodyText"/>
      </w:pPr>
      <w:r w:rsidRPr="000E5B3A">
        <w:t>Most patients with SCAC present with non-metastatic disease and are commonly considered to be curable with appropriate treatment. The European Society for Medical Oncology (ESMO) anal cancer guidelines (Rao 2021) state</w:t>
      </w:r>
      <w:r w:rsidR="00482D6E" w:rsidRPr="000E5B3A">
        <w:t>d</w:t>
      </w:r>
      <w:r w:rsidRPr="000E5B3A">
        <w:t xml:space="preserve"> that approximately 10%-20% of patients suffer distant relapse and approximately 10%</w:t>
      </w:r>
      <w:r w:rsidR="00155C54">
        <w:t> </w:t>
      </w:r>
      <w:r w:rsidRPr="000E5B3A">
        <w:t xml:space="preserve">present with de novo metastatic disease. </w:t>
      </w:r>
      <w:r w:rsidR="00382633" w:rsidRPr="000E5B3A">
        <w:t xml:space="preserve">The </w:t>
      </w:r>
      <w:r w:rsidRPr="000E5B3A">
        <w:t>NCCN guidelines (</w:t>
      </w:r>
      <w:r w:rsidR="00930A67" w:rsidRPr="000E5B3A">
        <w:t>v</w:t>
      </w:r>
      <w:r w:rsidRPr="000E5B3A">
        <w:t xml:space="preserve">ersion 4.2025) </w:t>
      </w:r>
      <w:r w:rsidRPr="000E5B3A">
        <w:lastRenderedPageBreak/>
        <w:t>state</w:t>
      </w:r>
      <w:r w:rsidR="006008F9" w:rsidRPr="000E5B3A">
        <w:t>d</w:t>
      </w:r>
      <w:r w:rsidRPr="000E5B3A">
        <w:t xml:space="preserve"> that patients presenting with distant metastasis have a 30.5% </w:t>
      </w:r>
      <w:r w:rsidR="00155C54">
        <w:t>5</w:t>
      </w:r>
      <w:r w:rsidRPr="000E5B3A">
        <w:t>-year survival rate.</w:t>
      </w:r>
    </w:p>
    <w:p w14:paraId="7B6F75DF" w14:textId="7DA711AC" w:rsidR="00146807" w:rsidRPr="000E5B3A" w:rsidRDefault="00D0055E" w:rsidP="004E18E9">
      <w:pPr>
        <w:pStyle w:val="3-BodyText"/>
      </w:pPr>
      <w:bookmarkStart w:id="12" w:name="_Ref208071674"/>
      <w:r w:rsidRPr="000E5B3A">
        <w:t xml:space="preserve">The submission proposed use of retifanlimab </w:t>
      </w:r>
      <w:r w:rsidR="000870A3" w:rsidRPr="000E5B3A">
        <w:t xml:space="preserve">as </w:t>
      </w:r>
      <w:r w:rsidR="00B15FF4" w:rsidRPr="000E5B3A">
        <w:t>1L</w:t>
      </w:r>
      <w:r w:rsidR="000870A3" w:rsidRPr="000E5B3A">
        <w:t xml:space="preserve"> treatment </w:t>
      </w:r>
      <w:r w:rsidRPr="000E5B3A">
        <w:t xml:space="preserve">in patients with inoperable locally recurrent or metastatic SCAC not previously treated with systemic chemotherapy. Under the proposed listing, </w:t>
      </w:r>
      <w:r w:rsidR="00925FAA" w:rsidRPr="000E5B3A">
        <w:t xml:space="preserve">there were four populations of </w:t>
      </w:r>
      <w:r w:rsidRPr="000E5B3A">
        <w:t xml:space="preserve">patients diagnosed with SCAC </w:t>
      </w:r>
      <w:r w:rsidR="00925FAA" w:rsidRPr="000E5B3A">
        <w:t xml:space="preserve">who would be </w:t>
      </w:r>
      <w:r w:rsidRPr="000E5B3A">
        <w:t>eligible for retifanlimab:</w:t>
      </w:r>
      <w:bookmarkEnd w:id="12"/>
    </w:p>
    <w:p w14:paraId="69D49C6C" w14:textId="4B288C87" w:rsidR="00D0055E" w:rsidRPr="000E5B3A" w:rsidRDefault="00D0055E" w:rsidP="00C72AC7">
      <w:pPr>
        <w:pStyle w:val="ListParagraph"/>
        <w:jc w:val="both"/>
      </w:pPr>
      <w:r w:rsidRPr="000E5B3A">
        <w:t xml:space="preserve">diagnosed with </w:t>
      </w:r>
      <w:r w:rsidRPr="00BA2761">
        <w:rPr>
          <w:i/>
          <w:iCs/>
        </w:rPr>
        <w:t>de novo</w:t>
      </w:r>
      <w:r w:rsidRPr="000E5B3A">
        <w:t xml:space="preserve"> metastatic SCAC;</w:t>
      </w:r>
    </w:p>
    <w:p w14:paraId="1C81CF13" w14:textId="6DA3F261" w:rsidR="00D0055E" w:rsidRPr="000E5B3A" w:rsidRDefault="00D0055E" w:rsidP="00C72AC7">
      <w:pPr>
        <w:pStyle w:val="ListParagraph"/>
        <w:jc w:val="both"/>
      </w:pPr>
      <w:r w:rsidRPr="000E5B3A">
        <w:t xml:space="preserve">progress from locoregional to metastatic disease following first-line </w:t>
      </w:r>
      <w:r w:rsidR="00213058" w:rsidRPr="000E5B3A">
        <w:t>(1</w:t>
      </w:r>
      <w:r w:rsidR="00B15FF4" w:rsidRPr="000E5B3A">
        <w:t>L</w:t>
      </w:r>
      <w:r w:rsidR="00213058" w:rsidRPr="000E5B3A">
        <w:t xml:space="preserve">) </w:t>
      </w:r>
      <w:r w:rsidR="007342D5" w:rsidRPr="000E5B3A">
        <w:t>conformal radiation therapy (</w:t>
      </w:r>
      <w:r w:rsidRPr="000E5B3A">
        <w:t>CRT</w:t>
      </w:r>
      <w:r w:rsidR="007342D5" w:rsidRPr="000E5B3A">
        <w:t>)</w:t>
      </w:r>
      <w:r w:rsidRPr="000E5B3A">
        <w:t xml:space="preserve"> and/or after surgery;</w:t>
      </w:r>
    </w:p>
    <w:p w14:paraId="3AF1DEB3" w14:textId="45965D30" w:rsidR="00D0055E" w:rsidRPr="000E5B3A" w:rsidRDefault="00D0055E" w:rsidP="00C72AC7">
      <w:pPr>
        <w:pStyle w:val="ListParagraph"/>
        <w:jc w:val="both"/>
      </w:pPr>
      <w:r w:rsidRPr="000E5B3A">
        <w:t>progress from locoregional to inoperable locally recurrent disease; and</w:t>
      </w:r>
    </w:p>
    <w:p w14:paraId="6CF0D3BF" w14:textId="3481CE49" w:rsidR="00D0055E" w:rsidRPr="000E5B3A" w:rsidRDefault="00D0055E" w:rsidP="00C72AC7">
      <w:pPr>
        <w:pStyle w:val="ListParagraph"/>
        <w:jc w:val="both"/>
      </w:pPr>
      <w:r w:rsidRPr="000E5B3A">
        <w:t>progress from operable locally recurrent to metastatic disease after surgery.</w:t>
      </w:r>
    </w:p>
    <w:p w14:paraId="3A87006B" w14:textId="166B4F93" w:rsidR="008078A4" w:rsidRPr="000E5B3A" w:rsidRDefault="008078A4" w:rsidP="004E18E9">
      <w:pPr>
        <w:pStyle w:val="3-BodyText"/>
      </w:pPr>
      <w:r w:rsidRPr="000E5B3A">
        <w:t xml:space="preserve">Retifanlimab is a humanised, hinge-stabilised, immunoglobulin (Ig) G4κ monoclonal antibody that </w:t>
      </w:r>
      <w:r w:rsidR="00CD0B82" w:rsidRPr="000E5B3A">
        <w:t xml:space="preserve">binds to </w:t>
      </w:r>
      <w:r w:rsidRPr="000E5B3A">
        <w:t>human programmed cell death protein 1 (PD-1) receptor</w:t>
      </w:r>
      <w:r w:rsidR="00A77A54" w:rsidRPr="000E5B3A">
        <w:t>.</w:t>
      </w:r>
      <w:r w:rsidRPr="000E5B3A">
        <w:t xml:space="preserve"> Retifanlimab is designed to restore </w:t>
      </w:r>
      <w:r w:rsidR="00F04290" w:rsidRPr="000E5B3A">
        <w:t>immune</w:t>
      </w:r>
      <w:r w:rsidR="00EE708D" w:rsidRPr="000E5B3A">
        <w:t xml:space="preserve"> </w:t>
      </w:r>
      <w:r w:rsidRPr="000E5B3A">
        <w:t xml:space="preserve">effector function </w:t>
      </w:r>
      <w:r w:rsidR="00C1721E" w:rsidRPr="000E5B3A">
        <w:t>(</w:t>
      </w:r>
      <w:r w:rsidR="00627CE5" w:rsidRPr="000E5B3A">
        <w:t>e.g.</w:t>
      </w:r>
      <w:r w:rsidR="00C1721E" w:rsidRPr="000E5B3A">
        <w:t xml:space="preserve"> T cell</w:t>
      </w:r>
      <w:r w:rsidR="00FA7934" w:rsidRPr="000E5B3A">
        <w:t xml:space="preserve"> activity</w:t>
      </w:r>
      <w:r w:rsidR="00C1721E" w:rsidRPr="000E5B3A">
        <w:t xml:space="preserve">) </w:t>
      </w:r>
      <w:r w:rsidRPr="000E5B3A">
        <w:t>by blocking checkpoint inhibitory interactions between PD-1 and its two ligands, PD-L1 and PD-L2.</w:t>
      </w:r>
    </w:p>
    <w:p w14:paraId="13D37577" w14:textId="4235DAD2" w:rsidR="00875D3C" w:rsidRPr="000E5B3A" w:rsidRDefault="00875D3C" w:rsidP="00744CBA">
      <w:pPr>
        <w:pStyle w:val="3-BodyText"/>
        <w:numPr>
          <w:ilvl w:val="0"/>
          <w:numId w:val="0"/>
        </w:numPr>
        <w:ind w:left="720"/>
      </w:pPr>
      <w:r w:rsidRPr="000E5B3A">
        <w:rPr>
          <w:i/>
          <w:iCs/>
        </w:rPr>
        <w:t>For more detail on PBAC’s view, see section 7 PBAC outcome.</w:t>
      </w:r>
    </w:p>
    <w:p w14:paraId="51E5AE96" w14:textId="136A63B1" w:rsidR="00B50DB8" w:rsidRPr="000E5B3A" w:rsidRDefault="00B50DB8" w:rsidP="004E18E9">
      <w:pPr>
        <w:pStyle w:val="2-SectionHeading"/>
      </w:pPr>
      <w:bookmarkStart w:id="13" w:name="_Toc208995336"/>
      <w:r w:rsidRPr="000E5B3A">
        <w:t>Comparator</w:t>
      </w:r>
      <w:bookmarkEnd w:id="13"/>
    </w:p>
    <w:p w14:paraId="2D1F8ADE" w14:textId="775AC595" w:rsidR="003B6012" w:rsidRDefault="00CC11F4" w:rsidP="00BA2761">
      <w:pPr>
        <w:pStyle w:val="3-BodyText"/>
      </w:pPr>
      <w:bookmarkStart w:id="14" w:name="_Toc208995337"/>
      <w:bookmarkStart w:id="15" w:name="_Toc22897640"/>
      <w:r w:rsidRPr="000E5B3A">
        <w:t xml:space="preserve">For patients with inoperable locally recurrent or metastatic SCAC not previously treated with systemic chemotherapy, the submission nominated CP as the main comparator to retifanlimab + CP. The justifications were that CP is the current standard of care for the </w:t>
      </w:r>
      <w:r w:rsidR="00B15FF4" w:rsidRPr="000E5B3A">
        <w:t>1L</w:t>
      </w:r>
      <w:r w:rsidRPr="000E5B3A">
        <w:t xml:space="preserve"> treatment of advanced or metastatic SCAC in the NCCN and ESMO guidelines, </w:t>
      </w:r>
      <w:r w:rsidR="00D73246">
        <w:t xml:space="preserve">and that </w:t>
      </w:r>
      <w:r w:rsidRPr="000E5B3A">
        <w:t xml:space="preserve">both carboplatin and paclitaxel are </w:t>
      </w:r>
      <w:r w:rsidR="00D73246">
        <w:t xml:space="preserve">subsidised </w:t>
      </w:r>
      <w:r w:rsidRPr="000E5B3A">
        <w:t xml:space="preserve">via the PBS (unrestricted benefit). </w:t>
      </w:r>
      <w:r w:rsidR="00364384" w:rsidRPr="000E5B3A">
        <w:t xml:space="preserve">The ESC noted that at its September 2025 intracycle meeting, the PBAC considered a proposal for nivolumab + ipilimumab as an ‘expanded listing to facilitate broad access for the treatment of unresectable advanced and metastatic cancer’. At that meeting the PBAC recommended a multi-indication (broad) listing for nivolumab and ipilimumab in advanced or metastatic cancers, which would include SCAC, however nivolumab is not currently TGA registered for this indication. </w:t>
      </w:r>
    </w:p>
    <w:p w14:paraId="1CBE554F" w14:textId="18270CB7" w:rsidR="00D60D1A" w:rsidRPr="000E5B3A" w:rsidRDefault="00CC11F4" w:rsidP="00BA2761">
      <w:pPr>
        <w:pStyle w:val="3-BodyText"/>
      </w:pPr>
      <w:r w:rsidRPr="000E5B3A">
        <w:t xml:space="preserve">The evaluation </w:t>
      </w:r>
      <w:r w:rsidR="00F020E1" w:rsidRPr="000E5B3A">
        <w:t xml:space="preserve">and the ESC </w:t>
      </w:r>
      <w:r w:rsidRPr="000E5B3A">
        <w:t>considered that the nomination of CP as comparator to retifanlimab + CP was reasonable</w:t>
      </w:r>
      <w:r w:rsidR="000F2E91" w:rsidRPr="000E5B3A">
        <w:t>.</w:t>
      </w:r>
    </w:p>
    <w:p w14:paraId="32AB1BC5" w14:textId="0A854629" w:rsidR="00765C1E" w:rsidRPr="000E5B3A" w:rsidRDefault="00765C1E" w:rsidP="00A96676">
      <w:pPr>
        <w:pStyle w:val="3-BodyText"/>
        <w:numPr>
          <w:ilvl w:val="0"/>
          <w:numId w:val="0"/>
        </w:numPr>
        <w:ind w:left="720"/>
        <w:rPr>
          <w:i/>
          <w:iCs/>
        </w:rPr>
      </w:pPr>
      <w:r w:rsidRPr="000E5B3A">
        <w:rPr>
          <w:i/>
          <w:iCs/>
        </w:rPr>
        <w:t>For more detail on PBAC’s view, see section 7 PBAC outcome.</w:t>
      </w:r>
    </w:p>
    <w:p w14:paraId="7F9C27C8" w14:textId="77777777" w:rsidR="00223D5A" w:rsidRPr="000E5B3A" w:rsidRDefault="00223D5A" w:rsidP="00223D5A">
      <w:pPr>
        <w:pStyle w:val="2-SectionHeading"/>
        <w:numPr>
          <w:ilvl w:val="0"/>
          <w:numId w:val="1"/>
        </w:numPr>
      </w:pPr>
      <w:r w:rsidRPr="000E5B3A">
        <w:t>Consideration of the evidence</w:t>
      </w:r>
      <w:bookmarkEnd w:id="14"/>
    </w:p>
    <w:p w14:paraId="558AA460" w14:textId="77777777" w:rsidR="00870921" w:rsidRPr="000E5B3A" w:rsidRDefault="00870921" w:rsidP="00870921">
      <w:pPr>
        <w:pStyle w:val="4-SubsectionHeading"/>
        <w:rPr>
          <w:lang w:eastAsia="en-AU"/>
        </w:rPr>
      </w:pPr>
      <w:bookmarkStart w:id="16" w:name="_Hlk76375935"/>
      <w:bookmarkStart w:id="17" w:name="_Toc208995338"/>
      <w:r w:rsidRPr="000E5B3A">
        <w:t>Sponsor</w:t>
      </w:r>
      <w:r w:rsidRPr="000E5B3A">
        <w:rPr>
          <w:lang w:eastAsia="en-AU"/>
        </w:rPr>
        <w:t xml:space="preserve"> hearing</w:t>
      </w:r>
    </w:p>
    <w:p w14:paraId="42D0EA6A" w14:textId="77777777" w:rsidR="00870921" w:rsidRPr="000E5B3A" w:rsidRDefault="00870921" w:rsidP="00870921">
      <w:pPr>
        <w:widowControl w:val="0"/>
        <w:numPr>
          <w:ilvl w:val="1"/>
          <w:numId w:val="1"/>
        </w:numPr>
        <w:spacing w:after="120"/>
        <w:rPr>
          <w:rFonts w:cs="Calibri"/>
          <w:bCs/>
          <w:snapToGrid w:val="0"/>
        </w:rPr>
      </w:pPr>
      <w:r w:rsidRPr="000E5B3A">
        <w:rPr>
          <w:rFonts w:cs="Calibri"/>
          <w:bCs/>
          <w:snapToGrid w:val="0"/>
        </w:rPr>
        <w:t>There was no hearing for this item.</w:t>
      </w:r>
    </w:p>
    <w:p w14:paraId="19A7A08C" w14:textId="77777777" w:rsidR="00006416" w:rsidRPr="000E5B3A" w:rsidRDefault="00006416" w:rsidP="00155C54">
      <w:pPr>
        <w:pStyle w:val="4-SubsectionHeading"/>
        <w:keepLines/>
      </w:pPr>
      <w:r w:rsidRPr="000E5B3A">
        <w:lastRenderedPageBreak/>
        <w:t>Consumer comments</w:t>
      </w:r>
    </w:p>
    <w:p w14:paraId="6CD8B903" w14:textId="03D1C602" w:rsidR="00D47444" w:rsidRPr="000E5B3A" w:rsidRDefault="006B44DB" w:rsidP="00155C54">
      <w:pPr>
        <w:keepNext/>
        <w:keepLines/>
        <w:widowControl w:val="0"/>
        <w:numPr>
          <w:ilvl w:val="1"/>
          <w:numId w:val="1"/>
        </w:numPr>
        <w:spacing w:after="120"/>
        <w:rPr>
          <w:iCs/>
          <w:snapToGrid w:val="0"/>
        </w:rPr>
      </w:pPr>
      <w:bookmarkStart w:id="18" w:name="_Hlk76382618"/>
      <w:r w:rsidRPr="000E5B3A">
        <w:rPr>
          <w:rFonts w:asciiTheme="minorHAnsi" w:hAnsiTheme="minorHAnsi"/>
          <w:bCs/>
          <w:iCs/>
          <w:snapToGrid w:val="0"/>
        </w:rPr>
        <w:t>The PBAC noted and welcomed the input from health care professionals (17) and organisations (2) including Rare Cancers Australia and MOGA, via the Consumer Comments facility on the PBS website.</w:t>
      </w:r>
      <w:r w:rsidRPr="000E5B3A">
        <w:rPr>
          <w:rFonts w:asciiTheme="minorHAnsi" w:hAnsiTheme="minorHAnsi"/>
          <w:bCs/>
          <w:i/>
          <w:snapToGrid w:val="0"/>
        </w:rPr>
        <w:t xml:space="preserve"> </w:t>
      </w:r>
      <w:r w:rsidR="00D47444" w:rsidRPr="000E5B3A">
        <w:rPr>
          <w:rFonts w:asciiTheme="minorHAnsi" w:hAnsiTheme="minorHAnsi"/>
          <w:bCs/>
          <w:snapToGrid w:val="0"/>
        </w:rPr>
        <w:t>C</w:t>
      </w:r>
      <w:r w:rsidRPr="000E5B3A">
        <w:rPr>
          <w:rFonts w:asciiTheme="minorHAnsi" w:hAnsiTheme="minorHAnsi"/>
          <w:bCs/>
          <w:snapToGrid w:val="0"/>
        </w:rPr>
        <w:t xml:space="preserve">omments </w:t>
      </w:r>
      <w:r w:rsidR="00D47444" w:rsidRPr="000E5B3A">
        <w:rPr>
          <w:rFonts w:asciiTheme="minorHAnsi" w:hAnsiTheme="minorHAnsi"/>
          <w:bCs/>
          <w:snapToGrid w:val="0"/>
        </w:rPr>
        <w:t>highlighted</w:t>
      </w:r>
      <w:r w:rsidRPr="000E5B3A">
        <w:t xml:space="preserve"> the clinical need for new therapies for advanced SCAC</w:t>
      </w:r>
      <w:r w:rsidR="007A79AB" w:rsidRPr="000E5B3A">
        <w:rPr>
          <w:iCs/>
          <w:snapToGrid w:val="0"/>
        </w:rPr>
        <w:t>, the limited effectiveness of current chemotherapy options, and the challenges of conducting large trials in rare conditions.</w:t>
      </w:r>
      <w:r w:rsidR="009F5CF3" w:rsidRPr="000E5B3A">
        <w:rPr>
          <w:iCs/>
          <w:snapToGrid w:val="0"/>
        </w:rPr>
        <w:t xml:space="preserve"> </w:t>
      </w:r>
      <w:r w:rsidR="00D47444" w:rsidRPr="000E5B3A">
        <w:rPr>
          <w:iCs/>
          <w:snapToGrid w:val="0"/>
        </w:rPr>
        <w:t>People living with recurrent</w:t>
      </w:r>
      <w:r w:rsidR="00AF5F41" w:rsidRPr="000E5B3A">
        <w:rPr>
          <w:iCs/>
          <w:snapToGrid w:val="0"/>
        </w:rPr>
        <w:t>/</w:t>
      </w:r>
      <w:r w:rsidR="00D47444" w:rsidRPr="000E5B3A">
        <w:rPr>
          <w:iCs/>
          <w:snapToGrid w:val="0"/>
        </w:rPr>
        <w:t>metastatic disease described significant impacts on quality of life, including pain, fatigue, premature menopause, infertility, financial distress, and stigma. Health</w:t>
      </w:r>
      <w:r w:rsidR="00916C6C" w:rsidRPr="000E5B3A">
        <w:rPr>
          <w:iCs/>
          <w:snapToGrid w:val="0"/>
        </w:rPr>
        <w:t>care</w:t>
      </w:r>
      <w:r w:rsidR="00D47444" w:rsidRPr="000E5B3A">
        <w:rPr>
          <w:iCs/>
          <w:snapToGrid w:val="0"/>
        </w:rPr>
        <w:t xml:space="preserve"> professionals noted that </w:t>
      </w:r>
      <w:r w:rsidR="00916C6C" w:rsidRPr="000E5B3A">
        <w:rPr>
          <w:iCs/>
        </w:rPr>
        <w:t xml:space="preserve">median survival </w:t>
      </w:r>
      <w:r w:rsidR="003B2CE6" w:rsidRPr="000E5B3A">
        <w:rPr>
          <w:iCs/>
        </w:rPr>
        <w:t xml:space="preserve">for SCAC is </w:t>
      </w:r>
      <w:r w:rsidR="00916C6C" w:rsidRPr="000E5B3A">
        <w:rPr>
          <w:iCs/>
        </w:rPr>
        <w:t>less than 2 years</w:t>
      </w:r>
      <w:r w:rsidR="003B2CE6" w:rsidRPr="000E5B3A">
        <w:rPr>
          <w:iCs/>
        </w:rPr>
        <w:t>, and</w:t>
      </w:r>
      <w:r w:rsidR="00916C6C" w:rsidRPr="000E5B3A">
        <w:rPr>
          <w:iCs/>
        </w:rPr>
        <w:t xml:space="preserve"> </w:t>
      </w:r>
      <w:r w:rsidR="00D47444" w:rsidRPr="000E5B3A">
        <w:rPr>
          <w:iCs/>
          <w:snapToGrid w:val="0"/>
        </w:rPr>
        <w:t>current treatment options are limited to older chemotherapy agents and responses are short-lived.</w:t>
      </w:r>
      <w:r w:rsidR="003B2CE6" w:rsidRPr="000E5B3A">
        <w:t xml:space="preserve"> Input described a range of </w:t>
      </w:r>
      <w:r w:rsidR="009F5CF3" w:rsidRPr="000E5B3A">
        <w:t xml:space="preserve">potential </w:t>
      </w:r>
      <w:r w:rsidR="003B2CE6" w:rsidRPr="000E5B3A">
        <w:t>benefits of retifanlimab, including improved response rates and disease control</w:t>
      </w:r>
      <w:r w:rsidR="009F5CF3" w:rsidRPr="000E5B3A">
        <w:t xml:space="preserve">. </w:t>
      </w:r>
    </w:p>
    <w:p w14:paraId="0A69EE61" w14:textId="51B9EC06" w:rsidR="000D35A0" w:rsidRPr="000E5B3A" w:rsidRDefault="000D35A0" w:rsidP="006B44DB">
      <w:pPr>
        <w:pStyle w:val="3-BodyText"/>
        <w:rPr>
          <w:snapToGrid w:val="0"/>
        </w:rPr>
      </w:pPr>
      <w:r w:rsidRPr="000E5B3A">
        <w:rPr>
          <w:snapToGrid w:val="0"/>
        </w:rPr>
        <w:t>The PBAC noted that the Medical Oncology Group of Australia (MOGA) expressed support for the submission</w:t>
      </w:r>
      <w:r w:rsidR="00477A52">
        <w:rPr>
          <w:snapToGrid w:val="0"/>
        </w:rPr>
        <w:t xml:space="preserve">. While </w:t>
      </w:r>
      <w:r w:rsidR="00B72F47">
        <w:rPr>
          <w:snapToGrid w:val="0"/>
        </w:rPr>
        <w:t xml:space="preserve">MOGA noted the results from </w:t>
      </w:r>
      <w:r w:rsidR="00B72F47" w:rsidRPr="000E5B3A">
        <w:rPr>
          <w:snapToGrid w:val="0"/>
        </w:rPr>
        <w:t>POD1UM-303</w:t>
      </w:r>
      <w:r w:rsidR="00B72F47">
        <w:rPr>
          <w:snapToGrid w:val="0"/>
        </w:rPr>
        <w:t xml:space="preserve">, it </w:t>
      </w:r>
      <w:r w:rsidRPr="000E5B3A">
        <w:rPr>
          <w:snapToGrid w:val="0"/>
        </w:rPr>
        <w:t>referred to the POD1UM-202 trial rather than the relevant</w:t>
      </w:r>
      <w:r w:rsidR="008F7928">
        <w:rPr>
          <w:snapToGrid w:val="0"/>
        </w:rPr>
        <w:t>,</w:t>
      </w:r>
      <w:r w:rsidRPr="000E5B3A">
        <w:rPr>
          <w:snapToGrid w:val="0"/>
        </w:rPr>
        <w:t xml:space="preserve"> POD1UM-303 trial. The PBAC considered </w:t>
      </w:r>
      <w:r w:rsidR="00883784">
        <w:rPr>
          <w:snapToGrid w:val="0"/>
        </w:rPr>
        <w:t xml:space="preserve">it was unclear whether </w:t>
      </w:r>
      <w:r w:rsidRPr="000E5B3A">
        <w:rPr>
          <w:snapToGrid w:val="0"/>
        </w:rPr>
        <w:t>MOGA may have expressed stronger support if the POD1UM-303 trial had been considered.</w:t>
      </w:r>
    </w:p>
    <w:p w14:paraId="0D11BB88" w14:textId="06B99952" w:rsidR="007B08BF" w:rsidRPr="000E5B3A" w:rsidRDefault="007B08BF" w:rsidP="006B44DB">
      <w:pPr>
        <w:pStyle w:val="3-BodyText"/>
      </w:pPr>
      <w:bookmarkStart w:id="19" w:name="_Ref229469731"/>
      <w:r w:rsidRPr="000E5B3A">
        <w:t xml:space="preserve">The PBAC considered that, based on consumer input, improving response and survival </w:t>
      </w:r>
      <w:r w:rsidR="00477A52">
        <w:t>are</w:t>
      </w:r>
      <w:r w:rsidRPr="000E5B3A">
        <w:t xml:space="preserve"> the most important outcome</w:t>
      </w:r>
      <w:r w:rsidR="00477A52">
        <w:t>s</w:t>
      </w:r>
      <w:r w:rsidRPr="000E5B3A">
        <w:t xml:space="preserve"> for people living with this </w:t>
      </w:r>
      <w:r w:rsidR="00C8713D">
        <w:t>condition</w:t>
      </w:r>
      <w:r w:rsidRPr="000E5B3A">
        <w:t>.</w:t>
      </w:r>
      <w:bookmarkEnd w:id="19"/>
    </w:p>
    <w:bookmarkEnd w:id="16"/>
    <w:bookmarkEnd w:id="18"/>
    <w:p w14:paraId="609C0765" w14:textId="16261855" w:rsidR="00B60939" w:rsidRPr="000E5B3A" w:rsidRDefault="00B60939" w:rsidP="002E4F02">
      <w:pPr>
        <w:pStyle w:val="4-SubsectionHeading"/>
      </w:pPr>
      <w:r w:rsidRPr="000E5B3A">
        <w:t>Clinical</w:t>
      </w:r>
      <w:r w:rsidR="00273628" w:rsidRPr="000E5B3A">
        <w:t xml:space="preserve"> </w:t>
      </w:r>
      <w:r w:rsidRPr="000E5B3A">
        <w:t>trials</w:t>
      </w:r>
      <w:bookmarkEnd w:id="15"/>
      <w:bookmarkEnd w:id="17"/>
    </w:p>
    <w:p w14:paraId="17DE34DC" w14:textId="72A42193" w:rsidR="007F1017" w:rsidRPr="000E5B3A" w:rsidRDefault="00A73134" w:rsidP="002E4F02">
      <w:pPr>
        <w:pStyle w:val="3-BodyText"/>
      </w:pPr>
      <w:bookmarkStart w:id="20" w:name="_Ref215569635"/>
      <w:r w:rsidRPr="000E5B3A">
        <w:t xml:space="preserve">The submission </w:t>
      </w:r>
      <w:r w:rsidR="00D5243B" w:rsidRPr="000E5B3A">
        <w:t>wa</w:t>
      </w:r>
      <w:r w:rsidRPr="000E5B3A">
        <w:t xml:space="preserve">s based on one head-to-head trial comparing </w:t>
      </w:r>
      <w:r w:rsidR="00F7637B" w:rsidRPr="000E5B3A">
        <w:t xml:space="preserve">retifanlimab + CP </w:t>
      </w:r>
      <w:r w:rsidRPr="000E5B3A">
        <w:t xml:space="preserve">to </w:t>
      </w:r>
      <w:r w:rsidR="00F7637B" w:rsidRPr="000E5B3A">
        <w:t>placebo + CP</w:t>
      </w:r>
      <w:r w:rsidRPr="000E5B3A">
        <w:t xml:space="preserve"> (</w:t>
      </w:r>
      <w:r w:rsidR="00F7637B" w:rsidRPr="000E5B3A">
        <w:t>N</w:t>
      </w:r>
      <w:r w:rsidRPr="000E5B3A">
        <w:t>=</w:t>
      </w:r>
      <w:r w:rsidR="00F7637B" w:rsidRPr="000E5B3A">
        <w:t>308</w:t>
      </w:r>
      <w:r w:rsidRPr="000E5B3A">
        <w:t>)</w:t>
      </w:r>
      <w:r w:rsidR="00F7637B" w:rsidRPr="000E5B3A">
        <w:t>,</w:t>
      </w:r>
      <w:r w:rsidRPr="000E5B3A">
        <w:t xml:space="preserve"> </w:t>
      </w:r>
      <w:r w:rsidR="00F7637B" w:rsidRPr="000E5B3A">
        <w:t>POD1UM-303</w:t>
      </w:r>
      <w:r w:rsidRPr="000E5B3A">
        <w:t>.</w:t>
      </w:r>
      <w:bookmarkEnd w:id="20"/>
    </w:p>
    <w:p w14:paraId="2B59ABAC" w14:textId="34A9B83E" w:rsidR="00862502" w:rsidRPr="000E5B3A" w:rsidRDefault="00A73134" w:rsidP="002E4F02">
      <w:pPr>
        <w:pStyle w:val="3-BodyText"/>
      </w:pPr>
      <w:r w:rsidRPr="000E5B3A">
        <w:t xml:space="preserve">Details of </w:t>
      </w:r>
      <w:r w:rsidR="0072080A" w:rsidRPr="000E5B3A">
        <w:t xml:space="preserve">POD1UM-303 as </w:t>
      </w:r>
      <w:r w:rsidRPr="000E5B3A">
        <w:t>presented in the submission are provided in</w:t>
      </w:r>
      <w:r w:rsidR="00F7637B" w:rsidRPr="000E5B3A">
        <w:t xml:space="preserve"> </w:t>
      </w:r>
      <w:r w:rsidR="00F7637B" w:rsidRPr="000E5B3A">
        <w:fldChar w:fldCharType="begin"/>
      </w:r>
      <w:r w:rsidR="00F7637B" w:rsidRPr="000E5B3A">
        <w:instrText xml:space="preserve"> REF _Ref104803956 \h </w:instrText>
      </w:r>
      <w:r w:rsidR="00F7637B" w:rsidRPr="000E5B3A">
        <w:fldChar w:fldCharType="separate"/>
      </w:r>
      <w:r w:rsidR="00DB6E72" w:rsidRPr="000E5B3A">
        <w:t xml:space="preserve">Table </w:t>
      </w:r>
      <w:r w:rsidR="00DB6E72">
        <w:rPr>
          <w:noProof/>
        </w:rPr>
        <w:t>2</w:t>
      </w:r>
      <w:r w:rsidR="00F7637B" w:rsidRPr="000E5B3A">
        <w:fldChar w:fldCharType="end"/>
      </w:r>
      <w:r w:rsidRPr="000E5B3A">
        <w:t>.</w:t>
      </w:r>
    </w:p>
    <w:p w14:paraId="7DE3A286" w14:textId="1BE82ED7" w:rsidR="008E0D3C" w:rsidRPr="000E5B3A" w:rsidRDefault="00696EF9" w:rsidP="00366FD4">
      <w:pPr>
        <w:pStyle w:val="TableFigureHeading"/>
        <w:keepLines/>
        <w:rPr>
          <w:rStyle w:val="CommentReference"/>
          <w:b/>
          <w:szCs w:val="24"/>
        </w:rPr>
      </w:pPr>
      <w:bookmarkStart w:id="21" w:name="_Ref104803956"/>
      <w:r w:rsidRPr="000E5B3A">
        <w:lastRenderedPageBreak/>
        <w:t xml:space="preserve">Table </w:t>
      </w:r>
      <w:fldSimple w:instr=" SEQ Table \* ARABIC ">
        <w:r w:rsidR="00DB6E72">
          <w:rPr>
            <w:noProof/>
          </w:rPr>
          <w:t>2</w:t>
        </w:r>
      </w:fldSimple>
      <w:bookmarkEnd w:id="21"/>
      <w:r w:rsidRPr="000E5B3A">
        <w:t>:</w:t>
      </w:r>
      <w:r w:rsidR="00BC591F" w:rsidRPr="000E5B3A">
        <w:rPr>
          <w:rStyle w:val="CommentReference"/>
          <w:b/>
          <w:szCs w:val="24"/>
        </w:rPr>
        <w:t xml:space="preserve"> </w:t>
      </w:r>
      <w:r w:rsidR="008E0D3C" w:rsidRPr="000E5B3A">
        <w:rPr>
          <w:rStyle w:val="CommentReference"/>
          <w:b/>
          <w:szCs w:val="24"/>
        </w:rPr>
        <w:t xml:space="preserve">Trials and associated reports presented in the </w:t>
      </w:r>
      <w:r w:rsidR="00627CE5" w:rsidRPr="000E5B3A">
        <w:rPr>
          <w:rStyle w:val="CommentReference"/>
          <w:b/>
          <w:szCs w:val="24"/>
        </w:rPr>
        <w:t>submission.</w:t>
      </w:r>
    </w:p>
    <w:tbl>
      <w:tblPr>
        <w:tblStyle w:val="TableGrid"/>
        <w:tblW w:w="5000" w:type="pct"/>
        <w:tblLook w:val="04A0" w:firstRow="1" w:lastRow="0" w:firstColumn="1" w:lastColumn="0" w:noHBand="0" w:noVBand="1"/>
        <w:tblCaption w:val="Table 2: Trials and associated reports presented in the submission."/>
      </w:tblPr>
      <w:tblGrid>
        <w:gridCol w:w="1392"/>
        <w:gridCol w:w="5456"/>
        <w:gridCol w:w="2168"/>
      </w:tblGrid>
      <w:tr w:rsidR="00F7637B" w:rsidRPr="000E5B3A" w14:paraId="2A5E3652" w14:textId="77777777" w:rsidTr="00034C26">
        <w:trPr>
          <w:trHeight w:val="20"/>
        </w:trPr>
        <w:tc>
          <w:tcPr>
            <w:tcW w:w="772" w:type="pct"/>
            <w:vAlign w:val="center"/>
          </w:tcPr>
          <w:p w14:paraId="1E7133C0" w14:textId="77777777" w:rsidR="00F7637B" w:rsidRPr="000E5B3A" w:rsidRDefault="00F7637B" w:rsidP="00366FD4">
            <w:pPr>
              <w:pStyle w:val="In-tableHeading"/>
              <w:widowControl w:val="0"/>
              <w:rPr>
                <w:lang w:val="en-AU"/>
              </w:rPr>
            </w:pPr>
            <w:r w:rsidRPr="000E5B3A">
              <w:rPr>
                <w:lang w:val="en-AU"/>
              </w:rPr>
              <w:t>Trial ID</w:t>
            </w:r>
          </w:p>
        </w:tc>
        <w:tc>
          <w:tcPr>
            <w:tcW w:w="3026" w:type="pct"/>
            <w:vAlign w:val="center"/>
          </w:tcPr>
          <w:p w14:paraId="77DAFC2D" w14:textId="77777777" w:rsidR="00F7637B" w:rsidRPr="000E5B3A" w:rsidRDefault="00F7637B" w:rsidP="00366FD4">
            <w:pPr>
              <w:pStyle w:val="In-tableHeading"/>
              <w:widowControl w:val="0"/>
              <w:rPr>
                <w:lang w:val="en-AU"/>
              </w:rPr>
            </w:pPr>
            <w:r w:rsidRPr="000E5B3A">
              <w:rPr>
                <w:lang w:val="en-AU"/>
              </w:rPr>
              <w:t>Protocol title/ Publication title</w:t>
            </w:r>
          </w:p>
        </w:tc>
        <w:tc>
          <w:tcPr>
            <w:tcW w:w="1202" w:type="pct"/>
            <w:vAlign w:val="center"/>
          </w:tcPr>
          <w:p w14:paraId="270949BA" w14:textId="77777777" w:rsidR="00F7637B" w:rsidRPr="000E5B3A" w:rsidRDefault="00F7637B" w:rsidP="00366FD4">
            <w:pPr>
              <w:pStyle w:val="In-tableHeading"/>
              <w:widowControl w:val="0"/>
              <w:rPr>
                <w:lang w:val="en-AU"/>
              </w:rPr>
            </w:pPr>
            <w:r w:rsidRPr="000E5B3A">
              <w:rPr>
                <w:lang w:val="en-AU"/>
              </w:rPr>
              <w:t>Publication citation</w:t>
            </w:r>
          </w:p>
        </w:tc>
      </w:tr>
      <w:tr w:rsidR="00034C26" w:rsidRPr="000E5B3A" w14:paraId="30298571" w14:textId="77777777" w:rsidTr="00034C26">
        <w:tc>
          <w:tcPr>
            <w:tcW w:w="772" w:type="pct"/>
            <w:vMerge w:val="restart"/>
            <w:vAlign w:val="center"/>
          </w:tcPr>
          <w:p w14:paraId="7B56A1C8" w14:textId="77777777" w:rsidR="00034C26" w:rsidRPr="000E5B3A" w:rsidRDefault="00034C26" w:rsidP="00366FD4">
            <w:pPr>
              <w:pStyle w:val="PBACTabletext"/>
              <w:widowControl w:val="0"/>
              <w:rPr>
                <w:rFonts w:eastAsiaTheme="minorHAnsi"/>
              </w:rPr>
            </w:pPr>
            <w:r w:rsidRPr="000E5B3A">
              <w:t>POD1UM-303/</w:t>
            </w:r>
            <w:r w:rsidRPr="000E5B3A">
              <w:br/>
              <w:t>InterAACT 2 (NCT04472429)</w:t>
            </w:r>
          </w:p>
        </w:tc>
        <w:tc>
          <w:tcPr>
            <w:tcW w:w="3026" w:type="pct"/>
          </w:tcPr>
          <w:p w14:paraId="45896620" w14:textId="77777777" w:rsidR="00034C26" w:rsidRPr="000E5B3A" w:rsidRDefault="00034C26" w:rsidP="00366FD4">
            <w:pPr>
              <w:pStyle w:val="PBACTabletext"/>
              <w:widowControl w:val="0"/>
            </w:pPr>
            <w:r w:rsidRPr="000E5B3A">
              <w:t>A Phase 3 Global, Multicenter, Double-Blind Randomized Study of Carboplatin-Paclitaxel With INCMGA00012 or Placebo in Participants With Inoperable Locally Recurrent or Metastatic Squamous Cell Carcinoma of the Anal Canal Not Previously Treated With Systemic Chemotherapy (POD1UM-303/InterAACT 2)</w:t>
            </w:r>
          </w:p>
        </w:tc>
        <w:tc>
          <w:tcPr>
            <w:tcW w:w="1202" w:type="pct"/>
            <w:vAlign w:val="center"/>
          </w:tcPr>
          <w:p w14:paraId="431FA5D4" w14:textId="6D2FDC4B" w:rsidR="00034C26" w:rsidRPr="000E5B3A" w:rsidRDefault="00034C26" w:rsidP="00366FD4">
            <w:pPr>
              <w:pStyle w:val="PBACTabletext"/>
              <w:widowControl w:val="0"/>
            </w:pPr>
            <w:r w:rsidRPr="000E5B3A">
              <w:t>Clinical Study Report - interim analyses, 15 April 2024</w:t>
            </w:r>
          </w:p>
        </w:tc>
      </w:tr>
      <w:tr w:rsidR="00034C26" w:rsidRPr="000E5B3A" w14:paraId="02AEED34" w14:textId="77777777" w:rsidTr="00034C26">
        <w:tc>
          <w:tcPr>
            <w:tcW w:w="772" w:type="pct"/>
            <w:vMerge/>
          </w:tcPr>
          <w:p w14:paraId="43F10835" w14:textId="77777777" w:rsidR="00034C26" w:rsidRPr="000E5B3A" w:rsidRDefault="00034C26" w:rsidP="00366FD4">
            <w:pPr>
              <w:pStyle w:val="PBACTabletext"/>
              <w:widowControl w:val="0"/>
            </w:pPr>
          </w:p>
        </w:tc>
        <w:tc>
          <w:tcPr>
            <w:tcW w:w="3026" w:type="pct"/>
          </w:tcPr>
          <w:p w14:paraId="10D4B006" w14:textId="77777777" w:rsidR="00034C26" w:rsidRPr="000E5B3A" w:rsidRDefault="00034C26" w:rsidP="00366FD4">
            <w:pPr>
              <w:pStyle w:val="PBACTabletext"/>
              <w:widowControl w:val="0"/>
            </w:pPr>
            <w:r w:rsidRPr="000E5B3A">
              <w:t xml:space="preserve">Rao S, Jones M, Bowman J, Tian C and Spano J-P (2022) POD1UM-303/InterAACT 2: A phase III, global, randomized, double-blind study of retifanlimab or placebo plus carboplatin-paclitaxel in patients with locally advanced or metastatic squamous cell anal carcinoma. </w:t>
            </w:r>
          </w:p>
        </w:tc>
        <w:tc>
          <w:tcPr>
            <w:tcW w:w="1202" w:type="pct"/>
            <w:vAlign w:val="center"/>
          </w:tcPr>
          <w:p w14:paraId="4A7196B1" w14:textId="77777777" w:rsidR="00034C26" w:rsidRPr="000E5B3A" w:rsidRDefault="00034C26" w:rsidP="00366FD4">
            <w:pPr>
              <w:pStyle w:val="PBACTabletext"/>
              <w:widowControl w:val="0"/>
            </w:pPr>
            <w:r w:rsidRPr="000E5B3A">
              <w:rPr>
                <w:i/>
                <w:iCs/>
              </w:rPr>
              <w:t>Front. Oncol</w:t>
            </w:r>
            <w:r w:rsidRPr="000E5B3A">
              <w:t>. 12:935383. doi: 10.3389/fonc.2022.935383</w:t>
            </w:r>
          </w:p>
        </w:tc>
      </w:tr>
      <w:tr w:rsidR="00034C26" w:rsidRPr="000E5B3A" w14:paraId="1AB35B95" w14:textId="77777777" w:rsidTr="00034C26">
        <w:tc>
          <w:tcPr>
            <w:tcW w:w="772" w:type="pct"/>
            <w:vMerge/>
          </w:tcPr>
          <w:p w14:paraId="0BCEA2C2" w14:textId="77777777" w:rsidR="00034C26" w:rsidRPr="000E5B3A" w:rsidRDefault="00034C26" w:rsidP="00366FD4">
            <w:pPr>
              <w:pStyle w:val="PBACTabletext"/>
              <w:widowControl w:val="0"/>
            </w:pPr>
          </w:p>
        </w:tc>
        <w:tc>
          <w:tcPr>
            <w:tcW w:w="3026" w:type="pct"/>
          </w:tcPr>
          <w:p w14:paraId="1146AF2B" w14:textId="77777777" w:rsidR="00034C26" w:rsidRPr="000E5B3A" w:rsidRDefault="00034C26" w:rsidP="00366FD4">
            <w:pPr>
              <w:pStyle w:val="PBACTabletext"/>
              <w:widowControl w:val="0"/>
            </w:pPr>
            <w:r w:rsidRPr="000E5B3A">
              <w:t xml:space="preserve">Rao, S., Samalin-Scalzi, E., Evesque, L., Abdelghani, M.B., Morano, F., Roy, A.C., et al. (2025) Retifanlimab with carboplatin and paclitaxel for locally recurrent or metastatic squamous cell carcinoma of the anal canal (POD1UM-303/InterAACT-2): a global, phase 3 randomised controlled trial. </w:t>
            </w:r>
          </w:p>
        </w:tc>
        <w:tc>
          <w:tcPr>
            <w:tcW w:w="1202" w:type="pct"/>
            <w:vAlign w:val="center"/>
          </w:tcPr>
          <w:p w14:paraId="5FBAC20D" w14:textId="77777777" w:rsidR="00034C26" w:rsidRPr="000E5B3A" w:rsidRDefault="00034C26" w:rsidP="00366FD4">
            <w:pPr>
              <w:pStyle w:val="PBACTabletext"/>
              <w:widowControl w:val="0"/>
            </w:pPr>
            <w:r w:rsidRPr="000E5B3A">
              <w:t>The Lancet 405: 10495. Available at: PIIS0140-6736(25)00631-2</w:t>
            </w:r>
          </w:p>
        </w:tc>
      </w:tr>
      <w:tr w:rsidR="00034C26" w:rsidRPr="000E5B3A" w14:paraId="37AD2AD8" w14:textId="77777777" w:rsidTr="00034C26">
        <w:tc>
          <w:tcPr>
            <w:tcW w:w="772" w:type="pct"/>
            <w:vMerge/>
          </w:tcPr>
          <w:p w14:paraId="279C4ED1" w14:textId="77777777" w:rsidR="00034C26" w:rsidRPr="000E5B3A" w:rsidRDefault="00034C26" w:rsidP="00366FD4">
            <w:pPr>
              <w:pStyle w:val="PBACTabletext"/>
              <w:widowControl w:val="0"/>
            </w:pPr>
          </w:p>
        </w:tc>
        <w:tc>
          <w:tcPr>
            <w:tcW w:w="3026" w:type="pct"/>
          </w:tcPr>
          <w:p w14:paraId="3288643F" w14:textId="77777777" w:rsidR="00034C26" w:rsidRPr="000E5B3A" w:rsidRDefault="00034C26" w:rsidP="00366FD4">
            <w:pPr>
              <w:pStyle w:val="PBACTabletext"/>
              <w:widowControl w:val="0"/>
            </w:pPr>
            <w:r w:rsidRPr="000E5B3A">
              <w:t>Rao, S., Samalin-Scalzi, E., Evesque, L., Abdelghani, M.B., Morano, F., Roy, A.C., Dahan, L., Tamberi, S., Dhadda, A.S., Saunders, M.P. and Casanova, N., 2024. LBA2 POD1UM-303/InterAACT 2: phase III study of retifanlimab with carboplatin-paclitaxel (c-p) in patients (Pts) with inoperable locally recurrent or metastatic squamous cell carcinoma of the anal canal (SCAC) not previously treated with systemic chemotherapy (Chemo).</w:t>
            </w:r>
          </w:p>
        </w:tc>
        <w:tc>
          <w:tcPr>
            <w:tcW w:w="1202" w:type="pct"/>
            <w:vAlign w:val="center"/>
          </w:tcPr>
          <w:p w14:paraId="357A80D5" w14:textId="77777777" w:rsidR="00034C26" w:rsidRPr="000E5B3A" w:rsidRDefault="00034C26" w:rsidP="00366FD4">
            <w:pPr>
              <w:pStyle w:val="PBACTabletext"/>
              <w:widowControl w:val="0"/>
            </w:pPr>
            <w:r w:rsidRPr="000E5B3A">
              <w:t>Conference abstract Annals of oncology 35: S1217.</w:t>
            </w:r>
          </w:p>
        </w:tc>
      </w:tr>
    </w:tbl>
    <w:p w14:paraId="525CCDB0" w14:textId="77777777" w:rsidR="00F7637B" w:rsidRPr="000E5B3A" w:rsidRDefault="00F7637B" w:rsidP="00366FD4">
      <w:pPr>
        <w:pStyle w:val="TableFigureFooter"/>
        <w:keepNext/>
        <w:rPr>
          <w:rStyle w:val="CommentReference"/>
          <w:b w:val="0"/>
          <w:szCs w:val="24"/>
        </w:rPr>
      </w:pPr>
      <w:r w:rsidRPr="000E5B3A">
        <w:t>Source: Table 14, p44 of the submission.</w:t>
      </w:r>
    </w:p>
    <w:p w14:paraId="1DD06D7D" w14:textId="68800354" w:rsidR="007F1017" w:rsidRPr="000E5B3A" w:rsidRDefault="00296001" w:rsidP="00EC5836">
      <w:pPr>
        <w:pStyle w:val="3-BodyText"/>
      </w:pPr>
      <w:r w:rsidRPr="000E5B3A">
        <w:t xml:space="preserve">POD1UM-303 </w:t>
      </w:r>
      <w:r w:rsidR="00034C26" w:rsidRPr="000E5B3A">
        <w:t xml:space="preserve">was a </w:t>
      </w:r>
      <w:r w:rsidR="006A06E0" w:rsidRPr="000E5B3A">
        <w:t>double-blind</w:t>
      </w:r>
      <w:r w:rsidR="00034C26" w:rsidRPr="000E5B3A">
        <w:t xml:space="preserve"> trial which </w:t>
      </w:r>
      <w:r w:rsidRPr="000E5B3A">
        <w:t xml:space="preserve">compared treatment with retifanlimab + CP </w:t>
      </w:r>
      <w:r w:rsidR="000D1D67" w:rsidRPr="000E5B3A">
        <w:t>with</w:t>
      </w:r>
      <w:r w:rsidRPr="000E5B3A">
        <w:t xml:space="preserve"> placebo + CP</w:t>
      </w:r>
      <w:r w:rsidR="001F4266" w:rsidRPr="000E5B3A">
        <w:t xml:space="preserve"> over a maximum treatment duration of one year</w:t>
      </w:r>
      <w:r w:rsidRPr="000E5B3A">
        <w:t>. After disease progression, patients randomised to placebo + CP could elect to receive open</w:t>
      </w:r>
      <w:r w:rsidR="001F4266" w:rsidRPr="000E5B3A">
        <w:t xml:space="preserve"> </w:t>
      </w:r>
      <w:r w:rsidRPr="000E5B3A">
        <w:t xml:space="preserve">label retifanlimab monotherapy for up to one year. </w:t>
      </w:r>
      <w:r w:rsidR="00E2340C" w:rsidRPr="000E5B3A">
        <w:t>A substantial proportion of p</w:t>
      </w:r>
      <w:r w:rsidR="00BB5276" w:rsidRPr="000E5B3A">
        <w:t xml:space="preserve">atients received anti-cancer treatment </w:t>
      </w:r>
      <w:r w:rsidR="00903CC1" w:rsidRPr="000E5B3A">
        <w:t xml:space="preserve">subsequent to the discontinuation of study treatment </w:t>
      </w:r>
      <w:r w:rsidR="00BB5276" w:rsidRPr="000E5B3A">
        <w:t>(retifanlimab + CP arm: 53.9%; placebo + CP arm: 42.9%)</w:t>
      </w:r>
      <w:r w:rsidR="00BD2F2D" w:rsidRPr="000E5B3A">
        <w:t>.</w:t>
      </w:r>
      <w:r w:rsidR="00BB5276" w:rsidRPr="000E5B3A">
        <w:t xml:space="preserve"> </w:t>
      </w:r>
      <w:r w:rsidR="008F120A" w:rsidRPr="000E5B3A">
        <w:t>The key features of the direct randomised trial are summarised in</w:t>
      </w:r>
      <w:r w:rsidR="00D6076E" w:rsidRPr="000E5B3A">
        <w:t xml:space="preserve"> </w:t>
      </w:r>
      <w:r w:rsidR="00D6076E" w:rsidRPr="000E5B3A">
        <w:fldChar w:fldCharType="begin"/>
      </w:r>
      <w:r w:rsidR="00D6076E" w:rsidRPr="000E5B3A">
        <w:instrText xml:space="preserve"> REF _Ref104804098 \h  \* MERGEFORMAT </w:instrText>
      </w:r>
      <w:r w:rsidR="00D6076E" w:rsidRPr="000E5B3A">
        <w:fldChar w:fldCharType="separate"/>
      </w:r>
      <w:r w:rsidR="00DB6E72" w:rsidRPr="00DB6E72">
        <w:t>Table 3</w:t>
      </w:r>
      <w:r w:rsidR="00D6076E" w:rsidRPr="000E5B3A">
        <w:fldChar w:fldCharType="end"/>
      </w:r>
      <w:r w:rsidR="008F120A" w:rsidRPr="000E5B3A">
        <w:t>.</w:t>
      </w:r>
    </w:p>
    <w:p w14:paraId="355E2F15" w14:textId="27CDF3C6" w:rsidR="007F1017" w:rsidRPr="000E5B3A" w:rsidRDefault="00696EF9" w:rsidP="00D6076E">
      <w:pPr>
        <w:pStyle w:val="Caption"/>
        <w:rPr>
          <w:rStyle w:val="CommentReference"/>
          <w:rFonts w:eastAsiaTheme="majorEastAsia" w:cstheme="majorBidi"/>
          <w:b/>
          <w:szCs w:val="24"/>
        </w:rPr>
      </w:pPr>
      <w:bookmarkStart w:id="22" w:name="_Ref104804098"/>
      <w:r w:rsidRPr="000E5B3A">
        <w:rPr>
          <w:rStyle w:val="CommentReference"/>
          <w:rFonts w:eastAsiaTheme="majorEastAsia" w:cstheme="majorBidi"/>
          <w:b/>
          <w:szCs w:val="24"/>
        </w:rPr>
        <w:t xml:space="preserve">Table </w:t>
      </w:r>
      <w:r w:rsidRPr="000E5B3A">
        <w:rPr>
          <w:rStyle w:val="CommentReference"/>
          <w:rFonts w:eastAsiaTheme="majorEastAsia" w:cstheme="majorBidi"/>
          <w:b/>
          <w:szCs w:val="24"/>
        </w:rPr>
        <w:fldChar w:fldCharType="begin"/>
      </w:r>
      <w:r w:rsidRPr="000E5B3A">
        <w:rPr>
          <w:rStyle w:val="CommentReference"/>
          <w:rFonts w:eastAsiaTheme="majorEastAsia" w:cstheme="majorBidi"/>
          <w:b/>
          <w:szCs w:val="24"/>
        </w:rPr>
        <w:instrText xml:space="preserve"> SEQ Table \* ARABIC </w:instrText>
      </w:r>
      <w:r w:rsidRPr="000E5B3A">
        <w:rPr>
          <w:rStyle w:val="CommentReference"/>
          <w:rFonts w:eastAsiaTheme="majorEastAsia" w:cstheme="majorBidi"/>
          <w:b/>
          <w:szCs w:val="24"/>
        </w:rPr>
        <w:fldChar w:fldCharType="separate"/>
      </w:r>
      <w:r w:rsidR="00DB6E72">
        <w:rPr>
          <w:rStyle w:val="CommentReference"/>
          <w:rFonts w:eastAsiaTheme="majorEastAsia" w:cstheme="majorBidi"/>
          <w:b/>
          <w:noProof/>
          <w:szCs w:val="24"/>
        </w:rPr>
        <w:t>3</w:t>
      </w:r>
      <w:r w:rsidRPr="000E5B3A">
        <w:rPr>
          <w:rStyle w:val="CommentReference"/>
          <w:rFonts w:eastAsiaTheme="majorEastAsia" w:cstheme="majorBidi"/>
          <w:b/>
          <w:szCs w:val="24"/>
        </w:rPr>
        <w:fldChar w:fldCharType="end"/>
      </w:r>
      <w:bookmarkEnd w:id="22"/>
      <w:r w:rsidR="00D6076E" w:rsidRPr="000E5B3A">
        <w:rPr>
          <w:rStyle w:val="CommentReference"/>
          <w:rFonts w:eastAsiaTheme="majorEastAsia" w:cstheme="majorBidi"/>
          <w:b/>
          <w:szCs w:val="24"/>
        </w:rPr>
        <w:t xml:space="preserve">: </w:t>
      </w:r>
      <w:r w:rsidR="007F1017" w:rsidRPr="000E5B3A">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29"/>
        <w:gridCol w:w="566"/>
        <w:gridCol w:w="1419"/>
        <w:gridCol w:w="1277"/>
        <w:gridCol w:w="1560"/>
        <w:gridCol w:w="1132"/>
        <w:gridCol w:w="1933"/>
      </w:tblGrid>
      <w:tr w:rsidR="00F7637B" w:rsidRPr="000E5B3A" w14:paraId="1D44B261" w14:textId="77777777" w:rsidTr="00AA1E50">
        <w:trPr>
          <w:cantSplit/>
          <w:tblHeader/>
        </w:trPr>
        <w:tc>
          <w:tcPr>
            <w:tcW w:w="626" w:type="pct"/>
            <w:vAlign w:val="center"/>
          </w:tcPr>
          <w:p w14:paraId="15BC1AB0" w14:textId="77777777" w:rsidR="00F7637B" w:rsidRPr="000E5B3A" w:rsidRDefault="00F7637B">
            <w:pPr>
              <w:pStyle w:val="In-tableHeading"/>
              <w:rPr>
                <w:lang w:val="en-AU"/>
              </w:rPr>
            </w:pPr>
            <w:r w:rsidRPr="000E5B3A">
              <w:rPr>
                <w:lang w:val="en-AU"/>
              </w:rPr>
              <w:t>Trial</w:t>
            </w:r>
          </w:p>
        </w:tc>
        <w:tc>
          <w:tcPr>
            <w:tcW w:w="314" w:type="pct"/>
            <w:vAlign w:val="center"/>
          </w:tcPr>
          <w:p w14:paraId="6C589658" w14:textId="77777777" w:rsidR="00F7637B" w:rsidRPr="000E5B3A" w:rsidRDefault="00F7637B">
            <w:pPr>
              <w:pStyle w:val="In-tableHeading"/>
              <w:rPr>
                <w:lang w:val="en-AU"/>
              </w:rPr>
            </w:pPr>
            <w:r w:rsidRPr="000E5B3A">
              <w:rPr>
                <w:lang w:val="en-AU"/>
              </w:rPr>
              <w:t>N</w:t>
            </w:r>
          </w:p>
        </w:tc>
        <w:tc>
          <w:tcPr>
            <w:tcW w:w="787" w:type="pct"/>
            <w:vAlign w:val="center"/>
          </w:tcPr>
          <w:p w14:paraId="1D8CA7F4" w14:textId="77777777" w:rsidR="00F7637B" w:rsidRPr="000E5B3A" w:rsidRDefault="00F7637B">
            <w:pPr>
              <w:pStyle w:val="In-tableHeading"/>
              <w:rPr>
                <w:lang w:val="en-AU"/>
              </w:rPr>
            </w:pPr>
            <w:r w:rsidRPr="000E5B3A">
              <w:rPr>
                <w:lang w:val="en-AU"/>
              </w:rPr>
              <w:t>Design/ duration</w:t>
            </w:r>
          </w:p>
        </w:tc>
        <w:tc>
          <w:tcPr>
            <w:tcW w:w="708" w:type="pct"/>
            <w:vAlign w:val="center"/>
          </w:tcPr>
          <w:p w14:paraId="38140A64" w14:textId="77777777" w:rsidR="00F7637B" w:rsidRPr="000E5B3A" w:rsidRDefault="00F7637B">
            <w:pPr>
              <w:pStyle w:val="In-tableHeading"/>
              <w:rPr>
                <w:lang w:val="en-AU"/>
              </w:rPr>
            </w:pPr>
            <w:r w:rsidRPr="000E5B3A">
              <w:rPr>
                <w:lang w:val="en-AU"/>
              </w:rPr>
              <w:t>Risk of bias</w:t>
            </w:r>
          </w:p>
        </w:tc>
        <w:tc>
          <w:tcPr>
            <w:tcW w:w="865" w:type="pct"/>
            <w:vAlign w:val="center"/>
          </w:tcPr>
          <w:p w14:paraId="73DF747E" w14:textId="77777777" w:rsidR="00F7637B" w:rsidRPr="000E5B3A" w:rsidRDefault="00F7637B">
            <w:pPr>
              <w:pStyle w:val="In-tableHeading"/>
              <w:rPr>
                <w:lang w:val="en-AU"/>
              </w:rPr>
            </w:pPr>
            <w:r w:rsidRPr="000E5B3A">
              <w:rPr>
                <w:lang w:val="en-AU"/>
              </w:rPr>
              <w:t>Patient population</w:t>
            </w:r>
          </w:p>
        </w:tc>
        <w:tc>
          <w:tcPr>
            <w:tcW w:w="628" w:type="pct"/>
            <w:vAlign w:val="center"/>
          </w:tcPr>
          <w:p w14:paraId="5E8501A1" w14:textId="77777777" w:rsidR="00F7637B" w:rsidRPr="000E5B3A" w:rsidRDefault="00F7637B">
            <w:pPr>
              <w:pStyle w:val="In-tableHeading"/>
              <w:rPr>
                <w:lang w:val="en-AU"/>
              </w:rPr>
            </w:pPr>
            <w:r w:rsidRPr="000E5B3A">
              <w:rPr>
                <w:lang w:val="en-AU"/>
              </w:rPr>
              <w:t>Outcome(s)</w:t>
            </w:r>
          </w:p>
        </w:tc>
        <w:tc>
          <w:tcPr>
            <w:tcW w:w="1072" w:type="pct"/>
            <w:vAlign w:val="center"/>
          </w:tcPr>
          <w:p w14:paraId="2F9C6112" w14:textId="77777777" w:rsidR="00F7637B" w:rsidRPr="000E5B3A" w:rsidRDefault="00F7637B">
            <w:pPr>
              <w:pStyle w:val="In-tableHeading"/>
              <w:rPr>
                <w:lang w:val="en-AU"/>
              </w:rPr>
            </w:pPr>
            <w:r w:rsidRPr="000E5B3A">
              <w:rPr>
                <w:lang w:val="en-AU"/>
              </w:rPr>
              <w:t>Use in modelled evaluation</w:t>
            </w:r>
          </w:p>
        </w:tc>
      </w:tr>
      <w:tr w:rsidR="00F7637B" w:rsidRPr="000E5B3A" w14:paraId="7F714A99" w14:textId="77777777">
        <w:trPr>
          <w:cantSplit/>
        </w:trPr>
        <w:tc>
          <w:tcPr>
            <w:tcW w:w="5000" w:type="pct"/>
            <w:gridSpan w:val="7"/>
            <w:vAlign w:val="center"/>
          </w:tcPr>
          <w:p w14:paraId="6F7BE79C" w14:textId="5410A1C4" w:rsidR="00F7637B" w:rsidRPr="000E5B3A" w:rsidRDefault="00F7637B" w:rsidP="00F7637B">
            <w:pPr>
              <w:pStyle w:val="In-tableHeading"/>
              <w:jc w:val="left"/>
              <w:rPr>
                <w:lang w:val="en-AU"/>
              </w:rPr>
            </w:pPr>
            <w:r w:rsidRPr="000E5B3A">
              <w:rPr>
                <w:lang w:val="en-AU"/>
              </w:rPr>
              <w:t>Retifanlimab + CP vs placebo + CP</w:t>
            </w:r>
          </w:p>
        </w:tc>
      </w:tr>
      <w:tr w:rsidR="00AA1E50" w:rsidRPr="000E5B3A" w14:paraId="524E5C7D" w14:textId="77777777" w:rsidTr="00AA1E50">
        <w:trPr>
          <w:cantSplit/>
        </w:trPr>
        <w:tc>
          <w:tcPr>
            <w:tcW w:w="626" w:type="pct"/>
            <w:vAlign w:val="center"/>
          </w:tcPr>
          <w:p w14:paraId="3847C465" w14:textId="77777777" w:rsidR="00F7637B" w:rsidRPr="000E5B3A" w:rsidRDefault="00F7637B">
            <w:pPr>
              <w:pStyle w:val="TableText0"/>
            </w:pPr>
            <w:r w:rsidRPr="000E5B3A">
              <w:t>POD1UM-303</w:t>
            </w:r>
          </w:p>
        </w:tc>
        <w:tc>
          <w:tcPr>
            <w:tcW w:w="314" w:type="pct"/>
            <w:vAlign w:val="center"/>
          </w:tcPr>
          <w:p w14:paraId="3446376D" w14:textId="77777777" w:rsidR="00F7637B" w:rsidRPr="000E5B3A" w:rsidRDefault="00F7637B">
            <w:pPr>
              <w:pStyle w:val="TableText0"/>
            </w:pPr>
            <w:r w:rsidRPr="000E5B3A">
              <w:t>304</w:t>
            </w:r>
          </w:p>
        </w:tc>
        <w:tc>
          <w:tcPr>
            <w:tcW w:w="787" w:type="pct"/>
            <w:vAlign w:val="center"/>
          </w:tcPr>
          <w:p w14:paraId="04C9172F" w14:textId="77777777" w:rsidR="00F7637B" w:rsidRPr="000E5B3A" w:rsidRDefault="00F7637B">
            <w:pPr>
              <w:pStyle w:val="TableText0"/>
            </w:pPr>
            <w:r w:rsidRPr="000E5B3A">
              <w:t xml:space="preserve">R, DB, MC </w:t>
            </w:r>
            <w:r w:rsidRPr="000E5B3A">
              <w:rPr>
                <w:vertAlign w:val="superscript"/>
              </w:rPr>
              <w:t>a</w:t>
            </w:r>
          </w:p>
          <w:p w14:paraId="318B1D99" w14:textId="77777777" w:rsidR="00F7637B" w:rsidRPr="000E5B3A" w:rsidRDefault="00F7637B">
            <w:pPr>
              <w:pStyle w:val="TableText0"/>
            </w:pPr>
            <w:r w:rsidRPr="000E5B3A">
              <w:t xml:space="preserve">12 months </w:t>
            </w:r>
            <w:r w:rsidRPr="000E5B3A">
              <w:rPr>
                <w:vertAlign w:val="superscript"/>
              </w:rPr>
              <w:t>b</w:t>
            </w:r>
          </w:p>
        </w:tc>
        <w:tc>
          <w:tcPr>
            <w:tcW w:w="708" w:type="pct"/>
            <w:vAlign w:val="center"/>
          </w:tcPr>
          <w:p w14:paraId="40FB40E9" w14:textId="77777777" w:rsidR="00F7637B" w:rsidRPr="000E5B3A" w:rsidRDefault="00F7637B">
            <w:pPr>
              <w:pStyle w:val="TableText0"/>
            </w:pPr>
            <w:r w:rsidRPr="000E5B3A">
              <w:t xml:space="preserve">Low (during DB period) </w:t>
            </w:r>
            <w:r w:rsidRPr="000E5B3A">
              <w:rPr>
                <w:vertAlign w:val="superscript"/>
              </w:rPr>
              <w:t>c</w:t>
            </w:r>
          </w:p>
        </w:tc>
        <w:tc>
          <w:tcPr>
            <w:tcW w:w="865" w:type="pct"/>
            <w:vAlign w:val="center"/>
          </w:tcPr>
          <w:p w14:paraId="01F60BAE" w14:textId="77777777" w:rsidR="00F7637B" w:rsidRPr="000E5B3A" w:rsidRDefault="00F7637B">
            <w:pPr>
              <w:pStyle w:val="TableText0"/>
            </w:pPr>
            <w:r w:rsidRPr="000E5B3A">
              <w:t>inoperable locally recurrent or metastatic SCAC</w:t>
            </w:r>
          </w:p>
        </w:tc>
        <w:tc>
          <w:tcPr>
            <w:tcW w:w="628" w:type="pct"/>
            <w:vAlign w:val="center"/>
          </w:tcPr>
          <w:p w14:paraId="572ACE4D" w14:textId="77777777" w:rsidR="00F7637B" w:rsidRPr="000E5B3A" w:rsidRDefault="00F7637B">
            <w:pPr>
              <w:pStyle w:val="TableText0"/>
            </w:pPr>
            <w:r w:rsidRPr="000E5B3A">
              <w:t>PFS, OS</w:t>
            </w:r>
          </w:p>
        </w:tc>
        <w:tc>
          <w:tcPr>
            <w:tcW w:w="1072" w:type="pct"/>
            <w:vAlign w:val="center"/>
          </w:tcPr>
          <w:p w14:paraId="203953BE" w14:textId="7528150B" w:rsidR="00F7637B" w:rsidRPr="000E5B3A" w:rsidRDefault="00AA1E50" w:rsidP="00AA1E50">
            <w:pPr>
              <w:pStyle w:val="TableText0"/>
            </w:pPr>
            <w:r w:rsidRPr="000E5B3A">
              <w:t xml:space="preserve">Patient demographics (age, % males, BSA, GFR), </w:t>
            </w:r>
            <w:r w:rsidR="00F7637B" w:rsidRPr="000E5B3A">
              <w:t>PFS and OS KM curves</w:t>
            </w:r>
            <w:r w:rsidRPr="000E5B3A">
              <w:t>, PF and PD utility values, % serious AEs</w:t>
            </w:r>
          </w:p>
        </w:tc>
      </w:tr>
    </w:tbl>
    <w:p w14:paraId="233F17A8" w14:textId="77777777" w:rsidR="00F7637B" w:rsidRPr="000E5B3A" w:rsidRDefault="00F7637B" w:rsidP="00F7637B">
      <w:pPr>
        <w:pStyle w:val="TableFigureFooter"/>
        <w:rPr>
          <w:szCs w:val="18"/>
        </w:rPr>
      </w:pPr>
      <w:r w:rsidRPr="000E5B3A">
        <w:rPr>
          <w:szCs w:val="18"/>
        </w:rPr>
        <w:t>Source: Constructed during the evaluation using Section 2.3 of the submission.</w:t>
      </w:r>
    </w:p>
    <w:p w14:paraId="467B3F41" w14:textId="7A680A1F" w:rsidR="00F7637B" w:rsidRPr="000E5B3A" w:rsidRDefault="00AA1E50" w:rsidP="00AA1E50">
      <w:pPr>
        <w:pStyle w:val="TableFigureFooter"/>
        <w:rPr>
          <w:szCs w:val="18"/>
        </w:rPr>
      </w:pPr>
      <w:r w:rsidRPr="000E5B3A">
        <w:rPr>
          <w:szCs w:val="18"/>
        </w:rPr>
        <w:t xml:space="preserve">AEs = adverse events; BSA = body surface area; </w:t>
      </w:r>
      <w:r w:rsidR="00F7637B" w:rsidRPr="000E5B3A">
        <w:rPr>
          <w:szCs w:val="18"/>
        </w:rPr>
        <w:t xml:space="preserve">CP = carboplatin + paclitaxel; DB = double blind; DCO = data cut-off; </w:t>
      </w:r>
      <w:r w:rsidRPr="000E5B3A">
        <w:rPr>
          <w:szCs w:val="18"/>
        </w:rPr>
        <w:t xml:space="preserve">GFR = glomerular filtration rate; </w:t>
      </w:r>
      <w:r w:rsidR="00F7637B" w:rsidRPr="000E5B3A">
        <w:rPr>
          <w:szCs w:val="18"/>
        </w:rPr>
        <w:t xml:space="preserve">KM = Kaplan-Meier; MC = multi-centre; OS = overall survival; </w:t>
      </w:r>
      <w:r w:rsidRPr="000E5B3A">
        <w:rPr>
          <w:szCs w:val="18"/>
        </w:rPr>
        <w:t xml:space="preserve">PD = progressed disease; PF = progression-free; </w:t>
      </w:r>
      <w:r w:rsidR="00F7637B" w:rsidRPr="000E5B3A">
        <w:rPr>
          <w:szCs w:val="18"/>
        </w:rPr>
        <w:t>PFS = progression-free survival; R = randomised; SCAC = squamous cell anal carcinoma.</w:t>
      </w:r>
    </w:p>
    <w:p w14:paraId="01367570" w14:textId="5EACB7BB" w:rsidR="00F7637B" w:rsidRPr="000E5B3A" w:rsidRDefault="00F7637B" w:rsidP="005D58C1">
      <w:pPr>
        <w:pStyle w:val="TableFigureFooter"/>
        <w:jc w:val="both"/>
        <w:rPr>
          <w:szCs w:val="18"/>
        </w:rPr>
      </w:pPr>
      <w:r w:rsidRPr="000E5B3A">
        <w:rPr>
          <w:szCs w:val="18"/>
          <w:vertAlign w:val="superscript"/>
        </w:rPr>
        <w:t>a</w:t>
      </w:r>
      <w:r w:rsidRPr="000E5B3A">
        <w:rPr>
          <w:szCs w:val="18"/>
        </w:rPr>
        <w:t xml:space="preserve"> Patients randomised to placebo + CP whose disease progresse</w:t>
      </w:r>
      <w:r w:rsidR="00046DEA" w:rsidRPr="000E5B3A">
        <w:rPr>
          <w:szCs w:val="18"/>
        </w:rPr>
        <w:t>d</w:t>
      </w:r>
      <w:r w:rsidRPr="000E5B3A">
        <w:rPr>
          <w:szCs w:val="18"/>
        </w:rPr>
        <w:t xml:space="preserve"> </w:t>
      </w:r>
      <w:r w:rsidR="00F711B3" w:rsidRPr="000E5B3A">
        <w:rPr>
          <w:szCs w:val="18"/>
        </w:rPr>
        <w:t>we</w:t>
      </w:r>
      <w:r w:rsidRPr="000E5B3A">
        <w:rPr>
          <w:szCs w:val="18"/>
        </w:rPr>
        <w:t xml:space="preserve">re able to </w:t>
      </w:r>
      <w:r w:rsidR="005D58C1" w:rsidRPr="000E5B3A">
        <w:rPr>
          <w:szCs w:val="18"/>
        </w:rPr>
        <w:t xml:space="preserve">then </w:t>
      </w:r>
      <w:r w:rsidRPr="000E5B3A">
        <w:rPr>
          <w:szCs w:val="18"/>
        </w:rPr>
        <w:t xml:space="preserve">receive </w:t>
      </w:r>
      <w:r w:rsidR="006C4058" w:rsidRPr="000E5B3A">
        <w:rPr>
          <w:szCs w:val="18"/>
        </w:rPr>
        <w:t>open label</w:t>
      </w:r>
      <w:r w:rsidR="005D58C1" w:rsidRPr="000E5B3A">
        <w:rPr>
          <w:szCs w:val="18"/>
        </w:rPr>
        <w:t xml:space="preserve"> </w:t>
      </w:r>
      <w:r w:rsidRPr="000E5B3A">
        <w:rPr>
          <w:szCs w:val="18"/>
        </w:rPr>
        <w:t>retifanlimab monotherapy for up to 12 months.</w:t>
      </w:r>
    </w:p>
    <w:p w14:paraId="2143EE7B" w14:textId="4A325D0B" w:rsidR="00F7637B" w:rsidRPr="000E5B3A" w:rsidRDefault="00F7637B" w:rsidP="005D58C1">
      <w:pPr>
        <w:pStyle w:val="TableFigureFooter"/>
        <w:jc w:val="both"/>
        <w:rPr>
          <w:szCs w:val="18"/>
        </w:rPr>
      </w:pPr>
      <w:r w:rsidRPr="000E5B3A">
        <w:rPr>
          <w:szCs w:val="18"/>
          <w:vertAlign w:val="superscript"/>
        </w:rPr>
        <w:t xml:space="preserve">b </w:t>
      </w:r>
      <w:r w:rsidRPr="000E5B3A">
        <w:rPr>
          <w:szCs w:val="18"/>
        </w:rPr>
        <w:t xml:space="preserve">Retifanlimab or placebo treatment </w:t>
      </w:r>
      <w:r w:rsidR="005D58C1" w:rsidRPr="000E5B3A">
        <w:rPr>
          <w:szCs w:val="18"/>
        </w:rPr>
        <w:t>(double-blind) c</w:t>
      </w:r>
      <w:r w:rsidR="00F711B3" w:rsidRPr="000E5B3A">
        <w:rPr>
          <w:szCs w:val="18"/>
        </w:rPr>
        <w:t>ould</w:t>
      </w:r>
      <w:r w:rsidR="005D58C1" w:rsidRPr="000E5B3A">
        <w:rPr>
          <w:szCs w:val="18"/>
        </w:rPr>
        <w:t xml:space="preserve"> be given</w:t>
      </w:r>
      <w:r w:rsidRPr="000E5B3A">
        <w:rPr>
          <w:szCs w:val="18"/>
        </w:rPr>
        <w:t xml:space="preserve"> for a maximum duration of 13 cycles (12 months</w:t>
      </w:r>
      <w:r w:rsidR="00AA1E50" w:rsidRPr="000E5B3A">
        <w:rPr>
          <w:szCs w:val="18"/>
        </w:rPr>
        <w:t>)</w:t>
      </w:r>
      <w:r w:rsidRPr="000E5B3A">
        <w:rPr>
          <w:szCs w:val="18"/>
        </w:rPr>
        <w:t xml:space="preserve">. Chemotherapy </w:t>
      </w:r>
      <w:r w:rsidR="00F711B3" w:rsidRPr="000E5B3A">
        <w:rPr>
          <w:szCs w:val="18"/>
        </w:rPr>
        <w:t xml:space="preserve">was </w:t>
      </w:r>
      <w:r w:rsidRPr="000E5B3A">
        <w:rPr>
          <w:szCs w:val="18"/>
        </w:rPr>
        <w:t xml:space="preserve">given for a maximum of six cycles. </w:t>
      </w:r>
    </w:p>
    <w:p w14:paraId="46209F47" w14:textId="701BD5DA" w:rsidR="00F7637B" w:rsidRPr="000E5B3A" w:rsidRDefault="00F7637B" w:rsidP="005D58C1">
      <w:pPr>
        <w:pStyle w:val="TableFigureFooter"/>
        <w:jc w:val="both"/>
        <w:rPr>
          <w:szCs w:val="18"/>
        </w:rPr>
      </w:pPr>
      <w:r w:rsidRPr="000E5B3A">
        <w:rPr>
          <w:szCs w:val="18"/>
          <w:vertAlign w:val="superscript"/>
        </w:rPr>
        <w:t xml:space="preserve">c </w:t>
      </w:r>
      <w:r w:rsidRPr="000E5B3A">
        <w:rPr>
          <w:szCs w:val="18"/>
        </w:rPr>
        <w:t xml:space="preserve">Risk of bias </w:t>
      </w:r>
      <w:r w:rsidR="00F711B3" w:rsidRPr="000E5B3A">
        <w:rPr>
          <w:szCs w:val="18"/>
        </w:rPr>
        <w:t xml:space="preserve">was </w:t>
      </w:r>
      <w:r w:rsidRPr="000E5B3A">
        <w:rPr>
          <w:szCs w:val="18"/>
        </w:rPr>
        <w:t>higher following patient unblinding after disease progression.</w:t>
      </w:r>
    </w:p>
    <w:p w14:paraId="6AC8F4EE" w14:textId="679FE0F2" w:rsidR="00025A1A" w:rsidRPr="000E5B3A" w:rsidRDefault="00983266" w:rsidP="00155C54">
      <w:pPr>
        <w:pStyle w:val="3-BodyText"/>
        <w:keepNext/>
        <w:keepLines/>
      </w:pPr>
      <w:r w:rsidRPr="000E5B3A">
        <w:lastRenderedPageBreak/>
        <w:t xml:space="preserve">The evaluation considered </w:t>
      </w:r>
      <w:r w:rsidR="00025A1A" w:rsidRPr="000E5B3A">
        <w:t xml:space="preserve">POD1UM-303 to </w:t>
      </w:r>
      <w:r w:rsidR="00BD6115" w:rsidRPr="000E5B3A">
        <w:t xml:space="preserve">be </w:t>
      </w:r>
      <w:r w:rsidR="00025A1A" w:rsidRPr="000E5B3A">
        <w:t xml:space="preserve">at low risk of bias during the double-blind period (retifanlimab + CP vs placebo + CP), but </w:t>
      </w:r>
      <w:r w:rsidRPr="000E5B3A">
        <w:t xml:space="preserve">that </w:t>
      </w:r>
      <w:r w:rsidR="001A5A44" w:rsidRPr="000E5B3A">
        <w:t>patient reported outcomes</w:t>
      </w:r>
      <w:r w:rsidR="001B669A" w:rsidRPr="000E5B3A">
        <w:t xml:space="preserve"> </w:t>
      </w:r>
      <w:r w:rsidR="00AC527B" w:rsidRPr="000E5B3A">
        <w:t xml:space="preserve">may </w:t>
      </w:r>
      <w:r w:rsidR="00025A1A" w:rsidRPr="000E5B3A">
        <w:t xml:space="preserve">be at </w:t>
      </w:r>
      <w:r w:rsidR="00AC527B" w:rsidRPr="000E5B3A">
        <w:t xml:space="preserve">a </w:t>
      </w:r>
      <w:r w:rsidR="00025A1A" w:rsidRPr="000E5B3A">
        <w:t xml:space="preserve">higher risk of bias following disease progression when patients </w:t>
      </w:r>
      <w:r w:rsidR="00332159" w:rsidRPr="000E5B3A">
        <w:t xml:space="preserve">were </w:t>
      </w:r>
      <w:r w:rsidR="00025A1A" w:rsidRPr="000E5B3A">
        <w:t>unblinded.</w:t>
      </w:r>
      <w:r w:rsidR="001B669A" w:rsidRPr="000E5B3A">
        <w:t xml:space="preserve"> </w:t>
      </w:r>
      <w:r w:rsidR="005B5508" w:rsidRPr="000E5B3A">
        <w:t>T</w:t>
      </w:r>
      <w:r w:rsidR="006526D0" w:rsidRPr="000E5B3A">
        <w:t>he</w:t>
      </w:r>
      <w:r w:rsidR="0031217F" w:rsidRPr="000E5B3A">
        <w:t>r</w:t>
      </w:r>
      <w:r w:rsidR="006526D0" w:rsidRPr="000E5B3A">
        <w:t xml:space="preserve">e </w:t>
      </w:r>
      <w:r w:rsidR="00B62C2D" w:rsidRPr="000E5B3A">
        <w:t>may also be</w:t>
      </w:r>
      <w:r w:rsidR="006526D0" w:rsidRPr="000E5B3A">
        <w:t xml:space="preserve"> </w:t>
      </w:r>
      <w:r w:rsidR="001B669A" w:rsidRPr="000E5B3A">
        <w:t xml:space="preserve">potential confounding for </w:t>
      </w:r>
      <w:r w:rsidR="00A2685B" w:rsidRPr="000E5B3A">
        <w:t>overall survival (</w:t>
      </w:r>
      <w:r w:rsidR="001B669A" w:rsidRPr="000E5B3A">
        <w:t>OS</w:t>
      </w:r>
      <w:r w:rsidR="00A2685B" w:rsidRPr="000E5B3A">
        <w:t>)</w:t>
      </w:r>
      <w:r w:rsidR="001B669A" w:rsidRPr="000E5B3A">
        <w:t xml:space="preserve"> due to patients randomised to placebo + CP receiving retifanlimab post progression</w:t>
      </w:r>
      <w:r w:rsidR="007F7C43" w:rsidRPr="000E5B3A">
        <w:t>,</w:t>
      </w:r>
      <w:r w:rsidR="00E6038F" w:rsidRPr="000E5B3A">
        <w:t xml:space="preserve"> though this was uncertain (see paragraph </w:t>
      </w:r>
      <w:r w:rsidR="00E6038F" w:rsidRPr="000E5B3A">
        <w:fldChar w:fldCharType="begin"/>
      </w:r>
      <w:r w:rsidR="00E6038F" w:rsidRPr="000E5B3A">
        <w:instrText xml:space="preserve"> REF _Ref208067195 \r \h </w:instrText>
      </w:r>
      <w:r w:rsidR="006526D0" w:rsidRPr="000E5B3A">
        <w:instrText xml:space="preserve"> \* MERGEFORMAT </w:instrText>
      </w:r>
      <w:r w:rsidR="00E6038F" w:rsidRPr="000E5B3A">
        <w:fldChar w:fldCharType="separate"/>
      </w:r>
      <w:r w:rsidR="00DB6E72">
        <w:t>6.16</w:t>
      </w:r>
      <w:r w:rsidR="00E6038F" w:rsidRPr="000E5B3A">
        <w:fldChar w:fldCharType="end"/>
      </w:r>
      <w:r w:rsidR="00E6038F" w:rsidRPr="000E5B3A">
        <w:t>)</w:t>
      </w:r>
      <w:r w:rsidR="001B669A" w:rsidRPr="000E5B3A">
        <w:t xml:space="preserve">. </w:t>
      </w:r>
    </w:p>
    <w:p w14:paraId="4A4FE085" w14:textId="1C5613CC" w:rsidR="00B60939" w:rsidRPr="000E5B3A" w:rsidRDefault="00B60939" w:rsidP="00EC5836">
      <w:pPr>
        <w:pStyle w:val="4-SubsectionHeading"/>
      </w:pPr>
      <w:bookmarkStart w:id="23" w:name="_Toc22897641"/>
      <w:bookmarkStart w:id="24" w:name="_Toc208995339"/>
      <w:r w:rsidRPr="000E5B3A">
        <w:t>Comparative effectiveness</w:t>
      </w:r>
      <w:bookmarkEnd w:id="23"/>
      <w:bookmarkEnd w:id="24"/>
    </w:p>
    <w:p w14:paraId="26AC7548" w14:textId="77694460" w:rsidR="000410BE" w:rsidRPr="000E5B3A" w:rsidRDefault="002F6684" w:rsidP="00F257C2">
      <w:pPr>
        <w:pStyle w:val="3-BodyText"/>
        <w:keepNext/>
        <w:keepLines/>
      </w:pPr>
      <w:r w:rsidRPr="000E5B3A">
        <w:t xml:space="preserve">The </w:t>
      </w:r>
      <w:r w:rsidR="00D24F7C" w:rsidRPr="000E5B3A">
        <w:t xml:space="preserve">POD1UM-303 </w:t>
      </w:r>
      <w:r w:rsidRPr="000E5B3A">
        <w:t xml:space="preserve">survival outcome </w:t>
      </w:r>
      <w:r w:rsidR="00FD2C02" w:rsidRPr="000E5B3A">
        <w:t xml:space="preserve">results </w:t>
      </w:r>
      <w:r w:rsidRPr="000E5B3A">
        <w:t>(</w:t>
      </w:r>
      <w:r w:rsidR="00D24F7C" w:rsidRPr="000E5B3A">
        <w:t>progression-free survival [</w:t>
      </w:r>
      <w:r w:rsidRPr="000E5B3A">
        <w:t>PFS</w:t>
      </w:r>
      <w:r w:rsidR="00D24F7C" w:rsidRPr="000E5B3A">
        <w:t>]</w:t>
      </w:r>
      <w:r w:rsidRPr="000E5B3A">
        <w:t xml:space="preserve"> and OS) at the </w:t>
      </w:r>
      <w:r w:rsidR="00FD2C02" w:rsidRPr="000E5B3A">
        <w:t>data cut off (</w:t>
      </w:r>
      <w:r w:rsidRPr="000E5B3A">
        <w:t>DCO</w:t>
      </w:r>
      <w:r w:rsidR="00FD2C02" w:rsidRPr="000E5B3A">
        <w:t>)</w:t>
      </w:r>
      <w:r w:rsidRPr="000E5B3A">
        <w:t xml:space="preserve"> are summarised in </w:t>
      </w:r>
      <w:r w:rsidRPr="000E5B3A">
        <w:fldChar w:fldCharType="begin"/>
      </w:r>
      <w:r w:rsidRPr="000E5B3A">
        <w:instrText xml:space="preserve"> REF _Ref207792595 \h  \* MERGEFORMAT </w:instrText>
      </w:r>
      <w:r w:rsidRPr="000E5B3A">
        <w:fldChar w:fldCharType="separate"/>
      </w:r>
      <w:r w:rsidR="00DB6E72" w:rsidRPr="00DB6E72">
        <w:t>Table 4</w:t>
      </w:r>
      <w:r w:rsidRPr="000E5B3A">
        <w:fldChar w:fldCharType="end"/>
      </w:r>
      <w:r w:rsidRPr="000E5B3A">
        <w:t>.</w:t>
      </w:r>
      <w:r w:rsidR="00D24F7C" w:rsidRPr="000E5B3A">
        <w:t xml:space="preserve"> </w:t>
      </w:r>
      <w:r w:rsidR="009A06DD" w:rsidRPr="000E5B3A">
        <w:t xml:space="preserve">The </w:t>
      </w:r>
      <w:r w:rsidR="00D24F7C" w:rsidRPr="000E5B3A">
        <w:t xml:space="preserve">PFS and OS Kaplan-Meier (KM) plots are presented in </w:t>
      </w:r>
      <w:r w:rsidR="00D15047">
        <w:fldChar w:fldCharType="begin"/>
      </w:r>
      <w:r w:rsidR="00D15047">
        <w:instrText xml:space="preserve"> REF _Ref207793343 </w:instrText>
      </w:r>
      <w:r w:rsidR="003D6FB5">
        <w:instrText xml:space="preserve"> \* MERGEFORMAT </w:instrText>
      </w:r>
      <w:r w:rsidR="00D15047">
        <w:fldChar w:fldCharType="separate"/>
      </w:r>
      <w:r w:rsidR="00DB6E72" w:rsidRPr="000E5B3A">
        <w:t xml:space="preserve">Figure </w:t>
      </w:r>
      <w:r w:rsidR="00DB6E72">
        <w:t>1</w:t>
      </w:r>
      <w:r w:rsidR="00D15047">
        <w:fldChar w:fldCharType="end"/>
      </w:r>
      <w:r w:rsidR="00987489" w:rsidRPr="000E5B3A">
        <w:t xml:space="preserve"> and </w:t>
      </w:r>
      <w:r w:rsidR="00F257C2">
        <w:fldChar w:fldCharType="begin"/>
      </w:r>
      <w:r w:rsidR="00F257C2">
        <w:instrText xml:space="preserve"> REF _Ref207793350 \h </w:instrText>
      </w:r>
      <w:r w:rsidR="00F257C2">
        <w:fldChar w:fldCharType="separate"/>
      </w:r>
      <w:r w:rsidR="00DB6E72" w:rsidRPr="000E5B3A">
        <w:t xml:space="preserve">Figure </w:t>
      </w:r>
      <w:r w:rsidR="00DB6E72">
        <w:rPr>
          <w:noProof/>
        </w:rPr>
        <w:t>2</w:t>
      </w:r>
      <w:r w:rsidR="00F257C2">
        <w:fldChar w:fldCharType="end"/>
      </w:r>
      <w:r w:rsidR="00D15047">
        <w:fldChar w:fldCharType="begin"/>
      </w:r>
      <w:r w:rsidR="00D15047">
        <w:instrText xml:space="preserve"> REF _Ref207793350 </w:instrText>
      </w:r>
      <w:r w:rsidR="003D6FB5">
        <w:instrText xml:space="preserve"> \* MERGEFORMAT </w:instrText>
      </w:r>
      <w:r w:rsidR="00D15047">
        <w:fldChar w:fldCharType="separate"/>
      </w:r>
      <w:r w:rsidR="00DB6E72" w:rsidRPr="000E5B3A">
        <w:t xml:space="preserve">Figure </w:t>
      </w:r>
      <w:r w:rsidR="00DB6E72">
        <w:rPr>
          <w:noProof/>
        </w:rPr>
        <w:t>2</w:t>
      </w:r>
      <w:r w:rsidR="00D15047">
        <w:fldChar w:fldCharType="end"/>
      </w:r>
      <w:r w:rsidR="00987489" w:rsidRPr="000E5B3A">
        <w:t>, respectively.</w:t>
      </w:r>
    </w:p>
    <w:p w14:paraId="4F5B3351" w14:textId="240D9DB8" w:rsidR="0061549B" w:rsidRPr="000E5B3A" w:rsidRDefault="00D6076E" w:rsidP="00F257C2">
      <w:pPr>
        <w:pStyle w:val="Caption"/>
        <w:spacing w:before="120"/>
        <w:rPr>
          <w:rStyle w:val="CommentReference"/>
          <w:rFonts w:eastAsiaTheme="majorEastAsia" w:cstheme="majorBidi"/>
          <w:b/>
          <w:szCs w:val="24"/>
        </w:rPr>
      </w:pPr>
      <w:bookmarkStart w:id="25" w:name="_Ref207792595"/>
      <w:r w:rsidRPr="000E5B3A">
        <w:rPr>
          <w:rStyle w:val="CommentReference"/>
          <w:rFonts w:eastAsiaTheme="majorEastAsia" w:cstheme="majorBidi"/>
          <w:b/>
          <w:szCs w:val="24"/>
        </w:rPr>
        <w:t xml:space="preserve">Table </w:t>
      </w:r>
      <w:r w:rsidRPr="000E5B3A">
        <w:rPr>
          <w:rStyle w:val="CommentReference"/>
          <w:rFonts w:eastAsiaTheme="majorEastAsia" w:cstheme="majorBidi"/>
          <w:b/>
          <w:szCs w:val="24"/>
        </w:rPr>
        <w:fldChar w:fldCharType="begin"/>
      </w:r>
      <w:r w:rsidRPr="000E5B3A">
        <w:rPr>
          <w:rStyle w:val="CommentReference"/>
          <w:rFonts w:eastAsiaTheme="majorEastAsia" w:cstheme="majorBidi"/>
          <w:b/>
          <w:szCs w:val="24"/>
        </w:rPr>
        <w:instrText xml:space="preserve"> SEQ Table \* ARABIC </w:instrText>
      </w:r>
      <w:r w:rsidRPr="000E5B3A">
        <w:rPr>
          <w:rStyle w:val="CommentReference"/>
          <w:rFonts w:eastAsiaTheme="majorEastAsia" w:cstheme="majorBidi"/>
          <w:b/>
          <w:szCs w:val="24"/>
        </w:rPr>
        <w:fldChar w:fldCharType="separate"/>
      </w:r>
      <w:r w:rsidR="00DB6E72">
        <w:rPr>
          <w:rStyle w:val="CommentReference"/>
          <w:rFonts w:eastAsiaTheme="majorEastAsia" w:cstheme="majorBidi"/>
          <w:b/>
          <w:noProof/>
          <w:szCs w:val="24"/>
        </w:rPr>
        <w:t>4</w:t>
      </w:r>
      <w:r w:rsidRPr="000E5B3A">
        <w:rPr>
          <w:rStyle w:val="CommentReference"/>
          <w:rFonts w:eastAsiaTheme="majorEastAsia" w:cstheme="majorBidi"/>
          <w:b/>
          <w:szCs w:val="24"/>
        </w:rPr>
        <w:fldChar w:fldCharType="end"/>
      </w:r>
      <w:bookmarkEnd w:id="25"/>
      <w:r w:rsidRPr="000E5B3A">
        <w:rPr>
          <w:rStyle w:val="CommentReference"/>
          <w:rFonts w:eastAsiaTheme="majorEastAsia" w:cstheme="majorBidi"/>
          <w:b/>
          <w:szCs w:val="24"/>
        </w:rPr>
        <w:t xml:space="preserve">: </w:t>
      </w:r>
      <w:r w:rsidR="0061549B" w:rsidRPr="000E5B3A">
        <w:rPr>
          <w:rStyle w:val="CommentReference"/>
          <w:rFonts w:eastAsiaTheme="majorEastAsia" w:cstheme="majorBidi"/>
          <w:b/>
          <w:szCs w:val="24"/>
        </w:rPr>
        <w:t xml:space="preserve">Summary of survival outcomes in </w:t>
      </w:r>
      <w:r w:rsidR="008F430B" w:rsidRPr="000E5B3A">
        <w:rPr>
          <w:rStyle w:val="CommentReference"/>
          <w:rFonts w:eastAsiaTheme="majorEastAsia" w:cstheme="majorBidi"/>
          <w:b/>
          <w:szCs w:val="24"/>
        </w:rPr>
        <w:t>POD1UM-303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4: Summary of survival outcomes in POD1UM-303 (FAS)"/>
      </w:tblPr>
      <w:tblGrid>
        <w:gridCol w:w="2830"/>
        <w:gridCol w:w="3092"/>
        <w:gridCol w:w="3094"/>
      </w:tblGrid>
      <w:tr w:rsidR="008F430B" w:rsidRPr="000E5B3A" w14:paraId="410B4D75" w14:textId="77777777" w:rsidTr="002F6684">
        <w:trPr>
          <w:trHeight w:val="254"/>
          <w:tblHeader/>
        </w:trPr>
        <w:tc>
          <w:tcPr>
            <w:tcW w:w="1569" w:type="pct"/>
          </w:tcPr>
          <w:p w14:paraId="443BDAC5" w14:textId="77777777" w:rsidR="008F430B" w:rsidRPr="000E5B3A" w:rsidRDefault="008F430B" w:rsidP="00F82724">
            <w:pPr>
              <w:pStyle w:val="In-tableHeading"/>
              <w:rPr>
                <w:lang w:val="en-AU"/>
              </w:rPr>
            </w:pPr>
          </w:p>
        </w:tc>
        <w:tc>
          <w:tcPr>
            <w:tcW w:w="1715" w:type="pct"/>
          </w:tcPr>
          <w:p w14:paraId="47449C6B" w14:textId="77777777" w:rsidR="008F430B" w:rsidRPr="000E5B3A" w:rsidRDefault="008F430B" w:rsidP="00F82724">
            <w:pPr>
              <w:pStyle w:val="In-tableHeading"/>
              <w:rPr>
                <w:lang w:val="en-AU"/>
              </w:rPr>
            </w:pPr>
            <w:r w:rsidRPr="000E5B3A">
              <w:rPr>
                <w:lang w:val="en-AU"/>
              </w:rPr>
              <w:t>Retifanlimab + CP</w:t>
            </w:r>
            <w:r w:rsidRPr="000E5B3A">
              <w:rPr>
                <w:lang w:val="en-AU"/>
              </w:rPr>
              <w:br/>
              <w:t>(N = 154)</w:t>
            </w:r>
          </w:p>
        </w:tc>
        <w:tc>
          <w:tcPr>
            <w:tcW w:w="1716" w:type="pct"/>
          </w:tcPr>
          <w:p w14:paraId="2E31A172" w14:textId="77777777" w:rsidR="008F430B" w:rsidRPr="000E5B3A" w:rsidRDefault="008F430B" w:rsidP="00F82724">
            <w:pPr>
              <w:pStyle w:val="In-tableHeading"/>
              <w:rPr>
                <w:lang w:val="en-AU"/>
              </w:rPr>
            </w:pPr>
            <w:r w:rsidRPr="000E5B3A">
              <w:rPr>
                <w:lang w:val="en-AU"/>
              </w:rPr>
              <w:t>Placebo + CP</w:t>
            </w:r>
            <w:r w:rsidRPr="000E5B3A">
              <w:rPr>
                <w:lang w:val="en-AU"/>
              </w:rPr>
              <w:br/>
              <w:t>(N = 154)</w:t>
            </w:r>
          </w:p>
        </w:tc>
      </w:tr>
      <w:tr w:rsidR="008F430B" w:rsidRPr="000E5B3A" w14:paraId="552B87D8" w14:textId="77777777">
        <w:trPr>
          <w:trHeight w:val="134"/>
        </w:trPr>
        <w:tc>
          <w:tcPr>
            <w:tcW w:w="5000" w:type="pct"/>
            <w:gridSpan w:val="3"/>
          </w:tcPr>
          <w:p w14:paraId="69A76070" w14:textId="1A77CACC" w:rsidR="008F430B" w:rsidRPr="000E5B3A" w:rsidRDefault="008F430B" w:rsidP="00F82724">
            <w:pPr>
              <w:pStyle w:val="TableText0"/>
              <w:rPr>
                <w:b/>
                <w:bCs w:val="0"/>
              </w:rPr>
            </w:pPr>
            <w:r w:rsidRPr="000E5B3A">
              <w:rPr>
                <w:b/>
                <w:bCs w:val="0"/>
              </w:rPr>
              <w:t>PFS</w:t>
            </w:r>
            <w:r w:rsidR="002F6684" w:rsidRPr="000E5B3A">
              <w:rPr>
                <w:b/>
                <w:bCs w:val="0"/>
              </w:rPr>
              <w:t xml:space="preserve"> (primary outcome)</w:t>
            </w:r>
          </w:p>
        </w:tc>
      </w:tr>
      <w:tr w:rsidR="002321C8" w:rsidRPr="000E5B3A" w14:paraId="38F1011D" w14:textId="77777777">
        <w:trPr>
          <w:trHeight w:val="134"/>
        </w:trPr>
        <w:tc>
          <w:tcPr>
            <w:tcW w:w="1569" w:type="pct"/>
          </w:tcPr>
          <w:p w14:paraId="1DCFE8CD" w14:textId="71D57038" w:rsidR="002321C8" w:rsidRPr="000E5B3A" w:rsidRDefault="002321C8" w:rsidP="00F82724">
            <w:pPr>
              <w:pStyle w:val="TableText0"/>
            </w:pPr>
            <w:r w:rsidRPr="000E5B3A">
              <w:t>PFS event, n (%)</w:t>
            </w:r>
          </w:p>
        </w:tc>
        <w:tc>
          <w:tcPr>
            <w:tcW w:w="1715" w:type="pct"/>
          </w:tcPr>
          <w:p w14:paraId="4C22C209" w14:textId="629D99DE" w:rsidR="002321C8" w:rsidRPr="000E5B3A" w:rsidRDefault="002321C8" w:rsidP="00F82724">
            <w:pPr>
              <w:pStyle w:val="TableText0"/>
              <w:jc w:val="center"/>
            </w:pPr>
            <w:r w:rsidRPr="000E5B3A">
              <w:t>92 (59.7)</w:t>
            </w:r>
          </w:p>
        </w:tc>
        <w:tc>
          <w:tcPr>
            <w:tcW w:w="1716" w:type="pct"/>
          </w:tcPr>
          <w:p w14:paraId="6C7AAAA2" w14:textId="453CAF18" w:rsidR="002321C8" w:rsidRPr="000E5B3A" w:rsidRDefault="002321C8" w:rsidP="00F82724">
            <w:pPr>
              <w:pStyle w:val="TableText0"/>
              <w:jc w:val="center"/>
            </w:pPr>
            <w:r w:rsidRPr="000E5B3A">
              <w:t>110 (71.4)</w:t>
            </w:r>
          </w:p>
        </w:tc>
      </w:tr>
      <w:tr w:rsidR="00FD2C02" w:rsidRPr="000E5B3A" w14:paraId="0ABD6C58" w14:textId="77777777">
        <w:trPr>
          <w:trHeight w:val="134"/>
        </w:trPr>
        <w:tc>
          <w:tcPr>
            <w:tcW w:w="1569" w:type="pct"/>
          </w:tcPr>
          <w:p w14:paraId="06A27FC1" w14:textId="77777777" w:rsidR="00FD2C02" w:rsidRPr="000E5B3A" w:rsidRDefault="00FD2C02" w:rsidP="00F82724">
            <w:pPr>
              <w:pStyle w:val="TableText0"/>
            </w:pPr>
            <w:r w:rsidRPr="000E5B3A">
              <w:t>Month 3 PFS rate (95% CI)</w:t>
            </w:r>
          </w:p>
        </w:tc>
        <w:tc>
          <w:tcPr>
            <w:tcW w:w="1715" w:type="pct"/>
            <w:vAlign w:val="center"/>
          </w:tcPr>
          <w:p w14:paraId="230BC823" w14:textId="77777777" w:rsidR="00FD2C02" w:rsidRPr="000E5B3A" w:rsidRDefault="00FD2C02" w:rsidP="00F82724">
            <w:pPr>
              <w:pStyle w:val="TableText0"/>
              <w:jc w:val="center"/>
            </w:pPr>
            <w:r w:rsidRPr="000E5B3A">
              <w:t>87.8 (81.3, 92.1)</w:t>
            </w:r>
          </w:p>
        </w:tc>
        <w:tc>
          <w:tcPr>
            <w:tcW w:w="1716" w:type="pct"/>
            <w:vAlign w:val="center"/>
          </w:tcPr>
          <w:p w14:paraId="1609A2F6" w14:textId="77777777" w:rsidR="00FD2C02" w:rsidRPr="000E5B3A" w:rsidRDefault="00FD2C02" w:rsidP="00F82724">
            <w:pPr>
              <w:pStyle w:val="TableText0"/>
              <w:jc w:val="center"/>
            </w:pPr>
            <w:r w:rsidRPr="000E5B3A">
              <w:t>87.3 (80.7, 91.8)</w:t>
            </w:r>
          </w:p>
        </w:tc>
      </w:tr>
      <w:tr w:rsidR="00FD2C02" w:rsidRPr="000E5B3A" w14:paraId="2686446C" w14:textId="77777777">
        <w:trPr>
          <w:trHeight w:val="134"/>
        </w:trPr>
        <w:tc>
          <w:tcPr>
            <w:tcW w:w="1569" w:type="pct"/>
          </w:tcPr>
          <w:p w14:paraId="1FF22F8E" w14:textId="77777777" w:rsidR="00FD2C02" w:rsidRPr="000E5B3A" w:rsidRDefault="00FD2C02" w:rsidP="00F82724">
            <w:pPr>
              <w:pStyle w:val="TableText0"/>
            </w:pPr>
            <w:r w:rsidRPr="000E5B3A">
              <w:t>Month 6 PFS rate (95% CI)</w:t>
            </w:r>
          </w:p>
        </w:tc>
        <w:tc>
          <w:tcPr>
            <w:tcW w:w="1715" w:type="pct"/>
            <w:vAlign w:val="center"/>
          </w:tcPr>
          <w:p w14:paraId="29172E48" w14:textId="77777777" w:rsidR="00FD2C02" w:rsidRPr="000E5B3A" w:rsidRDefault="00FD2C02" w:rsidP="00F82724">
            <w:pPr>
              <w:pStyle w:val="TableText0"/>
              <w:jc w:val="center"/>
            </w:pPr>
            <w:r w:rsidRPr="000E5B3A">
              <w:t>75.0 (67.1, 81.3)</w:t>
            </w:r>
          </w:p>
        </w:tc>
        <w:tc>
          <w:tcPr>
            <w:tcW w:w="1716" w:type="pct"/>
            <w:vAlign w:val="center"/>
          </w:tcPr>
          <w:p w14:paraId="795755DF" w14:textId="77777777" w:rsidR="00FD2C02" w:rsidRPr="000E5B3A" w:rsidRDefault="00FD2C02" w:rsidP="00F82724">
            <w:pPr>
              <w:pStyle w:val="TableText0"/>
              <w:jc w:val="center"/>
            </w:pPr>
            <w:r w:rsidRPr="000E5B3A">
              <w:t>62.2 (53.5, 69.7)</w:t>
            </w:r>
          </w:p>
        </w:tc>
      </w:tr>
      <w:tr w:rsidR="00FD2C02" w:rsidRPr="000E5B3A" w14:paraId="38F77A6E" w14:textId="77777777">
        <w:trPr>
          <w:trHeight w:val="134"/>
        </w:trPr>
        <w:tc>
          <w:tcPr>
            <w:tcW w:w="1569" w:type="pct"/>
          </w:tcPr>
          <w:p w14:paraId="07FBB92E" w14:textId="77777777" w:rsidR="00FD2C02" w:rsidRPr="000E5B3A" w:rsidRDefault="00FD2C02" w:rsidP="00F82724">
            <w:pPr>
              <w:pStyle w:val="TableText0"/>
            </w:pPr>
            <w:r w:rsidRPr="000E5B3A">
              <w:t>Month 9 PFS rate (95% CI)</w:t>
            </w:r>
          </w:p>
        </w:tc>
        <w:tc>
          <w:tcPr>
            <w:tcW w:w="1715" w:type="pct"/>
            <w:vAlign w:val="center"/>
          </w:tcPr>
          <w:p w14:paraId="5EFBDA4C" w14:textId="77777777" w:rsidR="00FD2C02" w:rsidRPr="000E5B3A" w:rsidRDefault="00FD2C02" w:rsidP="00F82724">
            <w:pPr>
              <w:pStyle w:val="TableText0"/>
              <w:jc w:val="center"/>
            </w:pPr>
            <w:r w:rsidRPr="000E5B3A">
              <w:t>54.0 (45.2, 61.9)</w:t>
            </w:r>
          </w:p>
        </w:tc>
        <w:tc>
          <w:tcPr>
            <w:tcW w:w="1716" w:type="pct"/>
            <w:vAlign w:val="center"/>
          </w:tcPr>
          <w:p w14:paraId="7EF28579" w14:textId="77777777" w:rsidR="00FD2C02" w:rsidRPr="000E5B3A" w:rsidRDefault="00FD2C02" w:rsidP="00F82724">
            <w:pPr>
              <w:pStyle w:val="TableText0"/>
              <w:jc w:val="center"/>
            </w:pPr>
            <w:r w:rsidRPr="000E5B3A">
              <w:t>40.0 (31.6, 48.2)</w:t>
            </w:r>
          </w:p>
        </w:tc>
      </w:tr>
      <w:tr w:rsidR="00FD2C02" w:rsidRPr="000E5B3A" w14:paraId="06406CF8" w14:textId="77777777">
        <w:trPr>
          <w:trHeight w:val="134"/>
        </w:trPr>
        <w:tc>
          <w:tcPr>
            <w:tcW w:w="1569" w:type="pct"/>
          </w:tcPr>
          <w:p w14:paraId="09209107" w14:textId="77777777" w:rsidR="00FD2C02" w:rsidRPr="000E5B3A" w:rsidRDefault="00FD2C02" w:rsidP="00F82724">
            <w:pPr>
              <w:pStyle w:val="TableText0"/>
            </w:pPr>
            <w:r w:rsidRPr="000E5B3A">
              <w:t>Month 12 PFS rate (95% CI)</w:t>
            </w:r>
          </w:p>
        </w:tc>
        <w:tc>
          <w:tcPr>
            <w:tcW w:w="1715" w:type="pct"/>
            <w:vAlign w:val="center"/>
          </w:tcPr>
          <w:p w14:paraId="41685C76" w14:textId="77777777" w:rsidR="00FD2C02" w:rsidRPr="000E5B3A" w:rsidRDefault="00FD2C02" w:rsidP="00F82724">
            <w:pPr>
              <w:pStyle w:val="TableText0"/>
              <w:jc w:val="center"/>
            </w:pPr>
            <w:r w:rsidRPr="000E5B3A">
              <w:t>41.2 (32.7, 49.6)</w:t>
            </w:r>
          </w:p>
        </w:tc>
        <w:tc>
          <w:tcPr>
            <w:tcW w:w="1716" w:type="pct"/>
            <w:vAlign w:val="center"/>
          </w:tcPr>
          <w:p w14:paraId="5BAFE711" w14:textId="77777777" w:rsidR="00FD2C02" w:rsidRPr="000E5B3A" w:rsidRDefault="00FD2C02" w:rsidP="00F82724">
            <w:pPr>
              <w:pStyle w:val="TableText0"/>
              <w:jc w:val="center"/>
            </w:pPr>
            <w:r w:rsidRPr="000E5B3A">
              <w:t>21.9 (14.9, 29.7)</w:t>
            </w:r>
          </w:p>
        </w:tc>
      </w:tr>
      <w:tr w:rsidR="002F6684" w:rsidRPr="000E5B3A" w14:paraId="1B963921" w14:textId="77777777">
        <w:trPr>
          <w:trHeight w:val="134"/>
        </w:trPr>
        <w:tc>
          <w:tcPr>
            <w:tcW w:w="1569" w:type="pct"/>
          </w:tcPr>
          <w:p w14:paraId="7C47255A" w14:textId="77777777" w:rsidR="002F6684" w:rsidRPr="000E5B3A" w:rsidRDefault="002F6684" w:rsidP="00F82724">
            <w:pPr>
              <w:pStyle w:val="TableText0"/>
            </w:pPr>
            <w:r w:rsidRPr="000E5B3A">
              <w:t>Median PFS (months) (95% CI)</w:t>
            </w:r>
          </w:p>
        </w:tc>
        <w:tc>
          <w:tcPr>
            <w:tcW w:w="1715" w:type="pct"/>
          </w:tcPr>
          <w:p w14:paraId="5070F41E" w14:textId="77777777" w:rsidR="002F6684" w:rsidRPr="000E5B3A" w:rsidRDefault="002F6684" w:rsidP="00F82724">
            <w:pPr>
              <w:pStyle w:val="TableText0"/>
              <w:jc w:val="center"/>
            </w:pPr>
            <w:r w:rsidRPr="000E5B3A">
              <w:t>9.3 (7.5, 11.3)</w:t>
            </w:r>
          </w:p>
        </w:tc>
        <w:tc>
          <w:tcPr>
            <w:tcW w:w="1716" w:type="pct"/>
          </w:tcPr>
          <w:p w14:paraId="1851F7A5" w14:textId="77777777" w:rsidR="002F6684" w:rsidRPr="000E5B3A" w:rsidRDefault="002F6684" w:rsidP="00F82724">
            <w:pPr>
              <w:pStyle w:val="TableText0"/>
              <w:jc w:val="center"/>
            </w:pPr>
            <w:r w:rsidRPr="000E5B3A">
              <w:t>7.4 (7.1, 7.7)</w:t>
            </w:r>
          </w:p>
        </w:tc>
      </w:tr>
      <w:tr w:rsidR="008F430B" w:rsidRPr="000E5B3A" w14:paraId="6C26AF44" w14:textId="77777777">
        <w:trPr>
          <w:trHeight w:val="134"/>
        </w:trPr>
        <w:tc>
          <w:tcPr>
            <w:tcW w:w="1569" w:type="pct"/>
          </w:tcPr>
          <w:p w14:paraId="410FF6A4" w14:textId="4D10F205" w:rsidR="008F430B" w:rsidRPr="000E5B3A" w:rsidRDefault="008F430B" w:rsidP="00F82724">
            <w:pPr>
              <w:pStyle w:val="TableText0"/>
              <w:rPr>
                <w:b/>
                <w:bCs w:val="0"/>
              </w:rPr>
            </w:pPr>
            <w:r w:rsidRPr="000E5B3A">
              <w:rPr>
                <w:b/>
                <w:bCs w:val="0"/>
              </w:rPr>
              <w:t>PFS (BICR) HR (95% CI)</w:t>
            </w:r>
            <w:r w:rsidR="00EF7EC5" w:rsidRPr="000E5B3A">
              <w:rPr>
                <w:b/>
                <w:bCs w:val="0"/>
              </w:rPr>
              <w:t>;</w:t>
            </w:r>
            <w:r w:rsidRPr="000E5B3A">
              <w:rPr>
                <w:b/>
                <w:bCs w:val="0"/>
              </w:rPr>
              <w:t xml:space="preserve"> p-value</w:t>
            </w:r>
          </w:p>
        </w:tc>
        <w:tc>
          <w:tcPr>
            <w:tcW w:w="3431" w:type="pct"/>
            <w:gridSpan w:val="2"/>
          </w:tcPr>
          <w:p w14:paraId="1C75BED5" w14:textId="55992E59" w:rsidR="008F430B" w:rsidRPr="000E5B3A" w:rsidRDefault="008F430B" w:rsidP="00F82724">
            <w:pPr>
              <w:pStyle w:val="TableText0"/>
              <w:jc w:val="center"/>
              <w:rPr>
                <w:b/>
                <w:bCs w:val="0"/>
                <w:highlight w:val="yellow"/>
                <w:vertAlign w:val="superscript"/>
              </w:rPr>
            </w:pPr>
            <w:r w:rsidRPr="000E5B3A">
              <w:rPr>
                <w:b/>
                <w:bCs w:val="0"/>
              </w:rPr>
              <w:t>0.63 (0.47, 0.84); 0.0006</w:t>
            </w:r>
            <w:r w:rsidR="00530A41" w:rsidRPr="000E5B3A">
              <w:rPr>
                <w:b/>
                <w:bCs w:val="0"/>
              </w:rPr>
              <w:t xml:space="preserve"> </w:t>
            </w:r>
            <w:r w:rsidR="00530A41" w:rsidRPr="000E5B3A">
              <w:rPr>
                <w:b/>
                <w:vertAlign w:val="superscript"/>
              </w:rPr>
              <w:t>a</w:t>
            </w:r>
          </w:p>
        </w:tc>
      </w:tr>
      <w:tr w:rsidR="008F430B" w:rsidRPr="000E5B3A" w14:paraId="6E822AB3" w14:textId="77777777">
        <w:trPr>
          <w:trHeight w:val="134"/>
        </w:trPr>
        <w:tc>
          <w:tcPr>
            <w:tcW w:w="5000" w:type="pct"/>
            <w:gridSpan w:val="3"/>
          </w:tcPr>
          <w:p w14:paraId="231EC542" w14:textId="01FC3EA2" w:rsidR="008F430B" w:rsidRPr="000E5B3A" w:rsidRDefault="002F6684" w:rsidP="00F82724">
            <w:pPr>
              <w:pStyle w:val="TableText0"/>
              <w:rPr>
                <w:b/>
                <w:bCs w:val="0"/>
              </w:rPr>
            </w:pPr>
            <w:r w:rsidRPr="000E5B3A">
              <w:rPr>
                <w:b/>
                <w:bCs w:val="0"/>
              </w:rPr>
              <w:t>OS (key secondary outcome)</w:t>
            </w:r>
          </w:p>
        </w:tc>
      </w:tr>
      <w:tr w:rsidR="008F430B" w:rsidRPr="000E5B3A" w14:paraId="26373E79" w14:textId="77777777" w:rsidTr="002F6684">
        <w:trPr>
          <w:trHeight w:val="134"/>
        </w:trPr>
        <w:tc>
          <w:tcPr>
            <w:tcW w:w="1569" w:type="pct"/>
          </w:tcPr>
          <w:p w14:paraId="12ACF7F0" w14:textId="77777777" w:rsidR="008F430B" w:rsidRPr="000E5B3A" w:rsidRDefault="008F430B" w:rsidP="00F82724">
            <w:pPr>
              <w:pStyle w:val="TableText0"/>
            </w:pPr>
            <w:r w:rsidRPr="000E5B3A">
              <w:t>Median OS (months) (95% CI)</w:t>
            </w:r>
          </w:p>
        </w:tc>
        <w:tc>
          <w:tcPr>
            <w:tcW w:w="1715" w:type="pct"/>
          </w:tcPr>
          <w:p w14:paraId="10B05CAD" w14:textId="77777777" w:rsidR="008F430B" w:rsidRPr="000E5B3A" w:rsidRDefault="008F430B" w:rsidP="00F82724">
            <w:pPr>
              <w:pStyle w:val="TableText0"/>
              <w:jc w:val="center"/>
            </w:pPr>
            <w:r w:rsidRPr="000E5B3A">
              <w:t>29.2 (24.2, NE)</w:t>
            </w:r>
          </w:p>
        </w:tc>
        <w:tc>
          <w:tcPr>
            <w:tcW w:w="1716" w:type="pct"/>
          </w:tcPr>
          <w:p w14:paraId="58E00BF3" w14:textId="77777777" w:rsidR="008F430B" w:rsidRPr="000E5B3A" w:rsidRDefault="008F430B" w:rsidP="00F82724">
            <w:pPr>
              <w:pStyle w:val="TableText0"/>
              <w:jc w:val="center"/>
            </w:pPr>
            <w:r w:rsidRPr="000E5B3A">
              <w:t>23.0 (15.1, 27.9)</w:t>
            </w:r>
          </w:p>
        </w:tc>
      </w:tr>
      <w:tr w:rsidR="008F430B" w:rsidRPr="000E5B3A" w14:paraId="2EEF8E9E" w14:textId="77777777">
        <w:trPr>
          <w:trHeight w:val="134"/>
        </w:trPr>
        <w:tc>
          <w:tcPr>
            <w:tcW w:w="1569" w:type="pct"/>
          </w:tcPr>
          <w:p w14:paraId="30646F97" w14:textId="239979CE" w:rsidR="008F430B" w:rsidRPr="000E5B3A" w:rsidRDefault="008F430B" w:rsidP="00F82724">
            <w:pPr>
              <w:pStyle w:val="TableText0"/>
            </w:pPr>
            <w:r w:rsidRPr="000E5B3A">
              <w:t>OS HR (95% CI), p-value</w:t>
            </w:r>
          </w:p>
        </w:tc>
        <w:tc>
          <w:tcPr>
            <w:tcW w:w="3431" w:type="pct"/>
            <w:gridSpan w:val="2"/>
          </w:tcPr>
          <w:p w14:paraId="1819C036" w14:textId="1F15B963" w:rsidR="008F430B" w:rsidRPr="000E5B3A" w:rsidRDefault="008F430B" w:rsidP="00F82724">
            <w:pPr>
              <w:pStyle w:val="TableText0"/>
              <w:jc w:val="center"/>
              <w:rPr>
                <w:vertAlign w:val="superscript"/>
              </w:rPr>
            </w:pPr>
            <w:r w:rsidRPr="000E5B3A">
              <w:t>0.70 (0.49, 1.01); 0.0273</w:t>
            </w:r>
            <w:r w:rsidR="00370440" w:rsidRPr="000E5B3A">
              <w:t xml:space="preserve"> </w:t>
            </w:r>
            <w:r w:rsidR="00530A41" w:rsidRPr="000E5B3A">
              <w:rPr>
                <w:vertAlign w:val="superscript"/>
              </w:rPr>
              <w:t>b</w:t>
            </w:r>
          </w:p>
        </w:tc>
      </w:tr>
      <w:tr w:rsidR="008F430B" w:rsidRPr="000E5B3A" w14:paraId="076EEB95" w14:textId="77777777">
        <w:trPr>
          <w:trHeight w:val="134"/>
        </w:trPr>
        <w:tc>
          <w:tcPr>
            <w:tcW w:w="5000" w:type="pct"/>
            <w:gridSpan w:val="3"/>
          </w:tcPr>
          <w:p w14:paraId="373F0350" w14:textId="77777777" w:rsidR="008F430B" w:rsidRPr="000E5B3A" w:rsidRDefault="008F430B" w:rsidP="00F82724">
            <w:pPr>
              <w:pStyle w:val="TableText0"/>
              <w:rPr>
                <w:b/>
                <w:bCs w:val="0"/>
              </w:rPr>
            </w:pPr>
            <w:r w:rsidRPr="000E5B3A">
              <w:rPr>
                <w:b/>
                <w:bCs w:val="0"/>
              </w:rPr>
              <w:t>Other secondary endpoints</w:t>
            </w:r>
          </w:p>
        </w:tc>
      </w:tr>
      <w:tr w:rsidR="008F430B" w:rsidRPr="000E5B3A" w14:paraId="5E8264D9" w14:textId="77777777" w:rsidTr="002F6684">
        <w:trPr>
          <w:trHeight w:val="134"/>
        </w:trPr>
        <w:tc>
          <w:tcPr>
            <w:tcW w:w="1569" w:type="pct"/>
          </w:tcPr>
          <w:p w14:paraId="45506C99" w14:textId="77777777" w:rsidR="008F430B" w:rsidRPr="000E5B3A" w:rsidRDefault="008F430B" w:rsidP="00F82724">
            <w:pPr>
              <w:pStyle w:val="TableText0"/>
            </w:pPr>
            <w:r w:rsidRPr="000E5B3A">
              <w:t xml:space="preserve">ORR, n (%) </w:t>
            </w:r>
          </w:p>
        </w:tc>
        <w:tc>
          <w:tcPr>
            <w:tcW w:w="1715" w:type="pct"/>
          </w:tcPr>
          <w:p w14:paraId="39630FA3" w14:textId="77777777" w:rsidR="008F430B" w:rsidRPr="000E5B3A" w:rsidRDefault="008F430B" w:rsidP="00F82724">
            <w:pPr>
              <w:pStyle w:val="TableText0"/>
              <w:jc w:val="center"/>
            </w:pPr>
            <w:r w:rsidRPr="000E5B3A">
              <w:t>86 (55.8)</w:t>
            </w:r>
          </w:p>
        </w:tc>
        <w:tc>
          <w:tcPr>
            <w:tcW w:w="1716" w:type="pct"/>
          </w:tcPr>
          <w:p w14:paraId="285BA2D4" w14:textId="77777777" w:rsidR="008F430B" w:rsidRPr="000E5B3A" w:rsidRDefault="008F430B" w:rsidP="00F82724">
            <w:pPr>
              <w:pStyle w:val="TableText0"/>
              <w:jc w:val="center"/>
            </w:pPr>
            <w:r w:rsidRPr="000E5B3A">
              <w:t>68 (44.2)</w:t>
            </w:r>
          </w:p>
        </w:tc>
      </w:tr>
      <w:tr w:rsidR="008F430B" w:rsidRPr="000E5B3A" w14:paraId="6E9876F7" w14:textId="77777777" w:rsidTr="002F6684">
        <w:trPr>
          <w:trHeight w:val="134"/>
        </w:trPr>
        <w:tc>
          <w:tcPr>
            <w:tcW w:w="1569" w:type="pct"/>
          </w:tcPr>
          <w:p w14:paraId="4B63BDC3" w14:textId="77777777" w:rsidR="008F430B" w:rsidRPr="000E5B3A" w:rsidRDefault="008F430B" w:rsidP="00F82724">
            <w:pPr>
              <w:pStyle w:val="TableText0"/>
            </w:pPr>
            <w:r w:rsidRPr="000E5B3A">
              <w:t>DCR, n (%)</w:t>
            </w:r>
          </w:p>
        </w:tc>
        <w:tc>
          <w:tcPr>
            <w:tcW w:w="1715" w:type="pct"/>
          </w:tcPr>
          <w:p w14:paraId="4C73AF04" w14:textId="77777777" w:rsidR="008F430B" w:rsidRPr="000E5B3A" w:rsidRDefault="008F430B" w:rsidP="00F82724">
            <w:pPr>
              <w:pStyle w:val="TableText0"/>
              <w:jc w:val="center"/>
            </w:pPr>
            <w:r w:rsidRPr="000E5B3A">
              <w:t>134 (87.0)</w:t>
            </w:r>
          </w:p>
        </w:tc>
        <w:tc>
          <w:tcPr>
            <w:tcW w:w="1716" w:type="pct"/>
          </w:tcPr>
          <w:p w14:paraId="0D0E09BE" w14:textId="77777777" w:rsidR="008F430B" w:rsidRPr="000E5B3A" w:rsidRDefault="008F430B" w:rsidP="00F82724">
            <w:pPr>
              <w:pStyle w:val="TableText0"/>
              <w:jc w:val="center"/>
            </w:pPr>
            <w:r w:rsidRPr="000E5B3A">
              <w:t>123 (79.9)</w:t>
            </w:r>
          </w:p>
        </w:tc>
      </w:tr>
      <w:tr w:rsidR="008F430B" w:rsidRPr="000E5B3A" w14:paraId="02974C07" w14:textId="77777777" w:rsidTr="002F6684">
        <w:trPr>
          <w:trHeight w:val="134"/>
        </w:trPr>
        <w:tc>
          <w:tcPr>
            <w:tcW w:w="1569" w:type="pct"/>
          </w:tcPr>
          <w:p w14:paraId="6A18E3BB" w14:textId="77777777" w:rsidR="008F430B" w:rsidRPr="000E5B3A" w:rsidRDefault="008F430B" w:rsidP="00F82724">
            <w:pPr>
              <w:pStyle w:val="TableText0"/>
            </w:pPr>
            <w:r w:rsidRPr="000E5B3A">
              <w:t xml:space="preserve">DOR, Median (Min, Max) </w:t>
            </w:r>
          </w:p>
        </w:tc>
        <w:tc>
          <w:tcPr>
            <w:tcW w:w="1715" w:type="pct"/>
          </w:tcPr>
          <w:p w14:paraId="57E55C77" w14:textId="77777777" w:rsidR="008F430B" w:rsidRPr="000E5B3A" w:rsidRDefault="008F430B" w:rsidP="00F82724">
            <w:pPr>
              <w:pStyle w:val="TableText0"/>
              <w:jc w:val="center"/>
            </w:pPr>
            <w:r w:rsidRPr="000E5B3A">
              <w:t>14.0 (8.6,22.2)</w:t>
            </w:r>
          </w:p>
        </w:tc>
        <w:tc>
          <w:tcPr>
            <w:tcW w:w="1716" w:type="pct"/>
          </w:tcPr>
          <w:p w14:paraId="151931C7" w14:textId="77777777" w:rsidR="008F430B" w:rsidRPr="000E5B3A" w:rsidRDefault="008F430B" w:rsidP="00F82724">
            <w:pPr>
              <w:pStyle w:val="TableText0"/>
              <w:jc w:val="center"/>
            </w:pPr>
            <w:r w:rsidRPr="000E5B3A">
              <w:t>7.2 (5.6,9.3)</w:t>
            </w:r>
          </w:p>
        </w:tc>
      </w:tr>
    </w:tbl>
    <w:p w14:paraId="014C6CE2" w14:textId="11CEE548" w:rsidR="008F430B" w:rsidRPr="000E5B3A" w:rsidRDefault="008F430B" w:rsidP="00F82724">
      <w:pPr>
        <w:pStyle w:val="TableFigureFooter"/>
        <w:keepNext/>
        <w:jc w:val="both"/>
        <w:rPr>
          <w:rStyle w:val="CommentReference"/>
          <w:b w:val="0"/>
          <w:sz w:val="18"/>
          <w:szCs w:val="22"/>
        </w:rPr>
      </w:pPr>
      <w:r w:rsidRPr="000E5B3A">
        <w:rPr>
          <w:rStyle w:val="CommentReference"/>
          <w:b w:val="0"/>
          <w:sz w:val="18"/>
          <w:szCs w:val="22"/>
        </w:rPr>
        <w:t>Source: Tables 30, 31, 33 and 34, pp72, 74, 78 and 79 of the submission</w:t>
      </w:r>
      <w:r w:rsidR="009A06DD" w:rsidRPr="000E5B3A">
        <w:rPr>
          <w:rStyle w:val="CommentReference"/>
          <w:b w:val="0"/>
          <w:sz w:val="18"/>
          <w:szCs w:val="22"/>
        </w:rPr>
        <w:t>.</w:t>
      </w:r>
    </w:p>
    <w:p w14:paraId="47EA3FF9" w14:textId="694B911F" w:rsidR="009000E7" w:rsidRPr="000E5B3A" w:rsidRDefault="008F430B" w:rsidP="00F82724">
      <w:pPr>
        <w:pStyle w:val="TableFigureFooter"/>
        <w:keepNext/>
        <w:rPr>
          <w:rStyle w:val="CommentReference"/>
          <w:b w:val="0"/>
          <w:sz w:val="18"/>
          <w:szCs w:val="22"/>
        </w:rPr>
      </w:pPr>
      <w:r w:rsidRPr="000E5B3A">
        <w:rPr>
          <w:rStyle w:val="CommentReference"/>
          <w:b w:val="0"/>
          <w:sz w:val="18"/>
          <w:szCs w:val="22"/>
        </w:rPr>
        <w:t xml:space="preserve">BICR = blinded independent </w:t>
      </w:r>
      <w:r w:rsidR="00176907" w:rsidRPr="000E5B3A">
        <w:rPr>
          <w:rStyle w:val="CommentReference"/>
          <w:b w:val="0"/>
          <w:sz w:val="18"/>
          <w:szCs w:val="22"/>
        </w:rPr>
        <w:t xml:space="preserve">central </w:t>
      </w:r>
      <w:r w:rsidRPr="000E5B3A">
        <w:rPr>
          <w:rStyle w:val="CommentReference"/>
          <w:b w:val="0"/>
          <w:sz w:val="18"/>
          <w:szCs w:val="22"/>
        </w:rPr>
        <w:t xml:space="preserve">review; CI = confidence interval; </w:t>
      </w:r>
      <w:r w:rsidRPr="000E5B3A">
        <w:t xml:space="preserve">CP = chemotherapy (carboplatin + paclitaxel); </w:t>
      </w:r>
      <w:r w:rsidRPr="000E5B3A">
        <w:rPr>
          <w:rStyle w:val="CommentReference"/>
          <w:b w:val="0"/>
          <w:sz w:val="18"/>
          <w:szCs w:val="22"/>
        </w:rPr>
        <w:t xml:space="preserve">DCR = disease control rate; DOR = duration of response; FAS = full analysis set; HR = hazard ratio; IPCW = inverse probability of censoring weighting; </w:t>
      </w:r>
      <w:r w:rsidR="00703162" w:rsidRPr="000E5B3A">
        <w:rPr>
          <w:rStyle w:val="CommentReference"/>
          <w:b w:val="0"/>
          <w:sz w:val="18"/>
          <w:szCs w:val="22"/>
        </w:rPr>
        <w:t xml:space="preserve">Min, </w:t>
      </w:r>
      <w:r w:rsidR="00C55BB8" w:rsidRPr="000E5B3A">
        <w:rPr>
          <w:rStyle w:val="CommentReference"/>
          <w:b w:val="0"/>
          <w:sz w:val="18"/>
          <w:szCs w:val="22"/>
        </w:rPr>
        <w:t xml:space="preserve">minimum Max, maximum; </w:t>
      </w:r>
      <w:r w:rsidRPr="000E5B3A">
        <w:rPr>
          <w:rStyle w:val="CommentReference"/>
          <w:b w:val="0"/>
          <w:sz w:val="18"/>
          <w:szCs w:val="22"/>
        </w:rPr>
        <w:t>NE = not evaluated; ORR = overall response rate; OS =overall survival; PFS = progression</w:t>
      </w:r>
      <w:r w:rsidR="00CC27AC" w:rsidRPr="000E5B3A">
        <w:rPr>
          <w:rStyle w:val="CommentReference"/>
          <w:b w:val="0"/>
          <w:sz w:val="18"/>
          <w:szCs w:val="22"/>
        </w:rPr>
        <w:t>-</w:t>
      </w:r>
      <w:r w:rsidRPr="000E5B3A">
        <w:rPr>
          <w:rStyle w:val="CommentReference"/>
          <w:b w:val="0"/>
          <w:sz w:val="18"/>
          <w:szCs w:val="22"/>
        </w:rPr>
        <w:t>free survival; RPSFT = rank-preserving structural failure time</w:t>
      </w:r>
      <w:r w:rsidR="009000E7" w:rsidRPr="000E5B3A">
        <w:rPr>
          <w:rStyle w:val="CommentReference"/>
          <w:b w:val="0"/>
          <w:sz w:val="18"/>
          <w:szCs w:val="22"/>
        </w:rPr>
        <w:t>.</w:t>
      </w:r>
    </w:p>
    <w:p w14:paraId="59D28EC6" w14:textId="227046D0" w:rsidR="00370440" w:rsidRPr="000E5B3A" w:rsidRDefault="009000E7" w:rsidP="00F82724">
      <w:pPr>
        <w:pStyle w:val="TableFigureFooter"/>
        <w:keepNext/>
        <w:jc w:val="both"/>
        <w:rPr>
          <w:rStyle w:val="CommentReference"/>
          <w:b w:val="0"/>
          <w:sz w:val="18"/>
          <w:szCs w:val="22"/>
        </w:rPr>
      </w:pPr>
      <w:r w:rsidRPr="000E5B3A">
        <w:rPr>
          <w:rStyle w:val="CommentReference"/>
          <w:b w:val="0"/>
          <w:sz w:val="18"/>
          <w:szCs w:val="22"/>
        </w:rPr>
        <w:t xml:space="preserve">Text in </w:t>
      </w:r>
      <w:r w:rsidRPr="000E5B3A">
        <w:rPr>
          <w:rStyle w:val="CommentReference"/>
          <w:bCs/>
          <w:sz w:val="18"/>
          <w:szCs w:val="22"/>
        </w:rPr>
        <w:t>bold</w:t>
      </w:r>
      <w:r w:rsidRPr="000E5B3A">
        <w:rPr>
          <w:rStyle w:val="CommentReference"/>
          <w:b w:val="0"/>
          <w:sz w:val="18"/>
          <w:szCs w:val="22"/>
        </w:rPr>
        <w:t xml:space="preserve"> indicated statistically significant </w:t>
      </w:r>
      <w:r w:rsidR="00E431A8" w:rsidRPr="000E5B3A">
        <w:rPr>
          <w:rStyle w:val="CommentReference"/>
          <w:b w:val="0"/>
          <w:sz w:val="18"/>
          <w:szCs w:val="22"/>
        </w:rPr>
        <w:t>difference.</w:t>
      </w:r>
    </w:p>
    <w:p w14:paraId="7429DAFC" w14:textId="757FD34E" w:rsidR="00530A41" w:rsidRPr="000E5B3A" w:rsidRDefault="00724ECB" w:rsidP="00F82724">
      <w:pPr>
        <w:pStyle w:val="TableFigureFooter"/>
        <w:keepNext/>
        <w:jc w:val="both"/>
        <w:rPr>
          <w:rStyle w:val="CommentReference"/>
          <w:b w:val="0"/>
          <w:sz w:val="18"/>
          <w:szCs w:val="22"/>
        </w:rPr>
      </w:pPr>
      <w:r w:rsidRPr="000E5B3A">
        <w:rPr>
          <w:rStyle w:val="CommentReference"/>
          <w:b w:val="0"/>
          <w:sz w:val="18"/>
          <w:szCs w:val="22"/>
          <w:vertAlign w:val="superscript"/>
        </w:rPr>
        <w:t>a</w:t>
      </w:r>
      <w:r w:rsidRPr="000E5B3A">
        <w:rPr>
          <w:rStyle w:val="CommentReference"/>
          <w:b w:val="0"/>
          <w:sz w:val="18"/>
          <w:szCs w:val="22"/>
        </w:rPr>
        <w:t xml:space="preserve"> </w:t>
      </w:r>
      <w:r w:rsidR="00530A41" w:rsidRPr="000E5B3A">
        <w:rPr>
          <w:rStyle w:val="CommentReference"/>
          <w:b w:val="0"/>
          <w:sz w:val="18"/>
          <w:szCs w:val="22"/>
        </w:rPr>
        <w:t>Results from stratified Cox model</w:t>
      </w:r>
      <w:r w:rsidR="007F5969" w:rsidRPr="000E5B3A">
        <w:rPr>
          <w:rStyle w:val="CommentReference"/>
          <w:b w:val="0"/>
          <w:sz w:val="18"/>
          <w:szCs w:val="22"/>
        </w:rPr>
        <w:t>.</w:t>
      </w:r>
      <w:r w:rsidR="00530A41" w:rsidRPr="000E5B3A">
        <w:rPr>
          <w:rStyle w:val="CommentReference"/>
          <w:b w:val="0"/>
          <w:sz w:val="18"/>
          <w:szCs w:val="22"/>
        </w:rPr>
        <w:t xml:space="preserve"> </w:t>
      </w:r>
      <w:r w:rsidR="007F5969" w:rsidRPr="000E5B3A">
        <w:rPr>
          <w:rStyle w:val="CommentReference"/>
          <w:b w:val="0"/>
          <w:sz w:val="18"/>
          <w:szCs w:val="22"/>
        </w:rPr>
        <w:t>Stratification factors included PD-L1 expression (&lt;1% or ≥1%), extent of disease (locally recurrent or metastatic) and region (Australia/Europe/North America/United Kingdom or rest of world).</w:t>
      </w:r>
    </w:p>
    <w:p w14:paraId="6BF9C064" w14:textId="4062834D" w:rsidR="008F430B" w:rsidRPr="000E5B3A" w:rsidRDefault="00530A41" w:rsidP="00997FD9">
      <w:pPr>
        <w:pStyle w:val="TableFigureFooter"/>
        <w:jc w:val="both"/>
        <w:rPr>
          <w:rStyle w:val="CommentReference"/>
          <w:b w:val="0"/>
          <w:sz w:val="18"/>
          <w:szCs w:val="22"/>
        </w:rPr>
      </w:pPr>
      <w:r w:rsidRPr="000E5B3A">
        <w:rPr>
          <w:rStyle w:val="CommentReference"/>
          <w:b w:val="0"/>
          <w:sz w:val="18"/>
          <w:szCs w:val="22"/>
          <w:vertAlign w:val="superscript"/>
        </w:rPr>
        <w:t xml:space="preserve">b </w:t>
      </w:r>
      <w:r w:rsidR="00724ECB" w:rsidRPr="000E5B3A">
        <w:rPr>
          <w:rStyle w:val="CommentReference"/>
          <w:b w:val="0"/>
          <w:sz w:val="18"/>
          <w:szCs w:val="22"/>
        </w:rPr>
        <w:t>OS results did not reach statistical significance based on one sided testing at 2.5% (0.025)</w:t>
      </w:r>
      <w:r w:rsidR="008F430B" w:rsidRPr="000E5B3A">
        <w:rPr>
          <w:rStyle w:val="CommentReference"/>
          <w:b w:val="0"/>
          <w:sz w:val="18"/>
          <w:szCs w:val="22"/>
        </w:rPr>
        <w:t>.</w:t>
      </w:r>
    </w:p>
    <w:p w14:paraId="58CE9B9B" w14:textId="24CA702F" w:rsidR="00D24F7C" w:rsidRPr="000E5B3A" w:rsidRDefault="00D24F7C" w:rsidP="003A5582">
      <w:pPr>
        <w:pStyle w:val="TableFigureFooter"/>
        <w:keepLines w:val="0"/>
      </w:pPr>
    </w:p>
    <w:p w14:paraId="256CCDBD" w14:textId="067E7C3E" w:rsidR="00D24F7C" w:rsidRPr="000E5B3A" w:rsidRDefault="00D24F7C" w:rsidP="00D24F7C">
      <w:pPr>
        <w:pStyle w:val="Caption"/>
      </w:pPr>
      <w:bookmarkStart w:id="26" w:name="_Ref207793343"/>
      <w:r w:rsidRPr="000E5B3A">
        <w:lastRenderedPageBreak/>
        <w:t xml:space="preserve">Figure </w:t>
      </w:r>
      <w:fldSimple w:instr=" SEQ Figure \* ARABIC ">
        <w:r w:rsidR="00DB6E72">
          <w:rPr>
            <w:noProof/>
          </w:rPr>
          <w:t>1</w:t>
        </w:r>
      </w:fldSimple>
      <w:bookmarkEnd w:id="26"/>
      <w:r w:rsidRPr="000E5B3A">
        <w:t xml:space="preserve">: POD1UM-303 progression-free survival by BICR </w:t>
      </w:r>
      <w:r w:rsidR="00987489" w:rsidRPr="000E5B3A">
        <w:t xml:space="preserve">Kaplan-Meier plot </w:t>
      </w:r>
      <w:r w:rsidRPr="000E5B3A">
        <w:t>(FAS)</w:t>
      </w:r>
    </w:p>
    <w:p w14:paraId="5A1D9504" w14:textId="77777777" w:rsidR="00D24F7C" w:rsidRPr="000E5B3A" w:rsidRDefault="00D24F7C" w:rsidP="00D24F7C">
      <w:r w:rsidRPr="000E5B3A">
        <w:rPr>
          <w:noProof/>
        </w:rPr>
        <w:drawing>
          <wp:inline distT="0" distB="0" distL="0" distR="0" wp14:anchorId="5DE5D704" wp14:editId="3811138E">
            <wp:extent cx="5881370" cy="3835048"/>
            <wp:effectExtent l="0" t="0" r="5080" b="0"/>
            <wp:docPr id="519241203" name="Picture 1" descr="Figure 1: POD1UM-303 progression-free survival by BICR Kaplan-Meier plot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41203" name="Picture 1" descr="Figure 1: POD1UM-303 progression-free survival by BICR Kaplan-Meier plot (FAS)"/>
                    <pic:cNvPicPr/>
                  </pic:nvPicPr>
                  <pic:blipFill rotWithShape="1">
                    <a:blip r:embed="rId11"/>
                    <a:srcRect t="610" b="7313"/>
                    <a:stretch>
                      <a:fillRect/>
                    </a:stretch>
                  </pic:blipFill>
                  <pic:spPr bwMode="auto">
                    <a:xfrm>
                      <a:off x="0" y="0"/>
                      <a:ext cx="5882640" cy="3835876"/>
                    </a:xfrm>
                    <a:prstGeom prst="rect">
                      <a:avLst/>
                    </a:prstGeom>
                    <a:ln>
                      <a:noFill/>
                    </a:ln>
                    <a:extLst>
                      <a:ext uri="{53640926-AAD7-44D8-BBD7-CCE9431645EC}">
                        <a14:shadowObscured xmlns:a14="http://schemas.microsoft.com/office/drawing/2010/main"/>
                      </a:ext>
                    </a:extLst>
                  </pic:spPr>
                </pic:pic>
              </a:graphicData>
            </a:graphic>
          </wp:inline>
        </w:drawing>
      </w:r>
    </w:p>
    <w:p w14:paraId="417B5BE7" w14:textId="77777777" w:rsidR="008468E6" w:rsidRPr="000E5B3A" w:rsidRDefault="008468E6" w:rsidP="008468E6">
      <w:pPr>
        <w:pStyle w:val="TableFigureFooter"/>
      </w:pPr>
      <w:r w:rsidRPr="000E5B3A">
        <w:t>Source: Figure 8, p73 of the submission.</w:t>
      </w:r>
    </w:p>
    <w:p w14:paraId="23357366" w14:textId="77777777" w:rsidR="00804742" w:rsidRPr="000E5B3A" w:rsidRDefault="00D24F7C" w:rsidP="00804742">
      <w:pPr>
        <w:pStyle w:val="TableFigureFooter"/>
      </w:pPr>
      <w:r w:rsidRPr="000E5B3A">
        <w:t xml:space="preserve">BICR = blinded independent </w:t>
      </w:r>
      <w:r w:rsidR="006B66FC" w:rsidRPr="000E5B3A">
        <w:t xml:space="preserve">central </w:t>
      </w:r>
      <w:r w:rsidRPr="000E5B3A">
        <w:t>review; CI = confidence interval; FAS = full analysis set</w:t>
      </w:r>
      <w:r w:rsidR="00804742" w:rsidRPr="000E5B3A">
        <w:t xml:space="preserve"> </w:t>
      </w:r>
    </w:p>
    <w:p w14:paraId="1A20B549" w14:textId="4FA5B59F" w:rsidR="00804742" w:rsidRPr="000E5B3A" w:rsidRDefault="00804742" w:rsidP="00804742">
      <w:pPr>
        <w:pStyle w:val="TableFigureFooter"/>
      </w:pPr>
      <w:r w:rsidRPr="000E5B3A">
        <w:t>Note: Group A = placebo + chemotherapy, Group B = retifanlimab + placebo</w:t>
      </w:r>
    </w:p>
    <w:p w14:paraId="3606F20D" w14:textId="329A5484" w:rsidR="00D24F7C" w:rsidRPr="000E5B3A" w:rsidRDefault="00D24F7C" w:rsidP="00D007B9">
      <w:pPr>
        <w:pStyle w:val="Caption"/>
      </w:pPr>
      <w:bookmarkStart w:id="27" w:name="_Ref207793350"/>
      <w:r w:rsidRPr="000E5B3A">
        <w:lastRenderedPageBreak/>
        <w:t xml:space="preserve">Figure </w:t>
      </w:r>
      <w:fldSimple w:instr=" SEQ Figure \* ARABIC ">
        <w:r w:rsidR="00DB6E72">
          <w:rPr>
            <w:noProof/>
          </w:rPr>
          <w:t>2</w:t>
        </w:r>
      </w:fldSimple>
      <w:bookmarkEnd w:id="27"/>
      <w:r w:rsidRPr="000E5B3A">
        <w:t xml:space="preserve">: </w:t>
      </w:r>
      <w:r w:rsidR="00B52FA0" w:rsidRPr="000E5B3A">
        <w:t xml:space="preserve">POD1UM-303 </w:t>
      </w:r>
      <w:r w:rsidR="00987489" w:rsidRPr="000E5B3A">
        <w:t xml:space="preserve">overall survival </w:t>
      </w:r>
      <w:r w:rsidRPr="000E5B3A">
        <w:t xml:space="preserve">of </w:t>
      </w:r>
      <w:r w:rsidR="00987489" w:rsidRPr="000E5B3A">
        <w:t xml:space="preserve">Kaplan-Meier plot </w:t>
      </w:r>
      <w:r w:rsidRPr="000E5B3A">
        <w:t>(FAS)</w:t>
      </w:r>
      <w:r w:rsidR="002321C8" w:rsidRPr="000E5B3A">
        <w:t xml:space="preserve"> – interim analysis</w:t>
      </w:r>
    </w:p>
    <w:p w14:paraId="4380AB06" w14:textId="77777777" w:rsidR="00D24F7C" w:rsidRPr="000E5B3A" w:rsidRDefault="00D24F7C" w:rsidP="00D007B9">
      <w:pPr>
        <w:keepNext/>
        <w:keepLines/>
      </w:pPr>
      <w:r w:rsidRPr="000E5B3A">
        <w:rPr>
          <w:noProof/>
        </w:rPr>
        <w:drawing>
          <wp:inline distT="0" distB="0" distL="0" distR="0" wp14:anchorId="73190D2F" wp14:editId="5AE986C7">
            <wp:extent cx="5900420" cy="3848100"/>
            <wp:effectExtent l="0" t="0" r="5080" b="0"/>
            <wp:docPr id="704616996" name="Picture 1" descr="Figure 2: POD1UM-303 overall survival of Kaplan-Meier plot (FAS) – interim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16996" name="Picture 1" descr="Figure 2: POD1UM-303 overall survival of Kaplan-Meier plot (FAS) – interim analysis"/>
                    <pic:cNvPicPr/>
                  </pic:nvPicPr>
                  <pic:blipFill rotWithShape="1">
                    <a:blip r:embed="rId12"/>
                    <a:srcRect t="1051" b="8165"/>
                    <a:stretch>
                      <a:fillRect/>
                    </a:stretch>
                  </pic:blipFill>
                  <pic:spPr bwMode="auto">
                    <a:xfrm>
                      <a:off x="0" y="0"/>
                      <a:ext cx="5940501" cy="3874240"/>
                    </a:xfrm>
                    <a:prstGeom prst="rect">
                      <a:avLst/>
                    </a:prstGeom>
                    <a:ln>
                      <a:noFill/>
                    </a:ln>
                    <a:extLst>
                      <a:ext uri="{53640926-AAD7-44D8-BBD7-CCE9431645EC}">
                        <a14:shadowObscured xmlns:a14="http://schemas.microsoft.com/office/drawing/2010/main"/>
                      </a:ext>
                    </a:extLst>
                  </pic:spPr>
                </pic:pic>
              </a:graphicData>
            </a:graphic>
          </wp:inline>
        </w:drawing>
      </w:r>
    </w:p>
    <w:p w14:paraId="0BC080C7" w14:textId="77777777" w:rsidR="00D24F7C" w:rsidRPr="000E5B3A" w:rsidRDefault="00D24F7C" w:rsidP="00D007B9">
      <w:pPr>
        <w:pStyle w:val="TableFigureFooter"/>
        <w:keepNext/>
      </w:pPr>
      <w:r w:rsidRPr="000E5B3A">
        <w:t>Source: Figure 9, p75 of the submission.</w:t>
      </w:r>
    </w:p>
    <w:p w14:paraId="60B282F7" w14:textId="77777777" w:rsidR="00804742" w:rsidRPr="000E5B3A" w:rsidRDefault="0006221D" w:rsidP="00D007B9">
      <w:pPr>
        <w:pStyle w:val="TableFigureFooter"/>
        <w:keepNext/>
      </w:pPr>
      <w:r w:rsidRPr="000E5B3A">
        <w:t>BICR = blinded independent central review; CI = confidence interval;</w:t>
      </w:r>
      <w:r w:rsidR="00751552" w:rsidRPr="000E5B3A">
        <w:t xml:space="preserve"> </w:t>
      </w:r>
      <w:r w:rsidRPr="000E5B3A">
        <w:t>FAS = full analysis set</w:t>
      </w:r>
      <w:r w:rsidR="00804742" w:rsidRPr="000E5B3A">
        <w:t xml:space="preserve"> </w:t>
      </w:r>
    </w:p>
    <w:p w14:paraId="68E3C63E" w14:textId="0A9A68C8" w:rsidR="00804742" w:rsidRPr="000E5B3A" w:rsidRDefault="00804742" w:rsidP="00D007B9">
      <w:pPr>
        <w:pStyle w:val="TableFigureFooter"/>
        <w:keepNext/>
      </w:pPr>
      <w:r w:rsidRPr="000E5B3A">
        <w:t>Note: Group A = placebo + chemotherapy, Group B = retifanlimab + placebo</w:t>
      </w:r>
    </w:p>
    <w:p w14:paraId="5AB57279" w14:textId="05392D31" w:rsidR="0006221D" w:rsidRPr="000E5B3A" w:rsidRDefault="0006221D" w:rsidP="0006221D">
      <w:pPr>
        <w:pStyle w:val="TableFigureFooter"/>
      </w:pPr>
    </w:p>
    <w:p w14:paraId="5BB1AC45" w14:textId="1EB1A8CC" w:rsidR="00302866" w:rsidRPr="00B3762A" w:rsidRDefault="00302866" w:rsidP="00731C08">
      <w:pPr>
        <w:pStyle w:val="3-BodyText"/>
      </w:pPr>
      <w:r w:rsidRPr="000E5B3A">
        <w:t>For the POD1UM-303 trial at the DCO, the median PFS in the retifanlimab + CP arm was 9.3 months (95% CI: 7.5, 11.3</w:t>
      </w:r>
      <w:r w:rsidR="007D60A3" w:rsidRPr="000E5B3A">
        <w:t>;</w:t>
      </w:r>
      <w:r w:rsidRPr="000E5B3A">
        <w:t xml:space="preserve"> median follow-up </w:t>
      </w:r>
      <w:r w:rsidR="007D60A3" w:rsidRPr="000E5B3A">
        <w:t>=</w:t>
      </w:r>
      <w:r w:rsidRPr="000E5B3A">
        <w:t xml:space="preserve"> 7.57 months</w:t>
      </w:r>
      <w:r w:rsidR="007D60A3" w:rsidRPr="000E5B3A">
        <w:t xml:space="preserve">) </w:t>
      </w:r>
      <w:r w:rsidRPr="000E5B3A">
        <w:t xml:space="preserve">compared to 7.4 months </w:t>
      </w:r>
      <w:r w:rsidR="007D60A3" w:rsidRPr="000E5B3A">
        <w:t xml:space="preserve">in the placebo + CP arm </w:t>
      </w:r>
      <w:r w:rsidRPr="000E5B3A">
        <w:t>(95% CI: 7.1, 7.7</w:t>
      </w:r>
      <w:r w:rsidR="007D60A3" w:rsidRPr="000E5B3A">
        <w:t>; median follow-up = 7.13 months</w:t>
      </w:r>
      <w:r w:rsidRPr="000E5B3A">
        <w:t xml:space="preserve">). Retifanlimab + CP demonstrated a statistically significant PFS benefit compared to the placebo + CP </w:t>
      </w:r>
      <w:r w:rsidRPr="00B3762A">
        <w:t xml:space="preserve">arm with a 37% reduction in risk of </w:t>
      </w:r>
      <w:r w:rsidR="00D96D6C" w:rsidRPr="00B3762A">
        <w:t xml:space="preserve">a </w:t>
      </w:r>
      <w:r w:rsidRPr="00B3762A">
        <w:t>PFS</w:t>
      </w:r>
      <w:r w:rsidR="00D96D6C" w:rsidRPr="00B3762A">
        <w:t xml:space="preserve"> event</w:t>
      </w:r>
      <w:r w:rsidRPr="00B3762A">
        <w:t xml:space="preserve"> (HR = 0.63 [95% CI: 0.47, 0.84]; p = 0.0006). Consequently, the primary endpoint of the study was met.</w:t>
      </w:r>
    </w:p>
    <w:p w14:paraId="2F8DB115" w14:textId="22285887" w:rsidR="005A6C5E" w:rsidRPr="00B3762A" w:rsidRDefault="005A6C5E" w:rsidP="00731C08">
      <w:pPr>
        <w:pStyle w:val="3-BodyText"/>
      </w:pPr>
      <w:r w:rsidRPr="00B3762A">
        <w:t>At the DCO, 73 (47.4%) patients treated with placebo + CP and 53 (34.4%) patients treated with retifanlimab + CP had died</w:t>
      </w:r>
      <w:r w:rsidR="00CC2774" w:rsidRPr="00B3762A">
        <w:t>; the ESC noted</w:t>
      </w:r>
      <w:r w:rsidR="007A1093" w:rsidRPr="00B3762A">
        <w:t xml:space="preserve"> the OS data were relatively immature</w:t>
      </w:r>
      <w:r w:rsidRPr="00B3762A">
        <w:t xml:space="preserve">. Median OS in the retifanlimab + CP arm was </w:t>
      </w:r>
      <w:r w:rsidR="007A1093" w:rsidRPr="00B3762A">
        <w:t xml:space="preserve">estimated to be </w:t>
      </w:r>
      <w:r w:rsidRPr="00B3762A">
        <w:t>29.2 months (95% CI: 24.2, NE), with a median follow-up time of 14.77 months (range: 0.6-38.3 months)</w:t>
      </w:r>
      <w:r w:rsidR="00E616C8" w:rsidRPr="00B3762A">
        <w:t>,</w:t>
      </w:r>
      <w:r w:rsidRPr="00B3762A">
        <w:t xml:space="preserve"> compared to </w:t>
      </w:r>
      <w:r w:rsidR="00CD5FCA" w:rsidRPr="00B3762A">
        <w:t xml:space="preserve">median OS of </w:t>
      </w:r>
      <w:r w:rsidRPr="00B3762A">
        <w:t>23.0 months (95% CI: 15.1, 27.9) for the placebo + CP arm with a follow-up time of 12.86 months (range: 0.0-40.4 months).</w:t>
      </w:r>
    </w:p>
    <w:p w14:paraId="753447B0" w14:textId="4231BFCD" w:rsidR="004F2B64" w:rsidRPr="000E5B3A" w:rsidRDefault="005D6133" w:rsidP="00A5109C">
      <w:pPr>
        <w:pStyle w:val="3-BodyText"/>
        <w:keepNext/>
        <w:keepLines/>
      </w:pPr>
      <w:r w:rsidRPr="000E5B3A">
        <w:lastRenderedPageBreak/>
        <w:t xml:space="preserve">Based on the </w:t>
      </w:r>
      <w:r w:rsidR="00003E9B" w:rsidRPr="000E5B3A">
        <w:t>hierarchical testing design in POD1UM-303, a</w:t>
      </w:r>
      <w:r w:rsidRPr="000E5B3A">
        <w:t xml:space="preserve">s the null hypothesis for PFS was rejected (because the retifanlimab + CP arm demonstrated a statistically significant PFS benefit compared to the placebo + CP arm at the 1-sided 2.5% level), hypothesis testing for OS could occur. </w:t>
      </w:r>
      <w:r w:rsidR="00EF7EC5" w:rsidRPr="000E5B3A">
        <w:t>The submission claimed that</w:t>
      </w:r>
      <w:r w:rsidR="00B2271E" w:rsidRPr="000E5B3A">
        <w:t>,</w:t>
      </w:r>
      <w:r w:rsidR="00EF7EC5" w:rsidRPr="000E5B3A">
        <w:t xml:space="preserve"> </w:t>
      </w:r>
      <w:r w:rsidR="00B2271E" w:rsidRPr="000E5B3A">
        <w:t xml:space="preserve">despite the relative immaturity of the data, </w:t>
      </w:r>
      <w:r w:rsidR="00EF7EC5" w:rsidRPr="000E5B3A">
        <w:t xml:space="preserve">retifanlimab + CP demonstrated a clinically meaningful improvement in OS compared to placebo + </w:t>
      </w:r>
      <w:r w:rsidR="00302866" w:rsidRPr="000E5B3A">
        <w:t>CP</w:t>
      </w:r>
      <w:r w:rsidR="00EF7EC5" w:rsidRPr="000E5B3A">
        <w:t xml:space="preserve"> with a 30% reduction in risk of death (</w:t>
      </w:r>
      <w:r w:rsidR="005A4D22" w:rsidRPr="000E5B3A">
        <w:t>hazard ratio [</w:t>
      </w:r>
      <w:r w:rsidR="00EF7EC5" w:rsidRPr="000E5B3A">
        <w:t>HR</w:t>
      </w:r>
      <w:r w:rsidR="005A4D22" w:rsidRPr="000E5B3A">
        <w:t>]</w:t>
      </w:r>
      <w:r w:rsidR="00EF7EC5" w:rsidRPr="000E5B3A">
        <w:t xml:space="preserve"> = 0.70 [95% CI: 0.49, 1.01]; p = 0.0273)</w:t>
      </w:r>
      <w:r w:rsidR="008352FA" w:rsidRPr="000E5B3A">
        <w:t xml:space="preserve">, and this was reiterated in the </w:t>
      </w:r>
      <w:r w:rsidR="0000452D">
        <w:t>Pre-Sub-Committee Response (</w:t>
      </w:r>
      <w:r w:rsidR="008352FA" w:rsidRPr="000E5B3A">
        <w:t>PSCR</w:t>
      </w:r>
      <w:r w:rsidR="0000452D">
        <w:t>)</w:t>
      </w:r>
      <w:r w:rsidR="00EF7EC5" w:rsidRPr="000E5B3A">
        <w:t>.</w:t>
      </w:r>
      <w:r w:rsidR="008352FA" w:rsidRPr="000E5B3A">
        <w:t xml:space="preserve"> However, the</w:t>
      </w:r>
      <w:r w:rsidR="00835F59" w:rsidRPr="000E5B3A">
        <w:t xml:space="preserve"> </w:t>
      </w:r>
      <w:r w:rsidR="003D1DEB">
        <w:t>evaluation and the ESC noted that</w:t>
      </w:r>
      <w:r w:rsidR="008352FA" w:rsidRPr="000E5B3A">
        <w:t xml:space="preserve"> the POD1UM-303 OS results were not considered to be statistically significant at the nominated threshold of 0.025.</w:t>
      </w:r>
    </w:p>
    <w:p w14:paraId="0721C861" w14:textId="281E4890" w:rsidR="00B422D7" w:rsidRPr="000E5B3A" w:rsidRDefault="00B422D7">
      <w:pPr>
        <w:pStyle w:val="3-BodyText"/>
      </w:pPr>
      <w:r w:rsidRPr="000E5B3A">
        <w:t>Of the 154 patients randomised to placebo + CP in POD1UM-303, 44.8% (69/154) crossed over to receive retifanlimab monotherapy</w:t>
      </w:r>
      <w:r w:rsidR="00A12929" w:rsidRPr="000E5B3A">
        <w:t xml:space="preserve"> following disease progression</w:t>
      </w:r>
      <w:r w:rsidRPr="000E5B3A">
        <w:t xml:space="preserve">. Of the 106 patients in the placebo + CP arm who experienced progressive disease and were at risk of crossover, </w:t>
      </w:r>
      <w:r w:rsidR="0040717D" w:rsidRPr="000E5B3A">
        <w:t>69 (</w:t>
      </w:r>
      <w:r w:rsidRPr="000E5B3A">
        <w:t>65.1%) crossed over to retifanlimab monotherapy.</w:t>
      </w:r>
    </w:p>
    <w:p w14:paraId="6C40046A" w14:textId="235E481E" w:rsidR="00050C62" w:rsidRPr="000E5B3A" w:rsidRDefault="00AC6052" w:rsidP="00ED08EE">
      <w:pPr>
        <w:pStyle w:val="3-BodyText"/>
        <w:rPr>
          <w:i/>
          <w:iCs/>
        </w:rPr>
      </w:pPr>
      <w:bookmarkStart w:id="28" w:name="_Ref215043099"/>
      <w:bookmarkStart w:id="29" w:name="_Ref208834462"/>
      <w:r w:rsidRPr="000E5B3A">
        <w:t xml:space="preserve">The submission claimed that the POD1UM-303 OS results </w:t>
      </w:r>
      <w:r w:rsidR="00B524AF" w:rsidRPr="000E5B3A">
        <w:t>we</w:t>
      </w:r>
      <w:r w:rsidRPr="000E5B3A">
        <w:t xml:space="preserve">re likely biased against the retifanlimab + CP arm due to the </w:t>
      </w:r>
      <w:r w:rsidR="006766EC" w:rsidRPr="000E5B3A">
        <w:t xml:space="preserve">subsequent </w:t>
      </w:r>
      <w:r w:rsidRPr="000E5B3A">
        <w:t xml:space="preserve">use of retifanlimab monotherapy in the placebo + CP arm, </w:t>
      </w:r>
      <w:r w:rsidR="00D970C8" w:rsidRPr="000E5B3A">
        <w:t xml:space="preserve">thereby </w:t>
      </w:r>
      <w:r w:rsidRPr="000E5B3A">
        <w:t xml:space="preserve">resulting in an underestimation of the incremental OS benefit in favour of retifanlimab. </w:t>
      </w:r>
      <w:r w:rsidR="00F6102A" w:rsidRPr="000E5B3A">
        <w:t>Consequently, t</w:t>
      </w:r>
      <w:r w:rsidR="00D970C8" w:rsidRPr="000E5B3A">
        <w:t xml:space="preserve">he submission used the </w:t>
      </w:r>
      <w:r w:rsidR="006766EC" w:rsidRPr="000E5B3A">
        <w:t>rank-preserving structural failure time (</w:t>
      </w:r>
      <w:r w:rsidR="00D970C8" w:rsidRPr="000E5B3A">
        <w:t>RPSFT</w:t>
      </w:r>
      <w:r w:rsidR="006766EC" w:rsidRPr="000E5B3A">
        <w:t>)</w:t>
      </w:r>
      <w:r w:rsidR="00D970C8" w:rsidRPr="000E5B3A">
        <w:t xml:space="preserve"> and </w:t>
      </w:r>
      <w:r w:rsidR="006766EC" w:rsidRPr="000E5B3A">
        <w:t>inverse probability of censoring weighting (</w:t>
      </w:r>
      <w:r w:rsidR="00D970C8" w:rsidRPr="000E5B3A">
        <w:t>IPCW</w:t>
      </w:r>
      <w:r w:rsidR="006766EC" w:rsidRPr="000E5B3A">
        <w:t>)</w:t>
      </w:r>
      <w:r w:rsidR="00D970C8" w:rsidRPr="000E5B3A">
        <w:t xml:space="preserve"> models to conduct </w:t>
      </w:r>
      <w:r w:rsidR="00D970C8" w:rsidRPr="000E5B3A">
        <w:rPr>
          <w:i/>
          <w:iCs/>
        </w:rPr>
        <w:t>post hoc</w:t>
      </w:r>
      <w:r w:rsidR="00D970C8" w:rsidRPr="000E5B3A">
        <w:t xml:space="preserve"> adjustments for treatment switching.</w:t>
      </w:r>
      <w:bookmarkEnd w:id="28"/>
      <w:r w:rsidR="00FD03BB" w:rsidRPr="000E5B3A">
        <w:t xml:space="preserve"> </w:t>
      </w:r>
      <w:bookmarkEnd w:id="29"/>
    </w:p>
    <w:p w14:paraId="558F07AF" w14:textId="2DF3B8C1" w:rsidR="00731C08" w:rsidRPr="000E5B3A" w:rsidRDefault="00FD2C02" w:rsidP="00731C08">
      <w:pPr>
        <w:pStyle w:val="3-BodyText"/>
      </w:pPr>
      <w:r w:rsidRPr="000E5B3A">
        <w:t xml:space="preserve">The POD1UM-303 OS results </w:t>
      </w:r>
      <w:r w:rsidR="00BC0D6A" w:rsidRPr="000E5B3A">
        <w:t>with</w:t>
      </w:r>
      <w:r w:rsidR="006355FB" w:rsidRPr="000E5B3A">
        <w:t xml:space="preserve"> and </w:t>
      </w:r>
      <w:r w:rsidR="00BC0D6A" w:rsidRPr="000E5B3A">
        <w:t>without</w:t>
      </w:r>
      <w:r w:rsidR="006355FB" w:rsidRPr="000E5B3A">
        <w:t xml:space="preserve"> adjustment for treatment switching </w:t>
      </w:r>
      <w:r w:rsidRPr="000E5B3A">
        <w:t>are summarised in</w:t>
      </w:r>
      <w:r w:rsidR="006355FB" w:rsidRPr="000E5B3A">
        <w:t xml:space="preserve"> </w:t>
      </w:r>
      <w:fldSimple w:instr=" REF _Ref207795324 ">
        <w:r w:rsidR="00DB6E72" w:rsidRPr="000E5B3A">
          <w:t xml:space="preserve">Table </w:t>
        </w:r>
        <w:r w:rsidR="00DB6E72">
          <w:rPr>
            <w:noProof/>
          </w:rPr>
          <w:t>5</w:t>
        </w:r>
      </w:fldSimple>
      <w:r w:rsidRPr="000E5B3A">
        <w:t>.</w:t>
      </w:r>
    </w:p>
    <w:p w14:paraId="3A55A513" w14:textId="55F619CE" w:rsidR="00731C08" w:rsidRPr="000E5B3A" w:rsidRDefault="006355FB" w:rsidP="00A5109C">
      <w:pPr>
        <w:pStyle w:val="Caption"/>
        <w:rPr>
          <w:rStyle w:val="CommentReference"/>
          <w:b/>
          <w:szCs w:val="24"/>
        </w:rPr>
      </w:pPr>
      <w:bookmarkStart w:id="30" w:name="_Ref207795324"/>
      <w:bookmarkStart w:id="31" w:name="_Toc199868410"/>
      <w:r w:rsidRPr="000E5B3A">
        <w:lastRenderedPageBreak/>
        <w:t xml:space="preserve">Table </w:t>
      </w:r>
      <w:fldSimple w:instr=" SEQ Table \* ARABIC ">
        <w:r w:rsidR="00DB6E72">
          <w:rPr>
            <w:noProof/>
          </w:rPr>
          <w:t>5</w:t>
        </w:r>
      </w:fldSimple>
      <w:bookmarkEnd w:id="30"/>
      <w:r w:rsidR="00731C08" w:rsidRPr="000E5B3A">
        <w:rPr>
          <w:rStyle w:val="CommentReference"/>
          <w:b/>
          <w:szCs w:val="24"/>
        </w:rPr>
        <w:t>:</w:t>
      </w:r>
      <w:bookmarkEnd w:id="31"/>
      <w:r w:rsidR="00731C08" w:rsidRPr="000E5B3A">
        <w:rPr>
          <w:rStyle w:val="CommentReference"/>
          <w:b/>
          <w:szCs w:val="24"/>
        </w:rPr>
        <w:t xml:space="preserve"> POD1UM-303, OS </w:t>
      </w:r>
      <w:r w:rsidR="002321C8" w:rsidRPr="000E5B3A">
        <w:rPr>
          <w:rStyle w:val="CommentReference"/>
          <w:b/>
          <w:szCs w:val="24"/>
        </w:rPr>
        <w:t xml:space="preserve">cross-over </w:t>
      </w:r>
      <w:r w:rsidR="00731C08" w:rsidRPr="000E5B3A">
        <w:rPr>
          <w:rStyle w:val="CommentReference"/>
          <w:b/>
          <w:szCs w:val="24"/>
        </w:rPr>
        <w:t>adjusted for treatment switching</w:t>
      </w:r>
      <w:r w:rsidR="002321C8" w:rsidRPr="000E5B3A">
        <w:rPr>
          <w:rStyle w:val="CommentReference"/>
          <w:b/>
          <w:szCs w:val="24"/>
        </w:rPr>
        <w:t xml:space="preserve"> – interim analysis</w:t>
      </w:r>
    </w:p>
    <w:tbl>
      <w:tblPr>
        <w:tblStyle w:val="TableGrid"/>
        <w:tblW w:w="0" w:type="auto"/>
        <w:tblLook w:val="04A0" w:firstRow="1" w:lastRow="0" w:firstColumn="1" w:lastColumn="0" w:noHBand="0" w:noVBand="1"/>
        <w:tblCaption w:val="Table 5: POD1UM-303, OS cross-over adjusted for treatment switching – interim analysis"/>
      </w:tblPr>
      <w:tblGrid>
        <w:gridCol w:w="2689"/>
        <w:gridCol w:w="1559"/>
        <w:gridCol w:w="1559"/>
        <w:gridCol w:w="1701"/>
        <w:gridCol w:w="1508"/>
      </w:tblGrid>
      <w:tr w:rsidR="002321C8" w:rsidRPr="000E5B3A" w14:paraId="11EE5512" w14:textId="77777777">
        <w:tc>
          <w:tcPr>
            <w:tcW w:w="2689" w:type="dxa"/>
          </w:tcPr>
          <w:p w14:paraId="26FD184F" w14:textId="77777777" w:rsidR="002321C8" w:rsidRPr="000E5B3A" w:rsidRDefault="002321C8" w:rsidP="00A5109C">
            <w:pPr>
              <w:pStyle w:val="In-tableHeading"/>
              <w:rPr>
                <w:lang w:val="en-AU"/>
              </w:rPr>
            </w:pPr>
            <w:r w:rsidRPr="000E5B3A">
              <w:rPr>
                <w:lang w:val="en-AU"/>
              </w:rPr>
              <w:t>Variable</w:t>
            </w:r>
          </w:p>
        </w:tc>
        <w:tc>
          <w:tcPr>
            <w:tcW w:w="1559" w:type="dxa"/>
          </w:tcPr>
          <w:p w14:paraId="569A483E" w14:textId="77777777" w:rsidR="002321C8" w:rsidRPr="000E5B3A" w:rsidRDefault="002321C8" w:rsidP="00A5109C">
            <w:pPr>
              <w:pStyle w:val="In-tableHeading"/>
              <w:rPr>
                <w:lang w:val="en-AU"/>
              </w:rPr>
            </w:pPr>
            <w:r w:rsidRPr="000E5B3A">
              <w:rPr>
                <w:lang w:val="en-AU"/>
              </w:rPr>
              <w:t>Placebo + chemotherapy</w:t>
            </w:r>
            <w:r w:rsidRPr="000E5B3A">
              <w:rPr>
                <w:lang w:val="en-AU"/>
              </w:rPr>
              <w:br/>
              <w:t>RPSFT method</w:t>
            </w:r>
            <w:r w:rsidRPr="000E5B3A">
              <w:rPr>
                <w:vertAlign w:val="superscript"/>
                <w:lang w:val="en-AU"/>
              </w:rPr>
              <w:t>a</w:t>
            </w:r>
            <w:r w:rsidRPr="000E5B3A">
              <w:rPr>
                <w:lang w:val="en-AU"/>
              </w:rPr>
              <w:br/>
              <w:t>(N = 154)</w:t>
            </w:r>
          </w:p>
        </w:tc>
        <w:tc>
          <w:tcPr>
            <w:tcW w:w="1559" w:type="dxa"/>
          </w:tcPr>
          <w:p w14:paraId="77D25F8B" w14:textId="77777777" w:rsidR="002321C8" w:rsidRPr="000E5B3A" w:rsidRDefault="002321C8" w:rsidP="00A5109C">
            <w:pPr>
              <w:pStyle w:val="In-tableHeading"/>
              <w:rPr>
                <w:lang w:val="en-AU"/>
              </w:rPr>
            </w:pPr>
            <w:r w:rsidRPr="000E5B3A">
              <w:rPr>
                <w:lang w:val="en-AU"/>
              </w:rPr>
              <w:t>Placebo + chemotherapy</w:t>
            </w:r>
            <w:r w:rsidRPr="000E5B3A">
              <w:rPr>
                <w:lang w:val="en-AU"/>
              </w:rPr>
              <w:br/>
              <w:t>IPCW method</w:t>
            </w:r>
            <w:r w:rsidRPr="000E5B3A">
              <w:rPr>
                <w:vertAlign w:val="superscript"/>
                <w:lang w:val="en-AU"/>
              </w:rPr>
              <w:t>b</w:t>
            </w:r>
            <w:r w:rsidRPr="000E5B3A">
              <w:rPr>
                <w:lang w:val="en-AU"/>
              </w:rPr>
              <w:br/>
              <w:t>(N = 154)</w:t>
            </w:r>
          </w:p>
        </w:tc>
        <w:tc>
          <w:tcPr>
            <w:tcW w:w="1701" w:type="dxa"/>
          </w:tcPr>
          <w:p w14:paraId="5CA83C59" w14:textId="77777777" w:rsidR="002321C8" w:rsidRPr="000E5B3A" w:rsidRDefault="002321C8" w:rsidP="00A5109C">
            <w:pPr>
              <w:pStyle w:val="In-tableHeading"/>
              <w:rPr>
                <w:lang w:val="en-AU"/>
              </w:rPr>
            </w:pPr>
            <w:r w:rsidRPr="000E5B3A">
              <w:rPr>
                <w:lang w:val="en-AU"/>
              </w:rPr>
              <w:t xml:space="preserve">Placebo + chemotherapy (POD1UM-303 ITT) (n=154) </w:t>
            </w:r>
          </w:p>
        </w:tc>
        <w:tc>
          <w:tcPr>
            <w:tcW w:w="1508" w:type="dxa"/>
          </w:tcPr>
          <w:p w14:paraId="3D200F0E" w14:textId="77777777" w:rsidR="002321C8" w:rsidRPr="000E5B3A" w:rsidRDefault="002321C8" w:rsidP="00A5109C">
            <w:pPr>
              <w:pStyle w:val="In-tableHeading"/>
              <w:rPr>
                <w:lang w:val="en-AU"/>
              </w:rPr>
            </w:pPr>
            <w:r w:rsidRPr="000E5B3A">
              <w:rPr>
                <w:lang w:val="en-AU"/>
              </w:rPr>
              <w:t>Retifanlimab + chemotherapy</w:t>
            </w:r>
            <w:r w:rsidRPr="000E5B3A">
              <w:rPr>
                <w:lang w:val="en-AU"/>
              </w:rPr>
              <w:br/>
              <w:t>(POD1UM-303 ITT) (N = 154)</w:t>
            </w:r>
          </w:p>
        </w:tc>
      </w:tr>
      <w:tr w:rsidR="002321C8" w:rsidRPr="000E5B3A" w14:paraId="2C327B8F" w14:textId="77777777">
        <w:tc>
          <w:tcPr>
            <w:tcW w:w="9016" w:type="dxa"/>
            <w:gridSpan w:val="5"/>
          </w:tcPr>
          <w:p w14:paraId="7F4243DD" w14:textId="77777777" w:rsidR="002321C8" w:rsidRPr="000E5B3A" w:rsidRDefault="002321C8" w:rsidP="00A5109C">
            <w:pPr>
              <w:pStyle w:val="PBACTabletext"/>
            </w:pPr>
            <w:r w:rsidRPr="000E5B3A">
              <w:t>Patients with events, n (%)</w:t>
            </w:r>
          </w:p>
        </w:tc>
      </w:tr>
      <w:tr w:rsidR="002321C8" w:rsidRPr="000E5B3A" w14:paraId="13B7DDF7" w14:textId="77777777">
        <w:tc>
          <w:tcPr>
            <w:tcW w:w="2689" w:type="dxa"/>
          </w:tcPr>
          <w:p w14:paraId="27BAE39C" w14:textId="77777777" w:rsidR="002321C8" w:rsidRPr="00086526" w:rsidRDefault="002321C8" w:rsidP="00A5109C">
            <w:pPr>
              <w:pStyle w:val="PBACTabletext"/>
            </w:pPr>
            <w:r w:rsidRPr="00086526">
              <w:t>Death</w:t>
            </w:r>
          </w:p>
        </w:tc>
        <w:tc>
          <w:tcPr>
            <w:tcW w:w="1559" w:type="dxa"/>
            <w:vAlign w:val="center"/>
          </w:tcPr>
          <w:p w14:paraId="47BA9629" w14:textId="77777777" w:rsidR="002321C8" w:rsidRPr="00086526" w:rsidRDefault="002321C8" w:rsidP="00A5109C">
            <w:pPr>
              <w:pStyle w:val="PBACTabletext"/>
              <w:jc w:val="center"/>
            </w:pPr>
            <w:r w:rsidRPr="00086526">
              <w:t>73 (47.4)</w:t>
            </w:r>
          </w:p>
        </w:tc>
        <w:tc>
          <w:tcPr>
            <w:tcW w:w="1559" w:type="dxa"/>
            <w:vAlign w:val="center"/>
          </w:tcPr>
          <w:p w14:paraId="5C1F8F77" w14:textId="77777777" w:rsidR="002321C8" w:rsidRPr="00086526" w:rsidRDefault="002321C8" w:rsidP="00A5109C">
            <w:pPr>
              <w:pStyle w:val="PBACTabletext"/>
              <w:jc w:val="center"/>
            </w:pPr>
            <w:r w:rsidRPr="00086526">
              <w:t>38 (24.7)</w:t>
            </w:r>
          </w:p>
        </w:tc>
        <w:tc>
          <w:tcPr>
            <w:tcW w:w="1701" w:type="dxa"/>
            <w:vAlign w:val="center"/>
          </w:tcPr>
          <w:p w14:paraId="41CFA9A3" w14:textId="77777777" w:rsidR="002321C8" w:rsidRPr="000E5B3A" w:rsidRDefault="002321C8" w:rsidP="00A5109C">
            <w:pPr>
              <w:pStyle w:val="PBACTabletext"/>
              <w:jc w:val="center"/>
            </w:pPr>
            <w:r w:rsidRPr="000E5B3A">
              <w:t>73 (47.4)</w:t>
            </w:r>
          </w:p>
        </w:tc>
        <w:tc>
          <w:tcPr>
            <w:tcW w:w="1508" w:type="dxa"/>
            <w:vAlign w:val="center"/>
          </w:tcPr>
          <w:p w14:paraId="56ABB126" w14:textId="77777777" w:rsidR="002321C8" w:rsidRPr="000E5B3A" w:rsidRDefault="002321C8" w:rsidP="00A5109C">
            <w:pPr>
              <w:pStyle w:val="PBACTabletext"/>
              <w:jc w:val="center"/>
            </w:pPr>
            <w:r w:rsidRPr="000E5B3A">
              <w:t>53 (34.4)</w:t>
            </w:r>
          </w:p>
        </w:tc>
      </w:tr>
      <w:tr w:rsidR="002321C8" w:rsidRPr="000E5B3A" w14:paraId="138DF538" w14:textId="77777777">
        <w:tc>
          <w:tcPr>
            <w:tcW w:w="2689" w:type="dxa"/>
          </w:tcPr>
          <w:p w14:paraId="0FCB1A6F" w14:textId="77777777" w:rsidR="002321C8" w:rsidRPr="00086526" w:rsidRDefault="002321C8" w:rsidP="00A5109C">
            <w:pPr>
              <w:pStyle w:val="PBACTabletext"/>
            </w:pPr>
            <w:r w:rsidRPr="00086526">
              <w:t>Censoring</w:t>
            </w:r>
          </w:p>
        </w:tc>
        <w:tc>
          <w:tcPr>
            <w:tcW w:w="1559" w:type="dxa"/>
            <w:vAlign w:val="center"/>
          </w:tcPr>
          <w:p w14:paraId="7DC1D5A9" w14:textId="77777777" w:rsidR="002321C8" w:rsidRPr="00086526" w:rsidRDefault="002321C8" w:rsidP="00A5109C">
            <w:pPr>
              <w:pStyle w:val="PBACTabletext"/>
              <w:jc w:val="center"/>
            </w:pPr>
            <w:r w:rsidRPr="00086526">
              <w:t>81 (52.6)</w:t>
            </w:r>
          </w:p>
        </w:tc>
        <w:tc>
          <w:tcPr>
            <w:tcW w:w="1559" w:type="dxa"/>
            <w:vAlign w:val="center"/>
          </w:tcPr>
          <w:p w14:paraId="102E9D39" w14:textId="77777777" w:rsidR="002321C8" w:rsidRPr="00086526" w:rsidRDefault="002321C8" w:rsidP="00A5109C">
            <w:pPr>
              <w:pStyle w:val="PBACTabletext"/>
              <w:jc w:val="center"/>
            </w:pPr>
            <w:r w:rsidRPr="00086526">
              <w:t>116 (75.3)</w:t>
            </w:r>
          </w:p>
        </w:tc>
        <w:tc>
          <w:tcPr>
            <w:tcW w:w="1701" w:type="dxa"/>
            <w:vAlign w:val="center"/>
          </w:tcPr>
          <w:p w14:paraId="67524BAD" w14:textId="77777777" w:rsidR="002321C8" w:rsidRPr="000E5B3A" w:rsidRDefault="002321C8" w:rsidP="00A5109C">
            <w:pPr>
              <w:pStyle w:val="PBACTabletext"/>
              <w:jc w:val="center"/>
            </w:pPr>
            <w:r w:rsidRPr="000E5B3A">
              <w:t>81 (52.6)</w:t>
            </w:r>
          </w:p>
        </w:tc>
        <w:tc>
          <w:tcPr>
            <w:tcW w:w="1508" w:type="dxa"/>
            <w:vAlign w:val="center"/>
          </w:tcPr>
          <w:p w14:paraId="5B2E1FFC" w14:textId="77777777" w:rsidR="002321C8" w:rsidRPr="000E5B3A" w:rsidRDefault="002321C8" w:rsidP="00A5109C">
            <w:pPr>
              <w:pStyle w:val="PBACTabletext"/>
              <w:jc w:val="center"/>
            </w:pPr>
            <w:r w:rsidRPr="000E5B3A">
              <w:t>101 (65.6)</w:t>
            </w:r>
          </w:p>
        </w:tc>
      </w:tr>
      <w:tr w:rsidR="002321C8" w:rsidRPr="000E5B3A" w14:paraId="7AF60CD9" w14:textId="77777777">
        <w:tc>
          <w:tcPr>
            <w:tcW w:w="2689" w:type="dxa"/>
          </w:tcPr>
          <w:p w14:paraId="480523AF" w14:textId="77777777" w:rsidR="002321C8" w:rsidRPr="00086526" w:rsidRDefault="002321C8" w:rsidP="00A5109C">
            <w:pPr>
              <w:pStyle w:val="PBACTabletext"/>
            </w:pPr>
            <w:r w:rsidRPr="00086526">
              <w:t>Median OS (months) (95% CI)</w:t>
            </w:r>
            <w:r w:rsidRPr="00086526">
              <w:rPr>
                <w:vertAlign w:val="superscript"/>
              </w:rPr>
              <w:t>c</w:t>
            </w:r>
          </w:p>
        </w:tc>
        <w:tc>
          <w:tcPr>
            <w:tcW w:w="1559" w:type="dxa"/>
            <w:vAlign w:val="center"/>
          </w:tcPr>
          <w:p w14:paraId="0836CF36" w14:textId="77777777" w:rsidR="002321C8" w:rsidRPr="00086526" w:rsidRDefault="002321C8" w:rsidP="00A5109C">
            <w:pPr>
              <w:pStyle w:val="PBACTabletext"/>
              <w:jc w:val="center"/>
            </w:pPr>
            <w:r w:rsidRPr="00086526">
              <w:t>19.1 (13.4, 27.9)</w:t>
            </w:r>
          </w:p>
        </w:tc>
        <w:tc>
          <w:tcPr>
            <w:tcW w:w="1559" w:type="dxa"/>
            <w:vAlign w:val="center"/>
          </w:tcPr>
          <w:p w14:paraId="39B80DE7" w14:textId="77777777" w:rsidR="002321C8" w:rsidRPr="00086526" w:rsidRDefault="002321C8" w:rsidP="00A5109C">
            <w:pPr>
              <w:pStyle w:val="PBACTabletext"/>
              <w:jc w:val="center"/>
            </w:pPr>
            <w:r w:rsidRPr="00086526">
              <w:t>23.0 (11.5, 27.9)</w:t>
            </w:r>
          </w:p>
        </w:tc>
        <w:tc>
          <w:tcPr>
            <w:tcW w:w="1701" w:type="dxa"/>
            <w:vAlign w:val="center"/>
          </w:tcPr>
          <w:p w14:paraId="64FA351A" w14:textId="77777777" w:rsidR="002321C8" w:rsidRPr="000E5B3A" w:rsidRDefault="002321C8" w:rsidP="00A5109C">
            <w:pPr>
              <w:pStyle w:val="PBACTabletext"/>
              <w:jc w:val="center"/>
            </w:pPr>
            <w:r w:rsidRPr="000E5B3A">
              <w:t>23.0 (15.1, 27.9)</w:t>
            </w:r>
          </w:p>
        </w:tc>
        <w:tc>
          <w:tcPr>
            <w:tcW w:w="1508" w:type="dxa"/>
            <w:vAlign w:val="center"/>
          </w:tcPr>
          <w:p w14:paraId="6DD40CA5" w14:textId="77777777" w:rsidR="002321C8" w:rsidRPr="000E5B3A" w:rsidRDefault="002321C8" w:rsidP="00A5109C">
            <w:pPr>
              <w:pStyle w:val="PBACTabletext"/>
              <w:jc w:val="center"/>
            </w:pPr>
            <w:r w:rsidRPr="000E5B3A">
              <w:t>29.2 (24.2, NE)</w:t>
            </w:r>
          </w:p>
        </w:tc>
      </w:tr>
      <w:tr w:rsidR="002321C8" w:rsidRPr="000E5B3A" w14:paraId="4E0C48FB" w14:textId="77777777">
        <w:tc>
          <w:tcPr>
            <w:tcW w:w="2689" w:type="dxa"/>
          </w:tcPr>
          <w:p w14:paraId="4C57EB39" w14:textId="77777777" w:rsidR="002321C8" w:rsidRPr="00086526" w:rsidRDefault="002321C8" w:rsidP="00A5109C">
            <w:pPr>
              <w:pStyle w:val="PBACTabletext"/>
            </w:pPr>
            <w:r w:rsidRPr="00086526">
              <w:t>Month 12 OS rate (95% CI)</w:t>
            </w:r>
          </w:p>
        </w:tc>
        <w:tc>
          <w:tcPr>
            <w:tcW w:w="1559" w:type="dxa"/>
            <w:vAlign w:val="center"/>
          </w:tcPr>
          <w:p w14:paraId="63E7D66D" w14:textId="77777777" w:rsidR="002321C8" w:rsidRPr="00086526" w:rsidRDefault="002321C8" w:rsidP="00A5109C">
            <w:pPr>
              <w:pStyle w:val="PBACTabletext"/>
              <w:jc w:val="center"/>
            </w:pPr>
            <w:r w:rsidRPr="00086526">
              <w:t>61.7 (53.2, 69.2)</w:t>
            </w:r>
          </w:p>
        </w:tc>
        <w:tc>
          <w:tcPr>
            <w:tcW w:w="1559" w:type="dxa"/>
            <w:vAlign w:val="center"/>
          </w:tcPr>
          <w:p w14:paraId="501A02F1" w14:textId="77777777" w:rsidR="002321C8" w:rsidRPr="00086526" w:rsidRDefault="002321C8" w:rsidP="00A5109C">
            <w:pPr>
              <w:pStyle w:val="PBACTabletext"/>
              <w:jc w:val="center"/>
            </w:pPr>
            <w:r w:rsidRPr="00086526">
              <w:t>61.2 (44.9, 74.0)</w:t>
            </w:r>
          </w:p>
        </w:tc>
        <w:tc>
          <w:tcPr>
            <w:tcW w:w="1701" w:type="dxa"/>
            <w:vAlign w:val="center"/>
          </w:tcPr>
          <w:p w14:paraId="10EFAE3F" w14:textId="77777777" w:rsidR="002321C8" w:rsidRPr="000E5B3A" w:rsidRDefault="002321C8" w:rsidP="00A5109C">
            <w:pPr>
              <w:pStyle w:val="PBACTabletext"/>
              <w:jc w:val="center"/>
            </w:pPr>
            <w:r w:rsidRPr="000E5B3A">
              <w:t>66.0 (57.5, 73.1)</w:t>
            </w:r>
          </w:p>
        </w:tc>
        <w:tc>
          <w:tcPr>
            <w:tcW w:w="1508" w:type="dxa"/>
            <w:vAlign w:val="center"/>
          </w:tcPr>
          <w:p w14:paraId="55FC606E" w14:textId="77777777" w:rsidR="002321C8" w:rsidRPr="000E5B3A" w:rsidRDefault="002321C8" w:rsidP="00A5109C">
            <w:pPr>
              <w:pStyle w:val="PBACTabletext"/>
              <w:jc w:val="center"/>
            </w:pPr>
            <w:r w:rsidRPr="000E5B3A">
              <w:t>79.1 (71.3, 85.0)</w:t>
            </w:r>
          </w:p>
        </w:tc>
      </w:tr>
      <w:tr w:rsidR="002321C8" w:rsidRPr="000E5B3A" w14:paraId="1AFC00CF" w14:textId="77777777">
        <w:tc>
          <w:tcPr>
            <w:tcW w:w="2689" w:type="dxa"/>
          </w:tcPr>
          <w:p w14:paraId="4858AA09" w14:textId="77777777" w:rsidR="002321C8" w:rsidRPr="00086526" w:rsidRDefault="002321C8" w:rsidP="00A5109C">
            <w:pPr>
              <w:pStyle w:val="PBACTabletext"/>
            </w:pPr>
            <w:r w:rsidRPr="00086526">
              <w:t>Month 15 OS rate (95% CI)</w:t>
            </w:r>
          </w:p>
        </w:tc>
        <w:tc>
          <w:tcPr>
            <w:tcW w:w="1559" w:type="dxa"/>
            <w:vAlign w:val="center"/>
          </w:tcPr>
          <w:p w14:paraId="0C8007D8" w14:textId="77777777" w:rsidR="002321C8" w:rsidRPr="00086526" w:rsidRDefault="002321C8" w:rsidP="00A5109C">
            <w:pPr>
              <w:pStyle w:val="PBACTabletext"/>
              <w:jc w:val="center"/>
            </w:pPr>
            <w:r w:rsidRPr="00086526">
              <w:t>56.6 (47.8, 64.4)</w:t>
            </w:r>
          </w:p>
        </w:tc>
        <w:tc>
          <w:tcPr>
            <w:tcW w:w="1559" w:type="dxa"/>
            <w:vAlign w:val="center"/>
          </w:tcPr>
          <w:p w14:paraId="26B9A484" w14:textId="77777777" w:rsidR="002321C8" w:rsidRPr="00086526" w:rsidRDefault="002321C8" w:rsidP="00A5109C">
            <w:pPr>
              <w:pStyle w:val="PBACTabletext"/>
              <w:jc w:val="center"/>
            </w:pPr>
            <w:r w:rsidRPr="00086526">
              <w:t>59.7 (43.7, 72.6)</w:t>
            </w:r>
          </w:p>
        </w:tc>
        <w:tc>
          <w:tcPr>
            <w:tcW w:w="1701" w:type="dxa"/>
            <w:vAlign w:val="center"/>
          </w:tcPr>
          <w:p w14:paraId="3AE91486" w14:textId="77777777" w:rsidR="002321C8" w:rsidRPr="000E5B3A" w:rsidRDefault="002321C8" w:rsidP="00A5109C">
            <w:pPr>
              <w:pStyle w:val="PBACTabletext"/>
              <w:jc w:val="center"/>
            </w:pPr>
            <w:r w:rsidRPr="000E5B3A">
              <w:t>59.4 (50.6, 67.1)</w:t>
            </w:r>
          </w:p>
        </w:tc>
        <w:tc>
          <w:tcPr>
            <w:tcW w:w="1508" w:type="dxa"/>
            <w:vAlign w:val="center"/>
          </w:tcPr>
          <w:p w14:paraId="1AC537D7" w14:textId="77777777" w:rsidR="002321C8" w:rsidRPr="000E5B3A" w:rsidRDefault="002321C8" w:rsidP="00A5109C">
            <w:pPr>
              <w:pStyle w:val="PBACTabletext"/>
              <w:jc w:val="center"/>
            </w:pPr>
            <w:r w:rsidRPr="000E5B3A">
              <w:t>71.1 (62.3, 78.1)</w:t>
            </w:r>
          </w:p>
        </w:tc>
      </w:tr>
      <w:tr w:rsidR="002321C8" w:rsidRPr="000E5B3A" w14:paraId="478D52DB" w14:textId="77777777">
        <w:tc>
          <w:tcPr>
            <w:tcW w:w="2689" w:type="dxa"/>
          </w:tcPr>
          <w:p w14:paraId="50B7C689" w14:textId="77777777" w:rsidR="002321C8" w:rsidRPr="00086526" w:rsidRDefault="002321C8" w:rsidP="00A5109C">
            <w:pPr>
              <w:pStyle w:val="PBACTabletext"/>
            </w:pPr>
            <w:r w:rsidRPr="00086526">
              <w:t>Month 18 OS rate (95% CI)</w:t>
            </w:r>
          </w:p>
        </w:tc>
        <w:tc>
          <w:tcPr>
            <w:tcW w:w="1559" w:type="dxa"/>
            <w:vAlign w:val="center"/>
          </w:tcPr>
          <w:p w14:paraId="35485E98" w14:textId="77777777" w:rsidR="002321C8" w:rsidRPr="00086526" w:rsidRDefault="002321C8" w:rsidP="00A5109C">
            <w:pPr>
              <w:pStyle w:val="PBACTabletext"/>
              <w:jc w:val="center"/>
            </w:pPr>
            <w:r w:rsidRPr="00086526">
              <w:t>52.5 (43.6, 60.7)</w:t>
            </w:r>
          </w:p>
        </w:tc>
        <w:tc>
          <w:tcPr>
            <w:tcW w:w="1559" w:type="dxa"/>
            <w:vAlign w:val="center"/>
          </w:tcPr>
          <w:p w14:paraId="3461CB7B" w14:textId="77777777" w:rsidR="002321C8" w:rsidRPr="00086526" w:rsidRDefault="002321C8" w:rsidP="00A5109C">
            <w:pPr>
              <w:pStyle w:val="PBACTabletext"/>
              <w:jc w:val="center"/>
            </w:pPr>
            <w:r w:rsidRPr="00086526">
              <w:t>56.3 (40.4, 69.5)</w:t>
            </w:r>
          </w:p>
        </w:tc>
        <w:tc>
          <w:tcPr>
            <w:tcW w:w="1701" w:type="dxa"/>
            <w:vAlign w:val="center"/>
          </w:tcPr>
          <w:p w14:paraId="26C7F47E" w14:textId="77777777" w:rsidR="002321C8" w:rsidRPr="000E5B3A" w:rsidRDefault="002321C8" w:rsidP="00A5109C">
            <w:pPr>
              <w:pStyle w:val="PBACTabletext"/>
              <w:jc w:val="center"/>
            </w:pPr>
            <w:r w:rsidRPr="000E5B3A">
              <w:t>54.9 (46.0, 63.0)</w:t>
            </w:r>
          </w:p>
        </w:tc>
        <w:tc>
          <w:tcPr>
            <w:tcW w:w="1508" w:type="dxa"/>
            <w:vAlign w:val="center"/>
          </w:tcPr>
          <w:p w14:paraId="5FFB5233" w14:textId="77777777" w:rsidR="002321C8" w:rsidRPr="000E5B3A" w:rsidRDefault="002321C8" w:rsidP="00A5109C">
            <w:pPr>
              <w:pStyle w:val="PBACTabletext"/>
              <w:jc w:val="center"/>
            </w:pPr>
            <w:r w:rsidRPr="000E5B3A">
              <w:t>66.1 (56.9, 73.8)</w:t>
            </w:r>
          </w:p>
        </w:tc>
      </w:tr>
      <w:tr w:rsidR="002321C8" w:rsidRPr="000E5B3A" w14:paraId="439D6EEC" w14:textId="77777777">
        <w:tc>
          <w:tcPr>
            <w:tcW w:w="2689" w:type="dxa"/>
          </w:tcPr>
          <w:p w14:paraId="13B07DB8" w14:textId="77777777" w:rsidR="002321C8" w:rsidRPr="00086526" w:rsidRDefault="002321C8" w:rsidP="00A5109C">
            <w:pPr>
              <w:pStyle w:val="PBACTabletext"/>
            </w:pPr>
            <w:r w:rsidRPr="00086526">
              <w:t>Month 24 OS rate (95% CI)</w:t>
            </w:r>
          </w:p>
        </w:tc>
        <w:tc>
          <w:tcPr>
            <w:tcW w:w="1559" w:type="dxa"/>
            <w:vAlign w:val="center"/>
          </w:tcPr>
          <w:p w14:paraId="74D3AD5E" w14:textId="77777777" w:rsidR="002321C8" w:rsidRPr="00086526" w:rsidRDefault="002321C8" w:rsidP="00A5109C">
            <w:pPr>
              <w:pStyle w:val="PBACTabletext"/>
              <w:jc w:val="center"/>
            </w:pPr>
            <w:r w:rsidRPr="00086526">
              <w:t>43.6 (33.7, 53.0)</w:t>
            </w:r>
          </w:p>
        </w:tc>
        <w:tc>
          <w:tcPr>
            <w:tcW w:w="1559" w:type="dxa"/>
            <w:vAlign w:val="center"/>
          </w:tcPr>
          <w:p w14:paraId="77AEF1D2" w14:textId="77777777" w:rsidR="002321C8" w:rsidRPr="00086526" w:rsidRDefault="002321C8" w:rsidP="00A5109C">
            <w:pPr>
              <w:pStyle w:val="PBACTabletext"/>
              <w:jc w:val="center"/>
            </w:pPr>
            <w:r w:rsidRPr="00086526">
              <w:t>47.5 (28.7, 64.1)</w:t>
            </w:r>
          </w:p>
        </w:tc>
        <w:tc>
          <w:tcPr>
            <w:tcW w:w="1701" w:type="dxa"/>
            <w:vAlign w:val="center"/>
          </w:tcPr>
          <w:p w14:paraId="0D7FFD1A" w14:textId="77777777" w:rsidR="002321C8" w:rsidRPr="000E5B3A" w:rsidRDefault="002321C8" w:rsidP="00A5109C">
            <w:pPr>
              <w:pStyle w:val="PBACTabletext"/>
              <w:jc w:val="center"/>
            </w:pPr>
            <w:r w:rsidRPr="000E5B3A">
              <w:t>48.9 (39.6, 57.6)</w:t>
            </w:r>
          </w:p>
        </w:tc>
        <w:tc>
          <w:tcPr>
            <w:tcW w:w="1508" w:type="dxa"/>
            <w:vAlign w:val="center"/>
          </w:tcPr>
          <w:p w14:paraId="021D9302" w14:textId="77777777" w:rsidR="002321C8" w:rsidRPr="000E5B3A" w:rsidRDefault="002321C8" w:rsidP="00A5109C">
            <w:pPr>
              <w:pStyle w:val="PBACTabletext"/>
              <w:jc w:val="center"/>
            </w:pPr>
            <w:r w:rsidRPr="000E5B3A">
              <w:t>61.3 (51.6, 69.7)</w:t>
            </w:r>
          </w:p>
        </w:tc>
      </w:tr>
      <w:tr w:rsidR="002321C8" w:rsidRPr="000E5B3A" w14:paraId="7CDFC9D4" w14:textId="77777777">
        <w:tc>
          <w:tcPr>
            <w:tcW w:w="2689" w:type="dxa"/>
          </w:tcPr>
          <w:p w14:paraId="09B51A3F" w14:textId="77777777" w:rsidR="002321C8" w:rsidRPr="00086526" w:rsidRDefault="002321C8" w:rsidP="00A5109C">
            <w:pPr>
              <w:pStyle w:val="PBACTabletext"/>
            </w:pPr>
            <w:r w:rsidRPr="00086526">
              <w:t>P-value for stratified log-rank test</w:t>
            </w:r>
            <w:r w:rsidRPr="00086526">
              <w:rPr>
                <w:vertAlign w:val="superscript"/>
              </w:rPr>
              <w:t>d</w:t>
            </w:r>
          </w:p>
        </w:tc>
        <w:tc>
          <w:tcPr>
            <w:tcW w:w="1559" w:type="dxa"/>
            <w:vAlign w:val="center"/>
          </w:tcPr>
          <w:p w14:paraId="03BCAA72" w14:textId="77777777" w:rsidR="002321C8" w:rsidRPr="00086526" w:rsidRDefault="002321C8" w:rsidP="00A5109C">
            <w:pPr>
              <w:pStyle w:val="PBACTabletext"/>
              <w:jc w:val="center"/>
            </w:pPr>
            <w:r w:rsidRPr="00086526">
              <w:t>RPSFT: 0.0055</w:t>
            </w:r>
          </w:p>
        </w:tc>
        <w:tc>
          <w:tcPr>
            <w:tcW w:w="1559" w:type="dxa"/>
            <w:vAlign w:val="center"/>
          </w:tcPr>
          <w:p w14:paraId="77E39CCB" w14:textId="77777777" w:rsidR="002321C8" w:rsidRPr="00086526" w:rsidRDefault="002321C8" w:rsidP="00A5109C">
            <w:pPr>
              <w:pStyle w:val="PBACTabletext"/>
              <w:jc w:val="center"/>
            </w:pPr>
            <w:r w:rsidRPr="00086526">
              <w:t>IPCW: 0.0063</w:t>
            </w:r>
          </w:p>
        </w:tc>
        <w:tc>
          <w:tcPr>
            <w:tcW w:w="3209" w:type="dxa"/>
            <w:gridSpan w:val="2"/>
            <w:vAlign w:val="center"/>
          </w:tcPr>
          <w:p w14:paraId="72031F97" w14:textId="77777777" w:rsidR="002321C8" w:rsidRPr="000E5B3A" w:rsidRDefault="002321C8" w:rsidP="00A5109C">
            <w:pPr>
              <w:pStyle w:val="PBACTabletext"/>
              <w:jc w:val="center"/>
            </w:pPr>
            <w:r w:rsidRPr="000E5B3A">
              <w:t>0.0273</w:t>
            </w:r>
          </w:p>
        </w:tc>
      </w:tr>
      <w:tr w:rsidR="002321C8" w:rsidRPr="000E5B3A" w14:paraId="3F6FE213" w14:textId="77777777">
        <w:tc>
          <w:tcPr>
            <w:tcW w:w="2689" w:type="dxa"/>
          </w:tcPr>
          <w:p w14:paraId="304ED276" w14:textId="77777777" w:rsidR="002321C8" w:rsidRPr="00086526" w:rsidRDefault="002321C8" w:rsidP="00A5109C">
            <w:pPr>
              <w:pStyle w:val="PBACTabletext"/>
            </w:pPr>
            <w:r w:rsidRPr="00086526">
              <w:t xml:space="preserve">HR from stratified Cox model </w:t>
            </w:r>
          </w:p>
          <w:p w14:paraId="5AECC9DD" w14:textId="77777777" w:rsidR="002321C8" w:rsidRPr="00086526" w:rsidRDefault="002321C8" w:rsidP="00A5109C">
            <w:pPr>
              <w:pStyle w:val="PBACTabletext"/>
            </w:pPr>
            <w:r w:rsidRPr="00086526">
              <w:t>(95% CI)</w:t>
            </w:r>
            <w:r w:rsidRPr="00086526">
              <w:rPr>
                <w:vertAlign w:val="superscript"/>
              </w:rPr>
              <w:t>e</w:t>
            </w:r>
          </w:p>
        </w:tc>
        <w:tc>
          <w:tcPr>
            <w:tcW w:w="1559" w:type="dxa"/>
            <w:vAlign w:val="center"/>
          </w:tcPr>
          <w:p w14:paraId="49090AB0" w14:textId="77777777" w:rsidR="002321C8" w:rsidRPr="00086526" w:rsidRDefault="002321C8" w:rsidP="00A5109C">
            <w:pPr>
              <w:pStyle w:val="PBACTabletext"/>
              <w:jc w:val="center"/>
            </w:pPr>
            <w:r w:rsidRPr="00086526">
              <w:t>0.63 (0.44, 0.90)</w:t>
            </w:r>
          </w:p>
        </w:tc>
        <w:tc>
          <w:tcPr>
            <w:tcW w:w="1559" w:type="dxa"/>
            <w:vAlign w:val="center"/>
          </w:tcPr>
          <w:p w14:paraId="7AEBCEE3" w14:textId="77777777" w:rsidR="002321C8" w:rsidRPr="00086526" w:rsidRDefault="002321C8" w:rsidP="00A5109C">
            <w:pPr>
              <w:pStyle w:val="PBACTabletext"/>
              <w:jc w:val="center"/>
            </w:pPr>
            <w:r w:rsidRPr="00086526">
              <w:t>0.61 (0.40, 0.95)</w:t>
            </w:r>
          </w:p>
        </w:tc>
        <w:tc>
          <w:tcPr>
            <w:tcW w:w="3209" w:type="dxa"/>
            <w:gridSpan w:val="2"/>
            <w:vAlign w:val="center"/>
          </w:tcPr>
          <w:p w14:paraId="436CC936" w14:textId="77777777" w:rsidR="002321C8" w:rsidRPr="000E5B3A" w:rsidRDefault="002321C8" w:rsidP="00A5109C">
            <w:pPr>
              <w:pStyle w:val="PBACTabletext"/>
              <w:jc w:val="center"/>
            </w:pPr>
            <w:r w:rsidRPr="000E5B3A">
              <w:t>0.70 (0.49, 1.01)</w:t>
            </w:r>
          </w:p>
        </w:tc>
      </w:tr>
      <w:tr w:rsidR="002321C8" w:rsidRPr="000E5B3A" w14:paraId="4D2BED7A" w14:textId="77777777">
        <w:tc>
          <w:tcPr>
            <w:tcW w:w="9016" w:type="dxa"/>
            <w:gridSpan w:val="5"/>
          </w:tcPr>
          <w:p w14:paraId="4240DB5A" w14:textId="77777777" w:rsidR="002321C8" w:rsidRPr="00086526" w:rsidRDefault="002321C8" w:rsidP="00A5109C">
            <w:pPr>
              <w:pStyle w:val="PBACTabletext"/>
            </w:pPr>
            <w:r w:rsidRPr="00086526">
              <w:t>Follow-up time (months)</w:t>
            </w:r>
          </w:p>
        </w:tc>
      </w:tr>
      <w:tr w:rsidR="002321C8" w:rsidRPr="000E5B3A" w14:paraId="1EED26C8" w14:textId="77777777">
        <w:tc>
          <w:tcPr>
            <w:tcW w:w="2689" w:type="dxa"/>
          </w:tcPr>
          <w:p w14:paraId="29423CBC" w14:textId="77777777" w:rsidR="002321C8" w:rsidRPr="00086526" w:rsidRDefault="002321C8" w:rsidP="00A5109C">
            <w:pPr>
              <w:pStyle w:val="PBACTabletext"/>
              <w:jc w:val="right"/>
            </w:pPr>
            <w:r w:rsidRPr="00086526">
              <w:t>Median</w:t>
            </w:r>
          </w:p>
        </w:tc>
        <w:tc>
          <w:tcPr>
            <w:tcW w:w="1559" w:type="dxa"/>
          </w:tcPr>
          <w:p w14:paraId="6D20C2D9" w14:textId="77777777" w:rsidR="002321C8" w:rsidRPr="00086526" w:rsidRDefault="002321C8" w:rsidP="00A5109C">
            <w:pPr>
              <w:pStyle w:val="PBACTabletext"/>
              <w:jc w:val="center"/>
            </w:pPr>
            <w:r w:rsidRPr="00086526">
              <w:t>11.96</w:t>
            </w:r>
          </w:p>
        </w:tc>
        <w:tc>
          <w:tcPr>
            <w:tcW w:w="1559" w:type="dxa"/>
          </w:tcPr>
          <w:p w14:paraId="1CDFF4C6" w14:textId="77777777" w:rsidR="002321C8" w:rsidRPr="00086526" w:rsidRDefault="002321C8" w:rsidP="00A5109C">
            <w:pPr>
              <w:pStyle w:val="PBACTabletext"/>
              <w:jc w:val="center"/>
            </w:pPr>
            <w:r w:rsidRPr="00086526">
              <w:t>NC</w:t>
            </w:r>
          </w:p>
        </w:tc>
        <w:tc>
          <w:tcPr>
            <w:tcW w:w="1701" w:type="dxa"/>
          </w:tcPr>
          <w:p w14:paraId="56BDFFCF" w14:textId="77777777" w:rsidR="002321C8" w:rsidRPr="000E5B3A" w:rsidRDefault="002321C8" w:rsidP="00A5109C">
            <w:pPr>
              <w:pStyle w:val="PBACTabletext"/>
              <w:jc w:val="center"/>
            </w:pPr>
            <w:r w:rsidRPr="000E5B3A">
              <w:t>12.86</w:t>
            </w:r>
          </w:p>
        </w:tc>
        <w:tc>
          <w:tcPr>
            <w:tcW w:w="1508" w:type="dxa"/>
          </w:tcPr>
          <w:p w14:paraId="520B84A9" w14:textId="77777777" w:rsidR="002321C8" w:rsidRPr="000E5B3A" w:rsidRDefault="002321C8" w:rsidP="00A5109C">
            <w:pPr>
              <w:pStyle w:val="PBACTabletext"/>
              <w:jc w:val="center"/>
            </w:pPr>
            <w:r w:rsidRPr="000E5B3A">
              <w:t>14.77</w:t>
            </w:r>
          </w:p>
        </w:tc>
      </w:tr>
      <w:tr w:rsidR="002321C8" w:rsidRPr="000E5B3A" w14:paraId="0427928A" w14:textId="77777777">
        <w:tc>
          <w:tcPr>
            <w:tcW w:w="2689" w:type="dxa"/>
          </w:tcPr>
          <w:p w14:paraId="0AF582E7" w14:textId="77777777" w:rsidR="002321C8" w:rsidRPr="00086526" w:rsidRDefault="002321C8" w:rsidP="00A5109C">
            <w:pPr>
              <w:pStyle w:val="PBACTabletext"/>
              <w:jc w:val="right"/>
            </w:pPr>
            <w:r w:rsidRPr="00086526">
              <w:t>Minimum, maximum</w:t>
            </w:r>
          </w:p>
        </w:tc>
        <w:tc>
          <w:tcPr>
            <w:tcW w:w="1559" w:type="dxa"/>
          </w:tcPr>
          <w:p w14:paraId="07AB8CE5" w14:textId="77777777" w:rsidR="002321C8" w:rsidRPr="00086526" w:rsidRDefault="002321C8" w:rsidP="00A5109C">
            <w:pPr>
              <w:pStyle w:val="PBACTabletext"/>
              <w:jc w:val="center"/>
            </w:pPr>
            <w:r w:rsidRPr="00086526">
              <w:t>0.0, 40.4</w:t>
            </w:r>
          </w:p>
        </w:tc>
        <w:tc>
          <w:tcPr>
            <w:tcW w:w="1559" w:type="dxa"/>
          </w:tcPr>
          <w:p w14:paraId="5B48F0C6" w14:textId="77777777" w:rsidR="002321C8" w:rsidRPr="00086526" w:rsidRDefault="002321C8" w:rsidP="00A5109C">
            <w:pPr>
              <w:pStyle w:val="PBACTabletext"/>
              <w:jc w:val="center"/>
            </w:pPr>
            <w:r w:rsidRPr="00086526">
              <w:t>NC</w:t>
            </w:r>
          </w:p>
        </w:tc>
        <w:tc>
          <w:tcPr>
            <w:tcW w:w="1701" w:type="dxa"/>
          </w:tcPr>
          <w:p w14:paraId="1849D5FE" w14:textId="77777777" w:rsidR="002321C8" w:rsidRPr="000E5B3A" w:rsidRDefault="002321C8" w:rsidP="00A5109C">
            <w:pPr>
              <w:pStyle w:val="PBACTabletext"/>
              <w:jc w:val="center"/>
            </w:pPr>
            <w:r w:rsidRPr="000E5B3A">
              <w:t>0.0, 40.4</w:t>
            </w:r>
          </w:p>
        </w:tc>
        <w:tc>
          <w:tcPr>
            <w:tcW w:w="1508" w:type="dxa"/>
          </w:tcPr>
          <w:p w14:paraId="63A320A0" w14:textId="77777777" w:rsidR="002321C8" w:rsidRPr="000E5B3A" w:rsidRDefault="002321C8" w:rsidP="00A5109C">
            <w:pPr>
              <w:pStyle w:val="PBACTabletext"/>
              <w:jc w:val="center"/>
            </w:pPr>
            <w:r w:rsidRPr="000E5B3A">
              <w:t>0.6, 38.3</w:t>
            </w:r>
          </w:p>
        </w:tc>
      </w:tr>
    </w:tbl>
    <w:p w14:paraId="16EC7AC6" w14:textId="77777777" w:rsidR="002321C8" w:rsidRPr="000E5B3A" w:rsidRDefault="002321C8" w:rsidP="00A5109C">
      <w:pPr>
        <w:pStyle w:val="TableFigureFooter"/>
        <w:keepNext/>
      </w:pPr>
      <w:r w:rsidRPr="000E5B3A">
        <w:t>Source: Table 47, p99 of the submission, POD1UM-303 CSR Table 16, p. 52</w:t>
      </w:r>
    </w:p>
    <w:p w14:paraId="092EC065" w14:textId="1A68A0AD" w:rsidR="002321C8" w:rsidRPr="000E5B3A" w:rsidRDefault="002321C8" w:rsidP="00A5109C">
      <w:pPr>
        <w:pStyle w:val="TableFigureFooter"/>
        <w:keepNext/>
      </w:pPr>
      <w:r w:rsidRPr="000E5B3A">
        <w:t>CI = confidence interval; FAS = full analysis set; HR = hazard ratio; IPCW = inverse probability of censoring weighting; NC = not calculated; OS = overall survival; RPSFT = rank-preserving structural failure time</w:t>
      </w:r>
    </w:p>
    <w:p w14:paraId="61979A96" w14:textId="77777777" w:rsidR="002321C8" w:rsidRPr="000E5B3A" w:rsidRDefault="002321C8" w:rsidP="00A5109C">
      <w:pPr>
        <w:pStyle w:val="TableFigureFooter"/>
        <w:keepNext/>
      </w:pPr>
      <w:r w:rsidRPr="000E5B3A">
        <w:rPr>
          <w:vertAlign w:val="superscript"/>
        </w:rPr>
        <w:t>a</w:t>
      </w:r>
      <w:r w:rsidRPr="000E5B3A">
        <w:t xml:space="preserve"> The crossover-adjusted analysis using the RPSFT model followed a naïve multistep approach and did not account for the part of the variation in the counterfactual survival time that arose from the variation in the acceleration factor for patients who crossed over from the placebo group to the treatment group.</w:t>
      </w:r>
    </w:p>
    <w:p w14:paraId="101259AA" w14:textId="77777777" w:rsidR="002321C8" w:rsidRPr="000E5B3A" w:rsidRDefault="002321C8" w:rsidP="00A5109C">
      <w:pPr>
        <w:pStyle w:val="TableFigureFooter"/>
        <w:keepNext/>
      </w:pPr>
      <w:r w:rsidRPr="000E5B3A">
        <w:rPr>
          <w:vertAlign w:val="superscript"/>
        </w:rPr>
        <w:t>b</w:t>
      </w:r>
      <w:r w:rsidRPr="000E5B3A">
        <w:t xml:space="preserve"> The crossover-adjusted analysis employed the IPCW method. Within the probability of censoring (crossover) models, stratification factors, along with age, sex, baseline ECOG status, and baseline sum of diameters from independent assessor were incorporated as baseline covariates. Time-varying covariates included ECOG status, percentage change in the sum of diameters from independent assessors, indicators for disease progression, indicators for the occurrence of new lesions, and indicators for SAEs. Stabilised weights were derived from the probability of censoring models, trimmed at value 10, and incorporated into the weighted stratified log-rank test and the weighted stratified Cox proportional hazards model. Number of deaths considered death in patients who did not crossover, while patients who crossed over were all censored at the time of crossover in this analysis; thus, follow-up time was not calculated.</w:t>
      </w:r>
    </w:p>
    <w:p w14:paraId="2B069B30" w14:textId="77777777" w:rsidR="002321C8" w:rsidRPr="000E5B3A" w:rsidRDefault="002321C8" w:rsidP="00A5109C">
      <w:pPr>
        <w:pStyle w:val="TableFigureFooter"/>
        <w:keepNext/>
      </w:pPr>
      <w:r w:rsidRPr="000E5B3A">
        <w:rPr>
          <w:vertAlign w:val="superscript"/>
        </w:rPr>
        <w:t>c</w:t>
      </w:r>
      <w:r w:rsidRPr="000E5B3A">
        <w:t xml:space="preserve"> Median survival time in months was estimated using Kaplan-Meier method. The CI for median survival time was calculated using the method of Brookmeyer and Crowley (1982).</w:t>
      </w:r>
    </w:p>
    <w:p w14:paraId="377C3E67" w14:textId="77777777" w:rsidR="002321C8" w:rsidRPr="000E5B3A" w:rsidRDefault="002321C8" w:rsidP="00A5109C">
      <w:pPr>
        <w:pStyle w:val="TableFigureFooter"/>
        <w:keepNext/>
      </w:pPr>
      <w:r w:rsidRPr="000E5B3A">
        <w:rPr>
          <w:vertAlign w:val="superscript"/>
        </w:rPr>
        <w:t>d</w:t>
      </w:r>
      <w:r w:rsidRPr="000E5B3A">
        <w:t xml:space="preserve"> Nominal p-values are provided as summary statistics.</w:t>
      </w:r>
    </w:p>
    <w:p w14:paraId="60DA6957" w14:textId="77777777" w:rsidR="00804742" w:rsidRPr="000E5B3A" w:rsidRDefault="002321C8" w:rsidP="00A5109C">
      <w:pPr>
        <w:pStyle w:val="TableFigureFooter"/>
        <w:keepNext/>
      </w:pPr>
      <w:r w:rsidRPr="000E5B3A">
        <w:rPr>
          <w:vertAlign w:val="superscript"/>
        </w:rPr>
        <w:t>e</w:t>
      </w:r>
      <w:r w:rsidRPr="000E5B3A">
        <w:t xml:space="preserve"> A stratified Cox regression with Efron's method for tie handling was used to estimate the HR.</w:t>
      </w:r>
      <w:r w:rsidR="00804742" w:rsidRPr="000E5B3A">
        <w:t xml:space="preserve"> </w:t>
      </w:r>
    </w:p>
    <w:p w14:paraId="346D432B" w14:textId="1CF43D25" w:rsidR="00804742" w:rsidRPr="000E5B3A" w:rsidRDefault="00804742" w:rsidP="00A5109C">
      <w:pPr>
        <w:pStyle w:val="TableFigureFooter"/>
        <w:keepNext/>
      </w:pPr>
      <w:r w:rsidRPr="000E5B3A">
        <w:t>Note 1: OS was defined as the time in days between date of randomisation and the date of death due to any cause.</w:t>
      </w:r>
    </w:p>
    <w:p w14:paraId="5EB6A634" w14:textId="77777777" w:rsidR="00804742" w:rsidRPr="000E5B3A" w:rsidRDefault="00804742" w:rsidP="00A5109C">
      <w:pPr>
        <w:pStyle w:val="TableFigureFooter"/>
        <w:keepNext/>
      </w:pPr>
      <w:r w:rsidRPr="000E5B3A">
        <w:t>Note 2: The number of months was calculated as the number of day(s) divided by 30.4375.</w:t>
      </w:r>
    </w:p>
    <w:p w14:paraId="20131413" w14:textId="77777777" w:rsidR="00804742" w:rsidRPr="000E5B3A" w:rsidRDefault="00804742" w:rsidP="00A5109C">
      <w:pPr>
        <w:pStyle w:val="TableFigureFooter"/>
        <w:keepNext/>
      </w:pPr>
      <w:r w:rsidRPr="000E5B3A">
        <w:t>Note 3: Stratification factors were based on information from the Interactive response technology.</w:t>
      </w:r>
    </w:p>
    <w:p w14:paraId="3472D793" w14:textId="16F5E80F" w:rsidR="002321C8" w:rsidRPr="000E5B3A" w:rsidRDefault="002321C8" w:rsidP="002321C8">
      <w:pPr>
        <w:pStyle w:val="TableFigureFooter"/>
      </w:pPr>
    </w:p>
    <w:p w14:paraId="6C43AE9B" w14:textId="77777777" w:rsidR="009D4D2A" w:rsidRPr="002437A9" w:rsidRDefault="00E15ACE" w:rsidP="00D7545E">
      <w:pPr>
        <w:pStyle w:val="3-BodyText"/>
      </w:pPr>
      <w:bookmarkStart w:id="32" w:name="_Ref215043100"/>
      <w:bookmarkStart w:id="33" w:name="_Ref208067195"/>
      <w:bookmarkStart w:id="34" w:name="_Ref208824519"/>
      <w:r w:rsidRPr="000E5B3A">
        <w:t xml:space="preserve">The RPFST model </w:t>
      </w:r>
      <w:r w:rsidRPr="002437A9">
        <w:t>reported an OS HR adjusted for crossover of 0.63 (95% CI 0.44, 0.90; p = 0.0055), while the IPCW model reported an OS HR adjusted for crossover of 0.61 (95% CI 0.40, 0.95; p = 0.0063), which the submission claimed was statistically significant.</w:t>
      </w:r>
      <w:bookmarkEnd w:id="32"/>
    </w:p>
    <w:p w14:paraId="2C0D40B1" w14:textId="490207A0" w:rsidR="007150D5" w:rsidRPr="000E5B3A" w:rsidRDefault="00947FF7" w:rsidP="00A5109C">
      <w:pPr>
        <w:pStyle w:val="3-BodyText"/>
        <w:keepNext/>
        <w:keepLines/>
      </w:pPr>
      <w:bookmarkStart w:id="35" w:name="_Ref211443685"/>
      <w:r w:rsidRPr="000E5B3A">
        <w:lastRenderedPageBreak/>
        <w:t>However, t</w:t>
      </w:r>
      <w:r w:rsidR="005D4853" w:rsidRPr="000E5B3A">
        <w:t>he evaluation considered that w</w:t>
      </w:r>
      <w:r w:rsidR="006B084F" w:rsidRPr="000E5B3A">
        <w:t xml:space="preserve">hile crossover post progression may be a confounder, it </w:t>
      </w:r>
      <w:r w:rsidR="00EB7CDA" w:rsidRPr="000E5B3A">
        <w:t>wa</w:t>
      </w:r>
      <w:r w:rsidR="00876812" w:rsidRPr="000E5B3A">
        <w:t xml:space="preserve">s </w:t>
      </w:r>
      <w:r w:rsidR="006B084F" w:rsidRPr="000E5B3A">
        <w:t xml:space="preserve">unclear whether </w:t>
      </w:r>
      <w:r w:rsidR="00AA0CAC" w:rsidRPr="000E5B3A">
        <w:t>the</w:t>
      </w:r>
      <w:r w:rsidR="00401B33" w:rsidRPr="000E5B3A">
        <w:t xml:space="preserve"> </w:t>
      </w:r>
      <w:r w:rsidR="00B0538C" w:rsidRPr="004809FD">
        <w:rPr>
          <w:i/>
          <w:iCs/>
        </w:rPr>
        <w:t>post hoc</w:t>
      </w:r>
      <w:r w:rsidR="00B0538C" w:rsidRPr="000E5B3A">
        <w:t xml:space="preserve"> </w:t>
      </w:r>
      <w:r w:rsidR="00401B33" w:rsidRPr="000E5B3A">
        <w:t>crossover</w:t>
      </w:r>
      <w:r w:rsidR="00E574BE" w:rsidRPr="000E5B3A">
        <w:t>-</w:t>
      </w:r>
      <w:r w:rsidR="00401B33" w:rsidRPr="000E5B3A">
        <w:t>adjust</w:t>
      </w:r>
      <w:r w:rsidR="00A17EE7" w:rsidRPr="000E5B3A">
        <w:t>ed analyses</w:t>
      </w:r>
      <w:r w:rsidR="00401B33" w:rsidRPr="000E5B3A">
        <w:t xml:space="preserve"> </w:t>
      </w:r>
      <w:r w:rsidR="00A17EE7" w:rsidRPr="000E5B3A">
        <w:t>were reliable</w:t>
      </w:r>
      <w:r w:rsidR="007150D5" w:rsidRPr="000E5B3A">
        <w:t>:</w:t>
      </w:r>
      <w:bookmarkEnd w:id="35"/>
    </w:p>
    <w:p w14:paraId="4AE6C63B" w14:textId="4E2FC877" w:rsidR="0036254B" w:rsidRPr="000E5B3A" w:rsidRDefault="00D7545E" w:rsidP="00A5109C">
      <w:pPr>
        <w:pStyle w:val="ListParagraph"/>
        <w:keepNext/>
        <w:keepLines/>
        <w:ind w:left="1134"/>
        <w:jc w:val="both"/>
        <w:rPr>
          <w:rFonts w:eastAsiaTheme="minorHAnsi" w:cstheme="minorBidi"/>
          <w:snapToGrid/>
          <w:szCs w:val="22"/>
        </w:rPr>
      </w:pPr>
      <w:r w:rsidRPr="000E5B3A">
        <w:t xml:space="preserve">Evidence of efficacy for retifanlimab </w:t>
      </w:r>
      <w:r w:rsidR="00545304" w:rsidRPr="000E5B3A">
        <w:t xml:space="preserve">monotherapy </w:t>
      </w:r>
      <w:r w:rsidRPr="000E5B3A">
        <w:t xml:space="preserve">in the </w:t>
      </w:r>
      <w:r w:rsidR="00FA0115">
        <w:t>2L</w:t>
      </w:r>
      <w:r w:rsidRPr="000E5B3A">
        <w:t xml:space="preserve"> setting was limited</w:t>
      </w:r>
      <w:r w:rsidR="003B66A4">
        <w:t>,</w:t>
      </w:r>
      <w:r w:rsidR="00EF5167" w:rsidRPr="000E5B3A">
        <w:t xml:space="preserve"> so treatment benefit could not be established. I</w:t>
      </w:r>
      <w:r w:rsidRPr="000E5B3A">
        <w:t xml:space="preserve">n POD1UM-202, a single arm open label study of </w:t>
      </w:r>
      <w:r w:rsidR="003B66A4">
        <w:t>2L</w:t>
      </w:r>
      <w:r w:rsidRPr="000E5B3A">
        <w:t xml:space="preserve"> retifanlimab </w:t>
      </w:r>
      <w:r w:rsidR="00C767C2" w:rsidRPr="000E5B3A">
        <w:t>monotherapy</w:t>
      </w:r>
      <w:r w:rsidR="00EB2BF1" w:rsidRPr="000E5B3A">
        <w:t xml:space="preserve"> (</w:t>
      </w:r>
      <w:r w:rsidR="00C12065" w:rsidRPr="000E5B3A">
        <w:t>median duration of treatment = 2.8 months [4 infusions], range 0.03-19.4 months</w:t>
      </w:r>
      <w:r w:rsidR="00C767C2" w:rsidRPr="000E5B3A">
        <w:t xml:space="preserve">) </w:t>
      </w:r>
      <w:r w:rsidRPr="000E5B3A">
        <w:t>in 94 patients with locally advanced or metastatic SCAC with disease progression on or after platinum-based therapy or</w:t>
      </w:r>
      <w:r w:rsidR="00F66F37" w:rsidRPr="000E5B3A">
        <w:t xml:space="preserve"> who</w:t>
      </w:r>
      <w:r w:rsidRPr="000E5B3A">
        <w:t xml:space="preserve"> were ineligible for or intolerant to platinum-based chemotherapy, an ORR of just 13.8% (95% CI 7.6%, 22.5%) was reported</w:t>
      </w:r>
      <w:r w:rsidR="00971E62" w:rsidRPr="000E5B3A">
        <w:t>,</w:t>
      </w:r>
      <w:r w:rsidRPr="000E5B3A">
        <w:t xml:space="preserve"> compared to 55.8% (95% CI 47.6, 63.8) for retifanlimab + CP in the first line setting in POD1UM-303.</w:t>
      </w:r>
      <w:r w:rsidR="00EF5167" w:rsidRPr="000E5B3A">
        <w:t xml:space="preserve"> Therefore, </w:t>
      </w:r>
      <w:r w:rsidR="005D4853" w:rsidRPr="000E5B3A">
        <w:t>the evaluation</w:t>
      </w:r>
      <w:r w:rsidR="00042033" w:rsidRPr="000E5B3A">
        <w:t xml:space="preserve"> and the ESC</w:t>
      </w:r>
      <w:r w:rsidR="005D4853" w:rsidRPr="000E5B3A">
        <w:t xml:space="preserve"> considered </w:t>
      </w:r>
      <w:r w:rsidR="00EF5167" w:rsidRPr="000E5B3A">
        <w:t xml:space="preserve">it may not have been appropriate to conduct </w:t>
      </w:r>
      <w:r w:rsidR="00FA525D" w:rsidRPr="000E5B3A">
        <w:t xml:space="preserve">the </w:t>
      </w:r>
      <w:r w:rsidR="0036254B" w:rsidRPr="000E5B3A">
        <w:t>RPSFT</w:t>
      </w:r>
      <w:r w:rsidR="00FA525D" w:rsidRPr="000E5B3A">
        <w:t xml:space="preserve"> analysis</w:t>
      </w:r>
      <w:r w:rsidR="0036254B" w:rsidRPr="000E5B3A">
        <w:t xml:space="preserve">, which assumes constant treatment effect. </w:t>
      </w:r>
    </w:p>
    <w:bookmarkEnd w:id="33"/>
    <w:bookmarkEnd w:id="34"/>
    <w:p w14:paraId="58DD4B7E" w14:textId="1820C34D" w:rsidR="006001D7" w:rsidRPr="000E5B3A" w:rsidRDefault="006001D7" w:rsidP="00ED08EE">
      <w:pPr>
        <w:pStyle w:val="ListParagraph"/>
        <w:ind w:left="1134"/>
        <w:jc w:val="both"/>
      </w:pPr>
      <w:r w:rsidRPr="000E5B3A">
        <w:t xml:space="preserve">The </w:t>
      </w:r>
      <w:r w:rsidR="00D40626">
        <w:t>2L</w:t>
      </w:r>
      <w:r w:rsidRPr="000E5B3A">
        <w:t xml:space="preserve"> treatment with retifanlimab monotherapy in POD1UM-303 was relatively short (median duration of 1.873 months and median 3.0 doses)</w:t>
      </w:r>
      <w:r w:rsidR="00EC6948" w:rsidRPr="000E5B3A">
        <w:t>.</w:t>
      </w:r>
      <w:r w:rsidR="005D4853" w:rsidRPr="000E5B3A">
        <w:t xml:space="preserve"> The evaluation </w:t>
      </w:r>
      <w:r w:rsidR="00042033" w:rsidRPr="000E5B3A">
        <w:t>considered</w:t>
      </w:r>
      <w:r w:rsidR="005D4853" w:rsidRPr="000E5B3A">
        <w:t xml:space="preserve"> i</w:t>
      </w:r>
      <w:r w:rsidR="00EC6948" w:rsidRPr="000E5B3A">
        <w:t>t</w:t>
      </w:r>
      <w:r w:rsidRPr="000E5B3A">
        <w:t xml:space="preserve"> was uncertain</w:t>
      </w:r>
      <w:r w:rsidR="006778A9" w:rsidRPr="000E5B3A">
        <w:t xml:space="preserve"> whether</w:t>
      </w:r>
      <w:r w:rsidRPr="000E5B3A">
        <w:t xml:space="preserve"> this was sufficient to lead to a meaningful difference in OS</w:t>
      </w:r>
      <w:r w:rsidR="00076A5C" w:rsidRPr="000E5B3A">
        <w:t>,</w:t>
      </w:r>
      <w:r w:rsidRPr="000E5B3A">
        <w:t xml:space="preserve"> as implied by the act of </w:t>
      </w:r>
      <w:r w:rsidR="005215B7" w:rsidRPr="000E5B3A">
        <w:t>performing</w:t>
      </w:r>
      <w:r w:rsidRPr="000E5B3A">
        <w:t xml:space="preserve"> crossover adjustment</w:t>
      </w:r>
      <w:r w:rsidR="005215B7" w:rsidRPr="000E5B3A">
        <w:t>s</w:t>
      </w:r>
      <w:r w:rsidR="0029088A" w:rsidRPr="000E5B3A">
        <w:t>.</w:t>
      </w:r>
    </w:p>
    <w:p w14:paraId="7358452D" w14:textId="36ECC84A" w:rsidR="00D0595C" w:rsidRPr="000E5B3A" w:rsidRDefault="006001D7" w:rsidP="00387B93">
      <w:pPr>
        <w:pStyle w:val="ListParagraph"/>
        <w:ind w:left="1134"/>
        <w:jc w:val="both"/>
      </w:pPr>
      <w:r w:rsidRPr="000E5B3A">
        <w:t xml:space="preserve">The IPCW model relied on a strong assumption that all prognostic factors at the time of disease progression </w:t>
      </w:r>
      <w:r w:rsidR="00D40626">
        <w:t>were</w:t>
      </w:r>
      <w:r w:rsidRPr="000E5B3A">
        <w:t xml:space="preserve"> accounted for and there were no other unobserved confounders. </w:t>
      </w:r>
      <w:r w:rsidR="00E85FF8" w:rsidRPr="000E5B3A">
        <w:t xml:space="preserve">The evaluation </w:t>
      </w:r>
      <w:r w:rsidR="003A4E86" w:rsidRPr="000E5B3A">
        <w:t xml:space="preserve">and the ESC </w:t>
      </w:r>
      <w:r w:rsidR="00E85FF8" w:rsidRPr="000E5B3A">
        <w:t>considered that t</w:t>
      </w:r>
      <w:r w:rsidRPr="000E5B3A">
        <w:t xml:space="preserve">his assumption was unlikely to have held, as the decision to use subsequent therapy (or not) was not random. </w:t>
      </w:r>
      <w:r w:rsidR="00414BD9" w:rsidRPr="000E5B3A">
        <w:t>W</w:t>
      </w:r>
      <w:r w:rsidR="00C97547" w:rsidRPr="000E5B3A">
        <w:t xml:space="preserve">hile observable characteristics could be controlled for to a degree statistically, </w:t>
      </w:r>
      <w:r w:rsidR="006E4297" w:rsidRPr="000E5B3A">
        <w:t>the evaluation</w:t>
      </w:r>
      <w:r w:rsidR="002239E7" w:rsidRPr="000E5B3A">
        <w:t xml:space="preserve"> and the ESC</w:t>
      </w:r>
      <w:r w:rsidR="006E4297" w:rsidRPr="000E5B3A">
        <w:t xml:space="preserve"> considered that </w:t>
      </w:r>
      <w:r w:rsidR="00C97547" w:rsidRPr="000E5B3A">
        <w:t>unobserved variables which contribute</w:t>
      </w:r>
      <w:r w:rsidR="00701A95" w:rsidRPr="000E5B3A">
        <w:t>d</w:t>
      </w:r>
      <w:r w:rsidR="00C97547" w:rsidRPr="000E5B3A">
        <w:t xml:space="preserve"> to both the decision to use subsequent treatment as well as OS are not accounted for</w:t>
      </w:r>
      <w:r w:rsidR="00F30257" w:rsidRPr="000E5B3A">
        <w:t xml:space="preserve"> and would undermine the reliability of crossover adjustments</w:t>
      </w:r>
      <w:r w:rsidR="00CE6E70" w:rsidRPr="000E5B3A">
        <w:t xml:space="preserve">, </w:t>
      </w:r>
      <w:r w:rsidR="00A815DD" w:rsidRPr="000E5B3A">
        <w:t xml:space="preserve">in particular </w:t>
      </w:r>
      <w:r w:rsidR="00082E48" w:rsidRPr="000E5B3A">
        <w:t>IPCW</w:t>
      </w:r>
      <w:r w:rsidR="00EE3EEC" w:rsidRPr="000E5B3A">
        <w:t xml:space="preserve">. </w:t>
      </w:r>
    </w:p>
    <w:p w14:paraId="00D9BDB1" w14:textId="5DD84FDA" w:rsidR="009F2B5A" w:rsidRPr="000E5B3A" w:rsidRDefault="00EC2D53" w:rsidP="00731C08">
      <w:pPr>
        <w:pStyle w:val="3-BodyText"/>
      </w:pPr>
      <w:bookmarkStart w:id="36" w:name="_Ref208067196"/>
      <w:r w:rsidRPr="000E5B3A">
        <w:t>W</w:t>
      </w:r>
      <w:r w:rsidR="00272C49" w:rsidRPr="000E5B3A">
        <w:t xml:space="preserve">hile </w:t>
      </w:r>
      <w:r w:rsidR="006E4297" w:rsidRPr="000E5B3A">
        <w:t>the evaluation</w:t>
      </w:r>
      <w:r w:rsidR="00E46104" w:rsidRPr="000E5B3A">
        <w:t xml:space="preserve"> and the ESC</w:t>
      </w:r>
      <w:r w:rsidR="006E4297" w:rsidRPr="000E5B3A">
        <w:t xml:space="preserve"> considered it</w:t>
      </w:r>
      <w:r w:rsidR="00272C49" w:rsidRPr="000E5B3A">
        <w:t xml:space="preserve"> plausible that the addition of an immunotherapy (i.e. retifanlimab) to CP would confer an OS benefit compared to CP alone, the magnitude of this benefit remains </w:t>
      </w:r>
      <w:r w:rsidR="006C4058" w:rsidRPr="000E5B3A">
        <w:t>uncertain,</w:t>
      </w:r>
      <w:r w:rsidR="00272C49" w:rsidRPr="000E5B3A">
        <w:t xml:space="preserve"> </w:t>
      </w:r>
      <w:r w:rsidRPr="000E5B3A">
        <w:t>and i</w:t>
      </w:r>
      <w:r w:rsidR="009F2B5A" w:rsidRPr="000E5B3A">
        <w:t>t was likely that the crossover adjustment favoured retifanlimab</w:t>
      </w:r>
      <w:r w:rsidRPr="000E5B3A">
        <w:t xml:space="preserve"> and overestimated the OS benefit associated with retifanlimab + CP compared to CP alone</w:t>
      </w:r>
      <w:r w:rsidR="009F2B5A" w:rsidRPr="000E5B3A">
        <w:t>.</w:t>
      </w:r>
      <w:bookmarkEnd w:id="36"/>
      <w:r w:rsidR="00E132DA" w:rsidRPr="000E5B3A">
        <w:t xml:space="preserve"> </w:t>
      </w:r>
    </w:p>
    <w:p w14:paraId="7FA3B2C4" w14:textId="68D39CB3" w:rsidR="00361ECE" w:rsidRPr="000E5B3A" w:rsidRDefault="00D754A4" w:rsidP="006E0337">
      <w:pPr>
        <w:pStyle w:val="3-BodyText"/>
      </w:pPr>
      <w:r w:rsidRPr="000E5B3A">
        <w:t>T</w:t>
      </w:r>
      <w:r w:rsidR="008D2480" w:rsidRPr="000E5B3A">
        <w:t>he ESC considered that given the limitations of both IPCW and RPSFT adjustment methods</w:t>
      </w:r>
      <w:r w:rsidR="00E058DF" w:rsidRPr="000E5B3A">
        <w:t xml:space="preserve"> (likely violation of assumptions)</w:t>
      </w:r>
      <w:r w:rsidR="008D2480" w:rsidRPr="000E5B3A">
        <w:t xml:space="preserve">, the relatively short duration of second-line retifanlimab monotherapy in the trial, and the likely much smaller retifanlimab OS benefit in second-line, </w:t>
      </w:r>
      <w:r w:rsidR="00096DAA" w:rsidRPr="000E5B3A">
        <w:t xml:space="preserve">the crossover-adjusted analyses were </w:t>
      </w:r>
      <w:r w:rsidR="00D93A49" w:rsidRPr="000E5B3A">
        <w:t>highly uncertain</w:t>
      </w:r>
      <w:r w:rsidR="004E06D2" w:rsidRPr="000E5B3A">
        <w:t xml:space="preserve"> and likely overestimated the benefit of retifanlimab</w:t>
      </w:r>
      <w:r w:rsidR="00D93A49" w:rsidRPr="000E5B3A">
        <w:t>. Overall, the ESC considered</w:t>
      </w:r>
      <w:r w:rsidR="008D2480" w:rsidRPr="000E5B3A">
        <w:t xml:space="preserve"> the ITT </w:t>
      </w:r>
      <w:r w:rsidR="00D93A49" w:rsidRPr="000E5B3A">
        <w:t xml:space="preserve">OS results </w:t>
      </w:r>
      <w:r w:rsidR="0018555A" w:rsidRPr="000E5B3A">
        <w:t xml:space="preserve">were more </w:t>
      </w:r>
      <w:r w:rsidR="00ED38D6" w:rsidRPr="000E5B3A">
        <w:t>informative</w:t>
      </w:r>
      <w:r w:rsidR="008D2480" w:rsidRPr="000E5B3A">
        <w:t>.</w:t>
      </w:r>
    </w:p>
    <w:p w14:paraId="309BF8DA" w14:textId="6D1B6D38" w:rsidR="00E132DA" w:rsidRPr="000E5B3A" w:rsidRDefault="00931D57" w:rsidP="00A5109C">
      <w:pPr>
        <w:pStyle w:val="3-BodyText"/>
        <w:keepNext/>
        <w:keepLines/>
      </w:pPr>
      <w:r w:rsidRPr="000E5B3A">
        <w:lastRenderedPageBreak/>
        <w:t>With regards to other secondary efficacy endpoints</w:t>
      </w:r>
      <w:r w:rsidR="005E26DB" w:rsidRPr="000E5B3A">
        <w:t xml:space="preserve"> </w:t>
      </w:r>
      <w:r w:rsidR="00DF5E2D" w:rsidRPr="000E5B3A">
        <w:t xml:space="preserve">in POD1UM-303 </w:t>
      </w:r>
      <w:r w:rsidR="005E26DB" w:rsidRPr="000E5B3A">
        <w:t xml:space="preserve">(see </w:t>
      </w:r>
      <w:r w:rsidR="005E26DB" w:rsidRPr="000E5B3A">
        <w:fldChar w:fldCharType="begin"/>
      </w:r>
      <w:r w:rsidR="005E26DB" w:rsidRPr="000E5B3A">
        <w:instrText xml:space="preserve"> REF _Ref207792595 \h  \* MERGEFORMAT </w:instrText>
      </w:r>
      <w:r w:rsidR="005E26DB" w:rsidRPr="000E5B3A">
        <w:fldChar w:fldCharType="separate"/>
      </w:r>
      <w:r w:rsidR="00DB6E72" w:rsidRPr="00DB6E72">
        <w:t>Table 4</w:t>
      </w:r>
      <w:r w:rsidR="005E26DB" w:rsidRPr="000E5B3A">
        <w:fldChar w:fldCharType="end"/>
      </w:r>
      <w:r w:rsidR="005E26DB" w:rsidRPr="000E5B3A">
        <w:t>)</w:t>
      </w:r>
      <w:r w:rsidRPr="000E5B3A">
        <w:t>:</w:t>
      </w:r>
    </w:p>
    <w:p w14:paraId="2E1C9EB0" w14:textId="4E7C394F" w:rsidR="00931D57" w:rsidRPr="000E5B3A" w:rsidRDefault="00931D57" w:rsidP="00A5109C">
      <w:pPr>
        <w:pStyle w:val="3-BodyText"/>
        <w:keepNext/>
        <w:keepLines/>
        <w:numPr>
          <w:ilvl w:val="0"/>
          <w:numId w:val="4"/>
        </w:numPr>
        <w:ind w:left="1134" w:hanging="425"/>
      </w:pPr>
      <w:r w:rsidRPr="000E5B3A">
        <w:t xml:space="preserve">The submission (p77) claimed that a “nominally significant improvement” in </w:t>
      </w:r>
      <w:r w:rsidR="00B150EB" w:rsidRPr="000E5B3A">
        <w:t>objective response rate (</w:t>
      </w:r>
      <w:r w:rsidRPr="000E5B3A">
        <w:t>ORR</w:t>
      </w:r>
      <w:r w:rsidR="00B150EB" w:rsidRPr="000E5B3A">
        <w:t>)</w:t>
      </w:r>
      <w:r w:rsidRPr="000E5B3A">
        <w:t xml:space="preserve"> was demonstrated for the retifanlimab + CP arm versus the placebo + CP arm (p = 0.0129); 55.8% (95% CI: 47.6, 63.8) compared to 44.2% (95% CI: 36.2, 52.4), respectively. </w:t>
      </w:r>
      <w:r w:rsidR="007B2886" w:rsidRPr="000E5B3A">
        <w:t>The evaluation noted that g</w:t>
      </w:r>
      <w:r w:rsidRPr="000E5B3A">
        <w:t>iven that statistical significance could not be claimed for OS,</w:t>
      </w:r>
      <w:r w:rsidR="00B150EB" w:rsidRPr="000E5B3A">
        <w:t xml:space="preserve"> </w:t>
      </w:r>
      <w:r w:rsidRPr="000E5B3A">
        <w:t>only nominal P values could be reported for ORR with no Type-1 error allocated for ORR testing</w:t>
      </w:r>
      <w:r w:rsidR="00DF5E2D" w:rsidRPr="000E5B3A">
        <w:t>;</w:t>
      </w:r>
      <w:r w:rsidRPr="000E5B3A">
        <w:t xml:space="preserve"> </w:t>
      </w:r>
    </w:p>
    <w:p w14:paraId="4E231688" w14:textId="1A5EFBB4" w:rsidR="00931D57" w:rsidRPr="000E5B3A" w:rsidRDefault="00931D57" w:rsidP="00A5109C">
      <w:pPr>
        <w:pStyle w:val="3-BodyText"/>
        <w:keepNext/>
        <w:keepLines/>
        <w:numPr>
          <w:ilvl w:val="0"/>
          <w:numId w:val="4"/>
        </w:numPr>
        <w:ind w:left="1134" w:hanging="425"/>
      </w:pPr>
      <w:r w:rsidRPr="000E5B3A">
        <w:t xml:space="preserve">The </w:t>
      </w:r>
      <w:r w:rsidR="00987F79" w:rsidRPr="000E5B3A">
        <w:t>disease control rate (</w:t>
      </w:r>
      <w:r w:rsidRPr="000E5B3A">
        <w:t>DCR</w:t>
      </w:r>
      <w:r w:rsidR="00987F79" w:rsidRPr="000E5B3A">
        <w:t>)</w:t>
      </w:r>
      <w:r w:rsidRPr="000E5B3A">
        <w:t xml:space="preserve">, defined as </w:t>
      </w:r>
      <w:r w:rsidR="00987F79" w:rsidRPr="000E5B3A">
        <w:t>complete response (</w:t>
      </w:r>
      <w:r w:rsidRPr="000E5B3A">
        <w:t>CR</w:t>
      </w:r>
      <w:r w:rsidR="00987F79" w:rsidRPr="000E5B3A">
        <w:t>)</w:t>
      </w:r>
      <w:r w:rsidRPr="000E5B3A">
        <w:t xml:space="preserve">, </w:t>
      </w:r>
      <w:r w:rsidR="00987F79" w:rsidRPr="000E5B3A">
        <w:t>partial response (</w:t>
      </w:r>
      <w:r w:rsidRPr="000E5B3A">
        <w:t>PR</w:t>
      </w:r>
      <w:r w:rsidR="00987F79" w:rsidRPr="000E5B3A">
        <w:t>)</w:t>
      </w:r>
      <w:r w:rsidRPr="000E5B3A">
        <w:t xml:space="preserve"> or </w:t>
      </w:r>
      <w:r w:rsidR="00987F79" w:rsidRPr="000E5B3A">
        <w:t>stable disease (</w:t>
      </w:r>
      <w:r w:rsidRPr="000E5B3A">
        <w:t>SD</w:t>
      </w:r>
      <w:r w:rsidR="00987F79" w:rsidRPr="000E5B3A">
        <w:t>)</w:t>
      </w:r>
      <w:r w:rsidRPr="000E5B3A">
        <w:t>, in the retifanlimab + CP arm was 87.0%</w:t>
      </w:r>
      <w:r w:rsidR="00A5109C">
        <w:t> </w:t>
      </w:r>
      <w:r w:rsidRPr="000E5B3A">
        <w:t>(95%</w:t>
      </w:r>
      <w:r w:rsidR="00A5109C">
        <w:t> </w:t>
      </w:r>
      <w:r w:rsidRPr="000E5B3A">
        <w:t>CI: 80.7, 91.9) compared to the DCR in the placebo + CP arm of 79.9%</w:t>
      </w:r>
      <w:r w:rsidR="00A5109C">
        <w:t> </w:t>
      </w:r>
      <w:r w:rsidRPr="000E5B3A">
        <w:t>(95%</w:t>
      </w:r>
      <w:r w:rsidR="00A5109C">
        <w:t> </w:t>
      </w:r>
      <w:r w:rsidRPr="000E5B3A">
        <w:t>CI:</w:t>
      </w:r>
      <w:r w:rsidR="00A5109C">
        <w:t> </w:t>
      </w:r>
      <w:r w:rsidRPr="000E5B3A">
        <w:t xml:space="preserve">72.7, 85.9), based on confirmed responses by </w:t>
      </w:r>
      <w:r w:rsidR="00987F79" w:rsidRPr="000E5B3A">
        <w:t>blinded indepen</w:t>
      </w:r>
      <w:r w:rsidR="00DF5E2D" w:rsidRPr="000E5B3A">
        <w:t>dent review committee (</w:t>
      </w:r>
      <w:r w:rsidRPr="000E5B3A">
        <w:t>BICR</w:t>
      </w:r>
      <w:r w:rsidR="00DF5E2D" w:rsidRPr="000E5B3A">
        <w:t>); and</w:t>
      </w:r>
    </w:p>
    <w:p w14:paraId="6F48940E" w14:textId="07CC286F" w:rsidR="00931D57" w:rsidRPr="000E5B3A" w:rsidRDefault="00931D57" w:rsidP="00FB3471">
      <w:pPr>
        <w:pStyle w:val="3-BodyText"/>
        <w:numPr>
          <w:ilvl w:val="0"/>
          <w:numId w:val="4"/>
        </w:numPr>
        <w:ind w:left="1134" w:hanging="425"/>
      </w:pPr>
      <w:r w:rsidRPr="000E5B3A">
        <w:t xml:space="preserve">Median </w:t>
      </w:r>
      <w:r w:rsidR="00DF5E2D" w:rsidRPr="000E5B3A">
        <w:t>duration of response (</w:t>
      </w:r>
      <w:r w:rsidRPr="000E5B3A">
        <w:t>DOR</w:t>
      </w:r>
      <w:r w:rsidR="00DF5E2D" w:rsidRPr="000E5B3A">
        <w:t>)</w:t>
      </w:r>
      <w:r w:rsidRPr="000E5B3A">
        <w:t xml:space="preserve"> was longer for the retifanlimab + CP arm (14.0</w:t>
      </w:r>
      <w:r w:rsidR="00A5109C">
        <w:t> </w:t>
      </w:r>
      <w:r w:rsidRPr="000E5B3A">
        <w:t>months [95% CI: 8.6, 22.2]) compared to the placebo + CP arm (7.2 months [95%</w:t>
      </w:r>
      <w:r w:rsidR="00A5109C">
        <w:t> </w:t>
      </w:r>
      <w:r w:rsidRPr="000E5B3A">
        <w:t>CI: 5.6, 9.3]).</w:t>
      </w:r>
    </w:p>
    <w:p w14:paraId="6AEAAC53" w14:textId="2F47054D" w:rsidR="00931D57" w:rsidRPr="000E5B3A" w:rsidRDefault="00931D57" w:rsidP="00931D57">
      <w:pPr>
        <w:pStyle w:val="ListParagraph"/>
        <w:numPr>
          <w:ilvl w:val="0"/>
          <w:numId w:val="0"/>
        </w:numPr>
        <w:ind w:left="720"/>
      </w:pPr>
      <w:r w:rsidRPr="000E5B3A">
        <w:t>Overall,</w:t>
      </w:r>
      <w:r w:rsidR="00274EF9" w:rsidRPr="000E5B3A">
        <w:t xml:space="preserve"> the evaluation considered that</w:t>
      </w:r>
      <w:r w:rsidRPr="000E5B3A">
        <w:t xml:space="preserve"> ORR, DCR and DOR results were consistent with the primary outcome of PFS favouring retifanlimab + CP compared to placebo + CP in POD1UM-303. </w:t>
      </w:r>
    </w:p>
    <w:p w14:paraId="545D2019" w14:textId="77777777" w:rsidR="00C12C8C" w:rsidRPr="000E5B3A" w:rsidRDefault="002D6156" w:rsidP="00731C08">
      <w:pPr>
        <w:pStyle w:val="3-BodyText"/>
      </w:pPr>
      <w:bookmarkStart w:id="37" w:name="_Ref215045752"/>
      <w:r w:rsidRPr="000E5B3A">
        <w:t xml:space="preserve">The health-related quality of life (HRQoL) patient-reported outcomes assessed in POD1UM-303 were </w:t>
      </w:r>
      <w:r w:rsidR="0030318A" w:rsidRPr="000E5B3A">
        <w:t>EuroQol-5D (EQ-5D), European Organization for Research and Treatment of Cancer Quality of Life Questionnaire - Core 30 (EORTC QLQ-C30) and European Organization for Research and Treatment of Cancer Quality of Life Questionnaire – Anal Cancer module (27 items) (EORTC QLQ-ANL27)</w:t>
      </w:r>
      <w:r w:rsidRPr="000E5B3A">
        <w:t xml:space="preserve">. Descriptive statistics were used to summarise the scored scales at each scheduled assessment timepoint and change from baseline in the domain scores at the time of each assessment were summarised. No formal statistical tests were </w:t>
      </w:r>
      <w:r w:rsidR="00265EEC" w:rsidRPr="000E5B3A">
        <w:t>provided</w:t>
      </w:r>
      <w:r w:rsidRPr="000E5B3A">
        <w:t>.</w:t>
      </w:r>
      <w:bookmarkEnd w:id="37"/>
      <w:r w:rsidR="00F75303" w:rsidRPr="000E5B3A">
        <w:t xml:space="preserve"> </w:t>
      </w:r>
    </w:p>
    <w:p w14:paraId="1DB9CCBD" w14:textId="5B6D596E" w:rsidR="00731C08" w:rsidRPr="000E5B3A" w:rsidRDefault="006E5519" w:rsidP="00731C08">
      <w:pPr>
        <w:pStyle w:val="3-BodyText"/>
      </w:pPr>
      <w:bookmarkStart w:id="38" w:name="_Ref215045758"/>
      <w:r w:rsidRPr="000E5B3A">
        <w:t>The evaluation considered that p</w:t>
      </w:r>
      <w:r w:rsidR="00C12C8C" w:rsidRPr="000E5B3A">
        <w:t>atient reported outcomes were associated with a high risk of responder bias</w:t>
      </w:r>
      <w:r w:rsidRPr="000E5B3A">
        <w:t>,</w:t>
      </w:r>
      <w:r w:rsidR="00C12C8C" w:rsidRPr="000E5B3A">
        <w:t xml:space="preserve"> as not all patients were included in the analysis</w:t>
      </w:r>
      <w:r w:rsidR="00FF7A1F" w:rsidRPr="000E5B3A">
        <w:t xml:space="preserve"> (e.g. only 186/308 patients had </w:t>
      </w:r>
      <w:r w:rsidR="00E5735A" w:rsidRPr="000E5B3A">
        <w:t xml:space="preserve">any </w:t>
      </w:r>
      <w:r w:rsidR="00FF7A1F" w:rsidRPr="000E5B3A">
        <w:t>results for EQ-5D</w:t>
      </w:r>
      <w:r w:rsidR="00A602D9" w:rsidRPr="000E5B3A">
        <w:t xml:space="preserve">, down to 127/308 </w:t>
      </w:r>
      <w:r w:rsidR="00747F8F" w:rsidRPr="000E5B3A">
        <w:t>at week 24</w:t>
      </w:r>
      <w:r w:rsidR="00627F33" w:rsidRPr="000E5B3A">
        <w:t>, and 50/308</w:t>
      </w:r>
      <w:r w:rsidR="00317879">
        <w:t> </w:t>
      </w:r>
      <w:r w:rsidR="00627F33" w:rsidRPr="000E5B3A">
        <w:t>at the end of treatment</w:t>
      </w:r>
      <w:r w:rsidR="00FF7A1F" w:rsidRPr="000E5B3A">
        <w:t>)</w:t>
      </w:r>
      <w:r w:rsidR="00C12C8C" w:rsidRPr="000E5B3A">
        <w:t xml:space="preserve">. </w:t>
      </w:r>
      <w:r w:rsidR="00CF424F" w:rsidRPr="000E5B3A">
        <w:t>The submission noted</w:t>
      </w:r>
      <w:r w:rsidR="00FC02C9" w:rsidRPr="000E5B3A">
        <w:t xml:space="preserve"> difference in mean EORTC QLQ-C30 score of 10.0 favouring the retifanlimab + CP arm</w:t>
      </w:r>
      <w:r w:rsidR="002D6DE2" w:rsidRPr="000E5B3A">
        <w:t>,</w:t>
      </w:r>
      <w:r w:rsidR="00FC02C9" w:rsidRPr="000E5B3A">
        <w:t xml:space="preserve"> though the reason for this difference was not explained, especially as retifanlimab + CP was associated with more adverse events</w:t>
      </w:r>
      <w:r w:rsidR="00F4429A" w:rsidRPr="000E5B3A">
        <w:t xml:space="preserve"> (AEs)</w:t>
      </w:r>
      <w:r w:rsidR="00FC02C9" w:rsidRPr="000E5B3A">
        <w:t xml:space="preserve"> than placebo + CP. </w:t>
      </w:r>
      <w:r w:rsidR="00FF7A1F" w:rsidRPr="000E5B3A">
        <w:t>EQ</w:t>
      </w:r>
      <w:r w:rsidR="00FF7A1F" w:rsidRPr="000E5B3A">
        <w:noBreakHyphen/>
        <w:t xml:space="preserve">5D results from </w:t>
      </w:r>
      <w:r w:rsidR="00E131B3" w:rsidRPr="000E5B3A">
        <w:t>POD1UM-303 w</w:t>
      </w:r>
      <w:r w:rsidR="002D6DE2" w:rsidRPr="000E5B3A">
        <w:t>ere</w:t>
      </w:r>
      <w:r w:rsidR="00E131B3" w:rsidRPr="000E5B3A">
        <w:t xml:space="preserve"> used to inform the economic model (see </w:t>
      </w:r>
      <w:r w:rsidR="00F8741C" w:rsidRPr="000E5B3A">
        <w:t xml:space="preserve">paragraph </w:t>
      </w:r>
      <w:r w:rsidR="00F8741C" w:rsidRPr="000E5B3A">
        <w:fldChar w:fldCharType="begin"/>
      </w:r>
      <w:r w:rsidR="00F8741C" w:rsidRPr="000E5B3A">
        <w:instrText xml:space="preserve"> REF _Ref208060451 \r \h </w:instrText>
      </w:r>
      <w:r w:rsidR="0028006A" w:rsidRPr="000E5B3A">
        <w:instrText xml:space="preserve"> \* MERGEFORMAT </w:instrText>
      </w:r>
      <w:r w:rsidR="00F8741C" w:rsidRPr="000E5B3A">
        <w:fldChar w:fldCharType="separate"/>
      </w:r>
      <w:r w:rsidR="00DB6E72">
        <w:t>6.43</w:t>
      </w:r>
      <w:r w:rsidR="00F8741C" w:rsidRPr="000E5B3A">
        <w:fldChar w:fldCharType="end"/>
      </w:r>
      <w:r w:rsidR="00F8741C" w:rsidRPr="000E5B3A">
        <w:t>).</w:t>
      </w:r>
      <w:bookmarkEnd w:id="38"/>
    </w:p>
    <w:p w14:paraId="064E1847" w14:textId="6BC496F7" w:rsidR="00FF4707" w:rsidRPr="000E5B3A" w:rsidRDefault="00FF4707" w:rsidP="00731C08">
      <w:pPr>
        <w:pStyle w:val="3-BodyText"/>
      </w:pPr>
      <w:r w:rsidRPr="000E5B3A">
        <w:t xml:space="preserve">The submission reported that utilities derived from POD1UM-303 (EQ-5D individual </w:t>
      </w:r>
      <w:r w:rsidRPr="00086526">
        <w:t>patient data mapped via the validated Australian value set, Norman 2023) were similar between the treatment arms: pre-progression retifanlimab + CP 0.872, placebo + CP</w:t>
      </w:r>
      <w:r w:rsidR="00317879" w:rsidRPr="00086526">
        <w:t> </w:t>
      </w:r>
      <w:r w:rsidRPr="00086526">
        <w:t>0.873; post-progression retifanlimab + CP 0.750, placebo + CP 0.785.</w:t>
      </w:r>
    </w:p>
    <w:p w14:paraId="1452C351" w14:textId="0D19F1B0" w:rsidR="00B60939" w:rsidRPr="000E5B3A" w:rsidRDefault="00B60939" w:rsidP="00D86231">
      <w:pPr>
        <w:pStyle w:val="4-SubsectionHeading"/>
      </w:pPr>
      <w:bookmarkStart w:id="39" w:name="_Toc22897642"/>
      <w:bookmarkStart w:id="40" w:name="_Toc208995340"/>
      <w:r w:rsidRPr="000E5B3A">
        <w:lastRenderedPageBreak/>
        <w:t>Comparative harms</w:t>
      </w:r>
      <w:bookmarkEnd w:id="39"/>
      <w:bookmarkEnd w:id="40"/>
    </w:p>
    <w:p w14:paraId="7C343394" w14:textId="736D2D46" w:rsidR="0042618F" w:rsidRPr="000E5B3A" w:rsidRDefault="0042618F" w:rsidP="00102336">
      <w:pPr>
        <w:pStyle w:val="3-BodyText"/>
        <w:spacing w:after="120"/>
      </w:pPr>
      <w:r w:rsidRPr="000E5B3A">
        <w:t xml:space="preserve">A summary of </w:t>
      </w:r>
      <w:r w:rsidR="007D7812" w:rsidRPr="000E5B3A">
        <w:t xml:space="preserve">the </w:t>
      </w:r>
      <w:r w:rsidRPr="000E5B3A">
        <w:t xml:space="preserve">overall </w:t>
      </w:r>
      <w:r w:rsidR="00BA5258" w:rsidRPr="000E5B3A">
        <w:t xml:space="preserve">treatment emergent </w:t>
      </w:r>
      <w:r w:rsidR="00F4429A" w:rsidRPr="000E5B3A">
        <w:t>AEs</w:t>
      </w:r>
      <w:r w:rsidRPr="000E5B3A">
        <w:t xml:space="preserve"> (</w:t>
      </w:r>
      <w:r w:rsidR="00BA5258" w:rsidRPr="000E5B3A">
        <w:t>TE</w:t>
      </w:r>
      <w:r w:rsidRPr="000E5B3A">
        <w:t xml:space="preserve">AEs) in POD1UM-303 is presented in </w:t>
      </w:r>
      <w:fldSimple w:instr=" REF _Ref207802117 ">
        <w:r w:rsidR="00DB6E72" w:rsidRPr="000E5B3A">
          <w:t xml:space="preserve">Table </w:t>
        </w:r>
        <w:r w:rsidR="00DB6E72">
          <w:rPr>
            <w:noProof/>
          </w:rPr>
          <w:t>6</w:t>
        </w:r>
      </w:fldSimple>
      <w:r w:rsidRPr="000E5B3A">
        <w:t>.</w:t>
      </w:r>
      <w:r w:rsidR="007910EC" w:rsidRPr="000E5B3A">
        <w:t xml:space="preserve"> Retifanlimab/placebo-related TEAEs, serious retifanlimab/placebo-related TEAEs and retifanlimab/placebo discontinued due to TEAE were all observed more commonly in the retifanlimab + CP arm.</w:t>
      </w:r>
    </w:p>
    <w:p w14:paraId="6F30229C" w14:textId="7ADE4D09" w:rsidR="0042618F" w:rsidRPr="000E5B3A" w:rsidRDefault="0042618F" w:rsidP="0042618F">
      <w:pPr>
        <w:pStyle w:val="Caption"/>
        <w:rPr>
          <w:rStyle w:val="CommentReference"/>
          <w:b/>
          <w:szCs w:val="24"/>
        </w:rPr>
      </w:pPr>
      <w:bookmarkStart w:id="41" w:name="_Ref207802117"/>
      <w:r w:rsidRPr="000E5B3A">
        <w:t xml:space="preserve">Table </w:t>
      </w:r>
      <w:fldSimple w:instr=" SEQ Table \* ARABIC ">
        <w:r w:rsidR="00DB6E72">
          <w:rPr>
            <w:noProof/>
          </w:rPr>
          <w:t>6</w:t>
        </w:r>
      </w:fldSimple>
      <w:bookmarkEnd w:id="41"/>
      <w:r w:rsidRPr="000E5B3A">
        <w:rPr>
          <w:rStyle w:val="CommentReference"/>
          <w:b/>
          <w:szCs w:val="24"/>
        </w:rPr>
        <w:t xml:space="preserve">: </w:t>
      </w:r>
      <w:r w:rsidR="00C616B7" w:rsidRPr="000E5B3A">
        <w:rPr>
          <w:rStyle w:val="CommentReference"/>
          <w:b/>
          <w:szCs w:val="24"/>
        </w:rPr>
        <w:t>POD1UM-303, o</w:t>
      </w:r>
      <w:r w:rsidRPr="000E5B3A">
        <w:rPr>
          <w:rStyle w:val="CommentReference"/>
          <w:b/>
          <w:szCs w:val="24"/>
        </w:rPr>
        <w:t>verall summary of TEAEs during the randomised treatment period (</w:t>
      </w:r>
      <w:r w:rsidR="007D1AD1" w:rsidRPr="000E5B3A">
        <w:rPr>
          <w:rStyle w:val="CommentReference"/>
          <w:b/>
          <w:szCs w:val="24"/>
        </w:rPr>
        <w:t>s</w:t>
      </w:r>
      <w:r w:rsidRPr="000E5B3A">
        <w:rPr>
          <w:rStyle w:val="CommentReference"/>
          <w:b/>
          <w:szCs w:val="24"/>
        </w:rPr>
        <w:t>afety population)</w:t>
      </w:r>
    </w:p>
    <w:tbl>
      <w:tblPr>
        <w:tblStyle w:val="TableGrid"/>
        <w:tblW w:w="5004" w:type="pct"/>
        <w:tblLook w:val="04A0" w:firstRow="1" w:lastRow="0" w:firstColumn="1" w:lastColumn="0" w:noHBand="0" w:noVBand="1"/>
        <w:tblCaption w:val="Table 6: POD1UM-303, overall summary of TEAEs during the randomised treatment period (safety population)"/>
      </w:tblPr>
      <w:tblGrid>
        <w:gridCol w:w="3539"/>
        <w:gridCol w:w="1326"/>
        <w:gridCol w:w="1260"/>
        <w:gridCol w:w="1541"/>
        <w:gridCol w:w="1357"/>
      </w:tblGrid>
      <w:tr w:rsidR="005E6A19" w:rsidRPr="000E5B3A" w14:paraId="2B1B3CE5" w14:textId="77777777" w:rsidTr="008D7C67">
        <w:tc>
          <w:tcPr>
            <w:tcW w:w="1961" w:type="pct"/>
            <w:vAlign w:val="center"/>
          </w:tcPr>
          <w:p w14:paraId="24ACA9F1" w14:textId="77777777" w:rsidR="0042618F" w:rsidRPr="000E5B3A" w:rsidRDefault="0042618F">
            <w:pPr>
              <w:pStyle w:val="In-tableHeading"/>
              <w:rPr>
                <w:lang w:val="en-AU"/>
              </w:rPr>
            </w:pPr>
            <w:r w:rsidRPr="000E5B3A">
              <w:rPr>
                <w:lang w:val="en-AU"/>
              </w:rPr>
              <w:t>Patients (n [%]) with:</w:t>
            </w:r>
          </w:p>
        </w:tc>
        <w:tc>
          <w:tcPr>
            <w:tcW w:w="735" w:type="pct"/>
            <w:vAlign w:val="center"/>
          </w:tcPr>
          <w:p w14:paraId="469F35C6" w14:textId="77777777" w:rsidR="008D7C67" w:rsidRPr="000E5B3A" w:rsidRDefault="0042618F">
            <w:pPr>
              <w:pStyle w:val="In-tableHeading"/>
              <w:rPr>
                <w:lang w:val="en-AU"/>
              </w:rPr>
            </w:pPr>
            <w:r w:rsidRPr="000E5B3A">
              <w:rPr>
                <w:lang w:val="en-AU"/>
              </w:rPr>
              <w:t xml:space="preserve">Retifanlimab + </w:t>
            </w:r>
            <w:r w:rsidR="001D4D44" w:rsidRPr="000E5B3A">
              <w:rPr>
                <w:lang w:val="en-AU"/>
              </w:rPr>
              <w:t>CP</w:t>
            </w:r>
            <w:r w:rsidR="00216DAB" w:rsidRPr="000E5B3A">
              <w:rPr>
                <w:lang w:val="en-AU"/>
              </w:rPr>
              <w:t xml:space="preserve"> </w:t>
            </w:r>
          </w:p>
          <w:p w14:paraId="0F00525A" w14:textId="49791ECB" w:rsidR="0042618F" w:rsidRPr="000E5B3A" w:rsidRDefault="0042618F">
            <w:pPr>
              <w:pStyle w:val="In-tableHeading"/>
              <w:rPr>
                <w:lang w:val="en-AU"/>
              </w:rPr>
            </w:pPr>
            <w:r w:rsidRPr="000E5B3A">
              <w:rPr>
                <w:lang w:val="en-AU"/>
              </w:rPr>
              <w:t>(N = 154)</w:t>
            </w:r>
          </w:p>
        </w:tc>
        <w:tc>
          <w:tcPr>
            <w:tcW w:w="698" w:type="pct"/>
            <w:vAlign w:val="center"/>
          </w:tcPr>
          <w:p w14:paraId="1A640B55" w14:textId="4D2CE20F" w:rsidR="0042618F" w:rsidRPr="000E5B3A" w:rsidRDefault="0042618F">
            <w:pPr>
              <w:pStyle w:val="In-tableHeading"/>
              <w:rPr>
                <w:lang w:val="en-AU"/>
              </w:rPr>
            </w:pPr>
            <w:r w:rsidRPr="000E5B3A">
              <w:rPr>
                <w:lang w:val="en-AU"/>
              </w:rPr>
              <w:t xml:space="preserve">Placebo + </w:t>
            </w:r>
            <w:r w:rsidR="001D4D44" w:rsidRPr="000E5B3A">
              <w:rPr>
                <w:lang w:val="en-AU"/>
              </w:rPr>
              <w:t>CP</w:t>
            </w:r>
            <w:r w:rsidR="005E6A19" w:rsidRPr="000E5B3A">
              <w:rPr>
                <w:lang w:val="en-AU"/>
              </w:rPr>
              <w:t xml:space="preserve"> </w:t>
            </w:r>
            <w:r w:rsidRPr="000E5B3A">
              <w:rPr>
                <w:lang w:val="en-AU"/>
              </w:rPr>
              <w:t>(N = 152)</w:t>
            </w:r>
          </w:p>
        </w:tc>
        <w:tc>
          <w:tcPr>
            <w:tcW w:w="854" w:type="pct"/>
            <w:vAlign w:val="center"/>
          </w:tcPr>
          <w:p w14:paraId="0B137E0B" w14:textId="77777777" w:rsidR="0042618F" w:rsidRPr="000E5B3A" w:rsidRDefault="0042618F">
            <w:pPr>
              <w:pStyle w:val="In-tableHeading"/>
              <w:rPr>
                <w:lang w:val="en-AU"/>
              </w:rPr>
            </w:pPr>
            <w:r w:rsidRPr="000E5B3A">
              <w:rPr>
                <w:lang w:val="en-AU"/>
              </w:rPr>
              <w:t>RR (95% CI)</w:t>
            </w:r>
          </w:p>
        </w:tc>
        <w:tc>
          <w:tcPr>
            <w:tcW w:w="752" w:type="pct"/>
            <w:vAlign w:val="center"/>
          </w:tcPr>
          <w:p w14:paraId="05D72E63" w14:textId="77777777" w:rsidR="0042618F" w:rsidRPr="000E5B3A" w:rsidRDefault="0042618F">
            <w:pPr>
              <w:pStyle w:val="In-tableHeading"/>
              <w:rPr>
                <w:lang w:val="en-AU"/>
              </w:rPr>
            </w:pPr>
            <w:r w:rsidRPr="000E5B3A">
              <w:rPr>
                <w:lang w:val="en-AU"/>
              </w:rPr>
              <w:t>RD (95% CI)</w:t>
            </w:r>
          </w:p>
        </w:tc>
      </w:tr>
      <w:tr w:rsidR="005E6A19" w:rsidRPr="000E5B3A" w14:paraId="2DFB8508" w14:textId="77777777" w:rsidTr="008D7C67">
        <w:tc>
          <w:tcPr>
            <w:tcW w:w="1961" w:type="pct"/>
          </w:tcPr>
          <w:p w14:paraId="4EFBE81E" w14:textId="77777777" w:rsidR="0042618F" w:rsidRPr="000E5B3A" w:rsidRDefault="0042618F">
            <w:pPr>
              <w:pStyle w:val="TableText0"/>
            </w:pPr>
            <w:r w:rsidRPr="000E5B3A">
              <w:t>TEAE</w:t>
            </w:r>
          </w:p>
        </w:tc>
        <w:tc>
          <w:tcPr>
            <w:tcW w:w="735" w:type="pct"/>
            <w:vAlign w:val="center"/>
          </w:tcPr>
          <w:p w14:paraId="3104B951" w14:textId="77777777" w:rsidR="0042618F" w:rsidRPr="000E5B3A" w:rsidRDefault="0042618F">
            <w:pPr>
              <w:pStyle w:val="TableText0"/>
              <w:jc w:val="center"/>
            </w:pPr>
            <w:r w:rsidRPr="000E5B3A">
              <w:t>154 (100.0%)</w:t>
            </w:r>
          </w:p>
        </w:tc>
        <w:tc>
          <w:tcPr>
            <w:tcW w:w="698" w:type="pct"/>
            <w:vAlign w:val="center"/>
          </w:tcPr>
          <w:p w14:paraId="1D4619EA" w14:textId="77777777" w:rsidR="0042618F" w:rsidRPr="000E5B3A" w:rsidRDefault="0042618F">
            <w:pPr>
              <w:pStyle w:val="TableText0"/>
              <w:jc w:val="center"/>
            </w:pPr>
            <w:r w:rsidRPr="000E5B3A">
              <w:t>152 (100.0%)</w:t>
            </w:r>
          </w:p>
        </w:tc>
        <w:tc>
          <w:tcPr>
            <w:tcW w:w="854" w:type="pct"/>
            <w:vAlign w:val="center"/>
          </w:tcPr>
          <w:p w14:paraId="255CF668" w14:textId="77777777" w:rsidR="0042618F" w:rsidRPr="000E5B3A" w:rsidRDefault="0042618F">
            <w:pPr>
              <w:pStyle w:val="TableText0"/>
              <w:jc w:val="center"/>
            </w:pPr>
            <w:r w:rsidRPr="000E5B3A">
              <w:t>1.00 (1.00, 1.00)</w:t>
            </w:r>
          </w:p>
        </w:tc>
        <w:tc>
          <w:tcPr>
            <w:tcW w:w="752" w:type="pct"/>
            <w:vAlign w:val="center"/>
          </w:tcPr>
          <w:p w14:paraId="7A65C9CC" w14:textId="77777777" w:rsidR="0042618F" w:rsidRPr="000E5B3A" w:rsidRDefault="0042618F">
            <w:pPr>
              <w:pStyle w:val="TableText0"/>
              <w:jc w:val="center"/>
            </w:pPr>
            <w:r w:rsidRPr="000E5B3A">
              <w:t>0.0 (0.0, 0.0)</w:t>
            </w:r>
          </w:p>
        </w:tc>
      </w:tr>
      <w:tr w:rsidR="005E6A19" w:rsidRPr="000E5B3A" w14:paraId="6984EC46" w14:textId="77777777" w:rsidTr="008D7C67">
        <w:tc>
          <w:tcPr>
            <w:tcW w:w="1961" w:type="pct"/>
          </w:tcPr>
          <w:p w14:paraId="252B495E" w14:textId="3B7D70A7" w:rsidR="0042618F" w:rsidRPr="000E5B3A" w:rsidRDefault="0042618F">
            <w:pPr>
              <w:pStyle w:val="TableText0"/>
            </w:pPr>
            <w:r w:rsidRPr="000E5B3A">
              <w:t>Retifanlimab/placebo-related TEAE</w:t>
            </w:r>
            <w:r w:rsidR="007910EC" w:rsidRPr="000E5B3A">
              <w:t>s</w:t>
            </w:r>
          </w:p>
        </w:tc>
        <w:tc>
          <w:tcPr>
            <w:tcW w:w="735" w:type="pct"/>
            <w:vAlign w:val="center"/>
          </w:tcPr>
          <w:p w14:paraId="08AA5D3D" w14:textId="77777777" w:rsidR="0042618F" w:rsidRPr="000E5B3A" w:rsidRDefault="0042618F">
            <w:pPr>
              <w:pStyle w:val="TableText0"/>
              <w:jc w:val="center"/>
            </w:pPr>
            <w:r w:rsidRPr="000E5B3A">
              <w:t>138 (89.6%)</w:t>
            </w:r>
          </w:p>
        </w:tc>
        <w:tc>
          <w:tcPr>
            <w:tcW w:w="698" w:type="pct"/>
            <w:vAlign w:val="center"/>
          </w:tcPr>
          <w:p w14:paraId="0AC7A895" w14:textId="77777777" w:rsidR="0042618F" w:rsidRPr="000E5B3A" w:rsidRDefault="0042618F">
            <w:pPr>
              <w:pStyle w:val="TableText0"/>
              <w:jc w:val="center"/>
            </w:pPr>
            <w:r w:rsidRPr="000E5B3A">
              <w:t>118 (77.6%)</w:t>
            </w:r>
          </w:p>
        </w:tc>
        <w:tc>
          <w:tcPr>
            <w:tcW w:w="854" w:type="pct"/>
            <w:vAlign w:val="center"/>
          </w:tcPr>
          <w:p w14:paraId="289B112E" w14:textId="77777777" w:rsidR="0042618F" w:rsidRPr="000E5B3A" w:rsidRDefault="0042618F">
            <w:pPr>
              <w:pStyle w:val="TableText0"/>
              <w:jc w:val="center"/>
              <w:rPr>
                <w:b/>
              </w:rPr>
            </w:pPr>
            <w:r w:rsidRPr="000E5B3A">
              <w:rPr>
                <w:b/>
              </w:rPr>
              <w:t>1.15 (1.04, 1.28)</w:t>
            </w:r>
          </w:p>
        </w:tc>
        <w:tc>
          <w:tcPr>
            <w:tcW w:w="752" w:type="pct"/>
            <w:vAlign w:val="center"/>
          </w:tcPr>
          <w:p w14:paraId="5FEEDC43" w14:textId="77777777" w:rsidR="0042618F" w:rsidRPr="000E5B3A" w:rsidRDefault="0042618F">
            <w:pPr>
              <w:pStyle w:val="TableText0"/>
              <w:jc w:val="center"/>
              <w:rPr>
                <w:b/>
                <w:bCs w:val="0"/>
              </w:rPr>
            </w:pPr>
            <w:r w:rsidRPr="000E5B3A">
              <w:rPr>
                <w:b/>
                <w:bCs w:val="0"/>
              </w:rPr>
              <w:t>12.0 (3.8, 20.2)</w:t>
            </w:r>
          </w:p>
        </w:tc>
      </w:tr>
      <w:tr w:rsidR="005E6A19" w:rsidRPr="000E5B3A" w14:paraId="6C82A08C" w14:textId="77777777" w:rsidTr="008D7C67">
        <w:tc>
          <w:tcPr>
            <w:tcW w:w="1961" w:type="pct"/>
          </w:tcPr>
          <w:p w14:paraId="2B6935E3" w14:textId="77777777" w:rsidR="0042618F" w:rsidRPr="000E5B3A" w:rsidRDefault="0042618F">
            <w:pPr>
              <w:pStyle w:val="TableText0"/>
            </w:pPr>
            <w:r w:rsidRPr="000E5B3A">
              <w:t>Serious TEAE</w:t>
            </w:r>
          </w:p>
        </w:tc>
        <w:tc>
          <w:tcPr>
            <w:tcW w:w="735" w:type="pct"/>
            <w:vAlign w:val="center"/>
          </w:tcPr>
          <w:p w14:paraId="7E4513FC" w14:textId="77777777" w:rsidR="0042618F" w:rsidRPr="000E5B3A" w:rsidRDefault="0042618F">
            <w:pPr>
              <w:pStyle w:val="TableText0"/>
              <w:jc w:val="center"/>
            </w:pPr>
            <w:r w:rsidRPr="000E5B3A">
              <w:t>73 (47.4%)</w:t>
            </w:r>
          </w:p>
        </w:tc>
        <w:tc>
          <w:tcPr>
            <w:tcW w:w="698" w:type="pct"/>
            <w:vAlign w:val="center"/>
          </w:tcPr>
          <w:p w14:paraId="3B1CB889" w14:textId="77777777" w:rsidR="0042618F" w:rsidRPr="000E5B3A" w:rsidRDefault="0042618F">
            <w:pPr>
              <w:pStyle w:val="TableText0"/>
              <w:jc w:val="center"/>
            </w:pPr>
            <w:r w:rsidRPr="000E5B3A">
              <w:t>59 (38.8%)</w:t>
            </w:r>
          </w:p>
        </w:tc>
        <w:tc>
          <w:tcPr>
            <w:tcW w:w="854" w:type="pct"/>
            <w:vAlign w:val="center"/>
          </w:tcPr>
          <w:p w14:paraId="57E041B3" w14:textId="77777777" w:rsidR="0042618F" w:rsidRPr="000E5B3A" w:rsidRDefault="0042618F">
            <w:pPr>
              <w:pStyle w:val="TableText0"/>
              <w:jc w:val="center"/>
            </w:pPr>
            <w:r w:rsidRPr="000E5B3A">
              <w:t>1.22 (0.94, 1.58)</w:t>
            </w:r>
          </w:p>
        </w:tc>
        <w:tc>
          <w:tcPr>
            <w:tcW w:w="752" w:type="pct"/>
            <w:vAlign w:val="center"/>
          </w:tcPr>
          <w:p w14:paraId="51455960" w14:textId="77777777" w:rsidR="0042618F" w:rsidRPr="000E5B3A" w:rsidRDefault="0042618F">
            <w:pPr>
              <w:pStyle w:val="TableText0"/>
              <w:jc w:val="center"/>
            </w:pPr>
            <w:r w:rsidRPr="000E5B3A">
              <w:t>8.6 (-2.5, 19.6)</w:t>
            </w:r>
          </w:p>
        </w:tc>
      </w:tr>
      <w:tr w:rsidR="005E6A19" w:rsidRPr="000E5B3A" w14:paraId="188A0A00" w14:textId="77777777" w:rsidTr="008D7C67">
        <w:tc>
          <w:tcPr>
            <w:tcW w:w="1961" w:type="pct"/>
          </w:tcPr>
          <w:p w14:paraId="6A56118B" w14:textId="77777777" w:rsidR="0042618F" w:rsidRPr="000E5B3A" w:rsidRDefault="0042618F">
            <w:pPr>
              <w:pStyle w:val="TableText0"/>
            </w:pPr>
            <w:r w:rsidRPr="000E5B3A">
              <w:t>Grade 3 or higher TEAE</w:t>
            </w:r>
          </w:p>
        </w:tc>
        <w:tc>
          <w:tcPr>
            <w:tcW w:w="735" w:type="pct"/>
            <w:vAlign w:val="center"/>
          </w:tcPr>
          <w:p w14:paraId="02EBF6EA" w14:textId="77777777" w:rsidR="0042618F" w:rsidRPr="000E5B3A" w:rsidRDefault="0042618F">
            <w:pPr>
              <w:pStyle w:val="TableText0"/>
              <w:jc w:val="center"/>
            </w:pPr>
            <w:r w:rsidRPr="000E5B3A">
              <w:t>128 (83.1%)</w:t>
            </w:r>
          </w:p>
        </w:tc>
        <w:tc>
          <w:tcPr>
            <w:tcW w:w="698" w:type="pct"/>
            <w:vAlign w:val="center"/>
          </w:tcPr>
          <w:p w14:paraId="316C1453" w14:textId="77777777" w:rsidR="0042618F" w:rsidRPr="000E5B3A" w:rsidRDefault="0042618F">
            <w:pPr>
              <w:pStyle w:val="TableText0"/>
              <w:jc w:val="center"/>
            </w:pPr>
            <w:r w:rsidRPr="000E5B3A">
              <w:t>114 (75.0%)</w:t>
            </w:r>
          </w:p>
        </w:tc>
        <w:tc>
          <w:tcPr>
            <w:tcW w:w="854" w:type="pct"/>
            <w:vAlign w:val="center"/>
          </w:tcPr>
          <w:p w14:paraId="1A54792B" w14:textId="77777777" w:rsidR="0042618F" w:rsidRPr="000E5B3A" w:rsidRDefault="0042618F">
            <w:pPr>
              <w:pStyle w:val="TableText0"/>
              <w:jc w:val="center"/>
            </w:pPr>
            <w:r w:rsidRPr="000E5B3A">
              <w:t>1.11 (0.99, 1.24)</w:t>
            </w:r>
          </w:p>
        </w:tc>
        <w:tc>
          <w:tcPr>
            <w:tcW w:w="752" w:type="pct"/>
            <w:vAlign w:val="center"/>
          </w:tcPr>
          <w:p w14:paraId="35B915E7" w14:textId="77777777" w:rsidR="0042618F" w:rsidRPr="000E5B3A" w:rsidRDefault="0042618F">
            <w:pPr>
              <w:pStyle w:val="TableText0"/>
              <w:jc w:val="center"/>
            </w:pPr>
            <w:r w:rsidRPr="000E5B3A">
              <w:t>8.1 (-1.0, 17.2)</w:t>
            </w:r>
          </w:p>
        </w:tc>
      </w:tr>
      <w:tr w:rsidR="005E6A19" w:rsidRPr="000E5B3A" w14:paraId="41B03132" w14:textId="77777777" w:rsidTr="008D7C67">
        <w:tc>
          <w:tcPr>
            <w:tcW w:w="1961" w:type="pct"/>
          </w:tcPr>
          <w:p w14:paraId="02AE55A1" w14:textId="77777777" w:rsidR="0042618F" w:rsidRPr="000E5B3A" w:rsidRDefault="0042618F">
            <w:pPr>
              <w:pStyle w:val="TableText0"/>
            </w:pPr>
            <w:r w:rsidRPr="000E5B3A">
              <w:t>Fatal TEAE</w:t>
            </w:r>
          </w:p>
        </w:tc>
        <w:tc>
          <w:tcPr>
            <w:tcW w:w="735" w:type="pct"/>
            <w:vAlign w:val="center"/>
          </w:tcPr>
          <w:p w14:paraId="7517BABB" w14:textId="77777777" w:rsidR="0042618F" w:rsidRPr="000E5B3A" w:rsidRDefault="0042618F">
            <w:pPr>
              <w:pStyle w:val="TableText0"/>
              <w:jc w:val="center"/>
            </w:pPr>
            <w:r w:rsidRPr="000E5B3A">
              <w:t>4 (2.6%)</w:t>
            </w:r>
          </w:p>
        </w:tc>
        <w:tc>
          <w:tcPr>
            <w:tcW w:w="698" w:type="pct"/>
            <w:vAlign w:val="center"/>
          </w:tcPr>
          <w:p w14:paraId="2A638F73" w14:textId="77777777" w:rsidR="0042618F" w:rsidRPr="000E5B3A" w:rsidRDefault="0042618F">
            <w:pPr>
              <w:pStyle w:val="TableText0"/>
              <w:jc w:val="center"/>
            </w:pPr>
            <w:r w:rsidRPr="000E5B3A">
              <w:t>1 (0.7%)</w:t>
            </w:r>
          </w:p>
        </w:tc>
        <w:tc>
          <w:tcPr>
            <w:tcW w:w="854" w:type="pct"/>
            <w:vAlign w:val="center"/>
          </w:tcPr>
          <w:p w14:paraId="4882EE64" w14:textId="77777777" w:rsidR="0042618F" w:rsidRPr="000E5B3A" w:rsidRDefault="0042618F">
            <w:pPr>
              <w:pStyle w:val="TableText0"/>
              <w:jc w:val="center"/>
            </w:pPr>
            <w:r w:rsidRPr="000E5B3A">
              <w:t>3.95 (0.45, 34.92)</w:t>
            </w:r>
          </w:p>
        </w:tc>
        <w:tc>
          <w:tcPr>
            <w:tcW w:w="752" w:type="pct"/>
            <w:vAlign w:val="center"/>
          </w:tcPr>
          <w:p w14:paraId="62005455" w14:textId="77777777" w:rsidR="0042618F" w:rsidRPr="000E5B3A" w:rsidRDefault="0042618F">
            <w:pPr>
              <w:pStyle w:val="TableText0"/>
              <w:jc w:val="center"/>
            </w:pPr>
            <w:r w:rsidRPr="000E5B3A">
              <w:t>1.9 (-0.9, 4.8)</w:t>
            </w:r>
          </w:p>
        </w:tc>
      </w:tr>
      <w:tr w:rsidR="005E6A19" w:rsidRPr="000E5B3A" w14:paraId="69A4528D" w14:textId="77777777" w:rsidTr="008D7C67">
        <w:tc>
          <w:tcPr>
            <w:tcW w:w="1961" w:type="pct"/>
          </w:tcPr>
          <w:p w14:paraId="1F5C2FB8" w14:textId="77777777" w:rsidR="0042618F" w:rsidRPr="000E5B3A" w:rsidRDefault="0042618F">
            <w:pPr>
              <w:pStyle w:val="TableText0"/>
            </w:pPr>
            <w:r w:rsidRPr="000E5B3A">
              <w:t>Serious retifanlimab/placebo-related TEAE</w:t>
            </w:r>
          </w:p>
        </w:tc>
        <w:tc>
          <w:tcPr>
            <w:tcW w:w="735" w:type="pct"/>
            <w:vAlign w:val="center"/>
          </w:tcPr>
          <w:p w14:paraId="2E9F768B" w14:textId="77777777" w:rsidR="0042618F" w:rsidRPr="000E5B3A" w:rsidRDefault="0042618F">
            <w:pPr>
              <w:pStyle w:val="TableText0"/>
              <w:jc w:val="center"/>
            </w:pPr>
            <w:r w:rsidRPr="000E5B3A">
              <w:t>25 (16.2%)</w:t>
            </w:r>
          </w:p>
        </w:tc>
        <w:tc>
          <w:tcPr>
            <w:tcW w:w="698" w:type="pct"/>
            <w:vAlign w:val="center"/>
          </w:tcPr>
          <w:p w14:paraId="36937E06" w14:textId="77777777" w:rsidR="0042618F" w:rsidRPr="000E5B3A" w:rsidRDefault="0042618F">
            <w:pPr>
              <w:pStyle w:val="TableText0"/>
              <w:jc w:val="center"/>
            </w:pPr>
            <w:r w:rsidRPr="000E5B3A">
              <w:t>10 (6.6%)</w:t>
            </w:r>
          </w:p>
        </w:tc>
        <w:tc>
          <w:tcPr>
            <w:tcW w:w="854" w:type="pct"/>
            <w:vAlign w:val="center"/>
          </w:tcPr>
          <w:p w14:paraId="5356899D" w14:textId="77777777" w:rsidR="0042618F" w:rsidRPr="000E5B3A" w:rsidRDefault="0042618F">
            <w:pPr>
              <w:pStyle w:val="TableText0"/>
              <w:jc w:val="center"/>
              <w:rPr>
                <w:b/>
              </w:rPr>
            </w:pPr>
            <w:r w:rsidRPr="000E5B3A">
              <w:rPr>
                <w:b/>
              </w:rPr>
              <w:t>2.47 (1.23, 4.96)</w:t>
            </w:r>
          </w:p>
        </w:tc>
        <w:tc>
          <w:tcPr>
            <w:tcW w:w="752" w:type="pct"/>
            <w:vAlign w:val="center"/>
          </w:tcPr>
          <w:p w14:paraId="39EA3948" w14:textId="77777777" w:rsidR="0042618F" w:rsidRPr="000E5B3A" w:rsidRDefault="0042618F">
            <w:pPr>
              <w:pStyle w:val="TableText0"/>
              <w:jc w:val="center"/>
              <w:rPr>
                <w:b/>
                <w:bCs w:val="0"/>
              </w:rPr>
            </w:pPr>
            <w:r w:rsidRPr="000E5B3A">
              <w:rPr>
                <w:b/>
                <w:bCs w:val="0"/>
              </w:rPr>
              <w:t>9.7 (2.6, 16.7)</w:t>
            </w:r>
          </w:p>
        </w:tc>
      </w:tr>
      <w:tr w:rsidR="005E6A19" w:rsidRPr="000E5B3A" w14:paraId="79410F83" w14:textId="77777777" w:rsidTr="008D7C67">
        <w:tc>
          <w:tcPr>
            <w:tcW w:w="1961" w:type="pct"/>
          </w:tcPr>
          <w:p w14:paraId="5FFFCB6E" w14:textId="77777777" w:rsidR="0042618F" w:rsidRPr="000E5B3A" w:rsidRDefault="0042618F">
            <w:pPr>
              <w:pStyle w:val="TableText0"/>
            </w:pPr>
            <w:r w:rsidRPr="000E5B3A">
              <w:t>Grade 3 or higher retifanlimab/placebo-related TEAE</w:t>
            </w:r>
          </w:p>
        </w:tc>
        <w:tc>
          <w:tcPr>
            <w:tcW w:w="735" w:type="pct"/>
            <w:vAlign w:val="center"/>
          </w:tcPr>
          <w:p w14:paraId="732C1D7D" w14:textId="77777777" w:rsidR="0042618F" w:rsidRPr="000E5B3A" w:rsidRDefault="0042618F">
            <w:pPr>
              <w:pStyle w:val="TableText0"/>
              <w:jc w:val="center"/>
            </w:pPr>
            <w:r w:rsidRPr="000E5B3A">
              <w:t>53 (34.4%)</w:t>
            </w:r>
          </w:p>
        </w:tc>
        <w:tc>
          <w:tcPr>
            <w:tcW w:w="698" w:type="pct"/>
            <w:vAlign w:val="center"/>
          </w:tcPr>
          <w:p w14:paraId="7E743F24" w14:textId="77777777" w:rsidR="0042618F" w:rsidRPr="000E5B3A" w:rsidRDefault="0042618F">
            <w:pPr>
              <w:pStyle w:val="TableText0"/>
              <w:jc w:val="center"/>
            </w:pPr>
            <w:r w:rsidRPr="000E5B3A">
              <w:t>39 (25.7%)</w:t>
            </w:r>
          </w:p>
        </w:tc>
        <w:tc>
          <w:tcPr>
            <w:tcW w:w="854" w:type="pct"/>
            <w:vAlign w:val="center"/>
          </w:tcPr>
          <w:p w14:paraId="4CA7364C" w14:textId="77777777" w:rsidR="0042618F" w:rsidRPr="000E5B3A" w:rsidRDefault="0042618F">
            <w:pPr>
              <w:pStyle w:val="TableText0"/>
              <w:jc w:val="center"/>
            </w:pPr>
            <w:r w:rsidRPr="000E5B3A">
              <w:t>1.34 (0.95, 1.90)</w:t>
            </w:r>
          </w:p>
        </w:tc>
        <w:tc>
          <w:tcPr>
            <w:tcW w:w="752" w:type="pct"/>
            <w:vAlign w:val="center"/>
          </w:tcPr>
          <w:p w14:paraId="45DAE2F1" w14:textId="77777777" w:rsidR="0042618F" w:rsidRPr="000E5B3A" w:rsidRDefault="0042618F">
            <w:pPr>
              <w:pStyle w:val="TableText0"/>
              <w:jc w:val="center"/>
            </w:pPr>
            <w:r w:rsidRPr="000E5B3A">
              <w:t>8.8 (-1.5, 19.0)</w:t>
            </w:r>
          </w:p>
        </w:tc>
      </w:tr>
      <w:tr w:rsidR="005E6A19" w:rsidRPr="000E5B3A" w14:paraId="1BDD0E85" w14:textId="77777777" w:rsidTr="008D7C67">
        <w:tc>
          <w:tcPr>
            <w:tcW w:w="1961" w:type="pct"/>
          </w:tcPr>
          <w:p w14:paraId="4FFD1E3C" w14:textId="77777777" w:rsidR="0042618F" w:rsidRPr="000E5B3A" w:rsidRDefault="0042618F">
            <w:pPr>
              <w:pStyle w:val="TableText0"/>
            </w:pPr>
            <w:r w:rsidRPr="000E5B3A">
              <w:t>Retifanlimab/placebo infusion interruption due to TEAE</w:t>
            </w:r>
          </w:p>
        </w:tc>
        <w:tc>
          <w:tcPr>
            <w:tcW w:w="735" w:type="pct"/>
            <w:vAlign w:val="center"/>
          </w:tcPr>
          <w:p w14:paraId="3C7DB133" w14:textId="77777777" w:rsidR="0042618F" w:rsidRPr="000E5B3A" w:rsidRDefault="0042618F">
            <w:pPr>
              <w:pStyle w:val="TableText0"/>
              <w:jc w:val="center"/>
            </w:pPr>
            <w:r w:rsidRPr="000E5B3A">
              <w:t>6 (3.9%)</w:t>
            </w:r>
          </w:p>
        </w:tc>
        <w:tc>
          <w:tcPr>
            <w:tcW w:w="698" w:type="pct"/>
            <w:vAlign w:val="center"/>
          </w:tcPr>
          <w:p w14:paraId="3D03BD5B" w14:textId="77777777" w:rsidR="0042618F" w:rsidRPr="000E5B3A" w:rsidRDefault="0042618F">
            <w:pPr>
              <w:pStyle w:val="TableText0"/>
              <w:jc w:val="center"/>
            </w:pPr>
            <w:r w:rsidRPr="000E5B3A">
              <w:t>2 (1.3%)</w:t>
            </w:r>
          </w:p>
        </w:tc>
        <w:tc>
          <w:tcPr>
            <w:tcW w:w="854" w:type="pct"/>
            <w:vAlign w:val="center"/>
          </w:tcPr>
          <w:p w14:paraId="53841F01" w14:textId="77777777" w:rsidR="0042618F" w:rsidRPr="000E5B3A" w:rsidRDefault="0042618F">
            <w:pPr>
              <w:pStyle w:val="TableText0"/>
              <w:jc w:val="center"/>
            </w:pPr>
            <w:r w:rsidRPr="000E5B3A">
              <w:t>2.96 (0.61, 14.44)</w:t>
            </w:r>
          </w:p>
        </w:tc>
        <w:tc>
          <w:tcPr>
            <w:tcW w:w="752" w:type="pct"/>
            <w:vAlign w:val="center"/>
          </w:tcPr>
          <w:p w14:paraId="0EA64621" w14:textId="77777777" w:rsidR="0042618F" w:rsidRPr="000E5B3A" w:rsidRDefault="0042618F">
            <w:pPr>
              <w:pStyle w:val="TableText0"/>
              <w:jc w:val="center"/>
            </w:pPr>
            <w:r w:rsidRPr="000E5B3A">
              <w:t>2.6 (-1.0, 6.1)</w:t>
            </w:r>
          </w:p>
        </w:tc>
      </w:tr>
      <w:tr w:rsidR="005E6A19" w:rsidRPr="000E5B3A" w14:paraId="39B414AC" w14:textId="77777777" w:rsidTr="008D7C67">
        <w:tc>
          <w:tcPr>
            <w:tcW w:w="1961" w:type="pct"/>
          </w:tcPr>
          <w:p w14:paraId="0A82D671" w14:textId="77777777" w:rsidR="0042618F" w:rsidRPr="000E5B3A" w:rsidRDefault="0042618F">
            <w:pPr>
              <w:pStyle w:val="TableText0"/>
            </w:pPr>
            <w:r w:rsidRPr="000E5B3A">
              <w:t>Retifanlimab/placebo dose delayed due to TEAE</w:t>
            </w:r>
          </w:p>
        </w:tc>
        <w:tc>
          <w:tcPr>
            <w:tcW w:w="735" w:type="pct"/>
            <w:vAlign w:val="center"/>
          </w:tcPr>
          <w:p w14:paraId="58696386" w14:textId="77777777" w:rsidR="0042618F" w:rsidRPr="000E5B3A" w:rsidRDefault="0042618F">
            <w:pPr>
              <w:pStyle w:val="TableText0"/>
              <w:jc w:val="center"/>
            </w:pPr>
            <w:r w:rsidRPr="000E5B3A">
              <w:t>81 (52.6%)</w:t>
            </w:r>
          </w:p>
        </w:tc>
        <w:tc>
          <w:tcPr>
            <w:tcW w:w="698" w:type="pct"/>
            <w:vAlign w:val="center"/>
          </w:tcPr>
          <w:p w14:paraId="5E1BE78A" w14:textId="77777777" w:rsidR="0042618F" w:rsidRPr="000E5B3A" w:rsidRDefault="0042618F">
            <w:pPr>
              <w:pStyle w:val="TableText0"/>
              <w:jc w:val="center"/>
            </w:pPr>
            <w:r w:rsidRPr="000E5B3A">
              <w:t>75 (49.3%)</w:t>
            </w:r>
          </w:p>
        </w:tc>
        <w:tc>
          <w:tcPr>
            <w:tcW w:w="854" w:type="pct"/>
            <w:vAlign w:val="center"/>
          </w:tcPr>
          <w:p w14:paraId="6F8E8D7E" w14:textId="77777777" w:rsidR="0042618F" w:rsidRPr="000E5B3A" w:rsidRDefault="0042618F">
            <w:pPr>
              <w:pStyle w:val="TableText0"/>
              <w:jc w:val="center"/>
            </w:pPr>
            <w:r w:rsidRPr="000E5B3A">
              <w:t>1.07 (0.86, 1.33)</w:t>
            </w:r>
          </w:p>
        </w:tc>
        <w:tc>
          <w:tcPr>
            <w:tcW w:w="752" w:type="pct"/>
            <w:vAlign w:val="center"/>
          </w:tcPr>
          <w:p w14:paraId="4AD71E59" w14:textId="77777777" w:rsidR="0042618F" w:rsidRPr="000E5B3A" w:rsidRDefault="0042618F">
            <w:pPr>
              <w:pStyle w:val="TableText0"/>
              <w:jc w:val="center"/>
            </w:pPr>
            <w:r w:rsidRPr="000E5B3A">
              <w:t>3.3 (-7.9, 14.5)</w:t>
            </w:r>
          </w:p>
        </w:tc>
      </w:tr>
      <w:tr w:rsidR="005E6A19" w:rsidRPr="000E5B3A" w14:paraId="17A9EF75" w14:textId="77777777" w:rsidTr="008D7C67">
        <w:tc>
          <w:tcPr>
            <w:tcW w:w="1961" w:type="pct"/>
          </w:tcPr>
          <w:p w14:paraId="4C89EA3E" w14:textId="77777777" w:rsidR="0042618F" w:rsidRPr="000E5B3A" w:rsidRDefault="0042618F">
            <w:pPr>
              <w:pStyle w:val="TableText0"/>
            </w:pPr>
            <w:r w:rsidRPr="000E5B3A">
              <w:t>Retifanlimab/placebo discontinued due to TEAE</w:t>
            </w:r>
          </w:p>
        </w:tc>
        <w:tc>
          <w:tcPr>
            <w:tcW w:w="735" w:type="pct"/>
            <w:vAlign w:val="center"/>
          </w:tcPr>
          <w:p w14:paraId="61EC2B9B" w14:textId="77777777" w:rsidR="0042618F" w:rsidRPr="000E5B3A" w:rsidRDefault="0042618F">
            <w:pPr>
              <w:pStyle w:val="TableText0"/>
              <w:jc w:val="center"/>
            </w:pPr>
            <w:r w:rsidRPr="000E5B3A">
              <w:t>17 (11.0%)</w:t>
            </w:r>
          </w:p>
        </w:tc>
        <w:tc>
          <w:tcPr>
            <w:tcW w:w="698" w:type="pct"/>
            <w:vAlign w:val="center"/>
          </w:tcPr>
          <w:p w14:paraId="3C51C668" w14:textId="77777777" w:rsidR="0042618F" w:rsidRPr="000E5B3A" w:rsidRDefault="0042618F">
            <w:pPr>
              <w:pStyle w:val="TableText0"/>
              <w:jc w:val="center"/>
            </w:pPr>
            <w:r w:rsidRPr="000E5B3A">
              <w:t>4 (2.6%)</w:t>
            </w:r>
          </w:p>
        </w:tc>
        <w:tc>
          <w:tcPr>
            <w:tcW w:w="854" w:type="pct"/>
            <w:vAlign w:val="center"/>
          </w:tcPr>
          <w:p w14:paraId="2835493E" w14:textId="77777777" w:rsidR="0042618F" w:rsidRPr="000E5B3A" w:rsidRDefault="0042618F">
            <w:pPr>
              <w:pStyle w:val="TableText0"/>
              <w:jc w:val="center"/>
              <w:rPr>
                <w:b/>
                <w:highlight w:val="yellow"/>
              </w:rPr>
            </w:pPr>
            <w:r w:rsidRPr="000E5B3A">
              <w:rPr>
                <w:b/>
              </w:rPr>
              <w:t>4.19 (1.44, 12.18)</w:t>
            </w:r>
          </w:p>
        </w:tc>
        <w:tc>
          <w:tcPr>
            <w:tcW w:w="752" w:type="pct"/>
            <w:vAlign w:val="center"/>
          </w:tcPr>
          <w:p w14:paraId="1F47919D" w14:textId="77777777" w:rsidR="0042618F" w:rsidRPr="000E5B3A" w:rsidRDefault="0042618F">
            <w:pPr>
              <w:pStyle w:val="TableText0"/>
              <w:jc w:val="center"/>
              <w:rPr>
                <w:b/>
                <w:bCs w:val="0"/>
              </w:rPr>
            </w:pPr>
            <w:r w:rsidRPr="000E5B3A">
              <w:rPr>
                <w:b/>
                <w:bCs w:val="0"/>
              </w:rPr>
              <w:t>8.4 (2.8, 14.0)</w:t>
            </w:r>
          </w:p>
        </w:tc>
      </w:tr>
      <w:tr w:rsidR="005E6A19" w:rsidRPr="000E5B3A" w14:paraId="2C77F49E" w14:textId="77777777" w:rsidTr="008D7C67">
        <w:tc>
          <w:tcPr>
            <w:tcW w:w="1961" w:type="pct"/>
          </w:tcPr>
          <w:p w14:paraId="6D54108D" w14:textId="77777777" w:rsidR="0042618F" w:rsidRPr="000E5B3A" w:rsidRDefault="0042618F">
            <w:pPr>
              <w:pStyle w:val="TableText0"/>
            </w:pPr>
            <w:r w:rsidRPr="000E5B3A">
              <w:t>Chemotherapy-related TEAE</w:t>
            </w:r>
          </w:p>
        </w:tc>
        <w:tc>
          <w:tcPr>
            <w:tcW w:w="735" w:type="pct"/>
            <w:vAlign w:val="center"/>
          </w:tcPr>
          <w:p w14:paraId="4D0BE224" w14:textId="77777777" w:rsidR="0042618F" w:rsidRPr="000E5B3A" w:rsidRDefault="0042618F">
            <w:pPr>
              <w:pStyle w:val="TableText0"/>
              <w:jc w:val="center"/>
            </w:pPr>
            <w:r w:rsidRPr="000E5B3A">
              <w:t>152 (98.7%)</w:t>
            </w:r>
          </w:p>
        </w:tc>
        <w:tc>
          <w:tcPr>
            <w:tcW w:w="698" w:type="pct"/>
            <w:vAlign w:val="center"/>
          </w:tcPr>
          <w:p w14:paraId="5BEF4EBA" w14:textId="77777777" w:rsidR="0042618F" w:rsidRPr="000E5B3A" w:rsidRDefault="0042618F">
            <w:pPr>
              <w:pStyle w:val="TableText0"/>
              <w:jc w:val="center"/>
            </w:pPr>
            <w:r w:rsidRPr="000E5B3A">
              <w:t>148 (97.4%)</w:t>
            </w:r>
          </w:p>
        </w:tc>
        <w:tc>
          <w:tcPr>
            <w:tcW w:w="854" w:type="pct"/>
            <w:vAlign w:val="center"/>
          </w:tcPr>
          <w:p w14:paraId="06AC12A3" w14:textId="77777777" w:rsidR="0042618F" w:rsidRPr="000E5B3A" w:rsidRDefault="0042618F">
            <w:pPr>
              <w:pStyle w:val="TableText0"/>
              <w:jc w:val="center"/>
            </w:pPr>
            <w:r w:rsidRPr="000E5B3A">
              <w:t>1.01 (0.98, 1.05)</w:t>
            </w:r>
          </w:p>
        </w:tc>
        <w:tc>
          <w:tcPr>
            <w:tcW w:w="752" w:type="pct"/>
            <w:vAlign w:val="center"/>
          </w:tcPr>
          <w:p w14:paraId="12539B42" w14:textId="77777777" w:rsidR="0042618F" w:rsidRPr="000E5B3A" w:rsidRDefault="0042618F">
            <w:pPr>
              <w:pStyle w:val="TableText0"/>
              <w:jc w:val="center"/>
            </w:pPr>
            <w:r w:rsidRPr="000E5B3A">
              <w:t>1.3 (-1.8, 4.4)</w:t>
            </w:r>
          </w:p>
        </w:tc>
      </w:tr>
      <w:tr w:rsidR="005E6A19" w:rsidRPr="000E5B3A" w14:paraId="775CA6D7" w14:textId="77777777" w:rsidTr="008D7C67">
        <w:tc>
          <w:tcPr>
            <w:tcW w:w="1961" w:type="pct"/>
          </w:tcPr>
          <w:p w14:paraId="10F00960" w14:textId="77777777" w:rsidR="0042618F" w:rsidRPr="000E5B3A" w:rsidRDefault="0042618F">
            <w:pPr>
              <w:pStyle w:val="TableText0"/>
            </w:pPr>
            <w:r w:rsidRPr="000E5B3A">
              <w:t>Chemotherapy discontinued due to TEAE</w:t>
            </w:r>
          </w:p>
        </w:tc>
        <w:tc>
          <w:tcPr>
            <w:tcW w:w="735" w:type="pct"/>
            <w:vAlign w:val="center"/>
          </w:tcPr>
          <w:p w14:paraId="63A44F49" w14:textId="77777777" w:rsidR="0042618F" w:rsidRPr="000E5B3A" w:rsidRDefault="0042618F">
            <w:pPr>
              <w:pStyle w:val="TableText0"/>
              <w:jc w:val="center"/>
            </w:pPr>
            <w:r w:rsidRPr="000E5B3A">
              <w:t>16 (10.4%)</w:t>
            </w:r>
          </w:p>
        </w:tc>
        <w:tc>
          <w:tcPr>
            <w:tcW w:w="698" w:type="pct"/>
            <w:vAlign w:val="center"/>
          </w:tcPr>
          <w:p w14:paraId="31829231" w14:textId="77777777" w:rsidR="0042618F" w:rsidRPr="000E5B3A" w:rsidRDefault="0042618F">
            <w:pPr>
              <w:pStyle w:val="TableText0"/>
              <w:jc w:val="center"/>
            </w:pPr>
            <w:r w:rsidRPr="000E5B3A">
              <w:t>8 (5.3%)</w:t>
            </w:r>
          </w:p>
        </w:tc>
        <w:tc>
          <w:tcPr>
            <w:tcW w:w="854" w:type="pct"/>
            <w:vAlign w:val="center"/>
          </w:tcPr>
          <w:p w14:paraId="792F2023" w14:textId="77777777" w:rsidR="0042618F" w:rsidRPr="000E5B3A" w:rsidRDefault="0042618F">
            <w:pPr>
              <w:pStyle w:val="TableText0"/>
              <w:jc w:val="center"/>
            </w:pPr>
            <w:r w:rsidRPr="000E5B3A">
              <w:t>1.97 (0.87, 4.48)</w:t>
            </w:r>
          </w:p>
        </w:tc>
        <w:tc>
          <w:tcPr>
            <w:tcW w:w="752" w:type="pct"/>
            <w:vAlign w:val="center"/>
          </w:tcPr>
          <w:p w14:paraId="1FF0E3B7" w14:textId="77777777" w:rsidR="0042618F" w:rsidRPr="000E5B3A" w:rsidRDefault="0042618F">
            <w:pPr>
              <w:pStyle w:val="TableText0"/>
              <w:jc w:val="center"/>
            </w:pPr>
            <w:r w:rsidRPr="000E5B3A">
              <w:t>5.1 (-0.9, 11.1)</w:t>
            </w:r>
          </w:p>
        </w:tc>
      </w:tr>
      <w:tr w:rsidR="005E6A19" w:rsidRPr="000E5B3A" w14:paraId="323EA5A8" w14:textId="77777777" w:rsidTr="008D7C67">
        <w:tc>
          <w:tcPr>
            <w:tcW w:w="1961" w:type="pct"/>
          </w:tcPr>
          <w:p w14:paraId="38796B42" w14:textId="77777777" w:rsidR="0042618F" w:rsidRPr="000E5B3A" w:rsidRDefault="0042618F">
            <w:pPr>
              <w:pStyle w:val="TableText0"/>
            </w:pPr>
            <w:r w:rsidRPr="000E5B3A">
              <w:t>Chemotherapy infusion interruption due to TEAE</w:t>
            </w:r>
          </w:p>
        </w:tc>
        <w:tc>
          <w:tcPr>
            <w:tcW w:w="735" w:type="pct"/>
            <w:vAlign w:val="center"/>
          </w:tcPr>
          <w:p w14:paraId="2514A536" w14:textId="77777777" w:rsidR="0042618F" w:rsidRPr="000E5B3A" w:rsidRDefault="0042618F">
            <w:pPr>
              <w:pStyle w:val="TableText0"/>
              <w:jc w:val="center"/>
            </w:pPr>
            <w:r w:rsidRPr="000E5B3A">
              <w:t>18 (11.7%)</w:t>
            </w:r>
          </w:p>
        </w:tc>
        <w:tc>
          <w:tcPr>
            <w:tcW w:w="698" w:type="pct"/>
            <w:vAlign w:val="center"/>
          </w:tcPr>
          <w:p w14:paraId="2412C11D" w14:textId="77777777" w:rsidR="0042618F" w:rsidRPr="000E5B3A" w:rsidRDefault="0042618F">
            <w:pPr>
              <w:pStyle w:val="TableText0"/>
              <w:jc w:val="center"/>
            </w:pPr>
            <w:r w:rsidRPr="000E5B3A">
              <w:t>18 (11.8%)</w:t>
            </w:r>
          </w:p>
        </w:tc>
        <w:tc>
          <w:tcPr>
            <w:tcW w:w="854" w:type="pct"/>
            <w:vAlign w:val="center"/>
          </w:tcPr>
          <w:p w14:paraId="7E874DB9" w14:textId="77777777" w:rsidR="0042618F" w:rsidRPr="000E5B3A" w:rsidRDefault="0042618F">
            <w:pPr>
              <w:pStyle w:val="TableText0"/>
              <w:jc w:val="center"/>
            </w:pPr>
            <w:r w:rsidRPr="000E5B3A">
              <w:t>0.99 (0.53, 1.82)</w:t>
            </w:r>
          </w:p>
        </w:tc>
        <w:tc>
          <w:tcPr>
            <w:tcW w:w="752" w:type="pct"/>
            <w:vAlign w:val="center"/>
          </w:tcPr>
          <w:p w14:paraId="27BDAA65" w14:textId="77777777" w:rsidR="0042618F" w:rsidRPr="000E5B3A" w:rsidRDefault="0042618F">
            <w:pPr>
              <w:pStyle w:val="TableText0"/>
              <w:jc w:val="center"/>
            </w:pPr>
            <w:r w:rsidRPr="000E5B3A">
              <w:t>-0.2 (-7.4, 7.1)</w:t>
            </w:r>
          </w:p>
        </w:tc>
      </w:tr>
      <w:tr w:rsidR="005E6A19" w:rsidRPr="000E5B3A" w14:paraId="4C83D01E" w14:textId="77777777" w:rsidTr="008D7C67">
        <w:tc>
          <w:tcPr>
            <w:tcW w:w="1961" w:type="pct"/>
          </w:tcPr>
          <w:p w14:paraId="2865E404" w14:textId="77777777" w:rsidR="0042618F" w:rsidRPr="000E5B3A" w:rsidRDefault="0042618F">
            <w:pPr>
              <w:pStyle w:val="TableText0"/>
            </w:pPr>
            <w:r w:rsidRPr="000E5B3A">
              <w:t>Chemotherapy dose delayed due to TEAE</w:t>
            </w:r>
          </w:p>
        </w:tc>
        <w:tc>
          <w:tcPr>
            <w:tcW w:w="735" w:type="pct"/>
            <w:vAlign w:val="center"/>
          </w:tcPr>
          <w:p w14:paraId="67E939F4" w14:textId="77777777" w:rsidR="0042618F" w:rsidRPr="000E5B3A" w:rsidRDefault="0042618F">
            <w:pPr>
              <w:pStyle w:val="TableText0"/>
              <w:jc w:val="center"/>
            </w:pPr>
            <w:r w:rsidRPr="000E5B3A">
              <w:t>107 (69.5%)</w:t>
            </w:r>
          </w:p>
        </w:tc>
        <w:tc>
          <w:tcPr>
            <w:tcW w:w="698" w:type="pct"/>
            <w:vAlign w:val="center"/>
          </w:tcPr>
          <w:p w14:paraId="796130EF" w14:textId="77777777" w:rsidR="0042618F" w:rsidRPr="000E5B3A" w:rsidRDefault="0042618F">
            <w:pPr>
              <w:pStyle w:val="TableText0"/>
              <w:jc w:val="center"/>
            </w:pPr>
            <w:r w:rsidRPr="000E5B3A">
              <w:t>108 (71.1%)</w:t>
            </w:r>
          </w:p>
        </w:tc>
        <w:tc>
          <w:tcPr>
            <w:tcW w:w="854" w:type="pct"/>
            <w:vAlign w:val="center"/>
          </w:tcPr>
          <w:p w14:paraId="209F453A" w14:textId="77777777" w:rsidR="0042618F" w:rsidRPr="000E5B3A" w:rsidRDefault="0042618F">
            <w:pPr>
              <w:pStyle w:val="TableText0"/>
              <w:jc w:val="center"/>
            </w:pPr>
            <w:r w:rsidRPr="000E5B3A">
              <w:t>0.98 (0.85, 1.13)</w:t>
            </w:r>
          </w:p>
        </w:tc>
        <w:tc>
          <w:tcPr>
            <w:tcW w:w="752" w:type="pct"/>
            <w:vAlign w:val="center"/>
          </w:tcPr>
          <w:p w14:paraId="192F740D" w14:textId="77777777" w:rsidR="0042618F" w:rsidRPr="000E5B3A" w:rsidRDefault="0042618F">
            <w:pPr>
              <w:pStyle w:val="TableText0"/>
              <w:jc w:val="center"/>
            </w:pPr>
            <w:r w:rsidRPr="000E5B3A">
              <w:t>-1.6 (-11.8, 8.7)</w:t>
            </w:r>
          </w:p>
        </w:tc>
      </w:tr>
    </w:tbl>
    <w:p w14:paraId="185DA348" w14:textId="77777777" w:rsidR="0042618F" w:rsidRPr="000E5B3A" w:rsidRDefault="0042618F" w:rsidP="0042618F">
      <w:pPr>
        <w:pStyle w:val="TableFigureFooter"/>
      </w:pPr>
      <w:r w:rsidRPr="000E5B3A">
        <w:t>Source: Table 35, p83 of the submission.</w:t>
      </w:r>
    </w:p>
    <w:p w14:paraId="4EAD58F8" w14:textId="66D73E7C" w:rsidR="00544C0D" w:rsidRPr="000E5B3A" w:rsidRDefault="001D4D44" w:rsidP="00544C0D">
      <w:pPr>
        <w:pStyle w:val="TableFigureFooter"/>
      </w:pPr>
      <w:r w:rsidRPr="000E5B3A">
        <w:t xml:space="preserve">CP = chemotherapy (carboplatin + paclitaxel); </w:t>
      </w:r>
      <w:r w:rsidR="0042618F" w:rsidRPr="000E5B3A">
        <w:t>RR = relative risk; RD = risk difference; TEAE = treatment-emergent adverse event</w:t>
      </w:r>
    </w:p>
    <w:p w14:paraId="74C80FE0" w14:textId="7DD8855A" w:rsidR="00D4144B" w:rsidRPr="000E5B3A" w:rsidRDefault="00D4144B" w:rsidP="00D4144B">
      <w:pPr>
        <w:pStyle w:val="TableFigureFooter"/>
      </w:pPr>
      <w:r w:rsidRPr="000E5B3A">
        <w:t>Note: Bold values indicate results where the 95% CI did not include the null.</w:t>
      </w:r>
    </w:p>
    <w:p w14:paraId="0ADD44CB" w14:textId="326A5894" w:rsidR="001D4D44" w:rsidRPr="000E5B3A" w:rsidRDefault="001D4D44" w:rsidP="001D4D44">
      <w:pPr>
        <w:pStyle w:val="3-BodyText"/>
      </w:pPr>
      <w:r w:rsidRPr="000E5B3A">
        <w:t xml:space="preserve">A summary of other key AEs is presented in </w:t>
      </w:r>
      <w:fldSimple w:instr=" REF _Ref207802412 ">
        <w:r w:rsidR="00DB6E72" w:rsidRPr="000E5B3A">
          <w:t xml:space="preserve">Table </w:t>
        </w:r>
        <w:r w:rsidR="00DB6E72">
          <w:rPr>
            <w:noProof/>
          </w:rPr>
          <w:t>7</w:t>
        </w:r>
      </w:fldSimple>
      <w:r w:rsidRPr="000E5B3A">
        <w:t>. The most common immune-related AEs reported in POD1UM-303 were hypothyroidism (14.3% for retifanlimab + CP vs 3.3% for placebo + CP)</w:t>
      </w:r>
      <w:r w:rsidR="00175592" w:rsidRPr="000E5B3A">
        <w:t>, other nervous system AEs (12.3% for retifanlimab + CP vs 10.5% for placebo + CP), skin reactions (11.7% for retifanlimab + CP vs 9.2% for placebo + CP) and colitis (10.4% for retifanlimab + CP vs 3.9% for placebo + CP).</w:t>
      </w:r>
    </w:p>
    <w:p w14:paraId="0203E7BA" w14:textId="3F3152D0" w:rsidR="00BA5258" w:rsidRPr="000E5B3A" w:rsidRDefault="00BA5258" w:rsidP="00E203D7">
      <w:pPr>
        <w:pStyle w:val="TableFigureHeading"/>
        <w:keepLines/>
        <w:rPr>
          <w:rStyle w:val="CommentReference"/>
          <w:b/>
          <w:szCs w:val="24"/>
        </w:rPr>
      </w:pPr>
      <w:bookmarkStart w:id="42" w:name="_Ref207802412"/>
      <w:r w:rsidRPr="000E5B3A">
        <w:lastRenderedPageBreak/>
        <w:t xml:space="preserve">Table </w:t>
      </w:r>
      <w:fldSimple w:instr=" SEQ Table \* ARABIC ">
        <w:r w:rsidR="00DB6E72">
          <w:rPr>
            <w:noProof/>
          </w:rPr>
          <w:t>7</w:t>
        </w:r>
      </w:fldSimple>
      <w:bookmarkEnd w:id="42"/>
      <w:r w:rsidRPr="000E5B3A">
        <w:t xml:space="preserve">: </w:t>
      </w:r>
      <w:r w:rsidR="00C616B7" w:rsidRPr="000E5B3A">
        <w:rPr>
          <w:rStyle w:val="CommentReference"/>
          <w:b/>
          <w:szCs w:val="24"/>
        </w:rPr>
        <w:t>POD1UM-303, other</w:t>
      </w:r>
      <w:r w:rsidRPr="000E5B3A">
        <w:rPr>
          <w:rStyle w:val="CommentReference"/>
          <w:b/>
          <w:szCs w:val="24"/>
        </w:rPr>
        <w:t xml:space="preserve"> key adverse events </w:t>
      </w:r>
      <w:r w:rsidR="00C616B7" w:rsidRPr="000E5B3A">
        <w:rPr>
          <w:rStyle w:val="CommentReference"/>
          <w:b/>
          <w:szCs w:val="24"/>
        </w:rPr>
        <w:t xml:space="preserve">during the randomised treatment period </w:t>
      </w:r>
      <w:r w:rsidRPr="000E5B3A">
        <w:rPr>
          <w:rStyle w:val="CommentReference"/>
          <w:b/>
          <w:szCs w:val="24"/>
        </w:rPr>
        <w:t>(safety population)</w:t>
      </w:r>
    </w:p>
    <w:tbl>
      <w:tblPr>
        <w:tblStyle w:val="TableGrid"/>
        <w:tblW w:w="5004" w:type="pct"/>
        <w:tblLook w:val="04A0" w:firstRow="1" w:lastRow="0" w:firstColumn="1" w:lastColumn="0" w:noHBand="0" w:noVBand="1"/>
        <w:tblCaption w:val="Table 7: POD1UM-303, other key adverse events during the randomised treatment period (safety population)"/>
      </w:tblPr>
      <w:tblGrid>
        <w:gridCol w:w="3114"/>
        <w:gridCol w:w="1417"/>
        <w:gridCol w:w="1276"/>
        <w:gridCol w:w="1559"/>
        <w:gridCol w:w="1657"/>
      </w:tblGrid>
      <w:tr w:rsidR="002B79E2" w:rsidRPr="000E5B3A" w14:paraId="0C4A7B15" w14:textId="77777777" w:rsidTr="002B79E2">
        <w:tc>
          <w:tcPr>
            <w:tcW w:w="1726" w:type="pct"/>
            <w:vAlign w:val="center"/>
          </w:tcPr>
          <w:p w14:paraId="6ADD6A6A" w14:textId="77777777" w:rsidR="00BA5258" w:rsidRPr="000E5B3A" w:rsidRDefault="00BA5258" w:rsidP="002B79E2">
            <w:pPr>
              <w:pStyle w:val="In-tableHeading"/>
              <w:widowControl w:val="0"/>
              <w:rPr>
                <w:lang w:val="en-AU"/>
              </w:rPr>
            </w:pPr>
            <w:r w:rsidRPr="000E5B3A">
              <w:rPr>
                <w:lang w:val="en-AU"/>
              </w:rPr>
              <w:t>Patients (n [%]) with:</w:t>
            </w:r>
          </w:p>
        </w:tc>
        <w:tc>
          <w:tcPr>
            <w:tcW w:w="785" w:type="pct"/>
            <w:vAlign w:val="center"/>
          </w:tcPr>
          <w:p w14:paraId="4B4845EB" w14:textId="24606A2D" w:rsidR="00BA5258" w:rsidRPr="000E5B3A" w:rsidRDefault="00BA5258" w:rsidP="002B79E2">
            <w:pPr>
              <w:pStyle w:val="In-tableHeading"/>
              <w:widowControl w:val="0"/>
              <w:rPr>
                <w:lang w:val="en-AU"/>
              </w:rPr>
            </w:pPr>
            <w:r w:rsidRPr="000E5B3A">
              <w:rPr>
                <w:lang w:val="en-AU"/>
              </w:rPr>
              <w:t xml:space="preserve">Retifanlimab + </w:t>
            </w:r>
            <w:r w:rsidR="001D4D44" w:rsidRPr="000E5B3A">
              <w:rPr>
                <w:lang w:val="en-AU"/>
              </w:rPr>
              <w:t>CP</w:t>
            </w:r>
            <w:r w:rsidR="00B12BF0" w:rsidRPr="000E5B3A">
              <w:rPr>
                <w:lang w:val="en-AU"/>
              </w:rPr>
              <w:t xml:space="preserve"> </w:t>
            </w:r>
            <w:r w:rsidRPr="000E5B3A">
              <w:rPr>
                <w:lang w:val="en-AU"/>
              </w:rPr>
              <w:t>(N = 154)</w:t>
            </w:r>
          </w:p>
        </w:tc>
        <w:tc>
          <w:tcPr>
            <w:tcW w:w="707" w:type="pct"/>
            <w:vAlign w:val="center"/>
          </w:tcPr>
          <w:p w14:paraId="2EAF1805" w14:textId="3DA278E0" w:rsidR="00BA5258" w:rsidRPr="000E5B3A" w:rsidRDefault="00BA5258" w:rsidP="002B79E2">
            <w:pPr>
              <w:pStyle w:val="In-tableHeading"/>
              <w:widowControl w:val="0"/>
              <w:rPr>
                <w:lang w:val="en-AU"/>
              </w:rPr>
            </w:pPr>
            <w:r w:rsidRPr="000E5B3A">
              <w:rPr>
                <w:lang w:val="en-AU"/>
              </w:rPr>
              <w:t xml:space="preserve">Placebo + </w:t>
            </w:r>
            <w:r w:rsidR="001D4D44" w:rsidRPr="000E5B3A">
              <w:rPr>
                <w:lang w:val="en-AU"/>
              </w:rPr>
              <w:t>CP</w:t>
            </w:r>
            <w:r w:rsidR="005E6A19" w:rsidRPr="000E5B3A">
              <w:rPr>
                <w:lang w:val="en-AU"/>
              </w:rPr>
              <w:t xml:space="preserve"> </w:t>
            </w:r>
            <w:r w:rsidRPr="000E5B3A">
              <w:rPr>
                <w:lang w:val="en-AU"/>
              </w:rPr>
              <w:t>(N = 152)</w:t>
            </w:r>
          </w:p>
        </w:tc>
        <w:tc>
          <w:tcPr>
            <w:tcW w:w="864" w:type="pct"/>
            <w:vAlign w:val="center"/>
          </w:tcPr>
          <w:p w14:paraId="0E3954E1" w14:textId="4CEB89D0" w:rsidR="00BA5258" w:rsidRPr="000E5B3A" w:rsidRDefault="00BA5258" w:rsidP="002B79E2">
            <w:pPr>
              <w:pStyle w:val="In-tableHeading"/>
              <w:widowControl w:val="0"/>
              <w:rPr>
                <w:lang w:val="en-AU"/>
              </w:rPr>
            </w:pPr>
            <w:r w:rsidRPr="000E5B3A">
              <w:rPr>
                <w:lang w:val="en-AU"/>
              </w:rPr>
              <w:t>RR (95% CI)</w:t>
            </w:r>
          </w:p>
        </w:tc>
        <w:tc>
          <w:tcPr>
            <w:tcW w:w="918" w:type="pct"/>
            <w:vAlign w:val="center"/>
          </w:tcPr>
          <w:p w14:paraId="487A0624" w14:textId="3ADC49B0" w:rsidR="00BA5258" w:rsidRPr="000E5B3A" w:rsidRDefault="00BA5258" w:rsidP="002B79E2">
            <w:pPr>
              <w:pStyle w:val="In-tableHeading"/>
              <w:widowControl w:val="0"/>
              <w:rPr>
                <w:lang w:val="en-AU"/>
              </w:rPr>
            </w:pPr>
            <w:r w:rsidRPr="000E5B3A">
              <w:rPr>
                <w:lang w:val="en-AU"/>
              </w:rPr>
              <w:t>RD</w:t>
            </w:r>
            <w:r w:rsidR="005E6A19" w:rsidRPr="000E5B3A">
              <w:rPr>
                <w:lang w:val="en-AU"/>
              </w:rPr>
              <w:t xml:space="preserve"> </w:t>
            </w:r>
            <w:r w:rsidRPr="000E5B3A">
              <w:rPr>
                <w:lang w:val="en-AU"/>
              </w:rPr>
              <w:t>(95% CI)</w:t>
            </w:r>
          </w:p>
        </w:tc>
      </w:tr>
      <w:tr w:rsidR="00BA5258" w:rsidRPr="000E5B3A" w14:paraId="41E0EC08" w14:textId="77777777">
        <w:tc>
          <w:tcPr>
            <w:tcW w:w="5000" w:type="pct"/>
            <w:gridSpan w:val="5"/>
          </w:tcPr>
          <w:p w14:paraId="57AA7896" w14:textId="32AF38B8" w:rsidR="00BA5258" w:rsidRPr="000E5B3A" w:rsidRDefault="00BA5258" w:rsidP="00E203D7">
            <w:pPr>
              <w:pStyle w:val="TableText0"/>
              <w:widowControl w:val="0"/>
            </w:pPr>
            <w:r w:rsidRPr="000E5B3A">
              <w:t xml:space="preserve">Most frequent Grade 3 or higher TEAEs occurring in &gt; 5% of </w:t>
            </w:r>
            <w:r w:rsidR="007D1AD1" w:rsidRPr="000E5B3A">
              <w:t>patients</w:t>
            </w:r>
            <w:r w:rsidRPr="000E5B3A">
              <w:t xml:space="preserve"> in the retifanlimab + CP arm</w:t>
            </w:r>
          </w:p>
        </w:tc>
      </w:tr>
      <w:tr w:rsidR="002B79E2" w:rsidRPr="000E5B3A" w14:paraId="75F17C34" w14:textId="77777777" w:rsidTr="002B79E2">
        <w:tc>
          <w:tcPr>
            <w:tcW w:w="1726" w:type="pct"/>
          </w:tcPr>
          <w:p w14:paraId="6CCBCB11" w14:textId="77777777" w:rsidR="00BA5258" w:rsidRPr="000E5B3A" w:rsidRDefault="00BA5258" w:rsidP="00E203D7">
            <w:pPr>
              <w:pStyle w:val="TableText0"/>
              <w:widowControl w:val="0"/>
              <w:rPr>
                <w:b/>
              </w:rPr>
            </w:pPr>
            <w:r w:rsidRPr="000E5B3A">
              <w:t>Patients with a grade 3 or higher TEAE</w:t>
            </w:r>
          </w:p>
        </w:tc>
        <w:tc>
          <w:tcPr>
            <w:tcW w:w="785" w:type="pct"/>
          </w:tcPr>
          <w:p w14:paraId="613A350C" w14:textId="77777777" w:rsidR="00BA5258" w:rsidRPr="000E5B3A" w:rsidRDefault="00BA5258" w:rsidP="00E203D7">
            <w:pPr>
              <w:pStyle w:val="TableText0"/>
              <w:widowControl w:val="0"/>
              <w:jc w:val="center"/>
              <w:rPr>
                <w:b/>
              </w:rPr>
            </w:pPr>
            <w:r w:rsidRPr="000E5B3A">
              <w:t>128 (83.1)</w:t>
            </w:r>
          </w:p>
        </w:tc>
        <w:tc>
          <w:tcPr>
            <w:tcW w:w="707" w:type="pct"/>
          </w:tcPr>
          <w:p w14:paraId="11120087" w14:textId="77777777" w:rsidR="00BA5258" w:rsidRPr="000E5B3A" w:rsidRDefault="00BA5258" w:rsidP="00E203D7">
            <w:pPr>
              <w:pStyle w:val="TableText0"/>
              <w:widowControl w:val="0"/>
              <w:jc w:val="center"/>
            </w:pPr>
            <w:r w:rsidRPr="000E5B3A">
              <w:t>114 (75.0)</w:t>
            </w:r>
          </w:p>
        </w:tc>
        <w:tc>
          <w:tcPr>
            <w:tcW w:w="864" w:type="pct"/>
          </w:tcPr>
          <w:p w14:paraId="7AAAF57C" w14:textId="77777777" w:rsidR="00BA5258" w:rsidRPr="000E5B3A" w:rsidRDefault="00BA5258" w:rsidP="00E203D7">
            <w:pPr>
              <w:pStyle w:val="TableText0"/>
              <w:widowControl w:val="0"/>
              <w:jc w:val="center"/>
            </w:pPr>
            <w:r w:rsidRPr="000E5B3A">
              <w:t>1.11 (0.99, 1.24)</w:t>
            </w:r>
          </w:p>
        </w:tc>
        <w:tc>
          <w:tcPr>
            <w:tcW w:w="918" w:type="pct"/>
          </w:tcPr>
          <w:p w14:paraId="0B9889F7" w14:textId="77777777" w:rsidR="00BA5258" w:rsidRPr="000E5B3A" w:rsidRDefault="00BA5258" w:rsidP="00E203D7">
            <w:pPr>
              <w:pStyle w:val="TableText0"/>
              <w:widowControl w:val="0"/>
              <w:jc w:val="center"/>
            </w:pPr>
            <w:r w:rsidRPr="000E5B3A">
              <w:t>8.1 (-1.0, 17.2)</w:t>
            </w:r>
          </w:p>
        </w:tc>
      </w:tr>
      <w:tr w:rsidR="002B79E2" w:rsidRPr="000E5B3A" w14:paraId="12AABBF2" w14:textId="77777777" w:rsidTr="002B79E2">
        <w:tc>
          <w:tcPr>
            <w:tcW w:w="1726" w:type="pct"/>
          </w:tcPr>
          <w:p w14:paraId="4C36CEED" w14:textId="77777777" w:rsidR="00BA5258" w:rsidRPr="000E5B3A" w:rsidRDefault="00BA5258" w:rsidP="00E203D7">
            <w:pPr>
              <w:pStyle w:val="TableText0"/>
              <w:widowControl w:val="0"/>
              <w:rPr>
                <w:b/>
              </w:rPr>
            </w:pPr>
            <w:r w:rsidRPr="000E5B3A">
              <w:t>Neutropenia</w:t>
            </w:r>
          </w:p>
        </w:tc>
        <w:tc>
          <w:tcPr>
            <w:tcW w:w="785" w:type="pct"/>
          </w:tcPr>
          <w:p w14:paraId="6DAD33A2" w14:textId="77777777" w:rsidR="00BA5258" w:rsidRPr="000E5B3A" w:rsidRDefault="00BA5258" w:rsidP="00E203D7">
            <w:pPr>
              <w:pStyle w:val="TableText0"/>
              <w:widowControl w:val="0"/>
              <w:jc w:val="center"/>
              <w:rPr>
                <w:b/>
              </w:rPr>
            </w:pPr>
            <w:r w:rsidRPr="000E5B3A">
              <w:t>54 (35.1)</w:t>
            </w:r>
          </w:p>
        </w:tc>
        <w:tc>
          <w:tcPr>
            <w:tcW w:w="707" w:type="pct"/>
          </w:tcPr>
          <w:p w14:paraId="28A2D061" w14:textId="77777777" w:rsidR="00BA5258" w:rsidRPr="000E5B3A" w:rsidRDefault="00BA5258" w:rsidP="00E203D7">
            <w:pPr>
              <w:pStyle w:val="TableText0"/>
              <w:widowControl w:val="0"/>
              <w:jc w:val="center"/>
            </w:pPr>
            <w:r w:rsidRPr="000E5B3A">
              <w:t>45 (29.6)</w:t>
            </w:r>
          </w:p>
        </w:tc>
        <w:tc>
          <w:tcPr>
            <w:tcW w:w="864" w:type="pct"/>
          </w:tcPr>
          <w:p w14:paraId="0920DCE7" w14:textId="77777777" w:rsidR="00BA5258" w:rsidRPr="000E5B3A" w:rsidRDefault="00BA5258" w:rsidP="00E203D7">
            <w:pPr>
              <w:pStyle w:val="TableText0"/>
              <w:widowControl w:val="0"/>
              <w:jc w:val="center"/>
            </w:pPr>
            <w:r w:rsidRPr="000E5B3A">
              <w:t>1.18 (0.85, 1.64)</w:t>
            </w:r>
          </w:p>
        </w:tc>
        <w:tc>
          <w:tcPr>
            <w:tcW w:w="918" w:type="pct"/>
          </w:tcPr>
          <w:p w14:paraId="4CC73E38" w14:textId="77777777" w:rsidR="00BA5258" w:rsidRPr="000E5B3A" w:rsidRDefault="00BA5258" w:rsidP="00E203D7">
            <w:pPr>
              <w:pStyle w:val="TableText0"/>
              <w:widowControl w:val="0"/>
              <w:jc w:val="center"/>
            </w:pPr>
            <w:r w:rsidRPr="000E5B3A">
              <w:t>5.5 (-5.0, 15.9)</w:t>
            </w:r>
          </w:p>
        </w:tc>
      </w:tr>
      <w:tr w:rsidR="002B79E2" w:rsidRPr="000E5B3A" w14:paraId="17F3A3A1" w14:textId="77777777" w:rsidTr="002B79E2">
        <w:tc>
          <w:tcPr>
            <w:tcW w:w="1726" w:type="pct"/>
          </w:tcPr>
          <w:p w14:paraId="3AF8DEF9" w14:textId="77777777" w:rsidR="00BA5258" w:rsidRPr="000E5B3A" w:rsidRDefault="00BA5258" w:rsidP="00E203D7">
            <w:pPr>
              <w:pStyle w:val="TableText0"/>
              <w:widowControl w:val="0"/>
              <w:rPr>
                <w:b/>
              </w:rPr>
            </w:pPr>
            <w:r w:rsidRPr="000E5B3A">
              <w:t>Anaemia</w:t>
            </w:r>
          </w:p>
        </w:tc>
        <w:tc>
          <w:tcPr>
            <w:tcW w:w="785" w:type="pct"/>
          </w:tcPr>
          <w:p w14:paraId="788EC8CD" w14:textId="77777777" w:rsidR="00BA5258" w:rsidRPr="000E5B3A" w:rsidRDefault="00BA5258" w:rsidP="00E203D7">
            <w:pPr>
              <w:pStyle w:val="TableText0"/>
              <w:widowControl w:val="0"/>
              <w:jc w:val="center"/>
              <w:rPr>
                <w:b/>
              </w:rPr>
            </w:pPr>
            <w:r w:rsidRPr="000E5B3A">
              <w:t>30 (19.5)</w:t>
            </w:r>
          </w:p>
        </w:tc>
        <w:tc>
          <w:tcPr>
            <w:tcW w:w="707" w:type="pct"/>
          </w:tcPr>
          <w:p w14:paraId="18BA5237" w14:textId="77777777" w:rsidR="00BA5258" w:rsidRPr="000E5B3A" w:rsidRDefault="00BA5258" w:rsidP="00E203D7">
            <w:pPr>
              <w:pStyle w:val="TableText0"/>
              <w:widowControl w:val="0"/>
              <w:jc w:val="center"/>
            </w:pPr>
            <w:r w:rsidRPr="000E5B3A">
              <w:t>31 (20.4)</w:t>
            </w:r>
          </w:p>
        </w:tc>
        <w:tc>
          <w:tcPr>
            <w:tcW w:w="864" w:type="pct"/>
          </w:tcPr>
          <w:p w14:paraId="3EF0D7A1" w14:textId="77777777" w:rsidR="00BA5258" w:rsidRPr="000E5B3A" w:rsidRDefault="00BA5258" w:rsidP="00E203D7">
            <w:pPr>
              <w:pStyle w:val="TableText0"/>
              <w:widowControl w:val="0"/>
              <w:jc w:val="center"/>
            </w:pPr>
            <w:r w:rsidRPr="000E5B3A">
              <w:t>0.96 (0.61, 1.50)</w:t>
            </w:r>
          </w:p>
        </w:tc>
        <w:tc>
          <w:tcPr>
            <w:tcW w:w="918" w:type="pct"/>
          </w:tcPr>
          <w:p w14:paraId="388D188D" w14:textId="77777777" w:rsidR="00BA5258" w:rsidRPr="000E5B3A" w:rsidRDefault="00BA5258" w:rsidP="00E203D7">
            <w:pPr>
              <w:pStyle w:val="TableText0"/>
              <w:widowControl w:val="0"/>
              <w:jc w:val="center"/>
            </w:pPr>
            <w:r w:rsidRPr="000E5B3A">
              <w:t>-0.9 (-9.9, 8.0)</w:t>
            </w:r>
          </w:p>
        </w:tc>
      </w:tr>
      <w:tr w:rsidR="002B79E2" w:rsidRPr="000E5B3A" w14:paraId="44063531" w14:textId="77777777" w:rsidTr="002B79E2">
        <w:tc>
          <w:tcPr>
            <w:tcW w:w="1726" w:type="pct"/>
          </w:tcPr>
          <w:p w14:paraId="78D9191F" w14:textId="77777777" w:rsidR="00BA5258" w:rsidRPr="000E5B3A" w:rsidRDefault="00BA5258" w:rsidP="00E203D7">
            <w:pPr>
              <w:pStyle w:val="TableText0"/>
              <w:widowControl w:val="0"/>
              <w:rPr>
                <w:b/>
              </w:rPr>
            </w:pPr>
            <w:r w:rsidRPr="000E5B3A">
              <w:t>Neutrophil count decreased</w:t>
            </w:r>
          </w:p>
        </w:tc>
        <w:tc>
          <w:tcPr>
            <w:tcW w:w="785" w:type="pct"/>
          </w:tcPr>
          <w:p w14:paraId="3BA5BEF6" w14:textId="77777777" w:rsidR="00BA5258" w:rsidRPr="000E5B3A" w:rsidRDefault="00BA5258" w:rsidP="00E203D7">
            <w:pPr>
              <w:pStyle w:val="TableText0"/>
              <w:widowControl w:val="0"/>
              <w:jc w:val="center"/>
              <w:rPr>
                <w:b/>
              </w:rPr>
            </w:pPr>
            <w:r w:rsidRPr="000E5B3A">
              <w:t>26 (16.9)</w:t>
            </w:r>
          </w:p>
        </w:tc>
        <w:tc>
          <w:tcPr>
            <w:tcW w:w="707" w:type="pct"/>
          </w:tcPr>
          <w:p w14:paraId="609BB137" w14:textId="77777777" w:rsidR="00BA5258" w:rsidRPr="000E5B3A" w:rsidRDefault="00BA5258" w:rsidP="00E203D7">
            <w:pPr>
              <w:pStyle w:val="TableText0"/>
              <w:widowControl w:val="0"/>
              <w:jc w:val="center"/>
            </w:pPr>
            <w:r w:rsidRPr="000E5B3A">
              <w:t>13 (8.6)</w:t>
            </w:r>
          </w:p>
        </w:tc>
        <w:tc>
          <w:tcPr>
            <w:tcW w:w="864" w:type="pct"/>
          </w:tcPr>
          <w:p w14:paraId="4FEA809E" w14:textId="77777777" w:rsidR="00BA5258" w:rsidRPr="000E5B3A" w:rsidRDefault="00BA5258" w:rsidP="00E203D7">
            <w:pPr>
              <w:pStyle w:val="TableText0"/>
              <w:widowControl w:val="0"/>
              <w:jc w:val="center"/>
              <w:rPr>
                <w:b/>
              </w:rPr>
            </w:pPr>
            <w:r w:rsidRPr="000E5B3A">
              <w:rPr>
                <w:b/>
              </w:rPr>
              <w:t>1.97 (1.05, 3.70)</w:t>
            </w:r>
          </w:p>
        </w:tc>
        <w:tc>
          <w:tcPr>
            <w:tcW w:w="918" w:type="pct"/>
          </w:tcPr>
          <w:p w14:paraId="72550DFA" w14:textId="77777777" w:rsidR="00BA5258" w:rsidRPr="000E5B3A" w:rsidRDefault="00BA5258" w:rsidP="00E203D7">
            <w:pPr>
              <w:pStyle w:val="TableText0"/>
              <w:widowControl w:val="0"/>
              <w:jc w:val="center"/>
              <w:rPr>
                <w:b/>
                <w:bCs w:val="0"/>
              </w:rPr>
            </w:pPr>
            <w:r w:rsidRPr="000E5B3A">
              <w:rPr>
                <w:b/>
                <w:bCs w:val="0"/>
              </w:rPr>
              <w:t>8.3 (0.9, 15.7)</w:t>
            </w:r>
          </w:p>
        </w:tc>
      </w:tr>
      <w:tr w:rsidR="002B79E2" w:rsidRPr="000E5B3A" w14:paraId="2D6ECD62" w14:textId="77777777" w:rsidTr="002B79E2">
        <w:tc>
          <w:tcPr>
            <w:tcW w:w="1726" w:type="pct"/>
          </w:tcPr>
          <w:p w14:paraId="3D337EEE" w14:textId="77777777" w:rsidR="00BA5258" w:rsidRPr="000E5B3A" w:rsidRDefault="00BA5258" w:rsidP="00E203D7">
            <w:pPr>
              <w:pStyle w:val="TableText0"/>
              <w:widowControl w:val="0"/>
              <w:rPr>
                <w:b/>
              </w:rPr>
            </w:pPr>
            <w:r w:rsidRPr="000E5B3A">
              <w:t>White blood cell count decreased</w:t>
            </w:r>
          </w:p>
        </w:tc>
        <w:tc>
          <w:tcPr>
            <w:tcW w:w="785" w:type="pct"/>
          </w:tcPr>
          <w:p w14:paraId="7B993A0A" w14:textId="77777777" w:rsidR="00BA5258" w:rsidRPr="000E5B3A" w:rsidRDefault="00BA5258" w:rsidP="00E203D7">
            <w:pPr>
              <w:pStyle w:val="TableText0"/>
              <w:widowControl w:val="0"/>
              <w:jc w:val="center"/>
              <w:rPr>
                <w:b/>
              </w:rPr>
            </w:pPr>
            <w:r w:rsidRPr="000E5B3A">
              <w:t>14 (9.1)</w:t>
            </w:r>
          </w:p>
        </w:tc>
        <w:tc>
          <w:tcPr>
            <w:tcW w:w="707" w:type="pct"/>
          </w:tcPr>
          <w:p w14:paraId="405479B5" w14:textId="77777777" w:rsidR="00BA5258" w:rsidRPr="000E5B3A" w:rsidRDefault="00BA5258" w:rsidP="00E203D7">
            <w:pPr>
              <w:pStyle w:val="TableText0"/>
              <w:widowControl w:val="0"/>
              <w:jc w:val="center"/>
            </w:pPr>
            <w:r w:rsidRPr="000E5B3A">
              <w:t>13 (8.6)</w:t>
            </w:r>
          </w:p>
        </w:tc>
        <w:tc>
          <w:tcPr>
            <w:tcW w:w="864" w:type="pct"/>
          </w:tcPr>
          <w:p w14:paraId="03CDFA23" w14:textId="77777777" w:rsidR="00BA5258" w:rsidRPr="000E5B3A" w:rsidRDefault="00BA5258" w:rsidP="00E203D7">
            <w:pPr>
              <w:pStyle w:val="TableText0"/>
              <w:widowControl w:val="0"/>
              <w:jc w:val="center"/>
            </w:pPr>
            <w:r w:rsidRPr="000E5B3A">
              <w:t>1.06 (0.52, 2.19)</w:t>
            </w:r>
          </w:p>
        </w:tc>
        <w:tc>
          <w:tcPr>
            <w:tcW w:w="918" w:type="pct"/>
          </w:tcPr>
          <w:p w14:paraId="1001BAFA" w14:textId="77777777" w:rsidR="00BA5258" w:rsidRPr="000E5B3A" w:rsidRDefault="00BA5258" w:rsidP="00E203D7">
            <w:pPr>
              <w:pStyle w:val="TableText0"/>
              <w:widowControl w:val="0"/>
              <w:jc w:val="center"/>
            </w:pPr>
            <w:r w:rsidRPr="000E5B3A">
              <w:t>0.5 (-5.8, 6.9)</w:t>
            </w:r>
          </w:p>
        </w:tc>
      </w:tr>
      <w:tr w:rsidR="002B79E2" w:rsidRPr="000E5B3A" w14:paraId="169B2ED5" w14:textId="77777777" w:rsidTr="002B79E2">
        <w:tc>
          <w:tcPr>
            <w:tcW w:w="1726" w:type="pct"/>
          </w:tcPr>
          <w:p w14:paraId="0EC9E3CC" w14:textId="77777777" w:rsidR="00BA5258" w:rsidRPr="000E5B3A" w:rsidRDefault="00BA5258" w:rsidP="00E203D7">
            <w:pPr>
              <w:pStyle w:val="TableText0"/>
              <w:widowControl w:val="0"/>
            </w:pPr>
            <w:r w:rsidRPr="000E5B3A">
              <w:t>Diarrhoea</w:t>
            </w:r>
          </w:p>
        </w:tc>
        <w:tc>
          <w:tcPr>
            <w:tcW w:w="785" w:type="pct"/>
          </w:tcPr>
          <w:p w14:paraId="7234CF9D" w14:textId="77777777" w:rsidR="00BA5258" w:rsidRPr="000E5B3A" w:rsidRDefault="00BA5258" w:rsidP="00E203D7">
            <w:pPr>
              <w:pStyle w:val="TableText0"/>
              <w:widowControl w:val="0"/>
              <w:jc w:val="center"/>
            </w:pPr>
            <w:r w:rsidRPr="000E5B3A">
              <w:t>8 (5.2)</w:t>
            </w:r>
          </w:p>
        </w:tc>
        <w:tc>
          <w:tcPr>
            <w:tcW w:w="707" w:type="pct"/>
          </w:tcPr>
          <w:p w14:paraId="6F0DB750" w14:textId="77777777" w:rsidR="00BA5258" w:rsidRPr="000E5B3A" w:rsidRDefault="00BA5258" w:rsidP="00E203D7">
            <w:pPr>
              <w:pStyle w:val="TableText0"/>
              <w:widowControl w:val="0"/>
              <w:jc w:val="center"/>
            </w:pPr>
            <w:r w:rsidRPr="000E5B3A">
              <w:t>9 (5.9)</w:t>
            </w:r>
          </w:p>
        </w:tc>
        <w:tc>
          <w:tcPr>
            <w:tcW w:w="864" w:type="pct"/>
          </w:tcPr>
          <w:p w14:paraId="7C3E6CDF" w14:textId="77777777" w:rsidR="00BA5258" w:rsidRPr="000E5B3A" w:rsidRDefault="00BA5258" w:rsidP="00E203D7">
            <w:pPr>
              <w:pStyle w:val="TableText0"/>
              <w:widowControl w:val="0"/>
              <w:jc w:val="center"/>
            </w:pPr>
            <w:r w:rsidRPr="000E5B3A">
              <w:t>0.88 (0.35, 2.21)</w:t>
            </w:r>
          </w:p>
        </w:tc>
        <w:tc>
          <w:tcPr>
            <w:tcW w:w="918" w:type="pct"/>
          </w:tcPr>
          <w:p w14:paraId="01E3AE1D" w14:textId="77777777" w:rsidR="00BA5258" w:rsidRPr="000E5B3A" w:rsidRDefault="00BA5258" w:rsidP="00E203D7">
            <w:pPr>
              <w:pStyle w:val="TableText0"/>
              <w:widowControl w:val="0"/>
              <w:jc w:val="center"/>
            </w:pPr>
            <w:r w:rsidRPr="000E5B3A">
              <w:t>-0.7 (-5.9, 4.4)</w:t>
            </w:r>
          </w:p>
        </w:tc>
      </w:tr>
      <w:tr w:rsidR="00BA5258" w:rsidRPr="000E5B3A" w14:paraId="3E4ACB39" w14:textId="77777777">
        <w:tc>
          <w:tcPr>
            <w:tcW w:w="5000" w:type="pct"/>
            <w:gridSpan w:val="5"/>
          </w:tcPr>
          <w:p w14:paraId="5A605FDF" w14:textId="77777777" w:rsidR="00BA5258" w:rsidRPr="000E5B3A" w:rsidRDefault="00BA5258" w:rsidP="00E203D7">
            <w:pPr>
              <w:pStyle w:val="TableText0"/>
              <w:widowControl w:val="0"/>
            </w:pPr>
            <w:r w:rsidRPr="000E5B3A">
              <w:t>Sponsor-assessed irAEs</w:t>
            </w:r>
          </w:p>
        </w:tc>
      </w:tr>
      <w:tr w:rsidR="002B79E2" w:rsidRPr="000E5B3A" w14:paraId="3269737D" w14:textId="77777777" w:rsidTr="002B79E2">
        <w:tc>
          <w:tcPr>
            <w:tcW w:w="1726" w:type="pct"/>
          </w:tcPr>
          <w:p w14:paraId="5663220C" w14:textId="77777777" w:rsidR="00BA5258" w:rsidRPr="000E5B3A" w:rsidRDefault="00BA5258" w:rsidP="00E203D7">
            <w:pPr>
              <w:pStyle w:val="TableText0"/>
              <w:widowControl w:val="0"/>
            </w:pPr>
            <w:r w:rsidRPr="000E5B3A">
              <w:t>irAE</w:t>
            </w:r>
          </w:p>
        </w:tc>
        <w:tc>
          <w:tcPr>
            <w:tcW w:w="785" w:type="pct"/>
            <w:vAlign w:val="center"/>
          </w:tcPr>
          <w:p w14:paraId="341E061E" w14:textId="77777777" w:rsidR="00BA5258" w:rsidRPr="000E5B3A" w:rsidRDefault="00BA5258" w:rsidP="002B79E2">
            <w:pPr>
              <w:pStyle w:val="TableText0"/>
              <w:widowControl w:val="0"/>
              <w:jc w:val="center"/>
            </w:pPr>
            <w:r w:rsidRPr="000E5B3A">
              <w:t>75 (48.7)</w:t>
            </w:r>
          </w:p>
        </w:tc>
        <w:tc>
          <w:tcPr>
            <w:tcW w:w="707" w:type="pct"/>
            <w:vAlign w:val="center"/>
          </w:tcPr>
          <w:p w14:paraId="7EDD8BFB" w14:textId="77777777" w:rsidR="00BA5258" w:rsidRPr="000E5B3A" w:rsidRDefault="00BA5258" w:rsidP="002B79E2">
            <w:pPr>
              <w:pStyle w:val="TableText0"/>
              <w:widowControl w:val="0"/>
              <w:jc w:val="center"/>
            </w:pPr>
            <w:r w:rsidRPr="000E5B3A">
              <w:t>40 (26.3)</w:t>
            </w:r>
          </w:p>
        </w:tc>
        <w:tc>
          <w:tcPr>
            <w:tcW w:w="864" w:type="pct"/>
            <w:vAlign w:val="center"/>
          </w:tcPr>
          <w:p w14:paraId="14500948" w14:textId="77777777" w:rsidR="00BA5258" w:rsidRPr="000E5B3A" w:rsidRDefault="00BA5258" w:rsidP="002B79E2">
            <w:pPr>
              <w:pStyle w:val="TableText0"/>
              <w:widowControl w:val="0"/>
              <w:jc w:val="center"/>
              <w:rPr>
                <w:b/>
              </w:rPr>
            </w:pPr>
            <w:r w:rsidRPr="000E5B3A">
              <w:rPr>
                <w:b/>
              </w:rPr>
              <w:t>2.66 (1.65, 4.29)</w:t>
            </w:r>
          </w:p>
        </w:tc>
        <w:tc>
          <w:tcPr>
            <w:tcW w:w="918" w:type="pct"/>
            <w:vAlign w:val="center"/>
          </w:tcPr>
          <w:p w14:paraId="5D80D49D" w14:textId="77777777" w:rsidR="00BA5258" w:rsidRPr="000E5B3A" w:rsidRDefault="00BA5258" w:rsidP="002B79E2">
            <w:pPr>
              <w:pStyle w:val="TableText0"/>
              <w:widowControl w:val="0"/>
              <w:jc w:val="center"/>
              <w:rPr>
                <w:b/>
                <w:bCs w:val="0"/>
              </w:rPr>
            </w:pPr>
            <w:r w:rsidRPr="000E5B3A">
              <w:rPr>
                <w:b/>
                <w:bCs w:val="0"/>
              </w:rPr>
              <w:t>1.85 (1.36, 2.53)</w:t>
            </w:r>
          </w:p>
        </w:tc>
      </w:tr>
      <w:tr w:rsidR="002B79E2" w:rsidRPr="000E5B3A" w14:paraId="6342403D" w14:textId="77777777" w:rsidTr="002B79E2">
        <w:tc>
          <w:tcPr>
            <w:tcW w:w="1726" w:type="pct"/>
          </w:tcPr>
          <w:p w14:paraId="12803DD5" w14:textId="77777777" w:rsidR="00BA5258" w:rsidRPr="000E5B3A" w:rsidRDefault="00BA5258" w:rsidP="00E203D7">
            <w:pPr>
              <w:pStyle w:val="TableText0"/>
              <w:widowControl w:val="0"/>
            </w:pPr>
            <w:r w:rsidRPr="000E5B3A">
              <w:t>Retifanlimab/placebo-related irAE</w:t>
            </w:r>
          </w:p>
        </w:tc>
        <w:tc>
          <w:tcPr>
            <w:tcW w:w="785" w:type="pct"/>
            <w:vAlign w:val="center"/>
          </w:tcPr>
          <w:p w14:paraId="5CD0C96D" w14:textId="77777777" w:rsidR="00BA5258" w:rsidRPr="000E5B3A" w:rsidRDefault="00BA5258" w:rsidP="002B79E2">
            <w:pPr>
              <w:pStyle w:val="TableText0"/>
              <w:widowControl w:val="0"/>
              <w:jc w:val="center"/>
            </w:pPr>
            <w:r w:rsidRPr="000E5B3A">
              <w:t>54 (35.1)</w:t>
            </w:r>
          </w:p>
        </w:tc>
        <w:tc>
          <w:tcPr>
            <w:tcW w:w="707" w:type="pct"/>
            <w:vAlign w:val="center"/>
          </w:tcPr>
          <w:p w14:paraId="50CC4B84" w14:textId="77777777" w:rsidR="00BA5258" w:rsidRPr="000E5B3A" w:rsidRDefault="00BA5258" w:rsidP="002B79E2">
            <w:pPr>
              <w:pStyle w:val="TableText0"/>
              <w:widowControl w:val="0"/>
              <w:jc w:val="center"/>
            </w:pPr>
            <w:r w:rsidRPr="000E5B3A">
              <w:t>23 (15.1)</w:t>
            </w:r>
          </w:p>
        </w:tc>
        <w:tc>
          <w:tcPr>
            <w:tcW w:w="864" w:type="pct"/>
            <w:vAlign w:val="center"/>
          </w:tcPr>
          <w:p w14:paraId="4879D687" w14:textId="77777777" w:rsidR="00BA5258" w:rsidRPr="000E5B3A" w:rsidRDefault="00BA5258" w:rsidP="002B79E2">
            <w:pPr>
              <w:pStyle w:val="TableText0"/>
              <w:widowControl w:val="0"/>
              <w:jc w:val="center"/>
              <w:rPr>
                <w:b/>
              </w:rPr>
            </w:pPr>
            <w:r w:rsidRPr="000E5B3A">
              <w:rPr>
                <w:b/>
              </w:rPr>
              <w:t>3.03 (1.74, 5.27)</w:t>
            </w:r>
          </w:p>
        </w:tc>
        <w:tc>
          <w:tcPr>
            <w:tcW w:w="918" w:type="pct"/>
            <w:vAlign w:val="center"/>
          </w:tcPr>
          <w:p w14:paraId="0527CF24" w14:textId="77777777" w:rsidR="00BA5258" w:rsidRPr="000E5B3A" w:rsidRDefault="00BA5258" w:rsidP="002B79E2">
            <w:pPr>
              <w:pStyle w:val="TableText0"/>
              <w:widowControl w:val="0"/>
              <w:jc w:val="center"/>
              <w:rPr>
                <w:b/>
                <w:bCs w:val="0"/>
              </w:rPr>
            </w:pPr>
            <w:r w:rsidRPr="000E5B3A">
              <w:rPr>
                <w:b/>
                <w:bCs w:val="0"/>
              </w:rPr>
              <w:t>2.32 (1.50, 3.57)</w:t>
            </w:r>
          </w:p>
        </w:tc>
      </w:tr>
      <w:tr w:rsidR="002B79E2" w:rsidRPr="000E5B3A" w14:paraId="10D11246" w14:textId="77777777" w:rsidTr="002B79E2">
        <w:tc>
          <w:tcPr>
            <w:tcW w:w="1726" w:type="pct"/>
          </w:tcPr>
          <w:p w14:paraId="7FA74BC8" w14:textId="77777777" w:rsidR="00BA5258" w:rsidRPr="000E5B3A" w:rsidRDefault="00BA5258" w:rsidP="00E203D7">
            <w:pPr>
              <w:pStyle w:val="TableText0"/>
              <w:widowControl w:val="0"/>
            </w:pPr>
            <w:r w:rsidRPr="000E5B3A">
              <w:t>Serious irAE</w:t>
            </w:r>
          </w:p>
        </w:tc>
        <w:tc>
          <w:tcPr>
            <w:tcW w:w="785" w:type="pct"/>
            <w:vAlign w:val="center"/>
          </w:tcPr>
          <w:p w14:paraId="50133FE0" w14:textId="77777777" w:rsidR="00BA5258" w:rsidRPr="000E5B3A" w:rsidRDefault="00BA5258" w:rsidP="002B79E2">
            <w:pPr>
              <w:pStyle w:val="TableText0"/>
              <w:widowControl w:val="0"/>
              <w:jc w:val="center"/>
            </w:pPr>
            <w:r w:rsidRPr="000E5B3A">
              <w:t>18 (11.7)</w:t>
            </w:r>
          </w:p>
        </w:tc>
        <w:tc>
          <w:tcPr>
            <w:tcW w:w="707" w:type="pct"/>
            <w:vAlign w:val="center"/>
          </w:tcPr>
          <w:p w14:paraId="0D8656E9" w14:textId="77777777" w:rsidR="00BA5258" w:rsidRPr="000E5B3A" w:rsidRDefault="00BA5258" w:rsidP="002B79E2">
            <w:pPr>
              <w:pStyle w:val="TableText0"/>
              <w:widowControl w:val="0"/>
              <w:jc w:val="center"/>
            </w:pPr>
            <w:r w:rsidRPr="000E5B3A">
              <w:t>7 (4.6)</w:t>
            </w:r>
          </w:p>
        </w:tc>
        <w:tc>
          <w:tcPr>
            <w:tcW w:w="864" w:type="pct"/>
            <w:vAlign w:val="center"/>
          </w:tcPr>
          <w:p w14:paraId="75C0D6A6" w14:textId="77777777" w:rsidR="00BA5258" w:rsidRPr="000E5B3A" w:rsidRDefault="00BA5258" w:rsidP="002B79E2">
            <w:pPr>
              <w:pStyle w:val="TableText0"/>
              <w:widowControl w:val="0"/>
              <w:jc w:val="center"/>
              <w:rPr>
                <w:b/>
              </w:rPr>
            </w:pPr>
            <w:r w:rsidRPr="000E5B3A">
              <w:rPr>
                <w:b/>
              </w:rPr>
              <w:t>2.74 (1.11, 6.77)</w:t>
            </w:r>
          </w:p>
        </w:tc>
        <w:tc>
          <w:tcPr>
            <w:tcW w:w="918" w:type="pct"/>
            <w:vAlign w:val="center"/>
          </w:tcPr>
          <w:p w14:paraId="01F78C61" w14:textId="77777777" w:rsidR="00BA5258" w:rsidRPr="000E5B3A" w:rsidRDefault="00BA5258" w:rsidP="002B79E2">
            <w:pPr>
              <w:pStyle w:val="TableText0"/>
              <w:widowControl w:val="0"/>
              <w:jc w:val="center"/>
              <w:rPr>
                <w:b/>
                <w:bCs w:val="0"/>
              </w:rPr>
            </w:pPr>
            <w:r w:rsidRPr="000E5B3A">
              <w:rPr>
                <w:b/>
                <w:bCs w:val="0"/>
              </w:rPr>
              <w:t>2.54 (1.09, 5.90)</w:t>
            </w:r>
          </w:p>
        </w:tc>
      </w:tr>
      <w:tr w:rsidR="002B79E2" w:rsidRPr="000E5B3A" w14:paraId="794FDB1D" w14:textId="77777777" w:rsidTr="002B79E2">
        <w:tc>
          <w:tcPr>
            <w:tcW w:w="1726" w:type="pct"/>
          </w:tcPr>
          <w:p w14:paraId="3FB6C147" w14:textId="77777777" w:rsidR="00BA5258" w:rsidRPr="000E5B3A" w:rsidRDefault="00BA5258" w:rsidP="00E203D7">
            <w:pPr>
              <w:pStyle w:val="TableText0"/>
              <w:widowControl w:val="0"/>
            </w:pPr>
            <w:r w:rsidRPr="000E5B3A">
              <w:t>Grade 3 or higher irAE</w:t>
            </w:r>
          </w:p>
        </w:tc>
        <w:tc>
          <w:tcPr>
            <w:tcW w:w="785" w:type="pct"/>
            <w:vAlign w:val="center"/>
          </w:tcPr>
          <w:p w14:paraId="612193F6" w14:textId="77777777" w:rsidR="00BA5258" w:rsidRPr="000E5B3A" w:rsidRDefault="00BA5258" w:rsidP="002B79E2">
            <w:pPr>
              <w:pStyle w:val="TableText0"/>
              <w:widowControl w:val="0"/>
              <w:jc w:val="center"/>
            </w:pPr>
            <w:r w:rsidRPr="000E5B3A">
              <w:t>21 (13.6)</w:t>
            </w:r>
          </w:p>
        </w:tc>
        <w:tc>
          <w:tcPr>
            <w:tcW w:w="707" w:type="pct"/>
            <w:vAlign w:val="center"/>
          </w:tcPr>
          <w:p w14:paraId="60363608" w14:textId="77777777" w:rsidR="00BA5258" w:rsidRPr="000E5B3A" w:rsidRDefault="00BA5258" w:rsidP="002B79E2">
            <w:pPr>
              <w:pStyle w:val="TableText0"/>
              <w:widowControl w:val="0"/>
              <w:jc w:val="center"/>
            </w:pPr>
            <w:r w:rsidRPr="000E5B3A">
              <w:t>9 (5.9)</w:t>
            </w:r>
          </w:p>
        </w:tc>
        <w:tc>
          <w:tcPr>
            <w:tcW w:w="864" w:type="pct"/>
            <w:vAlign w:val="center"/>
          </w:tcPr>
          <w:p w14:paraId="1AC3BFCD" w14:textId="77777777" w:rsidR="00BA5258" w:rsidRPr="000E5B3A" w:rsidRDefault="00BA5258" w:rsidP="002B79E2">
            <w:pPr>
              <w:pStyle w:val="TableText0"/>
              <w:widowControl w:val="0"/>
              <w:jc w:val="center"/>
              <w:rPr>
                <w:b/>
              </w:rPr>
            </w:pPr>
            <w:r w:rsidRPr="000E5B3A">
              <w:rPr>
                <w:b/>
              </w:rPr>
              <w:t>2.51 (1.11, 5.67)</w:t>
            </w:r>
          </w:p>
        </w:tc>
        <w:tc>
          <w:tcPr>
            <w:tcW w:w="918" w:type="pct"/>
            <w:vAlign w:val="center"/>
          </w:tcPr>
          <w:p w14:paraId="62A1EEB7" w14:textId="77777777" w:rsidR="00BA5258" w:rsidRPr="000E5B3A" w:rsidRDefault="00BA5258" w:rsidP="002B79E2">
            <w:pPr>
              <w:pStyle w:val="TableText0"/>
              <w:widowControl w:val="0"/>
              <w:jc w:val="center"/>
              <w:rPr>
                <w:b/>
                <w:bCs w:val="0"/>
              </w:rPr>
            </w:pPr>
            <w:r w:rsidRPr="000E5B3A">
              <w:rPr>
                <w:b/>
                <w:bCs w:val="0"/>
              </w:rPr>
              <w:t>2.30 (1.09, 4.87)</w:t>
            </w:r>
          </w:p>
        </w:tc>
      </w:tr>
      <w:tr w:rsidR="002B79E2" w:rsidRPr="000E5B3A" w14:paraId="1D2A631B" w14:textId="77777777" w:rsidTr="002B79E2">
        <w:tc>
          <w:tcPr>
            <w:tcW w:w="1726" w:type="pct"/>
          </w:tcPr>
          <w:p w14:paraId="0795D250" w14:textId="77777777" w:rsidR="00BA5258" w:rsidRPr="000E5B3A" w:rsidRDefault="00BA5258" w:rsidP="00E203D7">
            <w:pPr>
              <w:pStyle w:val="TableText0"/>
              <w:widowControl w:val="0"/>
            </w:pPr>
            <w:r w:rsidRPr="000E5B3A">
              <w:t>Fatal irAE</w:t>
            </w:r>
          </w:p>
        </w:tc>
        <w:tc>
          <w:tcPr>
            <w:tcW w:w="785" w:type="pct"/>
            <w:vAlign w:val="center"/>
          </w:tcPr>
          <w:p w14:paraId="19B1F466" w14:textId="77777777" w:rsidR="00BA5258" w:rsidRPr="000E5B3A" w:rsidRDefault="00BA5258" w:rsidP="002B79E2">
            <w:pPr>
              <w:pStyle w:val="TableText0"/>
              <w:widowControl w:val="0"/>
              <w:jc w:val="center"/>
            </w:pPr>
            <w:r w:rsidRPr="000E5B3A">
              <w:t>0 (0.0)</w:t>
            </w:r>
          </w:p>
        </w:tc>
        <w:tc>
          <w:tcPr>
            <w:tcW w:w="707" w:type="pct"/>
            <w:vAlign w:val="center"/>
          </w:tcPr>
          <w:p w14:paraId="5AF99C68" w14:textId="77777777" w:rsidR="00BA5258" w:rsidRPr="000E5B3A" w:rsidRDefault="00BA5258" w:rsidP="002B79E2">
            <w:pPr>
              <w:pStyle w:val="TableText0"/>
              <w:widowControl w:val="0"/>
              <w:jc w:val="center"/>
            </w:pPr>
            <w:r w:rsidRPr="000E5B3A">
              <w:t>0 (0.0)</w:t>
            </w:r>
          </w:p>
        </w:tc>
        <w:tc>
          <w:tcPr>
            <w:tcW w:w="864" w:type="pct"/>
            <w:vAlign w:val="center"/>
          </w:tcPr>
          <w:p w14:paraId="34F23A31" w14:textId="77777777" w:rsidR="00BA5258" w:rsidRPr="000E5B3A" w:rsidRDefault="00BA5258" w:rsidP="002B79E2">
            <w:pPr>
              <w:pStyle w:val="TableText0"/>
              <w:widowControl w:val="0"/>
              <w:jc w:val="center"/>
            </w:pPr>
            <w:r w:rsidRPr="000E5B3A">
              <w:t>-</w:t>
            </w:r>
          </w:p>
        </w:tc>
        <w:tc>
          <w:tcPr>
            <w:tcW w:w="918" w:type="pct"/>
            <w:vAlign w:val="center"/>
          </w:tcPr>
          <w:p w14:paraId="4BAF3FAB" w14:textId="77777777" w:rsidR="00BA5258" w:rsidRPr="000E5B3A" w:rsidRDefault="00BA5258" w:rsidP="002B79E2">
            <w:pPr>
              <w:pStyle w:val="TableText0"/>
              <w:widowControl w:val="0"/>
              <w:jc w:val="center"/>
            </w:pPr>
            <w:r w:rsidRPr="000E5B3A">
              <w:t>-</w:t>
            </w:r>
          </w:p>
        </w:tc>
      </w:tr>
      <w:tr w:rsidR="002B79E2" w:rsidRPr="000E5B3A" w14:paraId="22844308" w14:textId="77777777" w:rsidTr="002B79E2">
        <w:tc>
          <w:tcPr>
            <w:tcW w:w="1726" w:type="pct"/>
          </w:tcPr>
          <w:p w14:paraId="7E28D06E" w14:textId="77777777" w:rsidR="00BA5258" w:rsidRPr="000E5B3A" w:rsidRDefault="00BA5258" w:rsidP="00E203D7">
            <w:pPr>
              <w:pStyle w:val="TableText0"/>
              <w:widowControl w:val="0"/>
            </w:pPr>
            <w:r w:rsidRPr="000E5B3A">
              <w:t>Serious retifanlimab/placebo-related irAE</w:t>
            </w:r>
          </w:p>
        </w:tc>
        <w:tc>
          <w:tcPr>
            <w:tcW w:w="785" w:type="pct"/>
            <w:vAlign w:val="center"/>
          </w:tcPr>
          <w:p w14:paraId="7ED1130E" w14:textId="77777777" w:rsidR="00BA5258" w:rsidRPr="000E5B3A" w:rsidRDefault="00BA5258" w:rsidP="002B79E2">
            <w:pPr>
              <w:pStyle w:val="TableText0"/>
              <w:widowControl w:val="0"/>
              <w:jc w:val="center"/>
            </w:pPr>
            <w:r w:rsidRPr="000E5B3A">
              <w:t>15 (9.7)</w:t>
            </w:r>
          </w:p>
        </w:tc>
        <w:tc>
          <w:tcPr>
            <w:tcW w:w="707" w:type="pct"/>
            <w:vAlign w:val="center"/>
          </w:tcPr>
          <w:p w14:paraId="35D4ED1C" w14:textId="77777777" w:rsidR="00BA5258" w:rsidRPr="000E5B3A" w:rsidRDefault="00BA5258" w:rsidP="002B79E2">
            <w:pPr>
              <w:pStyle w:val="TableText0"/>
              <w:widowControl w:val="0"/>
              <w:jc w:val="center"/>
            </w:pPr>
            <w:r w:rsidRPr="000E5B3A">
              <w:t>4 (2.6)</w:t>
            </w:r>
          </w:p>
        </w:tc>
        <w:tc>
          <w:tcPr>
            <w:tcW w:w="864" w:type="pct"/>
            <w:vAlign w:val="center"/>
          </w:tcPr>
          <w:p w14:paraId="449909BD" w14:textId="77777777" w:rsidR="00BA5258" w:rsidRPr="000E5B3A" w:rsidRDefault="00BA5258" w:rsidP="002B79E2">
            <w:pPr>
              <w:pStyle w:val="TableText0"/>
              <w:widowControl w:val="0"/>
              <w:jc w:val="center"/>
              <w:rPr>
                <w:b/>
              </w:rPr>
            </w:pPr>
            <w:r w:rsidRPr="000E5B3A">
              <w:rPr>
                <w:b/>
              </w:rPr>
              <w:t>3.99 (1.29, 12.32)</w:t>
            </w:r>
          </w:p>
        </w:tc>
        <w:tc>
          <w:tcPr>
            <w:tcW w:w="918" w:type="pct"/>
            <w:vAlign w:val="center"/>
          </w:tcPr>
          <w:p w14:paraId="3E1764D6" w14:textId="77777777" w:rsidR="00BA5258" w:rsidRPr="000E5B3A" w:rsidRDefault="00BA5258" w:rsidP="002B79E2">
            <w:pPr>
              <w:pStyle w:val="TableText0"/>
              <w:widowControl w:val="0"/>
              <w:jc w:val="center"/>
              <w:rPr>
                <w:b/>
                <w:bCs w:val="0"/>
              </w:rPr>
            </w:pPr>
            <w:r w:rsidRPr="000E5B3A">
              <w:rPr>
                <w:b/>
                <w:bCs w:val="0"/>
              </w:rPr>
              <w:t>3.70 (1.26, 10.90)</w:t>
            </w:r>
          </w:p>
        </w:tc>
      </w:tr>
      <w:tr w:rsidR="002B79E2" w:rsidRPr="000E5B3A" w14:paraId="6089D4E6" w14:textId="77777777" w:rsidTr="002B79E2">
        <w:tc>
          <w:tcPr>
            <w:tcW w:w="1726" w:type="pct"/>
          </w:tcPr>
          <w:p w14:paraId="470C42DA" w14:textId="77777777" w:rsidR="00BA5258" w:rsidRPr="000E5B3A" w:rsidRDefault="00BA5258" w:rsidP="00E203D7">
            <w:pPr>
              <w:pStyle w:val="TableText0"/>
              <w:widowControl w:val="0"/>
            </w:pPr>
            <w:r w:rsidRPr="000E5B3A">
              <w:t>Grade 3 or higher retifanlimab/placebo-related irAE</w:t>
            </w:r>
          </w:p>
        </w:tc>
        <w:tc>
          <w:tcPr>
            <w:tcW w:w="785" w:type="pct"/>
            <w:vAlign w:val="center"/>
          </w:tcPr>
          <w:p w14:paraId="3C6D80D5" w14:textId="77777777" w:rsidR="00BA5258" w:rsidRPr="000E5B3A" w:rsidRDefault="00BA5258" w:rsidP="002B79E2">
            <w:pPr>
              <w:pStyle w:val="TableText0"/>
              <w:widowControl w:val="0"/>
              <w:jc w:val="center"/>
            </w:pPr>
            <w:r w:rsidRPr="000E5B3A">
              <w:t>17 (11.0)</w:t>
            </w:r>
          </w:p>
        </w:tc>
        <w:tc>
          <w:tcPr>
            <w:tcW w:w="707" w:type="pct"/>
            <w:vAlign w:val="center"/>
          </w:tcPr>
          <w:p w14:paraId="4FF44AD6" w14:textId="77777777" w:rsidR="00BA5258" w:rsidRPr="000E5B3A" w:rsidRDefault="00BA5258" w:rsidP="002B79E2">
            <w:pPr>
              <w:pStyle w:val="TableText0"/>
              <w:widowControl w:val="0"/>
              <w:jc w:val="center"/>
            </w:pPr>
            <w:r w:rsidRPr="000E5B3A">
              <w:t>6 (3.9)</w:t>
            </w:r>
          </w:p>
        </w:tc>
        <w:tc>
          <w:tcPr>
            <w:tcW w:w="864" w:type="pct"/>
            <w:vAlign w:val="center"/>
          </w:tcPr>
          <w:p w14:paraId="69E7DD50" w14:textId="77777777" w:rsidR="00BA5258" w:rsidRPr="000E5B3A" w:rsidRDefault="00BA5258" w:rsidP="002B79E2">
            <w:pPr>
              <w:pStyle w:val="TableText0"/>
              <w:widowControl w:val="0"/>
              <w:jc w:val="center"/>
              <w:rPr>
                <w:b/>
              </w:rPr>
            </w:pPr>
            <w:r w:rsidRPr="000E5B3A">
              <w:rPr>
                <w:b/>
              </w:rPr>
              <w:t>3.02 (1.16, 7.88)</w:t>
            </w:r>
          </w:p>
        </w:tc>
        <w:tc>
          <w:tcPr>
            <w:tcW w:w="918" w:type="pct"/>
            <w:vAlign w:val="center"/>
          </w:tcPr>
          <w:p w14:paraId="7F2243A4" w14:textId="77777777" w:rsidR="00BA5258" w:rsidRPr="000E5B3A" w:rsidRDefault="00BA5258" w:rsidP="002B79E2">
            <w:pPr>
              <w:pStyle w:val="TableText0"/>
              <w:widowControl w:val="0"/>
              <w:jc w:val="center"/>
              <w:rPr>
                <w:b/>
                <w:bCs w:val="0"/>
              </w:rPr>
            </w:pPr>
            <w:r w:rsidRPr="000E5B3A">
              <w:rPr>
                <w:b/>
                <w:bCs w:val="0"/>
              </w:rPr>
              <w:t>2.80 (1.13, 6.90)</w:t>
            </w:r>
          </w:p>
        </w:tc>
      </w:tr>
      <w:tr w:rsidR="002B79E2" w:rsidRPr="000E5B3A" w14:paraId="1617384F" w14:textId="77777777" w:rsidTr="002B79E2">
        <w:tc>
          <w:tcPr>
            <w:tcW w:w="1726" w:type="pct"/>
          </w:tcPr>
          <w:p w14:paraId="43FA4C03" w14:textId="524CA6C4" w:rsidR="00046108" w:rsidRPr="000E5B3A" w:rsidRDefault="00046108" w:rsidP="00E203D7">
            <w:pPr>
              <w:pStyle w:val="TableText0"/>
              <w:widowControl w:val="0"/>
            </w:pPr>
            <w:r w:rsidRPr="000E5B3A">
              <w:t>Retifanlimab/placebo dose delayed due to irAE</w:t>
            </w:r>
          </w:p>
        </w:tc>
        <w:tc>
          <w:tcPr>
            <w:tcW w:w="785" w:type="pct"/>
            <w:vAlign w:val="center"/>
          </w:tcPr>
          <w:p w14:paraId="7442F703" w14:textId="61A696B3" w:rsidR="00046108" w:rsidRPr="000E5B3A" w:rsidRDefault="00046108" w:rsidP="002B79E2">
            <w:pPr>
              <w:pStyle w:val="TableText0"/>
              <w:widowControl w:val="0"/>
              <w:jc w:val="center"/>
            </w:pPr>
            <w:r w:rsidRPr="000E5B3A">
              <w:t>9 (5.8)</w:t>
            </w:r>
          </w:p>
        </w:tc>
        <w:tc>
          <w:tcPr>
            <w:tcW w:w="707" w:type="pct"/>
            <w:vAlign w:val="center"/>
          </w:tcPr>
          <w:p w14:paraId="480B2BD2" w14:textId="4EF047A3" w:rsidR="00046108" w:rsidRPr="000E5B3A" w:rsidRDefault="00046108" w:rsidP="002B79E2">
            <w:pPr>
              <w:pStyle w:val="TableText0"/>
              <w:widowControl w:val="0"/>
              <w:jc w:val="center"/>
            </w:pPr>
            <w:r w:rsidRPr="000E5B3A">
              <w:t>2 (1.3)</w:t>
            </w:r>
          </w:p>
        </w:tc>
        <w:tc>
          <w:tcPr>
            <w:tcW w:w="864" w:type="pct"/>
            <w:vAlign w:val="center"/>
          </w:tcPr>
          <w:p w14:paraId="6F9CE955" w14:textId="72F926A8" w:rsidR="00046108" w:rsidRPr="000E5B3A" w:rsidRDefault="00046108" w:rsidP="002B79E2">
            <w:pPr>
              <w:pStyle w:val="TableText0"/>
              <w:widowControl w:val="0"/>
              <w:jc w:val="center"/>
              <w:rPr>
                <w:b/>
              </w:rPr>
            </w:pPr>
            <w:r w:rsidRPr="000E5B3A">
              <w:t>4.66 (0.99, 21.91)</w:t>
            </w:r>
          </w:p>
        </w:tc>
        <w:tc>
          <w:tcPr>
            <w:tcW w:w="918" w:type="pct"/>
            <w:vAlign w:val="center"/>
          </w:tcPr>
          <w:p w14:paraId="71B05E1B" w14:textId="5B4CF131" w:rsidR="00046108" w:rsidRPr="000E5B3A" w:rsidRDefault="00046108" w:rsidP="002B79E2">
            <w:pPr>
              <w:pStyle w:val="TableText0"/>
              <w:widowControl w:val="0"/>
              <w:jc w:val="center"/>
              <w:rPr>
                <w:b/>
                <w:bCs w:val="0"/>
              </w:rPr>
            </w:pPr>
            <w:r w:rsidRPr="000E5B3A">
              <w:t>4.44 (0.98, 20.22)</w:t>
            </w:r>
          </w:p>
        </w:tc>
      </w:tr>
      <w:tr w:rsidR="002B79E2" w:rsidRPr="000E5B3A" w14:paraId="77602BD0" w14:textId="77777777" w:rsidTr="002B79E2">
        <w:tc>
          <w:tcPr>
            <w:tcW w:w="1726" w:type="pct"/>
          </w:tcPr>
          <w:p w14:paraId="0CCB8335" w14:textId="31CDCFE0" w:rsidR="00046108" w:rsidRPr="000E5B3A" w:rsidRDefault="00046108" w:rsidP="00E203D7">
            <w:pPr>
              <w:pStyle w:val="TableText0"/>
              <w:widowControl w:val="0"/>
            </w:pPr>
            <w:r w:rsidRPr="000E5B3A">
              <w:t>irAE leading to discontinuation of retifanlimab/placebo</w:t>
            </w:r>
          </w:p>
        </w:tc>
        <w:tc>
          <w:tcPr>
            <w:tcW w:w="785" w:type="pct"/>
            <w:vAlign w:val="center"/>
          </w:tcPr>
          <w:p w14:paraId="767547CA" w14:textId="3FAC8D81" w:rsidR="00046108" w:rsidRPr="000E5B3A" w:rsidRDefault="00046108" w:rsidP="002B79E2">
            <w:pPr>
              <w:pStyle w:val="TableText0"/>
              <w:widowControl w:val="0"/>
              <w:jc w:val="center"/>
            </w:pPr>
            <w:r w:rsidRPr="000E5B3A">
              <w:t>10 (6.5)</w:t>
            </w:r>
          </w:p>
        </w:tc>
        <w:tc>
          <w:tcPr>
            <w:tcW w:w="707" w:type="pct"/>
            <w:vAlign w:val="center"/>
          </w:tcPr>
          <w:p w14:paraId="0C5011CA" w14:textId="59BD727E" w:rsidR="00046108" w:rsidRPr="000E5B3A" w:rsidRDefault="00046108" w:rsidP="002B79E2">
            <w:pPr>
              <w:pStyle w:val="TableText0"/>
              <w:widowControl w:val="0"/>
              <w:jc w:val="center"/>
            </w:pPr>
            <w:r w:rsidRPr="000E5B3A">
              <w:t>0 (0.0)</w:t>
            </w:r>
          </w:p>
        </w:tc>
        <w:tc>
          <w:tcPr>
            <w:tcW w:w="864" w:type="pct"/>
            <w:vAlign w:val="center"/>
          </w:tcPr>
          <w:p w14:paraId="76C71A2B" w14:textId="53DE2370" w:rsidR="00046108" w:rsidRPr="000E5B3A" w:rsidRDefault="00046108" w:rsidP="002B79E2">
            <w:pPr>
              <w:pStyle w:val="TableText0"/>
              <w:widowControl w:val="0"/>
              <w:jc w:val="center"/>
              <w:rPr>
                <w:b/>
              </w:rPr>
            </w:pPr>
            <w:r w:rsidRPr="000E5B3A">
              <w:t>-</w:t>
            </w:r>
          </w:p>
        </w:tc>
        <w:tc>
          <w:tcPr>
            <w:tcW w:w="918" w:type="pct"/>
            <w:vAlign w:val="center"/>
          </w:tcPr>
          <w:p w14:paraId="4F43CEC5" w14:textId="0C026D76" w:rsidR="00046108" w:rsidRPr="000E5B3A" w:rsidRDefault="00046108" w:rsidP="002B79E2">
            <w:pPr>
              <w:pStyle w:val="TableText0"/>
              <w:widowControl w:val="0"/>
              <w:jc w:val="center"/>
              <w:rPr>
                <w:b/>
                <w:bCs w:val="0"/>
              </w:rPr>
            </w:pPr>
            <w:r w:rsidRPr="000E5B3A">
              <w:t>-</w:t>
            </w:r>
          </w:p>
        </w:tc>
      </w:tr>
      <w:tr w:rsidR="002B79E2" w:rsidRPr="000E5B3A" w14:paraId="7DFF064F" w14:textId="77777777" w:rsidTr="002B79E2">
        <w:tc>
          <w:tcPr>
            <w:tcW w:w="1726" w:type="pct"/>
          </w:tcPr>
          <w:p w14:paraId="23C474BE" w14:textId="542DFF50" w:rsidR="00046108" w:rsidRPr="000E5B3A" w:rsidRDefault="00046108" w:rsidP="00E203D7">
            <w:pPr>
              <w:pStyle w:val="TableText0"/>
              <w:widowControl w:val="0"/>
            </w:pPr>
            <w:r w:rsidRPr="000E5B3A">
              <w:t>Chemotherapy-related irAE</w:t>
            </w:r>
          </w:p>
        </w:tc>
        <w:tc>
          <w:tcPr>
            <w:tcW w:w="785" w:type="pct"/>
            <w:vAlign w:val="center"/>
          </w:tcPr>
          <w:p w14:paraId="42BF6674" w14:textId="03A889CA" w:rsidR="00046108" w:rsidRPr="000E5B3A" w:rsidRDefault="00046108" w:rsidP="002B79E2">
            <w:pPr>
              <w:pStyle w:val="TableText0"/>
              <w:widowControl w:val="0"/>
              <w:jc w:val="center"/>
            </w:pPr>
            <w:r w:rsidRPr="000E5B3A">
              <w:t>30 (19.5)</w:t>
            </w:r>
          </w:p>
        </w:tc>
        <w:tc>
          <w:tcPr>
            <w:tcW w:w="707" w:type="pct"/>
            <w:vAlign w:val="center"/>
          </w:tcPr>
          <w:p w14:paraId="43CA4A48" w14:textId="73BAC92B" w:rsidR="00046108" w:rsidRPr="000E5B3A" w:rsidRDefault="00046108" w:rsidP="002B79E2">
            <w:pPr>
              <w:pStyle w:val="TableText0"/>
              <w:widowControl w:val="0"/>
              <w:jc w:val="center"/>
            </w:pPr>
            <w:r w:rsidRPr="000E5B3A">
              <w:t>25 (16.4)</w:t>
            </w:r>
          </w:p>
        </w:tc>
        <w:tc>
          <w:tcPr>
            <w:tcW w:w="864" w:type="pct"/>
            <w:vAlign w:val="center"/>
          </w:tcPr>
          <w:p w14:paraId="42907357" w14:textId="5FC47F10" w:rsidR="00046108" w:rsidRPr="000E5B3A" w:rsidRDefault="00046108" w:rsidP="002B79E2">
            <w:pPr>
              <w:pStyle w:val="TableText0"/>
              <w:widowControl w:val="0"/>
              <w:jc w:val="center"/>
              <w:rPr>
                <w:b/>
              </w:rPr>
            </w:pPr>
            <w:r w:rsidRPr="000E5B3A">
              <w:t>1.23 (0.68, 2.21)</w:t>
            </w:r>
          </w:p>
        </w:tc>
        <w:tc>
          <w:tcPr>
            <w:tcW w:w="918" w:type="pct"/>
            <w:vAlign w:val="center"/>
          </w:tcPr>
          <w:p w14:paraId="3AA59983" w14:textId="104B802D" w:rsidR="00046108" w:rsidRPr="000E5B3A" w:rsidRDefault="00046108" w:rsidP="002B79E2">
            <w:pPr>
              <w:pStyle w:val="TableText0"/>
              <w:widowControl w:val="0"/>
              <w:jc w:val="center"/>
              <w:rPr>
                <w:b/>
                <w:bCs w:val="0"/>
              </w:rPr>
            </w:pPr>
            <w:r w:rsidRPr="000E5B3A">
              <w:t>1.18 (0.73, 1.92)</w:t>
            </w:r>
          </w:p>
        </w:tc>
      </w:tr>
      <w:tr w:rsidR="002B79E2" w:rsidRPr="000E5B3A" w14:paraId="66B08B94" w14:textId="77777777" w:rsidTr="002B79E2">
        <w:tc>
          <w:tcPr>
            <w:tcW w:w="1726" w:type="pct"/>
          </w:tcPr>
          <w:p w14:paraId="22B9722B" w14:textId="5ED245EA" w:rsidR="00046108" w:rsidRPr="000E5B3A" w:rsidRDefault="00046108" w:rsidP="00E203D7">
            <w:pPr>
              <w:pStyle w:val="TableText0"/>
              <w:widowControl w:val="0"/>
            </w:pPr>
            <w:r w:rsidRPr="000E5B3A">
              <w:t>irAE leading to discontinuation of chemotherapy</w:t>
            </w:r>
          </w:p>
        </w:tc>
        <w:tc>
          <w:tcPr>
            <w:tcW w:w="785" w:type="pct"/>
            <w:vAlign w:val="center"/>
          </w:tcPr>
          <w:p w14:paraId="3F5DA3B4" w14:textId="467C816C" w:rsidR="00046108" w:rsidRPr="000E5B3A" w:rsidRDefault="00046108" w:rsidP="002B79E2">
            <w:pPr>
              <w:pStyle w:val="TableText0"/>
              <w:widowControl w:val="0"/>
              <w:jc w:val="center"/>
            </w:pPr>
            <w:r w:rsidRPr="000E5B3A">
              <w:t>5 (3.2)</w:t>
            </w:r>
          </w:p>
        </w:tc>
        <w:tc>
          <w:tcPr>
            <w:tcW w:w="707" w:type="pct"/>
            <w:vAlign w:val="center"/>
          </w:tcPr>
          <w:p w14:paraId="065E0031" w14:textId="460A1769" w:rsidR="00046108" w:rsidRPr="000E5B3A" w:rsidRDefault="00046108" w:rsidP="002B79E2">
            <w:pPr>
              <w:pStyle w:val="TableText0"/>
              <w:widowControl w:val="0"/>
              <w:jc w:val="center"/>
            </w:pPr>
            <w:r w:rsidRPr="000E5B3A">
              <w:t>1 (0.7)</w:t>
            </w:r>
          </w:p>
        </w:tc>
        <w:tc>
          <w:tcPr>
            <w:tcW w:w="864" w:type="pct"/>
            <w:vAlign w:val="center"/>
          </w:tcPr>
          <w:p w14:paraId="5F3A1C6F" w14:textId="4CB963CC" w:rsidR="00046108" w:rsidRPr="000E5B3A" w:rsidRDefault="00046108" w:rsidP="002B79E2">
            <w:pPr>
              <w:pStyle w:val="TableText0"/>
              <w:widowControl w:val="0"/>
              <w:jc w:val="center"/>
            </w:pPr>
            <w:r w:rsidRPr="000E5B3A">
              <w:t>5.07 (0.58, 43.89)</w:t>
            </w:r>
          </w:p>
        </w:tc>
        <w:tc>
          <w:tcPr>
            <w:tcW w:w="918" w:type="pct"/>
            <w:vAlign w:val="center"/>
          </w:tcPr>
          <w:p w14:paraId="5361B6D9" w14:textId="636242C0" w:rsidR="00046108" w:rsidRPr="000E5B3A" w:rsidRDefault="00046108" w:rsidP="002B79E2">
            <w:pPr>
              <w:pStyle w:val="TableText0"/>
              <w:widowControl w:val="0"/>
              <w:jc w:val="center"/>
            </w:pPr>
            <w:r w:rsidRPr="000E5B3A">
              <w:t>4.94 (0.58, 41.75)</w:t>
            </w:r>
          </w:p>
        </w:tc>
      </w:tr>
      <w:tr w:rsidR="00BA5258" w:rsidRPr="000E5B3A" w14:paraId="5B81BC29" w14:textId="77777777">
        <w:tc>
          <w:tcPr>
            <w:tcW w:w="5000" w:type="pct"/>
            <w:gridSpan w:val="5"/>
          </w:tcPr>
          <w:p w14:paraId="1DE7AA6C" w14:textId="4BBD7D50" w:rsidR="00BA5258" w:rsidRPr="000E5B3A" w:rsidRDefault="00BA5258" w:rsidP="00E203D7">
            <w:pPr>
              <w:pStyle w:val="TableText0"/>
              <w:widowControl w:val="0"/>
            </w:pPr>
            <w:r w:rsidRPr="000E5B3A">
              <w:t xml:space="preserve">irAEs occurring in &gt;10% of patients in the retifanlimab + </w:t>
            </w:r>
            <w:r w:rsidR="007D1AD1" w:rsidRPr="000E5B3A">
              <w:t>CP</w:t>
            </w:r>
            <w:r w:rsidRPr="000E5B3A">
              <w:t xml:space="preserve"> </w:t>
            </w:r>
            <w:r w:rsidR="007D1AD1" w:rsidRPr="000E5B3A">
              <w:t>arm</w:t>
            </w:r>
          </w:p>
        </w:tc>
      </w:tr>
      <w:tr w:rsidR="002B79E2" w:rsidRPr="000E5B3A" w14:paraId="083CEE5E" w14:textId="77777777" w:rsidTr="002B79E2">
        <w:tc>
          <w:tcPr>
            <w:tcW w:w="1726" w:type="pct"/>
          </w:tcPr>
          <w:p w14:paraId="1B1C6350" w14:textId="77777777" w:rsidR="00BA5258" w:rsidRPr="000E5B3A" w:rsidRDefault="00BA5258" w:rsidP="00E203D7">
            <w:pPr>
              <w:pStyle w:val="TableText0"/>
              <w:widowControl w:val="0"/>
            </w:pPr>
            <w:r w:rsidRPr="000E5B3A">
              <w:t>Hypothyroidism</w:t>
            </w:r>
          </w:p>
        </w:tc>
        <w:tc>
          <w:tcPr>
            <w:tcW w:w="785" w:type="pct"/>
          </w:tcPr>
          <w:p w14:paraId="2B1AB58D" w14:textId="77777777" w:rsidR="00BA5258" w:rsidRPr="000E5B3A" w:rsidRDefault="00BA5258" w:rsidP="00E203D7">
            <w:pPr>
              <w:pStyle w:val="TableText0"/>
              <w:widowControl w:val="0"/>
              <w:jc w:val="center"/>
            </w:pPr>
            <w:r w:rsidRPr="000E5B3A">
              <w:t>22 (14.3)</w:t>
            </w:r>
          </w:p>
        </w:tc>
        <w:tc>
          <w:tcPr>
            <w:tcW w:w="707" w:type="pct"/>
          </w:tcPr>
          <w:p w14:paraId="3AB3B29F" w14:textId="77777777" w:rsidR="00BA5258" w:rsidRPr="000E5B3A" w:rsidRDefault="00BA5258" w:rsidP="00E203D7">
            <w:pPr>
              <w:pStyle w:val="TableText0"/>
              <w:widowControl w:val="0"/>
              <w:jc w:val="center"/>
            </w:pPr>
            <w:r w:rsidRPr="000E5B3A">
              <w:t>5 (3.3)</w:t>
            </w:r>
          </w:p>
        </w:tc>
        <w:tc>
          <w:tcPr>
            <w:tcW w:w="864" w:type="pct"/>
          </w:tcPr>
          <w:p w14:paraId="1AD853C8" w14:textId="77777777" w:rsidR="00BA5258" w:rsidRPr="000E5B3A" w:rsidRDefault="00BA5258" w:rsidP="00E203D7">
            <w:pPr>
              <w:pStyle w:val="TableText0"/>
              <w:widowControl w:val="0"/>
              <w:jc w:val="center"/>
              <w:rPr>
                <w:b/>
              </w:rPr>
            </w:pPr>
            <w:r w:rsidRPr="000E5B3A">
              <w:rPr>
                <w:b/>
              </w:rPr>
              <w:t>4.34 (1.69, 11.17)</w:t>
            </w:r>
          </w:p>
        </w:tc>
        <w:tc>
          <w:tcPr>
            <w:tcW w:w="918" w:type="pct"/>
          </w:tcPr>
          <w:p w14:paraId="7812E736" w14:textId="77777777" w:rsidR="00BA5258" w:rsidRPr="000E5B3A" w:rsidRDefault="00BA5258" w:rsidP="00E203D7">
            <w:pPr>
              <w:pStyle w:val="TableText0"/>
              <w:widowControl w:val="0"/>
              <w:jc w:val="center"/>
              <w:rPr>
                <w:b/>
                <w:bCs w:val="0"/>
              </w:rPr>
            </w:pPr>
            <w:r w:rsidRPr="000E5B3A">
              <w:rPr>
                <w:b/>
                <w:bCs w:val="0"/>
              </w:rPr>
              <w:t>11.0 (4.8, 17.2)</w:t>
            </w:r>
          </w:p>
        </w:tc>
      </w:tr>
      <w:tr w:rsidR="002B79E2" w:rsidRPr="000E5B3A" w14:paraId="191EF44B" w14:textId="77777777" w:rsidTr="002B79E2">
        <w:tc>
          <w:tcPr>
            <w:tcW w:w="1726" w:type="pct"/>
          </w:tcPr>
          <w:p w14:paraId="2491476B" w14:textId="0061DF1D" w:rsidR="00BA5258" w:rsidRPr="00BA7D4E" w:rsidRDefault="00BA5258" w:rsidP="00E203D7">
            <w:pPr>
              <w:pStyle w:val="TableText0"/>
              <w:widowControl w:val="0"/>
            </w:pPr>
            <w:r w:rsidRPr="00BA7D4E">
              <w:t xml:space="preserve">Other, nervous system </w:t>
            </w:r>
          </w:p>
        </w:tc>
        <w:tc>
          <w:tcPr>
            <w:tcW w:w="785" w:type="pct"/>
          </w:tcPr>
          <w:p w14:paraId="746DA158" w14:textId="77777777" w:rsidR="00BA5258" w:rsidRPr="000E5B3A" w:rsidRDefault="00BA5258" w:rsidP="00E203D7">
            <w:pPr>
              <w:pStyle w:val="TableText0"/>
              <w:widowControl w:val="0"/>
              <w:jc w:val="center"/>
            </w:pPr>
            <w:r w:rsidRPr="000E5B3A">
              <w:t>19 (12.3)</w:t>
            </w:r>
          </w:p>
        </w:tc>
        <w:tc>
          <w:tcPr>
            <w:tcW w:w="707" w:type="pct"/>
          </w:tcPr>
          <w:p w14:paraId="2CD3A621" w14:textId="77777777" w:rsidR="00BA5258" w:rsidRPr="000E5B3A" w:rsidRDefault="00BA5258" w:rsidP="00E203D7">
            <w:pPr>
              <w:pStyle w:val="TableText0"/>
              <w:widowControl w:val="0"/>
              <w:jc w:val="center"/>
            </w:pPr>
            <w:r w:rsidRPr="000E5B3A">
              <w:t>16 (10.5)</w:t>
            </w:r>
          </w:p>
        </w:tc>
        <w:tc>
          <w:tcPr>
            <w:tcW w:w="864" w:type="pct"/>
          </w:tcPr>
          <w:p w14:paraId="4E990EE3" w14:textId="77777777" w:rsidR="00BA5258" w:rsidRPr="000E5B3A" w:rsidRDefault="00BA5258" w:rsidP="00E203D7">
            <w:pPr>
              <w:pStyle w:val="TableText0"/>
              <w:widowControl w:val="0"/>
              <w:jc w:val="center"/>
            </w:pPr>
            <w:r w:rsidRPr="000E5B3A">
              <w:t>1.17 (0.63, 2.19)</w:t>
            </w:r>
          </w:p>
        </w:tc>
        <w:tc>
          <w:tcPr>
            <w:tcW w:w="918" w:type="pct"/>
          </w:tcPr>
          <w:p w14:paraId="60DCFE91" w14:textId="77777777" w:rsidR="00BA5258" w:rsidRPr="000E5B3A" w:rsidRDefault="00BA5258" w:rsidP="00E203D7">
            <w:pPr>
              <w:pStyle w:val="TableText0"/>
              <w:widowControl w:val="0"/>
              <w:jc w:val="center"/>
            </w:pPr>
            <w:r w:rsidRPr="000E5B3A">
              <w:t>1.8 (-5.3, 8.9)</w:t>
            </w:r>
          </w:p>
        </w:tc>
      </w:tr>
      <w:tr w:rsidR="002B79E2" w:rsidRPr="000E5B3A" w14:paraId="4BD7D445" w14:textId="77777777" w:rsidTr="002B79E2">
        <w:tc>
          <w:tcPr>
            <w:tcW w:w="1726" w:type="pct"/>
          </w:tcPr>
          <w:p w14:paraId="538E9F23" w14:textId="45B91AED" w:rsidR="00BA5258" w:rsidRPr="00BA7D4E" w:rsidRDefault="00BA5258" w:rsidP="00E203D7">
            <w:pPr>
              <w:pStyle w:val="TableText0"/>
              <w:widowControl w:val="0"/>
            </w:pPr>
            <w:r w:rsidRPr="00BA7D4E">
              <w:t xml:space="preserve">Skin reactions </w:t>
            </w:r>
          </w:p>
        </w:tc>
        <w:tc>
          <w:tcPr>
            <w:tcW w:w="785" w:type="pct"/>
          </w:tcPr>
          <w:p w14:paraId="217BDCE8" w14:textId="77777777" w:rsidR="00BA5258" w:rsidRPr="000E5B3A" w:rsidRDefault="00BA5258" w:rsidP="00E203D7">
            <w:pPr>
              <w:pStyle w:val="TableText0"/>
              <w:widowControl w:val="0"/>
              <w:jc w:val="center"/>
            </w:pPr>
            <w:r w:rsidRPr="000E5B3A">
              <w:t>18 (11.7)</w:t>
            </w:r>
          </w:p>
        </w:tc>
        <w:tc>
          <w:tcPr>
            <w:tcW w:w="707" w:type="pct"/>
          </w:tcPr>
          <w:p w14:paraId="27D665EF" w14:textId="77777777" w:rsidR="00BA5258" w:rsidRPr="000E5B3A" w:rsidRDefault="00BA5258" w:rsidP="00E203D7">
            <w:pPr>
              <w:pStyle w:val="TableText0"/>
              <w:widowControl w:val="0"/>
              <w:jc w:val="center"/>
            </w:pPr>
            <w:r w:rsidRPr="000E5B3A">
              <w:t>14 (9.2)</w:t>
            </w:r>
          </w:p>
        </w:tc>
        <w:tc>
          <w:tcPr>
            <w:tcW w:w="864" w:type="pct"/>
          </w:tcPr>
          <w:p w14:paraId="67113765" w14:textId="77777777" w:rsidR="00BA5258" w:rsidRPr="000E5B3A" w:rsidRDefault="00BA5258" w:rsidP="00E203D7">
            <w:pPr>
              <w:pStyle w:val="TableText0"/>
              <w:widowControl w:val="0"/>
              <w:jc w:val="center"/>
            </w:pPr>
            <w:r w:rsidRPr="000E5B3A">
              <w:t>1.27 (0.65, 2.46)</w:t>
            </w:r>
          </w:p>
        </w:tc>
        <w:tc>
          <w:tcPr>
            <w:tcW w:w="918" w:type="pct"/>
          </w:tcPr>
          <w:p w14:paraId="1A871907" w14:textId="77777777" w:rsidR="00BA5258" w:rsidRPr="000E5B3A" w:rsidRDefault="00BA5258" w:rsidP="00E203D7">
            <w:pPr>
              <w:pStyle w:val="TableText0"/>
              <w:widowControl w:val="0"/>
              <w:jc w:val="center"/>
            </w:pPr>
            <w:r w:rsidRPr="000E5B3A">
              <w:t>2.5 (-4.4, 9.3)</w:t>
            </w:r>
          </w:p>
        </w:tc>
      </w:tr>
      <w:tr w:rsidR="002B79E2" w:rsidRPr="000E5B3A" w14:paraId="265137F9" w14:textId="77777777" w:rsidTr="002B79E2">
        <w:tc>
          <w:tcPr>
            <w:tcW w:w="1726" w:type="pct"/>
          </w:tcPr>
          <w:p w14:paraId="31F733C8" w14:textId="77777777" w:rsidR="00BA5258" w:rsidRPr="000E5B3A" w:rsidRDefault="00BA5258" w:rsidP="00E203D7">
            <w:pPr>
              <w:pStyle w:val="TableText0"/>
              <w:widowControl w:val="0"/>
            </w:pPr>
            <w:r w:rsidRPr="000E5B3A">
              <w:t>Colitis</w:t>
            </w:r>
          </w:p>
        </w:tc>
        <w:tc>
          <w:tcPr>
            <w:tcW w:w="785" w:type="pct"/>
          </w:tcPr>
          <w:p w14:paraId="738A5BE4" w14:textId="77777777" w:rsidR="00BA5258" w:rsidRPr="000E5B3A" w:rsidRDefault="00BA5258" w:rsidP="00E203D7">
            <w:pPr>
              <w:pStyle w:val="TableText0"/>
              <w:widowControl w:val="0"/>
              <w:jc w:val="center"/>
            </w:pPr>
            <w:r w:rsidRPr="000E5B3A">
              <w:t>16 (10.4)</w:t>
            </w:r>
          </w:p>
        </w:tc>
        <w:tc>
          <w:tcPr>
            <w:tcW w:w="707" w:type="pct"/>
          </w:tcPr>
          <w:p w14:paraId="1DF42AAC" w14:textId="77777777" w:rsidR="00BA5258" w:rsidRPr="000E5B3A" w:rsidRDefault="00BA5258" w:rsidP="00E203D7">
            <w:pPr>
              <w:pStyle w:val="TableText0"/>
              <w:widowControl w:val="0"/>
              <w:jc w:val="center"/>
            </w:pPr>
            <w:r w:rsidRPr="000E5B3A">
              <w:t>6 (3.9)</w:t>
            </w:r>
          </w:p>
        </w:tc>
        <w:tc>
          <w:tcPr>
            <w:tcW w:w="864" w:type="pct"/>
          </w:tcPr>
          <w:p w14:paraId="3B15D13E" w14:textId="77777777" w:rsidR="00BA5258" w:rsidRPr="000E5B3A" w:rsidRDefault="00BA5258" w:rsidP="00E203D7">
            <w:pPr>
              <w:pStyle w:val="TableText0"/>
              <w:widowControl w:val="0"/>
              <w:jc w:val="center"/>
              <w:rPr>
                <w:b/>
              </w:rPr>
            </w:pPr>
            <w:r w:rsidRPr="000E5B3A">
              <w:rPr>
                <w:b/>
              </w:rPr>
              <w:t>2.63 (1.06, 6.55)</w:t>
            </w:r>
          </w:p>
        </w:tc>
        <w:tc>
          <w:tcPr>
            <w:tcW w:w="918" w:type="pct"/>
          </w:tcPr>
          <w:p w14:paraId="4F08F94F" w14:textId="77777777" w:rsidR="00BA5258" w:rsidRPr="000E5B3A" w:rsidRDefault="00BA5258" w:rsidP="00E203D7">
            <w:pPr>
              <w:pStyle w:val="TableText0"/>
              <w:widowControl w:val="0"/>
              <w:jc w:val="center"/>
              <w:rPr>
                <w:b/>
                <w:bCs w:val="0"/>
              </w:rPr>
            </w:pPr>
            <w:r w:rsidRPr="000E5B3A">
              <w:rPr>
                <w:b/>
                <w:bCs w:val="0"/>
              </w:rPr>
              <w:t>6.4 (0.7, 12.2)</w:t>
            </w:r>
          </w:p>
        </w:tc>
      </w:tr>
    </w:tbl>
    <w:p w14:paraId="7FE1A953" w14:textId="77777777" w:rsidR="00BA5258" w:rsidRPr="000E5B3A" w:rsidRDefault="00BA5258" w:rsidP="00E203D7">
      <w:pPr>
        <w:pStyle w:val="TableFigureFooter"/>
        <w:keepNext/>
      </w:pPr>
      <w:r w:rsidRPr="000E5B3A">
        <w:t>Source: Tables 35, 36, 39 and 41 pp83, 84, 88 and 97 of the submission.</w:t>
      </w:r>
    </w:p>
    <w:p w14:paraId="0F29D92E" w14:textId="0447F16D" w:rsidR="00BA5258" w:rsidRPr="000E5B3A" w:rsidRDefault="00BA5258" w:rsidP="00D4144B">
      <w:pPr>
        <w:pStyle w:val="TableFigureFooter"/>
        <w:keepNext/>
        <w:spacing w:after="0"/>
      </w:pPr>
      <w:r w:rsidRPr="000E5B3A">
        <w:rPr>
          <w:rFonts w:eastAsia="Calibri"/>
        </w:rPr>
        <w:t xml:space="preserve">CI = confidence interval; </w:t>
      </w:r>
      <w:r w:rsidRPr="000E5B3A">
        <w:t xml:space="preserve">CP = chemotherapy (carboplatin + paclitaxel); irAE, </w:t>
      </w:r>
      <w:bookmarkStart w:id="43" w:name="_Hlk204087636"/>
      <w:r w:rsidRPr="000E5B3A">
        <w:t>immune-related adverse event</w:t>
      </w:r>
      <w:bookmarkEnd w:id="43"/>
      <w:r w:rsidRPr="000E5B3A">
        <w:t xml:space="preserve">; </w:t>
      </w:r>
      <w:r w:rsidRPr="000E5B3A">
        <w:rPr>
          <w:rFonts w:eastAsia="Calibri"/>
        </w:rPr>
        <w:t xml:space="preserve">N = total participants in group; </w:t>
      </w:r>
      <w:r w:rsidRPr="000E5B3A">
        <w:t>RR = relative risk; RD = risk difference; TEAE = treatment-emergent adverse event</w:t>
      </w:r>
    </w:p>
    <w:p w14:paraId="571858B9" w14:textId="11F39650" w:rsidR="00D4144B" w:rsidRPr="000E5B3A" w:rsidRDefault="00D4144B" w:rsidP="00D4144B">
      <w:pPr>
        <w:pStyle w:val="TableFooter"/>
      </w:pPr>
      <w:r w:rsidRPr="000E5B3A">
        <w:t>Note:</w:t>
      </w:r>
      <w:r w:rsidR="00D90D2A" w:rsidRPr="000E5B3A">
        <w:t xml:space="preserve"> </w:t>
      </w:r>
      <w:r w:rsidRPr="000E5B3A">
        <w:rPr>
          <w:b/>
          <w:bCs/>
        </w:rPr>
        <w:t>Bold</w:t>
      </w:r>
      <w:r w:rsidRPr="000E5B3A">
        <w:t xml:space="preserve"> values indicate results where the 95% CI did not include the null.</w:t>
      </w:r>
    </w:p>
    <w:p w14:paraId="6DD821F1" w14:textId="6B5B7250" w:rsidR="00E203D7" w:rsidRPr="000E5B3A" w:rsidRDefault="00E203D7" w:rsidP="00E203D7">
      <w:pPr>
        <w:pStyle w:val="3-BodyText"/>
      </w:pPr>
      <w:r w:rsidRPr="000E5B3A">
        <w:t xml:space="preserve">Overall, </w:t>
      </w:r>
      <w:r w:rsidR="00E2401D" w:rsidRPr="000E5B3A">
        <w:t xml:space="preserve">the submission considered that </w:t>
      </w:r>
      <w:r w:rsidR="002B79E2" w:rsidRPr="000E5B3A">
        <w:t xml:space="preserve">safety results from POD1UM-303 supports the claim that retifanlimab + CP was inferior in safety to placebo + CP (or CP alone). </w:t>
      </w:r>
    </w:p>
    <w:p w14:paraId="04908C7F" w14:textId="415B9B7D" w:rsidR="007F1017" w:rsidRPr="000E5B3A" w:rsidRDefault="007F1017" w:rsidP="00D86231">
      <w:pPr>
        <w:pStyle w:val="4-SubsectionHeading"/>
      </w:pPr>
      <w:bookmarkStart w:id="44" w:name="_Toc22897643"/>
      <w:bookmarkStart w:id="45" w:name="_Toc208995341"/>
      <w:r w:rsidRPr="000E5B3A">
        <w:t>Benefits/harms</w:t>
      </w:r>
      <w:bookmarkEnd w:id="44"/>
      <w:bookmarkEnd w:id="45"/>
    </w:p>
    <w:p w14:paraId="1CB772FF" w14:textId="15F0425F" w:rsidR="00E723BA" w:rsidRPr="000E5B3A" w:rsidRDefault="00EC00C9" w:rsidP="00A51CB6">
      <w:pPr>
        <w:pStyle w:val="3-BodyText"/>
        <w:rPr>
          <w:rStyle w:val="CommentReference"/>
          <w:rFonts w:asciiTheme="minorHAnsi" w:hAnsiTheme="minorHAnsi"/>
          <w:b w:val="0"/>
          <w:sz w:val="24"/>
          <w:szCs w:val="22"/>
        </w:rPr>
      </w:pPr>
      <w:r w:rsidRPr="000E5B3A">
        <w:t xml:space="preserve">A summary of the comparative benefits and harms for </w:t>
      </w:r>
      <w:r w:rsidR="00A51CB6" w:rsidRPr="000E5B3A">
        <w:t>retifanlimab + CP</w:t>
      </w:r>
      <w:r w:rsidRPr="000E5B3A">
        <w:t xml:space="preserve"> versus</w:t>
      </w:r>
      <w:r w:rsidR="00A51CB6" w:rsidRPr="000E5B3A">
        <w:t xml:space="preserve"> placebo + CP</w:t>
      </w:r>
      <w:r w:rsidRPr="000E5B3A">
        <w:t xml:space="preserve"> is presented in</w:t>
      </w:r>
      <w:r w:rsidR="00E16AD8" w:rsidRPr="000E5B3A">
        <w:t xml:space="preserve"> </w:t>
      </w:r>
      <w:r w:rsidR="00E16AD8" w:rsidRPr="000E5B3A">
        <w:fldChar w:fldCharType="begin"/>
      </w:r>
      <w:r w:rsidR="00E16AD8" w:rsidRPr="000E5B3A">
        <w:instrText xml:space="preserve"> REF _Ref104805037 \h </w:instrText>
      </w:r>
      <w:r w:rsidR="00E16AD8" w:rsidRPr="000E5B3A">
        <w:fldChar w:fldCharType="separate"/>
      </w:r>
      <w:r w:rsidR="00DB6E72" w:rsidRPr="000E5B3A">
        <w:t xml:space="preserve">Table </w:t>
      </w:r>
      <w:r w:rsidR="00DB6E72">
        <w:rPr>
          <w:noProof/>
        </w:rPr>
        <w:t>8</w:t>
      </w:r>
      <w:r w:rsidR="00E16AD8" w:rsidRPr="000E5B3A">
        <w:fldChar w:fldCharType="end"/>
      </w:r>
      <w:r w:rsidRPr="000E5B3A">
        <w:t>.</w:t>
      </w:r>
    </w:p>
    <w:p w14:paraId="04AC1B54" w14:textId="6F300A74" w:rsidR="00B62715" w:rsidRPr="000E5B3A" w:rsidRDefault="00D6076E" w:rsidP="003C435D">
      <w:pPr>
        <w:pStyle w:val="Caption"/>
        <w:rPr>
          <w:rStyle w:val="CommentReference"/>
          <w:b/>
          <w:szCs w:val="24"/>
        </w:rPr>
      </w:pPr>
      <w:bookmarkStart w:id="46" w:name="_Ref104805037"/>
      <w:r w:rsidRPr="000E5B3A">
        <w:lastRenderedPageBreak/>
        <w:t xml:space="preserve">Table </w:t>
      </w:r>
      <w:fldSimple w:instr=" SEQ Table \* ARABIC ">
        <w:r w:rsidR="00DB6E72">
          <w:rPr>
            <w:noProof/>
          </w:rPr>
          <w:t>8</w:t>
        </w:r>
      </w:fldSimple>
      <w:bookmarkEnd w:id="46"/>
      <w:r w:rsidRPr="000E5B3A">
        <w:t xml:space="preserve">: </w:t>
      </w:r>
      <w:r w:rsidR="00B62715" w:rsidRPr="000E5B3A">
        <w:rPr>
          <w:rStyle w:val="CommentReference"/>
          <w:b/>
          <w:szCs w:val="24"/>
        </w:rPr>
        <w:t xml:space="preserve">Summary of comparative benefits and harms for </w:t>
      </w:r>
      <w:r w:rsidR="00A51CB6" w:rsidRPr="000E5B3A">
        <w:rPr>
          <w:rStyle w:val="CommentReference"/>
          <w:b/>
          <w:szCs w:val="24"/>
        </w:rPr>
        <w:t>retifanlimab + CP</w:t>
      </w:r>
      <w:r w:rsidR="00B62715" w:rsidRPr="000E5B3A">
        <w:rPr>
          <w:rStyle w:val="CommentReference"/>
          <w:b/>
          <w:szCs w:val="24"/>
        </w:rPr>
        <w:t xml:space="preserve"> and </w:t>
      </w:r>
      <w:r w:rsidR="00A51CB6" w:rsidRPr="000E5B3A">
        <w:rPr>
          <w:rStyle w:val="CommentReference"/>
          <w:b/>
          <w:szCs w:val="24"/>
        </w:rPr>
        <w:t>placebo + CP</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retifanlimab + CP and placebo + CP"/>
      </w:tblPr>
      <w:tblGrid>
        <w:gridCol w:w="9016"/>
      </w:tblGrid>
      <w:tr w:rsidR="00A51CB6" w:rsidRPr="000E5B3A" w14:paraId="38AEF059" w14:textId="77777777" w:rsidTr="00B51CDD">
        <w:trPr>
          <w:cantSplit/>
        </w:trPr>
        <w:tc>
          <w:tcPr>
            <w:tcW w:w="5000" w:type="pct"/>
            <w:tcBorders>
              <w:top w:val="single" w:sz="4" w:space="0" w:color="auto"/>
              <w:left w:val="single" w:sz="4" w:space="0" w:color="auto"/>
              <w:bottom w:val="single" w:sz="4" w:space="0" w:color="auto"/>
              <w:right w:val="single" w:sz="4" w:space="0" w:color="auto"/>
            </w:tcBorders>
            <w:vAlign w:val="center"/>
          </w:tcPr>
          <w:p w14:paraId="76FF3C08" w14:textId="6212DB46" w:rsidR="00A51CB6" w:rsidRPr="000E5B3A" w:rsidRDefault="00A51CB6" w:rsidP="003C435D">
            <w:pPr>
              <w:pStyle w:val="In-tableHeading"/>
              <w:rPr>
                <w:lang w:val="en-AU"/>
              </w:rPr>
            </w:pPr>
            <w:r w:rsidRPr="000E5B3A">
              <w:rPr>
                <w:lang w:val="en-AU"/>
              </w:rPr>
              <w:t>Benefits</w:t>
            </w:r>
          </w:p>
        </w:tc>
      </w:tr>
    </w:tbl>
    <w:tbl>
      <w:tblPr>
        <w:tblStyle w:val="TableGrid"/>
        <w:tblW w:w="5000" w:type="pct"/>
        <w:tblLayout w:type="fixed"/>
        <w:tblCellMar>
          <w:left w:w="28" w:type="dxa"/>
          <w:right w:w="28" w:type="dxa"/>
        </w:tblCellMar>
        <w:tblLook w:val="04A0" w:firstRow="1" w:lastRow="0" w:firstColumn="1" w:lastColumn="0" w:noHBand="0" w:noVBand="1"/>
        <w:tblCaption w:val="Table 8: Summary of comparative benefits and harms for retifanlimab + CP and placebo + CP"/>
      </w:tblPr>
      <w:tblGrid>
        <w:gridCol w:w="3256"/>
        <w:gridCol w:w="1843"/>
        <w:gridCol w:w="1558"/>
        <w:gridCol w:w="2359"/>
      </w:tblGrid>
      <w:tr w:rsidR="00A51CB6" w:rsidRPr="000E5B3A" w14:paraId="0F4CC924" w14:textId="77777777" w:rsidTr="00B51CDD">
        <w:trPr>
          <w:trHeight w:val="20"/>
        </w:trPr>
        <w:tc>
          <w:tcPr>
            <w:tcW w:w="5000" w:type="pct"/>
            <w:gridSpan w:val="4"/>
            <w:tcBorders>
              <w:top w:val="single" w:sz="4" w:space="0" w:color="auto"/>
            </w:tcBorders>
          </w:tcPr>
          <w:p w14:paraId="2A476079" w14:textId="79ABF246" w:rsidR="00A51CB6" w:rsidRPr="000E5B3A" w:rsidRDefault="00A51CB6" w:rsidP="00641140">
            <w:pPr>
              <w:pStyle w:val="In-tableHeading"/>
              <w:widowControl w:val="0"/>
              <w:jc w:val="both"/>
              <w:rPr>
                <w:lang w:val="en-AU"/>
              </w:rPr>
            </w:pPr>
            <w:r w:rsidRPr="000E5B3A">
              <w:rPr>
                <w:lang w:val="en-AU"/>
              </w:rPr>
              <w:t>Progression</w:t>
            </w:r>
            <w:r w:rsidR="00CC27AC" w:rsidRPr="000E5B3A">
              <w:rPr>
                <w:lang w:val="en-AU"/>
              </w:rPr>
              <w:t>-</w:t>
            </w:r>
            <w:r w:rsidRPr="000E5B3A">
              <w:rPr>
                <w:lang w:val="en-AU"/>
              </w:rPr>
              <w:t>free survival (median duration of follow up 7.57</w:t>
            </w:r>
            <w:r w:rsidR="00945B4A" w:rsidRPr="000E5B3A">
              <w:rPr>
                <w:lang w:val="en-AU"/>
              </w:rPr>
              <w:t>/7.13</w:t>
            </w:r>
            <w:r w:rsidRPr="000E5B3A">
              <w:rPr>
                <w:lang w:val="en-AU"/>
              </w:rPr>
              <w:t xml:space="preserve"> months</w:t>
            </w:r>
            <w:r w:rsidRPr="000E5B3A">
              <w:rPr>
                <w:vertAlign w:val="superscript"/>
                <w:lang w:val="en-AU"/>
              </w:rPr>
              <w:t>a</w:t>
            </w:r>
          </w:p>
        </w:tc>
      </w:tr>
      <w:tr w:rsidR="00A51CB6" w:rsidRPr="000E5B3A" w14:paraId="3E1E2D29" w14:textId="77777777" w:rsidTr="00641140">
        <w:trPr>
          <w:trHeight w:val="20"/>
        </w:trPr>
        <w:tc>
          <w:tcPr>
            <w:tcW w:w="1806" w:type="pct"/>
            <w:tcBorders>
              <w:bottom w:val="single" w:sz="4" w:space="0" w:color="auto"/>
            </w:tcBorders>
          </w:tcPr>
          <w:p w14:paraId="0FCD32FD" w14:textId="77777777" w:rsidR="00A51CB6" w:rsidRPr="000E5B3A" w:rsidRDefault="00A51CB6" w:rsidP="003C435D">
            <w:pPr>
              <w:pStyle w:val="In-tableHeading"/>
              <w:widowControl w:val="0"/>
              <w:rPr>
                <w:lang w:val="en-AU"/>
              </w:rPr>
            </w:pPr>
            <w:r w:rsidRPr="000E5B3A">
              <w:rPr>
                <w:lang w:val="en-AU"/>
              </w:rPr>
              <w:t>Event</w:t>
            </w:r>
          </w:p>
        </w:tc>
        <w:tc>
          <w:tcPr>
            <w:tcW w:w="1022" w:type="pct"/>
            <w:tcBorders>
              <w:bottom w:val="single" w:sz="4" w:space="0" w:color="auto"/>
            </w:tcBorders>
          </w:tcPr>
          <w:p w14:paraId="4E29BD45" w14:textId="77777777" w:rsidR="00A51CB6" w:rsidRPr="000E5B3A" w:rsidRDefault="00A51CB6" w:rsidP="003C435D">
            <w:pPr>
              <w:pStyle w:val="In-tableHeading"/>
              <w:widowControl w:val="0"/>
              <w:rPr>
                <w:lang w:val="en-AU"/>
              </w:rPr>
            </w:pPr>
            <w:r w:rsidRPr="000E5B3A">
              <w:rPr>
                <w:lang w:val="en-AU"/>
              </w:rPr>
              <w:t>retifanlimab + CP</w:t>
            </w:r>
          </w:p>
        </w:tc>
        <w:tc>
          <w:tcPr>
            <w:tcW w:w="864" w:type="pct"/>
            <w:tcBorders>
              <w:bottom w:val="single" w:sz="4" w:space="0" w:color="auto"/>
            </w:tcBorders>
          </w:tcPr>
          <w:p w14:paraId="324EE419" w14:textId="77777777" w:rsidR="00A51CB6" w:rsidRPr="000E5B3A" w:rsidRDefault="00A51CB6" w:rsidP="003C435D">
            <w:pPr>
              <w:pStyle w:val="In-tableHeading"/>
              <w:widowControl w:val="0"/>
              <w:rPr>
                <w:lang w:val="en-AU"/>
              </w:rPr>
            </w:pPr>
            <w:r w:rsidRPr="000E5B3A">
              <w:rPr>
                <w:lang w:val="en-AU"/>
              </w:rPr>
              <w:t>placebo + CP</w:t>
            </w:r>
          </w:p>
        </w:tc>
        <w:tc>
          <w:tcPr>
            <w:tcW w:w="1308" w:type="pct"/>
            <w:tcBorders>
              <w:bottom w:val="single" w:sz="4" w:space="0" w:color="auto"/>
            </w:tcBorders>
          </w:tcPr>
          <w:p w14:paraId="1791595E" w14:textId="77777777" w:rsidR="00A51CB6" w:rsidRPr="000E5B3A" w:rsidRDefault="00A51CB6" w:rsidP="003C435D">
            <w:pPr>
              <w:pStyle w:val="In-tableHeading"/>
              <w:widowControl w:val="0"/>
              <w:rPr>
                <w:lang w:val="en-AU"/>
              </w:rPr>
            </w:pPr>
            <w:r w:rsidRPr="000E5B3A">
              <w:rPr>
                <w:lang w:val="en-AU"/>
              </w:rPr>
              <w:t>HR (95% CI)</w:t>
            </w:r>
          </w:p>
        </w:tc>
      </w:tr>
      <w:tr w:rsidR="008C38CF" w:rsidRPr="000E5B3A" w14:paraId="4BFA82FB" w14:textId="77777777" w:rsidTr="00641140">
        <w:trPr>
          <w:trHeight w:val="20"/>
        </w:trPr>
        <w:tc>
          <w:tcPr>
            <w:tcW w:w="1806" w:type="pct"/>
            <w:tcBorders>
              <w:bottom w:val="single" w:sz="4" w:space="0" w:color="auto"/>
              <w:right w:val="single" w:sz="4" w:space="0" w:color="auto"/>
            </w:tcBorders>
          </w:tcPr>
          <w:p w14:paraId="26B758B6" w14:textId="77777777" w:rsidR="008C38CF" w:rsidRPr="000E5B3A" w:rsidRDefault="008C38CF" w:rsidP="003C435D">
            <w:pPr>
              <w:pStyle w:val="TableText0"/>
              <w:widowControl w:val="0"/>
            </w:pPr>
            <w:r w:rsidRPr="000E5B3A">
              <w:t>Progressed, n (%)</w:t>
            </w:r>
          </w:p>
        </w:tc>
        <w:tc>
          <w:tcPr>
            <w:tcW w:w="1022" w:type="pct"/>
            <w:tcBorders>
              <w:left w:val="single" w:sz="4" w:space="0" w:color="auto"/>
              <w:bottom w:val="single" w:sz="4" w:space="0" w:color="auto"/>
              <w:right w:val="single" w:sz="4" w:space="0" w:color="auto"/>
            </w:tcBorders>
          </w:tcPr>
          <w:p w14:paraId="62D2F749" w14:textId="77777777" w:rsidR="008C38CF" w:rsidRPr="000E5B3A" w:rsidRDefault="008C38CF" w:rsidP="003C435D">
            <w:pPr>
              <w:pStyle w:val="TableText0"/>
              <w:widowControl w:val="0"/>
              <w:jc w:val="center"/>
            </w:pPr>
            <w:r w:rsidRPr="000E5B3A">
              <w:t>92/154 (59.7)</w:t>
            </w:r>
          </w:p>
        </w:tc>
        <w:tc>
          <w:tcPr>
            <w:tcW w:w="864" w:type="pct"/>
            <w:tcBorders>
              <w:left w:val="single" w:sz="4" w:space="0" w:color="auto"/>
              <w:bottom w:val="single" w:sz="4" w:space="0" w:color="auto"/>
              <w:right w:val="single" w:sz="4" w:space="0" w:color="auto"/>
            </w:tcBorders>
          </w:tcPr>
          <w:p w14:paraId="52659C10" w14:textId="77777777" w:rsidR="008C38CF" w:rsidRPr="000E5B3A" w:rsidRDefault="008C38CF" w:rsidP="003C435D">
            <w:pPr>
              <w:pStyle w:val="TableText0"/>
              <w:widowControl w:val="0"/>
              <w:jc w:val="center"/>
            </w:pPr>
            <w:r w:rsidRPr="000E5B3A">
              <w:t>110/154 (71.4)</w:t>
            </w:r>
          </w:p>
        </w:tc>
        <w:tc>
          <w:tcPr>
            <w:tcW w:w="1308" w:type="pct"/>
            <w:vMerge w:val="restart"/>
            <w:tcBorders>
              <w:left w:val="single" w:sz="4" w:space="0" w:color="auto"/>
            </w:tcBorders>
          </w:tcPr>
          <w:p w14:paraId="1C86D157" w14:textId="77777777" w:rsidR="008C38CF" w:rsidRPr="000E5B3A" w:rsidRDefault="008C38CF" w:rsidP="003C435D">
            <w:pPr>
              <w:pStyle w:val="TableText0"/>
              <w:widowControl w:val="0"/>
              <w:jc w:val="center"/>
            </w:pPr>
            <w:r w:rsidRPr="000E5B3A">
              <w:t xml:space="preserve">0.63 (0.47, 0.84), </w:t>
            </w:r>
          </w:p>
          <w:p w14:paraId="1F20E4E9" w14:textId="67D2C971" w:rsidR="008C38CF" w:rsidRPr="000E5B3A" w:rsidRDefault="008C38CF" w:rsidP="003C435D">
            <w:pPr>
              <w:pStyle w:val="TableText0"/>
              <w:widowControl w:val="0"/>
              <w:jc w:val="center"/>
            </w:pPr>
            <w:r w:rsidRPr="000E5B3A">
              <w:t>p=0.0006</w:t>
            </w:r>
            <w:r w:rsidRPr="000E5B3A">
              <w:rPr>
                <w:vertAlign w:val="superscript"/>
              </w:rPr>
              <w:t xml:space="preserve"> b</w:t>
            </w:r>
          </w:p>
        </w:tc>
      </w:tr>
      <w:tr w:rsidR="008C38CF" w:rsidRPr="000E5B3A" w14:paraId="31F92DA7" w14:textId="77777777" w:rsidTr="00ED08EE">
        <w:trPr>
          <w:trHeight w:val="20"/>
        </w:trPr>
        <w:tc>
          <w:tcPr>
            <w:tcW w:w="1806" w:type="pct"/>
            <w:tcBorders>
              <w:bottom w:val="single" w:sz="4" w:space="0" w:color="auto"/>
              <w:right w:val="single" w:sz="4" w:space="0" w:color="auto"/>
            </w:tcBorders>
          </w:tcPr>
          <w:p w14:paraId="647FA3D5" w14:textId="77777777" w:rsidR="008C38CF" w:rsidRPr="000E5B3A" w:rsidRDefault="008C38CF" w:rsidP="003C435D">
            <w:pPr>
              <w:pStyle w:val="TableText0"/>
              <w:widowControl w:val="0"/>
            </w:pPr>
            <w:r w:rsidRPr="000E5B3A">
              <w:t>Median PFS, months (95% CI)</w:t>
            </w:r>
          </w:p>
        </w:tc>
        <w:tc>
          <w:tcPr>
            <w:tcW w:w="1022" w:type="pct"/>
            <w:tcBorders>
              <w:left w:val="single" w:sz="4" w:space="0" w:color="auto"/>
              <w:bottom w:val="single" w:sz="4" w:space="0" w:color="auto"/>
              <w:right w:val="single" w:sz="4" w:space="0" w:color="auto"/>
            </w:tcBorders>
          </w:tcPr>
          <w:p w14:paraId="0FBD1B9E" w14:textId="77777777" w:rsidR="008C38CF" w:rsidRPr="000E5B3A" w:rsidRDefault="008C38CF" w:rsidP="003C435D">
            <w:pPr>
              <w:pStyle w:val="TableText0"/>
              <w:widowControl w:val="0"/>
              <w:jc w:val="center"/>
            </w:pPr>
            <w:r w:rsidRPr="000E5B3A">
              <w:t>9.3 (7.5, 11.3)</w:t>
            </w:r>
          </w:p>
        </w:tc>
        <w:tc>
          <w:tcPr>
            <w:tcW w:w="864" w:type="pct"/>
            <w:tcBorders>
              <w:left w:val="single" w:sz="4" w:space="0" w:color="auto"/>
              <w:bottom w:val="single" w:sz="4" w:space="0" w:color="auto"/>
              <w:right w:val="single" w:sz="4" w:space="0" w:color="auto"/>
            </w:tcBorders>
          </w:tcPr>
          <w:p w14:paraId="64D92BD3" w14:textId="77777777" w:rsidR="008C38CF" w:rsidRPr="000E5B3A" w:rsidRDefault="008C38CF" w:rsidP="003C435D">
            <w:pPr>
              <w:pStyle w:val="TableText0"/>
              <w:widowControl w:val="0"/>
              <w:jc w:val="center"/>
            </w:pPr>
            <w:r w:rsidRPr="000E5B3A">
              <w:t>7.4 (7.1, 7.7)</w:t>
            </w:r>
          </w:p>
        </w:tc>
        <w:tc>
          <w:tcPr>
            <w:tcW w:w="1308" w:type="pct"/>
            <w:vMerge/>
            <w:tcBorders>
              <w:left w:val="single" w:sz="4" w:space="0" w:color="auto"/>
            </w:tcBorders>
          </w:tcPr>
          <w:p w14:paraId="7A733D07" w14:textId="77777777" w:rsidR="008C38CF" w:rsidRPr="000E5B3A" w:rsidRDefault="008C38CF" w:rsidP="003C435D">
            <w:pPr>
              <w:pStyle w:val="TableText0"/>
              <w:widowControl w:val="0"/>
              <w:jc w:val="center"/>
            </w:pPr>
          </w:p>
        </w:tc>
      </w:tr>
      <w:tr w:rsidR="008C38CF" w:rsidRPr="000E5B3A" w14:paraId="6B0A368B" w14:textId="77777777" w:rsidTr="00641140">
        <w:trPr>
          <w:trHeight w:val="20"/>
        </w:trPr>
        <w:tc>
          <w:tcPr>
            <w:tcW w:w="1806" w:type="pct"/>
            <w:tcBorders>
              <w:bottom w:val="single" w:sz="4" w:space="0" w:color="auto"/>
              <w:right w:val="single" w:sz="4" w:space="0" w:color="auto"/>
            </w:tcBorders>
          </w:tcPr>
          <w:p w14:paraId="34DC5D55" w14:textId="2D8854A2" w:rsidR="008C38CF" w:rsidRPr="000E5B3A" w:rsidRDefault="003114CF" w:rsidP="008C38CF">
            <w:pPr>
              <w:pStyle w:val="TableText0"/>
              <w:widowControl w:val="0"/>
            </w:pPr>
            <w:r w:rsidRPr="000E5B3A">
              <w:t>% not progressed at 12 months</w:t>
            </w:r>
            <w:r w:rsidR="008C38CF" w:rsidRPr="000E5B3A">
              <w:t xml:space="preserve"> (95% CI)</w:t>
            </w:r>
          </w:p>
        </w:tc>
        <w:tc>
          <w:tcPr>
            <w:tcW w:w="1022" w:type="pct"/>
            <w:tcBorders>
              <w:left w:val="single" w:sz="4" w:space="0" w:color="auto"/>
              <w:bottom w:val="single" w:sz="4" w:space="0" w:color="auto"/>
              <w:right w:val="single" w:sz="4" w:space="0" w:color="auto"/>
            </w:tcBorders>
          </w:tcPr>
          <w:p w14:paraId="04F55E60" w14:textId="43119815" w:rsidR="008C38CF" w:rsidRPr="000E5B3A" w:rsidRDefault="008C38CF" w:rsidP="008C38CF">
            <w:pPr>
              <w:pStyle w:val="TableText0"/>
              <w:widowControl w:val="0"/>
              <w:jc w:val="center"/>
            </w:pPr>
            <w:r w:rsidRPr="000E5B3A">
              <w:t>41.2 (32.7, 49.6)</w:t>
            </w:r>
          </w:p>
        </w:tc>
        <w:tc>
          <w:tcPr>
            <w:tcW w:w="864" w:type="pct"/>
            <w:tcBorders>
              <w:left w:val="single" w:sz="4" w:space="0" w:color="auto"/>
              <w:bottom w:val="single" w:sz="4" w:space="0" w:color="auto"/>
              <w:right w:val="single" w:sz="4" w:space="0" w:color="auto"/>
            </w:tcBorders>
          </w:tcPr>
          <w:p w14:paraId="543229D8" w14:textId="15042470" w:rsidR="008C38CF" w:rsidRPr="000E5B3A" w:rsidRDefault="008C38CF" w:rsidP="008C38CF">
            <w:pPr>
              <w:pStyle w:val="TableText0"/>
              <w:widowControl w:val="0"/>
              <w:jc w:val="center"/>
            </w:pPr>
            <w:r w:rsidRPr="000E5B3A">
              <w:t>21.9 (14.9, 29.7)</w:t>
            </w:r>
          </w:p>
        </w:tc>
        <w:tc>
          <w:tcPr>
            <w:tcW w:w="1308" w:type="pct"/>
            <w:vMerge/>
            <w:tcBorders>
              <w:left w:val="single" w:sz="4" w:space="0" w:color="auto"/>
              <w:bottom w:val="single" w:sz="4" w:space="0" w:color="auto"/>
            </w:tcBorders>
          </w:tcPr>
          <w:p w14:paraId="237C1A50" w14:textId="77777777" w:rsidR="008C38CF" w:rsidRPr="000E5B3A" w:rsidRDefault="008C38CF" w:rsidP="008C38CF">
            <w:pPr>
              <w:pStyle w:val="TableText0"/>
              <w:widowControl w:val="0"/>
              <w:jc w:val="center"/>
            </w:pPr>
          </w:p>
        </w:tc>
      </w:tr>
    </w:tbl>
    <w:tbl>
      <w:tblPr>
        <w:tblW w:w="5000" w:type="pct"/>
        <w:tblLayout w:type="fixed"/>
        <w:tblCellMar>
          <w:left w:w="28" w:type="dxa"/>
          <w:right w:w="28" w:type="dxa"/>
        </w:tblCellMar>
        <w:tblLook w:val="04A0" w:firstRow="1" w:lastRow="0" w:firstColumn="1" w:lastColumn="0" w:noHBand="0" w:noVBand="1"/>
        <w:tblCaption w:val="Table 8: Summary of comparative benefits and harms for retifanlimab + CP and placebo + CP"/>
      </w:tblPr>
      <w:tblGrid>
        <w:gridCol w:w="1415"/>
        <w:gridCol w:w="1416"/>
        <w:gridCol w:w="1560"/>
        <w:gridCol w:w="1700"/>
        <w:gridCol w:w="1535"/>
        <w:gridCol w:w="1390"/>
      </w:tblGrid>
      <w:tr w:rsidR="00A51CB6" w:rsidRPr="000E5B3A" w14:paraId="2766EFD7" w14:textId="77777777" w:rsidTr="00B51CDD">
        <w:tc>
          <w:tcPr>
            <w:tcW w:w="5000" w:type="pct"/>
            <w:gridSpan w:val="6"/>
            <w:tcBorders>
              <w:top w:val="single" w:sz="4" w:space="0" w:color="auto"/>
              <w:left w:val="single" w:sz="4" w:space="0" w:color="auto"/>
              <w:bottom w:val="single" w:sz="4" w:space="0" w:color="auto"/>
              <w:right w:val="single" w:sz="4" w:space="0" w:color="auto"/>
            </w:tcBorders>
            <w:vAlign w:val="center"/>
          </w:tcPr>
          <w:p w14:paraId="7B4F2C64" w14:textId="77777777" w:rsidR="00A51CB6" w:rsidRPr="000E5B3A" w:rsidRDefault="00A51CB6" w:rsidP="003C435D">
            <w:pPr>
              <w:pStyle w:val="In-tableHeading"/>
              <w:widowControl w:val="0"/>
              <w:rPr>
                <w:lang w:val="en-AU"/>
              </w:rPr>
            </w:pPr>
            <w:r w:rsidRPr="000E5B3A">
              <w:rPr>
                <w:lang w:val="en-AU"/>
              </w:rPr>
              <w:t>Harms</w:t>
            </w:r>
          </w:p>
        </w:tc>
      </w:tr>
      <w:tr w:rsidR="00A51CB6" w:rsidRPr="000E5B3A" w14:paraId="37BF5E55" w14:textId="77777777">
        <w:trPr>
          <w:trHeight w:val="70"/>
        </w:trPr>
        <w:tc>
          <w:tcPr>
            <w:tcW w:w="785" w:type="pct"/>
            <w:vMerge w:val="restart"/>
            <w:tcBorders>
              <w:top w:val="single" w:sz="4" w:space="0" w:color="auto"/>
              <w:left w:val="single" w:sz="4" w:space="0" w:color="auto"/>
              <w:right w:val="single" w:sz="4" w:space="0" w:color="auto"/>
            </w:tcBorders>
          </w:tcPr>
          <w:p w14:paraId="330BDA28" w14:textId="77777777" w:rsidR="00A51CB6" w:rsidRPr="000E5B3A" w:rsidRDefault="00A51CB6" w:rsidP="003C435D">
            <w:pPr>
              <w:pStyle w:val="In-tableHeading"/>
              <w:widowControl w:val="0"/>
              <w:rPr>
                <w:lang w:val="en-AU"/>
              </w:rPr>
            </w:pPr>
            <w:r w:rsidRPr="000E5B3A">
              <w:rPr>
                <w:lang w:val="en-AU"/>
              </w:rPr>
              <w:t>retifanlimab + CP</w:t>
            </w:r>
          </w:p>
        </w:tc>
        <w:tc>
          <w:tcPr>
            <w:tcW w:w="785" w:type="pct"/>
            <w:vMerge w:val="restart"/>
            <w:tcBorders>
              <w:top w:val="single" w:sz="4" w:space="0" w:color="auto"/>
              <w:left w:val="single" w:sz="4" w:space="0" w:color="auto"/>
              <w:bottom w:val="single" w:sz="4" w:space="0" w:color="auto"/>
              <w:right w:val="single" w:sz="4" w:space="0" w:color="auto"/>
            </w:tcBorders>
          </w:tcPr>
          <w:p w14:paraId="68BCFC35" w14:textId="77777777" w:rsidR="00A51CB6" w:rsidRPr="000E5B3A" w:rsidRDefault="00A51CB6" w:rsidP="003C435D">
            <w:pPr>
              <w:pStyle w:val="In-tableHeading"/>
              <w:widowControl w:val="0"/>
              <w:rPr>
                <w:lang w:val="en-AU"/>
              </w:rPr>
            </w:pPr>
            <w:r w:rsidRPr="000E5B3A">
              <w:rPr>
                <w:lang w:val="en-AU"/>
              </w:rPr>
              <w:t>placebo + CP</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14:paraId="352468A1" w14:textId="77777777" w:rsidR="00A51CB6" w:rsidRPr="000E5B3A" w:rsidRDefault="00A51CB6" w:rsidP="003C435D">
            <w:pPr>
              <w:pStyle w:val="In-tableHeading"/>
              <w:widowControl w:val="0"/>
              <w:rPr>
                <w:lang w:val="en-AU"/>
              </w:rPr>
            </w:pPr>
            <w:r w:rsidRPr="000E5B3A">
              <w:rPr>
                <w:lang w:val="en-AU"/>
              </w:rPr>
              <w:t>RR</w:t>
            </w:r>
          </w:p>
          <w:p w14:paraId="50CEA721" w14:textId="77777777" w:rsidR="00A51CB6" w:rsidRPr="000E5B3A" w:rsidRDefault="00A51CB6" w:rsidP="003C435D">
            <w:pPr>
              <w:pStyle w:val="In-tableHeading"/>
              <w:widowControl w:val="0"/>
              <w:rPr>
                <w:lang w:val="en-AU"/>
              </w:rPr>
            </w:pPr>
            <w:r w:rsidRPr="000E5B3A">
              <w:rPr>
                <w:lang w:val="en-AU"/>
              </w:rPr>
              <w:t>(95% CI)</w:t>
            </w:r>
          </w:p>
        </w:tc>
        <w:tc>
          <w:tcPr>
            <w:tcW w:w="1794" w:type="pct"/>
            <w:gridSpan w:val="2"/>
            <w:tcBorders>
              <w:top w:val="single" w:sz="4" w:space="0" w:color="auto"/>
              <w:left w:val="single" w:sz="4" w:space="0" w:color="auto"/>
              <w:bottom w:val="single" w:sz="4" w:space="0" w:color="auto"/>
              <w:right w:val="single" w:sz="4" w:space="0" w:color="auto"/>
            </w:tcBorders>
            <w:vAlign w:val="center"/>
          </w:tcPr>
          <w:p w14:paraId="22EE7123" w14:textId="1016C3B5" w:rsidR="00A51CB6" w:rsidRPr="000E5B3A" w:rsidRDefault="00A51CB6" w:rsidP="003C435D">
            <w:pPr>
              <w:pStyle w:val="In-tableHeading"/>
              <w:widowControl w:val="0"/>
              <w:rPr>
                <w:lang w:val="en-AU"/>
              </w:rPr>
            </w:pPr>
            <w:r w:rsidRPr="000E5B3A">
              <w:rPr>
                <w:lang w:val="en-AU"/>
              </w:rPr>
              <w:t>Event rate/100 patients</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14:paraId="3076FE84" w14:textId="77777777" w:rsidR="00A51CB6" w:rsidRPr="000E5B3A" w:rsidRDefault="00A51CB6" w:rsidP="003C435D">
            <w:pPr>
              <w:pStyle w:val="In-tableHeading"/>
              <w:widowControl w:val="0"/>
              <w:rPr>
                <w:lang w:val="en-AU"/>
              </w:rPr>
            </w:pPr>
            <w:r w:rsidRPr="000E5B3A">
              <w:rPr>
                <w:lang w:val="en-AU"/>
              </w:rPr>
              <w:t>RD</w:t>
            </w:r>
          </w:p>
          <w:p w14:paraId="600EEDA3" w14:textId="77777777" w:rsidR="00A51CB6" w:rsidRPr="000E5B3A" w:rsidRDefault="00A51CB6" w:rsidP="003C435D">
            <w:pPr>
              <w:pStyle w:val="In-tableHeading"/>
              <w:widowControl w:val="0"/>
              <w:rPr>
                <w:lang w:val="en-AU"/>
              </w:rPr>
            </w:pPr>
            <w:r w:rsidRPr="000E5B3A">
              <w:rPr>
                <w:lang w:val="en-AU"/>
              </w:rPr>
              <w:t>(95% CI)</w:t>
            </w:r>
          </w:p>
        </w:tc>
      </w:tr>
      <w:tr w:rsidR="00A51CB6" w:rsidRPr="000E5B3A" w14:paraId="7371916A" w14:textId="77777777" w:rsidTr="0087730D">
        <w:trPr>
          <w:trHeight w:val="70"/>
        </w:trPr>
        <w:tc>
          <w:tcPr>
            <w:tcW w:w="785" w:type="pct"/>
            <w:vMerge/>
            <w:tcBorders>
              <w:left w:val="single" w:sz="4" w:space="0" w:color="auto"/>
              <w:bottom w:val="single" w:sz="4" w:space="0" w:color="auto"/>
              <w:right w:val="single" w:sz="4" w:space="0" w:color="auto"/>
            </w:tcBorders>
            <w:vAlign w:val="center"/>
          </w:tcPr>
          <w:p w14:paraId="4392ADBB" w14:textId="77777777" w:rsidR="00A51CB6" w:rsidRPr="000E5B3A" w:rsidRDefault="00A51CB6" w:rsidP="003C435D">
            <w:pPr>
              <w:pStyle w:val="In-tableHeading"/>
              <w:widowControl w:val="0"/>
              <w:rPr>
                <w:lang w:val="en-AU"/>
              </w:rPr>
            </w:pPr>
          </w:p>
        </w:tc>
        <w:tc>
          <w:tcPr>
            <w:tcW w:w="785" w:type="pct"/>
            <w:vMerge/>
            <w:tcBorders>
              <w:top w:val="single" w:sz="4" w:space="0" w:color="auto"/>
              <w:left w:val="single" w:sz="4" w:space="0" w:color="auto"/>
              <w:bottom w:val="single" w:sz="4" w:space="0" w:color="auto"/>
              <w:right w:val="single" w:sz="4" w:space="0" w:color="auto"/>
            </w:tcBorders>
            <w:vAlign w:val="center"/>
          </w:tcPr>
          <w:p w14:paraId="6D1FCA61" w14:textId="77777777" w:rsidR="00A51CB6" w:rsidRPr="000E5B3A" w:rsidRDefault="00A51CB6" w:rsidP="003C435D">
            <w:pPr>
              <w:pStyle w:val="In-tableHeading"/>
              <w:widowControl w:val="0"/>
              <w:rPr>
                <w:lang w:val="en-AU"/>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77A3D735" w14:textId="77777777" w:rsidR="00A51CB6" w:rsidRPr="000E5B3A" w:rsidRDefault="00A51CB6" w:rsidP="003C435D">
            <w:pPr>
              <w:pStyle w:val="In-tableHeading"/>
              <w:widowControl w:val="0"/>
              <w:rPr>
                <w:lang w:val="en-AU"/>
              </w:rPr>
            </w:pPr>
          </w:p>
        </w:tc>
        <w:tc>
          <w:tcPr>
            <w:tcW w:w="943" w:type="pct"/>
            <w:tcBorders>
              <w:top w:val="single" w:sz="4" w:space="0" w:color="auto"/>
              <w:left w:val="single" w:sz="4" w:space="0" w:color="auto"/>
              <w:bottom w:val="single" w:sz="4" w:space="0" w:color="auto"/>
              <w:right w:val="single" w:sz="4" w:space="0" w:color="auto"/>
            </w:tcBorders>
          </w:tcPr>
          <w:p w14:paraId="638402B7" w14:textId="77777777" w:rsidR="00A51CB6" w:rsidRPr="000E5B3A" w:rsidRDefault="00A51CB6" w:rsidP="003C435D">
            <w:pPr>
              <w:pStyle w:val="In-tableHeading"/>
              <w:widowControl w:val="0"/>
              <w:rPr>
                <w:lang w:val="en-AU"/>
              </w:rPr>
            </w:pPr>
            <w:r w:rsidRPr="000E5B3A">
              <w:rPr>
                <w:lang w:val="en-AU"/>
              </w:rPr>
              <w:t>retifanlimab + CP</w:t>
            </w:r>
          </w:p>
        </w:tc>
        <w:tc>
          <w:tcPr>
            <w:tcW w:w="851" w:type="pct"/>
            <w:tcBorders>
              <w:top w:val="single" w:sz="4" w:space="0" w:color="auto"/>
              <w:left w:val="single" w:sz="4" w:space="0" w:color="auto"/>
              <w:bottom w:val="single" w:sz="4" w:space="0" w:color="auto"/>
              <w:right w:val="single" w:sz="4" w:space="0" w:color="auto"/>
            </w:tcBorders>
          </w:tcPr>
          <w:p w14:paraId="5A690710" w14:textId="77777777" w:rsidR="00A51CB6" w:rsidRPr="000E5B3A" w:rsidRDefault="00A51CB6" w:rsidP="003C435D">
            <w:pPr>
              <w:pStyle w:val="In-tableHeading"/>
              <w:widowControl w:val="0"/>
              <w:rPr>
                <w:lang w:val="en-AU"/>
              </w:rPr>
            </w:pPr>
            <w:r w:rsidRPr="000E5B3A">
              <w:rPr>
                <w:lang w:val="en-AU"/>
              </w:rPr>
              <w:t>placebo + CP</w:t>
            </w:r>
          </w:p>
        </w:tc>
        <w:tc>
          <w:tcPr>
            <w:tcW w:w="771" w:type="pct"/>
            <w:vMerge/>
            <w:tcBorders>
              <w:top w:val="single" w:sz="4" w:space="0" w:color="auto"/>
              <w:left w:val="single" w:sz="4" w:space="0" w:color="auto"/>
              <w:bottom w:val="single" w:sz="4" w:space="0" w:color="auto"/>
              <w:right w:val="single" w:sz="4" w:space="0" w:color="auto"/>
            </w:tcBorders>
            <w:vAlign w:val="center"/>
          </w:tcPr>
          <w:p w14:paraId="0A40CFD3" w14:textId="77777777" w:rsidR="00A51CB6" w:rsidRPr="000E5B3A" w:rsidRDefault="00A51CB6" w:rsidP="003C435D">
            <w:pPr>
              <w:pStyle w:val="In-tableHeading"/>
              <w:widowControl w:val="0"/>
              <w:rPr>
                <w:lang w:val="en-AU"/>
              </w:rPr>
            </w:pPr>
          </w:p>
        </w:tc>
      </w:tr>
      <w:tr w:rsidR="00A51CB6" w:rsidRPr="000E5B3A" w14:paraId="66FA4700"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66E47F73" w14:textId="77777777" w:rsidR="00A51CB6" w:rsidRPr="000E5B3A" w:rsidRDefault="00A51CB6" w:rsidP="003C435D">
            <w:pPr>
              <w:pStyle w:val="TableText0"/>
              <w:widowControl w:val="0"/>
            </w:pPr>
            <w:r w:rsidRPr="000E5B3A">
              <w:t>Any retifanlimab/placebo-related TEAE</w:t>
            </w:r>
          </w:p>
        </w:tc>
      </w:tr>
      <w:tr w:rsidR="00A51CB6" w:rsidRPr="000E5B3A" w14:paraId="6CB1459A" w14:textId="77777777">
        <w:tc>
          <w:tcPr>
            <w:tcW w:w="785" w:type="pct"/>
            <w:tcBorders>
              <w:top w:val="single" w:sz="4" w:space="0" w:color="auto"/>
              <w:left w:val="single" w:sz="4" w:space="0" w:color="auto"/>
              <w:bottom w:val="single" w:sz="4" w:space="0" w:color="auto"/>
              <w:right w:val="single" w:sz="4" w:space="0" w:color="auto"/>
            </w:tcBorders>
            <w:vAlign w:val="center"/>
          </w:tcPr>
          <w:p w14:paraId="2A82BE3E" w14:textId="77777777" w:rsidR="00A51CB6" w:rsidRPr="000E5B3A" w:rsidRDefault="00A51CB6" w:rsidP="003C435D">
            <w:pPr>
              <w:pStyle w:val="TableText0"/>
              <w:widowControl w:val="0"/>
              <w:jc w:val="center"/>
            </w:pPr>
            <w:r w:rsidRPr="000E5B3A">
              <w:t>138/154</w:t>
            </w:r>
          </w:p>
        </w:tc>
        <w:tc>
          <w:tcPr>
            <w:tcW w:w="785" w:type="pct"/>
            <w:tcBorders>
              <w:top w:val="single" w:sz="4" w:space="0" w:color="auto"/>
              <w:left w:val="single" w:sz="4" w:space="0" w:color="auto"/>
              <w:bottom w:val="single" w:sz="4" w:space="0" w:color="auto"/>
              <w:right w:val="single" w:sz="4" w:space="0" w:color="auto"/>
            </w:tcBorders>
            <w:vAlign w:val="center"/>
          </w:tcPr>
          <w:p w14:paraId="74C911EF" w14:textId="77777777" w:rsidR="00A51CB6" w:rsidRPr="000E5B3A" w:rsidRDefault="00A51CB6" w:rsidP="003C435D">
            <w:pPr>
              <w:pStyle w:val="TableText0"/>
              <w:widowControl w:val="0"/>
              <w:jc w:val="center"/>
            </w:pPr>
            <w:r w:rsidRPr="000E5B3A">
              <w:t>118/154</w:t>
            </w:r>
          </w:p>
        </w:tc>
        <w:tc>
          <w:tcPr>
            <w:tcW w:w="865" w:type="pct"/>
            <w:tcBorders>
              <w:top w:val="single" w:sz="4" w:space="0" w:color="auto"/>
              <w:left w:val="single" w:sz="4" w:space="0" w:color="auto"/>
              <w:bottom w:val="single" w:sz="4" w:space="0" w:color="auto"/>
              <w:right w:val="single" w:sz="4" w:space="0" w:color="auto"/>
            </w:tcBorders>
            <w:vAlign w:val="center"/>
          </w:tcPr>
          <w:p w14:paraId="60C1ED9E" w14:textId="77777777" w:rsidR="00A51CB6" w:rsidRPr="000E5B3A" w:rsidRDefault="00A51CB6" w:rsidP="003C435D">
            <w:pPr>
              <w:pStyle w:val="TableText0"/>
              <w:widowControl w:val="0"/>
              <w:jc w:val="center"/>
            </w:pPr>
            <w:r w:rsidRPr="000E5B3A">
              <w:t>1.15 (1.04, 1.28)</w:t>
            </w:r>
          </w:p>
        </w:tc>
        <w:tc>
          <w:tcPr>
            <w:tcW w:w="943" w:type="pct"/>
            <w:tcBorders>
              <w:top w:val="single" w:sz="4" w:space="0" w:color="auto"/>
              <w:left w:val="single" w:sz="4" w:space="0" w:color="auto"/>
              <w:bottom w:val="single" w:sz="4" w:space="0" w:color="auto"/>
              <w:right w:val="single" w:sz="4" w:space="0" w:color="auto"/>
            </w:tcBorders>
            <w:vAlign w:val="center"/>
          </w:tcPr>
          <w:p w14:paraId="0AC5A08A" w14:textId="77777777" w:rsidR="00A51CB6" w:rsidRPr="000E5B3A" w:rsidRDefault="00A51CB6" w:rsidP="003C435D">
            <w:pPr>
              <w:pStyle w:val="TableText0"/>
              <w:widowControl w:val="0"/>
              <w:jc w:val="center"/>
            </w:pPr>
            <w:r w:rsidRPr="000E5B3A">
              <w:t>89.6</w:t>
            </w:r>
          </w:p>
        </w:tc>
        <w:tc>
          <w:tcPr>
            <w:tcW w:w="851" w:type="pct"/>
            <w:tcBorders>
              <w:top w:val="single" w:sz="4" w:space="0" w:color="auto"/>
              <w:left w:val="single" w:sz="4" w:space="0" w:color="auto"/>
              <w:bottom w:val="single" w:sz="4" w:space="0" w:color="auto"/>
              <w:right w:val="single" w:sz="4" w:space="0" w:color="auto"/>
            </w:tcBorders>
            <w:vAlign w:val="center"/>
          </w:tcPr>
          <w:p w14:paraId="5AAC9550" w14:textId="77777777" w:rsidR="00A51CB6" w:rsidRPr="000E5B3A" w:rsidRDefault="00A51CB6" w:rsidP="003C435D">
            <w:pPr>
              <w:pStyle w:val="TableText0"/>
              <w:widowControl w:val="0"/>
              <w:jc w:val="center"/>
            </w:pPr>
            <w:r w:rsidRPr="000E5B3A">
              <w:t>77.6</w:t>
            </w:r>
          </w:p>
        </w:tc>
        <w:tc>
          <w:tcPr>
            <w:tcW w:w="771" w:type="pct"/>
            <w:tcBorders>
              <w:top w:val="single" w:sz="4" w:space="0" w:color="auto"/>
              <w:left w:val="single" w:sz="4" w:space="0" w:color="auto"/>
              <w:bottom w:val="single" w:sz="4" w:space="0" w:color="auto"/>
              <w:right w:val="single" w:sz="4" w:space="0" w:color="auto"/>
            </w:tcBorders>
            <w:vAlign w:val="center"/>
          </w:tcPr>
          <w:p w14:paraId="29E90D55" w14:textId="77777777" w:rsidR="00A51CB6" w:rsidRPr="000E5B3A" w:rsidRDefault="00A51CB6" w:rsidP="003C435D">
            <w:pPr>
              <w:pStyle w:val="TableText0"/>
              <w:widowControl w:val="0"/>
              <w:jc w:val="center"/>
            </w:pPr>
            <w:r w:rsidRPr="000E5B3A">
              <w:t>12.0 (0.01, 0.24)</w:t>
            </w:r>
          </w:p>
        </w:tc>
      </w:tr>
      <w:tr w:rsidR="00A51CB6" w:rsidRPr="000E5B3A" w14:paraId="000D252F"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67C808F9" w14:textId="77777777" w:rsidR="00A51CB6" w:rsidRPr="000E5B3A" w:rsidRDefault="00A51CB6" w:rsidP="003C435D">
            <w:pPr>
              <w:pStyle w:val="TableText0"/>
              <w:widowControl w:val="0"/>
            </w:pPr>
            <w:r w:rsidRPr="000E5B3A">
              <w:t>Serious retifanlimab/placebo-related TEAE</w:t>
            </w:r>
          </w:p>
        </w:tc>
      </w:tr>
      <w:tr w:rsidR="00A51CB6" w:rsidRPr="000E5B3A" w14:paraId="70449935" w14:textId="77777777">
        <w:tc>
          <w:tcPr>
            <w:tcW w:w="785" w:type="pct"/>
            <w:tcBorders>
              <w:top w:val="single" w:sz="4" w:space="0" w:color="auto"/>
              <w:left w:val="single" w:sz="4" w:space="0" w:color="auto"/>
              <w:bottom w:val="single" w:sz="4" w:space="0" w:color="auto"/>
              <w:right w:val="single" w:sz="4" w:space="0" w:color="auto"/>
            </w:tcBorders>
            <w:vAlign w:val="center"/>
          </w:tcPr>
          <w:p w14:paraId="13581EB2" w14:textId="77777777" w:rsidR="00A51CB6" w:rsidRPr="000E5B3A" w:rsidRDefault="00A51CB6" w:rsidP="003C435D">
            <w:pPr>
              <w:pStyle w:val="TableText0"/>
              <w:widowControl w:val="0"/>
              <w:jc w:val="center"/>
            </w:pPr>
            <w:r w:rsidRPr="000E5B3A">
              <w:t>25/154</w:t>
            </w:r>
          </w:p>
        </w:tc>
        <w:tc>
          <w:tcPr>
            <w:tcW w:w="785" w:type="pct"/>
            <w:tcBorders>
              <w:top w:val="single" w:sz="4" w:space="0" w:color="auto"/>
              <w:left w:val="single" w:sz="4" w:space="0" w:color="auto"/>
              <w:bottom w:val="single" w:sz="4" w:space="0" w:color="auto"/>
              <w:right w:val="single" w:sz="4" w:space="0" w:color="auto"/>
            </w:tcBorders>
            <w:vAlign w:val="center"/>
          </w:tcPr>
          <w:p w14:paraId="369E42FF" w14:textId="77777777" w:rsidR="00A51CB6" w:rsidRPr="000E5B3A" w:rsidRDefault="00A51CB6" w:rsidP="003C435D">
            <w:pPr>
              <w:pStyle w:val="TableText0"/>
              <w:widowControl w:val="0"/>
              <w:jc w:val="center"/>
            </w:pPr>
            <w:r w:rsidRPr="000E5B3A">
              <w:t>10/152</w:t>
            </w:r>
          </w:p>
        </w:tc>
        <w:tc>
          <w:tcPr>
            <w:tcW w:w="865" w:type="pct"/>
            <w:tcBorders>
              <w:top w:val="single" w:sz="4" w:space="0" w:color="auto"/>
              <w:left w:val="single" w:sz="4" w:space="0" w:color="auto"/>
              <w:bottom w:val="single" w:sz="4" w:space="0" w:color="auto"/>
              <w:right w:val="single" w:sz="4" w:space="0" w:color="auto"/>
            </w:tcBorders>
            <w:vAlign w:val="center"/>
          </w:tcPr>
          <w:p w14:paraId="707CF7D6" w14:textId="77777777" w:rsidR="00A51CB6" w:rsidRPr="000E5B3A" w:rsidRDefault="00A51CB6" w:rsidP="003C435D">
            <w:pPr>
              <w:pStyle w:val="TableText0"/>
              <w:widowControl w:val="0"/>
              <w:jc w:val="center"/>
            </w:pPr>
            <w:r w:rsidRPr="000E5B3A">
              <w:t>2.47 (1.23, 4.96)</w:t>
            </w:r>
          </w:p>
        </w:tc>
        <w:tc>
          <w:tcPr>
            <w:tcW w:w="943" w:type="pct"/>
            <w:tcBorders>
              <w:top w:val="single" w:sz="4" w:space="0" w:color="auto"/>
              <w:left w:val="single" w:sz="4" w:space="0" w:color="auto"/>
              <w:bottom w:val="single" w:sz="4" w:space="0" w:color="auto"/>
              <w:right w:val="single" w:sz="4" w:space="0" w:color="auto"/>
            </w:tcBorders>
            <w:vAlign w:val="center"/>
          </w:tcPr>
          <w:p w14:paraId="053CB426" w14:textId="77777777" w:rsidR="00A51CB6" w:rsidRPr="000E5B3A" w:rsidRDefault="00A51CB6" w:rsidP="003C435D">
            <w:pPr>
              <w:pStyle w:val="TableText0"/>
              <w:widowControl w:val="0"/>
              <w:jc w:val="center"/>
            </w:pPr>
            <w:r w:rsidRPr="000E5B3A">
              <w:t>16.2</w:t>
            </w:r>
          </w:p>
        </w:tc>
        <w:tc>
          <w:tcPr>
            <w:tcW w:w="851" w:type="pct"/>
            <w:tcBorders>
              <w:top w:val="single" w:sz="4" w:space="0" w:color="auto"/>
              <w:left w:val="single" w:sz="4" w:space="0" w:color="auto"/>
              <w:bottom w:val="single" w:sz="4" w:space="0" w:color="auto"/>
              <w:right w:val="single" w:sz="4" w:space="0" w:color="auto"/>
            </w:tcBorders>
            <w:vAlign w:val="center"/>
          </w:tcPr>
          <w:p w14:paraId="04D7BC66" w14:textId="77777777" w:rsidR="00A51CB6" w:rsidRPr="000E5B3A" w:rsidRDefault="00A51CB6" w:rsidP="003C435D">
            <w:pPr>
              <w:pStyle w:val="TableText0"/>
              <w:widowControl w:val="0"/>
              <w:jc w:val="center"/>
            </w:pPr>
            <w:r w:rsidRPr="000E5B3A">
              <w:t>6.6</w:t>
            </w:r>
          </w:p>
        </w:tc>
        <w:tc>
          <w:tcPr>
            <w:tcW w:w="771" w:type="pct"/>
            <w:tcBorders>
              <w:top w:val="single" w:sz="4" w:space="0" w:color="auto"/>
              <w:left w:val="single" w:sz="4" w:space="0" w:color="auto"/>
              <w:bottom w:val="single" w:sz="4" w:space="0" w:color="auto"/>
              <w:right w:val="single" w:sz="4" w:space="0" w:color="auto"/>
            </w:tcBorders>
            <w:vAlign w:val="center"/>
          </w:tcPr>
          <w:p w14:paraId="63633712" w14:textId="77777777" w:rsidR="00A51CB6" w:rsidRPr="000E5B3A" w:rsidRDefault="00A51CB6" w:rsidP="003C435D">
            <w:pPr>
              <w:pStyle w:val="TableText0"/>
              <w:widowControl w:val="0"/>
              <w:jc w:val="center"/>
            </w:pPr>
            <w:r w:rsidRPr="000E5B3A">
              <w:t>9.7 (2.6, 16.7)</w:t>
            </w:r>
          </w:p>
        </w:tc>
      </w:tr>
      <w:tr w:rsidR="00A51CB6" w:rsidRPr="000E5B3A" w14:paraId="3A86FABA"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15BE2465" w14:textId="77777777" w:rsidR="00A51CB6" w:rsidRPr="000E5B3A" w:rsidRDefault="00A51CB6" w:rsidP="003C435D">
            <w:pPr>
              <w:pStyle w:val="TableText0"/>
              <w:widowControl w:val="0"/>
            </w:pPr>
            <w:r w:rsidRPr="000E5B3A">
              <w:t>Immune-related adverse event</w:t>
            </w:r>
          </w:p>
        </w:tc>
      </w:tr>
      <w:tr w:rsidR="00A51CB6" w:rsidRPr="000E5B3A" w14:paraId="0E4CEFF1" w14:textId="77777777">
        <w:trPr>
          <w:trHeight w:val="291"/>
        </w:trPr>
        <w:tc>
          <w:tcPr>
            <w:tcW w:w="785" w:type="pct"/>
            <w:tcBorders>
              <w:top w:val="single" w:sz="4" w:space="0" w:color="auto"/>
              <w:left w:val="single" w:sz="4" w:space="0" w:color="auto"/>
              <w:bottom w:val="single" w:sz="4" w:space="0" w:color="auto"/>
              <w:right w:val="single" w:sz="4" w:space="0" w:color="auto"/>
            </w:tcBorders>
            <w:vAlign w:val="center"/>
          </w:tcPr>
          <w:p w14:paraId="674D88B6" w14:textId="77777777" w:rsidR="00A51CB6" w:rsidRPr="000E5B3A" w:rsidRDefault="00A51CB6" w:rsidP="003C435D">
            <w:pPr>
              <w:pStyle w:val="TableText0"/>
              <w:widowControl w:val="0"/>
              <w:jc w:val="center"/>
            </w:pPr>
            <w:r w:rsidRPr="000E5B3A">
              <w:t>75/154</w:t>
            </w:r>
          </w:p>
        </w:tc>
        <w:tc>
          <w:tcPr>
            <w:tcW w:w="785" w:type="pct"/>
            <w:tcBorders>
              <w:top w:val="single" w:sz="4" w:space="0" w:color="auto"/>
              <w:left w:val="single" w:sz="4" w:space="0" w:color="auto"/>
              <w:bottom w:val="single" w:sz="4" w:space="0" w:color="auto"/>
              <w:right w:val="single" w:sz="4" w:space="0" w:color="auto"/>
            </w:tcBorders>
            <w:vAlign w:val="center"/>
          </w:tcPr>
          <w:p w14:paraId="24829179" w14:textId="77777777" w:rsidR="00A51CB6" w:rsidRPr="000E5B3A" w:rsidRDefault="00A51CB6" w:rsidP="003C435D">
            <w:pPr>
              <w:pStyle w:val="TableText0"/>
              <w:widowControl w:val="0"/>
              <w:jc w:val="center"/>
            </w:pPr>
            <w:r w:rsidRPr="000E5B3A">
              <w:t>40/152</w:t>
            </w:r>
          </w:p>
        </w:tc>
        <w:tc>
          <w:tcPr>
            <w:tcW w:w="865" w:type="pct"/>
            <w:tcBorders>
              <w:top w:val="single" w:sz="4" w:space="0" w:color="auto"/>
              <w:left w:val="single" w:sz="4" w:space="0" w:color="auto"/>
              <w:bottom w:val="single" w:sz="4" w:space="0" w:color="auto"/>
              <w:right w:val="single" w:sz="4" w:space="0" w:color="auto"/>
            </w:tcBorders>
            <w:vAlign w:val="center"/>
          </w:tcPr>
          <w:p w14:paraId="4013A340" w14:textId="77777777" w:rsidR="00A51CB6" w:rsidRPr="000E5B3A" w:rsidRDefault="00A51CB6" w:rsidP="003C435D">
            <w:pPr>
              <w:pStyle w:val="TableText0"/>
              <w:widowControl w:val="0"/>
              <w:jc w:val="center"/>
            </w:pPr>
            <w:r w:rsidRPr="000E5B3A">
              <w:t>2.66 (1.65, 4.29)</w:t>
            </w:r>
          </w:p>
        </w:tc>
        <w:tc>
          <w:tcPr>
            <w:tcW w:w="943" w:type="pct"/>
            <w:tcBorders>
              <w:top w:val="single" w:sz="4" w:space="0" w:color="auto"/>
              <w:left w:val="single" w:sz="4" w:space="0" w:color="auto"/>
              <w:bottom w:val="single" w:sz="4" w:space="0" w:color="auto"/>
              <w:right w:val="single" w:sz="4" w:space="0" w:color="auto"/>
            </w:tcBorders>
            <w:vAlign w:val="center"/>
          </w:tcPr>
          <w:p w14:paraId="4C6AB55A" w14:textId="77777777" w:rsidR="00A51CB6" w:rsidRPr="000E5B3A" w:rsidRDefault="00A51CB6" w:rsidP="003C435D">
            <w:pPr>
              <w:pStyle w:val="TableText0"/>
              <w:widowControl w:val="0"/>
              <w:jc w:val="center"/>
            </w:pPr>
            <w:r w:rsidRPr="000E5B3A">
              <w:t>48.7</w:t>
            </w:r>
          </w:p>
        </w:tc>
        <w:tc>
          <w:tcPr>
            <w:tcW w:w="851" w:type="pct"/>
            <w:tcBorders>
              <w:top w:val="single" w:sz="4" w:space="0" w:color="auto"/>
              <w:left w:val="single" w:sz="4" w:space="0" w:color="auto"/>
              <w:bottom w:val="single" w:sz="4" w:space="0" w:color="auto"/>
              <w:right w:val="single" w:sz="4" w:space="0" w:color="auto"/>
            </w:tcBorders>
            <w:vAlign w:val="center"/>
          </w:tcPr>
          <w:p w14:paraId="34BC1523" w14:textId="77777777" w:rsidR="00A51CB6" w:rsidRPr="000E5B3A" w:rsidRDefault="00A51CB6" w:rsidP="003C435D">
            <w:pPr>
              <w:pStyle w:val="TableText0"/>
              <w:widowControl w:val="0"/>
              <w:jc w:val="center"/>
            </w:pPr>
            <w:r w:rsidRPr="000E5B3A">
              <w:t>26.3</w:t>
            </w:r>
          </w:p>
        </w:tc>
        <w:tc>
          <w:tcPr>
            <w:tcW w:w="771" w:type="pct"/>
            <w:tcBorders>
              <w:top w:val="single" w:sz="4" w:space="0" w:color="auto"/>
              <w:left w:val="single" w:sz="4" w:space="0" w:color="auto"/>
              <w:bottom w:val="single" w:sz="4" w:space="0" w:color="auto"/>
              <w:right w:val="single" w:sz="4" w:space="0" w:color="auto"/>
            </w:tcBorders>
            <w:vAlign w:val="center"/>
          </w:tcPr>
          <w:p w14:paraId="2E83B895" w14:textId="77777777" w:rsidR="00A51CB6" w:rsidRPr="000E5B3A" w:rsidRDefault="00A51CB6" w:rsidP="003C435D">
            <w:pPr>
              <w:pStyle w:val="TableText0"/>
              <w:widowControl w:val="0"/>
              <w:jc w:val="center"/>
            </w:pPr>
            <w:r w:rsidRPr="000E5B3A">
              <w:t>1.85 (1.36, 2.53)</w:t>
            </w:r>
          </w:p>
        </w:tc>
      </w:tr>
      <w:tr w:rsidR="00A51CB6" w:rsidRPr="000E5B3A" w14:paraId="14E0B8BE"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389DB2CA" w14:textId="77777777" w:rsidR="00A51CB6" w:rsidRPr="000E5B3A" w:rsidRDefault="00A51CB6" w:rsidP="003C435D">
            <w:pPr>
              <w:pStyle w:val="TableText0"/>
              <w:widowControl w:val="0"/>
            </w:pPr>
            <w:r w:rsidRPr="000E5B3A">
              <w:t>Serious immune-related adverse event</w:t>
            </w:r>
          </w:p>
        </w:tc>
      </w:tr>
      <w:tr w:rsidR="00A51CB6" w:rsidRPr="000E5B3A" w14:paraId="2A80AB00" w14:textId="77777777">
        <w:trPr>
          <w:trHeight w:val="291"/>
        </w:trPr>
        <w:tc>
          <w:tcPr>
            <w:tcW w:w="785" w:type="pct"/>
            <w:tcBorders>
              <w:top w:val="single" w:sz="4" w:space="0" w:color="auto"/>
              <w:left w:val="single" w:sz="4" w:space="0" w:color="auto"/>
              <w:bottom w:val="single" w:sz="4" w:space="0" w:color="auto"/>
              <w:right w:val="single" w:sz="4" w:space="0" w:color="auto"/>
            </w:tcBorders>
            <w:vAlign w:val="center"/>
          </w:tcPr>
          <w:p w14:paraId="0C1BFDD6" w14:textId="77777777" w:rsidR="00A51CB6" w:rsidRPr="000E5B3A" w:rsidRDefault="00A51CB6" w:rsidP="003C435D">
            <w:pPr>
              <w:pStyle w:val="TableText0"/>
              <w:widowControl w:val="0"/>
              <w:jc w:val="center"/>
            </w:pPr>
            <w:r w:rsidRPr="000E5B3A">
              <w:t>18/154</w:t>
            </w:r>
          </w:p>
        </w:tc>
        <w:tc>
          <w:tcPr>
            <w:tcW w:w="785" w:type="pct"/>
            <w:tcBorders>
              <w:top w:val="single" w:sz="4" w:space="0" w:color="auto"/>
              <w:left w:val="single" w:sz="4" w:space="0" w:color="auto"/>
              <w:bottom w:val="single" w:sz="4" w:space="0" w:color="auto"/>
              <w:right w:val="single" w:sz="4" w:space="0" w:color="auto"/>
            </w:tcBorders>
            <w:vAlign w:val="center"/>
          </w:tcPr>
          <w:p w14:paraId="28E59FAF" w14:textId="77777777" w:rsidR="00A51CB6" w:rsidRPr="000E5B3A" w:rsidRDefault="00A51CB6" w:rsidP="003C435D">
            <w:pPr>
              <w:pStyle w:val="TableText0"/>
              <w:widowControl w:val="0"/>
              <w:jc w:val="center"/>
            </w:pPr>
            <w:r w:rsidRPr="000E5B3A">
              <w:t>7/152</w:t>
            </w:r>
          </w:p>
        </w:tc>
        <w:tc>
          <w:tcPr>
            <w:tcW w:w="865" w:type="pct"/>
            <w:tcBorders>
              <w:top w:val="single" w:sz="4" w:space="0" w:color="auto"/>
              <w:left w:val="single" w:sz="4" w:space="0" w:color="auto"/>
              <w:bottom w:val="single" w:sz="4" w:space="0" w:color="auto"/>
              <w:right w:val="single" w:sz="4" w:space="0" w:color="auto"/>
            </w:tcBorders>
            <w:vAlign w:val="center"/>
          </w:tcPr>
          <w:p w14:paraId="0C2BC51C" w14:textId="77777777" w:rsidR="00A51CB6" w:rsidRPr="000E5B3A" w:rsidRDefault="00A51CB6" w:rsidP="003C435D">
            <w:pPr>
              <w:pStyle w:val="TableText0"/>
              <w:widowControl w:val="0"/>
              <w:jc w:val="center"/>
            </w:pPr>
            <w:r w:rsidRPr="000E5B3A">
              <w:t>2.74 (1.11, 6.77)</w:t>
            </w:r>
          </w:p>
        </w:tc>
        <w:tc>
          <w:tcPr>
            <w:tcW w:w="943" w:type="pct"/>
            <w:tcBorders>
              <w:top w:val="single" w:sz="4" w:space="0" w:color="auto"/>
              <w:left w:val="single" w:sz="4" w:space="0" w:color="auto"/>
              <w:bottom w:val="single" w:sz="4" w:space="0" w:color="auto"/>
              <w:right w:val="single" w:sz="4" w:space="0" w:color="auto"/>
            </w:tcBorders>
            <w:vAlign w:val="center"/>
          </w:tcPr>
          <w:p w14:paraId="0635700F" w14:textId="77777777" w:rsidR="00A51CB6" w:rsidRPr="000E5B3A" w:rsidRDefault="00A51CB6" w:rsidP="003C435D">
            <w:pPr>
              <w:pStyle w:val="TableText0"/>
              <w:widowControl w:val="0"/>
              <w:jc w:val="center"/>
            </w:pPr>
            <w:r w:rsidRPr="000E5B3A">
              <w:t>11.7</w:t>
            </w:r>
          </w:p>
        </w:tc>
        <w:tc>
          <w:tcPr>
            <w:tcW w:w="851" w:type="pct"/>
            <w:tcBorders>
              <w:top w:val="single" w:sz="4" w:space="0" w:color="auto"/>
              <w:left w:val="single" w:sz="4" w:space="0" w:color="auto"/>
              <w:bottom w:val="single" w:sz="4" w:space="0" w:color="auto"/>
              <w:right w:val="single" w:sz="4" w:space="0" w:color="auto"/>
            </w:tcBorders>
            <w:vAlign w:val="center"/>
          </w:tcPr>
          <w:p w14:paraId="4B189B5B" w14:textId="77777777" w:rsidR="00A51CB6" w:rsidRPr="000E5B3A" w:rsidRDefault="00A51CB6" w:rsidP="003C435D">
            <w:pPr>
              <w:pStyle w:val="TableText0"/>
              <w:widowControl w:val="0"/>
              <w:jc w:val="center"/>
            </w:pPr>
            <w:r w:rsidRPr="000E5B3A">
              <w:t>4.6</w:t>
            </w:r>
          </w:p>
        </w:tc>
        <w:tc>
          <w:tcPr>
            <w:tcW w:w="771" w:type="pct"/>
            <w:tcBorders>
              <w:top w:val="single" w:sz="4" w:space="0" w:color="auto"/>
              <w:left w:val="single" w:sz="4" w:space="0" w:color="auto"/>
              <w:bottom w:val="single" w:sz="4" w:space="0" w:color="auto"/>
              <w:right w:val="single" w:sz="4" w:space="0" w:color="auto"/>
            </w:tcBorders>
            <w:vAlign w:val="center"/>
          </w:tcPr>
          <w:p w14:paraId="0A0CDCD6" w14:textId="77777777" w:rsidR="00A51CB6" w:rsidRPr="000E5B3A" w:rsidRDefault="00A51CB6" w:rsidP="003C435D">
            <w:pPr>
              <w:pStyle w:val="TableText0"/>
              <w:widowControl w:val="0"/>
              <w:jc w:val="center"/>
            </w:pPr>
            <w:r w:rsidRPr="000E5B3A">
              <w:t>2.54 (1.09, 5.90)</w:t>
            </w:r>
          </w:p>
        </w:tc>
      </w:tr>
      <w:tr w:rsidR="00A51CB6" w:rsidRPr="000E5B3A" w14:paraId="47A9B4EB"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252CEDC0" w14:textId="77777777" w:rsidR="00A51CB6" w:rsidRPr="000E5B3A" w:rsidRDefault="00A51CB6" w:rsidP="003C435D">
            <w:pPr>
              <w:pStyle w:val="TableText0"/>
              <w:widowControl w:val="0"/>
            </w:pPr>
            <w:r w:rsidRPr="000E5B3A">
              <w:t>Hypothyroidism</w:t>
            </w:r>
          </w:p>
        </w:tc>
      </w:tr>
      <w:tr w:rsidR="00A51CB6" w:rsidRPr="000E5B3A" w14:paraId="28E58BA8" w14:textId="77777777">
        <w:trPr>
          <w:trHeight w:val="291"/>
        </w:trPr>
        <w:tc>
          <w:tcPr>
            <w:tcW w:w="785" w:type="pct"/>
            <w:tcBorders>
              <w:top w:val="single" w:sz="4" w:space="0" w:color="auto"/>
              <w:left w:val="single" w:sz="4" w:space="0" w:color="auto"/>
              <w:bottom w:val="single" w:sz="4" w:space="0" w:color="auto"/>
              <w:right w:val="single" w:sz="4" w:space="0" w:color="auto"/>
            </w:tcBorders>
            <w:vAlign w:val="center"/>
          </w:tcPr>
          <w:p w14:paraId="548E70DD" w14:textId="77777777" w:rsidR="00A51CB6" w:rsidRPr="000E5B3A" w:rsidRDefault="00A51CB6" w:rsidP="003C435D">
            <w:pPr>
              <w:pStyle w:val="TableText0"/>
              <w:widowControl w:val="0"/>
              <w:jc w:val="center"/>
            </w:pPr>
            <w:r w:rsidRPr="000E5B3A">
              <w:t>22/154</w:t>
            </w:r>
          </w:p>
        </w:tc>
        <w:tc>
          <w:tcPr>
            <w:tcW w:w="785" w:type="pct"/>
            <w:tcBorders>
              <w:top w:val="single" w:sz="4" w:space="0" w:color="auto"/>
              <w:left w:val="single" w:sz="4" w:space="0" w:color="auto"/>
              <w:bottom w:val="single" w:sz="4" w:space="0" w:color="auto"/>
              <w:right w:val="single" w:sz="4" w:space="0" w:color="auto"/>
            </w:tcBorders>
            <w:vAlign w:val="center"/>
          </w:tcPr>
          <w:p w14:paraId="778CB1C9" w14:textId="77777777" w:rsidR="00A51CB6" w:rsidRPr="000E5B3A" w:rsidRDefault="00A51CB6" w:rsidP="003C435D">
            <w:pPr>
              <w:pStyle w:val="TableText0"/>
              <w:widowControl w:val="0"/>
              <w:jc w:val="center"/>
            </w:pPr>
            <w:r w:rsidRPr="000E5B3A">
              <w:t>5/152</w:t>
            </w:r>
          </w:p>
        </w:tc>
        <w:tc>
          <w:tcPr>
            <w:tcW w:w="865" w:type="pct"/>
            <w:tcBorders>
              <w:top w:val="single" w:sz="4" w:space="0" w:color="auto"/>
              <w:left w:val="single" w:sz="4" w:space="0" w:color="auto"/>
              <w:bottom w:val="single" w:sz="4" w:space="0" w:color="auto"/>
              <w:right w:val="single" w:sz="4" w:space="0" w:color="auto"/>
            </w:tcBorders>
            <w:vAlign w:val="center"/>
          </w:tcPr>
          <w:p w14:paraId="6B8D749D" w14:textId="77777777" w:rsidR="00A51CB6" w:rsidRPr="000E5B3A" w:rsidRDefault="00A51CB6" w:rsidP="003C435D">
            <w:pPr>
              <w:pStyle w:val="TableText0"/>
              <w:widowControl w:val="0"/>
              <w:jc w:val="center"/>
            </w:pPr>
            <w:r w:rsidRPr="000E5B3A">
              <w:t>4.34 (1.69, 11.17)</w:t>
            </w:r>
          </w:p>
        </w:tc>
        <w:tc>
          <w:tcPr>
            <w:tcW w:w="943" w:type="pct"/>
            <w:tcBorders>
              <w:top w:val="single" w:sz="4" w:space="0" w:color="auto"/>
              <w:left w:val="single" w:sz="4" w:space="0" w:color="auto"/>
              <w:bottom w:val="single" w:sz="4" w:space="0" w:color="auto"/>
              <w:right w:val="single" w:sz="4" w:space="0" w:color="auto"/>
            </w:tcBorders>
            <w:vAlign w:val="center"/>
          </w:tcPr>
          <w:p w14:paraId="2CBF89F9" w14:textId="77777777" w:rsidR="00A51CB6" w:rsidRPr="000E5B3A" w:rsidRDefault="00A51CB6" w:rsidP="003C435D">
            <w:pPr>
              <w:pStyle w:val="TableText0"/>
              <w:widowControl w:val="0"/>
              <w:jc w:val="center"/>
            </w:pPr>
            <w:r w:rsidRPr="000E5B3A">
              <w:t>14.3</w:t>
            </w:r>
          </w:p>
        </w:tc>
        <w:tc>
          <w:tcPr>
            <w:tcW w:w="851" w:type="pct"/>
            <w:tcBorders>
              <w:top w:val="single" w:sz="4" w:space="0" w:color="auto"/>
              <w:left w:val="single" w:sz="4" w:space="0" w:color="auto"/>
              <w:bottom w:val="single" w:sz="4" w:space="0" w:color="auto"/>
              <w:right w:val="single" w:sz="4" w:space="0" w:color="auto"/>
            </w:tcBorders>
            <w:vAlign w:val="center"/>
          </w:tcPr>
          <w:p w14:paraId="4B1CCE54" w14:textId="77777777" w:rsidR="00A51CB6" w:rsidRPr="000E5B3A" w:rsidRDefault="00A51CB6" w:rsidP="003C435D">
            <w:pPr>
              <w:pStyle w:val="TableText0"/>
              <w:widowControl w:val="0"/>
              <w:jc w:val="center"/>
            </w:pPr>
            <w:r w:rsidRPr="000E5B3A">
              <w:t>3.3</w:t>
            </w:r>
          </w:p>
        </w:tc>
        <w:tc>
          <w:tcPr>
            <w:tcW w:w="771" w:type="pct"/>
            <w:tcBorders>
              <w:top w:val="single" w:sz="4" w:space="0" w:color="auto"/>
              <w:left w:val="single" w:sz="4" w:space="0" w:color="auto"/>
              <w:bottom w:val="single" w:sz="4" w:space="0" w:color="auto"/>
              <w:right w:val="single" w:sz="4" w:space="0" w:color="auto"/>
            </w:tcBorders>
            <w:vAlign w:val="center"/>
          </w:tcPr>
          <w:p w14:paraId="2B244130" w14:textId="77777777" w:rsidR="00A51CB6" w:rsidRPr="000E5B3A" w:rsidRDefault="00A51CB6" w:rsidP="003C435D">
            <w:pPr>
              <w:pStyle w:val="TableText0"/>
              <w:widowControl w:val="0"/>
              <w:jc w:val="center"/>
            </w:pPr>
            <w:r w:rsidRPr="000E5B3A">
              <w:t>11.0 (4.8, 17.2)</w:t>
            </w:r>
          </w:p>
        </w:tc>
      </w:tr>
    </w:tbl>
    <w:p w14:paraId="6A135A83" w14:textId="77777777" w:rsidR="00D90D2A" w:rsidRPr="000E5B3A" w:rsidRDefault="00A51CB6" w:rsidP="003C435D">
      <w:pPr>
        <w:pStyle w:val="FooterTableFigure"/>
        <w:keepNext/>
        <w:keepLines/>
        <w:jc w:val="left"/>
      </w:pPr>
      <w:r w:rsidRPr="000E5B3A">
        <w:t>Source: Tables 30, 31, pp72, 74 of the submission.</w:t>
      </w:r>
    </w:p>
    <w:p w14:paraId="092B6EDF" w14:textId="0423BCEC" w:rsidR="00A51CB6" w:rsidRPr="000E5B3A" w:rsidRDefault="00A51CB6" w:rsidP="003C435D">
      <w:pPr>
        <w:pStyle w:val="FooterTableFigure"/>
        <w:keepNext/>
        <w:keepLines/>
        <w:jc w:val="left"/>
      </w:pPr>
      <w:r w:rsidRPr="000E5B3A">
        <w:t>CP = chemotherapy (carboplatin-paclitaxel); HR = hazard ratio; PBO = placebo; RD = risk difference; RR = risk ratio; OS = overall survival; PFS = progression-free survival; TEAE = treatment-emergent adverse event</w:t>
      </w:r>
    </w:p>
    <w:p w14:paraId="62491563" w14:textId="77777777" w:rsidR="00A51CB6" w:rsidRPr="000E5B3A" w:rsidRDefault="00A51CB6" w:rsidP="003C435D">
      <w:pPr>
        <w:pStyle w:val="FooterTableFigure"/>
        <w:keepNext/>
        <w:keepLines/>
      </w:pPr>
      <w:r w:rsidRPr="000E5B3A">
        <w:rPr>
          <w:vertAlign w:val="superscript"/>
        </w:rPr>
        <w:t>a</w:t>
      </w:r>
      <w:r w:rsidRPr="000E5B3A">
        <w:t xml:space="preserve"> Median duration of follow-up: retifanlimab + CP = 7.57 months; placebo + CP = 7.13 months</w:t>
      </w:r>
    </w:p>
    <w:p w14:paraId="28C64F88" w14:textId="77777777" w:rsidR="00A51CB6" w:rsidRPr="000E5B3A" w:rsidRDefault="00A51CB6" w:rsidP="003C435D">
      <w:pPr>
        <w:pStyle w:val="FooterTableFigure"/>
        <w:keepNext/>
        <w:keepLines/>
      </w:pPr>
      <w:r w:rsidRPr="000E5B3A">
        <w:rPr>
          <w:vertAlign w:val="superscript"/>
        </w:rPr>
        <w:t>b</w:t>
      </w:r>
      <w:r w:rsidRPr="000E5B3A">
        <w:t xml:space="preserve"> HR from stratified Cox model. P-value from stratified log-rank test. PFS was tested at the 1-sided 2.5% level.</w:t>
      </w:r>
    </w:p>
    <w:p w14:paraId="3BC366CA" w14:textId="3A7A78B7" w:rsidR="00945B4A" w:rsidRPr="000E5B3A" w:rsidRDefault="00945B4A" w:rsidP="00945B4A">
      <w:pPr>
        <w:pStyle w:val="3-BodyText"/>
      </w:pPr>
      <w:r w:rsidRPr="000E5B3A">
        <w:t>On the basis of</w:t>
      </w:r>
      <w:r w:rsidR="009C1445" w:rsidRPr="000E5B3A">
        <w:t xml:space="preserve"> the</w:t>
      </w:r>
      <w:r w:rsidRPr="000E5B3A">
        <w:t xml:space="preserve"> direct compar</w:t>
      </w:r>
      <w:r w:rsidR="009C1445" w:rsidRPr="000E5B3A">
        <w:t>ative</w:t>
      </w:r>
      <w:r w:rsidRPr="000E5B3A">
        <w:t xml:space="preserve"> evidence presented by the submission for POD1UM-303, for every 100 patients treated with retifanlimab + CP in comparison with placebo + CP:</w:t>
      </w:r>
    </w:p>
    <w:p w14:paraId="524B3025" w14:textId="023E98CB" w:rsidR="00945B4A" w:rsidRPr="000E5B3A" w:rsidRDefault="00945B4A" w:rsidP="00945B4A">
      <w:pPr>
        <w:pStyle w:val="ListParagraph"/>
        <w:ind w:left="1134"/>
      </w:pPr>
      <w:r w:rsidRPr="000E5B3A">
        <w:t xml:space="preserve">Approximately </w:t>
      </w:r>
      <w:r w:rsidR="008C38CF" w:rsidRPr="000E5B3A">
        <w:t xml:space="preserve">19 </w:t>
      </w:r>
      <w:r w:rsidR="00AE11D3" w:rsidRPr="000E5B3A">
        <w:t>additional</w:t>
      </w:r>
      <w:r w:rsidR="00E07F2B" w:rsidRPr="000E5B3A">
        <w:t xml:space="preserve"> </w:t>
      </w:r>
      <w:r w:rsidRPr="000E5B3A">
        <w:t xml:space="preserve">patients will have </w:t>
      </w:r>
      <w:r w:rsidR="00E07F2B" w:rsidRPr="000E5B3A">
        <w:t>remained progression free</w:t>
      </w:r>
      <w:r w:rsidRPr="000E5B3A">
        <w:t xml:space="preserve"> after</w:t>
      </w:r>
      <w:r w:rsidR="00E07F2B" w:rsidRPr="000E5B3A">
        <w:t xml:space="preserve"> </w:t>
      </w:r>
      <w:r w:rsidR="003114CF" w:rsidRPr="000E5B3A">
        <w:t>12</w:t>
      </w:r>
      <w:r w:rsidRPr="000E5B3A">
        <w:t xml:space="preserve"> months;</w:t>
      </w:r>
    </w:p>
    <w:p w14:paraId="3188B01E" w14:textId="7EB5FE1D" w:rsidR="00945B4A" w:rsidRPr="000E5B3A" w:rsidRDefault="00945B4A" w:rsidP="00945B4A">
      <w:pPr>
        <w:pStyle w:val="ListParagraph"/>
        <w:ind w:left="1134"/>
      </w:pPr>
      <w:r w:rsidRPr="000E5B3A">
        <w:t xml:space="preserve">Approximately 12 additional patients will have a </w:t>
      </w:r>
      <w:r w:rsidR="003A0A46" w:rsidRPr="000E5B3A">
        <w:t>treatment</w:t>
      </w:r>
      <w:r w:rsidRPr="000E5B3A">
        <w:t xml:space="preserve"> related TEAE;</w:t>
      </w:r>
    </w:p>
    <w:p w14:paraId="1A7F455E" w14:textId="438A6484" w:rsidR="00945B4A" w:rsidRPr="000E5B3A" w:rsidRDefault="00945B4A" w:rsidP="00945B4A">
      <w:pPr>
        <w:pStyle w:val="ListParagraph"/>
        <w:ind w:left="1134"/>
      </w:pPr>
      <w:r w:rsidRPr="000E5B3A">
        <w:t xml:space="preserve">Approximately 10 additional patients will have a serious </w:t>
      </w:r>
      <w:r w:rsidR="003A0A46" w:rsidRPr="000E5B3A">
        <w:t>treatment</w:t>
      </w:r>
      <w:r w:rsidRPr="000E5B3A">
        <w:t xml:space="preserve"> related TEAE;</w:t>
      </w:r>
    </w:p>
    <w:p w14:paraId="5854B05C" w14:textId="77777777" w:rsidR="00292F2D" w:rsidRPr="000E5B3A" w:rsidRDefault="00945B4A" w:rsidP="00945B4A">
      <w:pPr>
        <w:pStyle w:val="ListParagraph"/>
        <w:ind w:left="1134"/>
      </w:pPr>
      <w:r w:rsidRPr="000E5B3A">
        <w:t>Approximately 2 additional patients will have an immune-related AE;</w:t>
      </w:r>
    </w:p>
    <w:p w14:paraId="1F94DDA0" w14:textId="01052E11" w:rsidR="00945B4A" w:rsidRPr="000E5B3A" w:rsidRDefault="00292F2D" w:rsidP="00945B4A">
      <w:pPr>
        <w:pStyle w:val="ListParagraph"/>
        <w:ind w:left="1134"/>
      </w:pPr>
      <w:r w:rsidRPr="000E5B3A">
        <w:t>Approximately 3 additional patients will have a serious immune-related AE;</w:t>
      </w:r>
      <w:r w:rsidR="00414CFD" w:rsidRPr="000E5B3A">
        <w:t xml:space="preserve"> and</w:t>
      </w:r>
    </w:p>
    <w:p w14:paraId="2D06F8A0" w14:textId="77777777" w:rsidR="00945B4A" w:rsidRPr="000E5B3A" w:rsidRDefault="00945B4A" w:rsidP="00945B4A">
      <w:pPr>
        <w:pStyle w:val="ListParagraph"/>
        <w:ind w:left="1134"/>
      </w:pPr>
      <w:r w:rsidRPr="000E5B3A">
        <w:t>Approximately 11 additional patients will have hypothyroidism.</w:t>
      </w:r>
    </w:p>
    <w:p w14:paraId="7A1772B6" w14:textId="23BB3145" w:rsidR="00B60939" w:rsidRPr="000E5B3A" w:rsidRDefault="00B60939" w:rsidP="00E9094A">
      <w:pPr>
        <w:pStyle w:val="4-SubsectionHeading"/>
      </w:pPr>
      <w:bookmarkStart w:id="47" w:name="_Toc22897644"/>
      <w:bookmarkStart w:id="48" w:name="_Toc208995342"/>
      <w:r w:rsidRPr="000E5B3A">
        <w:t>Clinical claim</w:t>
      </w:r>
      <w:bookmarkEnd w:id="47"/>
      <w:bookmarkEnd w:id="48"/>
    </w:p>
    <w:p w14:paraId="0EC88C8A" w14:textId="1190AE1F" w:rsidR="00FC6E23" w:rsidRPr="000E5B3A" w:rsidRDefault="00183EC6" w:rsidP="00913D4C">
      <w:pPr>
        <w:pStyle w:val="3-BodyText"/>
      </w:pPr>
      <w:r w:rsidRPr="000E5B3A">
        <w:t>The submission described retifanlimab + CP as superior in terms of effectiveness compared to CP and inferior in terms of safety compared to CP. The</w:t>
      </w:r>
      <w:r w:rsidR="00E2401D" w:rsidRPr="000E5B3A">
        <w:t xml:space="preserve"> evaluation</w:t>
      </w:r>
      <w:r w:rsidR="00E03897" w:rsidRPr="000E5B3A">
        <w:t xml:space="preserve"> and the ESC</w:t>
      </w:r>
      <w:r w:rsidR="00E2401D" w:rsidRPr="000E5B3A">
        <w:t xml:space="preserve"> considered that </w:t>
      </w:r>
      <w:r w:rsidR="00C41DB0" w:rsidRPr="000E5B3A">
        <w:t xml:space="preserve">the </w:t>
      </w:r>
      <w:r w:rsidR="00CB4083" w:rsidRPr="000E5B3A">
        <w:t xml:space="preserve">overall </w:t>
      </w:r>
      <w:r w:rsidR="00C41DB0" w:rsidRPr="000E5B3A">
        <w:t>claim of superior effectiveness</w:t>
      </w:r>
      <w:r w:rsidRPr="000E5B3A">
        <w:t xml:space="preserve"> was supported by the direct evidence presented in </w:t>
      </w:r>
      <w:r w:rsidR="009A27A1" w:rsidRPr="000E5B3A">
        <w:t>POD1UM-303</w:t>
      </w:r>
      <w:r w:rsidR="003709B8" w:rsidRPr="000E5B3A">
        <w:t>. I</w:t>
      </w:r>
      <w:r w:rsidR="00B935B2" w:rsidRPr="000E5B3A">
        <w:t>n particular</w:t>
      </w:r>
      <w:r w:rsidR="003709B8" w:rsidRPr="000E5B3A">
        <w:t>, the evaluation and the ESC considered</w:t>
      </w:r>
      <w:r w:rsidR="00B935B2" w:rsidRPr="000E5B3A">
        <w:t xml:space="preserve"> the claim was</w:t>
      </w:r>
      <w:r w:rsidR="00FC6E23" w:rsidRPr="000E5B3A">
        <w:t>:</w:t>
      </w:r>
    </w:p>
    <w:p w14:paraId="36DFC38E" w14:textId="616ABC76" w:rsidR="00EC531E" w:rsidRPr="000E5B3A" w:rsidRDefault="00EC531E" w:rsidP="00C764A1">
      <w:pPr>
        <w:pStyle w:val="ListParagraph"/>
        <w:ind w:left="1134"/>
        <w:jc w:val="both"/>
      </w:pPr>
      <w:r w:rsidRPr="000E5B3A">
        <w:t xml:space="preserve">supported by the PFS results of POD1UM-303. </w:t>
      </w:r>
      <w:r w:rsidR="001F00A8" w:rsidRPr="000E5B3A">
        <w:t>Patients randomised to r</w:t>
      </w:r>
      <w:r w:rsidRPr="000E5B3A">
        <w:t xml:space="preserve">etifanlimab + CP </w:t>
      </w:r>
      <w:r w:rsidR="001F00A8" w:rsidRPr="000E5B3A">
        <w:t>reported</w:t>
      </w:r>
      <w:r w:rsidRPr="000E5B3A">
        <w:t xml:space="preserve"> a statistically significant PFS benefit compared to </w:t>
      </w:r>
      <w:r w:rsidR="001F00A8" w:rsidRPr="000E5B3A">
        <w:lastRenderedPageBreak/>
        <w:t xml:space="preserve">patients randomised to </w:t>
      </w:r>
      <w:r w:rsidRPr="000E5B3A">
        <w:t>placebo + CP (HR = 0.63 [95% CI: 0.47, 0.84]; p = 0.0006), thereby meeting the trial’s primary endpoint.</w:t>
      </w:r>
    </w:p>
    <w:p w14:paraId="0AA5FBB8" w14:textId="7C94AC79" w:rsidR="00EC531E" w:rsidRPr="000E5B3A" w:rsidRDefault="00EC531E" w:rsidP="00C764A1">
      <w:pPr>
        <w:pStyle w:val="ListParagraph"/>
        <w:ind w:left="1134"/>
        <w:jc w:val="both"/>
      </w:pPr>
      <w:r w:rsidRPr="000E5B3A">
        <w:t xml:space="preserve">inadequately supported by the OS results </w:t>
      </w:r>
      <w:r w:rsidR="00257DD2" w:rsidRPr="000E5B3A">
        <w:t>for</w:t>
      </w:r>
      <w:r w:rsidRPr="000E5B3A">
        <w:t xml:space="preserve"> POD1UM-303</w:t>
      </w:r>
      <w:r w:rsidR="00E122EB" w:rsidRPr="000E5B3A">
        <w:t xml:space="preserve"> as t</w:t>
      </w:r>
      <w:r w:rsidRPr="000E5B3A">
        <w:t>he OS HR of 0.70</w:t>
      </w:r>
      <w:r w:rsidR="00B02FC4">
        <w:t> </w:t>
      </w:r>
      <w:r w:rsidRPr="000E5B3A">
        <w:t>(95% CI: 0.49, 1.01); p = 0.0273 was not statistically significant</w:t>
      </w:r>
      <w:r w:rsidR="000F14FC" w:rsidRPr="000E5B3A">
        <w:t xml:space="preserve">, and the limitations </w:t>
      </w:r>
      <w:r w:rsidR="00AF0F99" w:rsidRPr="000E5B3A">
        <w:t xml:space="preserve">with the </w:t>
      </w:r>
      <w:r w:rsidR="00561CC2" w:rsidRPr="00D678E3">
        <w:rPr>
          <w:i/>
          <w:iCs/>
        </w:rPr>
        <w:t>post hoc</w:t>
      </w:r>
      <w:r w:rsidR="00561CC2" w:rsidRPr="000E5B3A">
        <w:t xml:space="preserve"> </w:t>
      </w:r>
      <w:r w:rsidR="00AF0F99" w:rsidRPr="000E5B3A">
        <w:t>IPCW and RPSFT OS crossover adjustments meant the OS adjusted results were highly uncertain</w:t>
      </w:r>
      <w:r w:rsidR="0041438B" w:rsidRPr="000E5B3A">
        <w:t xml:space="preserve"> (see paragraph </w:t>
      </w:r>
      <w:r w:rsidR="0041438B" w:rsidRPr="000E5B3A">
        <w:fldChar w:fldCharType="begin"/>
      </w:r>
      <w:r w:rsidR="0041438B" w:rsidRPr="000E5B3A">
        <w:instrText xml:space="preserve"> REF _Ref211443685 \r \h </w:instrText>
      </w:r>
      <w:r w:rsidR="00C764A1" w:rsidRPr="000E5B3A">
        <w:instrText xml:space="preserve"> \* MERGEFORMAT </w:instrText>
      </w:r>
      <w:r w:rsidR="0041438B" w:rsidRPr="000E5B3A">
        <w:fldChar w:fldCharType="separate"/>
      </w:r>
      <w:r w:rsidR="00DB6E72">
        <w:t>6.17</w:t>
      </w:r>
      <w:r w:rsidR="0041438B" w:rsidRPr="000E5B3A">
        <w:fldChar w:fldCharType="end"/>
      </w:r>
      <w:r w:rsidR="0041438B" w:rsidRPr="000E5B3A">
        <w:t xml:space="preserve"> - </w:t>
      </w:r>
      <w:r w:rsidR="0041438B" w:rsidRPr="000E5B3A">
        <w:fldChar w:fldCharType="begin"/>
      </w:r>
      <w:r w:rsidR="0041438B" w:rsidRPr="000E5B3A">
        <w:instrText xml:space="preserve"> REF _Ref208067196 \r \h </w:instrText>
      </w:r>
      <w:r w:rsidR="00C764A1" w:rsidRPr="000E5B3A">
        <w:instrText xml:space="preserve"> \* MERGEFORMAT </w:instrText>
      </w:r>
      <w:r w:rsidR="0041438B" w:rsidRPr="000E5B3A">
        <w:fldChar w:fldCharType="separate"/>
      </w:r>
      <w:r w:rsidR="00DB6E72">
        <w:t>6.18</w:t>
      </w:r>
      <w:r w:rsidR="0041438B" w:rsidRPr="000E5B3A">
        <w:fldChar w:fldCharType="end"/>
      </w:r>
      <w:r w:rsidR="0041438B" w:rsidRPr="000E5B3A">
        <w:t>)</w:t>
      </w:r>
      <w:r w:rsidRPr="000E5B3A">
        <w:t>.</w:t>
      </w:r>
    </w:p>
    <w:p w14:paraId="6E8762EC" w14:textId="39DC2B77" w:rsidR="007B679A" w:rsidRPr="000E5B3A" w:rsidRDefault="00134B8C" w:rsidP="00C74D06">
      <w:pPr>
        <w:pStyle w:val="3-BodyText"/>
        <w:numPr>
          <w:ilvl w:val="0"/>
          <w:numId w:val="0"/>
        </w:numPr>
        <w:ind w:left="720"/>
      </w:pPr>
      <w:r w:rsidRPr="000E5B3A">
        <w:t xml:space="preserve">Therefore, the evaluation and the ESC </w:t>
      </w:r>
      <w:r w:rsidR="00361ECE" w:rsidRPr="000E5B3A">
        <w:t xml:space="preserve">considered that </w:t>
      </w:r>
      <w:r w:rsidR="00573B9C" w:rsidRPr="000E5B3A">
        <w:t xml:space="preserve">the magnitude of OS benefit was </w:t>
      </w:r>
      <w:r w:rsidR="00361ECE" w:rsidRPr="000E5B3A">
        <w:t xml:space="preserve">highly </w:t>
      </w:r>
      <w:r w:rsidR="00573B9C" w:rsidRPr="000E5B3A">
        <w:t>uncertain</w:t>
      </w:r>
      <w:r w:rsidR="00361ECE" w:rsidRPr="000E5B3A">
        <w:t>.</w:t>
      </w:r>
    </w:p>
    <w:p w14:paraId="620A639D" w14:textId="3CE73605" w:rsidR="00EC531E" w:rsidRPr="000E5B3A" w:rsidRDefault="00FD1F82" w:rsidP="00E9094A">
      <w:pPr>
        <w:pStyle w:val="3-BodyText"/>
      </w:pPr>
      <w:r w:rsidRPr="000E5B3A">
        <w:t xml:space="preserve">The </w:t>
      </w:r>
      <w:r w:rsidR="00032EBD" w:rsidRPr="000E5B3A">
        <w:t>evaluation</w:t>
      </w:r>
      <w:r w:rsidR="00B770D8" w:rsidRPr="000E5B3A">
        <w:t xml:space="preserve"> and the ESC</w:t>
      </w:r>
      <w:r w:rsidR="00032EBD" w:rsidRPr="000E5B3A">
        <w:t xml:space="preserve"> considered that the </w:t>
      </w:r>
      <w:r w:rsidRPr="000E5B3A">
        <w:t xml:space="preserve">submission’s claim that retifanlimab + CP is inferior in terms of safety compared to placebo + CP was reasonable. AEs were </w:t>
      </w:r>
      <w:r w:rsidR="00612CF9" w:rsidRPr="000E5B3A">
        <w:t xml:space="preserve">more </w:t>
      </w:r>
      <w:r w:rsidRPr="000E5B3A">
        <w:t>commonly observed to occur in the retifanlimab + CP arm of POD1UM-303. For example, in the retifanlimab + CP arm there was a higher rate of retifanlimab/placebo-related TEAEs (RR 1.15; 95% CI 1.04, 1.28), serious retifanlimab/placebo-related TEAEs (RR 2.47; 95% CI 1.23, 4.96) and treatment discontinuation due to TEAE (RR</w:t>
      </w:r>
      <w:r w:rsidR="00B02FC4">
        <w:t> </w:t>
      </w:r>
      <w:r w:rsidRPr="000E5B3A">
        <w:t>4.19;</w:t>
      </w:r>
      <w:r w:rsidR="00B02FC4">
        <w:t> </w:t>
      </w:r>
      <w:r w:rsidRPr="000E5B3A">
        <w:t>95%</w:t>
      </w:r>
      <w:r w:rsidR="00B02FC4">
        <w:t> </w:t>
      </w:r>
      <w:r w:rsidRPr="000E5B3A">
        <w:t>CI 1.44</w:t>
      </w:r>
      <w:r w:rsidR="00F25AAC" w:rsidRPr="000E5B3A">
        <w:t>, 12.18</w:t>
      </w:r>
      <w:r w:rsidRPr="000E5B3A">
        <w:t>) compared to the placebo + CP arm.</w:t>
      </w:r>
      <w:r w:rsidR="00953F79" w:rsidRPr="000E5B3A">
        <w:t xml:space="preserve"> There were also more immune related AEs in patients treated with retifanlimab + CP compared to placebo + CP</w:t>
      </w:r>
      <w:r w:rsidR="00361129" w:rsidRPr="000E5B3A">
        <w:t>, which the ESC noted is consistent with other single agent immunotherapy agents</w:t>
      </w:r>
      <w:r w:rsidR="00953F79" w:rsidRPr="000E5B3A">
        <w:t xml:space="preserve">. </w:t>
      </w:r>
    </w:p>
    <w:p w14:paraId="0673ED3F" w14:textId="041FBCC1" w:rsidR="00C02C41" w:rsidRPr="000E5B3A" w:rsidRDefault="00C02C41" w:rsidP="00C02C41">
      <w:pPr>
        <w:pStyle w:val="3-BodyText"/>
        <w:rPr>
          <w:iCs/>
          <w:snapToGrid w:val="0"/>
        </w:rPr>
      </w:pPr>
      <w:bookmarkStart w:id="49" w:name="_Hlk76376200"/>
      <w:r w:rsidRPr="000E5B3A">
        <w:rPr>
          <w:iCs/>
          <w:snapToGrid w:val="0"/>
        </w:rPr>
        <w:t>The PBAC considered that the claim of superior comparative effectiveness was reasonable.</w:t>
      </w:r>
    </w:p>
    <w:p w14:paraId="28612C21" w14:textId="5098EAEA" w:rsidR="00C02C41" w:rsidRPr="000E5B3A" w:rsidRDefault="00C02C41" w:rsidP="00C02C41">
      <w:pPr>
        <w:pStyle w:val="3-BodyText"/>
        <w:rPr>
          <w:iCs/>
          <w:snapToGrid w:val="0"/>
        </w:rPr>
      </w:pPr>
      <w:r w:rsidRPr="000E5B3A">
        <w:rPr>
          <w:iCs/>
          <w:snapToGrid w:val="0"/>
        </w:rPr>
        <w:t>The PBAC considered that the claim of inferior comparative safety was reasonable.</w:t>
      </w:r>
    </w:p>
    <w:p w14:paraId="74A1172E" w14:textId="1738C18D" w:rsidR="00B60939" w:rsidRPr="000E5B3A" w:rsidRDefault="00B60939" w:rsidP="00E9094A">
      <w:pPr>
        <w:pStyle w:val="4-SubsectionHeading"/>
      </w:pPr>
      <w:bookmarkStart w:id="50" w:name="_Toc22897645"/>
      <w:bookmarkStart w:id="51" w:name="_Toc208995343"/>
      <w:bookmarkEnd w:id="49"/>
      <w:r w:rsidRPr="000E5B3A">
        <w:t>Economic analysis</w:t>
      </w:r>
      <w:bookmarkEnd w:id="50"/>
      <w:bookmarkEnd w:id="51"/>
    </w:p>
    <w:p w14:paraId="0E0CF6CF" w14:textId="0AF092AE" w:rsidR="00D24D0A" w:rsidRPr="000E5B3A" w:rsidRDefault="00D24D0A" w:rsidP="00641FB3">
      <w:pPr>
        <w:pStyle w:val="3-BodyText"/>
      </w:pPr>
      <w:r w:rsidRPr="000E5B3A">
        <w:t xml:space="preserve">The submission presented a stepped economic evaluation based on one direct randomised trial (POD1UM-303). The type of economic evaluation presented was a cost-utility analysis that compared retifanlimab + CP versus placebo + CP. Details of the key components of the economic evaluation are summarised in </w:t>
      </w:r>
      <w:fldSimple w:instr=" REF _Ref207814143 ">
        <w:r w:rsidR="00DB6E72" w:rsidRPr="000E5B3A">
          <w:t xml:space="preserve">Table </w:t>
        </w:r>
        <w:r w:rsidR="00DB6E72">
          <w:rPr>
            <w:noProof/>
          </w:rPr>
          <w:t>9</w:t>
        </w:r>
      </w:fldSimple>
      <w:r w:rsidRPr="000E5B3A">
        <w:t>.</w:t>
      </w:r>
    </w:p>
    <w:p w14:paraId="15A9AFA4" w14:textId="1AA761D8" w:rsidR="00275C5A" w:rsidRPr="000E5B3A" w:rsidRDefault="00E16AD8" w:rsidP="00B02FC4">
      <w:pPr>
        <w:pStyle w:val="Caption"/>
        <w:jc w:val="left"/>
        <w:rPr>
          <w:rStyle w:val="CommentReference"/>
          <w:b/>
          <w:szCs w:val="24"/>
        </w:rPr>
      </w:pPr>
      <w:bookmarkStart w:id="52" w:name="_Ref207814143"/>
      <w:r w:rsidRPr="000E5B3A">
        <w:lastRenderedPageBreak/>
        <w:t xml:space="preserve">Table </w:t>
      </w:r>
      <w:fldSimple w:instr=" SEQ Table \* ARABIC ">
        <w:r w:rsidR="00DB6E72">
          <w:rPr>
            <w:noProof/>
          </w:rPr>
          <w:t>9</w:t>
        </w:r>
      </w:fldSimple>
      <w:bookmarkEnd w:id="52"/>
      <w:r w:rsidRPr="000E5B3A">
        <w:t>:</w:t>
      </w:r>
      <w:r w:rsidR="00275C5A" w:rsidRPr="000E5B3A">
        <w:rPr>
          <w:rStyle w:val="CommentReference"/>
          <w:b/>
          <w:szCs w:val="24"/>
        </w:rPr>
        <w:t xml:space="preserve"> Summary of model structure</w:t>
      </w:r>
      <w:r w:rsidR="00184B0E" w:rsidRPr="000E5B3A">
        <w:rPr>
          <w:rStyle w:val="CommentReference"/>
          <w:b/>
          <w:szCs w:val="24"/>
        </w:rPr>
        <w:t>, key inputs</w:t>
      </w:r>
      <w:r w:rsidR="00275C5A" w:rsidRPr="000E5B3A">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837"/>
        <w:gridCol w:w="7179"/>
      </w:tblGrid>
      <w:tr w:rsidR="00D24D0A" w:rsidRPr="000E5B3A" w14:paraId="4B4D11D4" w14:textId="77777777" w:rsidTr="003B17F2">
        <w:trPr>
          <w:tblHeader/>
        </w:trPr>
        <w:tc>
          <w:tcPr>
            <w:tcW w:w="1019" w:type="pct"/>
            <w:vAlign w:val="center"/>
          </w:tcPr>
          <w:p w14:paraId="59EC10CE" w14:textId="77777777" w:rsidR="00D24D0A" w:rsidRPr="000E5B3A" w:rsidRDefault="00D24D0A" w:rsidP="00B02FC4">
            <w:pPr>
              <w:pStyle w:val="In-tableHeading"/>
              <w:rPr>
                <w:lang w:val="en-AU"/>
              </w:rPr>
            </w:pPr>
            <w:r w:rsidRPr="000E5B3A">
              <w:rPr>
                <w:lang w:val="en-AU"/>
              </w:rPr>
              <w:t>Component</w:t>
            </w:r>
          </w:p>
        </w:tc>
        <w:tc>
          <w:tcPr>
            <w:tcW w:w="3981" w:type="pct"/>
            <w:vAlign w:val="center"/>
          </w:tcPr>
          <w:p w14:paraId="504D94AA" w14:textId="77777777" w:rsidR="00D24D0A" w:rsidRPr="000E5B3A" w:rsidRDefault="00D24D0A" w:rsidP="00B02FC4">
            <w:pPr>
              <w:pStyle w:val="In-tableHeading"/>
              <w:rPr>
                <w:lang w:val="en-AU"/>
              </w:rPr>
            </w:pPr>
            <w:r w:rsidRPr="000E5B3A">
              <w:rPr>
                <w:lang w:val="en-AU"/>
              </w:rPr>
              <w:t>Summary</w:t>
            </w:r>
          </w:p>
        </w:tc>
      </w:tr>
      <w:tr w:rsidR="00D24D0A" w:rsidRPr="000E5B3A" w14:paraId="2A4519FA" w14:textId="77777777" w:rsidTr="003B17F2">
        <w:tc>
          <w:tcPr>
            <w:tcW w:w="1019" w:type="pct"/>
            <w:vAlign w:val="center"/>
          </w:tcPr>
          <w:p w14:paraId="66B1C436" w14:textId="77777777" w:rsidR="00D24D0A" w:rsidRPr="000E5B3A" w:rsidRDefault="00D24D0A" w:rsidP="00B02FC4">
            <w:pPr>
              <w:pStyle w:val="TableText0"/>
            </w:pPr>
            <w:r w:rsidRPr="000E5B3A">
              <w:t>Treatments</w:t>
            </w:r>
          </w:p>
        </w:tc>
        <w:tc>
          <w:tcPr>
            <w:tcW w:w="3981" w:type="pct"/>
            <w:vAlign w:val="center"/>
          </w:tcPr>
          <w:p w14:paraId="4CC12F6C" w14:textId="77777777" w:rsidR="00D24D0A" w:rsidRPr="000E5B3A" w:rsidRDefault="00D24D0A" w:rsidP="00B02FC4">
            <w:pPr>
              <w:pStyle w:val="TableText0"/>
            </w:pPr>
            <w:r w:rsidRPr="000E5B3A">
              <w:t>Retifanlimab + CP vs placebo + CP</w:t>
            </w:r>
          </w:p>
        </w:tc>
      </w:tr>
      <w:tr w:rsidR="00D24D0A" w:rsidRPr="000E5B3A" w14:paraId="52C5DA4B" w14:textId="77777777" w:rsidTr="003B17F2">
        <w:tc>
          <w:tcPr>
            <w:tcW w:w="1019" w:type="pct"/>
            <w:vAlign w:val="center"/>
          </w:tcPr>
          <w:p w14:paraId="38025A32" w14:textId="77777777" w:rsidR="00D24D0A" w:rsidRPr="000E5B3A" w:rsidRDefault="00D24D0A" w:rsidP="00B02FC4">
            <w:pPr>
              <w:pStyle w:val="TableText0"/>
            </w:pPr>
            <w:r w:rsidRPr="000E5B3A">
              <w:t>Time horizon</w:t>
            </w:r>
          </w:p>
        </w:tc>
        <w:tc>
          <w:tcPr>
            <w:tcW w:w="3981" w:type="pct"/>
            <w:vAlign w:val="center"/>
          </w:tcPr>
          <w:p w14:paraId="4D4B09DA" w14:textId="77777777" w:rsidR="00D24D0A" w:rsidRPr="000E5B3A" w:rsidRDefault="00D24D0A" w:rsidP="00B02FC4">
            <w:pPr>
              <w:pStyle w:val="TableText0"/>
            </w:pPr>
            <w:r w:rsidRPr="000E5B3A">
              <w:t>15 years in the model base case versus 14.77 months in trial</w:t>
            </w:r>
            <w:r w:rsidRPr="000E5B3A">
              <w:rPr>
                <w:vertAlign w:val="superscript"/>
              </w:rPr>
              <w:t>a</w:t>
            </w:r>
          </w:p>
        </w:tc>
      </w:tr>
      <w:tr w:rsidR="00D24D0A" w:rsidRPr="000E5B3A" w14:paraId="36FC31C7" w14:textId="77777777" w:rsidTr="003B17F2">
        <w:tc>
          <w:tcPr>
            <w:tcW w:w="1019" w:type="pct"/>
          </w:tcPr>
          <w:p w14:paraId="0B5450E2" w14:textId="77777777" w:rsidR="00D24D0A" w:rsidRPr="000E5B3A" w:rsidRDefault="00D24D0A" w:rsidP="00B02FC4">
            <w:pPr>
              <w:pStyle w:val="TableText0"/>
            </w:pPr>
            <w:r w:rsidRPr="000E5B3A">
              <w:t>Type of analysis</w:t>
            </w:r>
          </w:p>
        </w:tc>
        <w:tc>
          <w:tcPr>
            <w:tcW w:w="3981" w:type="pct"/>
          </w:tcPr>
          <w:p w14:paraId="3CAF9537" w14:textId="77777777" w:rsidR="00D24D0A" w:rsidRPr="000E5B3A" w:rsidRDefault="00D24D0A" w:rsidP="00B02FC4">
            <w:pPr>
              <w:pStyle w:val="TableText0"/>
            </w:pPr>
            <w:r w:rsidRPr="000E5B3A">
              <w:t>Cost-utility analysis</w:t>
            </w:r>
          </w:p>
        </w:tc>
      </w:tr>
      <w:tr w:rsidR="00D24D0A" w:rsidRPr="000E5B3A" w14:paraId="6C8EF4A4" w14:textId="77777777" w:rsidTr="003B17F2">
        <w:tc>
          <w:tcPr>
            <w:tcW w:w="1019" w:type="pct"/>
          </w:tcPr>
          <w:p w14:paraId="040E6E1F" w14:textId="77777777" w:rsidR="00D24D0A" w:rsidRPr="000E5B3A" w:rsidRDefault="00D24D0A" w:rsidP="00B02FC4">
            <w:pPr>
              <w:pStyle w:val="TableText0"/>
            </w:pPr>
            <w:r w:rsidRPr="000E5B3A">
              <w:t>Outcomes</w:t>
            </w:r>
          </w:p>
        </w:tc>
        <w:tc>
          <w:tcPr>
            <w:tcW w:w="3981" w:type="pct"/>
          </w:tcPr>
          <w:p w14:paraId="38A35209" w14:textId="5AFC8FF7" w:rsidR="00D24D0A" w:rsidRPr="000E5B3A" w:rsidRDefault="00D725EE" w:rsidP="00B02FC4">
            <w:pPr>
              <w:pStyle w:val="TableText0"/>
            </w:pPr>
            <w:r w:rsidRPr="000E5B3A">
              <w:t>PFS</w:t>
            </w:r>
            <w:r w:rsidR="003F1258" w:rsidRPr="000E5B3A">
              <w:t>,</w:t>
            </w:r>
            <w:r w:rsidR="00D24D0A" w:rsidRPr="000E5B3A">
              <w:t xml:space="preserve"> </w:t>
            </w:r>
            <w:r w:rsidRPr="000E5B3A">
              <w:t>OS</w:t>
            </w:r>
            <w:r w:rsidR="002F4EC5" w:rsidRPr="000E5B3A">
              <w:t xml:space="preserve">, </w:t>
            </w:r>
            <w:r w:rsidR="002F4EC5" w:rsidRPr="000E5B3A">
              <w:rPr>
                <w:i/>
                <w:iCs/>
              </w:rPr>
              <w:t>QALYs, LYG</w:t>
            </w:r>
          </w:p>
        </w:tc>
      </w:tr>
      <w:tr w:rsidR="00D24D0A" w:rsidRPr="000E5B3A" w14:paraId="241D861B" w14:textId="77777777" w:rsidTr="003B17F2">
        <w:tc>
          <w:tcPr>
            <w:tcW w:w="1019" w:type="pct"/>
            <w:vAlign w:val="center"/>
          </w:tcPr>
          <w:p w14:paraId="434C1B75" w14:textId="77777777" w:rsidR="00D24D0A" w:rsidRPr="000E5B3A" w:rsidRDefault="00D24D0A" w:rsidP="00B02FC4">
            <w:pPr>
              <w:pStyle w:val="TableText0"/>
            </w:pPr>
            <w:r w:rsidRPr="000E5B3A">
              <w:t>Methods used to generate results</w:t>
            </w:r>
          </w:p>
        </w:tc>
        <w:tc>
          <w:tcPr>
            <w:tcW w:w="3981" w:type="pct"/>
            <w:vAlign w:val="center"/>
          </w:tcPr>
          <w:p w14:paraId="59C63649" w14:textId="77777777" w:rsidR="00D24D0A" w:rsidRPr="000E5B3A" w:rsidRDefault="00D24D0A" w:rsidP="00B02FC4">
            <w:pPr>
              <w:pStyle w:val="TableText0"/>
            </w:pPr>
            <w:r w:rsidRPr="000E5B3A">
              <w:t>Partitioned survival model</w:t>
            </w:r>
          </w:p>
        </w:tc>
      </w:tr>
      <w:tr w:rsidR="00D24D0A" w:rsidRPr="000E5B3A" w14:paraId="757485E4" w14:textId="77777777" w:rsidTr="003B17F2">
        <w:tc>
          <w:tcPr>
            <w:tcW w:w="1019" w:type="pct"/>
            <w:vAlign w:val="center"/>
          </w:tcPr>
          <w:p w14:paraId="1BAE8FC1" w14:textId="77777777" w:rsidR="00D24D0A" w:rsidRPr="000E5B3A" w:rsidRDefault="00D24D0A" w:rsidP="00B02FC4">
            <w:pPr>
              <w:pStyle w:val="TableText0"/>
            </w:pPr>
            <w:r w:rsidRPr="000E5B3A">
              <w:t>Health states</w:t>
            </w:r>
          </w:p>
        </w:tc>
        <w:tc>
          <w:tcPr>
            <w:tcW w:w="3981" w:type="pct"/>
            <w:vAlign w:val="center"/>
          </w:tcPr>
          <w:p w14:paraId="12CD9FB4" w14:textId="77777777" w:rsidR="00D24D0A" w:rsidRPr="000E5B3A" w:rsidRDefault="00D24D0A" w:rsidP="00B02FC4">
            <w:pPr>
              <w:pStyle w:val="TableText0"/>
            </w:pPr>
            <w:r w:rsidRPr="000E5B3A">
              <w:t>Progression-free; Progressed disease; Dead</w:t>
            </w:r>
          </w:p>
        </w:tc>
      </w:tr>
      <w:tr w:rsidR="00D24D0A" w:rsidRPr="000E5B3A" w14:paraId="7E76F68C" w14:textId="77777777" w:rsidTr="003B17F2">
        <w:tc>
          <w:tcPr>
            <w:tcW w:w="1019" w:type="pct"/>
            <w:vAlign w:val="center"/>
          </w:tcPr>
          <w:p w14:paraId="1241834D" w14:textId="77777777" w:rsidR="00D24D0A" w:rsidRPr="000E5B3A" w:rsidRDefault="00D24D0A" w:rsidP="00B02FC4">
            <w:pPr>
              <w:pStyle w:val="TableText0"/>
            </w:pPr>
            <w:r w:rsidRPr="000E5B3A">
              <w:t>Cycle length</w:t>
            </w:r>
          </w:p>
        </w:tc>
        <w:tc>
          <w:tcPr>
            <w:tcW w:w="3981" w:type="pct"/>
            <w:vAlign w:val="center"/>
          </w:tcPr>
          <w:p w14:paraId="7656E408" w14:textId="77777777" w:rsidR="00D24D0A" w:rsidRPr="000E5B3A" w:rsidRDefault="00D24D0A" w:rsidP="00B02FC4">
            <w:pPr>
              <w:pStyle w:val="TableText0"/>
            </w:pPr>
            <w:r w:rsidRPr="000E5B3A">
              <w:t>28 days</w:t>
            </w:r>
          </w:p>
        </w:tc>
      </w:tr>
      <w:tr w:rsidR="00D24D0A" w:rsidRPr="000E5B3A" w14:paraId="7BD0B5FC" w14:textId="77777777" w:rsidTr="003B17F2">
        <w:tc>
          <w:tcPr>
            <w:tcW w:w="1019" w:type="pct"/>
            <w:vAlign w:val="center"/>
          </w:tcPr>
          <w:p w14:paraId="34DD4B93" w14:textId="77777777" w:rsidR="00D24D0A" w:rsidRPr="000E5B3A" w:rsidRDefault="00D24D0A" w:rsidP="00B02FC4">
            <w:pPr>
              <w:pStyle w:val="TableText0"/>
            </w:pPr>
            <w:r w:rsidRPr="000E5B3A">
              <w:t>Allocation to health states</w:t>
            </w:r>
          </w:p>
        </w:tc>
        <w:tc>
          <w:tcPr>
            <w:tcW w:w="3981" w:type="pct"/>
            <w:vAlign w:val="center"/>
          </w:tcPr>
          <w:p w14:paraId="28A923D7" w14:textId="21963BA6" w:rsidR="00D24D0A" w:rsidRPr="000E5B3A" w:rsidRDefault="00D24D0A" w:rsidP="00B02FC4">
            <w:pPr>
              <w:pStyle w:val="TableText0"/>
            </w:pPr>
            <w:r w:rsidRPr="000E5B3A">
              <w:t>Health state allocation over time is determined by PFS and OS curves from the POD1UM-303 trial (</w:t>
            </w:r>
            <w:r w:rsidR="00926460" w:rsidRPr="000E5B3A">
              <w:t>using</w:t>
            </w:r>
            <w:r w:rsidRPr="000E5B3A">
              <w:t xml:space="preserve"> RPSFT crossover adjustment for OS), extrapolated over the modelled time horizon via joint fitted parametric survival models (PFS: Lognormal; OS: Loglogistic).</w:t>
            </w:r>
          </w:p>
        </w:tc>
      </w:tr>
      <w:tr w:rsidR="00D24D0A" w:rsidRPr="000E5B3A" w14:paraId="4DEFE5EB" w14:textId="77777777" w:rsidTr="003B17F2">
        <w:tc>
          <w:tcPr>
            <w:tcW w:w="1019" w:type="pct"/>
            <w:vAlign w:val="center"/>
          </w:tcPr>
          <w:p w14:paraId="10E27E4F" w14:textId="77777777" w:rsidR="00D24D0A" w:rsidRPr="00086526" w:rsidRDefault="00D24D0A" w:rsidP="00B02FC4">
            <w:pPr>
              <w:pStyle w:val="TableText0"/>
            </w:pPr>
            <w:r w:rsidRPr="00086526">
              <w:t>Extrapolation method</w:t>
            </w:r>
          </w:p>
        </w:tc>
        <w:tc>
          <w:tcPr>
            <w:tcW w:w="3981" w:type="pct"/>
            <w:vAlign w:val="center"/>
          </w:tcPr>
          <w:p w14:paraId="5C14569E" w14:textId="111C9769" w:rsidR="00D24D0A" w:rsidRPr="00086526" w:rsidRDefault="00D24D0A" w:rsidP="00B02FC4">
            <w:pPr>
              <w:pStyle w:val="TableText0"/>
            </w:pPr>
            <w:r w:rsidRPr="00086526">
              <w:t>Parametric survival functions were fit</w:t>
            </w:r>
            <w:r w:rsidR="00EC4423" w:rsidRPr="00086526">
              <w:t>ted</w:t>
            </w:r>
            <w:r w:rsidRPr="00086526">
              <w:t xml:space="preserve"> to the OS and PFS KM data from the POD1UM-303 trial-based on individual patient data. A parametric model was fitted to each treatment arm with Lognormal selected in base case for PFS (both arms) and Loglogistic selected for OS for both arms) based on goodness of fit and the assumption of proportional hazards.</w:t>
            </w:r>
          </w:p>
          <w:p w14:paraId="134BD4E7" w14:textId="77777777" w:rsidR="00D24D0A" w:rsidRPr="00086526" w:rsidRDefault="00D24D0A" w:rsidP="00B02FC4">
            <w:pPr>
              <w:pStyle w:val="TableText0"/>
            </w:pPr>
            <w:r w:rsidRPr="00086526">
              <w:t>In the base case, risk convergence and curve convergence were not included.</w:t>
            </w:r>
          </w:p>
          <w:p w14:paraId="5F334BCD" w14:textId="77777777" w:rsidR="00D24D0A" w:rsidRPr="00086526" w:rsidRDefault="00D24D0A" w:rsidP="00B02FC4">
            <w:pPr>
              <w:pStyle w:val="TableText0"/>
            </w:pPr>
            <w:r w:rsidRPr="00086526">
              <w:t>76.4% of the incremental LYGs occur in the extrapolated period.</w:t>
            </w:r>
          </w:p>
        </w:tc>
      </w:tr>
      <w:tr w:rsidR="00D24D0A" w:rsidRPr="000E5B3A" w14:paraId="074CF9ED" w14:textId="77777777" w:rsidTr="003B17F2">
        <w:tc>
          <w:tcPr>
            <w:tcW w:w="1019" w:type="pct"/>
            <w:vAlign w:val="center"/>
          </w:tcPr>
          <w:p w14:paraId="0754382C" w14:textId="77777777" w:rsidR="00D24D0A" w:rsidRPr="00086526" w:rsidRDefault="00D24D0A" w:rsidP="00B02FC4">
            <w:pPr>
              <w:pStyle w:val="TableText0"/>
            </w:pPr>
            <w:r w:rsidRPr="00086526">
              <w:t>Health related quality of life</w:t>
            </w:r>
          </w:p>
        </w:tc>
        <w:tc>
          <w:tcPr>
            <w:tcW w:w="3981" w:type="pct"/>
            <w:vAlign w:val="center"/>
          </w:tcPr>
          <w:p w14:paraId="44FBB49E" w14:textId="0510DC6D" w:rsidR="00D24D0A" w:rsidRPr="00086526" w:rsidRDefault="00A173ED" w:rsidP="00B02FC4">
            <w:pPr>
              <w:pStyle w:val="TableText0"/>
            </w:pPr>
            <w:r w:rsidRPr="00086526">
              <w:t>U</w:t>
            </w:r>
            <w:r w:rsidR="00D24D0A" w:rsidRPr="00086526">
              <w:t>tility values were applied to each of the key health states based on POD1UM-303. pre-progression = 0.872; post-progression = 0.769</w:t>
            </w:r>
          </w:p>
        </w:tc>
      </w:tr>
    </w:tbl>
    <w:p w14:paraId="2F1CBB7C" w14:textId="77777777" w:rsidR="00D24D0A" w:rsidRPr="000E5B3A" w:rsidRDefault="00D24D0A" w:rsidP="00B02FC4">
      <w:pPr>
        <w:pStyle w:val="TableFigureFooter"/>
        <w:keepNext/>
      </w:pPr>
      <w:r w:rsidRPr="000E5B3A">
        <w:t>Source: Tables 53, 65, pp114, 140 of the submission.</w:t>
      </w:r>
    </w:p>
    <w:p w14:paraId="7C515B56" w14:textId="2015394A" w:rsidR="00D24D0A" w:rsidRPr="000E5B3A" w:rsidRDefault="002F4EC5" w:rsidP="00B02FC4">
      <w:pPr>
        <w:pStyle w:val="TableFigureFooter"/>
        <w:keepNext/>
      </w:pPr>
      <w:r w:rsidRPr="000E5B3A">
        <w:t xml:space="preserve">LYG = life years gained; </w:t>
      </w:r>
      <w:r w:rsidR="00D24D0A" w:rsidRPr="000E5B3A">
        <w:t xml:space="preserve">OS = overall survival; PFS = progression-free survival; </w:t>
      </w:r>
      <w:r w:rsidRPr="000E5B3A">
        <w:t xml:space="preserve">QALY = quality-adjusted life years; </w:t>
      </w:r>
      <w:r w:rsidR="00D24D0A" w:rsidRPr="000E5B3A">
        <w:t>RPSFT = rank-preserving structural failure time</w:t>
      </w:r>
    </w:p>
    <w:p w14:paraId="5829E388" w14:textId="77777777" w:rsidR="00D24D0A" w:rsidRPr="000E5B3A" w:rsidRDefault="00D24D0A" w:rsidP="00B02FC4">
      <w:pPr>
        <w:pStyle w:val="TableFigureFooter"/>
        <w:keepNext/>
      </w:pPr>
      <w:r w:rsidRPr="000E5B3A">
        <w:rPr>
          <w:vertAlign w:val="superscript"/>
        </w:rPr>
        <w:t xml:space="preserve">a </w:t>
      </w:r>
      <w:r w:rsidRPr="000E5B3A">
        <w:t>In POD1UM-303, the OS median follow-up duration for the retifanlimab + CP arm was 14.77 months and the OS median follow-up duration for the placebo + CP arm was 12.86 months.</w:t>
      </w:r>
    </w:p>
    <w:p w14:paraId="1DF317CD" w14:textId="6EFDE807" w:rsidR="005B5BCE" w:rsidRPr="000E5B3A" w:rsidRDefault="006B5F7F" w:rsidP="00A46CB1">
      <w:pPr>
        <w:pStyle w:val="3-BodyText"/>
      </w:pPr>
      <w:bookmarkStart w:id="53" w:name="_Ref211508655"/>
      <w:r w:rsidRPr="000E5B3A">
        <w:t xml:space="preserve">The </w:t>
      </w:r>
      <w:r w:rsidR="006A573E" w:rsidRPr="000E5B3A">
        <w:t xml:space="preserve">model </w:t>
      </w:r>
      <w:r w:rsidRPr="000E5B3A">
        <w:t>base case assumed a 15-year time horizon</w:t>
      </w:r>
      <w:r w:rsidR="006A573E" w:rsidRPr="000E5B3A">
        <w:t>, which t</w:t>
      </w:r>
      <w:r w:rsidRPr="000E5B3A">
        <w:t xml:space="preserve">he submission </w:t>
      </w:r>
      <w:r w:rsidR="00DD5053" w:rsidRPr="000E5B3A">
        <w:t xml:space="preserve">justified as a lifetime horizon based on extrapolated </w:t>
      </w:r>
      <w:r w:rsidRPr="000E5B3A">
        <w:t xml:space="preserve">POD1UM-303 </w:t>
      </w:r>
      <w:r w:rsidR="001220EE" w:rsidRPr="000E5B3A">
        <w:t>OS data</w:t>
      </w:r>
      <w:r w:rsidRPr="000E5B3A">
        <w:t xml:space="preserve">. The submission also claimed that </w:t>
      </w:r>
      <w:r w:rsidR="001220EE" w:rsidRPr="000E5B3A">
        <w:t>this was supported</w:t>
      </w:r>
      <w:r w:rsidR="00537A4E" w:rsidRPr="000E5B3A">
        <w:t xml:space="preserve"> by the </w:t>
      </w:r>
      <w:r w:rsidR="000259CB" w:rsidRPr="000E5B3A">
        <w:t>estimation</w:t>
      </w:r>
      <w:r w:rsidR="00537A4E" w:rsidRPr="000E5B3A">
        <w:t xml:space="preserve"> that</w:t>
      </w:r>
      <w:r w:rsidRPr="000E5B3A">
        <w:t xml:space="preserve"> 2.5% of patients </w:t>
      </w:r>
      <w:r w:rsidR="00BB4BB2" w:rsidRPr="000E5B3A">
        <w:t>on current standard of care (</w:t>
      </w:r>
      <w:r w:rsidR="00884118" w:rsidRPr="000E5B3A">
        <w:t>i.e.</w:t>
      </w:r>
      <w:r w:rsidR="00BB4BB2" w:rsidRPr="000E5B3A">
        <w:t xml:space="preserve"> the</w:t>
      </w:r>
      <w:r w:rsidRPr="000E5B3A">
        <w:t xml:space="preserve"> CP arm</w:t>
      </w:r>
      <w:r w:rsidR="00BB4BB2" w:rsidRPr="000E5B3A">
        <w:t>)</w:t>
      </w:r>
      <w:r w:rsidRPr="000E5B3A">
        <w:t xml:space="preserve"> were estimated to remain alive beyond 15</w:t>
      </w:r>
      <w:r w:rsidR="00B02FC4">
        <w:t> </w:t>
      </w:r>
      <w:r w:rsidRPr="000E5B3A">
        <w:t xml:space="preserve">years. </w:t>
      </w:r>
      <w:r w:rsidR="00032EBD" w:rsidRPr="000E5B3A">
        <w:t xml:space="preserve">The evaluation </w:t>
      </w:r>
      <w:r w:rsidR="006F3565" w:rsidRPr="000E5B3A">
        <w:t xml:space="preserve">and the ESC </w:t>
      </w:r>
      <w:r w:rsidR="00032EBD" w:rsidRPr="000E5B3A">
        <w:t>considered that a</w:t>
      </w:r>
      <w:r w:rsidRPr="000E5B3A">
        <w:t xml:space="preserve"> 15-year lifetime time horizon may be overly optimistic</w:t>
      </w:r>
      <w:r w:rsidR="00B23656" w:rsidRPr="000E5B3A">
        <w:t>,</w:t>
      </w:r>
      <w:r w:rsidRPr="000E5B3A">
        <w:t xml:space="preserve"> given the </w:t>
      </w:r>
      <w:r w:rsidR="00B23656" w:rsidRPr="000E5B3A">
        <w:t xml:space="preserve">limited </w:t>
      </w:r>
      <w:r w:rsidRPr="000E5B3A">
        <w:t xml:space="preserve">OS follow-up in POD1UM-303 </w:t>
      </w:r>
      <w:r w:rsidR="00B23656" w:rsidRPr="000E5B3A">
        <w:t>(</w:t>
      </w:r>
      <w:r w:rsidRPr="000E5B3A">
        <w:t>14.77 months for the retifanlimab + CP arm and 12.86 months for the placebo + CP arm</w:t>
      </w:r>
      <w:r w:rsidR="00B23656" w:rsidRPr="000E5B3A">
        <w:t>)</w:t>
      </w:r>
      <w:r w:rsidRPr="000E5B3A">
        <w:t xml:space="preserve">, and </w:t>
      </w:r>
      <w:r w:rsidR="00F658D2" w:rsidRPr="000E5B3A">
        <w:t xml:space="preserve">extrapolation to </w:t>
      </w:r>
      <w:r w:rsidRPr="000E5B3A">
        <w:t>15 year</w:t>
      </w:r>
      <w:r w:rsidR="00F658D2" w:rsidRPr="000E5B3A">
        <w:t>s</w:t>
      </w:r>
      <w:r w:rsidRPr="000E5B3A">
        <w:t xml:space="preserve"> would substantial</w:t>
      </w:r>
      <w:r w:rsidR="00262600" w:rsidRPr="000E5B3A">
        <w:t>ly increase</w:t>
      </w:r>
      <w:r w:rsidRPr="000E5B3A">
        <w:t xml:space="preserve"> uncertainty, especially as the POD1UM-303 unadjusted OS analysis was not statistically significant at the DCO.</w:t>
      </w:r>
      <w:r w:rsidR="00F074A7" w:rsidRPr="000E5B3A">
        <w:t xml:space="preserve"> Assuming a 7.5 or 10-year time horizon increased the ICER by </w:t>
      </w:r>
      <w:r w:rsidR="009951A2" w:rsidRPr="009951A2">
        <w:rPr>
          <w:highlight w:val="black"/>
        </w:rPr>
        <w:t>&amp;&amp;&amp;&amp;</w:t>
      </w:r>
      <w:r w:rsidR="00F074A7" w:rsidRPr="000E5B3A">
        <w:t xml:space="preserve">% and </w:t>
      </w:r>
      <w:r w:rsidR="009951A2" w:rsidRPr="009951A2">
        <w:rPr>
          <w:highlight w:val="black"/>
        </w:rPr>
        <w:t>&amp;&amp;&amp;&amp;</w:t>
      </w:r>
      <w:r w:rsidR="00F074A7" w:rsidRPr="000E5B3A">
        <w:t>%, respectively.</w:t>
      </w:r>
      <w:r w:rsidR="000811E8">
        <w:t xml:space="preserve"> The Pre</w:t>
      </w:r>
      <w:r w:rsidR="00331018">
        <w:t xml:space="preserve">-PBAC response indicated the sponsor was willing to accept a 10-year time horizon </w:t>
      </w:r>
      <w:r w:rsidR="00DE17E7">
        <w:t xml:space="preserve">in a re-specified base case </w:t>
      </w:r>
      <w:r w:rsidR="00331018">
        <w:t>(see paragraph</w:t>
      </w:r>
      <w:r w:rsidR="00D67377">
        <w:t xml:space="preserve"> </w:t>
      </w:r>
      <w:r w:rsidR="00D67377">
        <w:fldChar w:fldCharType="begin"/>
      </w:r>
      <w:r w:rsidR="00D67377">
        <w:instrText xml:space="preserve"> REF _Ref211509669 \r \h </w:instrText>
      </w:r>
      <w:r w:rsidR="00D67377">
        <w:fldChar w:fldCharType="separate"/>
      </w:r>
      <w:r w:rsidR="00DB6E72">
        <w:t>6.48</w:t>
      </w:r>
      <w:r w:rsidR="00D67377">
        <w:fldChar w:fldCharType="end"/>
      </w:r>
      <w:r w:rsidR="00331018">
        <w:t xml:space="preserve">). </w:t>
      </w:r>
    </w:p>
    <w:p w14:paraId="78124D53" w14:textId="1E0B08F7" w:rsidR="006B5F7F" w:rsidRPr="000E5B3A" w:rsidRDefault="006B5F7F" w:rsidP="00B02FC4">
      <w:pPr>
        <w:pStyle w:val="3-BodyText"/>
        <w:keepNext/>
        <w:keepLines/>
      </w:pPr>
      <w:bookmarkStart w:id="54" w:name="_Ref215660707"/>
      <w:r w:rsidRPr="000E5B3A">
        <w:lastRenderedPageBreak/>
        <w:t>Moreover, no convergence was assumed in the base case</w:t>
      </w:r>
      <w:r w:rsidR="00DB3A38" w:rsidRPr="000E5B3A">
        <w:t xml:space="preserve"> to account for the uncertainty in extrapolation, though these were included as sensitivity analyses.</w:t>
      </w:r>
      <w:r w:rsidRPr="000E5B3A">
        <w:t xml:space="preserve"> </w:t>
      </w:r>
      <w:r w:rsidR="002C7C94" w:rsidRPr="000E5B3A">
        <w:t xml:space="preserve">The PSCR </w:t>
      </w:r>
      <w:r w:rsidR="008F3D85" w:rsidRPr="000E5B3A">
        <w:t>argued that the curves have essentially converged at 15 years, as only 2.4%</w:t>
      </w:r>
      <w:r w:rsidR="00B02FC4">
        <w:t> </w:t>
      </w:r>
      <w:r w:rsidR="008F3D85" w:rsidRPr="000E5B3A">
        <w:t xml:space="preserve">of patients in the CP arm and 4.7% in the retifanlimab + CP arm </w:t>
      </w:r>
      <w:r w:rsidR="00F833D0" w:rsidRPr="000E5B3A">
        <w:t>we</w:t>
      </w:r>
      <w:r w:rsidR="008F3D85" w:rsidRPr="000E5B3A">
        <w:t>re estimated to be</w:t>
      </w:r>
      <w:r w:rsidR="00B02FC4">
        <w:t xml:space="preserve"> </w:t>
      </w:r>
      <w:r w:rsidR="008F3D85" w:rsidRPr="000E5B3A">
        <w:t>alive.</w:t>
      </w:r>
      <w:r w:rsidR="0062189D" w:rsidRPr="000E5B3A">
        <w:t xml:space="preserve"> However, </w:t>
      </w:r>
      <w:r w:rsidR="00F4556F" w:rsidRPr="000E5B3A">
        <w:t xml:space="preserve">the ESC noted that </w:t>
      </w:r>
      <w:r w:rsidR="0062189D" w:rsidRPr="000E5B3A">
        <w:t>at this time the OS rate observed for the retifanlimab + CP arm was approximately double that for the placebo + CP arm.</w:t>
      </w:r>
      <w:r w:rsidR="00B53CBA" w:rsidRPr="000E5B3A">
        <w:t xml:space="preserve"> </w:t>
      </w:r>
      <w:r w:rsidR="00DE5FDA" w:rsidRPr="000E5B3A">
        <w:t>T</w:t>
      </w:r>
      <w:r w:rsidR="00F074A7" w:rsidRPr="000E5B3A">
        <w:t>he ESC considered the assumed continued survival benefit associated with retifanlimab (which has a treatment duration of up to 12 months) was optimistic, given the relatively immature OS data (with a median trial follow-up of less than 15 months for OS). Thus, the ESC considered that risk convergence from 5 years would be more reasonable. The ESC noted the ICER was not sensitive to the inclusion of curve convergence (even when corrected during evaluation) as this method applies a linear rate of decline in OS and PFS for retifanlimab + CP, whereas the POD1UM-303 Kaplan-Meier survival data did not follow a linear pattern.</w:t>
      </w:r>
      <w:bookmarkEnd w:id="53"/>
      <w:bookmarkEnd w:id="54"/>
    </w:p>
    <w:p w14:paraId="57D1701A" w14:textId="1BA7554A" w:rsidR="00A46CB1" w:rsidRPr="000E5B3A" w:rsidRDefault="003C5D60" w:rsidP="00A46CB1">
      <w:pPr>
        <w:pStyle w:val="3-BodyText"/>
      </w:pPr>
      <w:bookmarkStart w:id="55" w:name="_Ref211508959"/>
      <w:r w:rsidRPr="000E5B3A">
        <w:t xml:space="preserve">Parametric survival functions were fitted to the OS and PFS KM data from the POD1UM-303 trial-based on individual patient data. </w:t>
      </w:r>
      <w:r w:rsidR="00A46CB1" w:rsidRPr="000E5B3A">
        <w:t xml:space="preserve">The base case </w:t>
      </w:r>
      <w:r w:rsidR="00964CEF" w:rsidRPr="000E5B3A">
        <w:t>relied on</w:t>
      </w:r>
      <w:r w:rsidR="00A46CB1" w:rsidRPr="000E5B3A">
        <w:t xml:space="preserve"> OS data adjusted for crossover using the RPSFT analysis, while the analysis using the ITT population and adjusting for cross-over using IPCW were presented as a sensitivity analyses.</w:t>
      </w:r>
      <w:r w:rsidR="00FE31F7" w:rsidRPr="000E5B3A">
        <w:t xml:space="preserve"> The </w:t>
      </w:r>
      <w:r w:rsidR="003E05D5" w:rsidRPr="000E5B3A">
        <w:t>ESC</w:t>
      </w:r>
      <w:r w:rsidR="00FE31F7" w:rsidRPr="000E5B3A">
        <w:t xml:space="preserve"> considered i</w:t>
      </w:r>
      <w:r w:rsidR="001F40F8" w:rsidRPr="000E5B3A">
        <w:t xml:space="preserve">t was </w:t>
      </w:r>
      <w:r w:rsidR="00E75A0B" w:rsidRPr="000E5B3A">
        <w:t>not</w:t>
      </w:r>
      <w:r w:rsidR="001F40F8" w:rsidRPr="000E5B3A">
        <w:t xml:space="preserve"> reasonable to use the </w:t>
      </w:r>
      <w:r w:rsidR="004764DF" w:rsidRPr="000E5B3A">
        <w:t xml:space="preserve">crossover-adjusted </w:t>
      </w:r>
      <w:r w:rsidR="001F40F8" w:rsidRPr="000E5B3A">
        <w:t>OS data in the base case</w:t>
      </w:r>
      <w:r w:rsidR="00D27EBF" w:rsidRPr="000E5B3A">
        <w:t>,</w:t>
      </w:r>
      <w:r w:rsidR="001F40F8" w:rsidRPr="000E5B3A">
        <w:t xml:space="preserve"> as the</w:t>
      </w:r>
      <w:r w:rsidR="00864E17" w:rsidRPr="000E5B3A">
        <w:t>se</w:t>
      </w:r>
      <w:r w:rsidR="001F40F8" w:rsidRPr="000E5B3A">
        <w:t xml:space="preserve"> were post hoc analyses with substantial uncertainties</w:t>
      </w:r>
      <w:r w:rsidR="00D639E2" w:rsidRPr="000E5B3A">
        <w:t xml:space="preserve"> and it was likely </w:t>
      </w:r>
      <w:r w:rsidR="009B7FCF" w:rsidRPr="000E5B3A">
        <w:t xml:space="preserve">that the required </w:t>
      </w:r>
      <w:r w:rsidR="006719D0" w:rsidRPr="000E5B3A">
        <w:t>assumptions were not met</w:t>
      </w:r>
      <w:r w:rsidR="009B7FCF" w:rsidRPr="000E5B3A">
        <w:t>. I</w:t>
      </w:r>
      <w:r w:rsidR="00426BD2" w:rsidRPr="000E5B3A">
        <w:t xml:space="preserve">n particular </w:t>
      </w:r>
      <w:r w:rsidR="005A0E51" w:rsidRPr="000E5B3A">
        <w:t>for RPSFT</w:t>
      </w:r>
      <w:r w:rsidR="0088070B" w:rsidRPr="000E5B3A">
        <w:t>,</w:t>
      </w:r>
      <w:r w:rsidR="001F40F8" w:rsidRPr="000E5B3A">
        <w:t xml:space="preserve"> </w:t>
      </w:r>
      <w:r w:rsidR="005B42FF">
        <w:t xml:space="preserve">the </w:t>
      </w:r>
      <w:r w:rsidR="00426BD2" w:rsidRPr="000E5B3A">
        <w:t xml:space="preserve">constant treatment effect </w:t>
      </w:r>
      <w:r w:rsidR="0088070B" w:rsidRPr="000E5B3A">
        <w:t>assumption was likely violated</w:t>
      </w:r>
      <w:r w:rsidR="00EB7F79" w:rsidRPr="000E5B3A">
        <w:t xml:space="preserve"> as</w:t>
      </w:r>
      <w:r w:rsidR="00426BD2" w:rsidRPr="000E5B3A">
        <w:t xml:space="preserve"> 2L (retifanlimab</w:t>
      </w:r>
      <w:r w:rsidR="00EB7F79" w:rsidRPr="000E5B3A">
        <w:t xml:space="preserve"> monotherapy</w:t>
      </w:r>
      <w:r w:rsidR="00426BD2" w:rsidRPr="000E5B3A">
        <w:t xml:space="preserve">) may be less effective compared to 1L (retifanlimab + carboplatin + paclitaxel (CP)) </w:t>
      </w:r>
      <w:r w:rsidR="001F40F8" w:rsidRPr="000E5B3A">
        <w:t xml:space="preserve">(see paragraphs </w:t>
      </w:r>
      <w:r w:rsidR="00CA3FF6" w:rsidRPr="000E5B3A">
        <w:fldChar w:fldCharType="begin"/>
      </w:r>
      <w:r w:rsidR="00CA3FF6" w:rsidRPr="000E5B3A">
        <w:instrText xml:space="preserve"> REF _Ref211443685 \r \h </w:instrText>
      </w:r>
      <w:r w:rsidR="00D76811" w:rsidRPr="000E5B3A">
        <w:instrText xml:space="preserve"> \* MERGEFORMAT </w:instrText>
      </w:r>
      <w:r w:rsidR="00CA3FF6" w:rsidRPr="000E5B3A">
        <w:fldChar w:fldCharType="separate"/>
      </w:r>
      <w:r w:rsidR="00DB6E72">
        <w:t>6.17</w:t>
      </w:r>
      <w:r w:rsidR="00CA3FF6" w:rsidRPr="000E5B3A">
        <w:fldChar w:fldCharType="end"/>
      </w:r>
      <w:r w:rsidR="00BA1D18" w:rsidRPr="000E5B3A">
        <w:t xml:space="preserve"> </w:t>
      </w:r>
      <w:r w:rsidR="001F40F8" w:rsidRPr="000E5B3A">
        <w:t xml:space="preserve">to </w:t>
      </w:r>
      <w:r w:rsidR="001F40F8" w:rsidRPr="000E5B3A">
        <w:fldChar w:fldCharType="begin"/>
      </w:r>
      <w:r w:rsidR="001F40F8" w:rsidRPr="000E5B3A">
        <w:instrText xml:space="preserve"> REF _Ref208067196 \r \h </w:instrText>
      </w:r>
      <w:r w:rsidR="00236770" w:rsidRPr="000E5B3A">
        <w:instrText xml:space="preserve"> \* MERGEFORMAT </w:instrText>
      </w:r>
      <w:r w:rsidR="001F40F8" w:rsidRPr="000E5B3A">
        <w:fldChar w:fldCharType="separate"/>
      </w:r>
      <w:r w:rsidR="00DB6E72">
        <w:t>6.18</w:t>
      </w:r>
      <w:r w:rsidR="001F40F8" w:rsidRPr="000E5B3A">
        <w:fldChar w:fldCharType="end"/>
      </w:r>
      <w:r w:rsidR="001F40F8" w:rsidRPr="000E5B3A">
        <w:t xml:space="preserve">). In the absence of </w:t>
      </w:r>
      <w:r w:rsidR="00EB7F79" w:rsidRPr="000E5B3A">
        <w:t xml:space="preserve">more reliable </w:t>
      </w:r>
      <w:r w:rsidR="001F40F8" w:rsidRPr="000E5B3A">
        <w:t xml:space="preserve">data, </w:t>
      </w:r>
      <w:r w:rsidR="00236770" w:rsidRPr="000E5B3A">
        <w:t xml:space="preserve">the evaluation </w:t>
      </w:r>
      <w:r w:rsidR="006719D0" w:rsidRPr="000E5B3A">
        <w:t xml:space="preserve">and the ESC </w:t>
      </w:r>
      <w:r w:rsidR="00236770" w:rsidRPr="000E5B3A">
        <w:t xml:space="preserve">considered </w:t>
      </w:r>
      <w:r w:rsidR="001F40F8" w:rsidRPr="000E5B3A">
        <w:t>it may be reasonable to use the POD1UM</w:t>
      </w:r>
      <w:r w:rsidR="00947F41">
        <w:noBreakHyphen/>
      </w:r>
      <w:r w:rsidR="001F40F8" w:rsidRPr="000E5B3A">
        <w:t>303</w:t>
      </w:r>
      <w:r w:rsidR="00947F41">
        <w:t> </w:t>
      </w:r>
      <w:r w:rsidR="001F40F8" w:rsidRPr="000E5B3A">
        <w:t>ITT</w:t>
      </w:r>
      <w:r w:rsidR="00947F41">
        <w:t> </w:t>
      </w:r>
      <w:r w:rsidR="001F40F8" w:rsidRPr="000E5B3A">
        <w:t xml:space="preserve">OS results </w:t>
      </w:r>
      <w:r w:rsidR="009D542D" w:rsidRPr="000E5B3A">
        <w:t xml:space="preserve">(which had a more conservative point estimate for OS HR) </w:t>
      </w:r>
      <w:r w:rsidR="001F40F8" w:rsidRPr="000E5B3A">
        <w:t>as a proxy, despite the lack of statistical significance, as the base case</w:t>
      </w:r>
      <w:r w:rsidR="00A46CB1" w:rsidRPr="000E5B3A">
        <w:t>.</w:t>
      </w:r>
      <w:r w:rsidR="00FE2F3E" w:rsidRPr="000E5B3A">
        <w:t xml:space="preserve"> The model was moderately sensitive to the use of RPSFT OS results instead of the ITT results, as using the ITT OS results (</w:t>
      </w:r>
      <w:r w:rsidR="00FF45EE" w:rsidRPr="000E5B3A">
        <w:t>using the l</w:t>
      </w:r>
      <w:r w:rsidR="00FE2F3E" w:rsidRPr="000E5B3A">
        <w:t xml:space="preserve">oglogistic </w:t>
      </w:r>
      <w:r w:rsidR="00FF45EE" w:rsidRPr="000E5B3A">
        <w:t xml:space="preserve">function </w:t>
      </w:r>
      <w:r w:rsidR="00FE2F3E" w:rsidRPr="000E5B3A">
        <w:t xml:space="preserve">for </w:t>
      </w:r>
      <w:r w:rsidR="00FF45EE" w:rsidRPr="000E5B3A">
        <w:t xml:space="preserve">extrapolation for </w:t>
      </w:r>
      <w:r w:rsidR="00FE2F3E" w:rsidRPr="000E5B3A">
        <w:t xml:space="preserve">both RPSFT and ITT) increased the ICER by </w:t>
      </w:r>
      <w:r w:rsidR="009951A2" w:rsidRPr="009951A2">
        <w:rPr>
          <w:highlight w:val="black"/>
        </w:rPr>
        <w:t>&amp;&amp;&amp;&amp;</w:t>
      </w:r>
      <w:r w:rsidR="00FE2F3E" w:rsidRPr="000E5B3A">
        <w:t>%.</w:t>
      </w:r>
      <w:r w:rsidR="004F6D5B" w:rsidRPr="000E5B3A">
        <w:t xml:space="preserve">The PSCR argued that </w:t>
      </w:r>
      <w:r w:rsidR="006D2298">
        <w:t xml:space="preserve">the </w:t>
      </w:r>
      <w:r w:rsidR="00A2027C" w:rsidRPr="000E5B3A">
        <w:t>very existence of any survival gain in favour of retifanlimab means that crossover will confound the OS HR point estimate and render the ITT OS HR incorrect</w:t>
      </w:r>
      <w:r w:rsidR="000469E4" w:rsidRPr="000E5B3A">
        <w:t>.</w:t>
      </w:r>
      <w:r w:rsidR="00E8071D" w:rsidRPr="000E5B3A">
        <w:t xml:space="preserve"> </w:t>
      </w:r>
      <w:r w:rsidR="00140BC3" w:rsidRPr="000E5B3A">
        <w:t>However,</w:t>
      </w:r>
      <w:r w:rsidR="000F2B85" w:rsidRPr="000E5B3A">
        <w:t xml:space="preserve"> the ESC considered</w:t>
      </w:r>
      <w:r w:rsidR="001F2408" w:rsidRPr="000E5B3A">
        <w:t xml:space="preserve"> that, while the</w:t>
      </w:r>
      <w:r w:rsidR="00537F5D" w:rsidRPr="000E5B3A">
        <w:t xml:space="preserve"> crossover adjusted results </w:t>
      </w:r>
      <w:r w:rsidR="001F2408" w:rsidRPr="000E5B3A">
        <w:t xml:space="preserve">were informative sensitivity analyses, </w:t>
      </w:r>
      <w:r w:rsidR="002127CF" w:rsidRPr="000E5B3A">
        <w:t>it would be more reasonable to use the POD1UM-303 ITT OS results in the base case</w:t>
      </w:r>
      <w:r w:rsidR="00140BC3" w:rsidRPr="000E5B3A">
        <w:t>.</w:t>
      </w:r>
      <w:bookmarkEnd w:id="55"/>
      <w:r w:rsidR="00760043">
        <w:t xml:space="preserve"> The Pre</w:t>
      </w:r>
      <w:r w:rsidR="00947F41">
        <w:noBreakHyphen/>
      </w:r>
      <w:r w:rsidR="00760043">
        <w:t xml:space="preserve">PBAC response indicated the sponsor was willing to accept use of the ITT analysis in </w:t>
      </w:r>
      <w:r w:rsidR="00DE17E7">
        <w:t>a re-specified base case</w:t>
      </w:r>
      <w:r w:rsidR="00760043">
        <w:t xml:space="preserve"> (see paragraph </w:t>
      </w:r>
      <w:r w:rsidR="000C5B83">
        <w:fldChar w:fldCharType="begin"/>
      </w:r>
      <w:r w:rsidR="000C5B83">
        <w:instrText xml:space="preserve"> REF _Ref211509669 \r \h </w:instrText>
      </w:r>
      <w:r w:rsidR="000C5B83">
        <w:fldChar w:fldCharType="separate"/>
      </w:r>
      <w:r w:rsidR="00DB6E72">
        <w:t>6.48</w:t>
      </w:r>
      <w:r w:rsidR="000C5B83">
        <w:fldChar w:fldCharType="end"/>
      </w:r>
      <w:r w:rsidR="00760043">
        <w:fldChar w:fldCharType="begin"/>
      </w:r>
      <w:r w:rsidR="00760043">
        <w:instrText xml:space="preserve"> REF _Ref215490727 \r \h </w:instrText>
      </w:r>
      <w:r w:rsidR="00760043">
        <w:fldChar w:fldCharType="separate"/>
      </w:r>
      <w:r w:rsidR="00DB6E72">
        <w:t>6.49</w:t>
      </w:r>
      <w:r w:rsidR="00760043">
        <w:fldChar w:fldCharType="end"/>
      </w:r>
      <w:r w:rsidR="00760043">
        <w:t xml:space="preserve">). </w:t>
      </w:r>
    </w:p>
    <w:p w14:paraId="2CEB1695" w14:textId="172569C9" w:rsidR="003C5D60" w:rsidRPr="000E5B3A" w:rsidRDefault="003C5D60" w:rsidP="00ED08EE">
      <w:pPr>
        <w:pStyle w:val="3-BodyText"/>
      </w:pPr>
      <w:r w:rsidRPr="000E5B3A">
        <w:t>The submission concluded that the proportional hazards assumption does not appear to be violated</w:t>
      </w:r>
      <w:r w:rsidR="0066796D" w:rsidRPr="000E5B3A">
        <w:t xml:space="preserve"> based on </w:t>
      </w:r>
      <w:r w:rsidR="00EB2FE4" w:rsidRPr="000E5B3A">
        <w:t xml:space="preserve">the </w:t>
      </w:r>
      <w:r w:rsidR="0066796D" w:rsidRPr="000E5B3A">
        <w:t>Schoenfeld residuals and log-log plots</w:t>
      </w:r>
      <w:r w:rsidRPr="000E5B3A">
        <w:t xml:space="preserve">, and therefore joint parametric functions were applied in the base case for PFS and OS. </w:t>
      </w:r>
    </w:p>
    <w:p w14:paraId="5CE26CF7" w14:textId="48CFA321" w:rsidR="00EB612F" w:rsidRPr="000E5B3A" w:rsidRDefault="009C267B" w:rsidP="00947F41">
      <w:pPr>
        <w:pStyle w:val="3-BodyText"/>
        <w:keepNext/>
        <w:keepLines/>
      </w:pPr>
      <w:bookmarkStart w:id="56" w:name="_Ref215050567"/>
      <w:r w:rsidRPr="000E5B3A">
        <w:lastRenderedPageBreak/>
        <w:t>For PFS</w:t>
      </w:r>
      <w:r w:rsidR="008D4B8D" w:rsidRPr="000E5B3A">
        <w:t xml:space="preserve"> and OS</w:t>
      </w:r>
      <w:r w:rsidRPr="000E5B3A">
        <w:t xml:space="preserve">, the submission applied the Lognormal </w:t>
      </w:r>
      <w:r w:rsidR="008D4B8D" w:rsidRPr="000E5B3A">
        <w:t xml:space="preserve">and Loglogistic </w:t>
      </w:r>
      <w:r w:rsidRPr="000E5B3A">
        <w:t>model</w:t>
      </w:r>
      <w:r w:rsidR="008D4B8D" w:rsidRPr="000E5B3A">
        <w:t xml:space="preserve">s </w:t>
      </w:r>
      <w:r w:rsidRPr="000E5B3A">
        <w:t>in the base case</w:t>
      </w:r>
      <w:r w:rsidR="008D4B8D" w:rsidRPr="000E5B3A">
        <w:t>, respectively,</w:t>
      </w:r>
      <w:r w:rsidRPr="000E5B3A">
        <w:t xml:space="preserve"> based on the Akaike information criterion (AIC) and Bayesian information criterion (BIC).</w:t>
      </w:r>
      <w:r w:rsidR="005A6971" w:rsidRPr="000E5B3A">
        <w:t xml:space="preserve"> </w:t>
      </w:r>
      <w:r w:rsidR="00FB6698" w:rsidRPr="000E5B3A">
        <w:t xml:space="preserve">The model was moderately sensitive to the choice of extrapolation function for OS. </w:t>
      </w:r>
      <w:r w:rsidR="005A6971" w:rsidRPr="000E5B3A">
        <w:t>The evaluation considered that v</w:t>
      </w:r>
      <w:r w:rsidR="00FB6698" w:rsidRPr="000E5B3A">
        <w:t xml:space="preserve">isually, </w:t>
      </w:r>
      <w:r w:rsidR="003A1B0D" w:rsidRPr="000E5B3A">
        <w:t>all extrapolations</w:t>
      </w:r>
      <w:r w:rsidR="000C4C04" w:rsidRPr="000E5B3A">
        <w:t xml:space="preserve"> had reasonable fit to the Kaplan-Meier data from POD1UM-303. </w:t>
      </w:r>
      <w:r w:rsidR="00A22417" w:rsidRPr="000E5B3A">
        <w:t xml:space="preserve">The submission claimed that the Gompertz and Weibull models for OS likely underestimate long-term survival </w:t>
      </w:r>
      <w:r w:rsidR="00AA4AF9" w:rsidRPr="000E5B3A">
        <w:t>(</w:t>
      </w:r>
      <w:r w:rsidR="00C45185" w:rsidRPr="000E5B3A">
        <w:t xml:space="preserve">as </w:t>
      </w:r>
      <w:r w:rsidR="002301ED" w:rsidRPr="000E5B3A">
        <w:t>both models estimat</w:t>
      </w:r>
      <w:r w:rsidR="00AA4AF9" w:rsidRPr="000E5B3A">
        <w:t>ed</w:t>
      </w:r>
      <w:r w:rsidR="002301ED" w:rsidRPr="000E5B3A">
        <w:t xml:space="preserve"> less than 6% survival at 5 years in the CP arm whereas NCCN anal cancer guidelines </w:t>
      </w:r>
      <w:r w:rsidR="00AA4AF9" w:rsidRPr="000E5B3A">
        <w:t>[</w:t>
      </w:r>
      <w:r w:rsidR="002301ED" w:rsidRPr="000E5B3A">
        <w:t>version 4.2025</w:t>
      </w:r>
      <w:r w:rsidR="00AA4AF9" w:rsidRPr="000E5B3A">
        <w:t>]</w:t>
      </w:r>
      <w:r w:rsidR="002301ED" w:rsidRPr="000E5B3A">
        <w:t xml:space="preserve"> report a 30% survival at </w:t>
      </w:r>
      <w:r w:rsidR="00947F41">
        <w:t>5</w:t>
      </w:r>
      <w:r w:rsidR="002301ED" w:rsidRPr="000E5B3A">
        <w:t xml:space="preserve"> years</w:t>
      </w:r>
      <w:r w:rsidR="00AA4AF9" w:rsidRPr="000E5B3A">
        <w:t>)</w:t>
      </w:r>
      <w:r w:rsidR="00D5604E" w:rsidRPr="000E5B3A">
        <w:t>.</w:t>
      </w:r>
      <w:bookmarkEnd w:id="56"/>
      <w:r w:rsidR="002301ED" w:rsidRPr="000E5B3A">
        <w:t xml:space="preserve"> </w:t>
      </w:r>
    </w:p>
    <w:p w14:paraId="487E743A" w14:textId="35D2CA0C" w:rsidR="005C7CC2" w:rsidRPr="000E5B3A" w:rsidRDefault="005C7CC2">
      <w:pPr>
        <w:pStyle w:val="3-BodyText"/>
      </w:pPr>
      <w:bookmarkStart w:id="57" w:name="_Ref215660754"/>
      <w:r w:rsidRPr="000E5B3A">
        <w:t xml:space="preserve">The time point at which the model switches from </w:t>
      </w:r>
      <w:r w:rsidR="00044BB7" w:rsidRPr="000E5B3A">
        <w:t xml:space="preserve">POD1UM-303 </w:t>
      </w:r>
      <w:r w:rsidRPr="000E5B3A">
        <w:t>KM data to parametric extrapolation was determined by the Gebski criterion (Gebski 2018</w:t>
      </w:r>
      <w:r w:rsidR="007D0E0C" w:rsidRPr="000E5B3A">
        <w:rPr>
          <w:rStyle w:val="FootnoteReference"/>
        </w:rPr>
        <w:footnoteReference w:id="6"/>
      </w:r>
      <w:r w:rsidRPr="000E5B3A">
        <w:t>) with consideration also given to visual observation of the KM data and median trial follow</w:t>
      </w:r>
      <w:r w:rsidR="00947F41">
        <w:noBreakHyphen/>
      </w:r>
      <w:r w:rsidRPr="000E5B3A">
        <w:t>up. The submission used Gebski criterion 1 (2.5%) in the base case, and Gebski criterion 1 (5%) and Criterion 2 in sensitivity analyses. The KM timepoints corresponding to these Gebski criteria as presented in the submission are</w:t>
      </w:r>
      <w:r w:rsidR="00624940" w:rsidRPr="000E5B3A">
        <w:t xml:space="preserve"> shown</w:t>
      </w:r>
      <w:r w:rsidRPr="000E5B3A">
        <w:t xml:space="preserve"> in</w:t>
      </w:r>
      <w:r w:rsidR="00044BB7" w:rsidRPr="000E5B3A">
        <w:t xml:space="preserve"> </w:t>
      </w:r>
      <w:fldSimple w:instr=" REF _Ref207827419 ">
        <w:r w:rsidR="00DB6E72" w:rsidRPr="000E5B3A">
          <w:t xml:space="preserve">Table </w:t>
        </w:r>
        <w:r w:rsidR="00DB6E72">
          <w:rPr>
            <w:noProof/>
          </w:rPr>
          <w:t>10</w:t>
        </w:r>
      </w:fldSimple>
      <w:r w:rsidRPr="000E5B3A">
        <w:t>.</w:t>
      </w:r>
      <w:bookmarkEnd w:id="57"/>
      <w:r w:rsidRPr="000E5B3A">
        <w:t xml:space="preserve"> </w:t>
      </w:r>
    </w:p>
    <w:p w14:paraId="7925F165" w14:textId="52468CCC" w:rsidR="005C7CC2" w:rsidRPr="000E5B3A" w:rsidRDefault="00044BB7" w:rsidP="00044BB7">
      <w:pPr>
        <w:pStyle w:val="Caption"/>
      </w:pPr>
      <w:bookmarkStart w:id="58" w:name="_Ref207827419"/>
      <w:r w:rsidRPr="000E5B3A">
        <w:t xml:space="preserve">Table </w:t>
      </w:r>
      <w:fldSimple w:instr=" SEQ Table \* ARABIC ">
        <w:r w:rsidR="00DB6E72">
          <w:rPr>
            <w:noProof/>
          </w:rPr>
          <w:t>10</w:t>
        </w:r>
      </w:fldSimple>
      <w:bookmarkEnd w:id="58"/>
      <w:r w:rsidR="005C7CC2" w:rsidRPr="000E5B3A">
        <w:t>: Kaplan-Meier time points (months) prior to failing Gebski criterion</w:t>
      </w:r>
    </w:p>
    <w:tbl>
      <w:tblPr>
        <w:tblStyle w:val="TableGrid"/>
        <w:tblW w:w="0" w:type="auto"/>
        <w:tblLook w:val="04A0" w:firstRow="1" w:lastRow="0" w:firstColumn="1" w:lastColumn="0" w:noHBand="0" w:noVBand="1"/>
        <w:tblCaption w:val="Table 10: Kaplan-Meier time points (months) prior to failing Gebski criterion"/>
      </w:tblPr>
      <w:tblGrid>
        <w:gridCol w:w="1980"/>
        <w:gridCol w:w="1701"/>
        <w:gridCol w:w="1559"/>
        <w:gridCol w:w="1276"/>
        <w:gridCol w:w="2500"/>
      </w:tblGrid>
      <w:tr w:rsidR="005C7CC2" w:rsidRPr="000E5B3A" w14:paraId="08D97CEE" w14:textId="77777777" w:rsidTr="00F36652">
        <w:trPr>
          <w:trHeight w:val="170"/>
        </w:trPr>
        <w:tc>
          <w:tcPr>
            <w:tcW w:w="1980" w:type="dxa"/>
            <w:vMerge w:val="restart"/>
          </w:tcPr>
          <w:p w14:paraId="3FAAA40E" w14:textId="77777777" w:rsidR="005C7CC2" w:rsidRPr="000E5B3A" w:rsidRDefault="005C7CC2">
            <w:pPr>
              <w:pStyle w:val="TableText0"/>
            </w:pPr>
          </w:p>
        </w:tc>
        <w:tc>
          <w:tcPr>
            <w:tcW w:w="4536" w:type="dxa"/>
            <w:gridSpan w:val="3"/>
          </w:tcPr>
          <w:p w14:paraId="10648A60" w14:textId="77777777" w:rsidR="005C7CC2" w:rsidRPr="000E5B3A" w:rsidRDefault="005C7CC2">
            <w:pPr>
              <w:pStyle w:val="In-tableHeading"/>
              <w:rPr>
                <w:lang w:val="en-AU"/>
              </w:rPr>
            </w:pPr>
            <w:r w:rsidRPr="000E5B3A">
              <w:rPr>
                <w:lang w:val="en-AU"/>
              </w:rPr>
              <w:t>KM time point (months) prior to failing Criterion</w:t>
            </w:r>
          </w:p>
        </w:tc>
        <w:tc>
          <w:tcPr>
            <w:tcW w:w="2500" w:type="dxa"/>
            <w:tcBorders>
              <w:bottom w:val="nil"/>
            </w:tcBorders>
          </w:tcPr>
          <w:p w14:paraId="7C1D3DD1" w14:textId="77777777" w:rsidR="005C7CC2" w:rsidRPr="000E5B3A" w:rsidRDefault="005C7CC2">
            <w:pPr>
              <w:pStyle w:val="In-tableHeading"/>
              <w:rPr>
                <w:lang w:val="en-AU"/>
              </w:rPr>
            </w:pPr>
            <w:r w:rsidRPr="000E5B3A">
              <w:rPr>
                <w:lang w:val="en-AU"/>
              </w:rPr>
              <w:t>POD1UM-303</w:t>
            </w:r>
          </w:p>
        </w:tc>
      </w:tr>
      <w:tr w:rsidR="005C7CC2" w:rsidRPr="000E5B3A" w14:paraId="53982515" w14:textId="77777777" w:rsidTr="00F36652">
        <w:trPr>
          <w:trHeight w:val="170"/>
        </w:trPr>
        <w:tc>
          <w:tcPr>
            <w:tcW w:w="1980" w:type="dxa"/>
            <w:vMerge/>
          </w:tcPr>
          <w:p w14:paraId="1A9A6FA2" w14:textId="77777777" w:rsidR="005C7CC2" w:rsidRPr="000E5B3A" w:rsidRDefault="005C7CC2">
            <w:pPr>
              <w:pStyle w:val="TableText0"/>
            </w:pPr>
          </w:p>
        </w:tc>
        <w:tc>
          <w:tcPr>
            <w:tcW w:w="1701" w:type="dxa"/>
          </w:tcPr>
          <w:p w14:paraId="31B96408" w14:textId="77777777" w:rsidR="005C7CC2" w:rsidRPr="000E5B3A" w:rsidRDefault="005C7CC2">
            <w:pPr>
              <w:pStyle w:val="In-tableHeading"/>
              <w:rPr>
                <w:lang w:val="en-AU"/>
              </w:rPr>
            </w:pPr>
            <w:r w:rsidRPr="000E5B3A">
              <w:rPr>
                <w:lang w:val="en-AU"/>
              </w:rPr>
              <w:t>Criterion 1 (2.5%)</w:t>
            </w:r>
          </w:p>
        </w:tc>
        <w:tc>
          <w:tcPr>
            <w:tcW w:w="1559" w:type="dxa"/>
          </w:tcPr>
          <w:p w14:paraId="303F5A01" w14:textId="77777777" w:rsidR="005C7CC2" w:rsidRPr="000E5B3A" w:rsidRDefault="005C7CC2">
            <w:pPr>
              <w:pStyle w:val="In-tableHeading"/>
              <w:rPr>
                <w:lang w:val="en-AU"/>
              </w:rPr>
            </w:pPr>
            <w:r w:rsidRPr="000E5B3A">
              <w:rPr>
                <w:lang w:val="en-AU"/>
              </w:rPr>
              <w:t>Criterion 1 (5%)</w:t>
            </w:r>
          </w:p>
        </w:tc>
        <w:tc>
          <w:tcPr>
            <w:tcW w:w="1276" w:type="dxa"/>
          </w:tcPr>
          <w:p w14:paraId="096C9CB4" w14:textId="77777777" w:rsidR="005C7CC2" w:rsidRPr="000E5B3A" w:rsidRDefault="005C7CC2">
            <w:pPr>
              <w:pStyle w:val="In-tableHeading"/>
              <w:rPr>
                <w:lang w:val="en-AU"/>
              </w:rPr>
            </w:pPr>
            <w:r w:rsidRPr="000E5B3A">
              <w:rPr>
                <w:lang w:val="en-AU"/>
              </w:rPr>
              <w:t>Criterion 2</w:t>
            </w:r>
          </w:p>
        </w:tc>
        <w:tc>
          <w:tcPr>
            <w:tcW w:w="2500" w:type="dxa"/>
            <w:tcBorders>
              <w:top w:val="nil"/>
            </w:tcBorders>
          </w:tcPr>
          <w:p w14:paraId="26C44BAE" w14:textId="2F262254" w:rsidR="005C7CC2" w:rsidRPr="000E5B3A" w:rsidRDefault="005C7CC2">
            <w:pPr>
              <w:pStyle w:val="In-tableHeading"/>
              <w:rPr>
                <w:lang w:val="en-AU"/>
              </w:rPr>
            </w:pPr>
            <w:r w:rsidRPr="000E5B3A">
              <w:rPr>
                <w:lang w:val="en-AU"/>
              </w:rPr>
              <w:t>Median follow-up (months)</w:t>
            </w:r>
            <w:r w:rsidR="00F36652" w:rsidRPr="000E5B3A">
              <w:rPr>
                <w:vertAlign w:val="superscript"/>
                <w:lang w:val="en-AU"/>
              </w:rPr>
              <w:t>b</w:t>
            </w:r>
          </w:p>
        </w:tc>
      </w:tr>
      <w:tr w:rsidR="005C7CC2" w:rsidRPr="000E5B3A" w14:paraId="128E1D00" w14:textId="77777777" w:rsidTr="00F36652">
        <w:trPr>
          <w:trHeight w:val="170"/>
        </w:trPr>
        <w:tc>
          <w:tcPr>
            <w:tcW w:w="6516" w:type="dxa"/>
            <w:gridSpan w:val="4"/>
          </w:tcPr>
          <w:p w14:paraId="0ED36C6D" w14:textId="77777777" w:rsidR="005C7CC2" w:rsidRPr="000E5B3A" w:rsidRDefault="005C7CC2">
            <w:pPr>
              <w:pStyle w:val="TableText0"/>
              <w:rPr>
                <w:b/>
                <w:bCs w:val="0"/>
              </w:rPr>
            </w:pPr>
            <w:r w:rsidRPr="000E5B3A">
              <w:rPr>
                <w:b/>
                <w:bCs w:val="0"/>
              </w:rPr>
              <w:t>Progression-free survival</w:t>
            </w:r>
          </w:p>
        </w:tc>
        <w:tc>
          <w:tcPr>
            <w:tcW w:w="2500" w:type="dxa"/>
          </w:tcPr>
          <w:p w14:paraId="5FF3443F" w14:textId="77777777" w:rsidR="005C7CC2" w:rsidRPr="000E5B3A" w:rsidRDefault="005C7CC2">
            <w:pPr>
              <w:pStyle w:val="TableText0"/>
            </w:pPr>
          </w:p>
        </w:tc>
      </w:tr>
      <w:tr w:rsidR="005C7CC2" w:rsidRPr="000E5B3A" w14:paraId="179C17E8" w14:textId="77777777" w:rsidTr="00F36652">
        <w:trPr>
          <w:trHeight w:val="170"/>
        </w:trPr>
        <w:tc>
          <w:tcPr>
            <w:tcW w:w="1980" w:type="dxa"/>
          </w:tcPr>
          <w:p w14:paraId="70FB42FE" w14:textId="08B30B78" w:rsidR="005C7CC2" w:rsidRPr="000E5B3A" w:rsidRDefault="00F36652">
            <w:pPr>
              <w:pStyle w:val="TableText0"/>
            </w:pPr>
            <w:r w:rsidRPr="000E5B3A">
              <w:t>R</w:t>
            </w:r>
            <w:r w:rsidR="005C7CC2" w:rsidRPr="000E5B3A">
              <w:t>etifanlimab + CP arm</w:t>
            </w:r>
          </w:p>
        </w:tc>
        <w:tc>
          <w:tcPr>
            <w:tcW w:w="1701" w:type="dxa"/>
          </w:tcPr>
          <w:p w14:paraId="7245FABD" w14:textId="77777777" w:rsidR="005C7CC2" w:rsidRPr="000E5B3A" w:rsidRDefault="005C7CC2">
            <w:pPr>
              <w:pStyle w:val="TableText0"/>
              <w:jc w:val="center"/>
            </w:pPr>
            <w:r w:rsidRPr="000E5B3A">
              <w:t>24.1</w:t>
            </w:r>
          </w:p>
        </w:tc>
        <w:tc>
          <w:tcPr>
            <w:tcW w:w="1559" w:type="dxa"/>
          </w:tcPr>
          <w:p w14:paraId="01B1173B" w14:textId="77777777" w:rsidR="005C7CC2" w:rsidRPr="000E5B3A" w:rsidRDefault="005C7CC2">
            <w:pPr>
              <w:pStyle w:val="TableText0"/>
              <w:jc w:val="center"/>
            </w:pPr>
            <w:r w:rsidRPr="000E5B3A">
              <w:t>29.8</w:t>
            </w:r>
          </w:p>
        </w:tc>
        <w:tc>
          <w:tcPr>
            <w:tcW w:w="1276" w:type="dxa"/>
          </w:tcPr>
          <w:p w14:paraId="01D4DB93" w14:textId="77777777" w:rsidR="005C7CC2" w:rsidRPr="000E5B3A" w:rsidRDefault="005C7CC2">
            <w:pPr>
              <w:pStyle w:val="TableText0"/>
              <w:jc w:val="center"/>
            </w:pPr>
            <w:r w:rsidRPr="000E5B3A">
              <w:t>31.3</w:t>
            </w:r>
          </w:p>
        </w:tc>
        <w:tc>
          <w:tcPr>
            <w:tcW w:w="2500" w:type="dxa"/>
          </w:tcPr>
          <w:p w14:paraId="5DF83F2A" w14:textId="77777777" w:rsidR="005C7CC2" w:rsidRPr="000E5B3A" w:rsidRDefault="005C7CC2">
            <w:pPr>
              <w:pStyle w:val="TableText0"/>
              <w:jc w:val="center"/>
            </w:pPr>
            <w:r w:rsidRPr="000E5B3A">
              <w:t>7.57</w:t>
            </w:r>
          </w:p>
        </w:tc>
      </w:tr>
      <w:tr w:rsidR="005C7CC2" w:rsidRPr="000E5B3A" w14:paraId="1CBD749E" w14:textId="77777777" w:rsidTr="00F36652">
        <w:trPr>
          <w:trHeight w:val="170"/>
        </w:trPr>
        <w:tc>
          <w:tcPr>
            <w:tcW w:w="1980" w:type="dxa"/>
          </w:tcPr>
          <w:p w14:paraId="5A4DCF75" w14:textId="77777777" w:rsidR="005C7CC2" w:rsidRPr="000E5B3A" w:rsidRDefault="005C7CC2">
            <w:pPr>
              <w:pStyle w:val="TableText0"/>
            </w:pPr>
            <w:r w:rsidRPr="000E5B3A">
              <w:t>CP arm</w:t>
            </w:r>
          </w:p>
        </w:tc>
        <w:tc>
          <w:tcPr>
            <w:tcW w:w="1701" w:type="dxa"/>
          </w:tcPr>
          <w:p w14:paraId="761CB3D6" w14:textId="77777777" w:rsidR="005C7CC2" w:rsidRPr="000E5B3A" w:rsidRDefault="005C7CC2">
            <w:pPr>
              <w:pStyle w:val="TableText0"/>
              <w:jc w:val="center"/>
            </w:pPr>
            <w:r w:rsidRPr="000E5B3A">
              <w:t>23.1</w:t>
            </w:r>
          </w:p>
        </w:tc>
        <w:tc>
          <w:tcPr>
            <w:tcW w:w="1559" w:type="dxa"/>
          </w:tcPr>
          <w:p w14:paraId="462C0E01" w14:textId="77777777" w:rsidR="005C7CC2" w:rsidRPr="000E5B3A" w:rsidRDefault="005C7CC2">
            <w:pPr>
              <w:pStyle w:val="TableText0"/>
              <w:jc w:val="center"/>
            </w:pPr>
            <w:r w:rsidRPr="000E5B3A">
              <w:t>26.0</w:t>
            </w:r>
          </w:p>
        </w:tc>
        <w:tc>
          <w:tcPr>
            <w:tcW w:w="1276" w:type="dxa"/>
          </w:tcPr>
          <w:p w14:paraId="2322208B" w14:textId="77777777" w:rsidR="005C7CC2" w:rsidRPr="000E5B3A" w:rsidRDefault="005C7CC2">
            <w:pPr>
              <w:pStyle w:val="TableText0"/>
              <w:jc w:val="center"/>
            </w:pPr>
            <w:r w:rsidRPr="000E5B3A">
              <w:t>26.0</w:t>
            </w:r>
          </w:p>
        </w:tc>
        <w:tc>
          <w:tcPr>
            <w:tcW w:w="2500" w:type="dxa"/>
          </w:tcPr>
          <w:p w14:paraId="6F4748B7" w14:textId="77777777" w:rsidR="005C7CC2" w:rsidRPr="000E5B3A" w:rsidRDefault="005C7CC2">
            <w:pPr>
              <w:pStyle w:val="TableText0"/>
              <w:jc w:val="center"/>
            </w:pPr>
            <w:r w:rsidRPr="000E5B3A">
              <w:t>7.13</w:t>
            </w:r>
          </w:p>
        </w:tc>
      </w:tr>
      <w:tr w:rsidR="005C7CC2" w:rsidRPr="000E5B3A" w14:paraId="2CF72E20" w14:textId="77777777" w:rsidTr="00F36652">
        <w:trPr>
          <w:trHeight w:val="170"/>
        </w:trPr>
        <w:tc>
          <w:tcPr>
            <w:tcW w:w="6516" w:type="dxa"/>
            <w:gridSpan w:val="4"/>
          </w:tcPr>
          <w:p w14:paraId="2B2F86AD" w14:textId="77777777" w:rsidR="005C7CC2" w:rsidRPr="000E5B3A" w:rsidRDefault="005C7CC2">
            <w:pPr>
              <w:pStyle w:val="TableText0"/>
              <w:rPr>
                <w:b/>
                <w:bCs w:val="0"/>
              </w:rPr>
            </w:pPr>
            <w:r w:rsidRPr="000E5B3A">
              <w:rPr>
                <w:b/>
                <w:bCs w:val="0"/>
              </w:rPr>
              <w:t>Overall survival</w:t>
            </w:r>
          </w:p>
        </w:tc>
        <w:tc>
          <w:tcPr>
            <w:tcW w:w="2500" w:type="dxa"/>
          </w:tcPr>
          <w:p w14:paraId="594E53F1" w14:textId="77777777" w:rsidR="005C7CC2" w:rsidRPr="000E5B3A" w:rsidRDefault="005C7CC2">
            <w:pPr>
              <w:pStyle w:val="TableText0"/>
            </w:pPr>
          </w:p>
        </w:tc>
      </w:tr>
      <w:tr w:rsidR="005C7CC2" w:rsidRPr="000E5B3A" w14:paraId="499FE072" w14:textId="77777777" w:rsidTr="00F36652">
        <w:trPr>
          <w:trHeight w:val="170"/>
        </w:trPr>
        <w:tc>
          <w:tcPr>
            <w:tcW w:w="1980" w:type="dxa"/>
          </w:tcPr>
          <w:p w14:paraId="21B158D8" w14:textId="59F32066" w:rsidR="005C7CC2" w:rsidRPr="000E5B3A" w:rsidRDefault="00F36652">
            <w:pPr>
              <w:pStyle w:val="TableText0"/>
            </w:pPr>
            <w:r w:rsidRPr="000E5B3A">
              <w:t>R</w:t>
            </w:r>
            <w:r w:rsidR="005C7CC2" w:rsidRPr="000E5B3A">
              <w:t>etifanlimab + CP arm</w:t>
            </w:r>
          </w:p>
        </w:tc>
        <w:tc>
          <w:tcPr>
            <w:tcW w:w="1701" w:type="dxa"/>
          </w:tcPr>
          <w:p w14:paraId="2BAA1A6E" w14:textId="77777777" w:rsidR="005C7CC2" w:rsidRPr="000E5B3A" w:rsidRDefault="005C7CC2">
            <w:pPr>
              <w:pStyle w:val="TableText0"/>
              <w:jc w:val="center"/>
            </w:pPr>
            <w:r w:rsidRPr="000E5B3A">
              <w:t>27.3</w:t>
            </w:r>
          </w:p>
        </w:tc>
        <w:tc>
          <w:tcPr>
            <w:tcW w:w="1559" w:type="dxa"/>
          </w:tcPr>
          <w:p w14:paraId="37C4BE23" w14:textId="77777777" w:rsidR="005C7CC2" w:rsidRPr="000E5B3A" w:rsidRDefault="005C7CC2">
            <w:pPr>
              <w:pStyle w:val="TableText0"/>
              <w:jc w:val="center"/>
            </w:pPr>
            <w:r w:rsidRPr="000E5B3A">
              <w:t>31.5</w:t>
            </w:r>
          </w:p>
        </w:tc>
        <w:tc>
          <w:tcPr>
            <w:tcW w:w="1276" w:type="dxa"/>
          </w:tcPr>
          <w:p w14:paraId="11BF05D5" w14:textId="77777777" w:rsidR="005C7CC2" w:rsidRPr="000E5B3A" w:rsidRDefault="005C7CC2">
            <w:pPr>
              <w:pStyle w:val="TableText0"/>
              <w:jc w:val="center"/>
            </w:pPr>
            <w:r w:rsidRPr="000E5B3A">
              <w:t>34.0</w:t>
            </w:r>
          </w:p>
        </w:tc>
        <w:tc>
          <w:tcPr>
            <w:tcW w:w="2500" w:type="dxa"/>
          </w:tcPr>
          <w:p w14:paraId="684F69EF" w14:textId="77777777" w:rsidR="005C7CC2" w:rsidRPr="000E5B3A" w:rsidRDefault="005C7CC2">
            <w:pPr>
              <w:pStyle w:val="TableText0"/>
              <w:jc w:val="center"/>
            </w:pPr>
            <w:r w:rsidRPr="000E5B3A">
              <w:t>14.77</w:t>
            </w:r>
          </w:p>
        </w:tc>
      </w:tr>
      <w:tr w:rsidR="005C7CC2" w:rsidRPr="000E5B3A" w14:paraId="42A29272" w14:textId="77777777" w:rsidTr="00F36652">
        <w:trPr>
          <w:trHeight w:val="170"/>
        </w:trPr>
        <w:tc>
          <w:tcPr>
            <w:tcW w:w="1980" w:type="dxa"/>
          </w:tcPr>
          <w:p w14:paraId="15726177" w14:textId="77777777" w:rsidR="005C7CC2" w:rsidRPr="000E5B3A" w:rsidRDefault="005C7CC2">
            <w:pPr>
              <w:pStyle w:val="TableText0"/>
            </w:pPr>
            <w:r w:rsidRPr="000E5B3A">
              <w:t>CP arm</w:t>
            </w:r>
          </w:p>
        </w:tc>
        <w:tc>
          <w:tcPr>
            <w:tcW w:w="1701" w:type="dxa"/>
          </w:tcPr>
          <w:p w14:paraId="6011C2DB" w14:textId="77777777" w:rsidR="005C7CC2" w:rsidRPr="000E5B3A" w:rsidRDefault="005C7CC2">
            <w:pPr>
              <w:pStyle w:val="TableText0"/>
              <w:jc w:val="center"/>
            </w:pPr>
            <w:r w:rsidRPr="000E5B3A">
              <w:t>28.3</w:t>
            </w:r>
            <w:r w:rsidRPr="000E5B3A">
              <w:rPr>
                <w:vertAlign w:val="superscript"/>
              </w:rPr>
              <w:t>a</w:t>
            </w:r>
          </w:p>
        </w:tc>
        <w:tc>
          <w:tcPr>
            <w:tcW w:w="1559" w:type="dxa"/>
          </w:tcPr>
          <w:p w14:paraId="246D4758" w14:textId="77777777" w:rsidR="005C7CC2" w:rsidRPr="000E5B3A" w:rsidRDefault="005C7CC2">
            <w:pPr>
              <w:pStyle w:val="TableText0"/>
              <w:jc w:val="center"/>
            </w:pPr>
            <w:r w:rsidRPr="000E5B3A">
              <w:t>32.4</w:t>
            </w:r>
          </w:p>
        </w:tc>
        <w:tc>
          <w:tcPr>
            <w:tcW w:w="1276" w:type="dxa"/>
          </w:tcPr>
          <w:p w14:paraId="0F56B125" w14:textId="77777777" w:rsidR="005C7CC2" w:rsidRPr="000E5B3A" w:rsidRDefault="005C7CC2">
            <w:pPr>
              <w:pStyle w:val="TableText0"/>
              <w:jc w:val="center"/>
            </w:pPr>
            <w:r w:rsidRPr="000E5B3A">
              <w:t>32.7</w:t>
            </w:r>
          </w:p>
        </w:tc>
        <w:tc>
          <w:tcPr>
            <w:tcW w:w="2500" w:type="dxa"/>
          </w:tcPr>
          <w:p w14:paraId="0BD6986F" w14:textId="77777777" w:rsidR="005C7CC2" w:rsidRPr="000E5B3A" w:rsidRDefault="005C7CC2">
            <w:pPr>
              <w:pStyle w:val="TableText0"/>
              <w:jc w:val="center"/>
            </w:pPr>
            <w:r w:rsidRPr="000E5B3A">
              <w:t>12.86</w:t>
            </w:r>
          </w:p>
        </w:tc>
      </w:tr>
    </w:tbl>
    <w:p w14:paraId="71D8FB20" w14:textId="77777777" w:rsidR="005C7CC2" w:rsidRPr="000E5B3A" w:rsidRDefault="005C7CC2" w:rsidP="00F36652">
      <w:pPr>
        <w:pStyle w:val="TableFigureFooter"/>
      </w:pPr>
      <w:r w:rsidRPr="000E5B3A">
        <w:t>Source: Table 30, p72, Table 31, p75 and Table 63, p138 of the submission.</w:t>
      </w:r>
    </w:p>
    <w:p w14:paraId="2C26E10E" w14:textId="1686AF90" w:rsidR="005C7CC2" w:rsidRPr="000E5B3A" w:rsidRDefault="005C7CC2" w:rsidP="00F36652">
      <w:pPr>
        <w:pStyle w:val="TableFigureFooter"/>
      </w:pPr>
      <w:r w:rsidRPr="000E5B3A">
        <w:t>CP = carboplatin-paclitaxel; KM = Kaplan-Meier</w:t>
      </w:r>
    </w:p>
    <w:p w14:paraId="6A949540" w14:textId="7020F33F" w:rsidR="005C7CC2" w:rsidRPr="000E5B3A" w:rsidRDefault="005C7CC2" w:rsidP="00F36652">
      <w:pPr>
        <w:pStyle w:val="TableFigureFooter"/>
      </w:pPr>
      <w:r w:rsidRPr="000E5B3A">
        <w:rPr>
          <w:vertAlign w:val="superscript"/>
        </w:rPr>
        <w:t>a</w:t>
      </w:r>
      <w:r w:rsidRPr="000E5B3A">
        <w:t xml:space="preserve"> In the model base case, OS for the CP arm was adjusted for crossover and </w:t>
      </w:r>
      <w:r w:rsidR="00044BB7" w:rsidRPr="000E5B3A">
        <w:t xml:space="preserve">was </w:t>
      </w:r>
      <w:r w:rsidRPr="000E5B3A">
        <w:t>equal</w:t>
      </w:r>
      <w:r w:rsidR="00044BB7" w:rsidRPr="000E5B3A">
        <w:t xml:space="preserve"> to</w:t>
      </w:r>
      <w:r w:rsidRPr="000E5B3A">
        <w:t xml:space="preserve"> 25.2.</w:t>
      </w:r>
    </w:p>
    <w:p w14:paraId="32DDC266" w14:textId="0A29B930" w:rsidR="00F36652" w:rsidRPr="000E5B3A" w:rsidRDefault="00F36652" w:rsidP="00F36652">
      <w:pPr>
        <w:pStyle w:val="TableFigureFooter"/>
      </w:pPr>
      <w:r w:rsidRPr="000E5B3A">
        <w:rPr>
          <w:vertAlign w:val="superscript"/>
        </w:rPr>
        <w:t>b</w:t>
      </w:r>
      <w:r w:rsidRPr="000E5B3A">
        <w:t xml:space="preserve"> The median follow-up from POD1UM-303 was presented for comparison.</w:t>
      </w:r>
    </w:p>
    <w:p w14:paraId="3607C176" w14:textId="7AA76FB1" w:rsidR="00612F72" w:rsidRPr="000E5B3A" w:rsidRDefault="00612F72" w:rsidP="00612F72">
      <w:pPr>
        <w:pStyle w:val="3-BodyText"/>
      </w:pPr>
      <w:bookmarkStart w:id="59" w:name="_Ref212020626"/>
      <w:bookmarkStart w:id="60" w:name="_Ref208929025"/>
      <w:r w:rsidRPr="000E5B3A">
        <w:t xml:space="preserve">Use of the Gebski criterion 1 (2.5%) in the model base case was the least conservative of </w:t>
      </w:r>
      <w:r w:rsidRPr="0036738E">
        <w:t xml:space="preserve">the </w:t>
      </w:r>
      <w:r w:rsidR="00FD3FA9">
        <w:t xml:space="preserve">3 </w:t>
      </w:r>
      <w:r w:rsidRPr="0036738E">
        <w:t>methods investigated in the submission with regards to the incremental cost effectiveness ratio (ICER)</w:t>
      </w:r>
      <w:r w:rsidR="00C222C1">
        <w:t>,</w:t>
      </w:r>
      <w:r w:rsidRPr="0036738E">
        <w:t xml:space="preserve"> and resulted in </w:t>
      </w:r>
      <w:r w:rsidR="0027297E">
        <w:t xml:space="preserve">a </w:t>
      </w:r>
      <w:r w:rsidRPr="0036738E">
        <w:t xml:space="preserve">shorter duration of use of the POD1UM-303 KM data compared to Gebski criterion 1 (5.0%) and Gebski criterion 2, which increased the ICER by </w:t>
      </w:r>
      <w:r w:rsidR="009951A2" w:rsidRPr="009951A2">
        <w:rPr>
          <w:highlight w:val="black"/>
        </w:rPr>
        <w:t>&amp;&amp;&amp;&amp;</w:t>
      </w:r>
      <w:r w:rsidRPr="0036738E">
        <w:t xml:space="preserve">%, and </w:t>
      </w:r>
      <w:r w:rsidR="009951A2" w:rsidRPr="009951A2">
        <w:rPr>
          <w:highlight w:val="black"/>
        </w:rPr>
        <w:t>&amp;&amp;&amp;&amp;</w:t>
      </w:r>
      <w:r w:rsidRPr="0036738E">
        <w:t>%, respectively.</w:t>
      </w:r>
      <w:bookmarkEnd w:id="59"/>
      <w:r w:rsidRPr="000E5B3A">
        <w:t xml:space="preserve"> </w:t>
      </w:r>
    </w:p>
    <w:p w14:paraId="61F35B28" w14:textId="796BE080" w:rsidR="00C14589" w:rsidRPr="000E5B3A" w:rsidRDefault="00D714BC" w:rsidP="00947F41">
      <w:pPr>
        <w:pStyle w:val="3-BodyText"/>
        <w:keepNext/>
        <w:keepLines/>
      </w:pPr>
      <w:bookmarkStart w:id="61" w:name="_Ref215660756"/>
      <w:bookmarkStart w:id="62" w:name="_Ref211509342"/>
      <w:r w:rsidRPr="000E5B3A">
        <w:lastRenderedPageBreak/>
        <w:t>The submission claimed</w:t>
      </w:r>
      <w:r w:rsidR="00E47A16" w:rsidRPr="000E5B3A">
        <w:t xml:space="preserve"> that</w:t>
      </w:r>
      <w:r w:rsidR="00506886" w:rsidRPr="000E5B3A">
        <w:t xml:space="preserve"> </w:t>
      </w:r>
      <w:r w:rsidRPr="000E5B3A">
        <w:t xml:space="preserve">visual inspection of the OS KM curves indicated it would be biased against retifanlimab + CP to include KM data post 29 months due to a </w:t>
      </w:r>
      <w:r w:rsidR="00F80222" w:rsidRPr="000E5B3A">
        <w:t xml:space="preserve">6.8% </w:t>
      </w:r>
      <w:r w:rsidRPr="000E5B3A">
        <w:t xml:space="preserve">drop in survival occurring as a result of a single death among 14 patients. The PSCR </w:t>
      </w:r>
      <w:r w:rsidR="00E47A16" w:rsidRPr="000E5B3A">
        <w:t>reiterated</w:t>
      </w:r>
      <w:r w:rsidR="00202743" w:rsidRPr="000E5B3A">
        <w:t xml:space="preserve"> the view</w:t>
      </w:r>
      <w:r w:rsidRPr="000E5B3A">
        <w:t xml:space="preserve"> </w:t>
      </w:r>
      <w:r w:rsidR="00E47A16" w:rsidRPr="000E5B3A">
        <w:t xml:space="preserve">that Gebski criterion 1 (2.5%) was </w:t>
      </w:r>
      <w:r w:rsidR="00F03B5E" w:rsidRPr="000E5B3A">
        <w:t xml:space="preserve">the </w:t>
      </w:r>
      <w:r w:rsidR="00E47A16" w:rsidRPr="000E5B3A">
        <w:t>most appropriate</w:t>
      </w:r>
      <w:r w:rsidR="00202743" w:rsidRPr="000E5B3A">
        <w:t xml:space="preserve">, </w:t>
      </w:r>
      <w:r w:rsidR="003F54FF" w:rsidRPr="000E5B3A">
        <w:t xml:space="preserve">citing consistent </w:t>
      </w:r>
      <w:r w:rsidR="000722E7" w:rsidRPr="000E5B3A">
        <w:t xml:space="preserve">incremental differences in </w:t>
      </w:r>
      <w:r w:rsidR="003F54FF" w:rsidRPr="000E5B3A">
        <w:t>survival at earlier time points (e.g., 13.1% at 12 months, 11.2% at 18 months, and 12.4% at 24 months, based on ITT).</w:t>
      </w:r>
      <w:r w:rsidR="0008489C" w:rsidRPr="000E5B3A">
        <w:t xml:space="preserve"> </w:t>
      </w:r>
      <w:r w:rsidR="003E7181" w:rsidRPr="000E5B3A">
        <w:t xml:space="preserve">The PSCR stated ‘the inclusion of this drop in retifanlimab + CP survival is considered to bias results in favour of CP, and should not be included when based on the small number of patients remaining at risk at that point of the trial.’ </w:t>
      </w:r>
      <w:r w:rsidR="005C554B">
        <w:t>However, the ESC noted that a</w:t>
      </w:r>
      <w:r w:rsidR="00C14589" w:rsidRPr="000E5B3A">
        <w:t>t 29 months, neither the Criterion 1</w:t>
      </w:r>
      <w:r w:rsidR="001311E2" w:rsidRPr="000E5B3A">
        <w:t xml:space="preserve"> (</w:t>
      </w:r>
      <w:r w:rsidR="00C14589" w:rsidRPr="000E5B3A">
        <w:t>5%</w:t>
      </w:r>
      <w:r w:rsidR="001311E2" w:rsidRPr="000E5B3A">
        <w:t>)</w:t>
      </w:r>
      <w:r w:rsidR="00C14589" w:rsidRPr="000E5B3A">
        <w:t xml:space="preserve"> </w:t>
      </w:r>
      <w:r w:rsidR="005D3EC3" w:rsidRPr="000E5B3A">
        <w:t>nor</w:t>
      </w:r>
      <w:r w:rsidR="00C14589" w:rsidRPr="000E5B3A">
        <w:t xml:space="preserve"> Criterion 2 </w:t>
      </w:r>
      <w:r w:rsidR="005D3EC3" w:rsidRPr="000E5B3A">
        <w:t xml:space="preserve">thresholds </w:t>
      </w:r>
      <w:r w:rsidR="00C14589" w:rsidRPr="000E5B3A">
        <w:t xml:space="preserve">had been breached, </w:t>
      </w:r>
      <w:r w:rsidR="005D3EC3" w:rsidRPr="000E5B3A">
        <w:t>suggesting</w:t>
      </w:r>
      <w:r w:rsidR="00C14589" w:rsidRPr="000E5B3A">
        <w:t xml:space="preserve"> </w:t>
      </w:r>
      <w:r w:rsidR="004E5031" w:rsidRPr="000E5B3A">
        <w:t>continued used of</w:t>
      </w:r>
      <w:r w:rsidR="00C14589" w:rsidRPr="000E5B3A">
        <w:t xml:space="preserve"> observed KM data past 29 months</w:t>
      </w:r>
      <w:r w:rsidR="004E5031" w:rsidRPr="000E5B3A">
        <w:t xml:space="preserve"> </w:t>
      </w:r>
      <w:r w:rsidR="00736824" w:rsidRPr="000E5B3A">
        <w:t xml:space="preserve">may </w:t>
      </w:r>
      <w:r w:rsidR="004E5031" w:rsidRPr="000E5B3A">
        <w:t>be reasonable</w:t>
      </w:r>
      <w:r w:rsidR="00C14589" w:rsidRPr="000E5B3A">
        <w:t>.</w:t>
      </w:r>
      <w:bookmarkEnd w:id="61"/>
      <w:r w:rsidR="00C62F93">
        <w:t xml:space="preserve"> </w:t>
      </w:r>
      <w:bookmarkEnd w:id="62"/>
    </w:p>
    <w:bookmarkEnd w:id="60"/>
    <w:p w14:paraId="5924DEFB" w14:textId="7FC4617F" w:rsidR="00EB612F" w:rsidRPr="000E5B3A" w:rsidRDefault="005C7CC2">
      <w:pPr>
        <w:pStyle w:val="3-BodyText"/>
      </w:pPr>
      <w:r w:rsidRPr="000E5B3A">
        <w:t xml:space="preserve">The </w:t>
      </w:r>
      <w:r w:rsidR="008B36CA" w:rsidRPr="000E5B3A">
        <w:t xml:space="preserve">PFS and OS </w:t>
      </w:r>
      <w:r w:rsidRPr="000E5B3A">
        <w:t xml:space="preserve">survival curves </w:t>
      </w:r>
      <w:r w:rsidR="009B0B9B" w:rsidRPr="000E5B3A">
        <w:t xml:space="preserve">used </w:t>
      </w:r>
      <w:r w:rsidRPr="000E5B3A">
        <w:t>in the model base case</w:t>
      </w:r>
      <w:r w:rsidR="008B36CA" w:rsidRPr="000E5B3A">
        <w:t xml:space="preserve"> and the POD1UM-303 ITT data</w:t>
      </w:r>
      <w:r w:rsidRPr="000E5B3A">
        <w:t xml:space="preserve"> </w:t>
      </w:r>
      <w:r w:rsidR="00FB6698" w:rsidRPr="000E5B3A">
        <w:t xml:space="preserve">(as well as the OS for the CP arm using RPSFT) </w:t>
      </w:r>
      <w:r w:rsidRPr="000E5B3A">
        <w:t>are illustrated in</w:t>
      </w:r>
      <w:r w:rsidR="00044BB7" w:rsidRPr="000E5B3A">
        <w:t xml:space="preserve"> </w:t>
      </w:r>
      <w:fldSimple w:instr=" REF _Ref207827504 ">
        <w:r w:rsidR="00DB6E72" w:rsidRPr="000E5B3A">
          <w:t xml:space="preserve">Figure </w:t>
        </w:r>
        <w:r w:rsidR="00DB6E72">
          <w:rPr>
            <w:noProof/>
          </w:rPr>
          <w:t>3</w:t>
        </w:r>
      </w:fldSimple>
      <w:r w:rsidR="008B36CA" w:rsidRPr="000E5B3A">
        <w:t xml:space="preserve"> and </w:t>
      </w:r>
      <w:r w:rsidR="007C3083" w:rsidRPr="000E5B3A">
        <w:fldChar w:fldCharType="begin"/>
      </w:r>
      <w:r w:rsidR="007C3083" w:rsidRPr="000E5B3A">
        <w:instrText xml:space="preserve"> REF _Ref208176352 \h </w:instrText>
      </w:r>
      <w:r w:rsidR="007C3083" w:rsidRPr="000E5B3A">
        <w:fldChar w:fldCharType="separate"/>
      </w:r>
      <w:r w:rsidR="00DB6E72" w:rsidRPr="000E5B3A">
        <w:t xml:space="preserve">Figure </w:t>
      </w:r>
      <w:r w:rsidR="00DB6E72">
        <w:rPr>
          <w:noProof/>
        </w:rPr>
        <w:t>4</w:t>
      </w:r>
      <w:r w:rsidR="007C3083" w:rsidRPr="000E5B3A">
        <w:fldChar w:fldCharType="end"/>
      </w:r>
      <w:r w:rsidR="008B36CA" w:rsidRPr="000E5B3A">
        <w:t>, respectively</w:t>
      </w:r>
      <w:r w:rsidRPr="000E5B3A">
        <w:t>.</w:t>
      </w:r>
    </w:p>
    <w:p w14:paraId="0B5CEF38" w14:textId="55D9BCA7" w:rsidR="005C7CC2" w:rsidRPr="000E5B3A" w:rsidRDefault="00044BB7" w:rsidP="00044BB7">
      <w:pPr>
        <w:pStyle w:val="Caption"/>
      </w:pPr>
      <w:bookmarkStart w:id="63" w:name="_Ref207827504"/>
      <w:r w:rsidRPr="000E5B3A">
        <w:t xml:space="preserve">Figure </w:t>
      </w:r>
      <w:fldSimple w:instr=" SEQ Figure \* ARABIC ">
        <w:r w:rsidR="00DB6E72">
          <w:rPr>
            <w:noProof/>
          </w:rPr>
          <w:t>3</w:t>
        </w:r>
      </w:fldSimple>
      <w:bookmarkEnd w:id="63"/>
      <w:r w:rsidR="005C7CC2" w:rsidRPr="000E5B3A">
        <w:t xml:space="preserve">: </w:t>
      </w:r>
      <w:r w:rsidR="008B36CA" w:rsidRPr="000E5B3A">
        <w:t xml:space="preserve">PFS </w:t>
      </w:r>
      <w:r w:rsidR="005C7CC2" w:rsidRPr="000E5B3A">
        <w:t xml:space="preserve">curves </w:t>
      </w:r>
      <w:r w:rsidR="008B36CA" w:rsidRPr="000E5B3A">
        <w:t>for</w:t>
      </w:r>
      <w:r w:rsidR="005C7CC2" w:rsidRPr="000E5B3A">
        <w:t xml:space="preserve"> the model base case</w:t>
      </w:r>
      <w:r w:rsidR="008B36CA" w:rsidRPr="000E5B3A">
        <w:t xml:space="preserve"> and POD1UM-303 ITT</w:t>
      </w:r>
      <w:r w:rsidR="00E07D37" w:rsidRPr="000E5B3A">
        <w:t xml:space="preserve"> data</w:t>
      </w:r>
    </w:p>
    <w:p w14:paraId="414F84DE" w14:textId="38AEB4B7" w:rsidR="008B36CA" w:rsidRPr="000E5B3A" w:rsidRDefault="00FC3CA7" w:rsidP="008B36CA">
      <w:r w:rsidRPr="000E5B3A">
        <w:rPr>
          <w:noProof/>
        </w:rPr>
        <w:drawing>
          <wp:inline distT="0" distB="0" distL="0" distR="0" wp14:anchorId="03AF365D" wp14:editId="25B9D77E">
            <wp:extent cx="5163820" cy="3450590"/>
            <wp:effectExtent l="0" t="0" r="0" b="0"/>
            <wp:docPr id="339351480" name="Picture 6" descr="Figure 3: PFS curves for the model base case and POD1UM-303 IT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51480" name="Picture 6" descr="Figure 3: PFS curves for the model base case and POD1UM-303 ITT da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3820" cy="3450590"/>
                    </a:xfrm>
                    <a:prstGeom prst="rect">
                      <a:avLst/>
                    </a:prstGeom>
                    <a:noFill/>
                  </pic:spPr>
                </pic:pic>
              </a:graphicData>
            </a:graphic>
          </wp:inline>
        </w:drawing>
      </w:r>
    </w:p>
    <w:p w14:paraId="2D1B2422" w14:textId="7D52FA29" w:rsidR="008B36CA" w:rsidRPr="000E5B3A" w:rsidRDefault="008B36CA" w:rsidP="008B36CA">
      <w:pPr>
        <w:pStyle w:val="TableFigureFooter"/>
      </w:pPr>
      <w:r w:rsidRPr="000E5B3A">
        <w:t>Source: Figure 37, p139 of the submission</w:t>
      </w:r>
      <w:r w:rsidR="00E07D37" w:rsidRPr="000E5B3A">
        <w:t>,</w:t>
      </w:r>
      <w:r w:rsidRPr="000E5B3A">
        <w:t xml:space="preserve"> modified during the evaluation using Retifanlimab_SCAC_CUA.xlsx.</w:t>
      </w:r>
    </w:p>
    <w:p w14:paraId="3BF0AB2D" w14:textId="2C0B3CBE" w:rsidR="008B36CA" w:rsidRPr="000E5B3A" w:rsidRDefault="008B36CA" w:rsidP="002230BD">
      <w:pPr>
        <w:pStyle w:val="TableFigureFooter"/>
      </w:pPr>
      <w:r w:rsidRPr="000E5B3A">
        <w:t>CP = carboplatin-paclitaxel; ITT = intention to treat; PFS = progression-free survival; RET = retifanlimab.</w:t>
      </w:r>
    </w:p>
    <w:p w14:paraId="230B4753" w14:textId="7AC78583" w:rsidR="008B36CA" w:rsidRPr="000E5B3A" w:rsidRDefault="008B36CA" w:rsidP="008B36CA">
      <w:pPr>
        <w:pStyle w:val="Caption"/>
      </w:pPr>
      <w:bookmarkStart w:id="64" w:name="_Ref208176352"/>
      <w:r w:rsidRPr="000E5B3A">
        <w:lastRenderedPageBreak/>
        <w:t xml:space="preserve">Figure </w:t>
      </w:r>
      <w:fldSimple w:instr=" SEQ Figure \* ARABIC ">
        <w:r w:rsidR="00DB6E72">
          <w:rPr>
            <w:noProof/>
          </w:rPr>
          <w:t>4</w:t>
        </w:r>
      </w:fldSimple>
      <w:bookmarkEnd w:id="64"/>
      <w:r w:rsidRPr="000E5B3A">
        <w:t>: OS curves for the model base case and POD1UM-303 ITT</w:t>
      </w:r>
      <w:r w:rsidR="00E07D37" w:rsidRPr="000E5B3A">
        <w:t xml:space="preserve"> </w:t>
      </w:r>
      <w:r w:rsidR="00D41983" w:rsidRPr="000E5B3A">
        <w:t xml:space="preserve">and RPSFT </w:t>
      </w:r>
      <w:r w:rsidR="00E07D37" w:rsidRPr="000E5B3A">
        <w:t>data</w:t>
      </w:r>
    </w:p>
    <w:p w14:paraId="1DDA9E26" w14:textId="6DF243EF" w:rsidR="00AE3A3C" w:rsidRPr="000E5B3A" w:rsidRDefault="00C20B73" w:rsidP="00AE3A3C">
      <w:r w:rsidRPr="000E5B3A">
        <w:rPr>
          <w:noProof/>
        </w:rPr>
        <w:drawing>
          <wp:inline distT="0" distB="0" distL="0" distR="0" wp14:anchorId="0225178C" wp14:editId="05DA50CD">
            <wp:extent cx="5163820" cy="3450590"/>
            <wp:effectExtent l="0" t="0" r="0" b="0"/>
            <wp:docPr id="948128595" name="Picture 5" descr="Figure 4: OS curves for the model base case and POD1UM-303 ITT and RPSF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28595" name="Picture 5" descr="Figure 4: OS curves for the model base case and POD1UM-303 ITT and RPSFT da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3820" cy="3450590"/>
                    </a:xfrm>
                    <a:prstGeom prst="rect">
                      <a:avLst/>
                    </a:prstGeom>
                    <a:noFill/>
                  </pic:spPr>
                </pic:pic>
              </a:graphicData>
            </a:graphic>
          </wp:inline>
        </w:drawing>
      </w:r>
    </w:p>
    <w:p w14:paraId="29831F00" w14:textId="0BF716F7" w:rsidR="00AE3A3C" w:rsidRPr="000E5B3A" w:rsidRDefault="00AE3A3C" w:rsidP="00AE3A3C">
      <w:pPr>
        <w:pStyle w:val="TableFigureFooter"/>
      </w:pPr>
      <w:r w:rsidRPr="000E5B3A">
        <w:t>Source: Figure 37, p139 of the submission</w:t>
      </w:r>
      <w:r w:rsidR="00E07D37" w:rsidRPr="000E5B3A">
        <w:t>,</w:t>
      </w:r>
      <w:r w:rsidRPr="000E5B3A">
        <w:t xml:space="preserve"> modified during the evaluation using Retifanlimab_SCAC_CUA.xlsx.</w:t>
      </w:r>
    </w:p>
    <w:p w14:paraId="673BAAD2" w14:textId="0E08BA2D" w:rsidR="00AE3A3C" w:rsidRPr="000E5B3A" w:rsidRDefault="00AE3A3C" w:rsidP="00FD3FA9">
      <w:pPr>
        <w:pStyle w:val="TableFigureFooter"/>
      </w:pPr>
      <w:r w:rsidRPr="000E5B3A">
        <w:t>CP = carboplatin-paclitaxel; ITT = intention to treat; OS = overall survival; RET = retifanlimab.</w:t>
      </w:r>
    </w:p>
    <w:p w14:paraId="34685708" w14:textId="4B250B9E" w:rsidR="00EF4D81" w:rsidRPr="000E5B3A" w:rsidRDefault="007C6CFC">
      <w:pPr>
        <w:pStyle w:val="3-BodyText"/>
      </w:pPr>
      <w:bookmarkStart w:id="65" w:name="_Ref208060451"/>
      <w:r w:rsidRPr="000E5B3A">
        <w:t xml:space="preserve">The submission applied </w:t>
      </w:r>
      <w:r w:rsidRPr="00086526">
        <w:t xml:space="preserve">utility values of 0.872 </w:t>
      </w:r>
      <w:r w:rsidR="00107DD5" w:rsidRPr="00086526">
        <w:t xml:space="preserve">(PF) </w:t>
      </w:r>
      <w:r w:rsidRPr="00086526">
        <w:t xml:space="preserve">and 0.769 </w:t>
      </w:r>
      <w:r w:rsidR="00107DD5" w:rsidRPr="00086526">
        <w:t>(</w:t>
      </w:r>
      <w:r w:rsidRPr="00086526">
        <w:t>PD</w:t>
      </w:r>
      <w:r w:rsidR="00107DD5" w:rsidRPr="00086526">
        <w:t>)</w:t>
      </w:r>
      <w:r w:rsidRPr="00086526">
        <w:t xml:space="preserve"> in the model</w:t>
      </w:r>
      <w:r w:rsidRPr="000E5B3A">
        <w:t xml:space="preserve"> base case based on POD1UM-303 </w:t>
      </w:r>
      <w:r w:rsidR="00EF4D81" w:rsidRPr="000E5B3A">
        <w:t>EQ-5D-5L data observations</w:t>
      </w:r>
      <w:r w:rsidRPr="000E5B3A">
        <w:t>.</w:t>
      </w:r>
      <w:r w:rsidR="005817D3" w:rsidRPr="000E5B3A">
        <w:t xml:space="preserve"> The </w:t>
      </w:r>
      <w:r w:rsidR="004C4291" w:rsidRPr="000E5B3A">
        <w:t xml:space="preserve">evaluation noted the </w:t>
      </w:r>
      <w:r w:rsidR="005817D3" w:rsidRPr="000E5B3A">
        <w:t>number of data points for post-progression utilities was substantially lower than for pre-progression</w:t>
      </w:r>
      <w:r w:rsidR="009D32F8" w:rsidRPr="000E5B3A">
        <w:t>,</w:t>
      </w:r>
      <w:r w:rsidR="005817D3" w:rsidRPr="000E5B3A">
        <w:t xml:space="preserve"> </w:t>
      </w:r>
      <w:r w:rsidR="00C46A5E" w:rsidRPr="000E5B3A">
        <w:t>thereby increasing uncertainty</w:t>
      </w:r>
      <w:r w:rsidR="005817D3" w:rsidRPr="000E5B3A">
        <w:t>.</w:t>
      </w:r>
      <w:r w:rsidR="00C46A5E" w:rsidRPr="000E5B3A">
        <w:t xml:space="preserve"> T</w:t>
      </w:r>
      <w:r w:rsidR="005817D3" w:rsidRPr="000E5B3A">
        <w:t xml:space="preserve">he submission acknowledged that these values </w:t>
      </w:r>
      <w:r w:rsidR="009D32F8" w:rsidRPr="000E5B3A">
        <w:t xml:space="preserve">were </w:t>
      </w:r>
      <w:r w:rsidR="005817D3" w:rsidRPr="000E5B3A">
        <w:t xml:space="preserve">higher than those </w:t>
      </w:r>
      <w:r w:rsidR="00C00967" w:rsidRPr="000E5B3A">
        <w:t xml:space="preserve">used </w:t>
      </w:r>
      <w:r w:rsidR="005817D3" w:rsidRPr="000E5B3A">
        <w:t>in</w:t>
      </w:r>
      <w:r w:rsidR="00C00967" w:rsidRPr="000E5B3A">
        <w:t xml:space="preserve"> </w:t>
      </w:r>
      <w:r w:rsidR="00185057" w:rsidRPr="000E5B3A">
        <w:t>previous</w:t>
      </w:r>
      <w:r w:rsidR="005817D3" w:rsidRPr="000E5B3A">
        <w:t xml:space="preserve"> </w:t>
      </w:r>
      <w:r w:rsidR="00457E9E" w:rsidRPr="000E5B3A">
        <w:t xml:space="preserve">PBAC </w:t>
      </w:r>
      <w:r w:rsidR="005817D3" w:rsidRPr="000E5B3A">
        <w:t xml:space="preserve">evaluations for other squamous cell carcinomas </w:t>
      </w:r>
      <w:r w:rsidR="006557AD" w:rsidRPr="000E5B3A">
        <w:t xml:space="preserve">(SCC) </w:t>
      </w:r>
      <w:r w:rsidR="005817D3" w:rsidRPr="000E5B3A">
        <w:t>that obtained a positive recommendation</w:t>
      </w:r>
      <w:r w:rsidR="0031163F" w:rsidRPr="000E5B3A">
        <w:t xml:space="preserve">, </w:t>
      </w:r>
      <w:r w:rsidR="00806C96" w:rsidRPr="000E5B3A">
        <w:t>e.g.</w:t>
      </w:r>
      <w:r w:rsidR="005817D3" w:rsidRPr="000E5B3A">
        <w:t xml:space="preserve"> </w:t>
      </w:r>
      <w:r w:rsidR="00E906E4" w:rsidRPr="000E5B3A">
        <w:t xml:space="preserve">head and neck </w:t>
      </w:r>
      <w:r w:rsidR="006557AD" w:rsidRPr="000E5B3A">
        <w:t>SCC</w:t>
      </w:r>
      <w:r w:rsidR="00B1459F" w:rsidRPr="000E5B3A">
        <w:t xml:space="preserve"> </w:t>
      </w:r>
      <w:r w:rsidR="00E906E4" w:rsidRPr="000E5B3A">
        <w:t>(</w:t>
      </w:r>
      <w:r w:rsidR="005817D3" w:rsidRPr="000E5B3A">
        <w:t xml:space="preserve">pembrolizumab, March 2022 PBAC meeting and nivolumab, July 2021 PBAC meeting). The </w:t>
      </w:r>
      <w:r w:rsidR="00905BDE" w:rsidRPr="000E5B3A">
        <w:t xml:space="preserve">evaluation considered that the </w:t>
      </w:r>
      <w:r w:rsidR="005817D3" w:rsidRPr="000E5B3A">
        <w:t xml:space="preserve">difference in mapping </w:t>
      </w:r>
      <w:r w:rsidR="002F5C1B" w:rsidRPr="000E5B3A">
        <w:t>approaches affect</w:t>
      </w:r>
      <w:r w:rsidR="005817D3" w:rsidRPr="000E5B3A">
        <w:t xml:space="preserve"> consistency </w:t>
      </w:r>
      <w:r w:rsidR="002F5C1B" w:rsidRPr="000E5B3A">
        <w:t>across</w:t>
      </w:r>
      <w:r w:rsidR="005817D3" w:rsidRPr="000E5B3A">
        <w:t xml:space="preserve"> PBAC considerations. Given the lack of published values for utility in SCAC, the </w:t>
      </w:r>
      <w:r w:rsidR="002F6404" w:rsidRPr="000E5B3A">
        <w:t xml:space="preserve">evaluation could not externally verify </w:t>
      </w:r>
      <w:r w:rsidR="005817D3" w:rsidRPr="000E5B3A">
        <w:t>POD1UM-303</w:t>
      </w:r>
      <w:r w:rsidR="002F5C1B" w:rsidRPr="000E5B3A">
        <w:t xml:space="preserve"> values</w:t>
      </w:r>
      <w:r w:rsidR="005817D3" w:rsidRPr="000E5B3A">
        <w:t>.</w:t>
      </w:r>
      <w:bookmarkEnd w:id="65"/>
      <w:r w:rsidR="00904FC8" w:rsidRPr="000E5B3A">
        <w:t xml:space="preserve"> </w:t>
      </w:r>
      <w:r w:rsidR="006557AD" w:rsidRPr="000E5B3A">
        <w:t>Using</w:t>
      </w:r>
      <w:r w:rsidR="00904FC8" w:rsidRPr="000E5B3A">
        <w:t xml:space="preserve"> utilities from other </w:t>
      </w:r>
      <w:r w:rsidR="003418B6" w:rsidRPr="000E5B3A">
        <w:t>SCC</w:t>
      </w:r>
      <w:r w:rsidR="00904FC8" w:rsidRPr="000E5B3A">
        <w:t xml:space="preserve"> previously consi</w:t>
      </w:r>
      <w:r w:rsidR="006E03F8" w:rsidRPr="000E5B3A">
        <w:t xml:space="preserve">dered by the PBAC generally increased the ICER (e.g. </w:t>
      </w:r>
      <w:r w:rsidR="00667D73" w:rsidRPr="000E5B3A">
        <w:t>using utilities from</w:t>
      </w:r>
      <w:r w:rsidR="00C37CE9" w:rsidRPr="000E5B3A">
        <w:t xml:space="preserve"> pembrolizumab for head and neck </w:t>
      </w:r>
      <w:r w:rsidR="003418B6" w:rsidRPr="000E5B3A">
        <w:t>SCC</w:t>
      </w:r>
      <w:r w:rsidR="00C37CE9" w:rsidRPr="000E5B3A">
        <w:t xml:space="preserve"> </w:t>
      </w:r>
      <w:r w:rsidR="002F0D58" w:rsidRPr="000E5B3A">
        <w:t xml:space="preserve">considered at the March 2022 PBAC meeting </w:t>
      </w:r>
      <w:r w:rsidR="00C37CE9" w:rsidRPr="000E5B3A">
        <w:t>(PF = 0.787; PD = 0.707)</w:t>
      </w:r>
      <w:r w:rsidR="002F0D58" w:rsidRPr="000E5B3A">
        <w:t xml:space="preserve"> increased the ICER by </w:t>
      </w:r>
      <w:r w:rsidR="009951A2" w:rsidRPr="009951A2">
        <w:rPr>
          <w:highlight w:val="black"/>
        </w:rPr>
        <w:t>&amp;&amp;&amp;&amp;</w:t>
      </w:r>
      <w:r w:rsidR="002F0D58" w:rsidRPr="000E5B3A">
        <w:t>%</w:t>
      </w:r>
      <w:r w:rsidR="003E7CBA" w:rsidRPr="000E5B3A">
        <w:t>)</w:t>
      </w:r>
      <w:r w:rsidR="002F0D58" w:rsidRPr="000E5B3A">
        <w:t xml:space="preserve">. </w:t>
      </w:r>
    </w:p>
    <w:p w14:paraId="0C26DB54" w14:textId="70E52EAA" w:rsidR="004D1EB2" w:rsidRPr="000E5B3A" w:rsidRDefault="004D1EB2" w:rsidP="004D1EB2">
      <w:pPr>
        <w:pStyle w:val="3-BodyText"/>
      </w:pPr>
      <w:r w:rsidRPr="000E5B3A">
        <w:t xml:space="preserve">Key drivers of the model are summarised in </w:t>
      </w:r>
      <w:fldSimple w:instr=" REF _Ref104805122 ">
        <w:r w:rsidR="00DB6E72" w:rsidRPr="000E5B3A">
          <w:t xml:space="preserve">Table </w:t>
        </w:r>
        <w:r w:rsidR="00DB6E72">
          <w:rPr>
            <w:noProof/>
          </w:rPr>
          <w:t>11</w:t>
        </w:r>
      </w:fldSimple>
      <w:r w:rsidRPr="000E5B3A">
        <w:t>.</w:t>
      </w:r>
    </w:p>
    <w:p w14:paraId="774D46B7" w14:textId="4416AD67" w:rsidR="00D110BD" w:rsidRPr="000E5B3A" w:rsidRDefault="00E16AD8" w:rsidP="00E16AD8">
      <w:pPr>
        <w:pStyle w:val="Caption"/>
        <w:jc w:val="left"/>
        <w:rPr>
          <w:rStyle w:val="CommentReference"/>
          <w:b/>
          <w:szCs w:val="24"/>
        </w:rPr>
      </w:pPr>
      <w:bookmarkStart w:id="66" w:name="_Ref104805122"/>
      <w:r w:rsidRPr="000E5B3A">
        <w:lastRenderedPageBreak/>
        <w:t xml:space="preserve">Table </w:t>
      </w:r>
      <w:fldSimple w:instr=" SEQ Table \* ARABIC ">
        <w:r w:rsidR="00DB6E72">
          <w:rPr>
            <w:noProof/>
          </w:rPr>
          <w:t>11</w:t>
        </w:r>
      </w:fldSimple>
      <w:bookmarkEnd w:id="66"/>
      <w:r w:rsidRPr="000E5B3A">
        <w:t>:</w:t>
      </w:r>
      <w:r w:rsidR="00D110BD" w:rsidRPr="000E5B3A">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130"/>
        <w:gridCol w:w="3544"/>
        <w:gridCol w:w="4342"/>
      </w:tblGrid>
      <w:tr w:rsidR="00537182" w:rsidRPr="000E5B3A" w14:paraId="4DD8026E" w14:textId="77777777" w:rsidTr="002230BD">
        <w:trPr>
          <w:tblHeader/>
        </w:trPr>
        <w:tc>
          <w:tcPr>
            <w:tcW w:w="626" w:type="pct"/>
            <w:vAlign w:val="center"/>
          </w:tcPr>
          <w:p w14:paraId="6A9EC2DA" w14:textId="77777777" w:rsidR="00D110BD" w:rsidRPr="000E5B3A" w:rsidRDefault="00D110BD" w:rsidP="00010BC4">
            <w:pPr>
              <w:pStyle w:val="In-tableHeading"/>
              <w:rPr>
                <w:lang w:val="en-AU"/>
              </w:rPr>
            </w:pPr>
            <w:r w:rsidRPr="000E5B3A">
              <w:rPr>
                <w:lang w:val="en-AU"/>
              </w:rPr>
              <w:t>Description</w:t>
            </w:r>
          </w:p>
        </w:tc>
        <w:tc>
          <w:tcPr>
            <w:tcW w:w="1965" w:type="pct"/>
            <w:vAlign w:val="center"/>
          </w:tcPr>
          <w:p w14:paraId="67A62672" w14:textId="71A77CB3" w:rsidR="00D110BD" w:rsidRPr="000E5B3A" w:rsidRDefault="00D110BD" w:rsidP="00010BC4">
            <w:pPr>
              <w:pStyle w:val="In-tableHeading"/>
              <w:rPr>
                <w:lang w:val="en-AU"/>
              </w:rPr>
            </w:pPr>
            <w:r w:rsidRPr="000E5B3A">
              <w:rPr>
                <w:lang w:val="en-AU"/>
              </w:rPr>
              <w:t>Method/Value</w:t>
            </w:r>
            <w:r w:rsidR="00A675DE">
              <w:rPr>
                <w:lang w:val="en-AU"/>
              </w:rPr>
              <w:t xml:space="preserve"> in submission base case</w:t>
            </w:r>
          </w:p>
        </w:tc>
        <w:tc>
          <w:tcPr>
            <w:tcW w:w="2408" w:type="pct"/>
            <w:vAlign w:val="center"/>
          </w:tcPr>
          <w:p w14:paraId="6B352E41" w14:textId="77777777" w:rsidR="00D110BD" w:rsidRPr="000E5B3A" w:rsidRDefault="00D110BD" w:rsidP="00010BC4">
            <w:pPr>
              <w:pStyle w:val="In-tableHeading"/>
              <w:rPr>
                <w:lang w:val="en-AU"/>
              </w:rPr>
            </w:pPr>
            <w:r w:rsidRPr="000E5B3A">
              <w:rPr>
                <w:lang w:val="en-AU"/>
              </w:rPr>
              <w:t>Impact</w:t>
            </w:r>
          </w:p>
          <w:p w14:paraId="6C1DC9EA" w14:textId="6AD45010" w:rsidR="00490B17" w:rsidRPr="000E5B3A" w:rsidRDefault="00490B17" w:rsidP="00010BC4">
            <w:pPr>
              <w:pStyle w:val="In-tableHeading"/>
              <w:rPr>
                <w:lang w:val="en-AU"/>
              </w:rPr>
            </w:pPr>
            <w:r w:rsidRPr="000E5B3A">
              <w:rPr>
                <w:lang w:val="en-AU"/>
              </w:rPr>
              <w:t>Base case: $</w:t>
            </w:r>
            <w:r w:rsidR="009951A2" w:rsidRPr="009951A2">
              <w:rPr>
                <w:highlight w:val="black"/>
                <w:lang w:val="en-AU"/>
              </w:rPr>
              <w:t>&amp;&amp;&amp;&amp;</w:t>
            </w:r>
            <w:r w:rsidR="0032045F">
              <w:rPr>
                <w:vertAlign w:val="superscript"/>
                <w:lang w:val="en-AU"/>
              </w:rPr>
              <w:t>1</w:t>
            </w:r>
            <w:r w:rsidRPr="000E5B3A">
              <w:rPr>
                <w:lang w:val="en-AU"/>
              </w:rPr>
              <w:t>/QALY gained</w:t>
            </w:r>
          </w:p>
        </w:tc>
      </w:tr>
      <w:tr w:rsidR="003904DE" w:rsidRPr="000E5B3A" w14:paraId="41351174" w14:textId="77777777" w:rsidTr="002230BD">
        <w:trPr>
          <w:tblHeader/>
        </w:trPr>
        <w:tc>
          <w:tcPr>
            <w:tcW w:w="626" w:type="pct"/>
            <w:vAlign w:val="center"/>
          </w:tcPr>
          <w:p w14:paraId="136936EA" w14:textId="56748E9E" w:rsidR="003904DE" w:rsidRPr="000E5B3A" w:rsidRDefault="003904DE" w:rsidP="003904DE">
            <w:pPr>
              <w:pStyle w:val="TableText0"/>
            </w:pPr>
            <w:r w:rsidRPr="000E5B3A">
              <w:t>Duration of KM data</w:t>
            </w:r>
          </w:p>
        </w:tc>
        <w:tc>
          <w:tcPr>
            <w:tcW w:w="1965" w:type="pct"/>
            <w:vAlign w:val="center"/>
          </w:tcPr>
          <w:p w14:paraId="466C6721" w14:textId="33D7AD26" w:rsidR="003904DE" w:rsidRPr="000E5B3A" w:rsidRDefault="003904DE" w:rsidP="003904DE">
            <w:pPr>
              <w:pStyle w:val="TableText0"/>
            </w:pPr>
            <w:r w:rsidRPr="000E5B3A">
              <w:t>The model base case used Gebski criterion 1 (2.5%) to determine the duration for which the POD1UM-303 KM data was used.</w:t>
            </w:r>
          </w:p>
        </w:tc>
        <w:tc>
          <w:tcPr>
            <w:tcW w:w="2408" w:type="pct"/>
            <w:vAlign w:val="center"/>
          </w:tcPr>
          <w:p w14:paraId="20A48522" w14:textId="77777777" w:rsidR="000006B1" w:rsidRPr="000E5B3A" w:rsidRDefault="003904DE" w:rsidP="003904DE">
            <w:pPr>
              <w:pStyle w:val="TableText0"/>
            </w:pPr>
            <w:r w:rsidRPr="000E5B3A">
              <w:t xml:space="preserve">High, favours retifanlimab. </w:t>
            </w:r>
          </w:p>
          <w:p w14:paraId="47BD38B3" w14:textId="2553DD38" w:rsidR="003904DE" w:rsidRPr="000E5B3A" w:rsidRDefault="003904DE" w:rsidP="003904DE">
            <w:pPr>
              <w:pStyle w:val="TableText0"/>
            </w:pPr>
            <w:r w:rsidRPr="000E5B3A">
              <w:t>Use of Gebski criterion 1 (5%) increased the ICER to $</w:t>
            </w:r>
            <w:r w:rsidR="009951A2" w:rsidRPr="009951A2">
              <w:rPr>
                <w:highlight w:val="black"/>
              </w:rPr>
              <w:t>&amp;&amp;&amp;&amp;</w:t>
            </w:r>
            <w:r w:rsidR="0032045F" w:rsidRPr="0032045F">
              <w:rPr>
                <w:vertAlign w:val="superscript"/>
              </w:rPr>
              <w:t>2</w:t>
            </w:r>
            <w:r w:rsidR="0032045F">
              <w:rPr>
                <w:vertAlign w:val="superscript"/>
              </w:rPr>
              <w:t xml:space="preserve"> </w:t>
            </w:r>
            <w:r w:rsidRPr="000E5B3A">
              <w:t>(+</w:t>
            </w:r>
            <w:r w:rsidR="009951A2" w:rsidRPr="009951A2">
              <w:rPr>
                <w:highlight w:val="black"/>
              </w:rPr>
              <w:t>&amp;&amp;&amp;&amp;</w:t>
            </w:r>
            <w:r w:rsidRPr="000E5B3A">
              <w:t>%). Use of Gebski criterion 2 increased the ICER to $</w:t>
            </w:r>
            <w:r w:rsidR="009951A2" w:rsidRPr="009951A2">
              <w:rPr>
                <w:highlight w:val="black"/>
              </w:rPr>
              <w:t>&amp;&amp;&amp;&amp;</w:t>
            </w:r>
            <w:r w:rsidR="0032045F" w:rsidRPr="0032045F">
              <w:rPr>
                <w:vertAlign w:val="superscript"/>
              </w:rPr>
              <w:t>3</w:t>
            </w:r>
            <w:r w:rsidRPr="000E5B3A">
              <w:t xml:space="preserve"> (+</w:t>
            </w:r>
            <w:r w:rsidR="009951A2" w:rsidRPr="009951A2">
              <w:rPr>
                <w:highlight w:val="black"/>
              </w:rPr>
              <w:t>&amp;&amp;&amp;&amp;</w:t>
            </w:r>
            <w:r w:rsidRPr="000E5B3A">
              <w:t>%).</w:t>
            </w:r>
          </w:p>
        </w:tc>
      </w:tr>
      <w:tr w:rsidR="00090F28" w:rsidRPr="000E5B3A" w14:paraId="49AF7F5C" w14:textId="77777777" w:rsidTr="002230BD">
        <w:tc>
          <w:tcPr>
            <w:tcW w:w="626" w:type="pct"/>
            <w:vAlign w:val="center"/>
          </w:tcPr>
          <w:p w14:paraId="259F77E2" w14:textId="77777777" w:rsidR="00090F28" w:rsidRPr="000E5B3A" w:rsidRDefault="00090F28">
            <w:pPr>
              <w:pStyle w:val="TableText0"/>
            </w:pPr>
            <w:r w:rsidRPr="000E5B3A">
              <w:t>Time horizon</w:t>
            </w:r>
          </w:p>
        </w:tc>
        <w:tc>
          <w:tcPr>
            <w:tcW w:w="1965" w:type="pct"/>
            <w:vAlign w:val="center"/>
          </w:tcPr>
          <w:p w14:paraId="71C6E022" w14:textId="77777777" w:rsidR="00090F28" w:rsidRPr="000E5B3A" w:rsidRDefault="00090F28">
            <w:pPr>
              <w:pStyle w:val="TableText0"/>
            </w:pPr>
            <w:r w:rsidRPr="000E5B3A">
              <w:t>The model used a time horizon of 15 years, whereas the OS follow-up in POD1UM-303 OS was 14.77 months for the retifanlimab + CP arm and 12.86 months for the placebo + CP arm.</w:t>
            </w:r>
          </w:p>
        </w:tc>
        <w:tc>
          <w:tcPr>
            <w:tcW w:w="2408" w:type="pct"/>
            <w:vAlign w:val="center"/>
          </w:tcPr>
          <w:p w14:paraId="759159AE" w14:textId="77777777" w:rsidR="00090F28" w:rsidRPr="000E5B3A" w:rsidRDefault="00090F28">
            <w:pPr>
              <w:pStyle w:val="TableText0"/>
            </w:pPr>
            <w:r w:rsidRPr="000E5B3A">
              <w:t>Moderate, favours retifanlimab.</w:t>
            </w:r>
          </w:p>
          <w:p w14:paraId="642A669D" w14:textId="34882D2E" w:rsidR="00090F28" w:rsidRPr="000E5B3A" w:rsidRDefault="00090F28">
            <w:pPr>
              <w:pStyle w:val="TableText0"/>
            </w:pPr>
            <w:r w:rsidRPr="000E5B3A">
              <w:t xml:space="preserve">Use of a </w:t>
            </w:r>
            <w:r w:rsidR="006C4058" w:rsidRPr="000E5B3A">
              <w:t>7.5-year</w:t>
            </w:r>
            <w:r w:rsidRPr="000E5B3A">
              <w:t xml:space="preserve"> time horizon increased the ICER by </w:t>
            </w:r>
            <w:r w:rsidR="009951A2" w:rsidRPr="009951A2">
              <w:rPr>
                <w:highlight w:val="black"/>
              </w:rPr>
              <w:t>&amp;&amp;&amp;&amp;</w:t>
            </w:r>
            <w:r w:rsidRPr="000E5B3A">
              <w:t>% to $</w:t>
            </w:r>
            <w:r w:rsidR="009951A2" w:rsidRPr="009951A2">
              <w:rPr>
                <w:highlight w:val="black"/>
              </w:rPr>
              <w:t>&amp;&amp;&amp;&amp;</w:t>
            </w:r>
            <w:r w:rsidR="0032045F">
              <w:rPr>
                <w:vertAlign w:val="superscript"/>
              </w:rPr>
              <w:t>3</w:t>
            </w:r>
            <w:r w:rsidRPr="000E5B3A">
              <w:t>.</w:t>
            </w:r>
          </w:p>
        </w:tc>
      </w:tr>
      <w:tr w:rsidR="00346241" w:rsidRPr="000E5B3A" w14:paraId="7A4E42CA" w14:textId="77777777" w:rsidTr="002230BD">
        <w:tc>
          <w:tcPr>
            <w:tcW w:w="626" w:type="pct"/>
            <w:vAlign w:val="center"/>
          </w:tcPr>
          <w:p w14:paraId="6D7C9F10" w14:textId="2BD386A4" w:rsidR="00346241" w:rsidRPr="000E5B3A" w:rsidRDefault="00346241" w:rsidP="00346241">
            <w:pPr>
              <w:pStyle w:val="TableText0"/>
            </w:pPr>
            <w:r w:rsidRPr="000E5B3A">
              <w:t>OS parametric model</w:t>
            </w:r>
          </w:p>
        </w:tc>
        <w:tc>
          <w:tcPr>
            <w:tcW w:w="1965" w:type="pct"/>
            <w:vAlign w:val="center"/>
          </w:tcPr>
          <w:p w14:paraId="60EF130F" w14:textId="6CE0FA26" w:rsidR="00346241" w:rsidRPr="000E5B3A" w:rsidRDefault="00346241" w:rsidP="00346241">
            <w:pPr>
              <w:pStyle w:val="TableText0"/>
            </w:pPr>
            <w:r w:rsidRPr="000E5B3A">
              <w:t xml:space="preserve">The model used the loglogistic model in the base case to extend the POD1UM-303 OS KM data. </w:t>
            </w:r>
          </w:p>
        </w:tc>
        <w:tc>
          <w:tcPr>
            <w:tcW w:w="2408" w:type="pct"/>
            <w:vAlign w:val="center"/>
          </w:tcPr>
          <w:p w14:paraId="0DE962F8" w14:textId="77777777" w:rsidR="00346241" w:rsidRPr="000E5B3A" w:rsidRDefault="00346241" w:rsidP="00346241">
            <w:pPr>
              <w:pStyle w:val="TableText0"/>
            </w:pPr>
            <w:r w:rsidRPr="000E5B3A">
              <w:t>Moderate, uncertain which drug is favoured.</w:t>
            </w:r>
          </w:p>
          <w:p w14:paraId="4EBB162B" w14:textId="00026692" w:rsidR="00346241" w:rsidRPr="000E5B3A" w:rsidRDefault="00346241" w:rsidP="00346241">
            <w:pPr>
              <w:pStyle w:val="TableText0"/>
            </w:pPr>
            <w:r w:rsidRPr="000E5B3A">
              <w:t>Use of the Gompertz parametric model increased the ICER to $</w:t>
            </w:r>
            <w:r w:rsidR="009951A2" w:rsidRPr="009951A2">
              <w:rPr>
                <w:highlight w:val="black"/>
              </w:rPr>
              <w:t>&amp;&amp;&amp;&amp;</w:t>
            </w:r>
            <w:r w:rsidR="0032045F" w:rsidRPr="0032045F">
              <w:rPr>
                <w:vertAlign w:val="superscript"/>
              </w:rPr>
              <w:t>2</w:t>
            </w:r>
            <w:r w:rsidRPr="000E5B3A">
              <w:t xml:space="preserve"> (+</w:t>
            </w:r>
            <w:r w:rsidR="009951A2" w:rsidRPr="009951A2">
              <w:rPr>
                <w:highlight w:val="black"/>
              </w:rPr>
              <w:t>&amp;&amp;&amp;&amp;</w:t>
            </w:r>
            <w:r w:rsidRPr="000E5B3A">
              <w:t xml:space="preserve">%). Use of the </w:t>
            </w:r>
            <w:r w:rsidR="00FA0B39" w:rsidRPr="000E5B3A">
              <w:t xml:space="preserve">exponential </w:t>
            </w:r>
            <w:r w:rsidRPr="000E5B3A">
              <w:t>parametric model decreased the ICER to $</w:t>
            </w:r>
            <w:r w:rsidR="009951A2" w:rsidRPr="009951A2">
              <w:rPr>
                <w:highlight w:val="black"/>
              </w:rPr>
              <w:t>&amp;&amp;&amp;&amp;</w:t>
            </w:r>
            <w:r w:rsidR="0032045F">
              <w:rPr>
                <w:vertAlign w:val="superscript"/>
              </w:rPr>
              <w:t>4</w:t>
            </w:r>
            <w:r w:rsidRPr="000E5B3A">
              <w:t xml:space="preserve"> (-</w:t>
            </w:r>
            <w:r w:rsidR="009951A2" w:rsidRPr="009951A2">
              <w:rPr>
                <w:highlight w:val="black"/>
              </w:rPr>
              <w:t>&amp;&amp;&amp;&amp;</w:t>
            </w:r>
            <w:r w:rsidRPr="000E5B3A">
              <w:t>%)</w:t>
            </w:r>
          </w:p>
        </w:tc>
      </w:tr>
      <w:tr w:rsidR="00B638A8" w:rsidRPr="000E5B3A" w14:paraId="38A51EDB" w14:textId="77777777" w:rsidTr="002230BD">
        <w:tc>
          <w:tcPr>
            <w:tcW w:w="626" w:type="pct"/>
            <w:vAlign w:val="center"/>
          </w:tcPr>
          <w:p w14:paraId="42BE934D" w14:textId="4ACF8B9E" w:rsidR="00B638A8" w:rsidRPr="000E5B3A" w:rsidRDefault="00B638A8" w:rsidP="00B638A8">
            <w:pPr>
              <w:pStyle w:val="TableText0"/>
            </w:pPr>
            <w:r w:rsidRPr="000E5B3A">
              <w:t>Doses of retifanlimab</w:t>
            </w:r>
          </w:p>
        </w:tc>
        <w:tc>
          <w:tcPr>
            <w:tcW w:w="1965" w:type="pct"/>
            <w:vAlign w:val="center"/>
          </w:tcPr>
          <w:p w14:paraId="2425C63E" w14:textId="26F5F861" w:rsidR="00B638A8" w:rsidRPr="000E5B3A" w:rsidRDefault="00B638A8" w:rsidP="00B638A8">
            <w:pPr>
              <w:pStyle w:val="TableText0"/>
            </w:pPr>
            <w:r w:rsidRPr="000E5B3A">
              <w:t>The model base case assumed that patients received 9 infusions of retifanlimab (median number of doses in POD1UM-303).</w:t>
            </w:r>
            <w:r w:rsidR="00842B11" w:rsidRPr="000E5B3A">
              <w:rPr>
                <w:vertAlign w:val="superscript"/>
              </w:rPr>
              <w:t>a</w:t>
            </w:r>
            <w:r w:rsidRPr="000E5B3A">
              <w:t xml:space="preserve"> </w:t>
            </w:r>
          </w:p>
        </w:tc>
        <w:tc>
          <w:tcPr>
            <w:tcW w:w="2408" w:type="pct"/>
            <w:vAlign w:val="center"/>
          </w:tcPr>
          <w:p w14:paraId="5833071F" w14:textId="79121C8C" w:rsidR="00B638A8" w:rsidRPr="000E5B3A" w:rsidRDefault="00B638A8" w:rsidP="00B638A8">
            <w:pPr>
              <w:pStyle w:val="TableText0"/>
            </w:pPr>
            <w:r w:rsidRPr="000E5B3A">
              <w:t>Moderate. Inclusion of 13 retifanlimab infusions (maximum dose) increased the ICER to $</w:t>
            </w:r>
            <w:r w:rsidR="009951A2" w:rsidRPr="009951A2">
              <w:rPr>
                <w:highlight w:val="black"/>
              </w:rPr>
              <w:t>&amp;&amp;&amp;&amp;</w:t>
            </w:r>
            <w:r w:rsidR="0032045F">
              <w:rPr>
                <w:vertAlign w:val="superscript"/>
              </w:rPr>
              <w:t>5</w:t>
            </w:r>
            <w:r w:rsidRPr="000E5B3A">
              <w:t xml:space="preserve"> (+</w:t>
            </w:r>
            <w:r w:rsidR="009951A2" w:rsidRPr="009951A2">
              <w:rPr>
                <w:highlight w:val="black"/>
              </w:rPr>
              <w:t>&amp;&amp;&amp;&amp;</w:t>
            </w:r>
            <w:r w:rsidRPr="000E5B3A">
              <w:t xml:space="preserve">%). Using PFS to inform duration of treatment (as used for the retifanlimab for MCC submission </w:t>
            </w:r>
            <w:r w:rsidR="00F954DA">
              <w:t>which was also</w:t>
            </w:r>
            <w:r w:rsidRPr="000E5B3A">
              <w:t xml:space="preserve"> considered at the November 2025 PBAC meeting) increased the ICER by </w:t>
            </w:r>
            <w:r w:rsidR="009951A2" w:rsidRPr="009951A2">
              <w:rPr>
                <w:highlight w:val="black"/>
              </w:rPr>
              <w:t>&amp;&amp;&amp;&amp;</w:t>
            </w:r>
            <w:r w:rsidRPr="000E5B3A">
              <w:t>%</w:t>
            </w:r>
          </w:p>
        </w:tc>
      </w:tr>
      <w:tr w:rsidR="00090F28" w:rsidRPr="000E5B3A" w14:paraId="5C971E8B" w14:textId="77777777" w:rsidTr="002230BD">
        <w:tc>
          <w:tcPr>
            <w:tcW w:w="626" w:type="pct"/>
            <w:vAlign w:val="center"/>
          </w:tcPr>
          <w:p w14:paraId="6C190BEB" w14:textId="77777777" w:rsidR="00090F28" w:rsidRPr="000E5B3A" w:rsidRDefault="00090F28">
            <w:pPr>
              <w:pStyle w:val="TableText0"/>
            </w:pPr>
            <w:r w:rsidRPr="000E5B3A">
              <w:t>Approach to OS crossover adjustment</w:t>
            </w:r>
          </w:p>
        </w:tc>
        <w:tc>
          <w:tcPr>
            <w:tcW w:w="1965" w:type="pct"/>
            <w:vAlign w:val="center"/>
          </w:tcPr>
          <w:p w14:paraId="17EB30BB" w14:textId="77777777" w:rsidR="00090F28" w:rsidRPr="000E5B3A" w:rsidRDefault="00090F28">
            <w:pPr>
              <w:pStyle w:val="TableText0"/>
            </w:pPr>
            <w:r w:rsidRPr="000E5B3A">
              <w:t>The base case model used the RPSFT model to adjust for crossover instead of the ITT results.</w:t>
            </w:r>
          </w:p>
        </w:tc>
        <w:tc>
          <w:tcPr>
            <w:tcW w:w="2408" w:type="pct"/>
            <w:vAlign w:val="center"/>
          </w:tcPr>
          <w:p w14:paraId="34B9413D" w14:textId="77777777" w:rsidR="00090F28" w:rsidRPr="000E5B3A" w:rsidRDefault="00090F28">
            <w:pPr>
              <w:pStyle w:val="TableText0"/>
            </w:pPr>
            <w:r w:rsidRPr="000E5B3A">
              <w:t>Moderate, favours retifanlimab.</w:t>
            </w:r>
          </w:p>
          <w:p w14:paraId="420889B1" w14:textId="522EB256" w:rsidR="00090F28" w:rsidRPr="000E5B3A" w:rsidRDefault="00090F28">
            <w:pPr>
              <w:pStyle w:val="TableText0"/>
            </w:pPr>
            <w:r w:rsidRPr="000E5B3A">
              <w:t>Use of the ITT OS data increased the ICER to $</w:t>
            </w:r>
            <w:r w:rsidR="009951A2" w:rsidRPr="009951A2">
              <w:rPr>
                <w:highlight w:val="black"/>
              </w:rPr>
              <w:t>&amp;&amp;&amp;&amp;</w:t>
            </w:r>
            <w:r w:rsidR="0032045F">
              <w:rPr>
                <w:vertAlign w:val="superscript"/>
              </w:rPr>
              <w:t>3</w:t>
            </w:r>
            <w:r w:rsidRPr="000E5B3A">
              <w:t xml:space="preserve"> (+</w:t>
            </w:r>
            <w:r w:rsidR="009951A2" w:rsidRPr="009951A2">
              <w:rPr>
                <w:highlight w:val="black"/>
              </w:rPr>
              <w:t>&amp;&amp;&amp;&amp;</w:t>
            </w:r>
            <w:r w:rsidRPr="000E5B3A">
              <w:t>%).</w:t>
            </w:r>
          </w:p>
        </w:tc>
      </w:tr>
      <w:tr w:rsidR="004D1EB2" w:rsidRPr="000E5B3A" w14:paraId="26FA69FD" w14:textId="77777777" w:rsidTr="002230BD">
        <w:tc>
          <w:tcPr>
            <w:tcW w:w="626" w:type="pct"/>
            <w:vAlign w:val="center"/>
          </w:tcPr>
          <w:p w14:paraId="17096EF5" w14:textId="77777777" w:rsidR="004D1EB2" w:rsidRPr="000E5B3A" w:rsidRDefault="004D1EB2">
            <w:pPr>
              <w:pStyle w:val="TableText0"/>
            </w:pPr>
            <w:r w:rsidRPr="000E5B3A">
              <w:t>Risk convergence</w:t>
            </w:r>
          </w:p>
        </w:tc>
        <w:tc>
          <w:tcPr>
            <w:tcW w:w="1965" w:type="pct"/>
            <w:vAlign w:val="center"/>
          </w:tcPr>
          <w:p w14:paraId="5FF273A9" w14:textId="77777777" w:rsidR="004D1EB2" w:rsidRPr="000E5B3A" w:rsidRDefault="004D1EB2">
            <w:pPr>
              <w:pStyle w:val="TableText0"/>
            </w:pPr>
            <w:r w:rsidRPr="000E5B3A">
              <w:t>The base case model did not include risk convergence between the survival curves for the treatment arms.</w:t>
            </w:r>
          </w:p>
        </w:tc>
        <w:tc>
          <w:tcPr>
            <w:tcW w:w="2408" w:type="pct"/>
            <w:vAlign w:val="center"/>
          </w:tcPr>
          <w:p w14:paraId="734BFF3F" w14:textId="77777777" w:rsidR="004D1EB2" w:rsidRPr="000E5B3A" w:rsidRDefault="004D1EB2">
            <w:pPr>
              <w:pStyle w:val="TableText0"/>
            </w:pPr>
            <w:r w:rsidRPr="000E5B3A">
              <w:t>Moderate, favours retifanlimab.</w:t>
            </w:r>
          </w:p>
          <w:p w14:paraId="458C0075" w14:textId="1520B012" w:rsidR="004D1EB2" w:rsidRPr="000E5B3A" w:rsidRDefault="004D1EB2">
            <w:pPr>
              <w:pStyle w:val="TableText0"/>
            </w:pPr>
            <w:r w:rsidRPr="000E5B3A">
              <w:t>Inclusion of risk convergence from 3 years increased the ICER to $</w:t>
            </w:r>
            <w:r w:rsidR="009951A2" w:rsidRPr="009951A2">
              <w:rPr>
                <w:highlight w:val="black"/>
              </w:rPr>
              <w:t>&amp;&amp;&amp;&amp;</w:t>
            </w:r>
            <w:r w:rsidR="0032045F">
              <w:rPr>
                <w:vertAlign w:val="superscript"/>
              </w:rPr>
              <w:t>3</w:t>
            </w:r>
            <w:r w:rsidRPr="000E5B3A">
              <w:t xml:space="preserve"> (+</w:t>
            </w:r>
            <w:r w:rsidR="009951A2" w:rsidRPr="009951A2">
              <w:rPr>
                <w:highlight w:val="black"/>
              </w:rPr>
              <w:t>&amp;&amp;&amp;&amp;</w:t>
            </w:r>
            <w:r w:rsidRPr="000E5B3A">
              <w:t xml:space="preserve">%). </w:t>
            </w:r>
          </w:p>
        </w:tc>
      </w:tr>
    </w:tbl>
    <w:p w14:paraId="260890E6" w14:textId="26E66964" w:rsidR="00795B5B" w:rsidRPr="000E5B3A" w:rsidRDefault="00795B5B" w:rsidP="00795B5B">
      <w:pPr>
        <w:pStyle w:val="TableFigureFooter"/>
      </w:pPr>
      <w:r w:rsidRPr="000E5B3A">
        <w:t>Source: Constructed during evaluation using Table 90, p159 of the submission and Retifanlimab_SCAC_CUA.xlsx</w:t>
      </w:r>
    </w:p>
    <w:p w14:paraId="2F22E5DB" w14:textId="254D2E2E" w:rsidR="003904DE" w:rsidRPr="000E5B3A" w:rsidRDefault="003904DE" w:rsidP="00B13E4C">
      <w:pPr>
        <w:pStyle w:val="TableFigureFooter"/>
        <w:spacing w:after="0"/>
      </w:pPr>
      <w:r w:rsidRPr="000E5B3A">
        <w:t>CP = carboplatin-paclitaxel;</w:t>
      </w:r>
      <w:r w:rsidR="00BB7944" w:rsidRPr="000E5B3A">
        <w:t xml:space="preserve"> ICER = incremental cost-effectiveness ratio; ITT = intention to treat; </w:t>
      </w:r>
      <w:r w:rsidRPr="000E5B3A">
        <w:t xml:space="preserve">KM = Kaplan-Meier; </w:t>
      </w:r>
      <w:r w:rsidR="00B638A8" w:rsidRPr="000E5B3A">
        <w:t xml:space="preserve">MCC = Merkel Cell Carcinoma; </w:t>
      </w:r>
      <w:r w:rsidR="00BB7944" w:rsidRPr="000E5B3A">
        <w:t xml:space="preserve">OS = overall survival; </w:t>
      </w:r>
      <w:r w:rsidRPr="000E5B3A">
        <w:t>RET = retifanlimab.</w:t>
      </w:r>
      <w:r w:rsidR="00BB7944" w:rsidRPr="000E5B3A">
        <w:t xml:space="preserve"> RPSFT = rank preserving structural failure time</w:t>
      </w:r>
    </w:p>
    <w:p w14:paraId="7A67A1FC" w14:textId="3F1BA2F5" w:rsidR="00142939" w:rsidRDefault="00842B11" w:rsidP="00142939">
      <w:pPr>
        <w:rPr>
          <w:rFonts w:ascii="Arial Narrow" w:hAnsi="Arial Narrow"/>
          <w:i/>
          <w:sz w:val="18"/>
          <w:szCs w:val="18"/>
        </w:rPr>
      </w:pPr>
      <w:r w:rsidRPr="000E5B3A">
        <w:rPr>
          <w:rFonts w:ascii="Arial Narrow" w:hAnsi="Arial Narrow"/>
          <w:snapToGrid w:val="0"/>
          <w:sz w:val="18"/>
          <w:vertAlign w:val="superscript"/>
        </w:rPr>
        <w:t>a</w:t>
      </w:r>
      <w:r w:rsidRPr="000E5B3A">
        <w:rPr>
          <w:rFonts w:ascii="Arial Narrow" w:hAnsi="Arial Narrow"/>
          <w:snapToGrid w:val="0"/>
          <w:sz w:val="18"/>
        </w:rPr>
        <w:t xml:space="preserve"> The </w:t>
      </w:r>
      <w:r w:rsidR="0095760E" w:rsidRPr="000E5B3A">
        <w:rPr>
          <w:rFonts w:ascii="Arial Narrow" w:hAnsi="Arial Narrow"/>
          <w:snapToGrid w:val="0"/>
          <w:sz w:val="18"/>
        </w:rPr>
        <w:t xml:space="preserve">mean number of doses was 8.5, so the use of the median number of doses was conservative, refer to </w:t>
      </w:r>
      <w:r w:rsidR="00B13E4C" w:rsidRPr="000E5B3A">
        <w:rPr>
          <w:rFonts w:ascii="Arial Narrow" w:hAnsi="Arial Narrow"/>
          <w:snapToGrid w:val="0"/>
          <w:sz w:val="18"/>
        </w:rPr>
        <w:fldChar w:fldCharType="begin"/>
      </w:r>
      <w:r w:rsidR="00B13E4C" w:rsidRPr="000E5B3A">
        <w:rPr>
          <w:rFonts w:ascii="Arial Narrow" w:hAnsi="Arial Narrow"/>
          <w:snapToGrid w:val="0"/>
          <w:sz w:val="18"/>
        </w:rPr>
        <w:instrText xml:space="preserve"> REF _Ref104804865 \h  \* MERGEFORMAT </w:instrText>
      </w:r>
      <w:r w:rsidR="00B13E4C" w:rsidRPr="000E5B3A">
        <w:rPr>
          <w:rFonts w:ascii="Arial Narrow" w:hAnsi="Arial Narrow"/>
          <w:snapToGrid w:val="0"/>
          <w:sz w:val="18"/>
        </w:rPr>
      </w:r>
      <w:r w:rsidR="00B13E4C" w:rsidRPr="000E5B3A">
        <w:rPr>
          <w:rFonts w:ascii="Arial Narrow" w:hAnsi="Arial Narrow"/>
          <w:snapToGrid w:val="0"/>
          <w:sz w:val="18"/>
        </w:rPr>
        <w:fldChar w:fldCharType="separate"/>
      </w:r>
      <w:r w:rsidR="00DB6E72" w:rsidRPr="00DB6E72">
        <w:rPr>
          <w:rFonts w:ascii="Arial Narrow" w:hAnsi="Arial Narrow"/>
          <w:snapToGrid w:val="0"/>
          <w:sz w:val="18"/>
        </w:rPr>
        <w:t>Table 13</w:t>
      </w:r>
      <w:r w:rsidR="00B13E4C" w:rsidRPr="000E5B3A">
        <w:rPr>
          <w:rFonts w:ascii="Arial Narrow" w:hAnsi="Arial Narrow"/>
          <w:snapToGrid w:val="0"/>
          <w:sz w:val="18"/>
        </w:rPr>
        <w:fldChar w:fldCharType="end"/>
      </w:r>
      <w:r w:rsidR="00B13E4C" w:rsidRPr="000E5B3A">
        <w:rPr>
          <w:rFonts w:ascii="Arial Narrow" w:hAnsi="Arial Narrow"/>
          <w:snapToGrid w:val="0"/>
          <w:sz w:val="18"/>
        </w:rPr>
        <w:t>).</w:t>
      </w:r>
      <w:bookmarkStart w:id="67" w:name="_Hlk219196048"/>
      <w:bookmarkStart w:id="68" w:name="_Hlk219196260"/>
    </w:p>
    <w:p w14:paraId="2BCDF7DD" w14:textId="7F3A4B4C" w:rsidR="00142939" w:rsidRPr="00142939" w:rsidRDefault="00142939" w:rsidP="00142939">
      <w:pPr>
        <w:rPr>
          <w:rFonts w:ascii="Arial Narrow" w:hAnsi="Arial Narrow"/>
          <w:i/>
          <w:sz w:val="18"/>
          <w:szCs w:val="18"/>
        </w:rPr>
      </w:pPr>
      <w:r w:rsidRPr="00142939">
        <w:rPr>
          <w:rFonts w:ascii="Arial Narrow" w:hAnsi="Arial Narrow"/>
          <w:i/>
          <w:sz w:val="18"/>
          <w:szCs w:val="18"/>
        </w:rPr>
        <w:t xml:space="preserve">The redacted values correspond to the following ranges: </w:t>
      </w:r>
    </w:p>
    <w:p w14:paraId="41C3006F" w14:textId="1F3D2A10" w:rsidR="000C62C0" w:rsidRDefault="00142939" w:rsidP="00142939">
      <w:pPr>
        <w:jc w:val="left"/>
        <w:rPr>
          <w:rFonts w:ascii="Arial Narrow" w:hAnsi="Arial Narrow"/>
          <w:i/>
          <w:sz w:val="18"/>
          <w:szCs w:val="18"/>
        </w:rPr>
      </w:pPr>
      <w:r w:rsidRPr="00142939">
        <w:rPr>
          <w:rFonts w:ascii="Arial Narrow" w:hAnsi="Arial Narrow"/>
          <w:i/>
          <w:sz w:val="18"/>
          <w:szCs w:val="18"/>
          <w:vertAlign w:val="superscript"/>
        </w:rPr>
        <w:t>1</w:t>
      </w:r>
      <w:r w:rsidRPr="00142939">
        <w:rPr>
          <w:rFonts w:ascii="Arial Narrow" w:hAnsi="Arial Narrow"/>
          <w:i/>
          <w:sz w:val="18"/>
          <w:szCs w:val="18"/>
        </w:rPr>
        <w:t xml:space="preserve"> </w:t>
      </w:r>
      <w:bookmarkStart w:id="69" w:name="_Hlk219126856"/>
      <w:r w:rsidR="00007D44" w:rsidRPr="00007D44">
        <w:rPr>
          <w:rFonts w:ascii="Arial Narrow" w:hAnsi="Arial Narrow"/>
          <w:i/>
          <w:sz w:val="18"/>
          <w:szCs w:val="18"/>
        </w:rPr>
        <w:t>$75,000 to &lt; $95,000</w:t>
      </w:r>
    </w:p>
    <w:p w14:paraId="17AA9A40" w14:textId="287DC4E9" w:rsidR="00142939" w:rsidRPr="00142939" w:rsidRDefault="000C62C0" w:rsidP="00142939">
      <w:pPr>
        <w:jc w:val="left"/>
        <w:rPr>
          <w:rFonts w:ascii="Arial Narrow" w:hAnsi="Arial Narrow"/>
          <w:i/>
          <w:sz w:val="18"/>
          <w:szCs w:val="18"/>
        </w:rPr>
      </w:pPr>
      <w:r>
        <w:rPr>
          <w:rFonts w:ascii="Arial Narrow" w:hAnsi="Arial Narrow"/>
          <w:i/>
          <w:sz w:val="18"/>
          <w:szCs w:val="18"/>
          <w:vertAlign w:val="superscript"/>
        </w:rPr>
        <w:t xml:space="preserve">2 </w:t>
      </w:r>
      <w:r w:rsidR="002D550F" w:rsidRPr="002D550F">
        <w:rPr>
          <w:rFonts w:ascii="Arial Narrow" w:hAnsi="Arial Narrow"/>
          <w:i/>
          <w:sz w:val="18"/>
          <w:szCs w:val="18"/>
        </w:rPr>
        <w:t>$115,000 to &lt; $135,000</w:t>
      </w:r>
      <w:bookmarkEnd w:id="69"/>
    </w:p>
    <w:bookmarkEnd w:id="67"/>
    <w:p w14:paraId="2370D973" w14:textId="3B52CDFF" w:rsidR="000C62C0" w:rsidRDefault="000C62C0" w:rsidP="00142939">
      <w:pPr>
        <w:jc w:val="left"/>
        <w:rPr>
          <w:rFonts w:ascii="Arial Narrow" w:hAnsi="Arial Narrow"/>
          <w:i/>
          <w:sz w:val="18"/>
          <w:szCs w:val="18"/>
        </w:rPr>
      </w:pPr>
      <w:r>
        <w:rPr>
          <w:rFonts w:ascii="Arial Narrow" w:hAnsi="Arial Narrow"/>
          <w:i/>
          <w:sz w:val="18"/>
          <w:szCs w:val="18"/>
          <w:vertAlign w:val="superscript"/>
        </w:rPr>
        <w:t>3</w:t>
      </w:r>
      <w:r w:rsidR="00142939" w:rsidRPr="00142939">
        <w:rPr>
          <w:rFonts w:ascii="Arial Narrow" w:hAnsi="Arial Narrow"/>
          <w:i/>
          <w:sz w:val="18"/>
          <w:szCs w:val="18"/>
        </w:rPr>
        <w:t xml:space="preserve"> </w:t>
      </w:r>
      <w:r w:rsidR="00381919" w:rsidRPr="00381919">
        <w:rPr>
          <w:rFonts w:ascii="Arial Narrow" w:hAnsi="Arial Narrow"/>
          <w:i/>
          <w:sz w:val="18"/>
          <w:szCs w:val="18"/>
        </w:rPr>
        <w:t>$95,000 to &lt; $115,000</w:t>
      </w:r>
    </w:p>
    <w:p w14:paraId="32A87D4D" w14:textId="35F566B2" w:rsidR="00142939" w:rsidRPr="00142939" w:rsidRDefault="000C62C0" w:rsidP="00142939">
      <w:pPr>
        <w:jc w:val="left"/>
        <w:rPr>
          <w:rFonts w:ascii="Arial Narrow" w:hAnsi="Arial Narrow"/>
          <w:i/>
          <w:sz w:val="18"/>
          <w:szCs w:val="18"/>
        </w:rPr>
      </w:pPr>
      <w:r>
        <w:rPr>
          <w:rFonts w:ascii="Arial Narrow" w:hAnsi="Arial Narrow"/>
          <w:i/>
          <w:sz w:val="18"/>
          <w:szCs w:val="18"/>
          <w:vertAlign w:val="superscript"/>
        </w:rPr>
        <w:t>4</w:t>
      </w:r>
      <w:r w:rsidR="00142939" w:rsidRPr="00142939">
        <w:rPr>
          <w:rFonts w:ascii="Arial Narrow" w:hAnsi="Arial Narrow"/>
          <w:i/>
          <w:sz w:val="18"/>
          <w:szCs w:val="18"/>
        </w:rPr>
        <w:t xml:space="preserve"> </w:t>
      </w:r>
      <w:bookmarkStart w:id="70" w:name="_Hlk219196349"/>
      <w:bookmarkStart w:id="71" w:name="_Hlk219126879"/>
      <w:r w:rsidR="00E51E58" w:rsidRPr="00E51E58">
        <w:rPr>
          <w:rFonts w:ascii="Arial Narrow" w:hAnsi="Arial Narrow"/>
          <w:i/>
          <w:sz w:val="18"/>
          <w:szCs w:val="18"/>
        </w:rPr>
        <w:t>$55,000 to &lt; $75,000</w:t>
      </w:r>
      <w:bookmarkEnd w:id="70"/>
      <w:r w:rsidR="00E51E58" w:rsidRPr="00E51E58">
        <w:rPr>
          <w:rFonts w:ascii="Arial Narrow" w:hAnsi="Arial Narrow"/>
          <w:i/>
          <w:sz w:val="18"/>
          <w:szCs w:val="18"/>
        </w:rPr>
        <w:t xml:space="preserve"> </w:t>
      </w:r>
      <w:bookmarkEnd w:id="71"/>
    </w:p>
    <w:p w14:paraId="5DE6B8E5" w14:textId="7A2CEC9A" w:rsidR="00842B11" w:rsidRPr="000E5B3A" w:rsidRDefault="000C62C0" w:rsidP="009970D9">
      <w:pPr>
        <w:jc w:val="left"/>
        <w:rPr>
          <w:snapToGrid w:val="0"/>
        </w:rPr>
      </w:pPr>
      <w:r>
        <w:rPr>
          <w:rFonts w:ascii="Arial Narrow" w:hAnsi="Arial Narrow"/>
          <w:i/>
          <w:sz w:val="18"/>
          <w:szCs w:val="18"/>
          <w:vertAlign w:val="superscript"/>
        </w:rPr>
        <w:t>5</w:t>
      </w:r>
      <w:r w:rsidR="00142939" w:rsidRPr="00142939">
        <w:rPr>
          <w:rFonts w:ascii="Arial Narrow" w:hAnsi="Arial Narrow"/>
          <w:i/>
          <w:sz w:val="18"/>
          <w:szCs w:val="18"/>
        </w:rPr>
        <w:t xml:space="preserve"> </w:t>
      </w:r>
      <w:r w:rsidR="009970D9" w:rsidRPr="009970D9">
        <w:rPr>
          <w:rFonts w:ascii="Arial Narrow" w:hAnsi="Arial Narrow"/>
          <w:i/>
          <w:sz w:val="18"/>
          <w:szCs w:val="18"/>
        </w:rPr>
        <w:t>$135,000 to &lt; $155,000</w:t>
      </w:r>
      <w:bookmarkEnd w:id="68"/>
    </w:p>
    <w:p w14:paraId="4D5E5593" w14:textId="3C6985B1" w:rsidR="005564C4" w:rsidRPr="000E5B3A" w:rsidRDefault="005564C4" w:rsidP="005564C4">
      <w:pPr>
        <w:pStyle w:val="3-BodyText"/>
      </w:pPr>
      <w:r w:rsidRPr="000E5B3A">
        <w:t xml:space="preserve">The model base case </w:t>
      </w:r>
      <w:r w:rsidR="00EC1E14">
        <w:t xml:space="preserve">(in the submission) </w:t>
      </w:r>
      <w:r w:rsidRPr="000E5B3A">
        <w:t>estimate</w:t>
      </w:r>
      <w:r w:rsidR="00A37A19" w:rsidRPr="000E5B3A">
        <w:t>d</w:t>
      </w:r>
      <w:r w:rsidRPr="000E5B3A">
        <w:t xml:space="preserve"> an ICER of </w:t>
      </w:r>
      <w:r w:rsidR="00CA6F3E" w:rsidRPr="00CA6F3E">
        <w:t>$75,000 to &lt; $95,000</w:t>
      </w:r>
      <w:r w:rsidRPr="000E5B3A">
        <w:t xml:space="preserve"> per QALY for retifanlimab + CP compared to placebo + CP in inoperable locally advanced recurrent or metastatic SCAC. A summary of the results of the stepped economic evaluation is presented in </w:t>
      </w:r>
      <w:fldSimple w:instr=" REF _Ref207829791 ">
        <w:r w:rsidR="00DB6E72" w:rsidRPr="000E5B3A">
          <w:t xml:space="preserve">Table </w:t>
        </w:r>
        <w:r w:rsidR="00DB6E72">
          <w:rPr>
            <w:noProof/>
          </w:rPr>
          <w:t>12</w:t>
        </w:r>
      </w:fldSimple>
      <w:r w:rsidRPr="000E5B3A">
        <w:t>.</w:t>
      </w:r>
    </w:p>
    <w:p w14:paraId="7D847622" w14:textId="5E23D02D" w:rsidR="005564C4" w:rsidRPr="000E5B3A" w:rsidRDefault="005564C4" w:rsidP="00007D44">
      <w:pPr>
        <w:pStyle w:val="Caption"/>
      </w:pPr>
      <w:bookmarkStart w:id="72" w:name="_Ref207829791"/>
      <w:r w:rsidRPr="000E5B3A">
        <w:lastRenderedPageBreak/>
        <w:t xml:space="preserve">Table </w:t>
      </w:r>
      <w:fldSimple w:instr=" SEQ Table \* ARABIC ">
        <w:r w:rsidR="00DB6E72">
          <w:rPr>
            <w:noProof/>
          </w:rPr>
          <w:t>12</w:t>
        </w:r>
      </w:fldSimple>
      <w:bookmarkEnd w:id="72"/>
      <w:r w:rsidRPr="000E5B3A">
        <w:t>: Stepped economic evaluation</w:t>
      </w:r>
      <w:r w:rsidR="00EC1E14">
        <w:t xml:space="preserve"> – submission model</w:t>
      </w:r>
    </w:p>
    <w:tbl>
      <w:tblPr>
        <w:tblStyle w:val="TableGrid"/>
        <w:tblW w:w="0" w:type="auto"/>
        <w:tblLook w:val="04A0" w:firstRow="1" w:lastRow="0" w:firstColumn="1" w:lastColumn="0" w:noHBand="0" w:noVBand="1"/>
        <w:tblCaption w:val="Table 12: Stepped economic evaluation – submission model"/>
      </w:tblPr>
      <w:tblGrid>
        <w:gridCol w:w="2688"/>
        <w:gridCol w:w="1816"/>
        <w:gridCol w:w="1019"/>
        <w:gridCol w:w="1275"/>
        <w:gridCol w:w="1277"/>
        <w:gridCol w:w="941"/>
      </w:tblGrid>
      <w:tr w:rsidR="005564C4" w:rsidRPr="000E5B3A" w14:paraId="79DEB4A7" w14:textId="77777777">
        <w:tc>
          <w:tcPr>
            <w:tcW w:w="2689" w:type="dxa"/>
            <w:vAlign w:val="center"/>
          </w:tcPr>
          <w:p w14:paraId="5DB4F341" w14:textId="77777777" w:rsidR="005564C4" w:rsidRPr="000E5B3A" w:rsidRDefault="005564C4" w:rsidP="00007D44">
            <w:pPr>
              <w:pStyle w:val="In-tableHeading"/>
              <w:rPr>
                <w:lang w:val="en-AU"/>
              </w:rPr>
            </w:pPr>
            <w:r w:rsidRPr="000E5B3A">
              <w:rPr>
                <w:lang w:val="en-AU"/>
              </w:rPr>
              <w:t>Step</w:t>
            </w:r>
          </w:p>
        </w:tc>
        <w:tc>
          <w:tcPr>
            <w:tcW w:w="1816" w:type="dxa"/>
            <w:vAlign w:val="center"/>
          </w:tcPr>
          <w:p w14:paraId="01E4FD07" w14:textId="77777777" w:rsidR="005564C4" w:rsidRPr="000E5B3A" w:rsidRDefault="005564C4" w:rsidP="00007D44">
            <w:pPr>
              <w:pStyle w:val="In-tableHeading"/>
              <w:rPr>
                <w:lang w:val="en-AU"/>
              </w:rPr>
            </w:pPr>
            <w:r w:rsidRPr="000E5B3A">
              <w:rPr>
                <w:lang w:val="en-AU"/>
              </w:rPr>
              <w:t>Costs</w:t>
            </w:r>
          </w:p>
        </w:tc>
        <w:tc>
          <w:tcPr>
            <w:tcW w:w="1019" w:type="dxa"/>
            <w:vAlign w:val="center"/>
          </w:tcPr>
          <w:p w14:paraId="48CBA50C" w14:textId="77777777" w:rsidR="005564C4" w:rsidRPr="000E5B3A" w:rsidRDefault="005564C4" w:rsidP="00007D44">
            <w:pPr>
              <w:pStyle w:val="In-tableHeading"/>
              <w:rPr>
                <w:lang w:val="en-AU"/>
              </w:rPr>
            </w:pPr>
            <w:r w:rsidRPr="000E5B3A">
              <w:rPr>
                <w:lang w:val="en-AU"/>
              </w:rPr>
              <w:t>Outcomes</w:t>
            </w:r>
          </w:p>
        </w:tc>
        <w:tc>
          <w:tcPr>
            <w:tcW w:w="1275" w:type="dxa"/>
            <w:vAlign w:val="center"/>
          </w:tcPr>
          <w:p w14:paraId="47879D58" w14:textId="77777777" w:rsidR="005564C4" w:rsidRPr="000E5B3A" w:rsidRDefault="005564C4" w:rsidP="00007D44">
            <w:pPr>
              <w:pStyle w:val="In-tableHeading"/>
              <w:rPr>
                <w:lang w:val="en-AU"/>
              </w:rPr>
            </w:pPr>
            <w:r w:rsidRPr="000E5B3A">
              <w:rPr>
                <w:lang w:val="en-AU"/>
              </w:rPr>
              <w:t>Incremental costs</w:t>
            </w:r>
          </w:p>
        </w:tc>
        <w:tc>
          <w:tcPr>
            <w:tcW w:w="1277" w:type="dxa"/>
            <w:vAlign w:val="center"/>
          </w:tcPr>
          <w:p w14:paraId="38AC1D99" w14:textId="77777777" w:rsidR="005564C4" w:rsidRPr="000E5B3A" w:rsidRDefault="005564C4" w:rsidP="00007D44">
            <w:pPr>
              <w:pStyle w:val="In-tableHeading"/>
              <w:rPr>
                <w:lang w:val="en-AU"/>
              </w:rPr>
            </w:pPr>
            <w:r w:rsidRPr="000E5B3A">
              <w:rPr>
                <w:lang w:val="en-AU"/>
              </w:rPr>
              <w:t>Incremental outcomes</w:t>
            </w:r>
          </w:p>
        </w:tc>
        <w:tc>
          <w:tcPr>
            <w:tcW w:w="941" w:type="dxa"/>
            <w:vAlign w:val="center"/>
          </w:tcPr>
          <w:p w14:paraId="3DF84E40" w14:textId="77777777" w:rsidR="005564C4" w:rsidRPr="000E5B3A" w:rsidRDefault="005564C4" w:rsidP="00007D44">
            <w:pPr>
              <w:pStyle w:val="In-tableHeading"/>
              <w:rPr>
                <w:lang w:val="en-AU"/>
              </w:rPr>
            </w:pPr>
            <w:r w:rsidRPr="000E5B3A">
              <w:rPr>
                <w:lang w:val="en-AU"/>
              </w:rPr>
              <w:t>ICER</w:t>
            </w:r>
          </w:p>
        </w:tc>
      </w:tr>
      <w:tr w:rsidR="005564C4" w:rsidRPr="000E5B3A" w14:paraId="38BA2773" w14:textId="77777777">
        <w:tc>
          <w:tcPr>
            <w:tcW w:w="2689" w:type="dxa"/>
            <w:vMerge w:val="restart"/>
            <w:vAlign w:val="center"/>
          </w:tcPr>
          <w:p w14:paraId="6FC56ED7" w14:textId="77777777" w:rsidR="005564C4" w:rsidRPr="000E5B3A" w:rsidRDefault="005564C4" w:rsidP="00007D44">
            <w:pPr>
              <w:pStyle w:val="TableText0"/>
            </w:pPr>
            <w:r w:rsidRPr="000E5B3A">
              <w:t>Step 1: Trial-based analysis over 24 months</w:t>
            </w:r>
          </w:p>
        </w:tc>
        <w:tc>
          <w:tcPr>
            <w:tcW w:w="1816" w:type="dxa"/>
            <w:vMerge w:val="restart"/>
            <w:vAlign w:val="center"/>
          </w:tcPr>
          <w:p w14:paraId="043A17D5" w14:textId="77777777" w:rsidR="005564C4" w:rsidRPr="000E5B3A" w:rsidRDefault="005564C4" w:rsidP="00007D44">
            <w:pPr>
              <w:pStyle w:val="TableText0"/>
            </w:pPr>
            <w:r w:rsidRPr="000E5B3A">
              <w:t>Drug and administration costs</w:t>
            </w:r>
          </w:p>
        </w:tc>
        <w:tc>
          <w:tcPr>
            <w:tcW w:w="1019" w:type="dxa"/>
            <w:vAlign w:val="center"/>
          </w:tcPr>
          <w:p w14:paraId="43B1053E" w14:textId="77777777" w:rsidR="005564C4" w:rsidRPr="000E5B3A" w:rsidRDefault="005564C4" w:rsidP="00007D44">
            <w:pPr>
              <w:pStyle w:val="TableText0"/>
              <w:jc w:val="center"/>
            </w:pPr>
            <w:r w:rsidRPr="000E5B3A">
              <w:t>PFLY</w:t>
            </w:r>
          </w:p>
        </w:tc>
        <w:tc>
          <w:tcPr>
            <w:tcW w:w="1275" w:type="dxa"/>
            <w:vMerge w:val="restart"/>
            <w:vAlign w:val="center"/>
          </w:tcPr>
          <w:p w14:paraId="79230492" w14:textId="19DDF1B1"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4F734834" w14:textId="77777777" w:rsidR="005564C4" w:rsidRPr="000E5B3A" w:rsidRDefault="005564C4" w:rsidP="00007D44">
            <w:pPr>
              <w:pStyle w:val="TableText0"/>
              <w:jc w:val="center"/>
            </w:pPr>
            <w:r w:rsidRPr="000E5B3A">
              <w:t>0.270</w:t>
            </w:r>
          </w:p>
        </w:tc>
        <w:tc>
          <w:tcPr>
            <w:tcW w:w="941" w:type="dxa"/>
            <w:vAlign w:val="center"/>
          </w:tcPr>
          <w:p w14:paraId="14A5D3C7" w14:textId="454EA39C" w:rsidR="005564C4" w:rsidRPr="0051775A" w:rsidRDefault="005564C4" w:rsidP="00007D44">
            <w:pPr>
              <w:pStyle w:val="TableText0"/>
              <w:jc w:val="center"/>
              <w:rPr>
                <w:vertAlign w:val="superscript"/>
              </w:rPr>
            </w:pPr>
            <w:r w:rsidRPr="000E5B3A">
              <w:t>$</w:t>
            </w:r>
            <w:r w:rsidR="009951A2" w:rsidRPr="009951A2">
              <w:rPr>
                <w:highlight w:val="black"/>
              </w:rPr>
              <w:t>&amp;&amp;&amp;&amp;</w:t>
            </w:r>
            <w:r w:rsidR="0051775A">
              <w:rPr>
                <w:vertAlign w:val="superscript"/>
              </w:rPr>
              <w:t>1</w:t>
            </w:r>
          </w:p>
        </w:tc>
      </w:tr>
      <w:tr w:rsidR="005564C4" w:rsidRPr="000E5B3A" w14:paraId="1679FF4E" w14:textId="77777777">
        <w:tc>
          <w:tcPr>
            <w:tcW w:w="2689" w:type="dxa"/>
            <w:vMerge/>
            <w:vAlign w:val="center"/>
          </w:tcPr>
          <w:p w14:paraId="58883C6B" w14:textId="77777777" w:rsidR="005564C4" w:rsidRPr="000E5B3A" w:rsidRDefault="005564C4" w:rsidP="00007D44">
            <w:pPr>
              <w:pStyle w:val="TableText0"/>
            </w:pPr>
          </w:p>
        </w:tc>
        <w:tc>
          <w:tcPr>
            <w:tcW w:w="1816" w:type="dxa"/>
            <w:vMerge/>
            <w:vAlign w:val="center"/>
          </w:tcPr>
          <w:p w14:paraId="7D82C64F" w14:textId="77777777" w:rsidR="005564C4" w:rsidRPr="000E5B3A" w:rsidRDefault="005564C4" w:rsidP="00007D44">
            <w:pPr>
              <w:pStyle w:val="TableText0"/>
            </w:pPr>
          </w:p>
        </w:tc>
        <w:tc>
          <w:tcPr>
            <w:tcW w:w="1019" w:type="dxa"/>
            <w:vAlign w:val="center"/>
          </w:tcPr>
          <w:p w14:paraId="1CFEC50E" w14:textId="77777777" w:rsidR="005564C4" w:rsidRPr="000E5B3A" w:rsidRDefault="005564C4" w:rsidP="00007D44">
            <w:pPr>
              <w:pStyle w:val="TableText0"/>
              <w:jc w:val="center"/>
            </w:pPr>
            <w:r w:rsidRPr="000E5B3A">
              <w:t>LY</w:t>
            </w:r>
          </w:p>
        </w:tc>
        <w:tc>
          <w:tcPr>
            <w:tcW w:w="1275" w:type="dxa"/>
            <w:vMerge/>
            <w:vAlign w:val="center"/>
          </w:tcPr>
          <w:p w14:paraId="74DA6367" w14:textId="77777777" w:rsidR="005564C4" w:rsidRPr="000E5B3A" w:rsidRDefault="005564C4" w:rsidP="00007D44">
            <w:pPr>
              <w:pStyle w:val="TableText0"/>
              <w:jc w:val="center"/>
            </w:pPr>
          </w:p>
        </w:tc>
        <w:tc>
          <w:tcPr>
            <w:tcW w:w="1277" w:type="dxa"/>
            <w:vAlign w:val="center"/>
          </w:tcPr>
          <w:p w14:paraId="792464E5" w14:textId="77777777" w:rsidR="005564C4" w:rsidRPr="000E5B3A" w:rsidRDefault="005564C4" w:rsidP="00007D44">
            <w:pPr>
              <w:pStyle w:val="TableText0"/>
              <w:jc w:val="center"/>
            </w:pPr>
            <w:r w:rsidRPr="000E5B3A">
              <w:t>0.223</w:t>
            </w:r>
          </w:p>
        </w:tc>
        <w:tc>
          <w:tcPr>
            <w:tcW w:w="941" w:type="dxa"/>
            <w:vAlign w:val="center"/>
          </w:tcPr>
          <w:p w14:paraId="043F9669" w14:textId="6E5C3BDD" w:rsidR="005564C4" w:rsidRPr="0051775A" w:rsidRDefault="005564C4" w:rsidP="00007D44">
            <w:pPr>
              <w:pStyle w:val="TableText0"/>
              <w:jc w:val="center"/>
              <w:rPr>
                <w:vertAlign w:val="superscript"/>
              </w:rPr>
            </w:pPr>
            <w:r w:rsidRPr="000E5B3A">
              <w:t>$</w:t>
            </w:r>
            <w:r w:rsidR="009951A2" w:rsidRPr="009951A2">
              <w:rPr>
                <w:highlight w:val="black"/>
              </w:rPr>
              <w:t>&amp;&amp;&amp;&amp;</w:t>
            </w:r>
            <w:r w:rsidR="0051775A">
              <w:rPr>
                <w:vertAlign w:val="superscript"/>
              </w:rPr>
              <w:t>1</w:t>
            </w:r>
          </w:p>
        </w:tc>
      </w:tr>
      <w:tr w:rsidR="005564C4" w:rsidRPr="000E5B3A" w14:paraId="4B38264D" w14:textId="77777777">
        <w:tc>
          <w:tcPr>
            <w:tcW w:w="2689" w:type="dxa"/>
            <w:vMerge w:val="restart"/>
            <w:vAlign w:val="center"/>
          </w:tcPr>
          <w:p w14:paraId="61441FE9" w14:textId="77777777" w:rsidR="005564C4" w:rsidRPr="000E5B3A" w:rsidRDefault="005564C4" w:rsidP="00007D44">
            <w:pPr>
              <w:pStyle w:val="TableText0"/>
            </w:pPr>
            <w:r w:rsidRPr="000E5B3A">
              <w:t>Step 2: Translation of survival outcomes to QALYs</w:t>
            </w:r>
          </w:p>
        </w:tc>
        <w:tc>
          <w:tcPr>
            <w:tcW w:w="1816" w:type="dxa"/>
            <w:vMerge w:val="restart"/>
            <w:vAlign w:val="center"/>
          </w:tcPr>
          <w:p w14:paraId="0D891FEA" w14:textId="77777777" w:rsidR="005564C4" w:rsidRPr="000E5B3A" w:rsidRDefault="005564C4" w:rsidP="00007D44">
            <w:pPr>
              <w:pStyle w:val="TableText0"/>
            </w:pPr>
            <w:r w:rsidRPr="000E5B3A">
              <w:t>Drug and administration costs</w:t>
            </w:r>
          </w:p>
        </w:tc>
        <w:tc>
          <w:tcPr>
            <w:tcW w:w="1019" w:type="dxa"/>
            <w:vAlign w:val="center"/>
          </w:tcPr>
          <w:p w14:paraId="609A078F" w14:textId="77777777" w:rsidR="005564C4" w:rsidRPr="000E5B3A" w:rsidRDefault="005564C4" w:rsidP="00007D44">
            <w:pPr>
              <w:pStyle w:val="TableText0"/>
              <w:jc w:val="center"/>
            </w:pPr>
            <w:r w:rsidRPr="000E5B3A">
              <w:t>QALY</w:t>
            </w:r>
          </w:p>
        </w:tc>
        <w:tc>
          <w:tcPr>
            <w:tcW w:w="1275" w:type="dxa"/>
            <w:vMerge w:val="restart"/>
            <w:vAlign w:val="center"/>
          </w:tcPr>
          <w:p w14:paraId="1020D198" w14:textId="127C7221"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5615631F" w14:textId="77777777" w:rsidR="005564C4" w:rsidRPr="000E5B3A" w:rsidRDefault="005564C4" w:rsidP="00007D44">
            <w:pPr>
              <w:pStyle w:val="TableText0"/>
              <w:jc w:val="center"/>
            </w:pPr>
            <w:r w:rsidRPr="000E5B3A">
              <w:t>0.199</w:t>
            </w:r>
          </w:p>
        </w:tc>
        <w:tc>
          <w:tcPr>
            <w:tcW w:w="941" w:type="dxa"/>
            <w:vAlign w:val="center"/>
          </w:tcPr>
          <w:p w14:paraId="0D88913A" w14:textId="04E18BFF" w:rsidR="005564C4" w:rsidRPr="00550D50" w:rsidRDefault="005564C4" w:rsidP="00007D44">
            <w:pPr>
              <w:pStyle w:val="TableText0"/>
              <w:jc w:val="center"/>
              <w:rPr>
                <w:vertAlign w:val="superscript"/>
              </w:rPr>
            </w:pPr>
            <w:r w:rsidRPr="000E5B3A">
              <w:t>$</w:t>
            </w:r>
            <w:r w:rsidR="009951A2" w:rsidRPr="009951A2">
              <w:rPr>
                <w:highlight w:val="black"/>
              </w:rPr>
              <w:t>&amp;&amp;&amp;&amp;</w:t>
            </w:r>
            <w:r w:rsidR="00550D50">
              <w:rPr>
                <w:vertAlign w:val="superscript"/>
              </w:rPr>
              <w:t>2</w:t>
            </w:r>
          </w:p>
        </w:tc>
      </w:tr>
      <w:tr w:rsidR="005564C4" w:rsidRPr="000E5B3A" w14:paraId="40363DDE" w14:textId="77777777">
        <w:tc>
          <w:tcPr>
            <w:tcW w:w="2689" w:type="dxa"/>
            <w:vMerge/>
            <w:vAlign w:val="center"/>
          </w:tcPr>
          <w:p w14:paraId="442235B5" w14:textId="77777777" w:rsidR="005564C4" w:rsidRPr="000E5B3A" w:rsidRDefault="005564C4" w:rsidP="00007D44">
            <w:pPr>
              <w:pStyle w:val="TableText0"/>
            </w:pPr>
          </w:p>
        </w:tc>
        <w:tc>
          <w:tcPr>
            <w:tcW w:w="1816" w:type="dxa"/>
            <w:vMerge/>
            <w:vAlign w:val="center"/>
          </w:tcPr>
          <w:p w14:paraId="6F734382" w14:textId="77777777" w:rsidR="005564C4" w:rsidRPr="000E5B3A" w:rsidRDefault="005564C4" w:rsidP="00007D44">
            <w:pPr>
              <w:pStyle w:val="TableText0"/>
            </w:pPr>
          </w:p>
        </w:tc>
        <w:tc>
          <w:tcPr>
            <w:tcW w:w="1019" w:type="dxa"/>
            <w:vAlign w:val="center"/>
          </w:tcPr>
          <w:p w14:paraId="33F1BB80" w14:textId="77777777" w:rsidR="005564C4" w:rsidRPr="000E5B3A" w:rsidRDefault="005564C4" w:rsidP="00007D44">
            <w:pPr>
              <w:pStyle w:val="TableText0"/>
              <w:jc w:val="center"/>
            </w:pPr>
            <w:r w:rsidRPr="000E5B3A">
              <w:t>LY</w:t>
            </w:r>
          </w:p>
        </w:tc>
        <w:tc>
          <w:tcPr>
            <w:tcW w:w="1275" w:type="dxa"/>
            <w:vMerge/>
            <w:vAlign w:val="center"/>
          </w:tcPr>
          <w:p w14:paraId="5BB2FF48" w14:textId="77777777" w:rsidR="005564C4" w:rsidRPr="000E5B3A" w:rsidRDefault="005564C4" w:rsidP="00007D44">
            <w:pPr>
              <w:pStyle w:val="TableText0"/>
              <w:jc w:val="center"/>
            </w:pPr>
          </w:p>
        </w:tc>
        <w:tc>
          <w:tcPr>
            <w:tcW w:w="1277" w:type="dxa"/>
            <w:vAlign w:val="center"/>
          </w:tcPr>
          <w:p w14:paraId="7CF84891" w14:textId="77777777" w:rsidR="005564C4" w:rsidRPr="000E5B3A" w:rsidRDefault="005564C4" w:rsidP="00007D44">
            <w:pPr>
              <w:pStyle w:val="TableText0"/>
              <w:jc w:val="center"/>
            </w:pPr>
            <w:r w:rsidRPr="000E5B3A">
              <w:t>0.223</w:t>
            </w:r>
          </w:p>
        </w:tc>
        <w:tc>
          <w:tcPr>
            <w:tcW w:w="941" w:type="dxa"/>
            <w:vAlign w:val="center"/>
          </w:tcPr>
          <w:p w14:paraId="5C04D397" w14:textId="1829B8E9" w:rsidR="005564C4" w:rsidRPr="0051775A" w:rsidRDefault="005564C4" w:rsidP="00007D44">
            <w:pPr>
              <w:pStyle w:val="TableText0"/>
              <w:jc w:val="center"/>
              <w:rPr>
                <w:vertAlign w:val="superscript"/>
              </w:rPr>
            </w:pPr>
            <w:r w:rsidRPr="000E5B3A">
              <w:t>$</w:t>
            </w:r>
            <w:r w:rsidR="009951A2" w:rsidRPr="009951A2">
              <w:rPr>
                <w:highlight w:val="black"/>
              </w:rPr>
              <w:t>&amp;&amp;&amp;&amp;</w:t>
            </w:r>
            <w:r w:rsidR="0051775A">
              <w:rPr>
                <w:vertAlign w:val="superscript"/>
              </w:rPr>
              <w:t>1</w:t>
            </w:r>
          </w:p>
        </w:tc>
      </w:tr>
      <w:tr w:rsidR="005564C4" w:rsidRPr="000E5B3A" w14:paraId="736DB19C" w14:textId="77777777">
        <w:tc>
          <w:tcPr>
            <w:tcW w:w="2689" w:type="dxa"/>
            <w:vMerge w:val="restart"/>
            <w:vAlign w:val="center"/>
          </w:tcPr>
          <w:p w14:paraId="7BF04AB5" w14:textId="77777777" w:rsidR="005564C4" w:rsidRPr="000E5B3A" w:rsidRDefault="005564C4" w:rsidP="00007D44">
            <w:pPr>
              <w:pStyle w:val="TableText0"/>
            </w:pPr>
            <w:r w:rsidRPr="000E5B3A">
              <w:t>Step 3: Extrapolation over the 15-year time horizon</w:t>
            </w:r>
          </w:p>
        </w:tc>
        <w:tc>
          <w:tcPr>
            <w:tcW w:w="1816" w:type="dxa"/>
            <w:vMerge w:val="restart"/>
            <w:vAlign w:val="center"/>
          </w:tcPr>
          <w:p w14:paraId="4C6EF285" w14:textId="77777777" w:rsidR="005564C4" w:rsidRPr="000E5B3A" w:rsidRDefault="005564C4" w:rsidP="00007D44">
            <w:pPr>
              <w:pStyle w:val="TableText0"/>
            </w:pPr>
            <w:r w:rsidRPr="000E5B3A">
              <w:t>Drug and administration costs</w:t>
            </w:r>
          </w:p>
        </w:tc>
        <w:tc>
          <w:tcPr>
            <w:tcW w:w="1019" w:type="dxa"/>
            <w:vAlign w:val="center"/>
          </w:tcPr>
          <w:p w14:paraId="575AC064" w14:textId="77777777" w:rsidR="005564C4" w:rsidRPr="000E5B3A" w:rsidRDefault="005564C4" w:rsidP="00007D44">
            <w:pPr>
              <w:pStyle w:val="TableText0"/>
              <w:jc w:val="center"/>
            </w:pPr>
            <w:r w:rsidRPr="000E5B3A">
              <w:t>QALY</w:t>
            </w:r>
          </w:p>
        </w:tc>
        <w:tc>
          <w:tcPr>
            <w:tcW w:w="1275" w:type="dxa"/>
            <w:vMerge w:val="restart"/>
            <w:vAlign w:val="center"/>
          </w:tcPr>
          <w:p w14:paraId="4F93A1A1" w14:textId="1AAD71F6"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6DAC8D81" w14:textId="77777777" w:rsidR="005564C4" w:rsidRPr="000E5B3A" w:rsidRDefault="005564C4" w:rsidP="00007D44">
            <w:pPr>
              <w:pStyle w:val="TableText0"/>
              <w:jc w:val="center"/>
            </w:pPr>
            <w:r w:rsidRPr="000E5B3A">
              <w:t>0.784</w:t>
            </w:r>
          </w:p>
        </w:tc>
        <w:tc>
          <w:tcPr>
            <w:tcW w:w="941" w:type="dxa"/>
            <w:vAlign w:val="center"/>
          </w:tcPr>
          <w:p w14:paraId="0FBD7CE9" w14:textId="2822F6DF" w:rsidR="005564C4" w:rsidRPr="005A7CB3" w:rsidRDefault="005564C4" w:rsidP="00007D44">
            <w:pPr>
              <w:pStyle w:val="TableText0"/>
              <w:jc w:val="center"/>
              <w:rPr>
                <w:vertAlign w:val="superscript"/>
              </w:rPr>
            </w:pPr>
            <w:r w:rsidRPr="000E5B3A">
              <w:t>$</w:t>
            </w:r>
            <w:r w:rsidR="009951A2" w:rsidRPr="009951A2">
              <w:rPr>
                <w:highlight w:val="black"/>
              </w:rPr>
              <w:t>&amp;&amp;&amp;&amp;</w:t>
            </w:r>
            <w:r w:rsidR="005A7CB3">
              <w:rPr>
                <w:vertAlign w:val="superscript"/>
              </w:rPr>
              <w:t>3</w:t>
            </w:r>
          </w:p>
        </w:tc>
      </w:tr>
      <w:tr w:rsidR="005564C4" w:rsidRPr="000E5B3A" w14:paraId="12DAC513" w14:textId="77777777">
        <w:tc>
          <w:tcPr>
            <w:tcW w:w="2689" w:type="dxa"/>
            <w:vMerge/>
            <w:vAlign w:val="center"/>
          </w:tcPr>
          <w:p w14:paraId="5243AC00" w14:textId="77777777" w:rsidR="005564C4" w:rsidRPr="000E5B3A" w:rsidRDefault="005564C4" w:rsidP="00007D44">
            <w:pPr>
              <w:pStyle w:val="TableText0"/>
            </w:pPr>
          </w:p>
        </w:tc>
        <w:tc>
          <w:tcPr>
            <w:tcW w:w="1816" w:type="dxa"/>
            <w:vMerge/>
            <w:vAlign w:val="center"/>
          </w:tcPr>
          <w:p w14:paraId="092A5F6F" w14:textId="77777777" w:rsidR="005564C4" w:rsidRPr="000E5B3A" w:rsidRDefault="005564C4" w:rsidP="00007D44">
            <w:pPr>
              <w:pStyle w:val="TableText0"/>
            </w:pPr>
          </w:p>
        </w:tc>
        <w:tc>
          <w:tcPr>
            <w:tcW w:w="1019" w:type="dxa"/>
            <w:vAlign w:val="center"/>
          </w:tcPr>
          <w:p w14:paraId="399BDA39" w14:textId="77777777" w:rsidR="005564C4" w:rsidRPr="000E5B3A" w:rsidRDefault="005564C4" w:rsidP="00007D44">
            <w:pPr>
              <w:pStyle w:val="TableText0"/>
              <w:jc w:val="center"/>
            </w:pPr>
            <w:r w:rsidRPr="000E5B3A">
              <w:t>LY</w:t>
            </w:r>
          </w:p>
        </w:tc>
        <w:tc>
          <w:tcPr>
            <w:tcW w:w="1275" w:type="dxa"/>
            <w:vMerge/>
            <w:vAlign w:val="center"/>
          </w:tcPr>
          <w:p w14:paraId="2B0F9FB0" w14:textId="77777777" w:rsidR="005564C4" w:rsidRPr="000E5B3A" w:rsidRDefault="005564C4" w:rsidP="00007D44">
            <w:pPr>
              <w:pStyle w:val="TableText0"/>
              <w:jc w:val="center"/>
            </w:pPr>
          </w:p>
        </w:tc>
        <w:tc>
          <w:tcPr>
            <w:tcW w:w="1277" w:type="dxa"/>
            <w:vAlign w:val="center"/>
          </w:tcPr>
          <w:p w14:paraId="116DFAC2" w14:textId="77777777" w:rsidR="005564C4" w:rsidRPr="000E5B3A" w:rsidRDefault="005564C4" w:rsidP="00007D44">
            <w:pPr>
              <w:pStyle w:val="TableText0"/>
              <w:jc w:val="center"/>
            </w:pPr>
            <w:r w:rsidRPr="000E5B3A">
              <w:t>0.946</w:t>
            </w:r>
          </w:p>
        </w:tc>
        <w:tc>
          <w:tcPr>
            <w:tcW w:w="941" w:type="dxa"/>
            <w:vAlign w:val="center"/>
          </w:tcPr>
          <w:p w14:paraId="43399375" w14:textId="3365168E" w:rsidR="005564C4" w:rsidRPr="0010345B" w:rsidRDefault="005564C4" w:rsidP="00007D44">
            <w:pPr>
              <w:pStyle w:val="TableText0"/>
              <w:jc w:val="center"/>
              <w:rPr>
                <w:vertAlign w:val="superscript"/>
              </w:rPr>
            </w:pPr>
            <w:r w:rsidRPr="000E5B3A">
              <w:t>$</w:t>
            </w:r>
            <w:r w:rsidR="009951A2" w:rsidRPr="009951A2">
              <w:rPr>
                <w:highlight w:val="black"/>
              </w:rPr>
              <w:t>&amp;&amp;&amp;&amp;</w:t>
            </w:r>
            <w:r w:rsidR="0010345B">
              <w:rPr>
                <w:vertAlign w:val="superscript"/>
              </w:rPr>
              <w:t>4</w:t>
            </w:r>
          </w:p>
        </w:tc>
      </w:tr>
      <w:tr w:rsidR="005564C4" w:rsidRPr="000E5B3A" w14:paraId="54142CCA" w14:textId="77777777">
        <w:tc>
          <w:tcPr>
            <w:tcW w:w="2689" w:type="dxa"/>
            <w:vMerge w:val="restart"/>
            <w:vAlign w:val="center"/>
          </w:tcPr>
          <w:p w14:paraId="6DC72E02" w14:textId="77777777" w:rsidR="005564C4" w:rsidRPr="000E5B3A" w:rsidRDefault="005564C4" w:rsidP="00007D44">
            <w:pPr>
              <w:pStyle w:val="TableText0"/>
            </w:pPr>
            <w:r w:rsidRPr="000E5B3A">
              <w:t>Step 4: Inclusion of other healthcare resource use</w:t>
            </w:r>
          </w:p>
        </w:tc>
        <w:tc>
          <w:tcPr>
            <w:tcW w:w="1816" w:type="dxa"/>
            <w:vMerge w:val="restart"/>
            <w:vAlign w:val="center"/>
          </w:tcPr>
          <w:p w14:paraId="0D3D0734" w14:textId="77777777" w:rsidR="005564C4" w:rsidRPr="000E5B3A" w:rsidRDefault="005564C4" w:rsidP="00007D44">
            <w:pPr>
              <w:pStyle w:val="TableText0"/>
            </w:pPr>
            <w:r w:rsidRPr="000E5B3A">
              <w:t>Direct healthcare costs</w:t>
            </w:r>
          </w:p>
        </w:tc>
        <w:tc>
          <w:tcPr>
            <w:tcW w:w="1019" w:type="dxa"/>
            <w:vAlign w:val="center"/>
          </w:tcPr>
          <w:p w14:paraId="794A0EC2" w14:textId="77777777" w:rsidR="005564C4" w:rsidRPr="000E5B3A" w:rsidRDefault="005564C4" w:rsidP="00007D44">
            <w:pPr>
              <w:pStyle w:val="TableText0"/>
              <w:jc w:val="center"/>
            </w:pPr>
            <w:r w:rsidRPr="000E5B3A">
              <w:t>QALY</w:t>
            </w:r>
          </w:p>
        </w:tc>
        <w:tc>
          <w:tcPr>
            <w:tcW w:w="1275" w:type="dxa"/>
            <w:vMerge w:val="restart"/>
            <w:vAlign w:val="center"/>
          </w:tcPr>
          <w:p w14:paraId="29252383" w14:textId="6908F82E"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10D015F6" w14:textId="77777777" w:rsidR="005564C4" w:rsidRPr="000E5B3A" w:rsidRDefault="005564C4" w:rsidP="00007D44">
            <w:pPr>
              <w:pStyle w:val="TableText0"/>
              <w:jc w:val="center"/>
            </w:pPr>
            <w:r w:rsidRPr="000E5B3A">
              <w:t>0.784</w:t>
            </w:r>
          </w:p>
        </w:tc>
        <w:tc>
          <w:tcPr>
            <w:tcW w:w="941" w:type="dxa"/>
            <w:vAlign w:val="center"/>
          </w:tcPr>
          <w:p w14:paraId="19E728C7" w14:textId="7F59C8BE" w:rsidR="005564C4" w:rsidRPr="0010345B" w:rsidRDefault="005564C4" w:rsidP="00007D44">
            <w:pPr>
              <w:pStyle w:val="TableText0"/>
              <w:jc w:val="center"/>
              <w:rPr>
                <w:vertAlign w:val="superscript"/>
              </w:rPr>
            </w:pPr>
            <w:r w:rsidRPr="000E5B3A">
              <w:t>$</w:t>
            </w:r>
            <w:r w:rsidR="009951A2" w:rsidRPr="009951A2">
              <w:rPr>
                <w:highlight w:val="black"/>
              </w:rPr>
              <w:t>&amp;&amp;&amp;&amp;</w:t>
            </w:r>
            <w:r w:rsidR="0010345B">
              <w:rPr>
                <w:vertAlign w:val="superscript"/>
              </w:rPr>
              <w:t>4</w:t>
            </w:r>
          </w:p>
        </w:tc>
      </w:tr>
      <w:tr w:rsidR="005564C4" w:rsidRPr="000E5B3A" w14:paraId="42AEBFBB" w14:textId="77777777">
        <w:tc>
          <w:tcPr>
            <w:tcW w:w="2689" w:type="dxa"/>
            <w:vMerge/>
          </w:tcPr>
          <w:p w14:paraId="25071AB3" w14:textId="77777777" w:rsidR="005564C4" w:rsidRPr="000E5B3A" w:rsidRDefault="005564C4" w:rsidP="00007D44">
            <w:pPr>
              <w:pStyle w:val="TableText0"/>
            </w:pPr>
          </w:p>
        </w:tc>
        <w:tc>
          <w:tcPr>
            <w:tcW w:w="1816" w:type="dxa"/>
            <w:vMerge/>
            <w:vAlign w:val="center"/>
          </w:tcPr>
          <w:p w14:paraId="1C980C49" w14:textId="77777777" w:rsidR="005564C4" w:rsidRPr="000E5B3A" w:rsidRDefault="005564C4" w:rsidP="00007D44">
            <w:pPr>
              <w:pStyle w:val="TableText0"/>
              <w:jc w:val="center"/>
            </w:pPr>
          </w:p>
        </w:tc>
        <w:tc>
          <w:tcPr>
            <w:tcW w:w="1019" w:type="dxa"/>
            <w:vAlign w:val="center"/>
          </w:tcPr>
          <w:p w14:paraId="101C1C65" w14:textId="77777777" w:rsidR="005564C4" w:rsidRPr="000E5B3A" w:rsidRDefault="005564C4" w:rsidP="00007D44">
            <w:pPr>
              <w:pStyle w:val="TableText0"/>
              <w:jc w:val="center"/>
            </w:pPr>
            <w:r w:rsidRPr="000E5B3A">
              <w:t>LY</w:t>
            </w:r>
          </w:p>
        </w:tc>
        <w:tc>
          <w:tcPr>
            <w:tcW w:w="1275" w:type="dxa"/>
            <w:vMerge/>
            <w:vAlign w:val="center"/>
          </w:tcPr>
          <w:p w14:paraId="217A1A4C" w14:textId="77777777" w:rsidR="005564C4" w:rsidRPr="000E5B3A" w:rsidRDefault="005564C4" w:rsidP="00007D44">
            <w:pPr>
              <w:pStyle w:val="TableText0"/>
              <w:jc w:val="center"/>
            </w:pPr>
          </w:p>
        </w:tc>
        <w:tc>
          <w:tcPr>
            <w:tcW w:w="1277" w:type="dxa"/>
            <w:vAlign w:val="center"/>
          </w:tcPr>
          <w:p w14:paraId="644F93A6" w14:textId="77777777" w:rsidR="005564C4" w:rsidRPr="000E5B3A" w:rsidRDefault="005564C4" w:rsidP="00007D44">
            <w:pPr>
              <w:pStyle w:val="TableText0"/>
              <w:jc w:val="center"/>
            </w:pPr>
            <w:r w:rsidRPr="000E5B3A">
              <w:t>0.946</w:t>
            </w:r>
          </w:p>
        </w:tc>
        <w:tc>
          <w:tcPr>
            <w:tcW w:w="941" w:type="dxa"/>
            <w:vAlign w:val="center"/>
          </w:tcPr>
          <w:p w14:paraId="5BE0306D" w14:textId="20875121" w:rsidR="005564C4" w:rsidRPr="0010345B" w:rsidRDefault="005564C4" w:rsidP="00007D44">
            <w:pPr>
              <w:pStyle w:val="TableText0"/>
              <w:jc w:val="center"/>
              <w:rPr>
                <w:vertAlign w:val="superscript"/>
              </w:rPr>
            </w:pPr>
            <w:r w:rsidRPr="000E5B3A">
              <w:t>$</w:t>
            </w:r>
            <w:r w:rsidR="009951A2" w:rsidRPr="009951A2">
              <w:rPr>
                <w:highlight w:val="black"/>
              </w:rPr>
              <w:t>&amp;&amp;&amp;&amp;</w:t>
            </w:r>
            <w:r w:rsidR="0010345B">
              <w:rPr>
                <w:vertAlign w:val="superscript"/>
              </w:rPr>
              <w:t>4</w:t>
            </w:r>
          </w:p>
        </w:tc>
      </w:tr>
    </w:tbl>
    <w:p w14:paraId="44FE459F" w14:textId="77777777" w:rsidR="005564C4" w:rsidRPr="000E5B3A" w:rsidRDefault="005564C4" w:rsidP="00007D44">
      <w:pPr>
        <w:pStyle w:val="TableFigureFooter"/>
        <w:keepNext/>
      </w:pPr>
      <w:r w:rsidRPr="000E5B3A">
        <w:t>Source: Table 85, p154 of the submission.</w:t>
      </w:r>
    </w:p>
    <w:p w14:paraId="563B9E5B" w14:textId="77777777" w:rsidR="008E0F9F" w:rsidRDefault="005564C4" w:rsidP="00007D44">
      <w:pPr>
        <w:pStyle w:val="TableFigureFooter"/>
        <w:keepNext/>
        <w:rPr>
          <w:i/>
          <w:szCs w:val="18"/>
        </w:rPr>
      </w:pPr>
      <w:r w:rsidRPr="000E5B3A">
        <w:t>ICER = incremental cost-effectiveness ratio; LY = life year; PFLY = progression-free life year; QALY</w:t>
      </w:r>
      <w:r w:rsidR="00DE3666" w:rsidRPr="000E5B3A">
        <w:t>s</w:t>
      </w:r>
      <w:r w:rsidRPr="000E5B3A">
        <w:t xml:space="preserve"> = quality adjusted life year</w:t>
      </w:r>
      <w:r w:rsidR="00DE3666" w:rsidRPr="000E5B3A">
        <w:t>s</w:t>
      </w:r>
    </w:p>
    <w:p w14:paraId="28ED9199" w14:textId="01A29BB2" w:rsidR="008E0F9F" w:rsidRPr="008E0F9F" w:rsidRDefault="008E0F9F" w:rsidP="00007D44">
      <w:pPr>
        <w:pStyle w:val="TableFigureFooter"/>
        <w:keepNext/>
        <w:rPr>
          <w:i/>
        </w:rPr>
      </w:pPr>
      <w:r w:rsidRPr="008E0F9F">
        <w:rPr>
          <w:i/>
        </w:rPr>
        <w:t xml:space="preserve">The redacted values correspond to the following ranges: </w:t>
      </w:r>
    </w:p>
    <w:p w14:paraId="3CF77313" w14:textId="791FD926" w:rsidR="008E0F9F" w:rsidRPr="008E0F9F" w:rsidRDefault="008E0F9F" w:rsidP="00007D44">
      <w:pPr>
        <w:pStyle w:val="TableFigureFooter"/>
        <w:keepNext/>
        <w:rPr>
          <w:i/>
        </w:rPr>
      </w:pPr>
      <w:r w:rsidRPr="008E0F9F">
        <w:rPr>
          <w:i/>
          <w:vertAlign w:val="superscript"/>
        </w:rPr>
        <w:t>1</w:t>
      </w:r>
      <w:r w:rsidRPr="008E0F9F">
        <w:rPr>
          <w:i/>
        </w:rPr>
        <w:t xml:space="preserve"> </w:t>
      </w:r>
      <w:r w:rsidR="0051775A" w:rsidRPr="0051775A">
        <w:rPr>
          <w:i/>
        </w:rPr>
        <w:t>$255,000 to &lt; $355,000</w:t>
      </w:r>
    </w:p>
    <w:p w14:paraId="7C06673B" w14:textId="0AFFBA46" w:rsidR="008E0F9F" w:rsidRPr="008E0F9F" w:rsidRDefault="008E0F9F" w:rsidP="00007D44">
      <w:pPr>
        <w:pStyle w:val="TableFigureFooter"/>
        <w:keepNext/>
        <w:rPr>
          <w:i/>
        </w:rPr>
      </w:pPr>
      <w:r w:rsidRPr="008E0F9F">
        <w:rPr>
          <w:i/>
          <w:vertAlign w:val="superscript"/>
        </w:rPr>
        <w:t>2</w:t>
      </w:r>
      <w:r w:rsidRPr="008E0F9F">
        <w:rPr>
          <w:i/>
        </w:rPr>
        <w:t xml:space="preserve"> </w:t>
      </w:r>
      <w:r w:rsidR="00550D50" w:rsidRPr="00550D50">
        <w:rPr>
          <w:i/>
        </w:rPr>
        <w:t>$355,000 to &lt; $455,000</w:t>
      </w:r>
    </w:p>
    <w:p w14:paraId="1CB33FA4" w14:textId="23A2EE43" w:rsidR="008E0F9F" w:rsidRPr="008E0F9F" w:rsidRDefault="008E0F9F" w:rsidP="00007D44">
      <w:pPr>
        <w:pStyle w:val="TableFigureFooter"/>
        <w:keepNext/>
        <w:rPr>
          <w:i/>
        </w:rPr>
      </w:pPr>
      <w:r w:rsidRPr="008E0F9F">
        <w:rPr>
          <w:i/>
          <w:vertAlign w:val="superscript"/>
        </w:rPr>
        <w:t>3</w:t>
      </w:r>
      <w:r w:rsidRPr="008E0F9F">
        <w:rPr>
          <w:i/>
        </w:rPr>
        <w:t xml:space="preserve"> </w:t>
      </w:r>
      <w:bookmarkStart w:id="73" w:name="_Hlk219201969"/>
      <w:r w:rsidR="005A7CB3" w:rsidRPr="005A7CB3">
        <w:rPr>
          <w:i/>
        </w:rPr>
        <w:t>$95,000 to &lt; $115,000</w:t>
      </w:r>
      <w:bookmarkEnd w:id="73"/>
    </w:p>
    <w:p w14:paraId="21FC448A" w14:textId="77777777" w:rsidR="0010345B" w:rsidRPr="0010345B" w:rsidRDefault="008E0F9F" w:rsidP="00007D44">
      <w:pPr>
        <w:pStyle w:val="TableFigureFooter"/>
        <w:keepNext/>
        <w:rPr>
          <w:i/>
        </w:rPr>
      </w:pPr>
      <w:r w:rsidRPr="008E0F9F">
        <w:rPr>
          <w:i/>
          <w:vertAlign w:val="superscript"/>
        </w:rPr>
        <w:t>4</w:t>
      </w:r>
      <w:r w:rsidRPr="008E0F9F">
        <w:rPr>
          <w:i/>
        </w:rPr>
        <w:t xml:space="preserve"> </w:t>
      </w:r>
      <w:bookmarkStart w:id="74" w:name="_Hlk219196323"/>
      <w:bookmarkStart w:id="75" w:name="_Hlk219197156"/>
      <w:r w:rsidR="0010345B" w:rsidRPr="0010345B">
        <w:rPr>
          <w:i/>
        </w:rPr>
        <w:t>$75,000 to &lt; $95,000</w:t>
      </w:r>
      <w:bookmarkEnd w:id="74"/>
    </w:p>
    <w:bookmarkEnd w:id="75"/>
    <w:p w14:paraId="69C1B2AF" w14:textId="1687F438" w:rsidR="005564C4" w:rsidRPr="000E5B3A" w:rsidRDefault="005564C4" w:rsidP="005564C4">
      <w:pPr>
        <w:pStyle w:val="TableFigureFooter"/>
      </w:pPr>
    </w:p>
    <w:p w14:paraId="3468B8E0" w14:textId="6E596B27" w:rsidR="005564C4" w:rsidRPr="000E5B3A" w:rsidRDefault="005564C4">
      <w:pPr>
        <w:pStyle w:val="3-BodyText"/>
      </w:pPr>
      <w:r w:rsidRPr="000E5B3A">
        <w:t>The extrapolation of the time horizon from 24 months to 15 years (step 2 to step 3) had a considerable impact on the number of</w:t>
      </w:r>
      <w:r w:rsidR="00DE3666" w:rsidRPr="000E5B3A">
        <w:t xml:space="preserve"> life years (</w:t>
      </w:r>
      <w:r w:rsidRPr="000E5B3A">
        <w:t>LYs</w:t>
      </w:r>
      <w:r w:rsidR="00DE3666" w:rsidRPr="000E5B3A">
        <w:t>)</w:t>
      </w:r>
      <w:r w:rsidRPr="000E5B3A">
        <w:t xml:space="preserve"> and </w:t>
      </w:r>
      <w:r w:rsidR="00DE3666" w:rsidRPr="000E5B3A">
        <w:t xml:space="preserve">quality-adjusted life years (QALYs) </w:t>
      </w:r>
      <w:r w:rsidRPr="000E5B3A">
        <w:t>accrued but had little impact on costs</w:t>
      </w:r>
      <w:r w:rsidR="00C87F35" w:rsidRPr="000E5B3A">
        <w:t>,</w:t>
      </w:r>
      <w:r w:rsidRPr="000E5B3A">
        <w:t xml:space="preserve"> as drug,</w:t>
      </w:r>
      <w:r w:rsidR="00C60498" w:rsidRPr="000E5B3A">
        <w:t xml:space="preserve"> </w:t>
      </w:r>
      <w:r w:rsidRPr="000E5B3A">
        <w:t>administration and safety</w:t>
      </w:r>
      <w:r w:rsidR="00C60498" w:rsidRPr="000E5B3A">
        <w:t xml:space="preserve"> costs</w:t>
      </w:r>
      <w:r w:rsidRPr="000E5B3A">
        <w:t xml:space="preserve"> were incurred at the start of the model. The incremental LYs gained increased from 0.223 to 0.946 and therefore 76.4% of the incremental LYs were accrued during the extrapolated period.</w:t>
      </w:r>
    </w:p>
    <w:p w14:paraId="1BAC1159" w14:textId="4799309E" w:rsidR="00A86E8B" w:rsidRPr="000E5B3A" w:rsidRDefault="00D23D11" w:rsidP="00BB732D">
      <w:pPr>
        <w:pStyle w:val="3-BodyText"/>
      </w:pPr>
      <w:r w:rsidRPr="000E5B3A">
        <w:t xml:space="preserve">The results of key univariate </w:t>
      </w:r>
      <w:r w:rsidR="0003750B" w:rsidRPr="000E5B3A">
        <w:t xml:space="preserve">and multivariate </w:t>
      </w:r>
      <w:r w:rsidRPr="000E5B3A">
        <w:t xml:space="preserve">sensitivity analyses are summarised </w:t>
      </w:r>
      <w:r w:rsidR="00E16AD8" w:rsidRPr="000E5B3A">
        <w:t xml:space="preserve">in </w:t>
      </w:r>
      <w:fldSimple w:instr=" REF _Ref104804865 ">
        <w:r w:rsidR="00DB6E72" w:rsidRPr="000E5B3A">
          <w:t xml:space="preserve">Table </w:t>
        </w:r>
        <w:r w:rsidR="00DB6E72">
          <w:rPr>
            <w:noProof/>
          </w:rPr>
          <w:t>13</w:t>
        </w:r>
      </w:fldSimple>
      <w:r w:rsidR="0003750B" w:rsidRPr="000E5B3A">
        <w:t xml:space="preserve"> and </w:t>
      </w:r>
      <w:fldSimple w:instr=" REF _Ref207830128 ">
        <w:r w:rsidR="00DB6E72" w:rsidRPr="000E5B3A">
          <w:t xml:space="preserve">Table </w:t>
        </w:r>
        <w:r w:rsidR="00DB6E72">
          <w:rPr>
            <w:noProof/>
          </w:rPr>
          <w:t>14</w:t>
        </w:r>
      </w:fldSimple>
      <w:r w:rsidR="0003750B" w:rsidRPr="000E5B3A">
        <w:t>, respectively</w:t>
      </w:r>
      <w:r w:rsidRPr="000E5B3A">
        <w:t>.</w:t>
      </w:r>
    </w:p>
    <w:p w14:paraId="3A64F4E7" w14:textId="38037387" w:rsidR="00D23D11" w:rsidRPr="000E5B3A" w:rsidRDefault="00E16AD8" w:rsidP="008B4A43">
      <w:pPr>
        <w:pStyle w:val="Caption"/>
        <w:rPr>
          <w:rStyle w:val="CommentReference"/>
          <w:b/>
          <w:szCs w:val="24"/>
        </w:rPr>
      </w:pPr>
      <w:bookmarkStart w:id="76" w:name="_Ref104804865"/>
      <w:bookmarkStart w:id="77" w:name="_Ref208509581"/>
      <w:r w:rsidRPr="000E5B3A">
        <w:lastRenderedPageBreak/>
        <w:t xml:space="preserve">Table </w:t>
      </w:r>
      <w:fldSimple w:instr=" SEQ Table \* ARABIC ">
        <w:r w:rsidR="00DB6E72">
          <w:rPr>
            <w:noProof/>
          </w:rPr>
          <w:t>13</w:t>
        </w:r>
      </w:fldSimple>
      <w:bookmarkEnd w:id="76"/>
      <w:r w:rsidRPr="000E5B3A">
        <w:t>:</w:t>
      </w:r>
      <w:r w:rsidR="00354F64" w:rsidRPr="000E5B3A">
        <w:rPr>
          <w:rStyle w:val="CommentReference"/>
          <w:b/>
          <w:szCs w:val="24"/>
        </w:rPr>
        <w:t xml:space="preserve"> </w:t>
      </w:r>
      <w:r w:rsidR="0003750B" w:rsidRPr="000E5B3A">
        <w:rPr>
          <w:rStyle w:val="CommentReference"/>
          <w:b/>
          <w:szCs w:val="24"/>
        </w:rPr>
        <w:t>Key univariate s</w:t>
      </w:r>
      <w:r w:rsidR="00D15314" w:rsidRPr="000E5B3A">
        <w:rPr>
          <w:rStyle w:val="CommentReference"/>
          <w:b/>
          <w:szCs w:val="24"/>
        </w:rPr>
        <w:t>ensitivity analyses</w:t>
      </w:r>
      <w:bookmarkEnd w:id="77"/>
      <w:r w:rsidR="00E679A7">
        <w:rPr>
          <w:rStyle w:val="CommentReference"/>
          <w:b/>
          <w:szCs w:val="24"/>
        </w:rPr>
        <w:t xml:space="preserve"> (based on submission model)</w:t>
      </w:r>
    </w:p>
    <w:tbl>
      <w:tblPr>
        <w:tblStyle w:val="TableGrid"/>
        <w:tblW w:w="5000" w:type="pct"/>
        <w:tblLook w:val="04A0" w:firstRow="1" w:lastRow="0" w:firstColumn="1" w:lastColumn="0" w:noHBand="0" w:noVBand="1"/>
        <w:tblCaption w:val="Table 13: Key univariate sensitivity analyses (based on submission model)"/>
      </w:tblPr>
      <w:tblGrid>
        <w:gridCol w:w="4340"/>
        <w:gridCol w:w="1138"/>
        <w:gridCol w:w="1138"/>
        <w:gridCol w:w="1177"/>
        <w:gridCol w:w="1223"/>
      </w:tblGrid>
      <w:tr w:rsidR="00934E3E" w:rsidRPr="000E5B3A" w14:paraId="62DDB9C0" w14:textId="77777777" w:rsidTr="00565EC1">
        <w:trPr>
          <w:cantSplit/>
          <w:trHeight w:val="20"/>
          <w:tblHeader/>
        </w:trPr>
        <w:tc>
          <w:tcPr>
            <w:tcW w:w="2407" w:type="pct"/>
            <w:tcBorders>
              <w:bottom w:val="single" w:sz="4" w:space="0" w:color="auto"/>
            </w:tcBorders>
            <w:vAlign w:val="center"/>
          </w:tcPr>
          <w:p w14:paraId="6C526912" w14:textId="77777777" w:rsidR="0003750B" w:rsidRPr="000E5B3A" w:rsidRDefault="0003750B" w:rsidP="008B4A43">
            <w:pPr>
              <w:pStyle w:val="In-tableHeading"/>
              <w:widowControl w:val="0"/>
              <w:jc w:val="left"/>
              <w:rPr>
                <w:lang w:val="en-AU"/>
              </w:rPr>
            </w:pPr>
            <w:r w:rsidRPr="000E5B3A">
              <w:rPr>
                <w:lang w:val="en-AU"/>
              </w:rPr>
              <w:t>Analyses</w:t>
            </w:r>
          </w:p>
        </w:tc>
        <w:tc>
          <w:tcPr>
            <w:tcW w:w="631" w:type="pct"/>
            <w:tcBorders>
              <w:bottom w:val="single" w:sz="4" w:space="0" w:color="auto"/>
            </w:tcBorders>
            <w:vAlign w:val="center"/>
          </w:tcPr>
          <w:p w14:paraId="3095C10A" w14:textId="77777777" w:rsidR="0003750B" w:rsidRPr="000E5B3A" w:rsidRDefault="0003750B" w:rsidP="008B4A43">
            <w:pPr>
              <w:pStyle w:val="In-tableHeading"/>
              <w:widowControl w:val="0"/>
              <w:rPr>
                <w:lang w:val="en-AU"/>
              </w:rPr>
            </w:pPr>
            <w:r w:rsidRPr="000E5B3A">
              <w:rPr>
                <w:lang w:val="en-AU"/>
              </w:rPr>
              <w:t>Incremental costs</w:t>
            </w:r>
          </w:p>
        </w:tc>
        <w:tc>
          <w:tcPr>
            <w:tcW w:w="631" w:type="pct"/>
            <w:tcBorders>
              <w:bottom w:val="single" w:sz="4" w:space="0" w:color="auto"/>
            </w:tcBorders>
            <w:vAlign w:val="center"/>
          </w:tcPr>
          <w:p w14:paraId="7C1B6CE1" w14:textId="77777777" w:rsidR="0003750B" w:rsidRPr="000E5B3A" w:rsidRDefault="0003750B" w:rsidP="008B4A43">
            <w:pPr>
              <w:pStyle w:val="In-tableHeading"/>
              <w:widowControl w:val="0"/>
              <w:rPr>
                <w:lang w:val="en-AU"/>
              </w:rPr>
            </w:pPr>
            <w:r w:rsidRPr="000E5B3A">
              <w:rPr>
                <w:lang w:val="en-AU"/>
              </w:rPr>
              <w:t>Incremental QALYs</w:t>
            </w:r>
          </w:p>
        </w:tc>
        <w:tc>
          <w:tcPr>
            <w:tcW w:w="653" w:type="pct"/>
            <w:tcBorders>
              <w:bottom w:val="single" w:sz="4" w:space="0" w:color="auto"/>
            </w:tcBorders>
            <w:vAlign w:val="center"/>
          </w:tcPr>
          <w:p w14:paraId="432CE22F" w14:textId="77777777" w:rsidR="0003750B" w:rsidRPr="000E5B3A" w:rsidRDefault="0003750B" w:rsidP="008B4A43">
            <w:pPr>
              <w:pStyle w:val="In-tableHeading"/>
              <w:widowControl w:val="0"/>
              <w:rPr>
                <w:lang w:val="en-AU"/>
              </w:rPr>
            </w:pPr>
            <w:r w:rsidRPr="000E5B3A">
              <w:rPr>
                <w:lang w:val="en-AU"/>
              </w:rPr>
              <w:t>ICER</w:t>
            </w:r>
          </w:p>
        </w:tc>
        <w:tc>
          <w:tcPr>
            <w:tcW w:w="678" w:type="pct"/>
            <w:tcBorders>
              <w:bottom w:val="single" w:sz="4" w:space="0" w:color="auto"/>
            </w:tcBorders>
            <w:vAlign w:val="center"/>
          </w:tcPr>
          <w:p w14:paraId="2BEDF506" w14:textId="77777777" w:rsidR="0003750B" w:rsidRPr="000E5B3A" w:rsidRDefault="0003750B" w:rsidP="008B4A43">
            <w:pPr>
              <w:pStyle w:val="In-tableHeading"/>
              <w:widowControl w:val="0"/>
              <w:rPr>
                <w:lang w:val="en-AU"/>
              </w:rPr>
            </w:pPr>
            <w:r w:rsidRPr="000E5B3A">
              <w:rPr>
                <w:lang w:val="en-AU"/>
              </w:rPr>
              <w:t>% change from base case</w:t>
            </w:r>
          </w:p>
        </w:tc>
      </w:tr>
      <w:tr w:rsidR="00934E3E" w:rsidRPr="000E5B3A" w14:paraId="22C45EE7" w14:textId="77777777" w:rsidTr="00565EC1">
        <w:trPr>
          <w:trHeight w:val="20"/>
        </w:trPr>
        <w:tc>
          <w:tcPr>
            <w:tcW w:w="2407" w:type="pct"/>
            <w:tcBorders>
              <w:bottom w:val="single" w:sz="4" w:space="0" w:color="auto"/>
            </w:tcBorders>
            <w:vAlign w:val="center"/>
          </w:tcPr>
          <w:p w14:paraId="6F2BDB08" w14:textId="77777777" w:rsidR="0003750B" w:rsidRPr="000E5B3A" w:rsidRDefault="0003750B" w:rsidP="008B4A43">
            <w:pPr>
              <w:pStyle w:val="TableText0"/>
              <w:widowControl w:val="0"/>
              <w:rPr>
                <w:b/>
                <w:bCs w:val="0"/>
              </w:rPr>
            </w:pPr>
            <w:r w:rsidRPr="000E5B3A">
              <w:rPr>
                <w:b/>
                <w:bCs w:val="0"/>
              </w:rPr>
              <w:t>Base case</w:t>
            </w:r>
          </w:p>
        </w:tc>
        <w:tc>
          <w:tcPr>
            <w:tcW w:w="631" w:type="pct"/>
            <w:tcBorders>
              <w:bottom w:val="single" w:sz="4" w:space="0" w:color="auto"/>
            </w:tcBorders>
            <w:vAlign w:val="center"/>
          </w:tcPr>
          <w:p w14:paraId="007EAB69" w14:textId="73F398A5" w:rsidR="0003750B" w:rsidRPr="000E5B3A" w:rsidRDefault="0003750B" w:rsidP="008B4A43">
            <w:pPr>
              <w:pStyle w:val="TableText0"/>
              <w:widowControl w:val="0"/>
              <w:jc w:val="center"/>
              <w:rPr>
                <w:b/>
                <w:bCs w:val="0"/>
              </w:rPr>
            </w:pPr>
            <w:r w:rsidRPr="000E5B3A">
              <w:rPr>
                <w:b/>
                <w:bCs w:val="0"/>
              </w:rPr>
              <w:t>$</w:t>
            </w:r>
            <w:r w:rsidR="009951A2" w:rsidRPr="009951A2">
              <w:rPr>
                <w:b/>
                <w:bCs w:val="0"/>
                <w:highlight w:val="black"/>
              </w:rPr>
              <w:t>&amp;&amp;&amp;&amp;</w:t>
            </w:r>
          </w:p>
        </w:tc>
        <w:tc>
          <w:tcPr>
            <w:tcW w:w="631" w:type="pct"/>
            <w:tcBorders>
              <w:bottom w:val="single" w:sz="4" w:space="0" w:color="auto"/>
            </w:tcBorders>
            <w:vAlign w:val="center"/>
          </w:tcPr>
          <w:p w14:paraId="16828508" w14:textId="77777777" w:rsidR="0003750B" w:rsidRPr="000E5B3A" w:rsidRDefault="0003750B" w:rsidP="008B4A43">
            <w:pPr>
              <w:pStyle w:val="TableText0"/>
              <w:widowControl w:val="0"/>
              <w:jc w:val="center"/>
              <w:rPr>
                <w:b/>
                <w:bCs w:val="0"/>
              </w:rPr>
            </w:pPr>
            <w:r w:rsidRPr="000E5B3A">
              <w:rPr>
                <w:b/>
                <w:bCs w:val="0"/>
              </w:rPr>
              <w:t>0.784</w:t>
            </w:r>
          </w:p>
        </w:tc>
        <w:tc>
          <w:tcPr>
            <w:tcW w:w="653" w:type="pct"/>
            <w:tcBorders>
              <w:bottom w:val="single" w:sz="4" w:space="0" w:color="auto"/>
            </w:tcBorders>
            <w:vAlign w:val="center"/>
          </w:tcPr>
          <w:p w14:paraId="28364BFD" w14:textId="569BEF34" w:rsidR="0003750B" w:rsidRPr="00E251AC" w:rsidRDefault="0003750B" w:rsidP="008B4A43">
            <w:pPr>
              <w:pStyle w:val="TableText0"/>
              <w:widowControl w:val="0"/>
              <w:jc w:val="center"/>
              <w:rPr>
                <w:vertAlign w:val="superscript"/>
              </w:rPr>
            </w:pPr>
            <w:r w:rsidRPr="000E5B3A">
              <w:rPr>
                <w:b/>
                <w:bCs w:val="0"/>
              </w:rPr>
              <w:t>$</w:t>
            </w:r>
            <w:r w:rsidR="009951A2" w:rsidRPr="009951A2">
              <w:rPr>
                <w:b/>
                <w:bCs w:val="0"/>
                <w:highlight w:val="black"/>
              </w:rPr>
              <w:t>&amp;&amp;&amp;&amp;</w:t>
            </w:r>
            <w:r w:rsidR="00E251AC">
              <w:rPr>
                <w:vertAlign w:val="superscript"/>
              </w:rPr>
              <w:t>1</w:t>
            </w:r>
          </w:p>
        </w:tc>
        <w:tc>
          <w:tcPr>
            <w:tcW w:w="678" w:type="pct"/>
            <w:tcBorders>
              <w:bottom w:val="single" w:sz="4" w:space="0" w:color="auto"/>
            </w:tcBorders>
            <w:vAlign w:val="center"/>
          </w:tcPr>
          <w:p w14:paraId="460E0436" w14:textId="77777777" w:rsidR="0003750B" w:rsidRPr="000E5B3A" w:rsidRDefault="0003750B" w:rsidP="008B4A43">
            <w:pPr>
              <w:pStyle w:val="TableText0"/>
              <w:widowControl w:val="0"/>
              <w:jc w:val="center"/>
              <w:rPr>
                <w:b/>
                <w:bCs w:val="0"/>
              </w:rPr>
            </w:pPr>
            <w:r w:rsidRPr="000E5B3A">
              <w:rPr>
                <w:b/>
                <w:bCs w:val="0"/>
              </w:rPr>
              <w:t>-</w:t>
            </w:r>
          </w:p>
        </w:tc>
      </w:tr>
      <w:tr w:rsidR="0003750B" w:rsidRPr="000E5B3A" w14:paraId="6B27F55E" w14:textId="77777777">
        <w:trPr>
          <w:trHeight w:val="20"/>
        </w:trPr>
        <w:tc>
          <w:tcPr>
            <w:tcW w:w="5000" w:type="pct"/>
            <w:gridSpan w:val="5"/>
            <w:vAlign w:val="center"/>
          </w:tcPr>
          <w:p w14:paraId="62798674" w14:textId="77777777" w:rsidR="0003750B" w:rsidRPr="000E5B3A" w:rsidRDefault="0003750B" w:rsidP="008B4A43">
            <w:pPr>
              <w:pStyle w:val="TableText0"/>
              <w:widowControl w:val="0"/>
              <w:rPr>
                <w:b/>
                <w:bCs w:val="0"/>
              </w:rPr>
            </w:pPr>
            <w:r w:rsidRPr="000E5B3A">
              <w:rPr>
                <w:b/>
                <w:bCs w:val="0"/>
              </w:rPr>
              <w:t>Time horizon (base case: 15 years)</w:t>
            </w:r>
          </w:p>
        </w:tc>
      </w:tr>
      <w:tr w:rsidR="00934E3E" w:rsidRPr="000E5B3A" w14:paraId="0B04A293" w14:textId="77777777" w:rsidTr="00565EC1">
        <w:trPr>
          <w:trHeight w:val="20"/>
        </w:trPr>
        <w:tc>
          <w:tcPr>
            <w:tcW w:w="2407" w:type="pct"/>
            <w:vAlign w:val="center"/>
          </w:tcPr>
          <w:p w14:paraId="4EA6DD7D" w14:textId="77777777" w:rsidR="0003750B" w:rsidRPr="000E5B3A" w:rsidRDefault="0003750B" w:rsidP="008B4A43">
            <w:pPr>
              <w:pStyle w:val="TableText0"/>
              <w:widowControl w:val="0"/>
            </w:pPr>
            <w:r w:rsidRPr="000E5B3A">
              <w:t>7.5 years</w:t>
            </w:r>
          </w:p>
        </w:tc>
        <w:tc>
          <w:tcPr>
            <w:tcW w:w="631" w:type="pct"/>
            <w:vAlign w:val="center"/>
          </w:tcPr>
          <w:p w14:paraId="728BE7C3" w14:textId="769987CC"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7C471E7E" w14:textId="77777777" w:rsidR="0003750B" w:rsidRPr="000E5B3A" w:rsidRDefault="0003750B" w:rsidP="008B4A43">
            <w:pPr>
              <w:pStyle w:val="TableText0"/>
              <w:widowControl w:val="0"/>
              <w:jc w:val="center"/>
            </w:pPr>
            <w:r w:rsidRPr="000E5B3A">
              <w:t>0.644</w:t>
            </w:r>
          </w:p>
        </w:tc>
        <w:tc>
          <w:tcPr>
            <w:tcW w:w="653" w:type="pct"/>
            <w:vAlign w:val="center"/>
          </w:tcPr>
          <w:p w14:paraId="4F69D550" w14:textId="1E8A5D5F"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2A293C8C" w14:textId="79318306"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27DDED97" w14:textId="77777777" w:rsidTr="00565EC1">
        <w:trPr>
          <w:trHeight w:val="20"/>
        </w:trPr>
        <w:tc>
          <w:tcPr>
            <w:tcW w:w="2407" w:type="pct"/>
            <w:vAlign w:val="center"/>
          </w:tcPr>
          <w:p w14:paraId="4BDDA177" w14:textId="77777777" w:rsidR="0003750B" w:rsidRPr="000E5B3A" w:rsidRDefault="0003750B" w:rsidP="008B4A43">
            <w:pPr>
              <w:pStyle w:val="TableText0"/>
              <w:widowControl w:val="0"/>
            </w:pPr>
            <w:r w:rsidRPr="000E5B3A">
              <w:t>10 years</w:t>
            </w:r>
          </w:p>
        </w:tc>
        <w:tc>
          <w:tcPr>
            <w:tcW w:w="631" w:type="pct"/>
            <w:vAlign w:val="center"/>
          </w:tcPr>
          <w:p w14:paraId="108837B0" w14:textId="73419A91"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54CD0C2A" w14:textId="77777777" w:rsidR="0003750B" w:rsidRPr="000E5B3A" w:rsidRDefault="0003750B" w:rsidP="008B4A43">
            <w:pPr>
              <w:pStyle w:val="TableText0"/>
              <w:widowControl w:val="0"/>
              <w:jc w:val="center"/>
            </w:pPr>
            <w:r w:rsidRPr="000E5B3A">
              <w:t>0.715</w:t>
            </w:r>
          </w:p>
        </w:tc>
        <w:tc>
          <w:tcPr>
            <w:tcW w:w="653" w:type="pct"/>
            <w:vAlign w:val="center"/>
          </w:tcPr>
          <w:p w14:paraId="59588E0F" w14:textId="71FDC116"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354EB762" w14:textId="2F3B74C8"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764C890A" w14:textId="77777777">
        <w:trPr>
          <w:trHeight w:val="20"/>
        </w:trPr>
        <w:tc>
          <w:tcPr>
            <w:tcW w:w="5000" w:type="pct"/>
            <w:gridSpan w:val="5"/>
            <w:vAlign w:val="center"/>
          </w:tcPr>
          <w:p w14:paraId="065B4401" w14:textId="77777777" w:rsidR="0003750B" w:rsidRPr="000E5B3A" w:rsidRDefault="0003750B" w:rsidP="008B4A43">
            <w:pPr>
              <w:pStyle w:val="TableText0"/>
              <w:widowControl w:val="0"/>
              <w:rPr>
                <w:b/>
                <w:bCs w:val="0"/>
              </w:rPr>
            </w:pPr>
            <w:r w:rsidRPr="000E5B3A">
              <w:rPr>
                <w:b/>
                <w:bCs w:val="0"/>
              </w:rPr>
              <w:t>Discount rate (base case: 5% per annum)</w:t>
            </w:r>
          </w:p>
        </w:tc>
      </w:tr>
      <w:tr w:rsidR="00934E3E" w:rsidRPr="000E5B3A" w14:paraId="3C9C874C" w14:textId="77777777" w:rsidTr="00565EC1">
        <w:trPr>
          <w:trHeight w:val="20"/>
        </w:trPr>
        <w:tc>
          <w:tcPr>
            <w:tcW w:w="2407" w:type="pct"/>
            <w:vAlign w:val="center"/>
          </w:tcPr>
          <w:p w14:paraId="71324B0D" w14:textId="77777777" w:rsidR="0003750B" w:rsidRPr="000E5B3A" w:rsidRDefault="0003750B" w:rsidP="008B4A43">
            <w:pPr>
              <w:pStyle w:val="TableText0"/>
              <w:widowControl w:val="0"/>
            </w:pPr>
            <w:r w:rsidRPr="000E5B3A">
              <w:t>0%</w:t>
            </w:r>
          </w:p>
        </w:tc>
        <w:tc>
          <w:tcPr>
            <w:tcW w:w="631" w:type="pct"/>
            <w:vAlign w:val="center"/>
          </w:tcPr>
          <w:p w14:paraId="31762CD5" w14:textId="586BF77E"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1DA2ABA4" w14:textId="77777777" w:rsidR="0003750B" w:rsidRPr="000E5B3A" w:rsidRDefault="0003750B" w:rsidP="008B4A43">
            <w:pPr>
              <w:pStyle w:val="TableText0"/>
              <w:widowControl w:val="0"/>
              <w:jc w:val="center"/>
            </w:pPr>
            <w:r w:rsidRPr="000E5B3A">
              <w:t>0.967</w:t>
            </w:r>
          </w:p>
        </w:tc>
        <w:tc>
          <w:tcPr>
            <w:tcW w:w="653" w:type="pct"/>
            <w:vAlign w:val="center"/>
          </w:tcPr>
          <w:p w14:paraId="049F7844" w14:textId="18508268"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74D57954" w14:textId="2D186481"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934E3E" w:rsidRPr="000E5B3A" w14:paraId="0FB84DFF" w14:textId="77777777" w:rsidTr="00565EC1">
        <w:trPr>
          <w:trHeight w:val="20"/>
        </w:trPr>
        <w:tc>
          <w:tcPr>
            <w:tcW w:w="2407" w:type="pct"/>
            <w:tcBorders>
              <w:bottom w:val="single" w:sz="4" w:space="0" w:color="auto"/>
            </w:tcBorders>
            <w:vAlign w:val="center"/>
          </w:tcPr>
          <w:p w14:paraId="5BFF4B25" w14:textId="77777777" w:rsidR="0003750B" w:rsidRPr="000E5B3A" w:rsidRDefault="0003750B" w:rsidP="008B4A43">
            <w:pPr>
              <w:pStyle w:val="TableText0"/>
              <w:widowControl w:val="0"/>
            </w:pPr>
            <w:r w:rsidRPr="000E5B3A">
              <w:t>3.5%</w:t>
            </w:r>
          </w:p>
        </w:tc>
        <w:tc>
          <w:tcPr>
            <w:tcW w:w="631" w:type="pct"/>
            <w:tcBorders>
              <w:bottom w:val="single" w:sz="4" w:space="0" w:color="auto"/>
            </w:tcBorders>
            <w:vAlign w:val="center"/>
          </w:tcPr>
          <w:p w14:paraId="6BF2B0CB" w14:textId="3E2C18AA"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58753A3B" w14:textId="77777777" w:rsidR="0003750B" w:rsidRPr="000E5B3A" w:rsidRDefault="0003750B" w:rsidP="008B4A43">
            <w:pPr>
              <w:pStyle w:val="TableText0"/>
              <w:widowControl w:val="0"/>
              <w:jc w:val="center"/>
            </w:pPr>
            <w:r w:rsidRPr="000E5B3A">
              <w:t>0.832</w:t>
            </w:r>
          </w:p>
        </w:tc>
        <w:tc>
          <w:tcPr>
            <w:tcW w:w="653" w:type="pct"/>
            <w:vAlign w:val="center"/>
          </w:tcPr>
          <w:p w14:paraId="2447C539" w14:textId="6DDB6836"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7065E2BD" w14:textId="640ADDF9"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03750B" w:rsidRPr="000E5B3A" w14:paraId="6694A44F" w14:textId="77777777">
        <w:trPr>
          <w:cantSplit/>
          <w:trHeight w:val="20"/>
        </w:trPr>
        <w:tc>
          <w:tcPr>
            <w:tcW w:w="5000" w:type="pct"/>
            <w:gridSpan w:val="5"/>
            <w:vAlign w:val="center"/>
          </w:tcPr>
          <w:p w14:paraId="2C94E151" w14:textId="77777777" w:rsidR="0003750B" w:rsidRPr="000E5B3A" w:rsidRDefault="0003750B" w:rsidP="008B4A43">
            <w:pPr>
              <w:pStyle w:val="TableText0"/>
              <w:widowControl w:val="0"/>
              <w:rPr>
                <w:b/>
                <w:bCs w:val="0"/>
              </w:rPr>
            </w:pPr>
            <w:r w:rsidRPr="000E5B3A">
              <w:rPr>
                <w:b/>
                <w:bCs w:val="0"/>
              </w:rPr>
              <w:t>Approach to OS crossover adjustment (base case: RPSFT)</w:t>
            </w:r>
          </w:p>
        </w:tc>
      </w:tr>
      <w:tr w:rsidR="00934E3E" w:rsidRPr="000E5B3A" w14:paraId="1E4A4B73" w14:textId="77777777" w:rsidTr="00565EC1">
        <w:trPr>
          <w:cantSplit/>
          <w:trHeight w:val="20"/>
        </w:trPr>
        <w:tc>
          <w:tcPr>
            <w:tcW w:w="2407" w:type="pct"/>
            <w:vAlign w:val="center"/>
          </w:tcPr>
          <w:p w14:paraId="6F705A44" w14:textId="2AE967AB" w:rsidR="0003750B" w:rsidRPr="000E5B3A" w:rsidRDefault="0003750B" w:rsidP="008B4A43">
            <w:pPr>
              <w:pStyle w:val="TableText0"/>
              <w:widowControl w:val="0"/>
            </w:pPr>
            <w:r w:rsidRPr="000E5B3A">
              <w:t>ITT OS (no crossover costs)</w:t>
            </w:r>
            <w:r w:rsidR="008032E6" w:rsidRPr="000E5B3A">
              <w:rPr>
                <w:vertAlign w:val="superscript"/>
              </w:rPr>
              <w:t xml:space="preserve"> a</w:t>
            </w:r>
          </w:p>
        </w:tc>
        <w:tc>
          <w:tcPr>
            <w:tcW w:w="631" w:type="pct"/>
            <w:vAlign w:val="center"/>
          </w:tcPr>
          <w:p w14:paraId="4443CE4D" w14:textId="6745EDDA"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784E3384" w14:textId="77777777" w:rsidR="0003750B" w:rsidRPr="000E5B3A" w:rsidRDefault="0003750B" w:rsidP="008B4A43">
            <w:pPr>
              <w:pStyle w:val="TableText0"/>
              <w:widowControl w:val="0"/>
              <w:jc w:val="center"/>
            </w:pPr>
            <w:r w:rsidRPr="000E5B3A">
              <w:t>0.667</w:t>
            </w:r>
          </w:p>
        </w:tc>
        <w:tc>
          <w:tcPr>
            <w:tcW w:w="653" w:type="pct"/>
            <w:vAlign w:val="center"/>
          </w:tcPr>
          <w:p w14:paraId="6B1B3D18" w14:textId="47A554E1"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0F03C286" w14:textId="5E8C613D"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56BC3430" w14:textId="77777777" w:rsidTr="00565EC1">
        <w:trPr>
          <w:cantSplit/>
          <w:trHeight w:val="20"/>
        </w:trPr>
        <w:tc>
          <w:tcPr>
            <w:tcW w:w="2407" w:type="pct"/>
            <w:vAlign w:val="center"/>
          </w:tcPr>
          <w:p w14:paraId="06501F0C" w14:textId="77777777" w:rsidR="0003750B" w:rsidRPr="000E5B3A" w:rsidRDefault="0003750B" w:rsidP="008B4A43">
            <w:pPr>
              <w:pStyle w:val="TableText0"/>
              <w:widowControl w:val="0"/>
            </w:pPr>
            <w:r w:rsidRPr="000E5B3A">
              <w:t>IPCW</w:t>
            </w:r>
          </w:p>
        </w:tc>
        <w:tc>
          <w:tcPr>
            <w:tcW w:w="631" w:type="pct"/>
            <w:vAlign w:val="center"/>
          </w:tcPr>
          <w:p w14:paraId="4AC3BEB7" w14:textId="7778DF4D"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52784487" w14:textId="77777777" w:rsidR="0003750B" w:rsidRPr="000E5B3A" w:rsidRDefault="0003750B" w:rsidP="008B4A43">
            <w:pPr>
              <w:pStyle w:val="TableText0"/>
              <w:widowControl w:val="0"/>
              <w:jc w:val="center"/>
            </w:pPr>
            <w:r w:rsidRPr="000E5B3A">
              <w:t>0.866</w:t>
            </w:r>
          </w:p>
        </w:tc>
        <w:tc>
          <w:tcPr>
            <w:tcW w:w="653" w:type="pct"/>
            <w:vAlign w:val="center"/>
          </w:tcPr>
          <w:p w14:paraId="6AE9C4E9" w14:textId="049636FE"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2533FEA1" w14:textId="501E4BA1"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03750B" w:rsidRPr="000E5B3A" w14:paraId="726CFE34" w14:textId="77777777">
        <w:trPr>
          <w:trHeight w:val="20"/>
        </w:trPr>
        <w:tc>
          <w:tcPr>
            <w:tcW w:w="5000" w:type="pct"/>
            <w:gridSpan w:val="5"/>
            <w:vAlign w:val="center"/>
          </w:tcPr>
          <w:p w14:paraId="1B965CA6" w14:textId="5C91EB98" w:rsidR="0003750B" w:rsidRPr="000E5B3A" w:rsidRDefault="0003750B" w:rsidP="008B4A43">
            <w:pPr>
              <w:pStyle w:val="TableText0"/>
              <w:widowControl w:val="0"/>
              <w:rPr>
                <w:b/>
                <w:bCs w:val="0"/>
              </w:rPr>
            </w:pPr>
            <w:r w:rsidRPr="000E5B3A">
              <w:rPr>
                <w:b/>
                <w:bCs w:val="0"/>
              </w:rPr>
              <w:t>Duration of KM data (base case: Gebski criterion 1 (2.5%)</w:t>
            </w:r>
            <w:r w:rsidR="00C91EF5" w:rsidRPr="000E5B3A">
              <w:rPr>
                <w:b/>
                <w:bCs w:val="0"/>
              </w:rPr>
              <w:t>)</w:t>
            </w:r>
          </w:p>
        </w:tc>
      </w:tr>
      <w:tr w:rsidR="00934E3E" w:rsidRPr="000E5B3A" w14:paraId="191F96E8" w14:textId="77777777" w:rsidTr="00565EC1">
        <w:trPr>
          <w:trHeight w:val="20"/>
        </w:trPr>
        <w:tc>
          <w:tcPr>
            <w:tcW w:w="2407" w:type="pct"/>
            <w:vAlign w:val="center"/>
          </w:tcPr>
          <w:p w14:paraId="5A61100B" w14:textId="77777777" w:rsidR="0003750B" w:rsidRPr="000E5B3A" w:rsidRDefault="0003750B" w:rsidP="008B4A43">
            <w:pPr>
              <w:pStyle w:val="TableText0"/>
              <w:widowControl w:val="0"/>
            </w:pPr>
            <w:r w:rsidRPr="000E5B3A">
              <w:t>Gebski Criterion 1 (5%)</w:t>
            </w:r>
          </w:p>
        </w:tc>
        <w:tc>
          <w:tcPr>
            <w:tcW w:w="631" w:type="pct"/>
            <w:vAlign w:val="center"/>
          </w:tcPr>
          <w:p w14:paraId="58B15946" w14:textId="2CFA7224"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26BAC61F" w14:textId="77777777" w:rsidR="0003750B" w:rsidRPr="000E5B3A" w:rsidRDefault="0003750B" w:rsidP="008B4A43">
            <w:pPr>
              <w:pStyle w:val="TableText0"/>
              <w:widowControl w:val="0"/>
              <w:jc w:val="center"/>
            </w:pPr>
            <w:r w:rsidRPr="000E5B3A">
              <w:t>0.560</w:t>
            </w:r>
          </w:p>
        </w:tc>
        <w:tc>
          <w:tcPr>
            <w:tcW w:w="653" w:type="pct"/>
            <w:vAlign w:val="center"/>
          </w:tcPr>
          <w:p w14:paraId="664F581E" w14:textId="67513964"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3</w:t>
            </w:r>
          </w:p>
        </w:tc>
        <w:tc>
          <w:tcPr>
            <w:tcW w:w="678" w:type="pct"/>
            <w:vAlign w:val="center"/>
          </w:tcPr>
          <w:p w14:paraId="0CF47455" w14:textId="35B460EE"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2A10946D" w14:textId="77777777" w:rsidTr="00565EC1">
        <w:trPr>
          <w:trHeight w:val="20"/>
        </w:trPr>
        <w:tc>
          <w:tcPr>
            <w:tcW w:w="2407" w:type="pct"/>
            <w:vAlign w:val="center"/>
          </w:tcPr>
          <w:p w14:paraId="6BECF455" w14:textId="77777777" w:rsidR="0003750B" w:rsidRPr="000E5B3A" w:rsidRDefault="0003750B" w:rsidP="008B4A43">
            <w:pPr>
              <w:pStyle w:val="TableText0"/>
              <w:widowControl w:val="0"/>
            </w:pPr>
            <w:r w:rsidRPr="000E5B3A">
              <w:t>Gebski Criterion 2</w:t>
            </w:r>
          </w:p>
        </w:tc>
        <w:tc>
          <w:tcPr>
            <w:tcW w:w="631" w:type="pct"/>
            <w:vAlign w:val="center"/>
          </w:tcPr>
          <w:p w14:paraId="7C66479A" w14:textId="20A25FC2"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7AD5E058" w14:textId="77777777" w:rsidR="0003750B" w:rsidRPr="000E5B3A" w:rsidRDefault="0003750B" w:rsidP="008B4A43">
            <w:pPr>
              <w:pStyle w:val="TableText0"/>
              <w:widowControl w:val="0"/>
              <w:jc w:val="center"/>
            </w:pPr>
            <w:r w:rsidRPr="000E5B3A">
              <w:t>0.674</w:t>
            </w:r>
          </w:p>
        </w:tc>
        <w:tc>
          <w:tcPr>
            <w:tcW w:w="653" w:type="pct"/>
            <w:vAlign w:val="center"/>
          </w:tcPr>
          <w:p w14:paraId="7A0C847B" w14:textId="0CF0CDAE"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4D434DE8" w14:textId="1BC92319"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4CFD3E92" w14:textId="77777777">
        <w:trPr>
          <w:trHeight w:val="20"/>
        </w:trPr>
        <w:tc>
          <w:tcPr>
            <w:tcW w:w="5000" w:type="pct"/>
            <w:gridSpan w:val="5"/>
            <w:vAlign w:val="center"/>
          </w:tcPr>
          <w:p w14:paraId="2F723F90" w14:textId="77777777" w:rsidR="0003750B" w:rsidRPr="000E5B3A" w:rsidRDefault="0003750B" w:rsidP="008B4A43">
            <w:pPr>
              <w:pStyle w:val="TableText0"/>
              <w:widowControl w:val="0"/>
              <w:rPr>
                <w:b/>
                <w:bCs w:val="0"/>
              </w:rPr>
            </w:pPr>
            <w:r w:rsidRPr="000E5B3A">
              <w:rPr>
                <w:b/>
                <w:bCs w:val="0"/>
              </w:rPr>
              <w:t>OS parametric model (base case: Loglogistic)</w:t>
            </w:r>
          </w:p>
        </w:tc>
      </w:tr>
      <w:tr w:rsidR="00934E3E" w:rsidRPr="000E5B3A" w14:paraId="03A87EC1" w14:textId="77777777" w:rsidTr="00565EC1">
        <w:trPr>
          <w:trHeight w:val="20"/>
        </w:trPr>
        <w:tc>
          <w:tcPr>
            <w:tcW w:w="2407" w:type="pct"/>
            <w:vAlign w:val="center"/>
          </w:tcPr>
          <w:p w14:paraId="2A5636EA" w14:textId="77777777" w:rsidR="0003750B" w:rsidRPr="000E5B3A" w:rsidRDefault="0003750B" w:rsidP="008B4A43">
            <w:pPr>
              <w:pStyle w:val="TableText0"/>
              <w:widowControl w:val="0"/>
            </w:pPr>
            <w:r w:rsidRPr="000E5B3A">
              <w:t>Exponential</w:t>
            </w:r>
          </w:p>
        </w:tc>
        <w:tc>
          <w:tcPr>
            <w:tcW w:w="631" w:type="pct"/>
            <w:vAlign w:val="center"/>
          </w:tcPr>
          <w:p w14:paraId="48857A9C" w14:textId="4DE7E354"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43BD9713" w14:textId="77777777" w:rsidR="0003750B" w:rsidRPr="000E5B3A" w:rsidRDefault="0003750B" w:rsidP="008B4A43">
            <w:pPr>
              <w:pStyle w:val="TableText0"/>
              <w:widowControl w:val="0"/>
              <w:jc w:val="center"/>
            </w:pPr>
            <w:r w:rsidRPr="000E5B3A">
              <w:t>0.990</w:t>
            </w:r>
          </w:p>
        </w:tc>
        <w:tc>
          <w:tcPr>
            <w:tcW w:w="653" w:type="pct"/>
            <w:vAlign w:val="center"/>
          </w:tcPr>
          <w:p w14:paraId="5B599D07" w14:textId="7421E56B" w:rsidR="0003750B" w:rsidRPr="00D766F4" w:rsidRDefault="0003750B" w:rsidP="008B4A43">
            <w:pPr>
              <w:pStyle w:val="TableText0"/>
              <w:widowControl w:val="0"/>
              <w:jc w:val="center"/>
              <w:rPr>
                <w:vertAlign w:val="superscript"/>
              </w:rPr>
            </w:pPr>
            <w:r w:rsidRPr="000E5B3A">
              <w:t>$</w:t>
            </w:r>
            <w:r w:rsidR="009951A2" w:rsidRPr="009951A2">
              <w:rPr>
                <w:highlight w:val="black"/>
              </w:rPr>
              <w:t>&amp;&amp;&amp;&amp;</w:t>
            </w:r>
            <w:r w:rsidR="00D766F4">
              <w:rPr>
                <w:vertAlign w:val="superscript"/>
              </w:rPr>
              <w:t>4</w:t>
            </w:r>
          </w:p>
        </w:tc>
        <w:tc>
          <w:tcPr>
            <w:tcW w:w="678" w:type="pct"/>
            <w:vAlign w:val="center"/>
          </w:tcPr>
          <w:p w14:paraId="17E9E951" w14:textId="51FC0F88"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934E3E" w:rsidRPr="000E5B3A" w14:paraId="159FF1B7" w14:textId="77777777" w:rsidTr="00565EC1">
        <w:trPr>
          <w:trHeight w:val="20"/>
        </w:trPr>
        <w:tc>
          <w:tcPr>
            <w:tcW w:w="2407" w:type="pct"/>
            <w:tcBorders>
              <w:bottom w:val="single" w:sz="4" w:space="0" w:color="auto"/>
            </w:tcBorders>
            <w:vAlign w:val="center"/>
          </w:tcPr>
          <w:p w14:paraId="721359AC" w14:textId="44BB1802" w:rsidR="0003750B" w:rsidRPr="000E5B3A" w:rsidRDefault="0003750B" w:rsidP="008B4A43">
            <w:pPr>
              <w:pStyle w:val="TableText0"/>
              <w:widowControl w:val="0"/>
            </w:pPr>
            <w:r w:rsidRPr="000E5B3A">
              <w:t>Weibull</w:t>
            </w:r>
            <w:r w:rsidRPr="000E5B3A">
              <w:rPr>
                <w:vertAlign w:val="superscript"/>
              </w:rPr>
              <w:t xml:space="preserve"> </w:t>
            </w:r>
            <w:r w:rsidR="008032E6" w:rsidRPr="000E5B3A">
              <w:rPr>
                <w:vertAlign w:val="superscript"/>
              </w:rPr>
              <w:t>b</w:t>
            </w:r>
          </w:p>
        </w:tc>
        <w:tc>
          <w:tcPr>
            <w:tcW w:w="631" w:type="pct"/>
            <w:tcBorders>
              <w:bottom w:val="single" w:sz="4" w:space="0" w:color="auto"/>
            </w:tcBorders>
            <w:vAlign w:val="center"/>
          </w:tcPr>
          <w:p w14:paraId="6B641816" w14:textId="0B0DE243"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79FD06E4" w14:textId="77777777" w:rsidR="0003750B" w:rsidRPr="000E5B3A" w:rsidRDefault="0003750B" w:rsidP="008B4A43">
            <w:pPr>
              <w:pStyle w:val="TableText0"/>
              <w:widowControl w:val="0"/>
              <w:jc w:val="center"/>
            </w:pPr>
            <w:r w:rsidRPr="000E5B3A">
              <w:t>0.707</w:t>
            </w:r>
          </w:p>
        </w:tc>
        <w:tc>
          <w:tcPr>
            <w:tcW w:w="653" w:type="pct"/>
            <w:vAlign w:val="center"/>
          </w:tcPr>
          <w:p w14:paraId="7AFE3F40" w14:textId="5E7F5B9F"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06CD8625" w14:textId="094BEF59"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58372514" w14:textId="77777777" w:rsidTr="00565EC1">
        <w:trPr>
          <w:trHeight w:val="20"/>
        </w:trPr>
        <w:tc>
          <w:tcPr>
            <w:tcW w:w="2407" w:type="pct"/>
            <w:tcBorders>
              <w:bottom w:val="single" w:sz="4" w:space="0" w:color="auto"/>
            </w:tcBorders>
            <w:vAlign w:val="center"/>
          </w:tcPr>
          <w:p w14:paraId="3408BCC4" w14:textId="5FB1BF1F" w:rsidR="0003750B" w:rsidRPr="000E5B3A" w:rsidRDefault="0003750B" w:rsidP="008B4A43">
            <w:pPr>
              <w:pStyle w:val="TableText0"/>
              <w:widowControl w:val="0"/>
            </w:pPr>
            <w:r w:rsidRPr="000E5B3A">
              <w:t>Gompertz</w:t>
            </w:r>
            <w:r w:rsidR="008032E6" w:rsidRPr="000E5B3A">
              <w:rPr>
                <w:vertAlign w:val="superscript"/>
              </w:rPr>
              <w:t>b</w:t>
            </w:r>
          </w:p>
        </w:tc>
        <w:tc>
          <w:tcPr>
            <w:tcW w:w="631" w:type="pct"/>
            <w:tcBorders>
              <w:bottom w:val="single" w:sz="4" w:space="0" w:color="auto"/>
            </w:tcBorders>
            <w:vAlign w:val="center"/>
          </w:tcPr>
          <w:p w14:paraId="4E3E8963" w14:textId="01084058"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5029812B" w14:textId="77777777" w:rsidR="0003750B" w:rsidRPr="000E5B3A" w:rsidRDefault="0003750B" w:rsidP="008B4A43">
            <w:pPr>
              <w:pStyle w:val="TableText0"/>
              <w:widowControl w:val="0"/>
              <w:jc w:val="center"/>
            </w:pPr>
            <w:r w:rsidRPr="000E5B3A">
              <w:t>0.619</w:t>
            </w:r>
          </w:p>
        </w:tc>
        <w:tc>
          <w:tcPr>
            <w:tcW w:w="653" w:type="pct"/>
            <w:vAlign w:val="center"/>
          </w:tcPr>
          <w:p w14:paraId="634D1F2B" w14:textId="73B4E9C8" w:rsidR="0003750B" w:rsidRPr="00074865" w:rsidRDefault="0003750B" w:rsidP="008B4A43">
            <w:pPr>
              <w:pStyle w:val="TableText0"/>
              <w:widowControl w:val="0"/>
              <w:jc w:val="center"/>
              <w:rPr>
                <w:vertAlign w:val="superscript"/>
              </w:rPr>
            </w:pPr>
            <w:r w:rsidRPr="000E5B3A">
              <w:t>$</w:t>
            </w:r>
            <w:r w:rsidR="009951A2" w:rsidRPr="009951A2">
              <w:rPr>
                <w:highlight w:val="black"/>
              </w:rPr>
              <w:t>&amp;&amp;&amp;&amp;</w:t>
            </w:r>
            <w:r w:rsidR="00074865">
              <w:rPr>
                <w:vertAlign w:val="superscript"/>
              </w:rPr>
              <w:t>3</w:t>
            </w:r>
          </w:p>
        </w:tc>
        <w:tc>
          <w:tcPr>
            <w:tcW w:w="678" w:type="pct"/>
            <w:vAlign w:val="center"/>
          </w:tcPr>
          <w:p w14:paraId="20B19894" w14:textId="175868DA"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6B1F5B37" w14:textId="77777777">
        <w:trPr>
          <w:trHeight w:val="20"/>
        </w:trPr>
        <w:tc>
          <w:tcPr>
            <w:tcW w:w="5000" w:type="pct"/>
            <w:gridSpan w:val="5"/>
            <w:vAlign w:val="center"/>
          </w:tcPr>
          <w:p w14:paraId="59B7615F" w14:textId="77777777" w:rsidR="0003750B" w:rsidRPr="000E5B3A" w:rsidRDefault="0003750B" w:rsidP="008B4A43">
            <w:pPr>
              <w:pStyle w:val="TableText0"/>
              <w:widowControl w:val="0"/>
              <w:rPr>
                <w:b/>
                <w:bCs w:val="0"/>
              </w:rPr>
            </w:pPr>
            <w:r w:rsidRPr="000E5B3A">
              <w:rPr>
                <w:b/>
                <w:bCs w:val="0"/>
              </w:rPr>
              <w:t>Extrapolation assumptions (base case: no convergence)</w:t>
            </w:r>
          </w:p>
        </w:tc>
      </w:tr>
      <w:tr w:rsidR="00934E3E" w:rsidRPr="000E5B3A" w14:paraId="1D80F3A0" w14:textId="77777777" w:rsidTr="00565EC1">
        <w:trPr>
          <w:trHeight w:val="20"/>
        </w:trPr>
        <w:tc>
          <w:tcPr>
            <w:tcW w:w="2407" w:type="pct"/>
            <w:vAlign w:val="center"/>
          </w:tcPr>
          <w:p w14:paraId="2CFB47CA" w14:textId="77777777" w:rsidR="0003750B" w:rsidRPr="000E5B3A" w:rsidRDefault="0003750B" w:rsidP="008B4A43">
            <w:pPr>
              <w:pStyle w:val="TableText0"/>
              <w:widowControl w:val="0"/>
            </w:pPr>
            <w:r w:rsidRPr="000E5B3A">
              <w:t>PFS and OS risk convergence from 3 years</w:t>
            </w:r>
          </w:p>
        </w:tc>
        <w:tc>
          <w:tcPr>
            <w:tcW w:w="631" w:type="pct"/>
            <w:vAlign w:val="center"/>
          </w:tcPr>
          <w:p w14:paraId="3EFDDF22" w14:textId="66C4B1CB"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2C65F185" w14:textId="77777777" w:rsidR="0003750B" w:rsidRPr="000E5B3A" w:rsidRDefault="0003750B" w:rsidP="008B4A43">
            <w:pPr>
              <w:pStyle w:val="TableText0"/>
              <w:widowControl w:val="0"/>
              <w:jc w:val="center"/>
            </w:pPr>
            <w:r w:rsidRPr="000E5B3A">
              <w:t>0.673</w:t>
            </w:r>
          </w:p>
        </w:tc>
        <w:tc>
          <w:tcPr>
            <w:tcW w:w="653" w:type="pct"/>
            <w:vAlign w:val="center"/>
          </w:tcPr>
          <w:p w14:paraId="5DEF50CF" w14:textId="5FFB2AB5"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40FBF8B4" w14:textId="0CF98CAA"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62915282" w14:textId="77777777" w:rsidTr="00565EC1">
        <w:trPr>
          <w:trHeight w:val="20"/>
        </w:trPr>
        <w:tc>
          <w:tcPr>
            <w:tcW w:w="2407" w:type="pct"/>
            <w:tcBorders>
              <w:bottom w:val="single" w:sz="4" w:space="0" w:color="auto"/>
            </w:tcBorders>
            <w:vAlign w:val="center"/>
          </w:tcPr>
          <w:p w14:paraId="770EF99E" w14:textId="77777777" w:rsidR="0003750B" w:rsidRPr="000E5B3A" w:rsidRDefault="0003750B" w:rsidP="008B4A43">
            <w:pPr>
              <w:pStyle w:val="TableText0"/>
              <w:widowControl w:val="0"/>
            </w:pPr>
            <w:r w:rsidRPr="000E5B3A">
              <w:t>PFS and OS risk convergence from 5 years</w:t>
            </w:r>
          </w:p>
        </w:tc>
        <w:tc>
          <w:tcPr>
            <w:tcW w:w="631" w:type="pct"/>
            <w:tcBorders>
              <w:bottom w:val="single" w:sz="4" w:space="0" w:color="auto"/>
            </w:tcBorders>
            <w:vAlign w:val="center"/>
          </w:tcPr>
          <w:p w14:paraId="148B20F5" w14:textId="01B6A271"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387C028A" w14:textId="77777777" w:rsidR="0003750B" w:rsidRPr="000E5B3A" w:rsidRDefault="0003750B" w:rsidP="008B4A43">
            <w:pPr>
              <w:pStyle w:val="TableText0"/>
              <w:widowControl w:val="0"/>
              <w:jc w:val="center"/>
            </w:pPr>
            <w:r w:rsidRPr="000E5B3A">
              <w:t>0.754</w:t>
            </w:r>
          </w:p>
        </w:tc>
        <w:tc>
          <w:tcPr>
            <w:tcW w:w="653" w:type="pct"/>
            <w:vAlign w:val="center"/>
          </w:tcPr>
          <w:p w14:paraId="087A3011" w14:textId="649473E0"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5292BE09" w14:textId="3E20CFF4"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681C2911" w14:textId="77777777">
        <w:trPr>
          <w:trHeight w:val="20"/>
        </w:trPr>
        <w:tc>
          <w:tcPr>
            <w:tcW w:w="5000" w:type="pct"/>
            <w:gridSpan w:val="5"/>
            <w:vAlign w:val="center"/>
          </w:tcPr>
          <w:p w14:paraId="0F3E67AE" w14:textId="77777777" w:rsidR="0003750B" w:rsidRPr="000E5B3A" w:rsidRDefault="0003750B" w:rsidP="008B4A43">
            <w:pPr>
              <w:pStyle w:val="TableText0"/>
              <w:widowControl w:val="0"/>
              <w:rPr>
                <w:b/>
              </w:rPr>
            </w:pPr>
            <w:r w:rsidRPr="000E5B3A">
              <w:rPr>
                <w:b/>
              </w:rPr>
              <w:t xml:space="preserve">Utility values (base </w:t>
            </w:r>
            <w:r w:rsidRPr="00086526">
              <w:rPr>
                <w:b/>
              </w:rPr>
              <w:t>case: PF = 0.872; PD = 0.769)</w:t>
            </w:r>
          </w:p>
        </w:tc>
      </w:tr>
      <w:tr w:rsidR="00934E3E" w:rsidRPr="000E5B3A" w14:paraId="342FD4E0" w14:textId="77777777" w:rsidTr="00565EC1">
        <w:trPr>
          <w:trHeight w:val="20"/>
        </w:trPr>
        <w:tc>
          <w:tcPr>
            <w:tcW w:w="2407" w:type="pct"/>
            <w:vAlign w:val="center"/>
          </w:tcPr>
          <w:p w14:paraId="678AE2AF" w14:textId="77777777" w:rsidR="0003750B" w:rsidRPr="000E5B3A" w:rsidRDefault="0003750B" w:rsidP="008B4A43">
            <w:pPr>
              <w:pStyle w:val="TableText0"/>
              <w:widowControl w:val="0"/>
            </w:pPr>
            <w:r w:rsidRPr="000E5B3A">
              <w:t>March 2022 HNSCC pembrolizumab PSD (PF = 0.787; PD = 0.707)</w:t>
            </w:r>
          </w:p>
        </w:tc>
        <w:tc>
          <w:tcPr>
            <w:tcW w:w="631" w:type="pct"/>
            <w:vAlign w:val="center"/>
          </w:tcPr>
          <w:p w14:paraId="5627495C" w14:textId="42FFADE2"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3C363CF1" w14:textId="77777777" w:rsidR="0003750B" w:rsidRPr="000E5B3A" w:rsidRDefault="0003750B" w:rsidP="008B4A43">
            <w:pPr>
              <w:pStyle w:val="TableText0"/>
              <w:widowControl w:val="0"/>
              <w:jc w:val="center"/>
            </w:pPr>
            <w:r w:rsidRPr="000E5B3A">
              <w:t>0.713</w:t>
            </w:r>
          </w:p>
        </w:tc>
        <w:tc>
          <w:tcPr>
            <w:tcW w:w="653" w:type="pct"/>
            <w:vAlign w:val="center"/>
          </w:tcPr>
          <w:p w14:paraId="07CCC052" w14:textId="59586FE8"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54FACA4D" w14:textId="4D50EE26"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07355D04" w14:textId="77777777" w:rsidTr="00565EC1">
        <w:trPr>
          <w:trHeight w:val="20"/>
        </w:trPr>
        <w:tc>
          <w:tcPr>
            <w:tcW w:w="2407" w:type="pct"/>
            <w:vAlign w:val="center"/>
          </w:tcPr>
          <w:p w14:paraId="4FDA9135" w14:textId="37D39130" w:rsidR="0003750B" w:rsidRPr="000E5B3A" w:rsidRDefault="0003750B" w:rsidP="008B4A43">
            <w:pPr>
              <w:pStyle w:val="TableText0"/>
              <w:widowControl w:val="0"/>
            </w:pPr>
            <w:r w:rsidRPr="000E5B3A">
              <w:t>July 2021 OSCC nivolumab PSD (immunotherapy PF = 0.796; chemotherapy PF = 0.737; PD = 0.551)</w:t>
            </w:r>
          </w:p>
        </w:tc>
        <w:tc>
          <w:tcPr>
            <w:tcW w:w="631" w:type="pct"/>
            <w:vAlign w:val="center"/>
          </w:tcPr>
          <w:p w14:paraId="0F01916C" w14:textId="3A7F6930"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4A3496AE" w14:textId="77777777" w:rsidR="0003750B" w:rsidRPr="000E5B3A" w:rsidRDefault="0003750B" w:rsidP="008B4A43">
            <w:pPr>
              <w:pStyle w:val="TableText0"/>
              <w:widowControl w:val="0"/>
              <w:jc w:val="center"/>
            </w:pPr>
            <w:r w:rsidRPr="000E5B3A">
              <w:t>0.710</w:t>
            </w:r>
          </w:p>
        </w:tc>
        <w:tc>
          <w:tcPr>
            <w:tcW w:w="653" w:type="pct"/>
            <w:vAlign w:val="center"/>
          </w:tcPr>
          <w:p w14:paraId="5E855EC3" w14:textId="3FE64D18"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3D91389B" w14:textId="08932907"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5A68F6CB" w14:textId="77777777">
        <w:trPr>
          <w:trHeight w:val="20"/>
        </w:trPr>
        <w:tc>
          <w:tcPr>
            <w:tcW w:w="5000" w:type="pct"/>
            <w:gridSpan w:val="5"/>
            <w:vAlign w:val="center"/>
          </w:tcPr>
          <w:p w14:paraId="253E199A" w14:textId="50676DAE" w:rsidR="0003750B" w:rsidRPr="000E5B3A" w:rsidRDefault="0003750B" w:rsidP="008B4A43">
            <w:pPr>
              <w:pStyle w:val="TableText0"/>
              <w:widowControl w:val="0"/>
              <w:rPr>
                <w:b/>
                <w:bCs w:val="0"/>
              </w:rPr>
            </w:pPr>
            <w:r w:rsidRPr="000E5B3A">
              <w:rPr>
                <w:b/>
                <w:bCs w:val="0"/>
              </w:rPr>
              <w:t xml:space="preserve">Doses per course of treatment (base case: median doses </w:t>
            </w:r>
            <w:r w:rsidR="00AC0CD9" w:rsidRPr="000E5B3A">
              <w:rPr>
                <w:b/>
                <w:bCs w:val="0"/>
              </w:rPr>
              <w:t xml:space="preserve">from </w:t>
            </w:r>
            <w:r w:rsidRPr="000E5B3A">
              <w:rPr>
                <w:b/>
                <w:bCs w:val="0"/>
              </w:rPr>
              <w:t>POD1UM-303</w:t>
            </w:r>
            <w:r w:rsidR="00AC0CD9" w:rsidRPr="000E5B3A">
              <w:rPr>
                <w:b/>
                <w:bCs w:val="0"/>
              </w:rPr>
              <w:t xml:space="preserve"> = 9 doses of retifanlimab, 6 doses of carboplatin and 15 doses of paclitaxel for both treatment arms</w:t>
            </w:r>
            <w:r w:rsidRPr="000E5B3A">
              <w:rPr>
                <w:b/>
                <w:bCs w:val="0"/>
              </w:rPr>
              <w:t>)</w:t>
            </w:r>
          </w:p>
        </w:tc>
      </w:tr>
      <w:tr w:rsidR="00934E3E" w:rsidRPr="000E5B3A" w14:paraId="03CC852A" w14:textId="77777777" w:rsidTr="00565EC1">
        <w:trPr>
          <w:trHeight w:val="20"/>
        </w:trPr>
        <w:tc>
          <w:tcPr>
            <w:tcW w:w="2407" w:type="pct"/>
            <w:vAlign w:val="center"/>
          </w:tcPr>
          <w:p w14:paraId="07D0BF63" w14:textId="4AD78921" w:rsidR="0003750B" w:rsidRPr="000E5B3A" w:rsidRDefault="0003750B" w:rsidP="008B4A43">
            <w:pPr>
              <w:pStyle w:val="TableText0"/>
              <w:widowControl w:val="0"/>
            </w:pPr>
            <w:r w:rsidRPr="000E5B3A">
              <w:t xml:space="preserve">Mean doses POD1UM-303 </w:t>
            </w:r>
            <w:r w:rsidR="008032E6" w:rsidRPr="000E5B3A">
              <w:rPr>
                <w:vertAlign w:val="superscript"/>
              </w:rPr>
              <w:t>c</w:t>
            </w:r>
          </w:p>
        </w:tc>
        <w:tc>
          <w:tcPr>
            <w:tcW w:w="631" w:type="pct"/>
            <w:vAlign w:val="center"/>
          </w:tcPr>
          <w:p w14:paraId="6E4AF32E" w14:textId="71A46AC1"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4C603115" w14:textId="77777777" w:rsidR="0003750B" w:rsidRPr="000E5B3A" w:rsidRDefault="0003750B" w:rsidP="008B4A43">
            <w:pPr>
              <w:pStyle w:val="TableText0"/>
              <w:widowControl w:val="0"/>
              <w:jc w:val="center"/>
            </w:pPr>
            <w:r w:rsidRPr="000E5B3A">
              <w:t>0.784</w:t>
            </w:r>
          </w:p>
        </w:tc>
        <w:tc>
          <w:tcPr>
            <w:tcW w:w="653" w:type="pct"/>
            <w:vAlign w:val="center"/>
          </w:tcPr>
          <w:p w14:paraId="2147D8C2" w14:textId="62E4B005"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5C53540E" w14:textId="41C04762"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934E3E" w:rsidRPr="000E5B3A" w14:paraId="13ADB2F9" w14:textId="77777777" w:rsidTr="00565EC1">
        <w:trPr>
          <w:trHeight w:val="20"/>
        </w:trPr>
        <w:tc>
          <w:tcPr>
            <w:tcW w:w="2407" w:type="pct"/>
            <w:vAlign w:val="center"/>
          </w:tcPr>
          <w:p w14:paraId="6A29C962" w14:textId="1BE245C1" w:rsidR="0003750B" w:rsidRPr="000E5B3A" w:rsidRDefault="0003750B" w:rsidP="008B4A43">
            <w:pPr>
              <w:pStyle w:val="TableText0"/>
              <w:widowControl w:val="0"/>
              <w:rPr>
                <w:vertAlign w:val="superscript"/>
              </w:rPr>
            </w:pPr>
            <w:r w:rsidRPr="000E5B3A">
              <w:t xml:space="preserve">Using PFS to inform </w:t>
            </w:r>
            <w:r w:rsidR="003504FD" w:rsidRPr="000E5B3A">
              <w:t>ToT</w:t>
            </w:r>
            <w:r w:rsidRPr="000E5B3A">
              <w:t xml:space="preserve"> with retifanlimab </w:t>
            </w:r>
            <w:r w:rsidR="008032E6" w:rsidRPr="000E5B3A">
              <w:rPr>
                <w:vertAlign w:val="superscript"/>
              </w:rPr>
              <w:t>d</w:t>
            </w:r>
          </w:p>
        </w:tc>
        <w:tc>
          <w:tcPr>
            <w:tcW w:w="631" w:type="pct"/>
            <w:vAlign w:val="center"/>
          </w:tcPr>
          <w:p w14:paraId="601F9795" w14:textId="14C3A829"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370706F2" w14:textId="77777777" w:rsidR="0003750B" w:rsidRPr="000E5B3A" w:rsidRDefault="0003750B" w:rsidP="008B4A43">
            <w:pPr>
              <w:pStyle w:val="TableText0"/>
              <w:widowControl w:val="0"/>
              <w:jc w:val="center"/>
            </w:pPr>
            <w:r w:rsidRPr="000E5B3A">
              <w:t>0.784</w:t>
            </w:r>
          </w:p>
        </w:tc>
        <w:tc>
          <w:tcPr>
            <w:tcW w:w="653" w:type="pct"/>
            <w:vAlign w:val="center"/>
          </w:tcPr>
          <w:p w14:paraId="23A24742" w14:textId="5817523F" w:rsidR="0003750B" w:rsidRPr="00074865" w:rsidRDefault="0003750B" w:rsidP="008B4A43">
            <w:pPr>
              <w:pStyle w:val="TableText0"/>
              <w:widowControl w:val="0"/>
              <w:jc w:val="center"/>
              <w:rPr>
                <w:vertAlign w:val="superscript"/>
              </w:rPr>
            </w:pPr>
            <w:r w:rsidRPr="000E5B3A">
              <w:t>$</w:t>
            </w:r>
            <w:r w:rsidR="009951A2" w:rsidRPr="009951A2">
              <w:rPr>
                <w:highlight w:val="black"/>
              </w:rPr>
              <w:t>&amp;&amp;&amp;&amp;</w:t>
            </w:r>
            <w:r w:rsidR="00074865">
              <w:rPr>
                <w:vertAlign w:val="superscript"/>
              </w:rPr>
              <w:t>2</w:t>
            </w:r>
          </w:p>
        </w:tc>
        <w:tc>
          <w:tcPr>
            <w:tcW w:w="678" w:type="pct"/>
            <w:vAlign w:val="center"/>
          </w:tcPr>
          <w:p w14:paraId="2394848C" w14:textId="559A8141"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465A64EF" w14:textId="77777777" w:rsidTr="00565EC1">
        <w:trPr>
          <w:trHeight w:val="20"/>
        </w:trPr>
        <w:tc>
          <w:tcPr>
            <w:tcW w:w="2407" w:type="pct"/>
            <w:vAlign w:val="center"/>
          </w:tcPr>
          <w:p w14:paraId="09B7B235" w14:textId="77777777" w:rsidR="0003750B" w:rsidRPr="000E5B3A" w:rsidRDefault="0003750B" w:rsidP="008B4A43">
            <w:pPr>
              <w:pStyle w:val="TableText0"/>
              <w:widowControl w:val="0"/>
            </w:pPr>
            <w:r w:rsidRPr="000E5B3A">
              <w:t>13 infusions of retifanlimab (maximum allowed under proposed restriction)</w:t>
            </w:r>
          </w:p>
        </w:tc>
        <w:tc>
          <w:tcPr>
            <w:tcW w:w="631" w:type="pct"/>
            <w:vAlign w:val="center"/>
          </w:tcPr>
          <w:p w14:paraId="673C541F" w14:textId="5229E4BF"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1074244C" w14:textId="77777777" w:rsidR="0003750B" w:rsidRPr="000E5B3A" w:rsidRDefault="0003750B" w:rsidP="008B4A43">
            <w:pPr>
              <w:pStyle w:val="TableText0"/>
              <w:widowControl w:val="0"/>
              <w:jc w:val="center"/>
            </w:pPr>
            <w:r w:rsidRPr="000E5B3A">
              <w:t>0.784</w:t>
            </w:r>
          </w:p>
        </w:tc>
        <w:tc>
          <w:tcPr>
            <w:tcW w:w="653" w:type="pct"/>
            <w:vAlign w:val="center"/>
          </w:tcPr>
          <w:p w14:paraId="52A134D3" w14:textId="2BC7CD97" w:rsidR="0003750B" w:rsidRPr="00D332F0" w:rsidRDefault="0003750B" w:rsidP="008B4A43">
            <w:pPr>
              <w:pStyle w:val="TableText0"/>
              <w:widowControl w:val="0"/>
              <w:jc w:val="center"/>
              <w:rPr>
                <w:vertAlign w:val="superscript"/>
              </w:rPr>
            </w:pPr>
            <w:r w:rsidRPr="000E5B3A">
              <w:t>$</w:t>
            </w:r>
            <w:r w:rsidR="009951A2" w:rsidRPr="009951A2">
              <w:rPr>
                <w:highlight w:val="black"/>
              </w:rPr>
              <w:t>&amp;&amp;&amp;&amp;</w:t>
            </w:r>
            <w:r w:rsidR="00D332F0">
              <w:rPr>
                <w:vertAlign w:val="superscript"/>
              </w:rPr>
              <w:t>5</w:t>
            </w:r>
          </w:p>
        </w:tc>
        <w:tc>
          <w:tcPr>
            <w:tcW w:w="678" w:type="pct"/>
            <w:vAlign w:val="center"/>
          </w:tcPr>
          <w:p w14:paraId="0D746BDB" w14:textId="0F4BD1C1" w:rsidR="0003750B" w:rsidRPr="000E5B3A" w:rsidRDefault="009951A2" w:rsidP="008B4A43">
            <w:pPr>
              <w:pStyle w:val="TableText0"/>
              <w:widowControl w:val="0"/>
              <w:jc w:val="center"/>
            </w:pPr>
            <w:r w:rsidRPr="009951A2">
              <w:rPr>
                <w:highlight w:val="black"/>
              </w:rPr>
              <w:t>&amp;&amp;&amp;&amp;</w:t>
            </w:r>
            <w:r w:rsidR="0003750B" w:rsidRPr="000E5B3A">
              <w:t>%</w:t>
            </w:r>
          </w:p>
        </w:tc>
      </w:tr>
    </w:tbl>
    <w:p w14:paraId="40372216" w14:textId="77777777" w:rsidR="0003750B" w:rsidRPr="000E5B3A" w:rsidRDefault="0003750B" w:rsidP="008B4A43">
      <w:pPr>
        <w:pStyle w:val="TableFigureFooter"/>
        <w:keepNext/>
      </w:pPr>
      <w:r w:rsidRPr="000E5B3A">
        <w:t>Source: Tables 89, 90, 91, 92, pp157-160 of the submission and Retifanlimab_SCAC_CUA.xlsx.</w:t>
      </w:r>
    </w:p>
    <w:p w14:paraId="1E237C63" w14:textId="3D71AACD" w:rsidR="0003750B" w:rsidRPr="000E5B3A" w:rsidRDefault="0003750B" w:rsidP="008B4A43">
      <w:pPr>
        <w:pStyle w:val="TableFigureFooter"/>
        <w:keepNext/>
      </w:pPr>
      <w:r w:rsidRPr="000E5B3A">
        <w:t>CP = chemotherapy; HNSCC = head and neck squamous cell carcinoma; ICER = incremental cost-effectiveness ratio; IPCW = inverse probability of censoring weighting; ITT = intention-to-treat; OS = overall survival; OSCC = oesophageal squamous cell carcinoma; PD = progressive disease; PF = progression-free; PFS = progression-free survival; PSD = public summary document; QALY = quality adjusted life year; RPSFT = rank preserving structural failure time; SCAC = squamous cell anal carcinoma</w:t>
      </w:r>
      <w:r w:rsidR="00793530" w:rsidRPr="000E5B3A">
        <w:t>; ToT = Time on Treatment</w:t>
      </w:r>
    </w:p>
    <w:p w14:paraId="6B17F9D7" w14:textId="51B0D6B7" w:rsidR="008032E6" w:rsidRPr="000E5B3A" w:rsidRDefault="008032E6" w:rsidP="008B4A43">
      <w:pPr>
        <w:pStyle w:val="TableFigureFooter"/>
        <w:keepNext/>
      </w:pPr>
      <w:r w:rsidRPr="000E5B3A">
        <w:rPr>
          <w:vertAlign w:val="superscript"/>
        </w:rPr>
        <w:t>a</w:t>
      </w:r>
      <w:r w:rsidRPr="000E5B3A">
        <w:t xml:space="preserve"> No second-line retifanlimab drug costs included in scenario.</w:t>
      </w:r>
    </w:p>
    <w:p w14:paraId="6D582524" w14:textId="03AD3A52" w:rsidR="0003750B" w:rsidRPr="000E5B3A" w:rsidRDefault="008032E6" w:rsidP="008B4A43">
      <w:pPr>
        <w:pStyle w:val="TableFigureFooter"/>
        <w:keepNext/>
      </w:pPr>
      <w:r w:rsidRPr="000E5B3A">
        <w:rPr>
          <w:vertAlign w:val="superscript"/>
        </w:rPr>
        <w:t>b</w:t>
      </w:r>
      <w:r w:rsidRPr="000E5B3A">
        <w:t xml:space="preserve"> </w:t>
      </w:r>
      <w:r w:rsidR="001B2605" w:rsidRPr="000E5B3A">
        <w:t>S</w:t>
      </w:r>
      <w:r w:rsidR="00717924" w:rsidRPr="000E5B3A">
        <w:t>ubmission claimed that Gompertz and Weibull models are likely to underestimate long-term survival, as both models estimate less than 6% survival at 5 years in the CP arm (&lt;1% by 8 years) compared to 5-year survival of 10-20% reported for metastatic SCAC in clinical practice (Cancer Research UK 2025; Dewdney 2012).</w:t>
      </w:r>
    </w:p>
    <w:p w14:paraId="6995B96E" w14:textId="18BD4BCA" w:rsidR="0003750B" w:rsidRPr="000E5B3A" w:rsidRDefault="008032E6" w:rsidP="008B4A43">
      <w:pPr>
        <w:pStyle w:val="TableFigureFooter"/>
        <w:keepNext/>
      </w:pPr>
      <w:r w:rsidRPr="000E5B3A">
        <w:rPr>
          <w:vertAlign w:val="superscript"/>
        </w:rPr>
        <w:t>c</w:t>
      </w:r>
      <w:r w:rsidRPr="000E5B3A">
        <w:t xml:space="preserve"> </w:t>
      </w:r>
      <w:r w:rsidR="00717924" w:rsidRPr="000E5B3A">
        <w:t>Retifanlimab: 8.5 doses; Carboplatin: RET+CP arm 5.2 doses, CP arm 5.0 doses; Paclitaxel: RET+CP and CP arms 13.4 doses.</w:t>
      </w:r>
    </w:p>
    <w:p w14:paraId="2BA767B4" w14:textId="136AFA9D" w:rsidR="00E251AC" w:rsidRDefault="008032E6" w:rsidP="00E251AC">
      <w:pPr>
        <w:pStyle w:val="TableFigureFooter"/>
        <w:rPr>
          <w:i/>
          <w:szCs w:val="18"/>
        </w:rPr>
      </w:pPr>
      <w:r w:rsidRPr="000E5B3A">
        <w:rPr>
          <w:vertAlign w:val="superscript"/>
        </w:rPr>
        <w:t>d</w:t>
      </w:r>
      <w:r w:rsidRPr="000E5B3A">
        <w:t xml:space="preserve"> </w:t>
      </w:r>
      <w:r w:rsidR="00717924" w:rsidRPr="000E5B3A">
        <w:t>Total cost for retifanlimab for 13 cycles calculated to be $</w:t>
      </w:r>
      <w:r w:rsidR="009951A2" w:rsidRPr="009951A2">
        <w:rPr>
          <w:highlight w:val="black"/>
        </w:rPr>
        <w:t>&amp;&amp;&amp;&amp;</w:t>
      </w:r>
      <w:r w:rsidR="00717924" w:rsidRPr="000E5B3A">
        <w:t>.</w:t>
      </w:r>
    </w:p>
    <w:p w14:paraId="7DD4B270" w14:textId="485623C7" w:rsidR="00E251AC" w:rsidRPr="00E251AC" w:rsidRDefault="00E251AC" w:rsidP="00E251AC">
      <w:pPr>
        <w:pStyle w:val="TableFigureFooter"/>
        <w:rPr>
          <w:i/>
        </w:rPr>
      </w:pPr>
      <w:r w:rsidRPr="00E251AC">
        <w:rPr>
          <w:i/>
        </w:rPr>
        <w:t xml:space="preserve">The redacted values correspond to the following ranges: </w:t>
      </w:r>
    </w:p>
    <w:p w14:paraId="63CE6567" w14:textId="3A016A8B" w:rsidR="00E251AC" w:rsidRPr="00E251AC" w:rsidRDefault="00E251AC" w:rsidP="00E251AC">
      <w:pPr>
        <w:pStyle w:val="TableFigureFooter"/>
        <w:rPr>
          <w:i/>
        </w:rPr>
      </w:pPr>
      <w:r w:rsidRPr="00E251AC">
        <w:rPr>
          <w:i/>
          <w:vertAlign w:val="superscript"/>
        </w:rPr>
        <w:t>1</w:t>
      </w:r>
      <w:r w:rsidRPr="00E251AC">
        <w:rPr>
          <w:i/>
        </w:rPr>
        <w:t xml:space="preserve"> </w:t>
      </w:r>
      <w:r w:rsidR="001F65F2" w:rsidRPr="001F65F2">
        <w:rPr>
          <w:i/>
        </w:rPr>
        <w:t>$75,000 to &lt; $95,000</w:t>
      </w:r>
    </w:p>
    <w:p w14:paraId="0014FDDC" w14:textId="3C8E146C" w:rsidR="00E251AC" w:rsidRPr="00E251AC" w:rsidRDefault="00E251AC" w:rsidP="00E251AC">
      <w:pPr>
        <w:pStyle w:val="TableFigureFooter"/>
        <w:rPr>
          <w:i/>
          <w:vertAlign w:val="superscript"/>
        </w:rPr>
      </w:pPr>
      <w:r w:rsidRPr="00E251AC">
        <w:rPr>
          <w:i/>
          <w:vertAlign w:val="superscript"/>
        </w:rPr>
        <w:t>2</w:t>
      </w:r>
      <w:r w:rsidRPr="00E251AC">
        <w:rPr>
          <w:i/>
        </w:rPr>
        <w:t xml:space="preserve"> </w:t>
      </w:r>
      <w:r w:rsidR="002F6D1C" w:rsidRPr="002F6D1C">
        <w:rPr>
          <w:i/>
        </w:rPr>
        <w:t>$95,000 to &lt; $115,000</w:t>
      </w:r>
    </w:p>
    <w:p w14:paraId="405B8171" w14:textId="02884E01" w:rsidR="00E251AC" w:rsidRPr="00E251AC" w:rsidRDefault="00E251AC" w:rsidP="00E251AC">
      <w:pPr>
        <w:pStyle w:val="TableFigureFooter"/>
        <w:rPr>
          <w:i/>
        </w:rPr>
      </w:pPr>
      <w:r w:rsidRPr="00E251AC">
        <w:rPr>
          <w:i/>
          <w:vertAlign w:val="superscript"/>
        </w:rPr>
        <w:t>3</w:t>
      </w:r>
      <w:r w:rsidRPr="00E251AC">
        <w:rPr>
          <w:i/>
        </w:rPr>
        <w:t xml:space="preserve"> </w:t>
      </w:r>
      <w:r w:rsidR="00074865" w:rsidRPr="00074865">
        <w:rPr>
          <w:i/>
        </w:rPr>
        <w:t>$115,000 to &lt; $135,000</w:t>
      </w:r>
    </w:p>
    <w:p w14:paraId="11819F73" w14:textId="3DFC1E9C" w:rsidR="00E251AC" w:rsidRPr="00E251AC" w:rsidRDefault="00E251AC" w:rsidP="00E251AC">
      <w:pPr>
        <w:pStyle w:val="TableFigureFooter"/>
        <w:rPr>
          <w:i/>
        </w:rPr>
      </w:pPr>
      <w:r w:rsidRPr="00E251AC">
        <w:rPr>
          <w:i/>
          <w:vertAlign w:val="superscript"/>
        </w:rPr>
        <w:t>4</w:t>
      </w:r>
      <w:r w:rsidRPr="00E251AC">
        <w:rPr>
          <w:i/>
        </w:rPr>
        <w:t xml:space="preserve"> </w:t>
      </w:r>
      <w:r w:rsidR="00D766F4" w:rsidRPr="00D766F4">
        <w:rPr>
          <w:i/>
        </w:rPr>
        <w:t xml:space="preserve">$55,000 to &lt; $75,000 </w:t>
      </w:r>
    </w:p>
    <w:p w14:paraId="7B98B6C0" w14:textId="0A1B3EA3" w:rsidR="00E251AC" w:rsidRPr="00E251AC" w:rsidRDefault="00E251AC" w:rsidP="00E251AC">
      <w:pPr>
        <w:pStyle w:val="TableFigureFooter"/>
        <w:rPr>
          <w:i/>
        </w:rPr>
      </w:pPr>
      <w:r w:rsidRPr="00E251AC">
        <w:rPr>
          <w:i/>
          <w:vertAlign w:val="superscript"/>
        </w:rPr>
        <w:t>5</w:t>
      </w:r>
      <w:r w:rsidRPr="00E251AC">
        <w:rPr>
          <w:i/>
        </w:rPr>
        <w:t xml:space="preserve"> </w:t>
      </w:r>
      <w:bookmarkStart w:id="78" w:name="_Hlk219202454"/>
      <w:r w:rsidR="00D332F0" w:rsidRPr="00D332F0">
        <w:rPr>
          <w:i/>
        </w:rPr>
        <w:t>$135,000 to &lt; $155,000</w:t>
      </w:r>
      <w:bookmarkEnd w:id="78"/>
    </w:p>
    <w:p w14:paraId="2FF7ABC5" w14:textId="2CA7EFB8" w:rsidR="0003750B" w:rsidRPr="000E5B3A" w:rsidRDefault="0003750B" w:rsidP="0003750B">
      <w:pPr>
        <w:pStyle w:val="TableFigureFooter"/>
      </w:pPr>
    </w:p>
    <w:p w14:paraId="352E3C41" w14:textId="77777777" w:rsidR="00717924" w:rsidRPr="000E5B3A" w:rsidRDefault="00717924" w:rsidP="00757F2A">
      <w:pPr>
        <w:pStyle w:val="TableFigureFooter"/>
        <w:keepLines w:val="0"/>
      </w:pPr>
    </w:p>
    <w:p w14:paraId="0C174F45" w14:textId="45673E5C" w:rsidR="0003750B" w:rsidRPr="000E5B3A" w:rsidRDefault="0003750B" w:rsidP="00757F2A">
      <w:pPr>
        <w:pStyle w:val="Caption"/>
        <w:rPr>
          <w:rStyle w:val="CommentReference"/>
          <w:b/>
          <w:szCs w:val="24"/>
        </w:rPr>
      </w:pPr>
      <w:bookmarkStart w:id="79" w:name="_Ref207830128"/>
      <w:r w:rsidRPr="000E5B3A">
        <w:lastRenderedPageBreak/>
        <w:t xml:space="preserve">Table </w:t>
      </w:r>
      <w:fldSimple w:instr=" SEQ Table \* ARABIC ">
        <w:r w:rsidR="00DB6E72">
          <w:rPr>
            <w:noProof/>
          </w:rPr>
          <w:t>14</w:t>
        </w:r>
      </w:fldSimple>
      <w:bookmarkEnd w:id="79"/>
      <w:r w:rsidRPr="000E5B3A">
        <w:t>:</w:t>
      </w:r>
      <w:r w:rsidRPr="000E5B3A">
        <w:rPr>
          <w:rStyle w:val="CommentReference"/>
          <w:b/>
          <w:szCs w:val="24"/>
        </w:rPr>
        <w:t xml:space="preserve"> Multivariate sensitivity analyses</w:t>
      </w:r>
      <w:r w:rsidR="007230BF" w:rsidRPr="000E5B3A">
        <w:rPr>
          <w:rStyle w:val="CommentReference"/>
          <w:b/>
          <w:szCs w:val="24"/>
        </w:rPr>
        <w:t xml:space="preserve"> using different Gebski criteria (with </w:t>
      </w:r>
      <w:r w:rsidR="00301405" w:rsidRPr="000E5B3A">
        <w:rPr>
          <w:rStyle w:val="CommentReference"/>
          <w:b/>
          <w:szCs w:val="24"/>
        </w:rPr>
        <w:t>no crossover adjustment for OS, risk convergence from 5 years and a 10 year time horizon)</w:t>
      </w:r>
    </w:p>
    <w:tbl>
      <w:tblPr>
        <w:tblStyle w:val="TableGrid"/>
        <w:tblW w:w="5000" w:type="pct"/>
        <w:tblLook w:val="04A0" w:firstRow="1" w:lastRow="0" w:firstColumn="1" w:lastColumn="0" w:noHBand="0" w:noVBand="1"/>
        <w:tblCaption w:val="Table 14: Multivariate sensitivity analyses using different Gebski criteria (with no crossover adjustment for OS, risk convergence from 5 years and a 10 year time horizon)"/>
      </w:tblPr>
      <w:tblGrid>
        <w:gridCol w:w="4525"/>
        <w:gridCol w:w="1138"/>
        <w:gridCol w:w="1138"/>
        <w:gridCol w:w="902"/>
        <w:gridCol w:w="1313"/>
      </w:tblGrid>
      <w:tr w:rsidR="00565EC1" w:rsidRPr="000E5B3A" w14:paraId="10D49733" w14:textId="77777777" w:rsidTr="00D201FF">
        <w:trPr>
          <w:trHeight w:val="20"/>
        </w:trPr>
        <w:tc>
          <w:tcPr>
            <w:tcW w:w="2509" w:type="pct"/>
            <w:tcBorders>
              <w:bottom w:val="single" w:sz="4" w:space="0" w:color="auto"/>
            </w:tcBorders>
            <w:vAlign w:val="center"/>
          </w:tcPr>
          <w:p w14:paraId="41FAC8B2" w14:textId="77777777" w:rsidR="00B43F86" w:rsidRPr="000E5B3A" w:rsidRDefault="00B43F86" w:rsidP="00757F2A">
            <w:pPr>
              <w:pStyle w:val="In-tableHeading"/>
              <w:widowControl w:val="0"/>
              <w:rPr>
                <w:lang w:val="en-AU"/>
              </w:rPr>
            </w:pPr>
            <w:r w:rsidRPr="000E5B3A">
              <w:rPr>
                <w:lang w:val="en-AU"/>
              </w:rPr>
              <w:t>Analyses</w:t>
            </w:r>
          </w:p>
        </w:tc>
        <w:tc>
          <w:tcPr>
            <w:tcW w:w="631" w:type="pct"/>
            <w:tcBorders>
              <w:bottom w:val="single" w:sz="4" w:space="0" w:color="auto"/>
            </w:tcBorders>
            <w:vAlign w:val="center"/>
          </w:tcPr>
          <w:p w14:paraId="4CF238B1" w14:textId="77777777" w:rsidR="00B43F86" w:rsidRPr="000E5B3A" w:rsidRDefault="00B43F86" w:rsidP="00757F2A">
            <w:pPr>
              <w:pStyle w:val="In-tableHeading"/>
              <w:widowControl w:val="0"/>
              <w:rPr>
                <w:lang w:val="en-AU"/>
              </w:rPr>
            </w:pPr>
            <w:r w:rsidRPr="000E5B3A">
              <w:rPr>
                <w:lang w:val="en-AU"/>
              </w:rPr>
              <w:t>Incremental costs</w:t>
            </w:r>
          </w:p>
        </w:tc>
        <w:tc>
          <w:tcPr>
            <w:tcW w:w="631" w:type="pct"/>
            <w:tcBorders>
              <w:bottom w:val="single" w:sz="4" w:space="0" w:color="auto"/>
            </w:tcBorders>
            <w:vAlign w:val="center"/>
          </w:tcPr>
          <w:p w14:paraId="0375CAF3" w14:textId="77777777" w:rsidR="00B43F86" w:rsidRPr="000E5B3A" w:rsidRDefault="00B43F86" w:rsidP="00757F2A">
            <w:pPr>
              <w:pStyle w:val="In-tableHeading"/>
              <w:widowControl w:val="0"/>
              <w:rPr>
                <w:lang w:val="en-AU"/>
              </w:rPr>
            </w:pPr>
            <w:r w:rsidRPr="000E5B3A">
              <w:rPr>
                <w:lang w:val="en-AU"/>
              </w:rPr>
              <w:t>Incremental QALYs</w:t>
            </w:r>
          </w:p>
        </w:tc>
        <w:tc>
          <w:tcPr>
            <w:tcW w:w="500" w:type="pct"/>
            <w:tcBorders>
              <w:bottom w:val="single" w:sz="4" w:space="0" w:color="auto"/>
            </w:tcBorders>
            <w:vAlign w:val="center"/>
          </w:tcPr>
          <w:p w14:paraId="58F78E4A" w14:textId="77777777" w:rsidR="00B43F86" w:rsidRPr="000E5B3A" w:rsidRDefault="00B43F86" w:rsidP="00757F2A">
            <w:pPr>
              <w:pStyle w:val="In-tableHeading"/>
              <w:widowControl w:val="0"/>
              <w:rPr>
                <w:lang w:val="en-AU"/>
              </w:rPr>
            </w:pPr>
            <w:r w:rsidRPr="000E5B3A">
              <w:rPr>
                <w:lang w:val="en-AU"/>
              </w:rPr>
              <w:t>ICER</w:t>
            </w:r>
          </w:p>
        </w:tc>
        <w:tc>
          <w:tcPr>
            <w:tcW w:w="728" w:type="pct"/>
            <w:tcBorders>
              <w:bottom w:val="single" w:sz="4" w:space="0" w:color="auto"/>
            </w:tcBorders>
            <w:vAlign w:val="center"/>
          </w:tcPr>
          <w:p w14:paraId="2C1A87B3" w14:textId="77777777" w:rsidR="00B43F86" w:rsidRPr="000E5B3A" w:rsidRDefault="00B43F86" w:rsidP="00757F2A">
            <w:pPr>
              <w:pStyle w:val="In-tableHeading"/>
              <w:widowControl w:val="0"/>
              <w:rPr>
                <w:lang w:val="en-AU"/>
              </w:rPr>
            </w:pPr>
            <w:r w:rsidRPr="000E5B3A">
              <w:rPr>
                <w:lang w:val="en-AU"/>
              </w:rPr>
              <w:t>% change from base case</w:t>
            </w:r>
          </w:p>
        </w:tc>
      </w:tr>
      <w:tr w:rsidR="00565EC1" w:rsidRPr="000E5B3A" w14:paraId="74FC1994" w14:textId="77777777" w:rsidTr="00C16B52">
        <w:trPr>
          <w:trHeight w:val="20"/>
        </w:trPr>
        <w:tc>
          <w:tcPr>
            <w:tcW w:w="2509" w:type="pct"/>
            <w:tcBorders>
              <w:bottom w:val="single" w:sz="4" w:space="0" w:color="auto"/>
            </w:tcBorders>
          </w:tcPr>
          <w:p w14:paraId="46B949B5" w14:textId="1A0531C7" w:rsidR="00B43F86" w:rsidRPr="000E5B3A" w:rsidRDefault="00B43F86" w:rsidP="00757F2A">
            <w:pPr>
              <w:pStyle w:val="TableText0"/>
              <w:widowControl w:val="0"/>
              <w:rPr>
                <w:b/>
                <w:bCs w:val="0"/>
              </w:rPr>
            </w:pPr>
            <w:r w:rsidRPr="000E5B3A">
              <w:rPr>
                <w:b/>
                <w:bCs w:val="0"/>
              </w:rPr>
              <w:t xml:space="preserve">Base case (Gebski Criterion 1 [2.5%], no convergence, </w:t>
            </w:r>
            <w:r w:rsidR="006C4058" w:rsidRPr="000E5B3A">
              <w:rPr>
                <w:b/>
                <w:bCs w:val="0"/>
              </w:rPr>
              <w:t>15-year</w:t>
            </w:r>
            <w:r w:rsidRPr="000E5B3A">
              <w:rPr>
                <w:b/>
                <w:bCs w:val="0"/>
              </w:rPr>
              <w:t xml:space="preserve"> time horizon, RPSFT for OS</w:t>
            </w:r>
            <w:r w:rsidR="00EF5A4B" w:rsidRPr="000E5B3A">
              <w:rPr>
                <w:b/>
                <w:bCs w:val="0"/>
              </w:rPr>
              <w:t xml:space="preserve">, price </w:t>
            </w:r>
            <w:r w:rsidR="00531E06" w:rsidRPr="006E7F42">
              <w:rPr>
                <w:b/>
              </w:rPr>
              <w:t>$</w:t>
            </w:r>
            <w:r w:rsidR="009951A2" w:rsidRPr="009951A2">
              <w:rPr>
                <w:b/>
                <w:highlight w:val="black"/>
              </w:rPr>
              <w:t>&amp;&amp;&amp;&amp;</w:t>
            </w:r>
            <w:r w:rsidR="00EF5A4B" w:rsidRPr="000E5B3A">
              <w:rPr>
                <w:b/>
                <w:bCs w:val="0"/>
              </w:rPr>
              <w:t>/vial</w:t>
            </w:r>
            <w:r w:rsidRPr="000E5B3A">
              <w:rPr>
                <w:b/>
                <w:bCs w:val="0"/>
              </w:rPr>
              <w:t>)</w:t>
            </w:r>
          </w:p>
        </w:tc>
        <w:tc>
          <w:tcPr>
            <w:tcW w:w="631" w:type="pct"/>
            <w:tcBorders>
              <w:bottom w:val="single" w:sz="4" w:space="0" w:color="auto"/>
            </w:tcBorders>
            <w:vAlign w:val="center"/>
          </w:tcPr>
          <w:p w14:paraId="4D4D77D9" w14:textId="1E754064" w:rsidR="00B43F86" w:rsidRPr="000E5B3A" w:rsidRDefault="00B43F86" w:rsidP="00C16B52">
            <w:pPr>
              <w:pStyle w:val="TableText0"/>
              <w:widowControl w:val="0"/>
              <w:jc w:val="center"/>
              <w:rPr>
                <w:b/>
                <w:bCs w:val="0"/>
              </w:rPr>
            </w:pPr>
            <w:r w:rsidRPr="000E5B3A">
              <w:rPr>
                <w:b/>
                <w:bCs w:val="0"/>
              </w:rPr>
              <w:t>$</w:t>
            </w:r>
            <w:r w:rsidR="009951A2" w:rsidRPr="009951A2">
              <w:rPr>
                <w:b/>
                <w:bCs w:val="0"/>
                <w:highlight w:val="black"/>
              </w:rPr>
              <w:t>&amp;&amp;&amp;&amp;</w:t>
            </w:r>
          </w:p>
        </w:tc>
        <w:tc>
          <w:tcPr>
            <w:tcW w:w="631" w:type="pct"/>
            <w:tcBorders>
              <w:bottom w:val="single" w:sz="4" w:space="0" w:color="auto"/>
            </w:tcBorders>
            <w:vAlign w:val="center"/>
          </w:tcPr>
          <w:p w14:paraId="2FFBAA88" w14:textId="77777777" w:rsidR="00B43F86" w:rsidRPr="000E5B3A" w:rsidRDefault="00B43F86" w:rsidP="00C16B52">
            <w:pPr>
              <w:pStyle w:val="TableText0"/>
              <w:widowControl w:val="0"/>
              <w:jc w:val="center"/>
              <w:rPr>
                <w:b/>
                <w:bCs w:val="0"/>
              </w:rPr>
            </w:pPr>
            <w:r w:rsidRPr="000E5B3A">
              <w:rPr>
                <w:b/>
                <w:bCs w:val="0"/>
              </w:rPr>
              <w:t>0.784</w:t>
            </w:r>
          </w:p>
        </w:tc>
        <w:tc>
          <w:tcPr>
            <w:tcW w:w="500" w:type="pct"/>
            <w:tcBorders>
              <w:bottom w:val="single" w:sz="4" w:space="0" w:color="auto"/>
            </w:tcBorders>
            <w:vAlign w:val="center"/>
          </w:tcPr>
          <w:p w14:paraId="64C9F00E" w14:textId="4E8E54F3" w:rsidR="00B43F86" w:rsidRPr="00E32676" w:rsidRDefault="00B43F86" w:rsidP="00C16B52">
            <w:pPr>
              <w:pStyle w:val="TableText0"/>
              <w:widowControl w:val="0"/>
              <w:jc w:val="center"/>
              <w:rPr>
                <w:vertAlign w:val="superscript"/>
              </w:rPr>
            </w:pPr>
            <w:r w:rsidRPr="000E5B3A">
              <w:rPr>
                <w:b/>
                <w:bCs w:val="0"/>
              </w:rPr>
              <w:t>$</w:t>
            </w:r>
            <w:r w:rsidR="009951A2" w:rsidRPr="009951A2">
              <w:rPr>
                <w:b/>
                <w:bCs w:val="0"/>
                <w:highlight w:val="black"/>
              </w:rPr>
              <w:t>&amp;&amp;&amp;&amp;</w:t>
            </w:r>
            <w:r w:rsidR="00E32676">
              <w:rPr>
                <w:vertAlign w:val="superscript"/>
              </w:rPr>
              <w:t>1</w:t>
            </w:r>
          </w:p>
        </w:tc>
        <w:tc>
          <w:tcPr>
            <w:tcW w:w="728" w:type="pct"/>
            <w:tcBorders>
              <w:bottom w:val="single" w:sz="4" w:space="0" w:color="auto"/>
            </w:tcBorders>
            <w:vAlign w:val="center"/>
          </w:tcPr>
          <w:p w14:paraId="320B4252" w14:textId="77777777" w:rsidR="00B43F86" w:rsidRPr="000E5B3A" w:rsidRDefault="00B43F86" w:rsidP="00C16B52">
            <w:pPr>
              <w:pStyle w:val="TableText0"/>
              <w:widowControl w:val="0"/>
              <w:jc w:val="center"/>
              <w:rPr>
                <w:b/>
                <w:bCs w:val="0"/>
              </w:rPr>
            </w:pPr>
            <w:r w:rsidRPr="000E5B3A">
              <w:rPr>
                <w:b/>
                <w:bCs w:val="0"/>
              </w:rPr>
              <w:t>-</w:t>
            </w:r>
          </w:p>
        </w:tc>
      </w:tr>
      <w:tr w:rsidR="00575840" w:rsidRPr="000E5B3A" w14:paraId="5D1B85AD" w14:textId="77777777" w:rsidTr="00C16B52">
        <w:trPr>
          <w:trHeight w:val="20"/>
        </w:trPr>
        <w:tc>
          <w:tcPr>
            <w:tcW w:w="2509" w:type="pct"/>
          </w:tcPr>
          <w:p w14:paraId="11770C9D" w14:textId="7F429BBF" w:rsidR="00575840" w:rsidRPr="000E5B3A" w:rsidRDefault="00575840" w:rsidP="00981D55">
            <w:pPr>
              <w:pStyle w:val="TableText0"/>
              <w:widowControl w:val="0"/>
              <w:numPr>
                <w:ilvl w:val="0"/>
                <w:numId w:val="10"/>
              </w:numPr>
              <w:ind w:left="171" w:hanging="142"/>
            </w:pPr>
            <w:r w:rsidRPr="000E5B3A">
              <w:t>10-year time horizon</w:t>
            </w:r>
          </w:p>
          <w:p w14:paraId="5E13AC0F" w14:textId="50C78646" w:rsidR="00575840" w:rsidRPr="000E5B3A" w:rsidRDefault="00575840" w:rsidP="00981D55">
            <w:pPr>
              <w:pStyle w:val="TableText0"/>
              <w:widowControl w:val="0"/>
              <w:numPr>
                <w:ilvl w:val="0"/>
                <w:numId w:val="10"/>
              </w:numPr>
              <w:ind w:left="171" w:hanging="142"/>
            </w:pPr>
            <w:r w:rsidRPr="000E5B3A">
              <w:t>no crossover adjustment for OS (ITT)</w:t>
            </w:r>
          </w:p>
        </w:tc>
        <w:tc>
          <w:tcPr>
            <w:tcW w:w="631" w:type="pct"/>
            <w:vAlign w:val="center"/>
          </w:tcPr>
          <w:p w14:paraId="33BCAEFD" w14:textId="3BA4A39F" w:rsidR="00575840" w:rsidRPr="000E5B3A" w:rsidRDefault="00575840" w:rsidP="00C16B52">
            <w:pPr>
              <w:pStyle w:val="TableText0"/>
              <w:widowControl w:val="0"/>
              <w:jc w:val="center"/>
            </w:pPr>
            <w:r w:rsidRPr="00662810">
              <w:t>$</w:t>
            </w:r>
            <w:r w:rsidR="009951A2" w:rsidRPr="009951A2">
              <w:rPr>
                <w:highlight w:val="black"/>
              </w:rPr>
              <w:t>&amp;&amp;&amp;&amp;</w:t>
            </w:r>
          </w:p>
        </w:tc>
        <w:tc>
          <w:tcPr>
            <w:tcW w:w="631" w:type="pct"/>
            <w:vAlign w:val="center"/>
          </w:tcPr>
          <w:p w14:paraId="6891FD32" w14:textId="3CB0745A" w:rsidR="00575840" w:rsidRPr="000E5B3A" w:rsidRDefault="00575840" w:rsidP="00C16B52">
            <w:pPr>
              <w:pStyle w:val="TableText0"/>
              <w:widowControl w:val="0"/>
              <w:jc w:val="center"/>
            </w:pPr>
            <w:r w:rsidRPr="00662810">
              <w:t>0.605</w:t>
            </w:r>
          </w:p>
        </w:tc>
        <w:tc>
          <w:tcPr>
            <w:tcW w:w="500" w:type="pct"/>
            <w:vAlign w:val="center"/>
          </w:tcPr>
          <w:p w14:paraId="43AB4679" w14:textId="645E5508" w:rsidR="00575840" w:rsidRPr="00303273" w:rsidRDefault="00575840" w:rsidP="00C16B52">
            <w:pPr>
              <w:pStyle w:val="TableText0"/>
              <w:widowControl w:val="0"/>
              <w:jc w:val="center"/>
              <w:rPr>
                <w:vertAlign w:val="superscript"/>
              </w:rPr>
            </w:pPr>
            <w:r w:rsidRPr="00662810">
              <w:t>$</w:t>
            </w:r>
            <w:r w:rsidR="009951A2" w:rsidRPr="009951A2">
              <w:rPr>
                <w:highlight w:val="black"/>
              </w:rPr>
              <w:t>&amp;&amp;&amp;&amp;</w:t>
            </w:r>
            <w:r w:rsidR="00303273">
              <w:rPr>
                <w:vertAlign w:val="superscript"/>
              </w:rPr>
              <w:t>2</w:t>
            </w:r>
          </w:p>
        </w:tc>
        <w:tc>
          <w:tcPr>
            <w:tcW w:w="728" w:type="pct"/>
            <w:vAlign w:val="center"/>
          </w:tcPr>
          <w:p w14:paraId="1CBB6B99" w14:textId="673E979F" w:rsidR="00575840" w:rsidRPr="000E5B3A" w:rsidRDefault="009951A2" w:rsidP="00C16B52">
            <w:pPr>
              <w:pStyle w:val="TableText0"/>
              <w:widowControl w:val="0"/>
              <w:jc w:val="center"/>
            </w:pPr>
            <w:r w:rsidRPr="009951A2">
              <w:rPr>
                <w:highlight w:val="black"/>
              </w:rPr>
              <w:t>&amp;&amp;&amp;&amp;</w:t>
            </w:r>
            <w:r w:rsidR="00EB5865">
              <w:t>%</w:t>
            </w:r>
          </w:p>
        </w:tc>
      </w:tr>
      <w:tr w:rsidR="00565EC1" w:rsidRPr="000E5B3A" w14:paraId="35E0BD73" w14:textId="77777777" w:rsidTr="00C16B52">
        <w:trPr>
          <w:trHeight w:val="20"/>
        </w:trPr>
        <w:tc>
          <w:tcPr>
            <w:tcW w:w="2509" w:type="pct"/>
          </w:tcPr>
          <w:p w14:paraId="05E55720" w14:textId="77777777" w:rsidR="002E07D4" w:rsidRPr="000E5B3A" w:rsidRDefault="00B43F86" w:rsidP="00981D55">
            <w:pPr>
              <w:pStyle w:val="TableText0"/>
              <w:widowControl w:val="0"/>
              <w:numPr>
                <w:ilvl w:val="0"/>
                <w:numId w:val="10"/>
              </w:numPr>
              <w:ind w:left="171" w:hanging="142"/>
            </w:pPr>
            <w:r w:rsidRPr="000E5B3A">
              <w:t xml:space="preserve">Gebski criterion 2 </w:t>
            </w:r>
          </w:p>
          <w:p w14:paraId="48383BAC" w14:textId="6497A863" w:rsidR="002E07D4" w:rsidRPr="000E5B3A" w:rsidRDefault="00B43F86" w:rsidP="00981D55">
            <w:pPr>
              <w:pStyle w:val="TableText0"/>
              <w:widowControl w:val="0"/>
              <w:numPr>
                <w:ilvl w:val="0"/>
                <w:numId w:val="10"/>
              </w:numPr>
              <w:ind w:left="171" w:hanging="142"/>
            </w:pPr>
            <w:r w:rsidRPr="000E5B3A">
              <w:t>no crossover adjustment for OS (ITT)</w:t>
            </w:r>
          </w:p>
          <w:p w14:paraId="0B5A5E0F" w14:textId="68D1C9FF" w:rsidR="002E07D4" w:rsidRPr="000E5B3A" w:rsidRDefault="00B43F86" w:rsidP="00981D55">
            <w:pPr>
              <w:pStyle w:val="TableText0"/>
              <w:widowControl w:val="0"/>
              <w:numPr>
                <w:ilvl w:val="0"/>
                <w:numId w:val="10"/>
              </w:numPr>
              <w:ind w:left="171" w:hanging="142"/>
            </w:pPr>
            <w:r w:rsidRPr="000E5B3A">
              <w:t>risk convergence</w:t>
            </w:r>
            <w:r w:rsidR="00AD0FB3" w:rsidRPr="000E5B3A">
              <w:rPr>
                <w:vertAlign w:val="superscript"/>
              </w:rPr>
              <w:t>a</w:t>
            </w:r>
            <w:r w:rsidR="00AD0FB3" w:rsidRPr="000E5B3A">
              <w:t xml:space="preserve"> </w:t>
            </w:r>
            <w:r w:rsidRPr="000E5B3A">
              <w:t xml:space="preserve">from 5 yrs </w:t>
            </w:r>
          </w:p>
          <w:p w14:paraId="52602671" w14:textId="6D4F0406" w:rsidR="00B43F86" w:rsidRPr="000E5B3A" w:rsidRDefault="00B43F86" w:rsidP="00981D55">
            <w:pPr>
              <w:pStyle w:val="TableText0"/>
              <w:widowControl w:val="0"/>
              <w:numPr>
                <w:ilvl w:val="0"/>
                <w:numId w:val="10"/>
              </w:numPr>
              <w:ind w:left="171" w:hanging="142"/>
            </w:pPr>
            <w:r w:rsidRPr="000E5B3A">
              <w:t>10-yr time horizon</w:t>
            </w:r>
          </w:p>
        </w:tc>
        <w:tc>
          <w:tcPr>
            <w:tcW w:w="631" w:type="pct"/>
            <w:vAlign w:val="center"/>
          </w:tcPr>
          <w:p w14:paraId="4DAFA1FB" w14:textId="584E4769" w:rsidR="00B43F86" w:rsidRPr="000E5B3A" w:rsidRDefault="00B43F86" w:rsidP="00C16B52">
            <w:pPr>
              <w:pStyle w:val="TableText0"/>
              <w:widowControl w:val="0"/>
              <w:jc w:val="center"/>
            </w:pPr>
            <w:r w:rsidRPr="000E5B3A">
              <w:t>$</w:t>
            </w:r>
            <w:r w:rsidR="009951A2" w:rsidRPr="009951A2">
              <w:rPr>
                <w:highlight w:val="black"/>
              </w:rPr>
              <w:t>&amp;&amp;&amp;&amp;</w:t>
            </w:r>
          </w:p>
        </w:tc>
        <w:tc>
          <w:tcPr>
            <w:tcW w:w="631" w:type="pct"/>
            <w:vAlign w:val="center"/>
          </w:tcPr>
          <w:p w14:paraId="65E5E75C" w14:textId="77777777" w:rsidR="00B43F86" w:rsidRPr="000E5B3A" w:rsidRDefault="00B43F86" w:rsidP="00C16B52">
            <w:pPr>
              <w:pStyle w:val="TableText0"/>
              <w:widowControl w:val="0"/>
              <w:jc w:val="center"/>
            </w:pPr>
            <w:r w:rsidRPr="000E5B3A">
              <w:t>0.407</w:t>
            </w:r>
          </w:p>
        </w:tc>
        <w:tc>
          <w:tcPr>
            <w:tcW w:w="500" w:type="pct"/>
            <w:vAlign w:val="center"/>
          </w:tcPr>
          <w:p w14:paraId="3FE991B5" w14:textId="4A9C4057" w:rsidR="00B43F86" w:rsidRPr="00710BBF" w:rsidRDefault="00B43F86" w:rsidP="00C16B52">
            <w:pPr>
              <w:pStyle w:val="TableText0"/>
              <w:widowControl w:val="0"/>
              <w:jc w:val="center"/>
              <w:rPr>
                <w:vertAlign w:val="superscript"/>
              </w:rPr>
            </w:pPr>
            <w:r w:rsidRPr="000E5B3A">
              <w:t>$</w:t>
            </w:r>
            <w:r w:rsidR="009951A2" w:rsidRPr="009951A2">
              <w:rPr>
                <w:highlight w:val="black"/>
              </w:rPr>
              <w:t>&amp;&amp;&amp;&amp;</w:t>
            </w:r>
            <w:r w:rsidR="00710BBF">
              <w:rPr>
                <w:vertAlign w:val="superscript"/>
              </w:rPr>
              <w:t>3</w:t>
            </w:r>
          </w:p>
        </w:tc>
        <w:tc>
          <w:tcPr>
            <w:tcW w:w="728" w:type="pct"/>
            <w:vAlign w:val="center"/>
          </w:tcPr>
          <w:p w14:paraId="7E87AC0F" w14:textId="7C730F15" w:rsidR="00B43F86" w:rsidRPr="000E5B3A" w:rsidRDefault="009951A2" w:rsidP="00C16B52">
            <w:pPr>
              <w:pStyle w:val="TableText0"/>
              <w:widowControl w:val="0"/>
              <w:jc w:val="center"/>
            </w:pPr>
            <w:r w:rsidRPr="009951A2">
              <w:rPr>
                <w:highlight w:val="black"/>
              </w:rPr>
              <w:t>&amp;&amp;&amp;&amp;</w:t>
            </w:r>
            <w:r w:rsidR="00B43F86" w:rsidRPr="000E5B3A">
              <w:t>%</w:t>
            </w:r>
          </w:p>
        </w:tc>
      </w:tr>
      <w:tr w:rsidR="00F12DE7" w:rsidRPr="000E5B3A" w14:paraId="08F8205A" w14:textId="77777777" w:rsidTr="00C16B52">
        <w:trPr>
          <w:trHeight w:val="20"/>
        </w:trPr>
        <w:tc>
          <w:tcPr>
            <w:tcW w:w="2509" w:type="pct"/>
          </w:tcPr>
          <w:p w14:paraId="465E036D" w14:textId="7FD5197F" w:rsidR="002E07D4" w:rsidRPr="000E5B3A" w:rsidRDefault="00424963" w:rsidP="00981D55">
            <w:pPr>
              <w:pStyle w:val="TableText0"/>
              <w:widowControl w:val="0"/>
              <w:numPr>
                <w:ilvl w:val="0"/>
                <w:numId w:val="10"/>
              </w:numPr>
              <w:ind w:left="171" w:hanging="142"/>
            </w:pPr>
            <w:r w:rsidRPr="000E5B3A">
              <w:t xml:space="preserve">no crossover adjustment for OS (ITT) </w:t>
            </w:r>
          </w:p>
          <w:p w14:paraId="73F51534" w14:textId="1EEF3946" w:rsidR="002E07D4" w:rsidRPr="000E5B3A" w:rsidRDefault="00F12DE7" w:rsidP="00981D55">
            <w:pPr>
              <w:pStyle w:val="TableText0"/>
              <w:widowControl w:val="0"/>
              <w:numPr>
                <w:ilvl w:val="0"/>
                <w:numId w:val="10"/>
              </w:numPr>
              <w:ind w:left="171" w:hanging="142"/>
            </w:pPr>
            <w:r w:rsidRPr="000E5B3A">
              <w:t>risk convergence</w:t>
            </w:r>
            <w:r w:rsidRPr="000E5B3A">
              <w:rPr>
                <w:vertAlign w:val="superscript"/>
              </w:rPr>
              <w:t>a</w:t>
            </w:r>
            <w:r w:rsidRPr="000E5B3A">
              <w:t xml:space="preserve"> from 5 yrs</w:t>
            </w:r>
            <w:r w:rsidR="009C0A31" w:rsidRPr="000E5B3A">
              <w:t xml:space="preserve"> </w:t>
            </w:r>
          </w:p>
          <w:p w14:paraId="3EB7F43A" w14:textId="53F83423" w:rsidR="00F12DE7" w:rsidRPr="000E5B3A" w:rsidRDefault="00F12DE7" w:rsidP="00981D55">
            <w:pPr>
              <w:pStyle w:val="TableText0"/>
              <w:widowControl w:val="0"/>
              <w:numPr>
                <w:ilvl w:val="0"/>
                <w:numId w:val="10"/>
              </w:numPr>
              <w:ind w:left="171" w:hanging="142"/>
            </w:pPr>
            <w:r w:rsidRPr="000E5B3A">
              <w:t>10 yr time horizon</w:t>
            </w:r>
          </w:p>
        </w:tc>
        <w:tc>
          <w:tcPr>
            <w:tcW w:w="631" w:type="pct"/>
            <w:vAlign w:val="center"/>
          </w:tcPr>
          <w:p w14:paraId="322121CC" w14:textId="2C3A546D" w:rsidR="00F12DE7" w:rsidRPr="000E5B3A" w:rsidRDefault="00F12DE7" w:rsidP="00C16B52">
            <w:pPr>
              <w:pStyle w:val="TableText0"/>
              <w:widowControl w:val="0"/>
              <w:jc w:val="center"/>
            </w:pPr>
            <w:r w:rsidRPr="000E5B3A">
              <w:t>$</w:t>
            </w:r>
            <w:r w:rsidR="009951A2" w:rsidRPr="009951A2">
              <w:rPr>
                <w:highlight w:val="black"/>
              </w:rPr>
              <w:t>&amp;&amp;&amp;&amp;</w:t>
            </w:r>
          </w:p>
        </w:tc>
        <w:tc>
          <w:tcPr>
            <w:tcW w:w="631" w:type="pct"/>
            <w:vAlign w:val="center"/>
          </w:tcPr>
          <w:p w14:paraId="3C1A68F3" w14:textId="6DDABD77" w:rsidR="00F12DE7" w:rsidRPr="000E5B3A" w:rsidRDefault="00F12DE7" w:rsidP="00C16B52">
            <w:pPr>
              <w:pStyle w:val="TableText0"/>
              <w:widowControl w:val="0"/>
              <w:jc w:val="center"/>
            </w:pPr>
            <w:r w:rsidRPr="000E5B3A">
              <w:t>0.590</w:t>
            </w:r>
          </w:p>
        </w:tc>
        <w:tc>
          <w:tcPr>
            <w:tcW w:w="500" w:type="pct"/>
            <w:vAlign w:val="center"/>
          </w:tcPr>
          <w:p w14:paraId="5C3903F3" w14:textId="3AB63895" w:rsidR="00F12DE7" w:rsidRPr="00303273" w:rsidRDefault="00F12DE7" w:rsidP="00C16B52">
            <w:pPr>
              <w:pStyle w:val="TableText0"/>
              <w:widowControl w:val="0"/>
              <w:jc w:val="center"/>
              <w:rPr>
                <w:vertAlign w:val="superscript"/>
              </w:rPr>
            </w:pPr>
            <w:r w:rsidRPr="000E5B3A">
              <w:t>$</w:t>
            </w:r>
            <w:r w:rsidR="009951A2" w:rsidRPr="009951A2">
              <w:rPr>
                <w:highlight w:val="black"/>
              </w:rPr>
              <w:t>&amp;&amp;&amp;&amp;</w:t>
            </w:r>
            <w:r w:rsidR="00303273">
              <w:rPr>
                <w:vertAlign w:val="superscript"/>
              </w:rPr>
              <w:t>2</w:t>
            </w:r>
          </w:p>
        </w:tc>
        <w:tc>
          <w:tcPr>
            <w:tcW w:w="728" w:type="pct"/>
            <w:vAlign w:val="center"/>
          </w:tcPr>
          <w:p w14:paraId="12595AAB" w14:textId="173F7636" w:rsidR="00F12DE7" w:rsidRPr="000E5B3A" w:rsidRDefault="009951A2" w:rsidP="00C16B52">
            <w:pPr>
              <w:pStyle w:val="TableText0"/>
              <w:widowControl w:val="0"/>
              <w:jc w:val="center"/>
            </w:pPr>
            <w:r w:rsidRPr="009951A2">
              <w:rPr>
                <w:highlight w:val="black"/>
              </w:rPr>
              <w:t>&amp;&amp;&amp;&amp;</w:t>
            </w:r>
            <w:r w:rsidR="00F12DE7" w:rsidRPr="000E5B3A">
              <w:t>%</w:t>
            </w:r>
          </w:p>
        </w:tc>
      </w:tr>
      <w:tr w:rsidR="003736AC" w:rsidRPr="000E5B3A" w14:paraId="27F93AAA" w14:textId="77777777" w:rsidTr="00C16B52">
        <w:trPr>
          <w:trHeight w:val="20"/>
        </w:trPr>
        <w:tc>
          <w:tcPr>
            <w:tcW w:w="2509" w:type="pct"/>
          </w:tcPr>
          <w:p w14:paraId="1E405636" w14:textId="5E60DAB4" w:rsidR="002E07D4" w:rsidRPr="000E5B3A" w:rsidRDefault="003736AC" w:rsidP="00981D55">
            <w:pPr>
              <w:pStyle w:val="TableText0"/>
              <w:widowControl w:val="0"/>
              <w:numPr>
                <w:ilvl w:val="0"/>
                <w:numId w:val="10"/>
              </w:numPr>
              <w:ind w:left="171" w:hanging="142"/>
            </w:pPr>
            <w:r w:rsidRPr="000E5B3A">
              <w:t>Gebski Criterion 1 (5%)</w:t>
            </w:r>
            <w:r w:rsidR="009C0A31" w:rsidRPr="000E5B3A">
              <w:t xml:space="preserve"> </w:t>
            </w:r>
          </w:p>
          <w:p w14:paraId="61292B96" w14:textId="58A97C7F" w:rsidR="002E07D4" w:rsidRPr="000E5B3A" w:rsidRDefault="009C0A31" w:rsidP="00981D55">
            <w:pPr>
              <w:pStyle w:val="TableText0"/>
              <w:widowControl w:val="0"/>
              <w:numPr>
                <w:ilvl w:val="0"/>
                <w:numId w:val="10"/>
              </w:numPr>
              <w:ind w:left="171" w:hanging="142"/>
            </w:pPr>
            <w:r w:rsidRPr="000E5B3A">
              <w:t xml:space="preserve">no crossover adjustment for OS (ITT) </w:t>
            </w:r>
          </w:p>
          <w:p w14:paraId="7BAF4BDC" w14:textId="01258678" w:rsidR="002E07D4" w:rsidRPr="000E5B3A" w:rsidRDefault="003736AC" w:rsidP="00981D55">
            <w:pPr>
              <w:pStyle w:val="TableText0"/>
              <w:widowControl w:val="0"/>
              <w:numPr>
                <w:ilvl w:val="0"/>
                <w:numId w:val="10"/>
              </w:numPr>
              <w:ind w:left="171" w:hanging="142"/>
            </w:pPr>
            <w:r w:rsidRPr="000E5B3A">
              <w:t xml:space="preserve">risk convergence </w:t>
            </w:r>
            <w:r w:rsidRPr="000E5B3A">
              <w:rPr>
                <w:vertAlign w:val="superscript"/>
              </w:rPr>
              <w:t>a</w:t>
            </w:r>
            <w:r w:rsidRPr="000E5B3A">
              <w:t xml:space="preserve"> from 5 </w:t>
            </w:r>
            <w:r w:rsidR="00610021" w:rsidRPr="000E5B3A">
              <w:t>y</w:t>
            </w:r>
            <w:r w:rsidRPr="000E5B3A">
              <w:t>rs</w:t>
            </w:r>
            <w:r w:rsidR="003660E2" w:rsidRPr="000E5B3A">
              <w:t xml:space="preserve"> </w:t>
            </w:r>
          </w:p>
          <w:p w14:paraId="4AC7B20B" w14:textId="3821971F" w:rsidR="003736AC" w:rsidRPr="000E5B3A" w:rsidRDefault="003736AC" w:rsidP="00981D55">
            <w:pPr>
              <w:pStyle w:val="TableText0"/>
              <w:widowControl w:val="0"/>
              <w:numPr>
                <w:ilvl w:val="0"/>
                <w:numId w:val="10"/>
              </w:numPr>
              <w:ind w:left="171" w:hanging="142"/>
            </w:pPr>
            <w:r w:rsidRPr="000E5B3A">
              <w:t>10 yr time horizon</w:t>
            </w:r>
          </w:p>
        </w:tc>
        <w:tc>
          <w:tcPr>
            <w:tcW w:w="631" w:type="pct"/>
            <w:vAlign w:val="center"/>
          </w:tcPr>
          <w:p w14:paraId="6A0621F7" w14:textId="2BBA9A84" w:rsidR="003736AC" w:rsidRPr="000E5B3A" w:rsidRDefault="003736AC" w:rsidP="00C16B52">
            <w:pPr>
              <w:pStyle w:val="TableText0"/>
              <w:widowControl w:val="0"/>
              <w:jc w:val="center"/>
            </w:pPr>
            <w:r w:rsidRPr="000E5B3A">
              <w:t>$</w:t>
            </w:r>
            <w:r w:rsidR="009951A2" w:rsidRPr="009951A2">
              <w:rPr>
                <w:highlight w:val="black"/>
              </w:rPr>
              <w:t>&amp;&amp;&amp;&amp;</w:t>
            </w:r>
          </w:p>
        </w:tc>
        <w:tc>
          <w:tcPr>
            <w:tcW w:w="631" w:type="pct"/>
            <w:vAlign w:val="center"/>
          </w:tcPr>
          <w:p w14:paraId="0851F5FF" w14:textId="54E1C56C" w:rsidR="003736AC" w:rsidRPr="000E5B3A" w:rsidRDefault="003736AC" w:rsidP="00C16B52">
            <w:pPr>
              <w:pStyle w:val="TableText0"/>
              <w:widowControl w:val="0"/>
              <w:jc w:val="center"/>
            </w:pPr>
            <w:r w:rsidRPr="000E5B3A">
              <w:t>0.359</w:t>
            </w:r>
          </w:p>
        </w:tc>
        <w:tc>
          <w:tcPr>
            <w:tcW w:w="500" w:type="pct"/>
            <w:vAlign w:val="center"/>
          </w:tcPr>
          <w:p w14:paraId="4B56F561" w14:textId="48AE57A1" w:rsidR="003736AC" w:rsidRPr="00710BBF" w:rsidRDefault="003736AC" w:rsidP="00C16B52">
            <w:pPr>
              <w:pStyle w:val="TableText0"/>
              <w:widowControl w:val="0"/>
              <w:jc w:val="center"/>
              <w:rPr>
                <w:vertAlign w:val="superscript"/>
              </w:rPr>
            </w:pPr>
            <w:r w:rsidRPr="000E5B3A">
              <w:t>$</w:t>
            </w:r>
            <w:r w:rsidR="009951A2" w:rsidRPr="009951A2">
              <w:rPr>
                <w:highlight w:val="black"/>
              </w:rPr>
              <w:t>&amp;&amp;&amp;&amp;</w:t>
            </w:r>
            <w:r w:rsidR="00710BBF">
              <w:rPr>
                <w:vertAlign w:val="superscript"/>
              </w:rPr>
              <w:t>3</w:t>
            </w:r>
          </w:p>
        </w:tc>
        <w:tc>
          <w:tcPr>
            <w:tcW w:w="728" w:type="pct"/>
            <w:vAlign w:val="center"/>
          </w:tcPr>
          <w:p w14:paraId="6210577D" w14:textId="27C9A645" w:rsidR="003736AC" w:rsidRPr="000E5B3A" w:rsidRDefault="009951A2" w:rsidP="00C16B52">
            <w:pPr>
              <w:pStyle w:val="TableText0"/>
              <w:widowControl w:val="0"/>
              <w:jc w:val="center"/>
            </w:pPr>
            <w:r w:rsidRPr="009951A2">
              <w:rPr>
                <w:highlight w:val="black"/>
              </w:rPr>
              <w:t>&amp;&amp;&amp;&amp;</w:t>
            </w:r>
            <w:r w:rsidR="003736AC" w:rsidRPr="000E5B3A">
              <w:t>%</w:t>
            </w:r>
          </w:p>
        </w:tc>
      </w:tr>
      <w:tr w:rsidR="00150A32" w:rsidRPr="000E5B3A" w14:paraId="47CC4582" w14:textId="77777777" w:rsidTr="00C16B52">
        <w:trPr>
          <w:trHeight w:val="20"/>
        </w:trPr>
        <w:tc>
          <w:tcPr>
            <w:tcW w:w="2509" w:type="pct"/>
          </w:tcPr>
          <w:p w14:paraId="007DC9AA" w14:textId="5A865CFD" w:rsidR="00150A32" w:rsidRPr="000E5B3A" w:rsidRDefault="00150A32" w:rsidP="00150A32">
            <w:pPr>
              <w:pStyle w:val="TableText0"/>
              <w:widowControl w:val="0"/>
            </w:pPr>
            <w:r w:rsidRPr="000E5B3A">
              <w:rPr>
                <w:b/>
                <w:bCs w:val="0"/>
              </w:rPr>
              <w:t>Pre-PBAC Revised base case</w:t>
            </w:r>
            <w:r w:rsidRPr="000E5B3A">
              <w:t xml:space="preserve"> (Gebski Criterion 1 [2.5%], no convergence, </w:t>
            </w:r>
            <w:r w:rsidRPr="000E5B3A">
              <w:rPr>
                <w:b/>
                <w:bCs w:val="0"/>
              </w:rPr>
              <w:t>10-year time horizon, no crossover adjustment for OS (ITT), price $</w:t>
            </w:r>
            <w:r w:rsidR="009951A2" w:rsidRPr="009951A2">
              <w:rPr>
                <w:b/>
                <w:bCs w:val="0"/>
                <w:highlight w:val="black"/>
              </w:rPr>
              <w:t>&amp;&amp;&amp;&amp;</w:t>
            </w:r>
            <w:r w:rsidRPr="000E5B3A">
              <w:rPr>
                <w:b/>
                <w:bCs w:val="0"/>
              </w:rPr>
              <w:t>/vial</w:t>
            </w:r>
            <w:r w:rsidRPr="000E5B3A">
              <w:t>)</w:t>
            </w:r>
          </w:p>
        </w:tc>
        <w:tc>
          <w:tcPr>
            <w:tcW w:w="631" w:type="pct"/>
            <w:vAlign w:val="center"/>
          </w:tcPr>
          <w:p w14:paraId="74AE366D" w14:textId="6E1C3440" w:rsidR="00150A32" w:rsidRPr="000E5B3A" w:rsidRDefault="00150A32" w:rsidP="00C16B52">
            <w:pPr>
              <w:pStyle w:val="TableText0"/>
              <w:widowControl w:val="0"/>
              <w:jc w:val="center"/>
            </w:pPr>
            <w:r w:rsidRPr="00ED2EB7">
              <w:t>$</w:t>
            </w:r>
            <w:r w:rsidR="009951A2" w:rsidRPr="009951A2">
              <w:rPr>
                <w:highlight w:val="black"/>
              </w:rPr>
              <w:t>&amp;&amp;&amp;&amp;</w:t>
            </w:r>
          </w:p>
        </w:tc>
        <w:tc>
          <w:tcPr>
            <w:tcW w:w="631" w:type="pct"/>
            <w:vAlign w:val="center"/>
          </w:tcPr>
          <w:p w14:paraId="5A6AF23A" w14:textId="7E833209" w:rsidR="00150A32" w:rsidRPr="000E5B3A" w:rsidRDefault="00150A32" w:rsidP="00C16B52">
            <w:pPr>
              <w:pStyle w:val="TableText0"/>
              <w:widowControl w:val="0"/>
              <w:jc w:val="center"/>
            </w:pPr>
            <w:r w:rsidRPr="00ED2EB7">
              <w:t>0.605</w:t>
            </w:r>
          </w:p>
        </w:tc>
        <w:tc>
          <w:tcPr>
            <w:tcW w:w="500" w:type="pct"/>
            <w:vAlign w:val="center"/>
          </w:tcPr>
          <w:p w14:paraId="53DB7F66" w14:textId="5A6C1AC1" w:rsidR="00150A32" w:rsidRPr="00E32676" w:rsidRDefault="00150A32" w:rsidP="00C16B52">
            <w:pPr>
              <w:pStyle w:val="TableText0"/>
              <w:widowControl w:val="0"/>
              <w:jc w:val="center"/>
              <w:rPr>
                <w:vertAlign w:val="superscript"/>
              </w:rPr>
            </w:pPr>
            <w:r w:rsidRPr="000E5B3A">
              <w:t>$</w:t>
            </w:r>
            <w:r w:rsidR="009951A2" w:rsidRPr="009951A2">
              <w:rPr>
                <w:highlight w:val="black"/>
              </w:rPr>
              <w:t>&amp;&amp;&amp;&amp;</w:t>
            </w:r>
            <w:r w:rsidR="00E32676">
              <w:rPr>
                <w:vertAlign w:val="superscript"/>
              </w:rPr>
              <w:t>1</w:t>
            </w:r>
          </w:p>
        </w:tc>
        <w:tc>
          <w:tcPr>
            <w:tcW w:w="728" w:type="pct"/>
            <w:vAlign w:val="center"/>
          </w:tcPr>
          <w:p w14:paraId="26B34E36" w14:textId="09B5D7A2" w:rsidR="00150A32" w:rsidRPr="000E5B3A" w:rsidRDefault="000C7D81" w:rsidP="00C16B52">
            <w:pPr>
              <w:pStyle w:val="TableText0"/>
              <w:widowControl w:val="0"/>
              <w:jc w:val="center"/>
            </w:pPr>
            <w:r>
              <w:t>0</w:t>
            </w:r>
          </w:p>
        </w:tc>
      </w:tr>
      <w:tr w:rsidR="00D64D3F" w:rsidRPr="000E5B3A" w14:paraId="3139F4FB" w14:textId="77777777" w:rsidTr="00C16B52">
        <w:trPr>
          <w:trHeight w:val="20"/>
        </w:trPr>
        <w:tc>
          <w:tcPr>
            <w:tcW w:w="2509" w:type="pct"/>
          </w:tcPr>
          <w:p w14:paraId="501F9299" w14:textId="77777777" w:rsidR="00D64D3F" w:rsidRPr="000E5B3A" w:rsidRDefault="00D64D3F" w:rsidP="00981D55">
            <w:pPr>
              <w:pStyle w:val="TableText0"/>
              <w:widowControl w:val="0"/>
              <w:numPr>
                <w:ilvl w:val="0"/>
                <w:numId w:val="10"/>
              </w:numPr>
              <w:ind w:left="171" w:hanging="142"/>
            </w:pPr>
            <w:r w:rsidRPr="000E5B3A">
              <w:t xml:space="preserve">Gebski criterion 2 </w:t>
            </w:r>
          </w:p>
          <w:p w14:paraId="0293688B" w14:textId="6E4331E1" w:rsidR="00D64D3F" w:rsidRPr="000E5B3A" w:rsidRDefault="00D64D3F" w:rsidP="00981D55">
            <w:pPr>
              <w:pStyle w:val="TableText0"/>
              <w:widowControl w:val="0"/>
              <w:numPr>
                <w:ilvl w:val="0"/>
                <w:numId w:val="10"/>
              </w:numPr>
              <w:ind w:left="171" w:hanging="142"/>
            </w:pPr>
            <w:r w:rsidRPr="000E5B3A">
              <w:t>risk convergence</w:t>
            </w:r>
            <w:r w:rsidRPr="000E5B3A">
              <w:rPr>
                <w:vertAlign w:val="superscript"/>
              </w:rPr>
              <w:t>a</w:t>
            </w:r>
            <w:r w:rsidRPr="000E5B3A">
              <w:t xml:space="preserve"> from 5 yrs </w:t>
            </w:r>
          </w:p>
        </w:tc>
        <w:tc>
          <w:tcPr>
            <w:tcW w:w="631" w:type="pct"/>
            <w:vAlign w:val="center"/>
          </w:tcPr>
          <w:p w14:paraId="6C1E4794" w14:textId="63FE5729" w:rsidR="00D64D3F" w:rsidRPr="000E5B3A" w:rsidRDefault="00D64D3F" w:rsidP="00C16B52">
            <w:pPr>
              <w:pStyle w:val="TableText0"/>
              <w:widowControl w:val="0"/>
              <w:jc w:val="center"/>
            </w:pPr>
            <w:r w:rsidRPr="00D6446C">
              <w:t>$</w:t>
            </w:r>
            <w:r w:rsidR="009951A2" w:rsidRPr="009951A2">
              <w:rPr>
                <w:highlight w:val="black"/>
              </w:rPr>
              <w:t>&amp;&amp;&amp;&amp;</w:t>
            </w:r>
          </w:p>
        </w:tc>
        <w:tc>
          <w:tcPr>
            <w:tcW w:w="631" w:type="pct"/>
            <w:vAlign w:val="center"/>
          </w:tcPr>
          <w:p w14:paraId="60ACE39D" w14:textId="536ABC56" w:rsidR="00D64D3F" w:rsidRPr="000E5B3A" w:rsidRDefault="00D64D3F" w:rsidP="00C16B52">
            <w:pPr>
              <w:pStyle w:val="TableText0"/>
              <w:widowControl w:val="0"/>
              <w:jc w:val="center"/>
            </w:pPr>
            <w:r w:rsidRPr="00D6446C">
              <w:t>0.407</w:t>
            </w:r>
          </w:p>
        </w:tc>
        <w:tc>
          <w:tcPr>
            <w:tcW w:w="500" w:type="pct"/>
            <w:vAlign w:val="center"/>
          </w:tcPr>
          <w:p w14:paraId="63A4EFB3" w14:textId="76686D91" w:rsidR="00D64D3F" w:rsidRPr="000B1531" w:rsidRDefault="00D64D3F" w:rsidP="00C16B52">
            <w:pPr>
              <w:pStyle w:val="TableText0"/>
              <w:widowControl w:val="0"/>
              <w:jc w:val="center"/>
              <w:rPr>
                <w:vertAlign w:val="superscript"/>
              </w:rPr>
            </w:pPr>
            <w:r w:rsidRPr="00D6446C">
              <w:t>$</w:t>
            </w:r>
            <w:r w:rsidR="009951A2" w:rsidRPr="009951A2">
              <w:rPr>
                <w:highlight w:val="black"/>
              </w:rPr>
              <w:t>&amp;&amp;&amp;&amp;</w:t>
            </w:r>
            <w:r w:rsidR="000B1531">
              <w:rPr>
                <w:vertAlign w:val="superscript"/>
              </w:rPr>
              <w:t>4</w:t>
            </w:r>
          </w:p>
        </w:tc>
        <w:tc>
          <w:tcPr>
            <w:tcW w:w="728" w:type="pct"/>
            <w:vAlign w:val="center"/>
          </w:tcPr>
          <w:p w14:paraId="498C94EC" w14:textId="7E947673" w:rsidR="00D64D3F" w:rsidRPr="000E5B3A" w:rsidRDefault="009951A2" w:rsidP="00C16B52">
            <w:pPr>
              <w:pStyle w:val="TableText0"/>
              <w:widowControl w:val="0"/>
              <w:jc w:val="center"/>
            </w:pPr>
            <w:r w:rsidRPr="009951A2">
              <w:rPr>
                <w:highlight w:val="black"/>
              </w:rPr>
              <w:t>&amp;&amp;&amp;&amp;</w:t>
            </w:r>
            <w:r w:rsidR="00D64D3F">
              <w:t>%</w:t>
            </w:r>
          </w:p>
        </w:tc>
      </w:tr>
      <w:tr w:rsidR="00BE40B7" w:rsidRPr="000E5B3A" w14:paraId="1F20FC03" w14:textId="77777777" w:rsidTr="00C16B52">
        <w:trPr>
          <w:trHeight w:val="20"/>
        </w:trPr>
        <w:tc>
          <w:tcPr>
            <w:tcW w:w="2509" w:type="pct"/>
          </w:tcPr>
          <w:p w14:paraId="17781375" w14:textId="69BBA762" w:rsidR="00BE40B7" w:rsidRPr="000E5B3A" w:rsidRDefault="00BE40B7" w:rsidP="00981D55">
            <w:pPr>
              <w:pStyle w:val="TableText0"/>
              <w:widowControl w:val="0"/>
              <w:numPr>
                <w:ilvl w:val="0"/>
                <w:numId w:val="10"/>
              </w:numPr>
              <w:ind w:left="171" w:hanging="142"/>
            </w:pPr>
            <w:r w:rsidRPr="000E5B3A">
              <w:t>risk convergence</w:t>
            </w:r>
            <w:r w:rsidRPr="000E5B3A">
              <w:rPr>
                <w:vertAlign w:val="superscript"/>
              </w:rPr>
              <w:t>a</w:t>
            </w:r>
            <w:r w:rsidRPr="000E5B3A">
              <w:t xml:space="preserve"> from 5 yrs </w:t>
            </w:r>
          </w:p>
        </w:tc>
        <w:tc>
          <w:tcPr>
            <w:tcW w:w="631" w:type="pct"/>
            <w:vAlign w:val="center"/>
          </w:tcPr>
          <w:p w14:paraId="748F33E9" w14:textId="789EAF83" w:rsidR="00BE40B7" w:rsidRPr="000E5B3A" w:rsidRDefault="00BE40B7" w:rsidP="00C16B52">
            <w:pPr>
              <w:pStyle w:val="TableText0"/>
              <w:widowControl w:val="0"/>
              <w:jc w:val="center"/>
            </w:pPr>
            <w:r w:rsidRPr="00C63D20">
              <w:t>$</w:t>
            </w:r>
            <w:r w:rsidR="009951A2" w:rsidRPr="009951A2">
              <w:rPr>
                <w:highlight w:val="black"/>
              </w:rPr>
              <w:t>&amp;&amp;&amp;&amp;</w:t>
            </w:r>
          </w:p>
        </w:tc>
        <w:tc>
          <w:tcPr>
            <w:tcW w:w="631" w:type="pct"/>
            <w:vAlign w:val="center"/>
          </w:tcPr>
          <w:p w14:paraId="34C76BA1" w14:textId="76416224" w:rsidR="00BE40B7" w:rsidRPr="000E5B3A" w:rsidRDefault="00BE40B7" w:rsidP="00C16B52">
            <w:pPr>
              <w:pStyle w:val="TableText0"/>
              <w:widowControl w:val="0"/>
              <w:jc w:val="center"/>
            </w:pPr>
            <w:r w:rsidRPr="00C63D20">
              <w:t>0.590</w:t>
            </w:r>
          </w:p>
        </w:tc>
        <w:tc>
          <w:tcPr>
            <w:tcW w:w="500" w:type="pct"/>
            <w:vAlign w:val="center"/>
          </w:tcPr>
          <w:p w14:paraId="6178CE3C" w14:textId="3A34C763" w:rsidR="00BE40B7" w:rsidRPr="00221D6A" w:rsidRDefault="00BE40B7" w:rsidP="00C16B52">
            <w:pPr>
              <w:pStyle w:val="TableText0"/>
              <w:widowControl w:val="0"/>
              <w:jc w:val="center"/>
              <w:rPr>
                <w:vertAlign w:val="superscript"/>
              </w:rPr>
            </w:pPr>
            <w:r w:rsidRPr="00C63D20">
              <w:t>$</w:t>
            </w:r>
            <w:r w:rsidR="009951A2" w:rsidRPr="009951A2">
              <w:rPr>
                <w:highlight w:val="black"/>
              </w:rPr>
              <w:t>&amp;&amp;&amp;&amp;</w:t>
            </w:r>
            <w:r w:rsidR="00221D6A">
              <w:rPr>
                <w:vertAlign w:val="superscript"/>
              </w:rPr>
              <w:t>5</w:t>
            </w:r>
          </w:p>
        </w:tc>
        <w:tc>
          <w:tcPr>
            <w:tcW w:w="728" w:type="pct"/>
            <w:vAlign w:val="center"/>
          </w:tcPr>
          <w:p w14:paraId="728CD053" w14:textId="34A37618" w:rsidR="00BE40B7" w:rsidRPr="000E5B3A" w:rsidRDefault="009951A2" w:rsidP="00C16B52">
            <w:pPr>
              <w:pStyle w:val="TableText0"/>
              <w:widowControl w:val="0"/>
              <w:jc w:val="center"/>
            </w:pPr>
            <w:r w:rsidRPr="009951A2">
              <w:rPr>
                <w:highlight w:val="black"/>
              </w:rPr>
              <w:t>&amp;&amp;&amp;&amp;</w:t>
            </w:r>
            <w:r w:rsidR="00D64D3F">
              <w:t>%</w:t>
            </w:r>
          </w:p>
        </w:tc>
      </w:tr>
      <w:tr w:rsidR="00E23D68" w:rsidRPr="000E5B3A" w14:paraId="1F557AD3" w14:textId="77777777" w:rsidTr="00C16B52">
        <w:trPr>
          <w:trHeight w:val="20"/>
        </w:trPr>
        <w:tc>
          <w:tcPr>
            <w:tcW w:w="2509" w:type="pct"/>
          </w:tcPr>
          <w:p w14:paraId="3D91E671" w14:textId="77777777" w:rsidR="00E23D68" w:rsidRPr="000E5B3A" w:rsidRDefault="00E23D68" w:rsidP="00981D55">
            <w:pPr>
              <w:pStyle w:val="TableText0"/>
              <w:widowControl w:val="0"/>
              <w:numPr>
                <w:ilvl w:val="0"/>
                <w:numId w:val="10"/>
              </w:numPr>
              <w:ind w:left="171" w:hanging="142"/>
            </w:pPr>
            <w:r w:rsidRPr="000E5B3A">
              <w:t xml:space="preserve">Gebski Criterion 1 (5%) </w:t>
            </w:r>
          </w:p>
          <w:p w14:paraId="4F70BC4E" w14:textId="10D536CF" w:rsidR="00E23D68" w:rsidRPr="000E5B3A" w:rsidRDefault="00E23D68" w:rsidP="00981D55">
            <w:pPr>
              <w:pStyle w:val="TableText0"/>
              <w:widowControl w:val="0"/>
              <w:numPr>
                <w:ilvl w:val="0"/>
                <w:numId w:val="10"/>
              </w:numPr>
              <w:ind w:left="171" w:hanging="142"/>
            </w:pPr>
            <w:r w:rsidRPr="000E5B3A">
              <w:t xml:space="preserve">risk convergence </w:t>
            </w:r>
            <w:r w:rsidRPr="000E5B3A">
              <w:rPr>
                <w:vertAlign w:val="superscript"/>
              </w:rPr>
              <w:t>a</w:t>
            </w:r>
            <w:r w:rsidRPr="000E5B3A">
              <w:t xml:space="preserve"> from 5 yrs</w:t>
            </w:r>
          </w:p>
        </w:tc>
        <w:tc>
          <w:tcPr>
            <w:tcW w:w="631" w:type="pct"/>
            <w:vAlign w:val="center"/>
          </w:tcPr>
          <w:p w14:paraId="32F4E589" w14:textId="6BA02516" w:rsidR="00E23D68" w:rsidRPr="000E5B3A" w:rsidRDefault="00E23D68" w:rsidP="00C16B52">
            <w:pPr>
              <w:pStyle w:val="TableText0"/>
              <w:widowControl w:val="0"/>
              <w:jc w:val="center"/>
            </w:pPr>
            <w:r w:rsidRPr="000417C3">
              <w:t>$</w:t>
            </w:r>
            <w:r w:rsidR="009951A2" w:rsidRPr="009951A2">
              <w:rPr>
                <w:highlight w:val="black"/>
              </w:rPr>
              <w:t>&amp;&amp;&amp;&amp;</w:t>
            </w:r>
          </w:p>
        </w:tc>
        <w:tc>
          <w:tcPr>
            <w:tcW w:w="631" w:type="pct"/>
            <w:vAlign w:val="center"/>
          </w:tcPr>
          <w:p w14:paraId="78169381" w14:textId="30231EA6" w:rsidR="00E23D68" w:rsidRPr="000E5B3A" w:rsidRDefault="00E23D68" w:rsidP="00C16B52">
            <w:pPr>
              <w:pStyle w:val="TableText0"/>
              <w:widowControl w:val="0"/>
              <w:jc w:val="center"/>
            </w:pPr>
            <w:r w:rsidRPr="000417C3">
              <w:t>0.359</w:t>
            </w:r>
          </w:p>
        </w:tc>
        <w:tc>
          <w:tcPr>
            <w:tcW w:w="500" w:type="pct"/>
            <w:vAlign w:val="center"/>
          </w:tcPr>
          <w:p w14:paraId="1525BACB" w14:textId="314D84CF" w:rsidR="00E23D68" w:rsidRPr="00710BBF" w:rsidRDefault="00E23D68" w:rsidP="00C16B52">
            <w:pPr>
              <w:pStyle w:val="TableText0"/>
              <w:widowControl w:val="0"/>
              <w:jc w:val="center"/>
              <w:rPr>
                <w:vertAlign w:val="superscript"/>
              </w:rPr>
            </w:pPr>
            <w:r w:rsidRPr="000417C3">
              <w:t>$</w:t>
            </w:r>
            <w:r w:rsidR="009951A2" w:rsidRPr="009951A2">
              <w:rPr>
                <w:highlight w:val="black"/>
              </w:rPr>
              <w:t>&amp;&amp;&amp;&amp;</w:t>
            </w:r>
            <w:r w:rsidR="00710BBF">
              <w:rPr>
                <w:vertAlign w:val="superscript"/>
              </w:rPr>
              <w:t>3</w:t>
            </w:r>
          </w:p>
        </w:tc>
        <w:tc>
          <w:tcPr>
            <w:tcW w:w="728" w:type="pct"/>
            <w:vAlign w:val="center"/>
          </w:tcPr>
          <w:p w14:paraId="637BCC32" w14:textId="69B974AE" w:rsidR="00E23D68" w:rsidRPr="000E5B3A" w:rsidRDefault="009951A2" w:rsidP="00C16B52">
            <w:pPr>
              <w:pStyle w:val="TableText0"/>
              <w:widowControl w:val="0"/>
              <w:jc w:val="center"/>
            </w:pPr>
            <w:r w:rsidRPr="009951A2">
              <w:rPr>
                <w:highlight w:val="black"/>
              </w:rPr>
              <w:t>&amp;&amp;&amp;&amp;</w:t>
            </w:r>
            <w:r w:rsidR="00E23D68">
              <w:t>%</w:t>
            </w:r>
          </w:p>
        </w:tc>
      </w:tr>
    </w:tbl>
    <w:p w14:paraId="7A1C726F" w14:textId="77777777" w:rsidR="00D4144B" w:rsidRPr="000E5B3A" w:rsidRDefault="00D4144B" w:rsidP="00D4144B">
      <w:pPr>
        <w:pStyle w:val="TableFigureFooter"/>
        <w:keepNext/>
      </w:pPr>
      <w:r w:rsidRPr="000E5B3A">
        <w:t>Source: Constructed during evaluation using Retifanlimab_SCAC_CUA.xlsx.</w:t>
      </w:r>
    </w:p>
    <w:p w14:paraId="17ACAF40" w14:textId="215018D0" w:rsidR="00AD0FB3" w:rsidRPr="000E5B3A" w:rsidRDefault="00B43F86" w:rsidP="00757F2A">
      <w:pPr>
        <w:pStyle w:val="TableFigureFooter"/>
        <w:keepNext/>
      </w:pPr>
      <w:r w:rsidRPr="000E5B3A">
        <w:t>ITT = intention to treat; OS = overall survival; RPSFT = rank preserving structural failure time</w:t>
      </w:r>
      <w:r w:rsidR="00610021" w:rsidRPr="000E5B3A">
        <w:t>; yr = year</w:t>
      </w:r>
      <w:r w:rsidRPr="000E5B3A">
        <w:t xml:space="preserve">. </w:t>
      </w:r>
    </w:p>
    <w:p w14:paraId="5E77AB97" w14:textId="77777777" w:rsidR="007B3C08" w:rsidRDefault="00AD0FB3" w:rsidP="007B3C08">
      <w:pPr>
        <w:pStyle w:val="TableFigureFooter"/>
        <w:keepNext/>
        <w:rPr>
          <w:i/>
          <w:szCs w:val="18"/>
        </w:rPr>
      </w:pPr>
      <w:r w:rsidRPr="000E5B3A">
        <w:rPr>
          <w:vertAlign w:val="superscript"/>
        </w:rPr>
        <w:t>a</w:t>
      </w:r>
      <w:r w:rsidRPr="000E5B3A">
        <w:t xml:space="preserve"> Risk convergence as applied by the submission’s sensitivity analyses assumes that, after a particular time point, the PFS and/or OS HR between retifanlimab and avelumab immediately becomes 1 (i.e. the rate of change in PFS and OS for avelumab is applied to both avelumab and retifanlimab) until the end of the time horizon.</w:t>
      </w:r>
    </w:p>
    <w:p w14:paraId="4289E634" w14:textId="2B4A5A51" w:rsidR="007B3C08" w:rsidRPr="007B3C08" w:rsidRDefault="007B3C08" w:rsidP="007B3C08">
      <w:pPr>
        <w:pStyle w:val="TableFigureFooter"/>
        <w:keepNext/>
        <w:rPr>
          <w:i/>
        </w:rPr>
      </w:pPr>
      <w:r w:rsidRPr="007B3C08">
        <w:rPr>
          <w:i/>
        </w:rPr>
        <w:t xml:space="preserve">The redacted values correspond to the following ranges: </w:t>
      </w:r>
    </w:p>
    <w:p w14:paraId="3F512BE9" w14:textId="21E876E6" w:rsidR="007B3C08" w:rsidRPr="007B3C08" w:rsidRDefault="007B3C08" w:rsidP="007B3C08">
      <w:pPr>
        <w:pStyle w:val="TableFigureFooter"/>
        <w:keepNext/>
        <w:rPr>
          <w:i/>
        </w:rPr>
      </w:pPr>
      <w:r w:rsidRPr="007B3C08">
        <w:rPr>
          <w:i/>
          <w:vertAlign w:val="superscript"/>
        </w:rPr>
        <w:t>1</w:t>
      </w:r>
      <w:r w:rsidR="00E32676">
        <w:rPr>
          <w:i/>
          <w:vertAlign w:val="superscript"/>
        </w:rPr>
        <w:t xml:space="preserve"> </w:t>
      </w:r>
      <w:r w:rsidR="00E32676" w:rsidRPr="00E32676">
        <w:rPr>
          <w:i/>
        </w:rPr>
        <w:t>$75,000 to &lt; $95,000</w:t>
      </w:r>
    </w:p>
    <w:p w14:paraId="280E6D60" w14:textId="2E266E50" w:rsidR="007B3C08" w:rsidRPr="007B3C08" w:rsidRDefault="007B3C08" w:rsidP="007B3C08">
      <w:pPr>
        <w:pStyle w:val="TableFigureFooter"/>
        <w:keepNext/>
        <w:rPr>
          <w:i/>
        </w:rPr>
      </w:pPr>
      <w:r w:rsidRPr="007B3C08">
        <w:rPr>
          <w:i/>
          <w:vertAlign w:val="superscript"/>
        </w:rPr>
        <w:t>2</w:t>
      </w:r>
      <w:r w:rsidRPr="007B3C08">
        <w:rPr>
          <w:i/>
        </w:rPr>
        <w:t xml:space="preserve"> </w:t>
      </w:r>
      <w:bookmarkStart w:id="80" w:name="_Hlk219203736"/>
      <w:r w:rsidR="00303273" w:rsidRPr="00303273">
        <w:rPr>
          <w:i/>
        </w:rPr>
        <w:t>$115,000 to &lt; $135,000</w:t>
      </w:r>
      <w:bookmarkEnd w:id="80"/>
    </w:p>
    <w:p w14:paraId="4C86CCA6" w14:textId="55227835" w:rsidR="007B3C08" w:rsidRPr="007B3C08" w:rsidRDefault="007B3C08" w:rsidP="007B3C08">
      <w:pPr>
        <w:pStyle w:val="TableFigureFooter"/>
        <w:keepNext/>
        <w:rPr>
          <w:i/>
        </w:rPr>
      </w:pPr>
      <w:r w:rsidRPr="007B3C08">
        <w:rPr>
          <w:i/>
          <w:vertAlign w:val="superscript"/>
        </w:rPr>
        <w:t>3</w:t>
      </w:r>
      <w:r w:rsidRPr="007B3C08">
        <w:rPr>
          <w:i/>
        </w:rPr>
        <w:t xml:space="preserve"> </w:t>
      </w:r>
      <w:r w:rsidR="00710BBF" w:rsidRPr="00710BBF">
        <w:rPr>
          <w:i/>
        </w:rPr>
        <w:t>$155,000 to &lt; $255,000</w:t>
      </w:r>
    </w:p>
    <w:p w14:paraId="6A65CECC" w14:textId="146083EC" w:rsidR="007B3C08" w:rsidRPr="007B3C08" w:rsidRDefault="007B3C08" w:rsidP="007B3C08">
      <w:pPr>
        <w:pStyle w:val="TableFigureFooter"/>
        <w:keepNext/>
        <w:rPr>
          <w:i/>
        </w:rPr>
      </w:pPr>
      <w:r w:rsidRPr="007B3C08">
        <w:rPr>
          <w:i/>
          <w:vertAlign w:val="superscript"/>
        </w:rPr>
        <w:t>4</w:t>
      </w:r>
      <w:r w:rsidRPr="007B3C08">
        <w:rPr>
          <w:i/>
        </w:rPr>
        <w:t xml:space="preserve"> </w:t>
      </w:r>
      <w:bookmarkStart w:id="81" w:name="_Hlk219203787"/>
      <w:r w:rsidR="000B1531" w:rsidRPr="000B1531">
        <w:rPr>
          <w:i/>
        </w:rPr>
        <w:t>$135,000 to &lt; $155,000</w:t>
      </w:r>
      <w:bookmarkEnd w:id="81"/>
    </w:p>
    <w:p w14:paraId="568977A3" w14:textId="157D0EBB" w:rsidR="007B3C08" w:rsidRPr="007B3C08" w:rsidRDefault="007B3C08" w:rsidP="007B3C08">
      <w:pPr>
        <w:pStyle w:val="TableFigureFooter"/>
        <w:keepNext/>
        <w:rPr>
          <w:i/>
        </w:rPr>
      </w:pPr>
      <w:r w:rsidRPr="007B3C08">
        <w:rPr>
          <w:i/>
          <w:vertAlign w:val="superscript"/>
        </w:rPr>
        <w:t>5</w:t>
      </w:r>
      <w:r w:rsidRPr="007B3C08">
        <w:rPr>
          <w:i/>
        </w:rPr>
        <w:t xml:space="preserve"> </w:t>
      </w:r>
      <w:bookmarkStart w:id="82" w:name="_Hlk219203701"/>
      <w:bookmarkStart w:id="83" w:name="_Hlk219197021"/>
      <w:r w:rsidR="00221D6A" w:rsidRPr="00221D6A">
        <w:rPr>
          <w:i/>
        </w:rPr>
        <w:t>$95,000 to &lt; $115,000</w:t>
      </w:r>
      <w:bookmarkEnd w:id="82"/>
      <w:bookmarkEnd w:id="83"/>
    </w:p>
    <w:p w14:paraId="3FC699B6" w14:textId="72BF9E73" w:rsidR="00AD0FB3" w:rsidRPr="000E5B3A" w:rsidRDefault="00AD0FB3" w:rsidP="00AD0FB3">
      <w:pPr>
        <w:pStyle w:val="TableFigureFooter"/>
        <w:keepNext/>
      </w:pPr>
    </w:p>
    <w:p w14:paraId="7C1D0A0D" w14:textId="30CCDECB" w:rsidR="00C25D9C" w:rsidRPr="000E5B3A" w:rsidRDefault="009710E6" w:rsidP="00BB732D">
      <w:pPr>
        <w:pStyle w:val="3-BodyText"/>
      </w:pPr>
      <w:bookmarkStart w:id="84" w:name="_Ref211509669"/>
      <w:r w:rsidRPr="000E5B3A">
        <w:t xml:space="preserve">The evaluation </w:t>
      </w:r>
      <w:r w:rsidR="00E46E46" w:rsidRPr="000E5B3A">
        <w:t xml:space="preserve">and the ESC </w:t>
      </w:r>
      <w:r w:rsidRPr="000E5B3A">
        <w:t>considered that o</w:t>
      </w:r>
      <w:r w:rsidR="006350D7" w:rsidRPr="000E5B3A">
        <w:t>verall, the</w:t>
      </w:r>
      <w:r w:rsidRPr="000E5B3A">
        <w:t xml:space="preserve"> </w:t>
      </w:r>
      <w:r w:rsidR="006350D7" w:rsidRPr="000E5B3A">
        <w:t>results from the economic model presented in the submission were uncertain, and may have favoured retifanlimab for the following reasons:</w:t>
      </w:r>
      <w:bookmarkEnd w:id="84"/>
    </w:p>
    <w:p w14:paraId="5208937B" w14:textId="6E43FACC" w:rsidR="006350D7" w:rsidRPr="000E5B3A" w:rsidRDefault="006350D7" w:rsidP="002A4947">
      <w:pPr>
        <w:pStyle w:val="ListParagraph"/>
        <w:ind w:left="1134"/>
        <w:jc w:val="both"/>
      </w:pPr>
      <w:r w:rsidRPr="000E5B3A">
        <w:t>A 15-year time horizon may be overly optimistic and uncertain</w:t>
      </w:r>
      <w:r w:rsidR="00524C45" w:rsidRPr="000E5B3A">
        <w:t xml:space="preserve">, as outlined in </w:t>
      </w:r>
      <w:r w:rsidR="00F833D0" w:rsidRPr="000E5B3A">
        <w:t xml:space="preserve">paragraph </w:t>
      </w:r>
      <w:r w:rsidR="008916E6" w:rsidRPr="000E5B3A">
        <w:fldChar w:fldCharType="begin"/>
      </w:r>
      <w:r w:rsidR="008916E6" w:rsidRPr="000E5B3A">
        <w:instrText xml:space="preserve"> REF _Ref211508655 \r \h </w:instrText>
      </w:r>
      <w:r w:rsidR="004D03FA" w:rsidRPr="000E5B3A">
        <w:instrText xml:space="preserve"> \* MERGEFORMAT </w:instrText>
      </w:r>
      <w:r w:rsidR="008916E6" w:rsidRPr="000E5B3A">
        <w:fldChar w:fldCharType="separate"/>
      </w:r>
      <w:r w:rsidR="00DB6E72">
        <w:t>6.34</w:t>
      </w:r>
      <w:r w:rsidR="008916E6" w:rsidRPr="000E5B3A">
        <w:fldChar w:fldCharType="end"/>
      </w:r>
      <w:r w:rsidR="00F833D0" w:rsidRPr="000E5B3A">
        <w:t xml:space="preserve">. </w:t>
      </w:r>
      <w:r w:rsidR="001A6764" w:rsidRPr="000E5B3A">
        <w:t>The ESC con</w:t>
      </w:r>
      <w:r w:rsidR="00466800" w:rsidRPr="000E5B3A">
        <w:t>sidered a 10-year time horizon to be more appropriate</w:t>
      </w:r>
      <w:r w:rsidR="008832BA" w:rsidRPr="000E5B3A">
        <w:t xml:space="preserve"> to</w:t>
      </w:r>
      <w:r w:rsidR="006E0FA2" w:rsidRPr="000E5B3A">
        <w:t xml:space="preserve"> help</w:t>
      </w:r>
      <w:r w:rsidR="008832BA" w:rsidRPr="000E5B3A">
        <w:t xml:space="preserve"> account for uncertainty in long term outcomes</w:t>
      </w:r>
      <w:r w:rsidR="00F77037" w:rsidRPr="000E5B3A">
        <w:t xml:space="preserve">. The </w:t>
      </w:r>
      <w:r w:rsidR="005F0EC0" w:rsidRPr="000E5B3A">
        <w:t xml:space="preserve">Pre-PBAC response </w:t>
      </w:r>
      <w:r w:rsidR="00344B86" w:rsidRPr="000E5B3A">
        <w:t>indicated that ‘</w:t>
      </w:r>
      <w:r w:rsidR="000506AD" w:rsidRPr="000E5B3A">
        <w:t>(t)</w:t>
      </w:r>
      <w:r w:rsidR="00344B86" w:rsidRPr="000E5B3A">
        <w:t>he Sponsor is willing to adopt a truncated 10-year time horizon in a revised base case to help account for uncertainty in long term outcomes</w:t>
      </w:r>
      <w:r w:rsidR="000506AD" w:rsidRPr="000E5B3A">
        <w:t>’.</w:t>
      </w:r>
    </w:p>
    <w:p w14:paraId="3C34E786" w14:textId="48EF88A1" w:rsidR="0015631C" w:rsidRDefault="006350D7" w:rsidP="00CC1F58">
      <w:pPr>
        <w:pStyle w:val="ListParagraph"/>
        <w:ind w:left="1134"/>
        <w:jc w:val="both"/>
      </w:pPr>
      <w:r w:rsidRPr="000E5B3A">
        <w:lastRenderedPageBreak/>
        <w:t>The base case model applied POD1UM-303 OS data based on the RPSFT</w:t>
      </w:r>
      <w:r w:rsidR="00A818FD" w:rsidRPr="000E5B3A">
        <w:t xml:space="preserve"> post hoc</w:t>
      </w:r>
      <w:r w:rsidRPr="000E5B3A">
        <w:t xml:space="preserve"> analysis</w:t>
      </w:r>
      <w:r w:rsidR="0044291E" w:rsidRPr="000E5B3A">
        <w:t xml:space="preserve">, </w:t>
      </w:r>
      <w:r w:rsidR="00C91F14" w:rsidRPr="000E5B3A">
        <w:t xml:space="preserve">however the assumption of a </w:t>
      </w:r>
      <w:r w:rsidR="006D2445" w:rsidRPr="000E5B3A">
        <w:t xml:space="preserve">constant treatment effect </w:t>
      </w:r>
      <w:r w:rsidR="00C91F14" w:rsidRPr="000E5B3A">
        <w:t>was likely violated (i.e.</w:t>
      </w:r>
      <w:r w:rsidR="006D2445" w:rsidRPr="000E5B3A">
        <w:t xml:space="preserve"> considering that 2L (retifanlimab) may be less effective compared to 1L retifanlimab + CP</w:t>
      </w:r>
      <w:r w:rsidR="00524C45" w:rsidRPr="000E5B3A">
        <w:t xml:space="preserve">, as outlined in </w:t>
      </w:r>
      <w:r w:rsidR="0040239E" w:rsidRPr="000E5B3A">
        <w:t xml:space="preserve">paragraph </w:t>
      </w:r>
      <w:r w:rsidR="004D03FA" w:rsidRPr="000E5B3A">
        <w:fldChar w:fldCharType="begin"/>
      </w:r>
      <w:r w:rsidR="004D03FA" w:rsidRPr="000E5B3A">
        <w:instrText xml:space="preserve"> REF _Ref211508959 \r \h  \* MERGEFORMAT </w:instrText>
      </w:r>
      <w:r w:rsidR="004D03FA" w:rsidRPr="000E5B3A">
        <w:fldChar w:fldCharType="separate"/>
      </w:r>
      <w:r w:rsidR="00DB6E72">
        <w:t>6.36</w:t>
      </w:r>
      <w:r w:rsidR="004D03FA" w:rsidRPr="000E5B3A">
        <w:fldChar w:fldCharType="end"/>
      </w:r>
      <w:r w:rsidR="0040239E" w:rsidRPr="000E5B3A">
        <w:t>)</w:t>
      </w:r>
      <w:r w:rsidR="00426BD2" w:rsidRPr="000E5B3A">
        <w:t xml:space="preserve">. In the absence of </w:t>
      </w:r>
      <w:r w:rsidR="003F2F04" w:rsidRPr="000E5B3A">
        <w:t xml:space="preserve">more reliable </w:t>
      </w:r>
      <w:r w:rsidR="00426BD2" w:rsidRPr="000E5B3A">
        <w:t>data, the evaluation and the ESC considered it may be reasonable to use the POD1UM-303 ITT OS results as the base case</w:t>
      </w:r>
      <w:r w:rsidR="007051C0" w:rsidRPr="000E5B3A">
        <w:t>. The Pre-PBAC response</w:t>
      </w:r>
      <w:r w:rsidR="00FE6C89">
        <w:t xml:space="preserve"> </w:t>
      </w:r>
      <w:r w:rsidR="00054C5A" w:rsidRPr="000E5B3A">
        <w:t>maintained</w:t>
      </w:r>
      <w:r w:rsidR="007051C0" w:rsidRPr="000E5B3A">
        <w:t xml:space="preserve"> </w:t>
      </w:r>
      <w:r w:rsidR="00054C5A" w:rsidRPr="000E5B3A">
        <w:t xml:space="preserve">the view that the ITT analysis underestimates OS benefit due to crossover, </w:t>
      </w:r>
      <w:r w:rsidR="006D295D" w:rsidRPr="000E5B3A">
        <w:t>but</w:t>
      </w:r>
      <w:r w:rsidR="00054C5A" w:rsidRPr="000E5B3A">
        <w:t xml:space="preserve"> </w:t>
      </w:r>
      <w:r w:rsidR="00E02801" w:rsidRPr="000E5B3A">
        <w:t>indicated</w:t>
      </w:r>
      <w:r w:rsidR="00840559" w:rsidRPr="000E5B3A">
        <w:t xml:space="preserve"> that </w:t>
      </w:r>
      <w:r w:rsidR="00E02801" w:rsidRPr="000E5B3A">
        <w:t>the Sponsor ‘is willing to adopt the ITT analysis in a revised base case</w:t>
      </w:r>
      <w:r w:rsidR="00A55611" w:rsidRPr="000E5B3A">
        <w:t>’</w:t>
      </w:r>
      <w:r w:rsidR="00E02801" w:rsidRPr="000E5B3A">
        <w:t xml:space="preserve">. </w:t>
      </w:r>
    </w:p>
    <w:p w14:paraId="306AF9CD" w14:textId="28E7FD7B" w:rsidR="00CC1F58" w:rsidRPr="000E5B3A" w:rsidRDefault="00CC1F58" w:rsidP="00CC1F58">
      <w:pPr>
        <w:pStyle w:val="ListParagraph"/>
        <w:ind w:left="1134"/>
        <w:jc w:val="both"/>
      </w:pPr>
      <w:r w:rsidRPr="000E5B3A">
        <w:t xml:space="preserve">The model’s base case did not include risk convergence. Even with the shorter time horizon of ten years, the ESC considered the assumed continued survival benefit associated with retifanlimab was optimistic, given the relatively immature OS data (with a median trial follow-up of less than 15 months for OS). Thus, the ESC considered that risk convergence from 5 years would be more reasonable. </w:t>
      </w:r>
      <w:r w:rsidR="00433ABD" w:rsidRPr="000E5B3A">
        <w:t xml:space="preserve">The Pre-PBAC response argued that it </w:t>
      </w:r>
      <w:r w:rsidR="001E0554" w:rsidRPr="000E5B3A">
        <w:t xml:space="preserve">considered it would be overly conservative to apply the </w:t>
      </w:r>
      <w:r w:rsidR="008F245F" w:rsidRPr="000E5B3A">
        <w:t>‘</w:t>
      </w:r>
      <w:r w:rsidR="001E0554" w:rsidRPr="000E5B3A">
        <w:t>arbitrary assumption of risk convergence in the model’</w:t>
      </w:r>
      <w:r w:rsidR="008A40BA" w:rsidRPr="000E5B3A">
        <w:t xml:space="preserve"> </w:t>
      </w:r>
      <w:r w:rsidR="008F245F" w:rsidRPr="000E5B3A">
        <w:t xml:space="preserve">in addition to the </w:t>
      </w:r>
      <w:r w:rsidR="008A40BA" w:rsidRPr="000E5B3A">
        <w:t>10</w:t>
      </w:r>
      <w:r w:rsidR="001E513D">
        <w:t>-</w:t>
      </w:r>
      <w:r w:rsidR="008A40BA" w:rsidRPr="000E5B3A">
        <w:t xml:space="preserve">year </w:t>
      </w:r>
      <w:r w:rsidR="00355AE1" w:rsidRPr="000E5B3A">
        <w:t xml:space="preserve">time horizon and use of ITT analysis in the revised base case. </w:t>
      </w:r>
    </w:p>
    <w:p w14:paraId="4903DDEC" w14:textId="5A2EEAC9" w:rsidR="0044084D" w:rsidRPr="000E5B3A" w:rsidRDefault="006350D7">
      <w:pPr>
        <w:pStyle w:val="ListParagraph"/>
        <w:ind w:left="1134"/>
        <w:jc w:val="both"/>
      </w:pPr>
      <w:r w:rsidRPr="000E5B3A">
        <w:t>While the submission claimed it was inappropriate to use the retifanlimab + CP OS KM data for more than 29 months in the model, Gebski criterion 1 (5%) and Gebski criterion 2 had not been met at this time point (with the retifanlimab + CP arm KM data used until 31.5 months and 34.0 months for these criteri</w:t>
      </w:r>
      <w:r w:rsidR="003D1726" w:rsidRPr="000E5B3A">
        <w:t>a</w:t>
      </w:r>
      <w:r w:rsidRPr="000E5B3A">
        <w:t>, respectively)</w:t>
      </w:r>
      <w:r w:rsidR="0087546E" w:rsidRPr="000E5B3A">
        <w:t>, as outlined in paragraph</w:t>
      </w:r>
      <w:r w:rsidR="002B4538" w:rsidRPr="000E5B3A">
        <w:t xml:space="preserve">s </w:t>
      </w:r>
      <w:r w:rsidR="00F41061" w:rsidRPr="000E5B3A">
        <w:fldChar w:fldCharType="begin"/>
      </w:r>
      <w:r w:rsidR="00F41061" w:rsidRPr="000E5B3A">
        <w:instrText xml:space="preserve"> REF _Ref212020626 \r \h </w:instrText>
      </w:r>
      <w:r w:rsidR="00A01648" w:rsidRPr="000E5B3A">
        <w:instrText xml:space="preserve"> \* MERGEFORMAT </w:instrText>
      </w:r>
      <w:r w:rsidR="00F41061" w:rsidRPr="000E5B3A">
        <w:fldChar w:fldCharType="separate"/>
      </w:r>
      <w:r w:rsidR="00DB6E72">
        <w:t>6.40</w:t>
      </w:r>
      <w:r w:rsidR="00F41061" w:rsidRPr="000E5B3A">
        <w:fldChar w:fldCharType="end"/>
      </w:r>
      <w:r w:rsidR="00A01648" w:rsidRPr="000E5B3A">
        <w:t xml:space="preserve"> - </w:t>
      </w:r>
      <w:r w:rsidR="00F41061" w:rsidRPr="000E5B3A">
        <w:fldChar w:fldCharType="begin"/>
      </w:r>
      <w:r w:rsidR="00F41061" w:rsidRPr="000E5B3A">
        <w:instrText xml:space="preserve"> REF _Ref211509342 \r \h </w:instrText>
      </w:r>
      <w:r w:rsidR="00A01648" w:rsidRPr="000E5B3A">
        <w:instrText xml:space="preserve"> \* MERGEFORMAT </w:instrText>
      </w:r>
      <w:r w:rsidR="00F41061" w:rsidRPr="000E5B3A">
        <w:fldChar w:fldCharType="separate"/>
      </w:r>
      <w:r w:rsidR="00DB6E72">
        <w:t>6.41</w:t>
      </w:r>
      <w:r w:rsidR="00F41061" w:rsidRPr="000E5B3A">
        <w:fldChar w:fldCharType="end"/>
      </w:r>
      <w:r w:rsidRPr="000E5B3A">
        <w:t xml:space="preserve">. </w:t>
      </w:r>
      <w:r w:rsidR="00524C45" w:rsidRPr="000E5B3A">
        <w:t xml:space="preserve">The ESC considered it </w:t>
      </w:r>
      <w:r w:rsidR="009D7DF0" w:rsidRPr="000E5B3A">
        <w:t>may be</w:t>
      </w:r>
      <w:r w:rsidR="00524C45" w:rsidRPr="000E5B3A">
        <w:t xml:space="preserve"> </w:t>
      </w:r>
      <w:r w:rsidR="001C182A" w:rsidRPr="000E5B3A">
        <w:t>reasonable</w:t>
      </w:r>
      <w:r w:rsidR="00524C45" w:rsidRPr="000E5B3A">
        <w:t xml:space="preserve"> to </w:t>
      </w:r>
      <w:r w:rsidR="001C182A" w:rsidRPr="000E5B3A">
        <w:t>continue</w:t>
      </w:r>
      <w:r w:rsidR="00256D7B" w:rsidRPr="000E5B3A">
        <w:t xml:space="preserve"> to use </w:t>
      </w:r>
      <w:r w:rsidR="001C182A" w:rsidRPr="000E5B3A">
        <w:t xml:space="preserve">observed KM data past 29 months </w:t>
      </w:r>
      <w:r w:rsidR="00256D7B" w:rsidRPr="000E5B3A">
        <w:t>(</w:t>
      </w:r>
      <w:r w:rsidR="00806C96" w:rsidRPr="000E5B3A">
        <w:t>i.e.</w:t>
      </w:r>
      <w:r w:rsidR="00256D7B" w:rsidRPr="000E5B3A">
        <w:t xml:space="preserve"> Gebski 1 </w:t>
      </w:r>
      <w:r w:rsidR="00CE6E35">
        <w:t>(</w:t>
      </w:r>
      <w:r w:rsidR="00256D7B" w:rsidRPr="000E5B3A">
        <w:t>5%</w:t>
      </w:r>
      <w:r w:rsidR="00CE6E35">
        <w:t>)</w:t>
      </w:r>
      <w:r w:rsidR="00256D7B" w:rsidRPr="000E5B3A">
        <w:t xml:space="preserve"> cutoff or Gebski 2).</w:t>
      </w:r>
      <w:r w:rsidR="00373555" w:rsidRPr="000E5B3A">
        <w:t xml:space="preserve"> The Pre-PBAC response </w:t>
      </w:r>
      <w:r w:rsidR="00BB39AE" w:rsidRPr="000E5B3A">
        <w:t xml:space="preserve">maintained that </w:t>
      </w:r>
      <w:r w:rsidR="00586BBC" w:rsidRPr="000E5B3A">
        <w:t xml:space="preserve">the use of Gebski 1 </w:t>
      </w:r>
      <w:r w:rsidR="00885FE8">
        <w:t>(</w:t>
      </w:r>
      <w:r w:rsidR="00586BBC" w:rsidRPr="000E5B3A">
        <w:t>5%</w:t>
      </w:r>
      <w:r w:rsidR="00885FE8">
        <w:t>)</w:t>
      </w:r>
      <w:r w:rsidR="00586BBC" w:rsidRPr="000E5B3A">
        <w:t xml:space="preserve"> or Gebski 2 </w:t>
      </w:r>
      <w:r w:rsidR="00F472B4" w:rsidRPr="000E5B3A">
        <w:t xml:space="preserve">bias against retifanlimab </w:t>
      </w:r>
      <w:r w:rsidR="00842EF4" w:rsidRPr="000E5B3A">
        <w:t xml:space="preserve">due to </w:t>
      </w:r>
      <w:r w:rsidR="00030FF8" w:rsidRPr="000E5B3A">
        <w:t xml:space="preserve">the inclusion of a 6.8% drop </w:t>
      </w:r>
      <w:r w:rsidR="00664450" w:rsidRPr="000E5B3A">
        <w:t xml:space="preserve">in survival </w:t>
      </w:r>
      <w:r w:rsidR="00030FF8" w:rsidRPr="000E5B3A">
        <w:t>at 29 months</w:t>
      </w:r>
      <w:r w:rsidR="00F472B4" w:rsidRPr="000E5B3A">
        <w:t>, which reduces the ITT incremental OS from 11.4% to 4.6% when &lt;10% remain at risk</w:t>
      </w:r>
      <w:r w:rsidR="00C50038" w:rsidRPr="000E5B3A">
        <w:t xml:space="preserve">. </w:t>
      </w:r>
    </w:p>
    <w:p w14:paraId="14E6F6CD" w14:textId="40347D13" w:rsidR="00443AA9" w:rsidRPr="000E5B3A" w:rsidRDefault="007A2B58" w:rsidP="00346F05">
      <w:pPr>
        <w:pStyle w:val="3-BodyText"/>
      </w:pPr>
      <w:bookmarkStart w:id="85" w:name="_Ref215490727"/>
      <w:r w:rsidRPr="000E5B3A">
        <w:t xml:space="preserve">The Pre-PBAC response </w:t>
      </w:r>
      <w:r w:rsidR="00443AA9" w:rsidRPr="000E5B3A">
        <w:t>presented</w:t>
      </w:r>
      <w:r w:rsidRPr="000E5B3A">
        <w:t xml:space="preserve"> a revised base case </w:t>
      </w:r>
      <w:r w:rsidR="00BA708D">
        <w:t>with</w:t>
      </w:r>
      <w:r w:rsidR="00443AA9" w:rsidRPr="000E5B3A">
        <w:t xml:space="preserve"> a 10-year time horizon and ITT analysis of OS data</w:t>
      </w:r>
      <w:r w:rsidR="00B41819" w:rsidRPr="000E5B3A">
        <w:t xml:space="preserve">, and a </w:t>
      </w:r>
      <w:r w:rsidR="009951A2" w:rsidRPr="009951A2">
        <w:rPr>
          <w:highlight w:val="black"/>
        </w:rPr>
        <w:t>&amp;&amp;&amp;&amp;</w:t>
      </w:r>
      <w:r w:rsidR="00B41819" w:rsidRPr="000E5B3A">
        <w:t xml:space="preserve">% price reduction </w:t>
      </w:r>
      <w:r w:rsidR="00551359" w:rsidRPr="000E5B3A">
        <w:t xml:space="preserve">to </w:t>
      </w:r>
      <w:r w:rsidR="0088171E" w:rsidRPr="000E5B3A">
        <w:t>$</w:t>
      </w:r>
      <w:r w:rsidR="009951A2" w:rsidRPr="009951A2">
        <w:rPr>
          <w:highlight w:val="black"/>
        </w:rPr>
        <w:t>&amp;&amp;&amp;&amp;</w:t>
      </w:r>
      <w:r w:rsidR="0088171E" w:rsidRPr="000E5B3A">
        <w:t xml:space="preserve"> per 500 mg vial (from </w:t>
      </w:r>
      <w:r w:rsidR="00346F05" w:rsidRPr="00346F05">
        <w:t>$</w:t>
      </w:r>
      <w:r w:rsidR="009951A2" w:rsidRPr="009951A2">
        <w:rPr>
          <w:highlight w:val="black"/>
        </w:rPr>
        <w:t>&amp;&amp;&amp;&amp;</w:t>
      </w:r>
      <w:r w:rsidR="0088171E" w:rsidRPr="000E5B3A">
        <w:t>), resulting in an ICER of</w:t>
      </w:r>
      <w:r w:rsidR="00CD584A" w:rsidRPr="000E5B3A">
        <w:t xml:space="preserve"> </w:t>
      </w:r>
      <w:r w:rsidR="00AD1D44" w:rsidRPr="00AD1D44">
        <w:t>$75,000 to &lt; $95,000</w:t>
      </w:r>
      <w:r w:rsidR="00CD584A" w:rsidRPr="000E5B3A">
        <w:t xml:space="preserve"> per QALY</w:t>
      </w:r>
      <w:r w:rsidR="0088171E" w:rsidRPr="000E5B3A">
        <w:t xml:space="preserve"> </w:t>
      </w:r>
      <w:r w:rsidR="00CD584A" w:rsidRPr="000E5B3A">
        <w:t>for the revised base case</w:t>
      </w:r>
      <w:r w:rsidR="00443AA9" w:rsidRPr="000E5B3A">
        <w:t>.</w:t>
      </w:r>
      <w:bookmarkEnd w:id="85"/>
    </w:p>
    <w:p w14:paraId="472842D7" w14:textId="538ECF28" w:rsidR="00C25D9C" w:rsidRPr="000E5B3A" w:rsidRDefault="00C25D9C" w:rsidP="0044084D">
      <w:pPr>
        <w:pStyle w:val="4-SubsectionHeading"/>
      </w:pPr>
      <w:bookmarkStart w:id="86" w:name="_Toc22897646"/>
      <w:bookmarkStart w:id="87" w:name="_Toc208995344"/>
      <w:r w:rsidRPr="000E5B3A">
        <w:t>Drug cost/patient/course</w:t>
      </w:r>
      <w:bookmarkEnd w:id="86"/>
      <w:bookmarkEnd w:id="87"/>
    </w:p>
    <w:p w14:paraId="7B1930D2" w14:textId="25901C6A" w:rsidR="004F54A7" w:rsidRPr="000E5B3A" w:rsidRDefault="004F54A7" w:rsidP="004F54A7">
      <w:pPr>
        <w:pStyle w:val="3-BodyText"/>
      </w:pPr>
      <w:bookmarkStart w:id="88" w:name="_Ref104805102"/>
      <w:r w:rsidRPr="000E5B3A">
        <w:t xml:space="preserve">Drug costs per patient for retifanlimab are summarised in </w:t>
      </w:r>
      <w:fldSimple w:instr=" REF _Ref207832034 ">
        <w:r w:rsidR="00DB6E72" w:rsidRPr="000E5B3A">
          <w:t xml:space="preserve">Table </w:t>
        </w:r>
        <w:r w:rsidR="00DB6E72">
          <w:rPr>
            <w:noProof/>
          </w:rPr>
          <w:t>15</w:t>
        </w:r>
      </w:fldSimple>
      <w:r w:rsidRPr="000E5B3A">
        <w:t>.</w:t>
      </w:r>
      <w:r w:rsidR="00640828" w:rsidRPr="000E5B3A">
        <w:t xml:space="preserve"> </w:t>
      </w:r>
      <w:r w:rsidR="006F0FC0">
        <w:t xml:space="preserve">These are based on the drug costs proposed in the submission. </w:t>
      </w:r>
    </w:p>
    <w:p w14:paraId="78A0FF49" w14:textId="71EB46C7" w:rsidR="004F54A7" w:rsidRPr="000E5B3A" w:rsidRDefault="004F54A7" w:rsidP="004F54A7">
      <w:pPr>
        <w:pStyle w:val="Caption"/>
      </w:pPr>
      <w:bookmarkStart w:id="89" w:name="_Ref207832034"/>
      <w:r w:rsidRPr="000E5B3A">
        <w:lastRenderedPageBreak/>
        <w:t xml:space="preserve">Table </w:t>
      </w:r>
      <w:fldSimple w:instr=" SEQ Table \* ARABIC ">
        <w:r w:rsidR="00DB6E72">
          <w:rPr>
            <w:noProof/>
          </w:rPr>
          <w:t>15</w:t>
        </w:r>
      </w:fldSimple>
      <w:bookmarkEnd w:id="89"/>
      <w:r w:rsidRPr="000E5B3A">
        <w:t>: Drug cost per patient for retifanlimab + CP and placebo + CP</w:t>
      </w:r>
      <w:r w:rsidR="006F0FC0">
        <w:t xml:space="preserve"> (based on price proposed in 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Drug cost per patient for retifanlimab + CP and placebo + CP (based on price proposed in submission)"/>
      </w:tblPr>
      <w:tblGrid>
        <w:gridCol w:w="1271"/>
        <w:gridCol w:w="1843"/>
        <w:gridCol w:w="992"/>
        <w:gridCol w:w="1136"/>
        <w:gridCol w:w="1558"/>
        <w:gridCol w:w="1132"/>
        <w:gridCol w:w="1084"/>
      </w:tblGrid>
      <w:tr w:rsidR="004F54A7" w:rsidRPr="000E5B3A" w14:paraId="7B18D7E1" w14:textId="77777777" w:rsidTr="002C29A6">
        <w:trPr>
          <w:cantSplit/>
          <w:tblHeader/>
          <w:jc w:val="center"/>
        </w:trPr>
        <w:tc>
          <w:tcPr>
            <w:tcW w:w="705" w:type="pct"/>
            <w:vAlign w:val="center"/>
          </w:tcPr>
          <w:p w14:paraId="536E961E" w14:textId="77777777" w:rsidR="004F54A7" w:rsidRPr="000E5B3A" w:rsidRDefault="004F54A7" w:rsidP="00F531A7">
            <w:pPr>
              <w:pStyle w:val="In-tableHeading"/>
              <w:jc w:val="left"/>
              <w:rPr>
                <w:lang w:val="en-AU"/>
              </w:rPr>
            </w:pPr>
          </w:p>
        </w:tc>
        <w:tc>
          <w:tcPr>
            <w:tcW w:w="1022" w:type="pct"/>
            <w:vAlign w:val="center"/>
          </w:tcPr>
          <w:p w14:paraId="5481EDD0" w14:textId="154D6D86" w:rsidR="004F54A7" w:rsidRPr="000E5B3A" w:rsidRDefault="004F54A7" w:rsidP="00F531A7">
            <w:pPr>
              <w:pStyle w:val="In-tableHeading"/>
              <w:rPr>
                <w:lang w:val="en-AU"/>
              </w:rPr>
            </w:pPr>
            <w:r w:rsidRPr="000E5B3A">
              <w:rPr>
                <w:lang w:val="en-AU"/>
              </w:rPr>
              <w:t>RET + CP</w:t>
            </w:r>
          </w:p>
          <w:p w14:paraId="178D3A81" w14:textId="77777777" w:rsidR="004F54A7" w:rsidRPr="000E5B3A" w:rsidRDefault="004F54A7" w:rsidP="00F531A7">
            <w:pPr>
              <w:pStyle w:val="In-tableHeading"/>
              <w:rPr>
                <w:lang w:val="en-AU"/>
              </w:rPr>
            </w:pPr>
            <w:r w:rsidRPr="000E5B3A">
              <w:rPr>
                <w:lang w:val="en-AU"/>
              </w:rPr>
              <w:t>Trial dose and duration</w:t>
            </w:r>
          </w:p>
        </w:tc>
        <w:tc>
          <w:tcPr>
            <w:tcW w:w="550" w:type="pct"/>
            <w:vAlign w:val="center"/>
          </w:tcPr>
          <w:p w14:paraId="200A1698" w14:textId="77777777" w:rsidR="004F54A7" w:rsidRPr="000E5B3A" w:rsidRDefault="004F54A7" w:rsidP="00F531A7">
            <w:pPr>
              <w:pStyle w:val="In-tableHeading"/>
              <w:rPr>
                <w:lang w:val="en-AU"/>
              </w:rPr>
            </w:pPr>
            <w:r w:rsidRPr="000E5B3A">
              <w:rPr>
                <w:lang w:val="en-AU"/>
              </w:rPr>
              <w:t>RET + CP</w:t>
            </w:r>
          </w:p>
          <w:p w14:paraId="3E1193BE" w14:textId="77777777" w:rsidR="004F54A7" w:rsidRPr="000E5B3A" w:rsidRDefault="004F54A7" w:rsidP="00F531A7">
            <w:pPr>
              <w:pStyle w:val="In-tableHeading"/>
              <w:rPr>
                <w:lang w:val="en-AU"/>
              </w:rPr>
            </w:pPr>
            <w:r w:rsidRPr="000E5B3A">
              <w:rPr>
                <w:lang w:val="en-AU"/>
              </w:rPr>
              <w:t>Model</w:t>
            </w:r>
          </w:p>
        </w:tc>
        <w:tc>
          <w:tcPr>
            <w:tcW w:w="630" w:type="pct"/>
            <w:vAlign w:val="center"/>
          </w:tcPr>
          <w:p w14:paraId="435DC7A6" w14:textId="77777777" w:rsidR="004F54A7" w:rsidRPr="000E5B3A" w:rsidRDefault="004F54A7" w:rsidP="00F531A7">
            <w:pPr>
              <w:pStyle w:val="In-tableHeading"/>
              <w:rPr>
                <w:lang w:val="en-AU"/>
              </w:rPr>
            </w:pPr>
            <w:r w:rsidRPr="000E5B3A">
              <w:rPr>
                <w:lang w:val="en-AU"/>
              </w:rPr>
              <w:t>RET + CP</w:t>
            </w:r>
          </w:p>
          <w:p w14:paraId="7FC10D28" w14:textId="77777777" w:rsidR="004F54A7" w:rsidRPr="000E5B3A" w:rsidRDefault="004F54A7" w:rsidP="00F531A7">
            <w:pPr>
              <w:pStyle w:val="In-tableHeading"/>
              <w:rPr>
                <w:lang w:val="en-AU"/>
              </w:rPr>
            </w:pPr>
            <w:r w:rsidRPr="000E5B3A">
              <w:rPr>
                <w:lang w:val="en-AU"/>
              </w:rPr>
              <w:t>Financial estimates</w:t>
            </w:r>
          </w:p>
        </w:tc>
        <w:tc>
          <w:tcPr>
            <w:tcW w:w="864" w:type="pct"/>
            <w:vAlign w:val="center"/>
          </w:tcPr>
          <w:p w14:paraId="2C22C047" w14:textId="77777777" w:rsidR="004F54A7" w:rsidRPr="000E5B3A" w:rsidRDefault="004F54A7" w:rsidP="00F531A7">
            <w:pPr>
              <w:pStyle w:val="In-tableHeading"/>
              <w:rPr>
                <w:lang w:val="en-AU"/>
              </w:rPr>
            </w:pPr>
            <w:r w:rsidRPr="000E5B3A">
              <w:rPr>
                <w:lang w:val="en-AU"/>
              </w:rPr>
              <w:t>Placebo + CP</w:t>
            </w:r>
          </w:p>
          <w:p w14:paraId="4C372A4D" w14:textId="77777777" w:rsidR="004F54A7" w:rsidRPr="000E5B3A" w:rsidRDefault="004F54A7" w:rsidP="00F531A7">
            <w:pPr>
              <w:pStyle w:val="In-tableHeading"/>
              <w:rPr>
                <w:lang w:val="en-AU"/>
              </w:rPr>
            </w:pPr>
            <w:r w:rsidRPr="000E5B3A">
              <w:rPr>
                <w:lang w:val="en-AU"/>
              </w:rPr>
              <w:t>Trial dose and duration</w:t>
            </w:r>
          </w:p>
        </w:tc>
        <w:tc>
          <w:tcPr>
            <w:tcW w:w="628" w:type="pct"/>
            <w:vAlign w:val="center"/>
          </w:tcPr>
          <w:p w14:paraId="7B5EA2E3" w14:textId="77777777" w:rsidR="004F54A7" w:rsidRPr="000E5B3A" w:rsidRDefault="004F54A7" w:rsidP="00F531A7">
            <w:pPr>
              <w:pStyle w:val="In-tableHeading"/>
              <w:rPr>
                <w:lang w:val="en-AU"/>
              </w:rPr>
            </w:pPr>
            <w:r w:rsidRPr="000E5B3A">
              <w:rPr>
                <w:lang w:val="en-AU"/>
              </w:rPr>
              <w:t>CP</w:t>
            </w:r>
          </w:p>
          <w:p w14:paraId="789BD346" w14:textId="77777777" w:rsidR="004F54A7" w:rsidRPr="000E5B3A" w:rsidRDefault="004F54A7" w:rsidP="00F531A7">
            <w:pPr>
              <w:pStyle w:val="In-tableHeading"/>
              <w:rPr>
                <w:lang w:val="en-AU"/>
              </w:rPr>
            </w:pPr>
            <w:r w:rsidRPr="000E5B3A">
              <w:rPr>
                <w:lang w:val="en-AU"/>
              </w:rPr>
              <w:t>Model</w:t>
            </w:r>
          </w:p>
        </w:tc>
        <w:tc>
          <w:tcPr>
            <w:tcW w:w="601" w:type="pct"/>
            <w:vAlign w:val="center"/>
          </w:tcPr>
          <w:p w14:paraId="0D052B87" w14:textId="77777777" w:rsidR="004F54A7" w:rsidRPr="000E5B3A" w:rsidRDefault="004F54A7" w:rsidP="00F531A7">
            <w:pPr>
              <w:pStyle w:val="In-tableHeading"/>
              <w:rPr>
                <w:lang w:val="en-AU"/>
              </w:rPr>
            </w:pPr>
            <w:r w:rsidRPr="000E5B3A">
              <w:rPr>
                <w:lang w:val="en-AU"/>
              </w:rPr>
              <w:t>CP</w:t>
            </w:r>
          </w:p>
          <w:p w14:paraId="1A63A0B4" w14:textId="77777777" w:rsidR="004F54A7" w:rsidRPr="000E5B3A" w:rsidRDefault="004F54A7" w:rsidP="00F531A7">
            <w:pPr>
              <w:pStyle w:val="In-tableHeading"/>
              <w:rPr>
                <w:lang w:val="en-AU"/>
              </w:rPr>
            </w:pPr>
            <w:r w:rsidRPr="000E5B3A">
              <w:rPr>
                <w:lang w:val="en-AU"/>
              </w:rPr>
              <w:t>Financial estimates</w:t>
            </w:r>
          </w:p>
        </w:tc>
      </w:tr>
      <w:tr w:rsidR="004F54A7" w:rsidRPr="000E5B3A" w14:paraId="19D08050" w14:textId="77777777" w:rsidTr="002C29A6">
        <w:trPr>
          <w:cantSplit/>
          <w:jc w:val="center"/>
        </w:trPr>
        <w:tc>
          <w:tcPr>
            <w:tcW w:w="705" w:type="pct"/>
            <w:vAlign w:val="center"/>
          </w:tcPr>
          <w:p w14:paraId="031EBF50" w14:textId="5FA9A244" w:rsidR="004F54A7" w:rsidRPr="000E5B3A" w:rsidRDefault="004F54A7" w:rsidP="00F531A7">
            <w:pPr>
              <w:pStyle w:val="TableText0"/>
            </w:pPr>
            <w:r w:rsidRPr="000E5B3A">
              <w:t>Total dose RET</w:t>
            </w:r>
            <w:r w:rsidR="00884DF9" w:rsidRPr="000E5B3A">
              <w:rPr>
                <w:vertAlign w:val="superscript"/>
              </w:rPr>
              <w:t xml:space="preserve"> </w:t>
            </w:r>
          </w:p>
        </w:tc>
        <w:tc>
          <w:tcPr>
            <w:tcW w:w="1022" w:type="pct"/>
            <w:vAlign w:val="center"/>
          </w:tcPr>
          <w:p w14:paraId="4D9E1B2E" w14:textId="77777777" w:rsidR="004F54A7" w:rsidRPr="000E5B3A" w:rsidRDefault="004F54A7" w:rsidP="00F531A7">
            <w:pPr>
              <w:pStyle w:val="TableText0"/>
              <w:jc w:val="center"/>
            </w:pPr>
            <w:r w:rsidRPr="000E5B3A">
              <w:t>8.5 infusions</w:t>
            </w:r>
          </w:p>
          <w:p w14:paraId="4585999E" w14:textId="2825F9B3" w:rsidR="004F54A7" w:rsidRPr="000E5B3A" w:rsidRDefault="004F54A7" w:rsidP="00F531A7">
            <w:pPr>
              <w:pStyle w:val="TableText0"/>
              <w:jc w:val="center"/>
            </w:pPr>
            <w:r w:rsidRPr="000E5B3A">
              <w:t xml:space="preserve">499.8 mg </w:t>
            </w:r>
            <w:r w:rsidR="00B83D26" w:rsidRPr="000E5B3A">
              <w:t xml:space="preserve">mean </w:t>
            </w:r>
            <w:r w:rsidRPr="000E5B3A">
              <w:t>(med</w:t>
            </w:r>
            <w:r w:rsidR="005E3A8A" w:rsidRPr="000E5B3A">
              <w:t xml:space="preserve">. </w:t>
            </w:r>
            <w:r w:rsidRPr="000E5B3A">
              <w:t>9.0 infusions, 500.0 mg)</w:t>
            </w:r>
          </w:p>
        </w:tc>
        <w:tc>
          <w:tcPr>
            <w:tcW w:w="550" w:type="pct"/>
            <w:vAlign w:val="center"/>
          </w:tcPr>
          <w:p w14:paraId="31630E14" w14:textId="08170117" w:rsidR="004F54A7" w:rsidRPr="000E5B3A" w:rsidRDefault="004F54A7" w:rsidP="00F531A7">
            <w:pPr>
              <w:pStyle w:val="TableText0"/>
              <w:jc w:val="center"/>
            </w:pPr>
            <w:r w:rsidRPr="000E5B3A">
              <w:t>9 infusions</w:t>
            </w:r>
          </w:p>
        </w:tc>
        <w:tc>
          <w:tcPr>
            <w:tcW w:w="630" w:type="pct"/>
            <w:vAlign w:val="center"/>
          </w:tcPr>
          <w:p w14:paraId="401FDA46" w14:textId="77777777" w:rsidR="004F54A7" w:rsidRPr="000E5B3A" w:rsidRDefault="004F54A7" w:rsidP="00F531A7">
            <w:pPr>
              <w:pStyle w:val="TableText0"/>
              <w:jc w:val="center"/>
            </w:pPr>
            <w:r w:rsidRPr="000E5B3A">
              <w:t>9 infusions</w:t>
            </w:r>
          </w:p>
        </w:tc>
        <w:tc>
          <w:tcPr>
            <w:tcW w:w="864" w:type="pct"/>
            <w:vAlign w:val="center"/>
          </w:tcPr>
          <w:p w14:paraId="2105946F" w14:textId="77777777" w:rsidR="004F54A7" w:rsidRPr="000E5B3A" w:rsidRDefault="004F54A7" w:rsidP="00F531A7">
            <w:pPr>
              <w:pStyle w:val="TableText0"/>
              <w:jc w:val="center"/>
            </w:pPr>
            <w:r w:rsidRPr="000E5B3A">
              <w:t>NA</w:t>
            </w:r>
          </w:p>
        </w:tc>
        <w:tc>
          <w:tcPr>
            <w:tcW w:w="628" w:type="pct"/>
            <w:vAlign w:val="center"/>
          </w:tcPr>
          <w:p w14:paraId="6E1C3A77" w14:textId="77777777" w:rsidR="004F54A7" w:rsidRPr="000E5B3A" w:rsidRDefault="004F54A7" w:rsidP="00F531A7">
            <w:pPr>
              <w:pStyle w:val="TableText0"/>
              <w:jc w:val="center"/>
            </w:pPr>
            <w:r w:rsidRPr="000E5B3A">
              <w:t>NA</w:t>
            </w:r>
          </w:p>
        </w:tc>
        <w:tc>
          <w:tcPr>
            <w:tcW w:w="601" w:type="pct"/>
            <w:vAlign w:val="center"/>
          </w:tcPr>
          <w:p w14:paraId="4BFBE6C2" w14:textId="77777777" w:rsidR="004F54A7" w:rsidRPr="000E5B3A" w:rsidRDefault="004F54A7" w:rsidP="00F531A7">
            <w:pPr>
              <w:pStyle w:val="TableText0"/>
              <w:jc w:val="center"/>
            </w:pPr>
            <w:r w:rsidRPr="000E5B3A">
              <w:t>NA</w:t>
            </w:r>
          </w:p>
        </w:tc>
      </w:tr>
      <w:tr w:rsidR="004F54A7" w:rsidRPr="000E5B3A" w14:paraId="4BF31C19" w14:textId="77777777" w:rsidTr="002C29A6">
        <w:trPr>
          <w:cantSplit/>
          <w:jc w:val="center"/>
        </w:trPr>
        <w:tc>
          <w:tcPr>
            <w:tcW w:w="705" w:type="pct"/>
            <w:vAlign w:val="center"/>
          </w:tcPr>
          <w:p w14:paraId="6ED73CC0" w14:textId="77777777" w:rsidR="004F54A7" w:rsidRPr="000E5B3A" w:rsidRDefault="004F54A7" w:rsidP="00F531A7">
            <w:pPr>
              <w:pStyle w:val="TableText0"/>
            </w:pPr>
            <w:r w:rsidRPr="000E5B3A">
              <w:t>Mean duration RET</w:t>
            </w:r>
          </w:p>
        </w:tc>
        <w:tc>
          <w:tcPr>
            <w:tcW w:w="1022" w:type="pct"/>
            <w:vAlign w:val="center"/>
          </w:tcPr>
          <w:p w14:paraId="52427AB9" w14:textId="456F337A" w:rsidR="004F54A7" w:rsidRPr="000E5B3A" w:rsidRDefault="004F54A7" w:rsidP="00F531A7">
            <w:pPr>
              <w:pStyle w:val="TableText0"/>
              <w:jc w:val="center"/>
            </w:pPr>
            <w:r w:rsidRPr="000E5B3A">
              <w:t>7.476 mo</w:t>
            </w:r>
            <w:r w:rsidR="000F6E84" w:rsidRPr="000E5B3A">
              <w:t>.</w:t>
            </w:r>
            <w:r w:rsidRPr="000E5B3A">
              <w:t xml:space="preserve"> (median 7.409 mo</w:t>
            </w:r>
            <w:r w:rsidR="00BF5BDA" w:rsidRPr="000E5B3A">
              <w:t>.</w:t>
            </w:r>
            <w:r w:rsidRPr="000E5B3A">
              <w:t>)</w:t>
            </w:r>
          </w:p>
        </w:tc>
        <w:tc>
          <w:tcPr>
            <w:tcW w:w="550" w:type="pct"/>
            <w:vAlign w:val="center"/>
          </w:tcPr>
          <w:p w14:paraId="5B6AF77A" w14:textId="77777777" w:rsidR="004F54A7" w:rsidRPr="000E5B3A" w:rsidRDefault="004F54A7" w:rsidP="00F531A7">
            <w:pPr>
              <w:pStyle w:val="TableText0"/>
              <w:jc w:val="center"/>
            </w:pPr>
            <w:r w:rsidRPr="000E5B3A">
              <w:t>NA</w:t>
            </w:r>
          </w:p>
        </w:tc>
        <w:tc>
          <w:tcPr>
            <w:tcW w:w="630" w:type="pct"/>
            <w:vAlign w:val="center"/>
          </w:tcPr>
          <w:p w14:paraId="31A4EF38" w14:textId="5349E3B0" w:rsidR="004F54A7" w:rsidRPr="000E5B3A" w:rsidRDefault="004F54A7" w:rsidP="00F531A7">
            <w:pPr>
              <w:pStyle w:val="TableText0"/>
              <w:jc w:val="center"/>
            </w:pPr>
            <w:r w:rsidRPr="000E5B3A">
              <w:t>8.279 mo</w:t>
            </w:r>
            <w:r w:rsidR="000F6E84" w:rsidRPr="000E5B3A">
              <w:t>.</w:t>
            </w:r>
          </w:p>
        </w:tc>
        <w:tc>
          <w:tcPr>
            <w:tcW w:w="864" w:type="pct"/>
            <w:vAlign w:val="center"/>
          </w:tcPr>
          <w:p w14:paraId="1F7A0067" w14:textId="77777777" w:rsidR="004F54A7" w:rsidRPr="000E5B3A" w:rsidRDefault="004F54A7" w:rsidP="00F531A7">
            <w:pPr>
              <w:pStyle w:val="TableText0"/>
              <w:jc w:val="center"/>
            </w:pPr>
            <w:r w:rsidRPr="000E5B3A">
              <w:t>NA</w:t>
            </w:r>
          </w:p>
        </w:tc>
        <w:tc>
          <w:tcPr>
            <w:tcW w:w="628" w:type="pct"/>
            <w:vAlign w:val="center"/>
          </w:tcPr>
          <w:p w14:paraId="266E26B8" w14:textId="77777777" w:rsidR="004F54A7" w:rsidRPr="000E5B3A" w:rsidRDefault="004F54A7" w:rsidP="00F531A7">
            <w:pPr>
              <w:pStyle w:val="TableText0"/>
              <w:jc w:val="center"/>
            </w:pPr>
            <w:r w:rsidRPr="000E5B3A">
              <w:t>NA</w:t>
            </w:r>
          </w:p>
        </w:tc>
        <w:tc>
          <w:tcPr>
            <w:tcW w:w="601" w:type="pct"/>
            <w:vAlign w:val="center"/>
          </w:tcPr>
          <w:p w14:paraId="6AD01644" w14:textId="77777777" w:rsidR="004F54A7" w:rsidRPr="000E5B3A" w:rsidRDefault="004F54A7" w:rsidP="00F531A7">
            <w:pPr>
              <w:pStyle w:val="TableText0"/>
              <w:jc w:val="center"/>
            </w:pPr>
            <w:r w:rsidRPr="000E5B3A">
              <w:t>NA</w:t>
            </w:r>
          </w:p>
        </w:tc>
      </w:tr>
      <w:tr w:rsidR="004F54A7" w:rsidRPr="000E5B3A" w14:paraId="5357D130" w14:textId="77777777" w:rsidTr="002C29A6">
        <w:trPr>
          <w:cantSplit/>
          <w:jc w:val="center"/>
        </w:trPr>
        <w:tc>
          <w:tcPr>
            <w:tcW w:w="705" w:type="pct"/>
            <w:vAlign w:val="center"/>
          </w:tcPr>
          <w:p w14:paraId="4889CC6A" w14:textId="77777777" w:rsidR="004F54A7" w:rsidRPr="000E5B3A" w:rsidRDefault="004F54A7" w:rsidP="00F531A7">
            <w:pPr>
              <w:pStyle w:val="TableText0"/>
            </w:pPr>
            <w:r w:rsidRPr="000E5B3A">
              <w:t>Mean dose carboplatin</w:t>
            </w:r>
          </w:p>
        </w:tc>
        <w:tc>
          <w:tcPr>
            <w:tcW w:w="1022" w:type="pct"/>
            <w:vAlign w:val="center"/>
          </w:tcPr>
          <w:p w14:paraId="6973D679" w14:textId="7F7FC825" w:rsidR="004F54A7" w:rsidRPr="000E5B3A" w:rsidRDefault="004F54A7" w:rsidP="00F531A7">
            <w:pPr>
              <w:pStyle w:val="TableText0"/>
              <w:jc w:val="center"/>
            </w:pPr>
            <w:r w:rsidRPr="000E5B3A">
              <w:t>5.2 infusions</w:t>
            </w:r>
          </w:p>
          <w:p w14:paraId="1BF7C33D" w14:textId="77777777" w:rsidR="004F54A7" w:rsidRPr="000E5B3A" w:rsidRDefault="004F54A7" w:rsidP="00F531A7">
            <w:pPr>
              <w:pStyle w:val="TableText0"/>
              <w:jc w:val="center"/>
            </w:pPr>
            <w:r w:rsidRPr="000E5B3A">
              <w:t>508.0 mg</w:t>
            </w:r>
          </w:p>
          <w:p w14:paraId="0B09C87D" w14:textId="6F2B1CCE" w:rsidR="004F54A7" w:rsidRPr="000E5B3A" w:rsidRDefault="004F54A7" w:rsidP="00F531A7">
            <w:pPr>
              <w:pStyle w:val="TableText0"/>
              <w:jc w:val="center"/>
            </w:pPr>
            <w:r w:rsidRPr="000E5B3A">
              <w:t>(med</w:t>
            </w:r>
            <w:r w:rsidR="005E3A8A" w:rsidRPr="000E5B3A">
              <w:t>.</w:t>
            </w:r>
            <w:r w:rsidRPr="000E5B3A">
              <w:t xml:space="preserve"> 6.0 infusions, 493.0 mg)</w:t>
            </w:r>
          </w:p>
        </w:tc>
        <w:tc>
          <w:tcPr>
            <w:tcW w:w="550" w:type="pct"/>
            <w:vAlign w:val="center"/>
          </w:tcPr>
          <w:p w14:paraId="17A174C8" w14:textId="77777777" w:rsidR="00FF50DF" w:rsidRPr="000E5B3A" w:rsidRDefault="00FF50DF" w:rsidP="00F531A7">
            <w:pPr>
              <w:pStyle w:val="TableText0"/>
              <w:jc w:val="center"/>
            </w:pPr>
            <w:r w:rsidRPr="000E5B3A">
              <w:t>6 infusions</w:t>
            </w:r>
          </w:p>
          <w:p w14:paraId="115D2846" w14:textId="368ABD8D" w:rsidR="004F54A7" w:rsidRPr="000E5B3A" w:rsidRDefault="004F54A7" w:rsidP="00F531A7">
            <w:pPr>
              <w:pStyle w:val="TableText0"/>
              <w:jc w:val="center"/>
            </w:pPr>
            <w:r w:rsidRPr="000E5B3A">
              <w:t xml:space="preserve">559 mg </w:t>
            </w:r>
            <w:r w:rsidRPr="000E5B3A">
              <w:rPr>
                <w:vertAlign w:val="superscript"/>
              </w:rPr>
              <w:t>a</w:t>
            </w:r>
          </w:p>
        </w:tc>
        <w:tc>
          <w:tcPr>
            <w:tcW w:w="630" w:type="pct"/>
            <w:vAlign w:val="center"/>
          </w:tcPr>
          <w:p w14:paraId="3DDEB622" w14:textId="0396AA96" w:rsidR="004F54A7" w:rsidRPr="000E5B3A" w:rsidRDefault="004F54A7" w:rsidP="00F531A7">
            <w:pPr>
              <w:pStyle w:val="TableText0"/>
              <w:jc w:val="center"/>
            </w:pPr>
            <w:r w:rsidRPr="000E5B3A">
              <w:t xml:space="preserve">Not included </w:t>
            </w:r>
            <w:r w:rsidRPr="000E5B3A">
              <w:rPr>
                <w:vertAlign w:val="superscript"/>
              </w:rPr>
              <w:t>b</w:t>
            </w:r>
          </w:p>
        </w:tc>
        <w:tc>
          <w:tcPr>
            <w:tcW w:w="864" w:type="pct"/>
            <w:vAlign w:val="center"/>
          </w:tcPr>
          <w:p w14:paraId="23FE12BD" w14:textId="642E3D15" w:rsidR="004F54A7" w:rsidRPr="000E5B3A" w:rsidRDefault="004F54A7" w:rsidP="00F531A7">
            <w:pPr>
              <w:pStyle w:val="TableText0"/>
              <w:jc w:val="center"/>
            </w:pPr>
            <w:r w:rsidRPr="000E5B3A">
              <w:t>5.0 infusions</w:t>
            </w:r>
          </w:p>
          <w:p w14:paraId="6521B513" w14:textId="77777777" w:rsidR="004F54A7" w:rsidRPr="000E5B3A" w:rsidRDefault="004F54A7" w:rsidP="00F531A7">
            <w:pPr>
              <w:pStyle w:val="TableText0"/>
              <w:jc w:val="center"/>
            </w:pPr>
            <w:r w:rsidRPr="000E5B3A">
              <w:t>515.6 mg</w:t>
            </w:r>
          </w:p>
          <w:p w14:paraId="592C80A1" w14:textId="089DDEE1" w:rsidR="004F54A7" w:rsidRPr="000E5B3A" w:rsidRDefault="004F54A7" w:rsidP="00F531A7">
            <w:pPr>
              <w:pStyle w:val="TableText0"/>
              <w:jc w:val="center"/>
            </w:pPr>
            <w:r w:rsidRPr="000E5B3A">
              <w:t>(med</w:t>
            </w:r>
            <w:r w:rsidR="005E3A8A" w:rsidRPr="000E5B3A">
              <w:t>.</w:t>
            </w:r>
            <w:r w:rsidRPr="000E5B3A">
              <w:t xml:space="preserve"> 6.0 infusions, 500.0 mg)</w:t>
            </w:r>
          </w:p>
        </w:tc>
        <w:tc>
          <w:tcPr>
            <w:tcW w:w="628" w:type="pct"/>
            <w:vAlign w:val="center"/>
          </w:tcPr>
          <w:p w14:paraId="7D604000" w14:textId="77777777" w:rsidR="00FF50DF" w:rsidRPr="000E5B3A" w:rsidRDefault="00FF50DF" w:rsidP="00FF50DF">
            <w:pPr>
              <w:pStyle w:val="TableText0"/>
              <w:jc w:val="center"/>
            </w:pPr>
            <w:r w:rsidRPr="000E5B3A">
              <w:t>6 infusions</w:t>
            </w:r>
          </w:p>
          <w:p w14:paraId="1B4F7B74" w14:textId="461AE03C" w:rsidR="004F54A7" w:rsidRPr="000E5B3A" w:rsidRDefault="004F54A7" w:rsidP="00F531A7">
            <w:pPr>
              <w:pStyle w:val="TableText0"/>
              <w:jc w:val="center"/>
            </w:pPr>
            <w:r w:rsidRPr="000E5B3A">
              <w:t xml:space="preserve">559 mg </w:t>
            </w:r>
            <w:r w:rsidRPr="000E5B3A">
              <w:rPr>
                <w:vertAlign w:val="superscript"/>
              </w:rPr>
              <w:t>a</w:t>
            </w:r>
          </w:p>
        </w:tc>
        <w:tc>
          <w:tcPr>
            <w:tcW w:w="601" w:type="pct"/>
            <w:vAlign w:val="center"/>
          </w:tcPr>
          <w:p w14:paraId="533FD83F" w14:textId="101929ED" w:rsidR="004F54A7" w:rsidRPr="000E5B3A" w:rsidRDefault="004F54A7" w:rsidP="00F531A7">
            <w:pPr>
              <w:pStyle w:val="TableText0"/>
              <w:jc w:val="center"/>
            </w:pPr>
            <w:r w:rsidRPr="000E5B3A">
              <w:t xml:space="preserve">Not included </w:t>
            </w:r>
            <w:r w:rsidRPr="000E5B3A">
              <w:rPr>
                <w:vertAlign w:val="superscript"/>
              </w:rPr>
              <w:t>b</w:t>
            </w:r>
          </w:p>
        </w:tc>
      </w:tr>
      <w:tr w:rsidR="004F54A7" w:rsidRPr="000E5B3A" w14:paraId="0C08F033" w14:textId="77777777" w:rsidTr="002C29A6">
        <w:trPr>
          <w:cantSplit/>
          <w:jc w:val="center"/>
        </w:trPr>
        <w:tc>
          <w:tcPr>
            <w:tcW w:w="705" w:type="pct"/>
            <w:vAlign w:val="center"/>
          </w:tcPr>
          <w:p w14:paraId="6B00F248" w14:textId="77777777" w:rsidR="004F54A7" w:rsidRPr="000E5B3A" w:rsidRDefault="004F54A7" w:rsidP="00F531A7">
            <w:pPr>
              <w:pStyle w:val="TableText0"/>
            </w:pPr>
            <w:r w:rsidRPr="000E5B3A">
              <w:t>Mean duration carboplatin</w:t>
            </w:r>
          </w:p>
        </w:tc>
        <w:tc>
          <w:tcPr>
            <w:tcW w:w="1022" w:type="pct"/>
            <w:vAlign w:val="center"/>
          </w:tcPr>
          <w:p w14:paraId="1E5B97D0" w14:textId="3AEA46B3" w:rsidR="004F54A7" w:rsidRPr="000E5B3A" w:rsidRDefault="004F54A7" w:rsidP="00F531A7">
            <w:pPr>
              <w:pStyle w:val="TableText0"/>
              <w:jc w:val="center"/>
            </w:pPr>
            <w:r w:rsidRPr="000E5B3A">
              <w:t>4.186 months (med</w:t>
            </w:r>
            <w:r w:rsidR="00F80837" w:rsidRPr="000E5B3A">
              <w:t xml:space="preserve">. </w:t>
            </w:r>
            <w:r w:rsidRPr="000E5B3A">
              <w:t>4.632 mo</w:t>
            </w:r>
            <w:r w:rsidR="00BF5BDA" w:rsidRPr="000E5B3A">
              <w:t>.</w:t>
            </w:r>
            <w:r w:rsidRPr="000E5B3A">
              <w:t>)</w:t>
            </w:r>
          </w:p>
        </w:tc>
        <w:tc>
          <w:tcPr>
            <w:tcW w:w="550" w:type="pct"/>
            <w:vAlign w:val="center"/>
          </w:tcPr>
          <w:p w14:paraId="3ADBD084" w14:textId="77777777" w:rsidR="004F54A7" w:rsidRPr="000E5B3A" w:rsidRDefault="004F54A7" w:rsidP="00F531A7">
            <w:pPr>
              <w:pStyle w:val="TableText0"/>
              <w:jc w:val="center"/>
            </w:pPr>
            <w:r w:rsidRPr="000E5B3A">
              <w:t>NA</w:t>
            </w:r>
          </w:p>
        </w:tc>
        <w:tc>
          <w:tcPr>
            <w:tcW w:w="630" w:type="pct"/>
            <w:vAlign w:val="center"/>
          </w:tcPr>
          <w:p w14:paraId="1DDB3C82" w14:textId="77777777" w:rsidR="004F54A7" w:rsidRPr="000E5B3A" w:rsidRDefault="004F54A7" w:rsidP="00F531A7">
            <w:pPr>
              <w:pStyle w:val="TableText0"/>
              <w:jc w:val="center"/>
            </w:pPr>
            <w:r w:rsidRPr="000E5B3A">
              <w:t>Not included</w:t>
            </w:r>
          </w:p>
        </w:tc>
        <w:tc>
          <w:tcPr>
            <w:tcW w:w="864" w:type="pct"/>
            <w:vAlign w:val="center"/>
          </w:tcPr>
          <w:p w14:paraId="7EAD17EC" w14:textId="7343CED3" w:rsidR="004F54A7" w:rsidRPr="000E5B3A" w:rsidRDefault="004F54A7" w:rsidP="00F531A7">
            <w:pPr>
              <w:pStyle w:val="TableText0"/>
              <w:jc w:val="center"/>
            </w:pPr>
            <w:r w:rsidRPr="000E5B3A">
              <w:t>3.997 mo</w:t>
            </w:r>
            <w:r w:rsidR="000F6E84" w:rsidRPr="000E5B3A">
              <w:t>.</w:t>
            </w:r>
            <w:r w:rsidRPr="000E5B3A">
              <w:t xml:space="preserve"> (med</w:t>
            </w:r>
            <w:r w:rsidR="005E3A8A" w:rsidRPr="000E5B3A">
              <w:t>.</w:t>
            </w:r>
            <w:r w:rsidRPr="000E5B3A">
              <w:t xml:space="preserve"> 4.632 mo</w:t>
            </w:r>
            <w:r w:rsidR="00BF5BDA" w:rsidRPr="000E5B3A">
              <w:t>.</w:t>
            </w:r>
            <w:r w:rsidRPr="000E5B3A">
              <w:t>)</w:t>
            </w:r>
          </w:p>
        </w:tc>
        <w:tc>
          <w:tcPr>
            <w:tcW w:w="628" w:type="pct"/>
            <w:vAlign w:val="center"/>
          </w:tcPr>
          <w:p w14:paraId="517BAAA0" w14:textId="77777777" w:rsidR="004F54A7" w:rsidRPr="000E5B3A" w:rsidRDefault="004F54A7" w:rsidP="00F531A7">
            <w:pPr>
              <w:pStyle w:val="TableText0"/>
              <w:jc w:val="center"/>
            </w:pPr>
            <w:r w:rsidRPr="000E5B3A">
              <w:t>NA</w:t>
            </w:r>
          </w:p>
        </w:tc>
        <w:tc>
          <w:tcPr>
            <w:tcW w:w="601" w:type="pct"/>
            <w:vAlign w:val="center"/>
          </w:tcPr>
          <w:p w14:paraId="104D9990" w14:textId="77777777" w:rsidR="004F54A7" w:rsidRPr="000E5B3A" w:rsidRDefault="004F54A7" w:rsidP="00F531A7">
            <w:pPr>
              <w:pStyle w:val="TableText0"/>
              <w:jc w:val="center"/>
            </w:pPr>
            <w:r w:rsidRPr="000E5B3A">
              <w:t>Not included</w:t>
            </w:r>
          </w:p>
        </w:tc>
      </w:tr>
      <w:tr w:rsidR="004F54A7" w:rsidRPr="000E5B3A" w14:paraId="6288AD35" w14:textId="77777777" w:rsidTr="002C29A6">
        <w:trPr>
          <w:cantSplit/>
          <w:jc w:val="center"/>
        </w:trPr>
        <w:tc>
          <w:tcPr>
            <w:tcW w:w="705" w:type="pct"/>
            <w:vAlign w:val="center"/>
          </w:tcPr>
          <w:p w14:paraId="4DF3818F" w14:textId="77777777" w:rsidR="004F54A7" w:rsidRPr="000E5B3A" w:rsidRDefault="004F54A7" w:rsidP="00F531A7">
            <w:pPr>
              <w:pStyle w:val="TableText0"/>
            </w:pPr>
            <w:r w:rsidRPr="000E5B3A">
              <w:t>Mean dose paclitaxel</w:t>
            </w:r>
          </w:p>
        </w:tc>
        <w:tc>
          <w:tcPr>
            <w:tcW w:w="1022" w:type="pct"/>
            <w:vAlign w:val="center"/>
          </w:tcPr>
          <w:p w14:paraId="11BE2B29" w14:textId="5CEA4264" w:rsidR="004F54A7" w:rsidRPr="000E5B3A" w:rsidRDefault="004F54A7" w:rsidP="00F531A7">
            <w:pPr>
              <w:pStyle w:val="TableText0"/>
              <w:jc w:val="center"/>
            </w:pPr>
            <w:r w:rsidRPr="000E5B3A">
              <w:t>13.4 infusions</w:t>
            </w:r>
          </w:p>
          <w:p w14:paraId="478A8010" w14:textId="77777777" w:rsidR="004F54A7" w:rsidRPr="000E5B3A" w:rsidRDefault="004F54A7" w:rsidP="00F531A7">
            <w:pPr>
              <w:pStyle w:val="TableText0"/>
              <w:jc w:val="center"/>
            </w:pPr>
            <w:r w:rsidRPr="000E5B3A">
              <w:t>132.6 mg</w:t>
            </w:r>
          </w:p>
          <w:p w14:paraId="275FBA2F" w14:textId="391B8B1C" w:rsidR="004F54A7" w:rsidRPr="000E5B3A" w:rsidRDefault="004F54A7" w:rsidP="00F531A7">
            <w:pPr>
              <w:pStyle w:val="TableText0"/>
              <w:jc w:val="center"/>
            </w:pPr>
            <w:r w:rsidRPr="000E5B3A">
              <w:t>(med</w:t>
            </w:r>
            <w:r w:rsidR="005E3A8A" w:rsidRPr="000E5B3A">
              <w:t>.</w:t>
            </w:r>
            <w:r w:rsidRPr="000E5B3A">
              <w:t xml:space="preserve"> 15.0 infusions, 132.0 mg)</w:t>
            </w:r>
          </w:p>
        </w:tc>
        <w:tc>
          <w:tcPr>
            <w:tcW w:w="550" w:type="pct"/>
            <w:vAlign w:val="center"/>
          </w:tcPr>
          <w:p w14:paraId="1E7664C8" w14:textId="306A318E" w:rsidR="004F54A7" w:rsidRPr="000E5B3A" w:rsidRDefault="00FF50DF" w:rsidP="00F531A7">
            <w:pPr>
              <w:pStyle w:val="TableText0"/>
              <w:jc w:val="center"/>
            </w:pPr>
            <w:r w:rsidRPr="000E5B3A">
              <w:t xml:space="preserve">15 infusions </w:t>
            </w:r>
            <w:r w:rsidR="004F54A7" w:rsidRPr="000E5B3A">
              <w:t xml:space="preserve">139.2 mg </w:t>
            </w:r>
            <w:r w:rsidR="004F54A7" w:rsidRPr="000E5B3A">
              <w:rPr>
                <w:vertAlign w:val="superscript"/>
              </w:rPr>
              <w:t>c</w:t>
            </w:r>
          </w:p>
        </w:tc>
        <w:tc>
          <w:tcPr>
            <w:tcW w:w="630" w:type="pct"/>
            <w:vAlign w:val="center"/>
          </w:tcPr>
          <w:p w14:paraId="3F051FFA" w14:textId="74FBE0DC" w:rsidR="004F54A7" w:rsidRPr="000E5B3A" w:rsidRDefault="004F54A7" w:rsidP="00F531A7">
            <w:pPr>
              <w:pStyle w:val="TableText0"/>
              <w:jc w:val="center"/>
            </w:pPr>
            <w:r w:rsidRPr="000E5B3A">
              <w:t xml:space="preserve">Not included </w:t>
            </w:r>
            <w:r w:rsidRPr="000E5B3A">
              <w:rPr>
                <w:vertAlign w:val="superscript"/>
              </w:rPr>
              <w:t>b</w:t>
            </w:r>
          </w:p>
        </w:tc>
        <w:tc>
          <w:tcPr>
            <w:tcW w:w="864" w:type="pct"/>
            <w:vAlign w:val="center"/>
          </w:tcPr>
          <w:p w14:paraId="42A8930F" w14:textId="2201E885" w:rsidR="004F54A7" w:rsidRPr="000E5B3A" w:rsidRDefault="004F54A7" w:rsidP="00F531A7">
            <w:pPr>
              <w:pStyle w:val="TableText0"/>
              <w:jc w:val="center"/>
            </w:pPr>
            <w:r w:rsidRPr="000E5B3A">
              <w:t>13.4 infusions</w:t>
            </w:r>
          </w:p>
          <w:p w14:paraId="581E8D1A" w14:textId="77777777" w:rsidR="004F54A7" w:rsidRPr="000E5B3A" w:rsidRDefault="004F54A7" w:rsidP="00F531A7">
            <w:pPr>
              <w:pStyle w:val="TableText0"/>
              <w:jc w:val="center"/>
            </w:pPr>
            <w:r w:rsidRPr="000E5B3A">
              <w:t>131.5 mg</w:t>
            </w:r>
          </w:p>
          <w:p w14:paraId="2717F271" w14:textId="35C1CE06" w:rsidR="004F54A7" w:rsidRPr="000E5B3A" w:rsidRDefault="004F54A7" w:rsidP="00F531A7">
            <w:pPr>
              <w:pStyle w:val="TableText0"/>
              <w:jc w:val="center"/>
            </w:pPr>
            <w:r w:rsidRPr="000E5B3A">
              <w:t>(med</w:t>
            </w:r>
            <w:r w:rsidR="005E3A8A" w:rsidRPr="000E5B3A">
              <w:t>.</w:t>
            </w:r>
            <w:r w:rsidRPr="000E5B3A">
              <w:t xml:space="preserve"> 15.0 infusions, 130.3 mg)</w:t>
            </w:r>
          </w:p>
        </w:tc>
        <w:tc>
          <w:tcPr>
            <w:tcW w:w="628" w:type="pct"/>
            <w:vAlign w:val="center"/>
          </w:tcPr>
          <w:p w14:paraId="5CBCA447" w14:textId="7DEE54AD" w:rsidR="004F54A7" w:rsidRPr="000E5B3A" w:rsidRDefault="00FF50DF" w:rsidP="00F531A7">
            <w:pPr>
              <w:pStyle w:val="TableText0"/>
              <w:jc w:val="center"/>
            </w:pPr>
            <w:r w:rsidRPr="000E5B3A">
              <w:t xml:space="preserve">15 infusions </w:t>
            </w:r>
            <w:r w:rsidR="004F54A7" w:rsidRPr="000E5B3A">
              <w:t xml:space="preserve">139.2 mg </w:t>
            </w:r>
            <w:r w:rsidR="004F54A7" w:rsidRPr="000E5B3A">
              <w:rPr>
                <w:vertAlign w:val="superscript"/>
              </w:rPr>
              <w:t>c</w:t>
            </w:r>
          </w:p>
        </w:tc>
        <w:tc>
          <w:tcPr>
            <w:tcW w:w="601" w:type="pct"/>
            <w:vAlign w:val="center"/>
          </w:tcPr>
          <w:p w14:paraId="4BF71FB8" w14:textId="3B335B52" w:rsidR="004F54A7" w:rsidRPr="000E5B3A" w:rsidRDefault="004F54A7" w:rsidP="00F531A7">
            <w:pPr>
              <w:pStyle w:val="TableText0"/>
              <w:jc w:val="center"/>
            </w:pPr>
            <w:r w:rsidRPr="000E5B3A">
              <w:t xml:space="preserve">Not included </w:t>
            </w:r>
            <w:r w:rsidRPr="000E5B3A">
              <w:rPr>
                <w:vertAlign w:val="superscript"/>
              </w:rPr>
              <w:t>b</w:t>
            </w:r>
          </w:p>
        </w:tc>
      </w:tr>
      <w:tr w:rsidR="004F54A7" w:rsidRPr="000E5B3A" w14:paraId="496393EA" w14:textId="77777777" w:rsidTr="002C29A6">
        <w:trPr>
          <w:cantSplit/>
          <w:jc w:val="center"/>
        </w:trPr>
        <w:tc>
          <w:tcPr>
            <w:tcW w:w="705" w:type="pct"/>
            <w:vAlign w:val="center"/>
          </w:tcPr>
          <w:p w14:paraId="3069C284" w14:textId="77777777" w:rsidR="004F54A7" w:rsidRPr="000E5B3A" w:rsidRDefault="004F54A7" w:rsidP="00F531A7">
            <w:pPr>
              <w:pStyle w:val="TableText0"/>
            </w:pPr>
            <w:r w:rsidRPr="000E5B3A">
              <w:t>Mean duration paclitaxel</w:t>
            </w:r>
          </w:p>
        </w:tc>
        <w:tc>
          <w:tcPr>
            <w:tcW w:w="1022" w:type="pct"/>
            <w:vAlign w:val="center"/>
          </w:tcPr>
          <w:p w14:paraId="645809E2" w14:textId="71966B8B" w:rsidR="004F54A7" w:rsidRPr="000E5B3A" w:rsidRDefault="004F54A7" w:rsidP="00F531A7">
            <w:pPr>
              <w:pStyle w:val="TableText0"/>
              <w:jc w:val="center"/>
            </w:pPr>
            <w:r w:rsidRPr="000E5B3A">
              <w:t>4.481 mo</w:t>
            </w:r>
            <w:r w:rsidR="00F80837" w:rsidRPr="000E5B3A">
              <w:t>.</w:t>
            </w:r>
            <w:r w:rsidRPr="000E5B3A">
              <w:t xml:space="preserve"> (med</w:t>
            </w:r>
            <w:r w:rsidR="005E3A8A" w:rsidRPr="000E5B3A">
              <w:t xml:space="preserve">. </w:t>
            </w:r>
            <w:r w:rsidRPr="000E5B3A">
              <w:t>5.2092 mo</w:t>
            </w:r>
            <w:r w:rsidR="00BF5BDA" w:rsidRPr="000E5B3A">
              <w:t>.</w:t>
            </w:r>
            <w:r w:rsidRPr="000E5B3A">
              <w:t>)</w:t>
            </w:r>
          </w:p>
        </w:tc>
        <w:tc>
          <w:tcPr>
            <w:tcW w:w="550" w:type="pct"/>
            <w:vAlign w:val="center"/>
          </w:tcPr>
          <w:p w14:paraId="20800B54" w14:textId="77777777" w:rsidR="004F54A7" w:rsidRPr="000E5B3A" w:rsidRDefault="004F54A7" w:rsidP="00F531A7">
            <w:pPr>
              <w:pStyle w:val="TableText0"/>
              <w:jc w:val="center"/>
            </w:pPr>
            <w:r w:rsidRPr="000E5B3A">
              <w:t>NA</w:t>
            </w:r>
          </w:p>
        </w:tc>
        <w:tc>
          <w:tcPr>
            <w:tcW w:w="630" w:type="pct"/>
            <w:vAlign w:val="center"/>
          </w:tcPr>
          <w:p w14:paraId="6B3F6264" w14:textId="77777777" w:rsidR="004F54A7" w:rsidRPr="000E5B3A" w:rsidRDefault="004F54A7" w:rsidP="00F531A7">
            <w:pPr>
              <w:pStyle w:val="TableText0"/>
              <w:jc w:val="center"/>
            </w:pPr>
            <w:r w:rsidRPr="000E5B3A">
              <w:t>Not included</w:t>
            </w:r>
          </w:p>
        </w:tc>
        <w:tc>
          <w:tcPr>
            <w:tcW w:w="864" w:type="pct"/>
            <w:vAlign w:val="center"/>
          </w:tcPr>
          <w:p w14:paraId="79AE7E1A" w14:textId="4CD528DF" w:rsidR="004F54A7" w:rsidRPr="000E5B3A" w:rsidRDefault="004F54A7" w:rsidP="00F531A7">
            <w:pPr>
              <w:pStyle w:val="TableText0"/>
              <w:jc w:val="center"/>
            </w:pPr>
            <w:r w:rsidRPr="000E5B3A">
              <w:t>4.380 mo</w:t>
            </w:r>
            <w:r w:rsidR="000F6E84" w:rsidRPr="000E5B3A">
              <w:t>.</w:t>
            </w:r>
            <w:r w:rsidRPr="000E5B3A">
              <w:t xml:space="preserve"> (med</w:t>
            </w:r>
            <w:r w:rsidR="005E3A8A" w:rsidRPr="000E5B3A">
              <w:t>.</w:t>
            </w:r>
            <w:r w:rsidRPr="000E5B3A">
              <w:t xml:space="preserve"> 5.092 mo</w:t>
            </w:r>
            <w:r w:rsidR="00BF5BDA" w:rsidRPr="000E5B3A">
              <w:t>.</w:t>
            </w:r>
            <w:r w:rsidRPr="000E5B3A">
              <w:t>)</w:t>
            </w:r>
          </w:p>
        </w:tc>
        <w:tc>
          <w:tcPr>
            <w:tcW w:w="628" w:type="pct"/>
            <w:vAlign w:val="center"/>
          </w:tcPr>
          <w:p w14:paraId="36289B50" w14:textId="77777777" w:rsidR="004F54A7" w:rsidRPr="000E5B3A" w:rsidRDefault="004F54A7" w:rsidP="00F531A7">
            <w:pPr>
              <w:pStyle w:val="TableText0"/>
              <w:jc w:val="center"/>
            </w:pPr>
            <w:r w:rsidRPr="000E5B3A">
              <w:t>NA</w:t>
            </w:r>
          </w:p>
        </w:tc>
        <w:tc>
          <w:tcPr>
            <w:tcW w:w="601" w:type="pct"/>
            <w:vAlign w:val="center"/>
          </w:tcPr>
          <w:p w14:paraId="4EDB2D3E" w14:textId="77777777" w:rsidR="004F54A7" w:rsidRPr="000E5B3A" w:rsidRDefault="004F54A7" w:rsidP="00F531A7">
            <w:pPr>
              <w:pStyle w:val="TableText0"/>
              <w:jc w:val="center"/>
            </w:pPr>
            <w:r w:rsidRPr="000E5B3A">
              <w:t>Not included</w:t>
            </w:r>
          </w:p>
        </w:tc>
      </w:tr>
      <w:tr w:rsidR="004F54A7" w:rsidRPr="000E5B3A" w14:paraId="7338AEF2" w14:textId="77777777" w:rsidTr="002C29A6">
        <w:trPr>
          <w:cantSplit/>
          <w:jc w:val="center"/>
        </w:trPr>
        <w:tc>
          <w:tcPr>
            <w:tcW w:w="705" w:type="pct"/>
            <w:vAlign w:val="center"/>
          </w:tcPr>
          <w:p w14:paraId="0C2E6389" w14:textId="5E22ED54" w:rsidR="00FB05F1" w:rsidRPr="000E5B3A" w:rsidRDefault="004F54A7" w:rsidP="00F531A7">
            <w:pPr>
              <w:pStyle w:val="TableText0"/>
            </w:pPr>
            <w:r w:rsidRPr="000E5B3A">
              <w:t>Total cost/</w:t>
            </w:r>
            <w:r w:rsidR="002C29A6" w:rsidRPr="000E5B3A">
              <w:t xml:space="preserve"> </w:t>
            </w:r>
            <w:r w:rsidRPr="000E5B3A">
              <w:t>patient/ course</w:t>
            </w:r>
            <w:r w:rsidR="006B734F">
              <w:t xml:space="preserve"> </w:t>
            </w:r>
            <w:r w:rsidR="008C1037" w:rsidRPr="008C1037">
              <w:rPr>
                <w:vertAlign w:val="superscript"/>
              </w:rPr>
              <w:t>h</w:t>
            </w:r>
          </w:p>
        </w:tc>
        <w:tc>
          <w:tcPr>
            <w:tcW w:w="1022" w:type="pct"/>
            <w:vAlign w:val="center"/>
          </w:tcPr>
          <w:p w14:paraId="6AAD24FB" w14:textId="0651442B" w:rsidR="004F54A7" w:rsidRPr="000E5B3A" w:rsidRDefault="004F54A7" w:rsidP="00F531A7">
            <w:pPr>
              <w:pStyle w:val="TableText0"/>
              <w:jc w:val="center"/>
            </w:pPr>
            <w:r w:rsidRPr="000E5B3A">
              <w:t>$</w:t>
            </w:r>
            <w:r w:rsidR="009951A2" w:rsidRPr="009951A2">
              <w:rPr>
                <w:highlight w:val="black"/>
              </w:rPr>
              <w:t>&amp;&amp;&amp;&amp;</w:t>
            </w:r>
            <w:r w:rsidRPr="000E5B3A">
              <w:t xml:space="preserve"> </w:t>
            </w:r>
            <w:r w:rsidRPr="000E5B3A">
              <w:rPr>
                <w:vertAlign w:val="superscript"/>
              </w:rPr>
              <w:t>d</w:t>
            </w:r>
          </w:p>
        </w:tc>
        <w:tc>
          <w:tcPr>
            <w:tcW w:w="550" w:type="pct"/>
            <w:vAlign w:val="center"/>
          </w:tcPr>
          <w:p w14:paraId="0F70A374" w14:textId="7B4E7130" w:rsidR="004F54A7" w:rsidRPr="000E5B3A" w:rsidRDefault="004F54A7" w:rsidP="00F531A7">
            <w:pPr>
              <w:pStyle w:val="TableText0"/>
              <w:jc w:val="center"/>
              <w:rPr>
                <w:vertAlign w:val="superscript"/>
              </w:rPr>
            </w:pPr>
            <w:r w:rsidRPr="000E5B3A">
              <w:t>$</w:t>
            </w:r>
            <w:r w:rsidR="009951A2" w:rsidRPr="009951A2">
              <w:rPr>
                <w:highlight w:val="black"/>
              </w:rPr>
              <w:t>&amp;&amp;&amp;&amp;</w:t>
            </w:r>
            <w:r w:rsidRPr="000E5B3A">
              <w:t xml:space="preserve"> </w:t>
            </w:r>
            <w:r w:rsidRPr="000E5B3A">
              <w:rPr>
                <w:vertAlign w:val="superscript"/>
              </w:rPr>
              <w:t>e</w:t>
            </w:r>
          </w:p>
        </w:tc>
        <w:tc>
          <w:tcPr>
            <w:tcW w:w="630" w:type="pct"/>
            <w:vAlign w:val="center"/>
          </w:tcPr>
          <w:p w14:paraId="6F3B4CB0" w14:textId="7940B145" w:rsidR="004F54A7" w:rsidRPr="000E5B3A" w:rsidRDefault="004F54A7" w:rsidP="00F531A7">
            <w:pPr>
              <w:pStyle w:val="TableText0"/>
              <w:jc w:val="center"/>
            </w:pPr>
            <w:r w:rsidRPr="000E5B3A">
              <w:t>$</w:t>
            </w:r>
            <w:r w:rsidR="009951A2" w:rsidRPr="009951A2">
              <w:rPr>
                <w:highlight w:val="black"/>
              </w:rPr>
              <w:t>&amp;&amp;&amp;&amp;</w:t>
            </w:r>
          </w:p>
        </w:tc>
        <w:tc>
          <w:tcPr>
            <w:tcW w:w="864" w:type="pct"/>
            <w:vAlign w:val="center"/>
          </w:tcPr>
          <w:p w14:paraId="50F9FAF1" w14:textId="09082C95" w:rsidR="004F54A7" w:rsidRPr="000E5B3A" w:rsidRDefault="004F54A7" w:rsidP="00F531A7">
            <w:pPr>
              <w:pStyle w:val="TableText0"/>
              <w:jc w:val="center"/>
            </w:pPr>
            <w:r w:rsidRPr="000E5B3A">
              <w:t xml:space="preserve">$3,413 </w:t>
            </w:r>
            <w:r w:rsidRPr="000E5B3A">
              <w:rPr>
                <w:vertAlign w:val="superscript"/>
              </w:rPr>
              <w:t>e, f</w:t>
            </w:r>
          </w:p>
        </w:tc>
        <w:tc>
          <w:tcPr>
            <w:tcW w:w="628" w:type="pct"/>
            <w:vAlign w:val="center"/>
          </w:tcPr>
          <w:p w14:paraId="211CC4E5" w14:textId="209FA286" w:rsidR="004F54A7" w:rsidRPr="000E5B3A" w:rsidRDefault="004F54A7" w:rsidP="00F531A7">
            <w:pPr>
              <w:pStyle w:val="TableText0"/>
              <w:jc w:val="center"/>
            </w:pPr>
            <w:r w:rsidRPr="000E5B3A">
              <w:t xml:space="preserve">$3,413 </w:t>
            </w:r>
            <w:r w:rsidRPr="000E5B3A">
              <w:rPr>
                <w:vertAlign w:val="superscript"/>
              </w:rPr>
              <w:t>e, f</w:t>
            </w:r>
          </w:p>
        </w:tc>
        <w:tc>
          <w:tcPr>
            <w:tcW w:w="601" w:type="pct"/>
            <w:vAlign w:val="center"/>
          </w:tcPr>
          <w:p w14:paraId="67BA5AC2" w14:textId="6CD4B935" w:rsidR="004F54A7" w:rsidRPr="000E5B3A" w:rsidRDefault="004F54A7" w:rsidP="00F531A7">
            <w:pPr>
              <w:pStyle w:val="TableText0"/>
              <w:jc w:val="center"/>
            </w:pPr>
            <w:r w:rsidRPr="000E5B3A">
              <w:t>$0</w:t>
            </w:r>
          </w:p>
        </w:tc>
      </w:tr>
    </w:tbl>
    <w:p w14:paraId="609C7E63" w14:textId="77777777" w:rsidR="004F54A7" w:rsidRPr="000E5B3A" w:rsidRDefault="004F54A7" w:rsidP="004F54A7">
      <w:pPr>
        <w:pStyle w:val="TableFigureFooter"/>
      </w:pPr>
      <w:r w:rsidRPr="000E5B3A">
        <w:t>Source: Constructed during the evaluation using Tables 21, 23 and 24, pp55, 58 and 59 of the submission, Retifanlimab_SCAC_CUA.xlsx and Retifanlimab_SCAC_BIM.xlsx</w:t>
      </w:r>
    </w:p>
    <w:p w14:paraId="6EA97B32" w14:textId="32CD3855" w:rsidR="004F54A7" w:rsidRPr="000E5B3A" w:rsidRDefault="004F54A7" w:rsidP="004F54A7">
      <w:pPr>
        <w:pStyle w:val="TableFigureFooter"/>
      </w:pPr>
      <w:r w:rsidRPr="000E5B3A">
        <w:t>BSA = body surface area; CP = carboplatin + paclitaxel; GFR = glomerular filtration rate;</w:t>
      </w:r>
      <w:r w:rsidR="00F80837" w:rsidRPr="000E5B3A">
        <w:t xml:space="preserve"> med. = median</w:t>
      </w:r>
      <w:r w:rsidRPr="000E5B3A">
        <w:t xml:space="preserve"> </w:t>
      </w:r>
      <w:r w:rsidR="00BF5BDA" w:rsidRPr="000E5B3A">
        <w:t xml:space="preserve">mo. = month; </w:t>
      </w:r>
      <w:r w:rsidRPr="000E5B3A">
        <w:t>NA = not applicable; RET = retifanlimab</w:t>
      </w:r>
    </w:p>
    <w:p w14:paraId="76E82831" w14:textId="6F5D7A0E" w:rsidR="004F54A7" w:rsidRPr="000E5B3A" w:rsidRDefault="004F54A7" w:rsidP="004F54A7">
      <w:pPr>
        <w:pStyle w:val="TableFigureFooter"/>
      </w:pPr>
      <w:r w:rsidRPr="000E5B3A">
        <w:rPr>
          <w:vertAlign w:val="superscript"/>
        </w:rPr>
        <w:t>a</w:t>
      </w:r>
      <w:r w:rsidRPr="000E5B3A">
        <w:t xml:space="preserve"> Calculated using the Calvert formula, based on dose of 5 AUC and average GFR of 86.8, based on mean creatinine clearance at baseline for all patients in POD1UM-303.</w:t>
      </w:r>
    </w:p>
    <w:p w14:paraId="435AE9E5" w14:textId="2750812A" w:rsidR="004F54A7" w:rsidRPr="000E5B3A" w:rsidRDefault="004F54A7" w:rsidP="004F54A7">
      <w:pPr>
        <w:pStyle w:val="TableFigureFooter"/>
      </w:pPr>
      <w:r w:rsidRPr="000E5B3A">
        <w:rPr>
          <w:vertAlign w:val="superscript"/>
        </w:rPr>
        <w:t>b</w:t>
      </w:r>
      <w:r w:rsidRPr="000E5B3A">
        <w:t xml:space="preserve"> Carboplatin and paclitaxel costs were not included in the financial estimates. The submission assumed these costs would be</w:t>
      </w:r>
      <w:r w:rsidR="001F534E" w:rsidRPr="000E5B3A">
        <w:t xml:space="preserve"> unchanged</w:t>
      </w:r>
      <w:r w:rsidR="00832FBF" w:rsidRPr="000E5B3A">
        <w:t xml:space="preserve"> even</w:t>
      </w:r>
      <w:r w:rsidRPr="000E5B3A">
        <w:t xml:space="preserve"> if retifanlimab is PBS listed.</w:t>
      </w:r>
    </w:p>
    <w:p w14:paraId="11CBC70B" w14:textId="53D017F2" w:rsidR="004F54A7" w:rsidRPr="000E5B3A" w:rsidRDefault="004F54A7" w:rsidP="004F54A7">
      <w:pPr>
        <w:pStyle w:val="TableFigureFooter"/>
      </w:pPr>
      <w:r w:rsidRPr="000E5B3A">
        <w:rPr>
          <w:vertAlign w:val="superscript"/>
        </w:rPr>
        <w:t>c</w:t>
      </w:r>
      <w:r w:rsidRPr="000E5B3A">
        <w:t xml:space="preserve"> Calculated based on 80mg/m</w:t>
      </w:r>
      <w:r w:rsidRPr="000E5B3A">
        <w:rPr>
          <w:vertAlign w:val="superscript"/>
        </w:rPr>
        <w:t>2</w:t>
      </w:r>
      <w:r w:rsidRPr="000E5B3A">
        <w:t xml:space="preserve"> dose and mean BSA of 1.74 m</w:t>
      </w:r>
      <w:r w:rsidRPr="000E5B3A">
        <w:rPr>
          <w:vertAlign w:val="superscript"/>
        </w:rPr>
        <w:t>2</w:t>
      </w:r>
      <w:r w:rsidRPr="000E5B3A">
        <w:t>.</w:t>
      </w:r>
    </w:p>
    <w:p w14:paraId="519FA419" w14:textId="5E5BD968" w:rsidR="004F54A7" w:rsidRPr="000E5B3A" w:rsidRDefault="004F54A7" w:rsidP="004F54A7">
      <w:pPr>
        <w:pStyle w:val="TableFigureFooter"/>
      </w:pPr>
      <w:r w:rsidRPr="000E5B3A">
        <w:rPr>
          <w:vertAlign w:val="superscript"/>
        </w:rPr>
        <w:t>d</w:t>
      </w:r>
      <w:r w:rsidRPr="000E5B3A">
        <w:t xml:space="preserve"> Based on mean trial doses.</w:t>
      </w:r>
    </w:p>
    <w:p w14:paraId="74672846" w14:textId="2BEB6C6B" w:rsidR="004F54A7" w:rsidRPr="000E5B3A" w:rsidRDefault="00884DF9" w:rsidP="004F54A7">
      <w:pPr>
        <w:pStyle w:val="TableFigureFooter"/>
      </w:pPr>
      <w:r w:rsidRPr="000E5B3A">
        <w:rPr>
          <w:vertAlign w:val="superscript"/>
        </w:rPr>
        <w:t>f</w:t>
      </w:r>
      <w:r w:rsidRPr="000E5B3A">
        <w:t xml:space="preserve"> </w:t>
      </w:r>
      <w:r w:rsidR="004F54A7" w:rsidRPr="000E5B3A">
        <w:t>Cost of carboplatin calculated including wastage (based on two 450 mg vials of carboplatin per dose). Cost of paclitaxel calculated including wastage (one 300 mg vial).</w:t>
      </w:r>
    </w:p>
    <w:p w14:paraId="520768F3" w14:textId="1D0DE60F" w:rsidR="004F54A7" w:rsidRPr="000E5B3A" w:rsidRDefault="00884DF9" w:rsidP="004F54A7">
      <w:pPr>
        <w:pStyle w:val="TableFigureFooter"/>
      </w:pPr>
      <w:r w:rsidRPr="000E5B3A">
        <w:rPr>
          <w:vertAlign w:val="superscript"/>
        </w:rPr>
        <w:t>g</w:t>
      </w:r>
      <w:r w:rsidRPr="000E5B3A">
        <w:t xml:space="preserve"> </w:t>
      </w:r>
      <w:r w:rsidR="004F54A7" w:rsidRPr="000E5B3A">
        <w:t>Cost of carboplatin and paclitaxel are the same for trial dose and model because wastage is included.</w:t>
      </w:r>
    </w:p>
    <w:p w14:paraId="6DED03A6" w14:textId="6F97955D" w:rsidR="00E6257E" w:rsidRPr="00E6257E" w:rsidRDefault="008C1037" w:rsidP="00E6257E">
      <w:pPr>
        <w:pStyle w:val="TableFigureFooter"/>
      </w:pPr>
      <w:r w:rsidRPr="008C1037">
        <w:rPr>
          <w:vertAlign w:val="superscript"/>
        </w:rPr>
        <w:t>h</w:t>
      </w:r>
      <w:r>
        <w:rPr>
          <w:vertAlign w:val="superscript"/>
        </w:rPr>
        <w:t xml:space="preserve"> </w:t>
      </w:r>
      <w:r w:rsidR="006E7F42" w:rsidRPr="006E7F42">
        <w:t>retifanlimab</w:t>
      </w:r>
      <w:r w:rsidR="00426545" w:rsidRPr="006E7F42">
        <w:t xml:space="preserve"> </w:t>
      </w:r>
      <w:r w:rsidR="00426545" w:rsidRPr="00426545">
        <w:t>costs</w:t>
      </w:r>
      <w:r w:rsidR="00426545">
        <w:t xml:space="preserve"> based on </w:t>
      </w:r>
      <w:r w:rsidR="00426545" w:rsidRPr="006E7F42">
        <w:t xml:space="preserve">submission </w:t>
      </w:r>
      <w:r w:rsidR="00426545">
        <w:t xml:space="preserve">vial price of </w:t>
      </w:r>
      <w:r w:rsidR="006E7F42" w:rsidRPr="006E7F42">
        <w:t>$</w:t>
      </w:r>
      <w:r w:rsidR="009951A2" w:rsidRPr="009951A2">
        <w:rPr>
          <w:highlight w:val="black"/>
        </w:rPr>
        <w:t>&amp;&amp;&amp;&amp;</w:t>
      </w:r>
      <w:r w:rsidR="006E7F42" w:rsidRPr="006E7F42">
        <w:t>/vial</w:t>
      </w:r>
    </w:p>
    <w:p w14:paraId="268768EF" w14:textId="3626F292" w:rsidR="00B60939" w:rsidRPr="000E5B3A" w:rsidRDefault="00B60939" w:rsidP="002B05A1">
      <w:pPr>
        <w:pStyle w:val="4-SubsectionHeading"/>
      </w:pPr>
      <w:bookmarkStart w:id="90" w:name="_Toc22897647"/>
      <w:bookmarkStart w:id="91" w:name="_Toc208995345"/>
      <w:bookmarkEnd w:id="88"/>
      <w:r w:rsidRPr="000E5B3A">
        <w:t>Estimated PBS usage &amp; financial implications</w:t>
      </w:r>
      <w:bookmarkEnd w:id="90"/>
      <w:bookmarkEnd w:id="91"/>
    </w:p>
    <w:p w14:paraId="7A7FB5EF" w14:textId="0B289119" w:rsidR="009B2D91" w:rsidRPr="000E5B3A" w:rsidRDefault="009B2D91" w:rsidP="00611F61">
      <w:pPr>
        <w:pStyle w:val="3-BodyText"/>
      </w:pPr>
      <w:bookmarkStart w:id="92" w:name="_Toc22897649"/>
      <w:bookmarkStart w:id="93" w:name="_Toc208995346"/>
      <w:r w:rsidRPr="000E5B3A">
        <w:t xml:space="preserve">This submission </w:t>
      </w:r>
      <w:r w:rsidR="00611F61" w:rsidRPr="000E5B3A">
        <w:t xml:space="preserve">was </w:t>
      </w:r>
      <w:r w:rsidRPr="000E5B3A">
        <w:t>considered by DUSC.</w:t>
      </w:r>
    </w:p>
    <w:p w14:paraId="107384B1" w14:textId="6C6647AC" w:rsidR="009B2D91" w:rsidRPr="000E5B3A" w:rsidRDefault="009B2D91" w:rsidP="009B2D91">
      <w:pPr>
        <w:pStyle w:val="3-BodyText"/>
      </w:pPr>
      <w:r w:rsidRPr="000E5B3A">
        <w:t xml:space="preserve">The submission used an epidemiological approach for estimating the size of the eligible patient population. As discussed in paragraph </w:t>
      </w:r>
      <w:r w:rsidRPr="000E5B3A">
        <w:fldChar w:fldCharType="begin"/>
      </w:r>
      <w:r w:rsidRPr="000E5B3A">
        <w:instrText xml:space="preserve"> REF _Ref208071674 \r \h </w:instrText>
      </w:r>
      <w:r w:rsidR="008655E4" w:rsidRPr="000E5B3A">
        <w:instrText xml:space="preserve"> \* MERGEFORMAT </w:instrText>
      </w:r>
      <w:r w:rsidRPr="000E5B3A">
        <w:fldChar w:fldCharType="separate"/>
      </w:r>
      <w:r w:rsidR="00DB6E72">
        <w:t>4.3</w:t>
      </w:r>
      <w:r w:rsidRPr="000E5B3A">
        <w:fldChar w:fldCharType="end"/>
      </w:r>
      <w:r w:rsidRPr="000E5B3A">
        <w:t xml:space="preserve">, the submission considered that there were four populations who would be eligible for retifanlimab under the proposed listing and estimated the incident patient population for each of these four populations. </w:t>
      </w:r>
    </w:p>
    <w:p w14:paraId="3AB63F4F" w14:textId="3FA6C860" w:rsidR="009B2D91" w:rsidRPr="000E5B3A" w:rsidRDefault="009B2D91" w:rsidP="009B2D91">
      <w:pPr>
        <w:pStyle w:val="3-BodyText"/>
      </w:pPr>
      <w:r w:rsidRPr="000E5B3A">
        <w:t xml:space="preserve">The key inputs used for the financial estimates are summarised in </w:t>
      </w:r>
      <w:r w:rsidRPr="000E5B3A">
        <w:fldChar w:fldCharType="begin"/>
      </w:r>
      <w:r w:rsidRPr="000E5B3A">
        <w:instrText xml:space="preserve"> REF _Ref104805262 </w:instrText>
      </w:r>
      <w:r w:rsidR="008655E4" w:rsidRPr="000E5B3A">
        <w:instrText xml:space="preserve"> \* MERGEFORMAT </w:instrText>
      </w:r>
      <w:r w:rsidRPr="000E5B3A">
        <w:fldChar w:fldCharType="separate"/>
      </w:r>
      <w:r w:rsidR="00DB6E72" w:rsidRPr="00AC203A">
        <w:t xml:space="preserve">Table </w:t>
      </w:r>
      <w:r w:rsidR="00DB6E72">
        <w:t>16</w:t>
      </w:r>
      <w:r w:rsidRPr="000E5B3A">
        <w:fldChar w:fldCharType="end"/>
      </w:r>
      <w:r w:rsidRPr="000E5B3A">
        <w:t>.</w:t>
      </w:r>
    </w:p>
    <w:p w14:paraId="7CA79EB3" w14:textId="0FC8A656" w:rsidR="009B2D91" w:rsidRPr="00AC203A" w:rsidRDefault="009B2D91" w:rsidP="009B2D91">
      <w:pPr>
        <w:pStyle w:val="Caption"/>
        <w:rPr>
          <w:rStyle w:val="CommentReference"/>
          <w:b/>
          <w:szCs w:val="24"/>
        </w:rPr>
      </w:pPr>
      <w:bookmarkStart w:id="94" w:name="_Ref104805262"/>
      <w:r w:rsidRPr="00AC203A">
        <w:lastRenderedPageBreak/>
        <w:t xml:space="preserve">Table </w:t>
      </w:r>
      <w:fldSimple w:instr=" SEQ Table \* ARABIC ">
        <w:r w:rsidR="00DB6E72">
          <w:rPr>
            <w:noProof/>
          </w:rPr>
          <w:t>16</w:t>
        </w:r>
      </w:fldSimple>
      <w:bookmarkEnd w:id="94"/>
      <w:r w:rsidRPr="00AC203A">
        <w:t>:</w:t>
      </w:r>
      <w:r w:rsidRPr="00AC203A">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Key inputs for financial estimates"/>
      </w:tblPr>
      <w:tblGrid>
        <w:gridCol w:w="1526"/>
        <w:gridCol w:w="1304"/>
        <w:gridCol w:w="2977"/>
        <w:gridCol w:w="3373"/>
      </w:tblGrid>
      <w:tr w:rsidR="009B2D91" w:rsidRPr="00AC203A" w14:paraId="4D762506" w14:textId="77777777" w:rsidTr="00130285">
        <w:trPr>
          <w:tblHeader/>
        </w:trPr>
        <w:tc>
          <w:tcPr>
            <w:tcW w:w="1526" w:type="dxa"/>
            <w:vAlign w:val="center"/>
          </w:tcPr>
          <w:p w14:paraId="45803389" w14:textId="77777777" w:rsidR="009B2D91" w:rsidRPr="00AC203A" w:rsidRDefault="009B2D91" w:rsidP="00130285">
            <w:pPr>
              <w:pStyle w:val="In-tableHeading"/>
              <w:widowControl w:val="0"/>
              <w:rPr>
                <w:lang w:val="en-AU"/>
              </w:rPr>
            </w:pPr>
            <w:r w:rsidRPr="00AC203A">
              <w:rPr>
                <w:lang w:val="en-AU"/>
              </w:rPr>
              <w:t>Data</w:t>
            </w:r>
          </w:p>
        </w:tc>
        <w:tc>
          <w:tcPr>
            <w:tcW w:w="1304" w:type="dxa"/>
            <w:vAlign w:val="center"/>
          </w:tcPr>
          <w:p w14:paraId="6245E802" w14:textId="77777777" w:rsidR="009B2D91" w:rsidRPr="00AC203A" w:rsidRDefault="009B2D91" w:rsidP="00130285">
            <w:pPr>
              <w:pStyle w:val="In-tableHeading"/>
              <w:widowControl w:val="0"/>
              <w:rPr>
                <w:lang w:val="en-AU"/>
              </w:rPr>
            </w:pPr>
            <w:r w:rsidRPr="00AC203A">
              <w:rPr>
                <w:lang w:val="en-AU"/>
              </w:rPr>
              <w:t>Value</w:t>
            </w:r>
          </w:p>
        </w:tc>
        <w:tc>
          <w:tcPr>
            <w:tcW w:w="2977" w:type="dxa"/>
            <w:vAlign w:val="center"/>
          </w:tcPr>
          <w:p w14:paraId="2EE27B61" w14:textId="77777777" w:rsidR="009B2D91" w:rsidRPr="00AC203A" w:rsidRDefault="009B2D91" w:rsidP="00130285">
            <w:pPr>
              <w:pStyle w:val="In-tableHeading"/>
              <w:widowControl w:val="0"/>
              <w:rPr>
                <w:lang w:val="en-AU"/>
              </w:rPr>
            </w:pPr>
            <w:r w:rsidRPr="00AC203A">
              <w:rPr>
                <w:lang w:val="en-AU"/>
              </w:rPr>
              <w:t>Source</w:t>
            </w:r>
          </w:p>
        </w:tc>
        <w:tc>
          <w:tcPr>
            <w:tcW w:w="3373" w:type="dxa"/>
            <w:vAlign w:val="center"/>
          </w:tcPr>
          <w:p w14:paraId="41A40C3C" w14:textId="77777777" w:rsidR="009B2D91" w:rsidRPr="00AC203A" w:rsidRDefault="009B2D91" w:rsidP="00130285">
            <w:pPr>
              <w:pStyle w:val="In-tableHeading"/>
              <w:widowControl w:val="0"/>
              <w:rPr>
                <w:lang w:val="en-AU"/>
              </w:rPr>
            </w:pPr>
            <w:r w:rsidRPr="00AC203A">
              <w:rPr>
                <w:lang w:val="en-AU"/>
              </w:rPr>
              <w:t>Comment</w:t>
            </w:r>
          </w:p>
        </w:tc>
      </w:tr>
      <w:tr w:rsidR="009B2D91" w:rsidRPr="00AC203A" w14:paraId="21BCC62D" w14:textId="77777777" w:rsidTr="00130285">
        <w:tc>
          <w:tcPr>
            <w:tcW w:w="9180" w:type="dxa"/>
            <w:gridSpan w:val="4"/>
            <w:vAlign w:val="center"/>
          </w:tcPr>
          <w:p w14:paraId="48773F1B" w14:textId="77777777" w:rsidR="009B2D91" w:rsidRPr="00AC203A" w:rsidRDefault="009B2D91" w:rsidP="00130285">
            <w:pPr>
              <w:pStyle w:val="In-tableHeading"/>
              <w:widowControl w:val="0"/>
              <w:jc w:val="left"/>
              <w:rPr>
                <w:lang w:val="en-AU"/>
              </w:rPr>
            </w:pPr>
            <w:r w:rsidRPr="00AC203A">
              <w:rPr>
                <w:lang w:val="en-AU"/>
              </w:rPr>
              <w:t>Eligible population</w:t>
            </w:r>
          </w:p>
        </w:tc>
      </w:tr>
      <w:tr w:rsidR="009B2D91" w:rsidRPr="000E5B3A" w14:paraId="112029F9" w14:textId="77777777" w:rsidTr="00130285">
        <w:tc>
          <w:tcPr>
            <w:tcW w:w="1526" w:type="dxa"/>
            <w:vAlign w:val="center"/>
          </w:tcPr>
          <w:p w14:paraId="3B8AD65F" w14:textId="77777777" w:rsidR="000306D8" w:rsidRDefault="009B2D91" w:rsidP="00130285">
            <w:pPr>
              <w:pStyle w:val="TableText0"/>
              <w:widowControl w:val="0"/>
            </w:pPr>
            <w:r w:rsidRPr="00AC203A">
              <w:t xml:space="preserve">Incident patients </w:t>
            </w:r>
            <w:r w:rsidR="000306D8">
              <w:t>QAN</w:t>
            </w:r>
          </w:p>
          <w:p w14:paraId="620B7E3E" w14:textId="2F1108C9" w:rsidR="009B2D91" w:rsidRPr="00AC203A" w:rsidRDefault="009B2D91" w:rsidP="00130285">
            <w:pPr>
              <w:pStyle w:val="TableText0"/>
              <w:widowControl w:val="0"/>
            </w:pPr>
            <w:r w:rsidRPr="00AC203A">
              <w:t>with anal cancer</w:t>
            </w:r>
          </w:p>
        </w:tc>
        <w:tc>
          <w:tcPr>
            <w:tcW w:w="1304" w:type="dxa"/>
            <w:vAlign w:val="center"/>
          </w:tcPr>
          <w:p w14:paraId="6DF6FED1" w14:textId="3FF13AF0" w:rsidR="009B2D91" w:rsidRPr="00274759" w:rsidRDefault="009B2D91" w:rsidP="00130285">
            <w:pPr>
              <w:pStyle w:val="TableText0"/>
              <w:widowControl w:val="0"/>
              <w:rPr>
                <w:vertAlign w:val="superscript"/>
              </w:rPr>
            </w:pPr>
            <w:r w:rsidRPr="00AC203A">
              <w:t xml:space="preserve">Yr 1: </w:t>
            </w:r>
            <w:r w:rsidR="009951A2" w:rsidRPr="009951A2">
              <w:rPr>
                <w:highlight w:val="black"/>
              </w:rPr>
              <w:t>&amp;&amp;&amp;&amp;</w:t>
            </w:r>
            <w:r w:rsidR="00274759">
              <w:rPr>
                <w:vertAlign w:val="superscript"/>
              </w:rPr>
              <w:t>1</w:t>
            </w:r>
          </w:p>
          <w:p w14:paraId="379A8027" w14:textId="4EA92276" w:rsidR="009B2D91" w:rsidRPr="00274759" w:rsidRDefault="009B2D91" w:rsidP="00130285">
            <w:pPr>
              <w:pStyle w:val="TableText0"/>
              <w:widowControl w:val="0"/>
              <w:rPr>
                <w:vertAlign w:val="superscript"/>
              </w:rPr>
            </w:pPr>
            <w:r w:rsidRPr="00AC203A">
              <w:t xml:space="preserve">Yr 2: </w:t>
            </w:r>
            <w:r w:rsidR="009951A2" w:rsidRPr="009951A2">
              <w:rPr>
                <w:highlight w:val="black"/>
              </w:rPr>
              <w:t>&amp;&amp;&amp;&amp;</w:t>
            </w:r>
            <w:r w:rsidR="00274759">
              <w:rPr>
                <w:vertAlign w:val="superscript"/>
              </w:rPr>
              <w:t>1</w:t>
            </w:r>
          </w:p>
          <w:p w14:paraId="3D33251F" w14:textId="7EB39022" w:rsidR="009B2D91" w:rsidRPr="00274759" w:rsidRDefault="009B2D91" w:rsidP="00130285">
            <w:pPr>
              <w:pStyle w:val="TableText0"/>
              <w:widowControl w:val="0"/>
              <w:rPr>
                <w:vertAlign w:val="superscript"/>
              </w:rPr>
            </w:pPr>
            <w:r w:rsidRPr="00AC203A">
              <w:t xml:space="preserve">Yr 3: </w:t>
            </w:r>
            <w:r w:rsidR="009951A2" w:rsidRPr="009951A2">
              <w:rPr>
                <w:highlight w:val="black"/>
              </w:rPr>
              <w:t>&amp;&amp;&amp;&amp;</w:t>
            </w:r>
            <w:r w:rsidR="00274759">
              <w:rPr>
                <w:vertAlign w:val="superscript"/>
              </w:rPr>
              <w:t>1</w:t>
            </w:r>
          </w:p>
          <w:p w14:paraId="6E23DEA4" w14:textId="1E6B2BEC" w:rsidR="009B2D91" w:rsidRPr="00274759" w:rsidRDefault="009B2D91" w:rsidP="00130285">
            <w:pPr>
              <w:pStyle w:val="TableText0"/>
              <w:widowControl w:val="0"/>
              <w:rPr>
                <w:vertAlign w:val="superscript"/>
              </w:rPr>
            </w:pPr>
            <w:r w:rsidRPr="00AC203A">
              <w:t xml:space="preserve">Yr 4: </w:t>
            </w:r>
            <w:r w:rsidR="009951A2" w:rsidRPr="009951A2">
              <w:rPr>
                <w:highlight w:val="black"/>
              </w:rPr>
              <w:t>&amp;&amp;&amp;&amp;</w:t>
            </w:r>
            <w:r w:rsidR="00274759">
              <w:rPr>
                <w:vertAlign w:val="superscript"/>
              </w:rPr>
              <w:t>1</w:t>
            </w:r>
          </w:p>
          <w:p w14:paraId="7121253F" w14:textId="3578E7D5" w:rsidR="009B2D91" w:rsidRPr="00274759" w:rsidRDefault="009B2D91" w:rsidP="00130285">
            <w:pPr>
              <w:pStyle w:val="TableText0"/>
              <w:widowControl w:val="0"/>
              <w:rPr>
                <w:vertAlign w:val="superscript"/>
              </w:rPr>
            </w:pPr>
            <w:r w:rsidRPr="00AC203A">
              <w:t xml:space="preserve">Yr 5: </w:t>
            </w:r>
            <w:r w:rsidR="009951A2" w:rsidRPr="009951A2">
              <w:rPr>
                <w:highlight w:val="black"/>
              </w:rPr>
              <w:t>&amp;&amp;&amp;&amp;</w:t>
            </w:r>
            <w:r w:rsidR="00274759">
              <w:rPr>
                <w:vertAlign w:val="superscript"/>
              </w:rPr>
              <w:t>1</w:t>
            </w:r>
          </w:p>
          <w:p w14:paraId="1F9EE2D7" w14:textId="341B2808" w:rsidR="009B2D91" w:rsidRPr="00274759" w:rsidRDefault="009B2D91" w:rsidP="00130285">
            <w:pPr>
              <w:pStyle w:val="TableText0"/>
              <w:widowControl w:val="0"/>
              <w:rPr>
                <w:vertAlign w:val="superscript"/>
              </w:rPr>
            </w:pPr>
            <w:r w:rsidRPr="00AC203A">
              <w:t xml:space="preserve">Yr 6: </w:t>
            </w:r>
            <w:r w:rsidR="009951A2" w:rsidRPr="009951A2">
              <w:rPr>
                <w:highlight w:val="black"/>
              </w:rPr>
              <w:t>&amp;&amp;&amp;&amp;</w:t>
            </w:r>
            <w:r w:rsidR="00274759">
              <w:rPr>
                <w:vertAlign w:val="superscript"/>
              </w:rPr>
              <w:t>1</w:t>
            </w:r>
          </w:p>
        </w:tc>
        <w:tc>
          <w:tcPr>
            <w:tcW w:w="2977" w:type="dxa"/>
            <w:vAlign w:val="center"/>
          </w:tcPr>
          <w:p w14:paraId="2D711CCF" w14:textId="77777777" w:rsidR="009B2D91" w:rsidRPr="00AC203A" w:rsidRDefault="009B2D91" w:rsidP="00130285">
            <w:pPr>
              <w:pStyle w:val="TableText0"/>
              <w:widowControl w:val="0"/>
            </w:pPr>
            <w:r w:rsidRPr="00AC203A">
              <w:t>2024 AIHW anal cancer incidence (actual cases 2010-2020 and projected cases 2021-2024). The submission estimated anal cancer cases for 2025-2031 based on linear extrapolation of the AIHW data.</w:t>
            </w:r>
            <w:r w:rsidRPr="00AC203A">
              <w:rPr>
                <w:vertAlign w:val="superscript"/>
              </w:rPr>
              <w:t xml:space="preserve"> b</w:t>
            </w:r>
            <w:r w:rsidRPr="00AC203A">
              <w:fldChar w:fldCharType="begin"/>
            </w:r>
            <w:r w:rsidRPr="00AC203A">
              <w:instrText xml:space="preserve"> ADDIN EN.CITE &lt;EndNote&gt;&lt;Cite&gt;&lt;Author&gt;AIHW&lt;/Author&gt;&lt;Year&gt;2024&lt;/Year&gt;&lt;RecNum&gt;90&lt;/RecNum&gt;&lt;DisplayText&gt;(AIHW 2024)&lt;/DisplayText&gt;&lt;record&gt;&lt;rec-number&gt;90&lt;/rec-number&gt;&lt;foreign-keys&gt;&lt;key app="EN" db-id="dt0axvedit9x20eepzbxzs03wp2fdepezpdx" timestamp="1744000723"&gt;90&lt;/key&gt;&lt;/foreign-keys&gt;&lt;ref-type name="Web Page"&gt;12&lt;/ref-type&gt;&lt;contributors&gt;&lt;authors&gt;&lt;author&gt;AIHW&lt;/author&gt;&lt;/authors&gt;&lt;/contributors&gt;&lt;titles&gt;&lt;title&gt;Cancer data in Australia&lt;/title&gt;&lt;/titles&gt;&lt;volume&gt;2025&lt;/volume&gt;&lt;number&gt;07 April 2025&lt;/number&gt;&lt;dates&gt;&lt;year&gt;2024&lt;/year&gt;&lt;pub-dates&gt;&lt;date&gt;09 December 2024&lt;/date&gt;&lt;/pub-dates&gt;&lt;/dates&gt;&lt;urls&gt;&lt;related-urls&gt;&lt;url&gt;https://www.aihw.gov.au/reports/cancer/cancer-data-in-australia/contents/cancer-incidence-by-age-visualisation&lt;/url&gt;&lt;/related-urls&gt;&lt;/urls&gt;&lt;/record&gt;&lt;/Cite&gt;&lt;/EndNote&gt;</w:instrText>
            </w:r>
            <w:r w:rsidRPr="00AC203A">
              <w:fldChar w:fldCharType="separate"/>
            </w:r>
            <w:r w:rsidRPr="00AC203A">
              <w:fldChar w:fldCharType="end"/>
            </w:r>
          </w:p>
        </w:tc>
        <w:tc>
          <w:tcPr>
            <w:tcW w:w="3373" w:type="dxa"/>
            <w:vAlign w:val="center"/>
          </w:tcPr>
          <w:p w14:paraId="306BA77E" w14:textId="7E9BE7A3" w:rsidR="00AC614C" w:rsidRPr="00AC203A" w:rsidRDefault="00E16A8A" w:rsidP="00130285">
            <w:pPr>
              <w:pStyle w:val="TableText0"/>
              <w:widowControl w:val="0"/>
            </w:pPr>
            <w:r w:rsidRPr="00AC203A">
              <w:t>DUSC considered</w:t>
            </w:r>
            <w:r w:rsidR="009B2D91" w:rsidRPr="00AC203A">
              <w:t xml:space="preserve"> the</w:t>
            </w:r>
            <w:r w:rsidR="001C30F0" w:rsidRPr="00AC203A">
              <w:t xml:space="preserve"> submission’s</w:t>
            </w:r>
            <w:r w:rsidR="009B2D91" w:rsidRPr="00AC203A">
              <w:t xml:space="preserve"> estimates </w:t>
            </w:r>
            <w:r w:rsidRPr="00AC203A">
              <w:t xml:space="preserve">were underestimated </w:t>
            </w:r>
            <w:r w:rsidR="009B2D91" w:rsidRPr="00AC203A">
              <w:t>due to</w:t>
            </w:r>
            <w:r w:rsidR="00AC614C" w:rsidRPr="00AC203A">
              <w:t>:</w:t>
            </w:r>
          </w:p>
          <w:p w14:paraId="43CF3FF7" w14:textId="432847EA" w:rsidR="00D56B7C" w:rsidRPr="00AC203A" w:rsidRDefault="009B2D91" w:rsidP="00981D55">
            <w:pPr>
              <w:pStyle w:val="TableText0"/>
              <w:widowControl w:val="0"/>
              <w:numPr>
                <w:ilvl w:val="0"/>
                <w:numId w:val="11"/>
              </w:numPr>
              <w:ind w:left="177" w:hanging="142"/>
              <w:rPr>
                <w:vertAlign w:val="superscript"/>
              </w:rPr>
            </w:pPr>
            <w:r w:rsidRPr="00AC203A">
              <w:t>linear extrapolation of the AIHW data to determine the number of cases of anal cancer after 2024, rather than using the published AIHW projections</w:t>
            </w:r>
            <w:r w:rsidRPr="00AC203A">
              <w:rPr>
                <w:vertAlign w:val="superscript"/>
              </w:rPr>
              <w:t xml:space="preserve"> c</w:t>
            </w:r>
            <w:r w:rsidR="002B54B1" w:rsidRPr="00AC203A">
              <w:t>, which predicted 68</w:t>
            </w:r>
            <w:r w:rsidR="00F12458">
              <w:t>3</w:t>
            </w:r>
            <w:r w:rsidR="002B54B1" w:rsidRPr="00AC203A">
              <w:t xml:space="preserve"> incident patients in 2026 and 862 in 2034. DUSC considered that the submission underestimated incident cases compared to AIHW by ~8% by yr 6.</w:t>
            </w:r>
            <w:r w:rsidR="00EC6843">
              <w:t xml:space="preserve"> </w:t>
            </w:r>
          </w:p>
          <w:p w14:paraId="676B0EB5" w14:textId="1775C521" w:rsidR="00AE46FD" w:rsidRPr="00AC203A" w:rsidRDefault="00C81135" w:rsidP="00981D55">
            <w:pPr>
              <w:pStyle w:val="TableText0"/>
              <w:widowControl w:val="0"/>
              <w:numPr>
                <w:ilvl w:val="0"/>
                <w:numId w:val="11"/>
              </w:numPr>
              <w:ind w:left="177" w:hanging="142"/>
            </w:pPr>
            <w:r w:rsidRPr="00AC203A">
              <w:t>more conservative growth assumptions</w:t>
            </w:r>
            <w:r w:rsidR="00F31437">
              <w:t xml:space="preserve">, </w:t>
            </w:r>
            <w:r w:rsidR="00806C96">
              <w:t>i.e.</w:t>
            </w:r>
            <w:r w:rsidRPr="00AC203A">
              <w:t xml:space="preserve"> 2.4%/yr (submission) vs 3.2%/yr (AIHW).</w:t>
            </w:r>
          </w:p>
        </w:tc>
      </w:tr>
      <w:tr w:rsidR="009B2D91" w:rsidRPr="000E5B3A" w14:paraId="016A03CB" w14:textId="77777777" w:rsidTr="00130285">
        <w:tc>
          <w:tcPr>
            <w:tcW w:w="1526" w:type="dxa"/>
            <w:vAlign w:val="center"/>
          </w:tcPr>
          <w:p w14:paraId="19F6DE5F" w14:textId="77777777" w:rsidR="009B2D91" w:rsidRPr="00EC6843" w:rsidRDefault="009B2D91" w:rsidP="00130285">
            <w:pPr>
              <w:pStyle w:val="TableText0"/>
              <w:keepNext w:val="0"/>
              <w:keepLines w:val="0"/>
              <w:widowControl w:val="0"/>
            </w:pPr>
            <w:r w:rsidRPr="00EC6843">
              <w:t>Of patients with anal cancer, the % with SCAC at diagnosis</w:t>
            </w:r>
          </w:p>
        </w:tc>
        <w:tc>
          <w:tcPr>
            <w:tcW w:w="1304" w:type="dxa"/>
            <w:vAlign w:val="center"/>
          </w:tcPr>
          <w:p w14:paraId="2EBD9CBB" w14:textId="77777777" w:rsidR="009B2D91" w:rsidRPr="00EC6843" w:rsidRDefault="009B2D91" w:rsidP="00130285">
            <w:pPr>
              <w:pStyle w:val="TableText0"/>
              <w:keepNext w:val="0"/>
              <w:keepLines w:val="0"/>
              <w:widowControl w:val="0"/>
            </w:pPr>
            <w:r w:rsidRPr="00EC6843">
              <w:t>71.8%</w:t>
            </w:r>
          </w:p>
        </w:tc>
        <w:tc>
          <w:tcPr>
            <w:tcW w:w="2977" w:type="dxa"/>
            <w:vAlign w:val="center"/>
          </w:tcPr>
          <w:p w14:paraId="3B3290F1" w14:textId="69FD9EE3" w:rsidR="009B2D91" w:rsidRPr="00EC6843" w:rsidRDefault="009B2D91" w:rsidP="00130285">
            <w:pPr>
              <w:pStyle w:val="TableText0"/>
              <w:keepNext w:val="0"/>
              <w:keepLines w:val="0"/>
              <w:widowControl w:val="0"/>
            </w:pPr>
            <w:r w:rsidRPr="00EC6843">
              <w:t>Soeberg 2015</w:t>
            </w:r>
            <w:r w:rsidRPr="00EC6843">
              <w:rPr>
                <w:vertAlign w:val="superscript"/>
              </w:rPr>
              <w:t xml:space="preserve"> d</w:t>
            </w:r>
            <w:r w:rsidR="00A40305" w:rsidRPr="00EC6843">
              <w:rPr>
                <w:vertAlign w:val="superscript"/>
              </w:rPr>
              <w:t xml:space="preserve"> </w:t>
            </w:r>
          </w:p>
        </w:tc>
        <w:tc>
          <w:tcPr>
            <w:tcW w:w="3373" w:type="dxa"/>
            <w:vAlign w:val="center"/>
          </w:tcPr>
          <w:p w14:paraId="7C4B17B4" w14:textId="130A36F6" w:rsidR="009B2D91" w:rsidRPr="00EC6843" w:rsidRDefault="000E6BEB" w:rsidP="00130285">
            <w:pPr>
              <w:pStyle w:val="TableText0"/>
              <w:keepNext w:val="0"/>
              <w:keepLines w:val="0"/>
              <w:widowControl w:val="0"/>
            </w:pPr>
            <w:r>
              <w:t>The evaluation considered this was l</w:t>
            </w:r>
            <w:r w:rsidR="008848C0" w:rsidRPr="00EC6843">
              <w:t>ikely</w:t>
            </w:r>
            <w:r w:rsidR="00551F95" w:rsidRPr="00EC6843">
              <w:t xml:space="preserve"> </w:t>
            </w:r>
            <w:r w:rsidR="009B2D91" w:rsidRPr="00EC6843">
              <w:t>underestimated</w:t>
            </w:r>
            <w:r w:rsidR="008848C0" w:rsidRPr="00EC6843">
              <w:t>,</w:t>
            </w:r>
            <w:r w:rsidR="009B2D91" w:rsidRPr="00EC6843">
              <w:t xml:space="preserve"> as other sources have reported that 75% to 95% of anal cancer is SCAC (Pedersen 2025).</w:t>
            </w:r>
          </w:p>
          <w:p w14:paraId="1DEF53AE" w14:textId="6652854B" w:rsidR="008F31BA" w:rsidRPr="00EC6843" w:rsidRDefault="008848C0" w:rsidP="008848C0">
            <w:pPr>
              <w:pStyle w:val="TableText0"/>
              <w:keepNext w:val="0"/>
              <w:keepLines w:val="0"/>
              <w:widowControl w:val="0"/>
            </w:pPr>
            <w:r w:rsidRPr="00EC6843">
              <w:t>DUSC considered the proportion likely to be ~</w:t>
            </w:r>
            <w:r w:rsidR="005E7901" w:rsidRPr="00EC6843">
              <w:t>85-90%</w:t>
            </w:r>
            <w:r w:rsidRPr="00EC6843">
              <w:t>,</w:t>
            </w:r>
            <w:r w:rsidR="005E7901" w:rsidRPr="00EC6843">
              <w:t xml:space="preserve"> based on </w:t>
            </w:r>
            <w:r w:rsidRPr="00EC6843">
              <w:t xml:space="preserve">a </w:t>
            </w:r>
            <w:r w:rsidR="005E7901" w:rsidRPr="00EC6843">
              <w:t>brief literature review</w:t>
            </w:r>
            <w:r w:rsidRPr="00EC6843">
              <w:t xml:space="preserve">, noting that </w:t>
            </w:r>
            <w:r w:rsidR="008F31BA" w:rsidRPr="00EC6843">
              <w:t>Soeberg</w:t>
            </w:r>
            <w:r w:rsidRPr="00EC6843">
              <w:t xml:space="preserve"> 2015</w:t>
            </w:r>
            <w:r w:rsidR="008F31BA" w:rsidRPr="00EC6843">
              <w:t xml:space="preserve"> is only based on NSW data with linear projections from 2009 to 2014.</w:t>
            </w:r>
            <w:r w:rsidR="00BF3FEC">
              <w:t xml:space="preserve"> PBAC considered this should be</w:t>
            </w:r>
            <w:r w:rsidR="00331B7B">
              <w:t xml:space="preserve"> amended to 85%, consistent with the pre-PBAC response.</w:t>
            </w:r>
          </w:p>
        </w:tc>
      </w:tr>
      <w:tr w:rsidR="009B2D91" w:rsidRPr="000E5B3A" w14:paraId="0A86A39E" w14:textId="77777777" w:rsidTr="00130285">
        <w:tc>
          <w:tcPr>
            <w:tcW w:w="1526" w:type="dxa"/>
            <w:vAlign w:val="center"/>
          </w:tcPr>
          <w:p w14:paraId="5B204475" w14:textId="77777777" w:rsidR="009B2D91" w:rsidRPr="00EC6843" w:rsidRDefault="009B2D91" w:rsidP="00130285">
            <w:pPr>
              <w:pStyle w:val="TableText0"/>
              <w:keepNext w:val="0"/>
              <w:keepLines w:val="0"/>
              <w:widowControl w:val="0"/>
            </w:pPr>
            <w:r w:rsidRPr="00EC6843">
              <w:t>Incidence of metastatic SCAC at diagnosis (population 1)</w:t>
            </w:r>
            <w:r w:rsidRPr="00EC6843">
              <w:rPr>
                <w:vertAlign w:val="superscript"/>
              </w:rPr>
              <w:t xml:space="preserve"> a</w:t>
            </w:r>
          </w:p>
        </w:tc>
        <w:tc>
          <w:tcPr>
            <w:tcW w:w="1304" w:type="dxa"/>
            <w:vAlign w:val="center"/>
          </w:tcPr>
          <w:p w14:paraId="7FEF21CE" w14:textId="77777777" w:rsidR="009B2D91" w:rsidRPr="00EC6843" w:rsidRDefault="009B2D91" w:rsidP="00130285">
            <w:pPr>
              <w:pStyle w:val="TableText0"/>
              <w:keepNext w:val="0"/>
              <w:keepLines w:val="0"/>
              <w:widowControl w:val="0"/>
            </w:pPr>
            <w:r w:rsidRPr="00EC6843">
              <w:t>8.9%</w:t>
            </w:r>
          </w:p>
        </w:tc>
        <w:tc>
          <w:tcPr>
            <w:tcW w:w="2977" w:type="dxa"/>
            <w:vAlign w:val="center"/>
          </w:tcPr>
          <w:p w14:paraId="13F0D752" w14:textId="77777777" w:rsidR="009B2D91" w:rsidRPr="00EC6843" w:rsidRDefault="009B2D91" w:rsidP="00130285">
            <w:pPr>
              <w:pStyle w:val="TableText0"/>
              <w:keepNext w:val="0"/>
              <w:keepLines w:val="0"/>
              <w:widowControl w:val="0"/>
            </w:pPr>
            <w:r w:rsidRPr="00EC6843">
              <w:t>Soeberg 2015</w:t>
            </w:r>
            <w:r w:rsidRPr="00EC6843">
              <w:rPr>
                <w:vertAlign w:val="superscript"/>
              </w:rPr>
              <w:t xml:space="preserve"> d</w:t>
            </w:r>
          </w:p>
        </w:tc>
        <w:tc>
          <w:tcPr>
            <w:tcW w:w="3373" w:type="dxa"/>
            <w:vMerge w:val="restart"/>
            <w:vAlign w:val="center"/>
          </w:tcPr>
          <w:p w14:paraId="19812574" w14:textId="3312D977" w:rsidR="00714150" w:rsidRPr="00EC6843" w:rsidRDefault="00714150" w:rsidP="00130285">
            <w:pPr>
              <w:pStyle w:val="TableText0"/>
              <w:keepNext w:val="0"/>
              <w:keepLines w:val="0"/>
              <w:widowControl w:val="0"/>
            </w:pPr>
            <w:r w:rsidRPr="00EC6843">
              <w:t>DUSC</w:t>
            </w:r>
            <w:r w:rsidR="00923830">
              <w:t xml:space="preserve"> and PBAC </w:t>
            </w:r>
            <w:r w:rsidRPr="00EC6843">
              <w:t xml:space="preserve">considered this was reasonable. </w:t>
            </w:r>
          </w:p>
        </w:tc>
      </w:tr>
      <w:tr w:rsidR="009B2D91" w:rsidRPr="000E5B3A" w14:paraId="76BDC238" w14:textId="77777777" w:rsidTr="00130285">
        <w:tc>
          <w:tcPr>
            <w:tcW w:w="1526" w:type="dxa"/>
            <w:vAlign w:val="center"/>
          </w:tcPr>
          <w:p w14:paraId="6A3F9B05" w14:textId="77777777" w:rsidR="009B2D91" w:rsidRPr="00EC6843" w:rsidRDefault="009B2D91" w:rsidP="00130285">
            <w:pPr>
              <w:pStyle w:val="TableText0"/>
              <w:keepNext w:val="0"/>
              <w:keepLines w:val="0"/>
              <w:widowControl w:val="0"/>
            </w:pPr>
            <w:r w:rsidRPr="00EC6843">
              <w:t>Incidence of locoregional SCAC (populations 2 and 3)</w:t>
            </w:r>
          </w:p>
        </w:tc>
        <w:tc>
          <w:tcPr>
            <w:tcW w:w="1304" w:type="dxa"/>
            <w:vAlign w:val="center"/>
          </w:tcPr>
          <w:p w14:paraId="252AF89E" w14:textId="77777777" w:rsidR="009B2D91" w:rsidRPr="00EC6843" w:rsidRDefault="009B2D91" w:rsidP="00130285">
            <w:pPr>
              <w:pStyle w:val="TableText0"/>
              <w:keepNext w:val="0"/>
              <w:keepLines w:val="0"/>
              <w:widowControl w:val="0"/>
            </w:pPr>
            <w:r w:rsidRPr="00EC6843">
              <w:t xml:space="preserve">91.1% </w:t>
            </w:r>
          </w:p>
        </w:tc>
        <w:tc>
          <w:tcPr>
            <w:tcW w:w="2977" w:type="dxa"/>
            <w:vAlign w:val="center"/>
          </w:tcPr>
          <w:p w14:paraId="7C908B27" w14:textId="77777777" w:rsidR="009B2D91" w:rsidRPr="00EC6843" w:rsidRDefault="009B2D91" w:rsidP="00130285">
            <w:pPr>
              <w:pStyle w:val="TableText0"/>
              <w:keepNext w:val="0"/>
              <w:keepLines w:val="0"/>
              <w:widowControl w:val="0"/>
            </w:pPr>
            <w:r w:rsidRPr="00EC6843">
              <w:t>Soeberg 2015</w:t>
            </w:r>
          </w:p>
        </w:tc>
        <w:tc>
          <w:tcPr>
            <w:tcW w:w="3373" w:type="dxa"/>
            <w:vMerge/>
            <w:vAlign w:val="center"/>
          </w:tcPr>
          <w:p w14:paraId="50375B7E" w14:textId="77777777" w:rsidR="009B2D91" w:rsidRPr="00EC6843" w:rsidRDefault="009B2D91" w:rsidP="00130285">
            <w:pPr>
              <w:pStyle w:val="TableText0"/>
              <w:keepNext w:val="0"/>
              <w:keepLines w:val="0"/>
              <w:widowControl w:val="0"/>
            </w:pPr>
          </w:p>
        </w:tc>
      </w:tr>
      <w:tr w:rsidR="009B2D91" w:rsidRPr="000E5B3A" w14:paraId="2CC3378A" w14:textId="77777777" w:rsidTr="00130285">
        <w:tc>
          <w:tcPr>
            <w:tcW w:w="9180" w:type="dxa"/>
            <w:gridSpan w:val="4"/>
            <w:vAlign w:val="center"/>
          </w:tcPr>
          <w:p w14:paraId="68D0C930" w14:textId="77777777" w:rsidR="009B2D91" w:rsidRPr="00EC6843" w:rsidRDefault="009B2D91" w:rsidP="00130285">
            <w:pPr>
              <w:pStyle w:val="TableText0"/>
              <w:keepNext w:val="0"/>
              <w:keepLines w:val="0"/>
              <w:widowControl w:val="0"/>
              <w:rPr>
                <w:b/>
                <w:bCs w:val="0"/>
              </w:rPr>
            </w:pPr>
            <w:r w:rsidRPr="00EC6843">
              <w:rPr>
                <w:b/>
                <w:bCs w:val="0"/>
              </w:rPr>
              <w:t>Progression rates</w:t>
            </w:r>
          </w:p>
        </w:tc>
      </w:tr>
      <w:tr w:rsidR="009B2D91" w:rsidRPr="000E5B3A" w14:paraId="56791DB6" w14:textId="77777777" w:rsidTr="002D0B7D">
        <w:trPr>
          <w:cantSplit/>
        </w:trPr>
        <w:tc>
          <w:tcPr>
            <w:tcW w:w="1526" w:type="dxa"/>
            <w:vAlign w:val="center"/>
          </w:tcPr>
          <w:p w14:paraId="583681B2" w14:textId="77777777" w:rsidR="009B2D91" w:rsidRPr="00EC6843" w:rsidRDefault="009B2D91" w:rsidP="00130285">
            <w:pPr>
              <w:pStyle w:val="TableText0"/>
              <w:keepNext w:val="0"/>
              <w:keepLines w:val="0"/>
              <w:widowControl w:val="0"/>
            </w:pPr>
            <w:r w:rsidRPr="00EC6843">
              <w:t>Progression rate locoregional to metastatic disease (population 2)</w:t>
            </w:r>
          </w:p>
        </w:tc>
        <w:tc>
          <w:tcPr>
            <w:tcW w:w="1304" w:type="dxa"/>
            <w:vAlign w:val="center"/>
          </w:tcPr>
          <w:p w14:paraId="3E1A7E54" w14:textId="77777777" w:rsidR="009B2D91" w:rsidRPr="00EC6843" w:rsidRDefault="009B2D91" w:rsidP="00130285">
            <w:pPr>
              <w:pStyle w:val="TableText0"/>
              <w:keepNext w:val="0"/>
              <w:keepLines w:val="0"/>
              <w:widowControl w:val="0"/>
            </w:pPr>
            <w:r w:rsidRPr="00EC6843">
              <w:t>Annual range: 0.1% - 7.0%</w:t>
            </w:r>
          </w:p>
        </w:tc>
        <w:tc>
          <w:tcPr>
            <w:tcW w:w="2977" w:type="dxa"/>
            <w:vMerge w:val="restart"/>
            <w:vAlign w:val="center"/>
          </w:tcPr>
          <w:p w14:paraId="196D2F3D" w14:textId="77777777" w:rsidR="009B2D91" w:rsidRPr="00EC6843" w:rsidRDefault="009B2D91" w:rsidP="00130285">
            <w:pPr>
              <w:pStyle w:val="TableText0"/>
              <w:keepNext w:val="0"/>
              <w:keepLines w:val="0"/>
              <w:widowControl w:val="0"/>
            </w:pPr>
            <w:r w:rsidRPr="00EC6843">
              <w:t>Based on digitised survival data and relapse data for patients receiving chemotherapy from Northover 2010.</w:t>
            </w:r>
            <w:r w:rsidRPr="00EC6843">
              <w:rPr>
                <w:vertAlign w:val="superscript"/>
              </w:rPr>
              <w:t xml:space="preserve"> e</w:t>
            </w:r>
          </w:p>
        </w:tc>
        <w:tc>
          <w:tcPr>
            <w:tcW w:w="3373" w:type="dxa"/>
            <w:vMerge w:val="restart"/>
            <w:vAlign w:val="center"/>
          </w:tcPr>
          <w:p w14:paraId="61E5BACF" w14:textId="04A40E93" w:rsidR="009B2D91" w:rsidRPr="002B0925" w:rsidRDefault="009B2D91" w:rsidP="00130285">
            <w:pPr>
              <w:pStyle w:val="TableText0"/>
              <w:keepNext w:val="0"/>
              <w:keepLines w:val="0"/>
              <w:widowControl w:val="0"/>
            </w:pPr>
            <w:r w:rsidRPr="002B0925">
              <w:t>While the Year 2 progression rates were considerably higher than for any other year, Rao 2021 (ESMO anal cancer guidelines) state</w:t>
            </w:r>
            <w:r w:rsidR="007F0460" w:rsidRPr="002B0925">
              <w:t>s</w:t>
            </w:r>
            <w:r w:rsidRPr="002B0925">
              <w:t xml:space="preserve"> that the majority of tumours that recur typically do so within 24 months following completion of CRT</w:t>
            </w:r>
            <w:r w:rsidR="00A36C06" w:rsidRPr="002B0925">
              <w:t>,</w:t>
            </w:r>
            <w:r w:rsidRPr="002B0925">
              <w:t xml:space="preserve"> so may be plausible.</w:t>
            </w:r>
          </w:p>
          <w:p w14:paraId="734E00A9" w14:textId="77777777" w:rsidR="00F91E2D" w:rsidRPr="002B0925" w:rsidRDefault="00F91E2D" w:rsidP="00130285">
            <w:pPr>
              <w:pStyle w:val="TableText0"/>
              <w:keepNext w:val="0"/>
              <w:keepLines w:val="0"/>
              <w:widowControl w:val="0"/>
            </w:pPr>
          </w:p>
          <w:p w14:paraId="3B82152F" w14:textId="1861EC95" w:rsidR="00F91E2D" w:rsidRPr="002B0925" w:rsidRDefault="002347DC" w:rsidP="00F91E2D">
            <w:pPr>
              <w:widowControl w:val="0"/>
              <w:jc w:val="left"/>
              <w:rPr>
                <w:rFonts w:ascii="Arial Narrow" w:eastAsiaTheme="majorEastAsia" w:hAnsi="Arial Narrow" w:cstheme="majorBidi"/>
                <w:bCs/>
                <w:sz w:val="20"/>
              </w:rPr>
            </w:pPr>
            <w:r w:rsidRPr="002B0925">
              <w:rPr>
                <w:rFonts w:ascii="Arial Narrow" w:eastAsiaTheme="majorEastAsia" w:hAnsi="Arial Narrow" w:cstheme="majorBidi"/>
                <w:bCs/>
                <w:sz w:val="20"/>
              </w:rPr>
              <w:t xml:space="preserve">DUSC considered </w:t>
            </w:r>
            <w:r w:rsidR="007905BF" w:rsidRPr="002B0925">
              <w:rPr>
                <w:rFonts w:ascii="Arial Narrow" w:eastAsiaTheme="majorEastAsia" w:hAnsi="Arial Narrow" w:cstheme="majorBidi"/>
                <w:bCs/>
                <w:sz w:val="20"/>
              </w:rPr>
              <w:t xml:space="preserve">the </w:t>
            </w:r>
            <w:r w:rsidRPr="002B0925">
              <w:rPr>
                <w:rFonts w:ascii="Arial Narrow" w:eastAsiaTheme="majorEastAsia" w:hAnsi="Arial Narrow" w:cstheme="majorBidi"/>
                <w:bCs/>
                <w:sz w:val="20"/>
              </w:rPr>
              <w:t xml:space="preserve">progression rates </w:t>
            </w:r>
            <w:r w:rsidR="007905BF" w:rsidRPr="002B0925">
              <w:rPr>
                <w:rFonts w:ascii="Arial Narrow" w:eastAsiaTheme="majorEastAsia" w:hAnsi="Arial Narrow" w:cstheme="majorBidi"/>
                <w:bCs/>
                <w:sz w:val="20"/>
              </w:rPr>
              <w:t>we</w:t>
            </w:r>
            <w:r w:rsidRPr="002B0925">
              <w:rPr>
                <w:rFonts w:ascii="Arial Narrow" w:eastAsiaTheme="majorEastAsia" w:hAnsi="Arial Narrow" w:cstheme="majorBidi"/>
                <w:bCs/>
                <w:sz w:val="20"/>
              </w:rPr>
              <w:t>re u</w:t>
            </w:r>
            <w:r w:rsidR="00F91E2D" w:rsidRPr="002B0925">
              <w:rPr>
                <w:rFonts w:ascii="Arial Narrow" w:eastAsiaTheme="majorEastAsia" w:hAnsi="Arial Narrow" w:cstheme="majorBidi"/>
                <w:bCs/>
                <w:sz w:val="20"/>
              </w:rPr>
              <w:t>ncertain</w:t>
            </w:r>
            <w:r w:rsidRPr="002B0925">
              <w:rPr>
                <w:rFonts w:ascii="Arial Narrow" w:eastAsiaTheme="majorEastAsia" w:hAnsi="Arial Narrow" w:cstheme="majorBidi"/>
                <w:bCs/>
                <w:sz w:val="20"/>
              </w:rPr>
              <w:t>,</w:t>
            </w:r>
            <w:r w:rsidR="00F91E2D" w:rsidRPr="002B0925">
              <w:rPr>
                <w:rFonts w:ascii="Arial Narrow" w:eastAsiaTheme="majorEastAsia" w:hAnsi="Arial Narrow" w:cstheme="majorBidi"/>
                <w:bCs/>
                <w:sz w:val="20"/>
              </w:rPr>
              <w:t xml:space="preserve"> but may be reasonable</w:t>
            </w:r>
            <w:r w:rsidR="007A3556" w:rsidRPr="002B0925">
              <w:rPr>
                <w:rFonts w:ascii="Arial Narrow" w:eastAsiaTheme="majorEastAsia" w:hAnsi="Arial Narrow" w:cstheme="majorBidi"/>
                <w:bCs/>
                <w:sz w:val="20"/>
              </w:rPr>
              <w:t>, noting:</w:t>
            </w:r>
            <w:r w:rsidR="00F91E2D" w:rsidRPr="002B0925">
              <w:rPr>
                <w:rFonts w:ascii="Arial Narrow" w:eastAsiaTheme="majorEastAsia" w:hAnsi="Arial Narrow" w:cstheme="majorBidi"/>
                <w:bCs/>
                <w:sz w:val="20"/>
              </w:rPr>
              <w:t xml:space="preserve"> </w:t>
            </w:r>
          </w:p>
          <w:p w14:paraId="1C3A14DD" w14:textId="2ACEE1CA" w:rsidR="007A3556" w:rsidRPr="002B0925" w:rsidRDefault="003F7AAD" w:rsidP="00981D55">
            <w:pPr>
              <w:pStyle w:val="TableText0"/>
              <w:widowControl w:val="0"/>
              <w:numPr>
                <w:ilvl w:val="0"/>
                <w:numId w:val="11"/>
              </w:numPr>
              <w:ind w:left="177" w:hanging="142"/>
            </w:pPr>
            <w:r w:rsidRPr="002B0925">
              <w:lastRenderedPageBreak/>
              <w:t xml:space="preserve">the </w:t>
            </w:r>
            <w:r w:rsidR="00F91E2D" w:rsidRPr="002B0925">
              <w:t xml:space="preserve">Year 2 annual progression rates </w:t>
            </w:r>
            <w:r w:rsidR="00F81BD9" w:rsidRPr="002B0925">
              <w:t xml:space="preserve">were </w:t>
            </w:r>
            <w:r w:rsidR="00F91E2D" w:rsidRPr="002B0925">
              <w:t>hard to validate. Confirmed in clinical guidelines that reoccurrence occurs in 24 months but no data on the number of tumours.</w:t>
            </w:r>
          </w:p>
          <w:p w14:paraId="39B852D5" w14:textId="027AA8C9" w:rsidR="00F91E2D" w:rsidRPr="002B0925" w:rsidRDefault="00F91E2D" w:rsidP="00981D55">
            <w:pPr>
              <w:pStyle w:val="TableText0"/>
              <w:widowControl w:val="0"/>
              <w:numPr>
                <w:ilvl w:val="0"/>
                <w:numId w:val="11"/>
              </w:numPr>
              <w:ind w:left="177" w:hanging="142"/>
            </w:pPr>
            <w:r w:rsidRPr="002B0925">
              <w:rPr>
                <w:u w:val="single"/>
              </w:rPr>
              <w:t>Population 2</w:t>
            </w:r>
            <w:r w:rsidR="007A3556" w:rsidRPr="002B0925">
              <w:rPr>
                <w:u w:val="single"/>
              </w:rPr>
              <w:t xml:space="preserve"> - </w:t>
            </w:r>
            <w:r w:rsidRPr="002B0925">
              <w:t xml:space="preserve">Literature review suggested </w:t>
            </w:r>
            <w:r w:rsidR="00D93E2D" w:rsidRPr="002B0925">
              <w:t>&gt;</w:t>
            </w:r>
            <w:r w:rsidRPr="002B0925">
              <w:t xml:space="preserve">~10–20% of patients treated with curative-intent CRT for non-metastatic SCAC will develop distant metastases. Submission used the lower end of the estimates. </w:t>
            </w:r>
          </w:p>
          <w:p w14:paraId="0CB9FF05" w14:textId="7FBDBD02" w:rsidR="00F91E2D" w:rsidRPr="002B0925" w:rsidRDefault="00F91E2D" w:rsidP="00981D55">
            <w:pPr>
              <w:pStyle w:val="TableText0"/>
              <w:widowControl w:val="0"/>
              <w:numPr>
                <w:ilvl w:val="0"/>
                <w:numId w:val="11"/>
              </w:numPr>
              <w:ind w:left="177" w:hanging="142"/>
            </w:pPr>
            <w:r w:rsidRPr="002B0925">
              <w:t xml:space="preserve"> </w:t>
            </w:r>
            <w:r w:rsidRPr="002B0925">
              <w:rPr>
                <w:u w:val="single"/>
              </w:rPr>
              <w:t>Population 3</w:t>
            </w:r>
            <w:r w:rsidR="00507607" w:rsidRPr="002B0925">
              <w:rPr>
                <w:u w:val="single"/>
              </w:rPr>
              <w:t xml:space="preserve"> </w:t>
            </w:r>
            <w:r w:rsidR="00507607" w:rsidRPr="002B0925">
              <w:t>–</w:t>
            </w:r>
            <w:r w:rsidRPr="002B0925">
              <w:t xml:space="preserve"> </w:t>
            </w:r>
            <w:r w:rsidR="00507607" w:rsidRPr="002B0925">
              <w:t xml:space="preserve">the </w:t>
            </w:r>
            <w:r w:rsidRPr="002B0925">
              <w:t>submission indicated 32.7% over time, the literature is limited but suggested 14-35% within 24 months (Nilson et al 2020, Shakir et al 2019).</w:t>
            </w:r>
          </w:p>
        </w:tc>
      </w:tr>
      <w:tr w:rsidR="009B2D91" w:rsidRPr="000E5B3A" w14:paraId="095A8C2E" w14:textId="77777777" w:rsidTr="00130285">
        <w:tc>
          <w:tcPr>
            <w:tcW w:w="1526" w:type="dxa"/>
            <w:vAlign w:val="center"/>
          </w:tcPr>
          <w:p w14:paraId="7F75A01C" w14:textId="77777777" w:rsidR="009B2D91" w:rsidRPr="00F31437" w:rsidRDefault="009B2D91" w:rsidP="00130285">
            <w:pPr>
              <w:pStyle w:val="TableText0"/>
              <w:keepNext w:val="0"/>
              <w:keepLines w:val="0"/>
              <w:widowControl w:val="0"/>
            </w:pPr>
            <w:r w:rsidRPr="00F31437">
              <w:t>Progression rate from locoregional to locally recurrent disease (population 3)</w:t>
            </w:r>
          </w:p>
        </w:tc>
        <w:tc>
          <w:tcPr>
            <w:tcW w:w="1304" w:type="dxa"/>
            <w:vAlign w:val="center"/>
          </w:tcPr>
          <w:p w14:paraId="5E8C5FEF" w14:textId="77777777" w:rsidR="009B2D91" w:rsidRPr="00F31437" w:rsidRDefault="009B2D91" w:rsidP="00130285">
            <w:pPr>
              <w:pStyle w:val="TableText0"/>
              <w:keepNext w:val="0"/>
              <w:keepLines w:val="0"/>
              <w:widowControl w:val="0"/>
            </w:pPr>
            <w:r w:rsidRPr="00F31437">
              <w:t>Annual range: 0.1% - 22.1%</w:t>
            </w:r>
          </w:p>
        </w:tc>
        <w:tc>
          <w:tcPr>
            <w:tcW w:w="2977" w:type="dxa"/>
            <w:vMerge/>
            <w:vAlign w:val="center"/>
          </w:tcPr>
          <w:p w14:paraId="4A494723" w14:textId="77777777" w:rsidR="009B2D91" w:rsidRPr="000E5B3A" w:rsidRDefault="009B2D91" w:rsidP="00130285">
            <w:pPr>
              <w:pStyle w:val="TableText0"/>
              <w:keepNext w:val="0"/>
              <w:keepLines w:val="0"/>
              <w:widowControl w:val="0"/>
              <w:rPr>
                <w:highlight w:val="yellow"/>
              </w:rPr>
            </w:pPr>
          </w:p>
        </w:tc>
        <w:tc>
          <w:tcPr>
            <w:tcW w:w="3373" w:type="dxa"/>
            <w:vMerge/>
            <w:vAlign w:val="center"/>
          </w:tcPr>
          <w:p w14:paraId="783AF875" w14:textId="77777777" w:rsidR="009B2D91" w:rsidRPr="000E5B3A" w:rsidRDefault="009B2D91" w:rsidP="00130285">
            <w:pPr>
              <w:pStyle w:val="TableText0"/>
              <w:keepNext w:val="0"/>
              <w:keepLines w:val="0"/>
              <w:widowControl w:val="0"/>
              <w:rPr>
                <w:highlight w:val="yellow"/>
              </w:rPr>
            </w:pPr>
          </w:p>
        </w:tc>
      </w:tr>
      <w:tr w:rsidR="009B2D91" w:rsidRPr="000E5B3A" w14:paraId="4D7DC372" w14:textId="77777777" w:rsidTr="00130285">
        <w:tc>
          <w:tcPr>
            <w:tcW w:w="1526" w:type="dxa"/>
            <w:vAlign w:val="center"/>
          </w:tcPr>
          <w:p w14:paraId="71C074EF" w14:textId="77777777" w:rsidR="009B2D91" w:rsidRPr="000E5B3A" w:rsidRDefault="009B2D91" w:rsidP="00130285">
            <w:pPr>
              <w:pStyle w:val="TableText0"/>
              <w:keepNext w:val="0"/>
              <w:keepLines w:val="0"/>
              <w:widowControl w:val="0"/>
            </w:pPr>
            <w:r w:rsidRPr="000E5B3A">
              <w:t>Incidence of inoperable disease in patients with locally recurrent SCAC (population 3)</w:t>
            </w:r>
          </w:p>
        </w:tc>
        <w:tc>
          <w:tcPr>
            <w:tcW w:w="1304" w:type="dxa"/>
            <w:vAlign w:val="center"/>
          </w:tcPr>
          <w:p w14:paraId="7F52E5D0" w14:textId="77777777" w:rsidR="009B2D91" w:rsidRPr="000E5B3A" w:rsidRDefault="009B2D91" w:rsidP="00130285">
            <w:pPr>
              <w:pStyle w:val="TableText0"/>
              <w:keepNext w:val="0"/>
              <w:keepLines w:val="0"/>
              <w:widowControl w:val="0"/>
            </w:pPr>
            <w:r w:rsidRPr="000E5B3A">
              <w:t>21.2%</w:t>
            </w:r>
          </w:p>
        </w:tc>
        <w:tc>
          <w:tcPr>
            <w:tcW w:w="2977" w:type="dxa"/>
            <w:vAlign w:val="center"/>
          </w:tcPr>
          <w:p w14:paraId="2A475978" w14:textId="77777777" w:rsidR="009B2D91" w:rsidRPr="000E5B3A" w:rsidRDefault="009B2D91" w:rsidP="00130285">
            <w:pPr>
              <w:pStyle w:val="TableText0"/>
              <w:keepNext w:val="0"/>
              <w:keepLines w:val="0"/>
              <w:widowControl w:val="0"/>
            </w:pPr>
            <w:r w:rsidRPr="000E5B3A">
              <w:t>Renehan 2005</w:t>
            </w:r>
            <w:r w:rsidRPr="000E5B3A">
              <w:rPr>
                <w:vertAlign w:val="superscript"/>
              </w:rPr>
              <w:t xml:space="preserve"> f</w:t>
            </w:r>
          </w:p>
        </w:tc>
        <w:tc>
          <w:tcPr>
            <w:tcW w:w="3373" w:type="dxa"/>
            <w:vAlign w:val="center"/>
          </w:tcPr>
          <w:p w14:paraId="28A2677F" w14:textId="703E5386" w:rsidR="009B2D91" w:rsidRPr="000E5B3A" w:rsidRDefault="00DD3692" w:rsidP="00130285">
            <w:pPr>
              <w:pStyle w:val="TableText0"/>
              <w:keepNext w:val="0"/>
              <w:keepLines w:val="0"/>
              <w:widowControl w:val="0"/>
            </w:pPr>
            <w:r>
              <w:t>The evaluation considered this m</w:t>
            </w:r>
            <w:r w:rsidR="009B2D91" w:rsidRPr="000E5B3A">
              <w:t>ay be reasonable but could not be externally validated. Given the age of the literature source (20 years), there may be improvements in surgery techniques and the proportion of patients with inoperable disease may be uncertain.</w:t>
            </w:r>
          </w:p>
          <w:p w14:paraId="6B5E98E7" w14:textId="77777777" w:rsidR="00F11784" w:rsidRPr="000E5B3A" w:rsidRDefault="00F11784" w:rsidP="00130285">
            <w:pPr>
              <w:pStyle w:val="TableText0"/>
              <w:keepNext w:val="0"/>
              <w:keepLines w:val="0"/>
              <w:widowControl w:val="0"/>
            </w:pPr>
          </w:p>
          <w:p w14:paraId="4DAF6AFA" w14:textId="6D7B8036" w:rsidR="00F11784" w:rsidRPr="00DD3692" w:rsidRDefault="00D93E2D" w:rsidP="00F11784">
            <w:pPr>
              <w:widowControl w:val="0"/>
              <w:jc w:val="left"/>
              <w:rPr>
                <w:rFonts w:ascii="Arial Narrow" w:eastAsiaTheme="majorEastAsia" w:hAnsi="Arial Narrow" w:cstheme="majorBidi"/>
                <w:bCs/>
                <w:sz w:val="20"/>
              </w:rPr>
            </w:pPr>
            <w:r w:rsidRPr="00DD3692">
              <w:rPr>
                <w:rFonts w:ascii="Arial Narrow" w:eastAsiaTheme="majorEastAsia" w:hAnsi="Arial Narrow" w:cstheme="majorBidi"/>
                <w:bCs/>
                <w:sz w:val="20"/>
              </w:rPr>
              <w:t xml:space="preserve">DUSC considered </w:t>
            </w:r>
            <w:r w:rsidR="005C1ADE">
              <w:rPr>
                <w:rFonts w:ascii="Arial Narrow" w:eastAsiaTheme="majorEastAsia" w:hAnsi="Arial Narrow" w:cstheme="majorBidi"/>
                <w:bCs/>
                <w:sz w:val="20"/>
              </w:rPr>
              <w:t xml:space="preserve">this input was </w:t>
            </w:r>
            <w:r w:rsidR="006C5A13" w:rsidRPr="00DD3692">
              <w:rPr>
                <w:rFonts w:ascii="Arial Narrow" w:eastAsiaTheme="majorEastAsia" w:hAnsi="Arial Narrow" w:cstheme="majorBidi"/>
                <w:bCs/>
                <w:sz w:val="20"/>
              </w:rPr>
              <w:t>u</w:t>
            </w:r>
            <w:r w:rsidR="00F11784" w:rsidRPr="00DD3692">
              <w:rPr>
                <w:rFonts w:ascii="Arial Narrow" w:eastAsiaTheme="majorEastAsia" w:hAnsi="Arial Narrow" w:cstheme="majorBidi"/>
                <w:bCs/>
                <w:sz w:val="20"/>
              </w:rPr>
              <w:t>ncertain</w:t>
            </w:r>
            <w:r w:rsidR="006C5A13" w:rsidRPr="00DD3692">
              <w:rPr>
                <w:rFonts w:ascii="Arial Narrow" w:eastAsiaTheme="majorEastAsia" w:hAnsi="Arial Narrow" w:cstheme="majorBidi"/>
                <w:bCs/>
                <w:sz w:val="20"/>
              </w:rPr>
              <w:t xml:space="preserve"> as </w:t>
            </w:r>
            <w:r w:rsidR="005C1ADE">
              <w:rPr>
                <w:rFonts w:ascii="Arial Narrow" w:eastAsiaTheme="majorEastAsia" w:hAnsi="Arial Narrow" w:cstheme="majorBidi"/>
                <w:bCs/>
                <w:sz w:val="20"/>
              </w:rPr>
              <w:t>it</w:t>
            </w:r>
            <w:r w:rsidR="00F11784" w:rsidRPr="00DD3692">
              <w:rPr>
                <w:rFonts w:ascii="Arial Narrow" w:eastAsiaTheme="majorEastAsia" w:hAnsi="Arial Narrow" w:cstheme="majorBidi"/>
                <w:bCs/>
                <w:sz w:val="20"/>
              </w:rPr>
              <w:t xml:space="preserve"> could not </w:t>
            </w:r>
            <w:r w:rsidR="006C5A13" w:rsidRPr="00DD3692">
              <w:rPr>
                <w:rFonts w:ascii="Arial Narrow" w:eastAsiaTheme="majorEastAsia" w:hAnsi="Arial Narrow" w:cstheme="majorBidi"/>
                <w:bCs/>
                <w:sz w:val="20"/>
              </w:rPr>
              <w:t xml:space="preserve">be </w:t>
            </w:r>
            <w:r w:rsidR="00F11784" w:rsidRPr="00DD3692">
              <w:rPr>
                <w:rFonts w:ascii="Arial Narrow" w:eastAsiaTheme="majorEastAsia" w:hAnsi="Arial Narrow" w:cstheme="majorBidi"/>
                <w:bCs/>
                <w:sz w:val="20"/>
              </w:rPr>
              <w:t>verif</w:t>
            </w:r>
            <w:r w:rsidR="006C5A13" w:rsidRPr="00DD3692">
              <w:rPr>
                <w:rFonts w:ascii="Arial Narrow" w:eastAsiaTheme="majorEastAsia" w:hAnsi="Arial Narrow" w:cstheme="majorBidi"/>
                <w:bCs/>
                <w:sz w:val="20"/>
              </w:rPr>
              <w:t xml:space="preserve">ied, and </w:t>
            </w:r>
            <w:r w:rsidR="005C1ADE">
              <w:rPr>
                <w:rFonts w:ascii="Arial Narrow" w:eastAsiaTheme="majorEastAsia" w:hAnsi="Arial Narrow" w:cstheme="majorBidi"/>
                <w:bCs/>
                <w:sz w:val="20"/>
              </w:rPr>
              <w:t xml:space="preserve">was </w:t>
            </w:r>
            <w:r w:rsidR="00F11784" w:rsidRPr="00DD3692">
              <w:rPr>
                <w:rFonts w:ascii="Arial Narrow" w:eastAsiaTheme="majorEastAsia" w:hAnsi="Arial Narrow" w:cstheme="majorBidi"/>
                <w:bCs/>
                <w:sz w:val="20"/>
              </w:rPr>
              <w:t xml:space="preserve">likely </w:t>
            </w:r>
            <w:r w:rsidR="00242534" w:rsidRPr="00DD3692">
              <w:rPr>
                <w:rFonts w:ascii="Arial Narrow" w:eastAsiaTheme="majorEastAsia" w:hAnsi="Arial Narrow" w:cstheme="majorBidi"/>
                <w:bCs/>
                <w:sz w:val="20"/>
              </w:rPr>
              <w:t>outdated, noting:</w:t>
            </w:r>
            <w:r w:rsidR="00F11784" w:rsidRPr="00DD3692">
              <w:rPr>
                <w:rFonts w:ascii="Arial Narrow" w:eastAsiaTheme="majorEastAsia" w:hAnsi="Arial Narrow" w:cstheme="majorBidi"/>
                <w:bCs/>
                <w:sz w:val="20"/>
              </w:rPr>
              <w:t xml:space="preserve"> </w:t>
            </w:r>
          </w:p>
          <w:p w14:paraId="13C29898" w14:textId="0C341ADC" w:rsidR="006C5A13" w:rsidRPr="00DD3692" w:rsidRDefault="00F11784" w:rsidP="00981D55">
            <w:pPr>
              <w:pStyle w:val="TableText0"/>
              <w:widowControl w:val="0"/>
              <w:numPr>
                <w:ilvl w:val="0"/>
                <w:numId w:val="11"/>
              </w:numPr>
              <w:ind w:left="177" w:hanging="142"/>
            </w:pPr>
            <w:r w:rsidRPr="00DD3692">
              <w:t>Many studies included only operated patients</w:t>
            </w:r>
            <w:r w:rsidR="00242534" w:rsidRPr="00DD3692">
              <w:t xml:space="preserve">. </w:t>
            </w:r>
          </w:p>
          <w:p w14:paraId="652A3722" w14:textId="35F29366" w:rsidR="00F11784" w:rsidRDefault="00393B31" w:rsidP="00981D55">
            <w:pPr>
              <w:pStyle w:val="TableText0"/>
              <w:widowControl w:val="0"/>
              <w:numPr>
                <w:ilvl w:val="0"/>
                <w:numId w:val="11"/>
              </w:numPr>
              <w:ind w:left="177" w:hanging="142"/>
            </w:pPr>
            <w:r>
              <w:t>The l</w:t>
            </w:r>
            <w:r w:rsidR="00F11784" w:rsidRPr="00DD3692">
              <w:t xml:space="preserve">iterature suggests </w:t>
            </w:r>
            <w:r>
              <w:t xml:space="preserve">a </w:t>
            </w:r>
            <w:r w:rsidR="00F11784" w:rsidRPr="00DD3692">
              <w:t>range 10-60%.</w:t>
            </w:r>
          </w:p>
          <w:p w14:paraId="0E4022A5" w14:textId="06D8B1FE" w:rsidR="002A4FB8" w:rsidRPr="000E5B3A" w:rsidRDefault="002A4FB8" w:rsidP="002A4FB8">
            <w:pPr>
              <w:pStyle w:val="TableText0"/>
              <w:widowControl w:val="0"/>
              <w:ind w:left="35"/>
            </w:pPr>
            <w:r>
              <w:t>However, overall the PBAC considered this input was reasonable.</w:t>
            </w:r>
          </w:p>
        </w:tc>
      </w:tr>
      <w:tr w:rsidR="009B2D91" w:rsidRPr="000E5B3A" w14:paraId="31CE4D06" w14:textId="77777777" w:rsidTr="00130285">
        <w:tc>
          <w:tcPr>
            <w:tcW w:w="1526" w:type="dxa"/>
            <w:vAlign w:val="center"/>
          </w:tcPr>
          <w:p w14:paraId="6CBFCC65" w14:textId="77777777" w:rsidR="009B2D91" w:rsidRPr="000E5B3A" w:rsidRDefault="009B2D91" w:rsidP="00130285">
            <w:pPr>
              <w:pStyle w:val="TableText0"/>
              <w:keepNext w:val="0"/>
              <w:keepLines w:val="0"/>
              <w:widowControl w:val="0"/>
            </w:pPr>
            <w:r w:rsidRPr="000E5B3A">
              <w:t>Progression rate to metastatic disease after surgery for patients with locally recurrent SCAC (population 4)</w:t>
            </w:r>
          </w:p>
        </w:tc>
        <w:tc>
          <w:tcPr>
            <w:tcW w:w="1304" w:type="dxa"/>
            <w:vAlign w:val="center"/>
          </w:tcPr>
          <w:p w14:paraId="151132AF" w14:textId="77777777" w:rsidR="009B2D91" w:rsidRPr="000E5B3A" w:rsidRDefault="009B2D91" w:rsidP="00130285">
            <w:pPr>
              <w:pStyle w:val="TableText0"/>
              <w:keepNext w:val="0"/>
              <w:keepLines w:val="0"/>
              <w:widowControl w:val="0"/>
            </w:pPr>
            <w:r w:rsidRPr="000E5B3A">
              <w:t>Annual range: 1.5% - 9.3%</w:t>
            </w:r>
          </w:p>
        </w:tc>
        <w:tc>
          <w:tcPr>
            <w:tcW w:w="2977" w:type="dxa"/>
            <w:vAlign w:val="center"/>
          </w:tcPr>
          <w:p w14:paraId="4FD21DF1" w14:textId="77777777" w:rsidR="009B2D91" w:rsidRPr="000E5B3A" w:rsidRDefault="009B2D91" w:rsidP="00130285">
            <w:pPr>
              <w:pStyle w:val="TableText0"/>
              <w:keepNext w:val="0"/>
              <w:keepLines w:val="0"/>
              <w:widowControl w:val="0"/>
            </w:pPr>
            <w:r w:rsidRPr="000E5B3A">
              <w:t>Based on digitised survival data and proportion of patients with metastatic data from Damron 2024.</w:t>
            </w:r>
            <w:r w:rsidRPr="000E5B3A">
              <w:rPr>
                <w:vertAlign w:val="superscript"/>
              </w:rPr>
              <w:t xml:space="preserve"> g</w:t>
            </w:r>
          </w:p>
        </w:tc>
        <w:tc>
          <w:tcPr>
            <w:tcW w:w="3373" w:type="dxa"/>
            <w:vAlign w:val="center"/>
          </w:tcPr>
          <w:p w14:paraId="330FACE3" w14:textId="40D76335" w:rsidR="00242534" w:rsidRPr="00184DE3" w:rsidRDefault="00242534" w:rsidP="00194135">
            <w:pPr>
              <w:widowControl w:val="0"/>
              <w:jc w:val="left"/>
              <w:rPr>
                <w:rFonts w:ascii="Arial Narrow" w:eastAsiaTheme="majorEastAsia" w:hAnsi="Arial Narrow" w:cstheme="majorBidi"/>
                <w:bCs/>
                <w:sz w:val="20"/>
              </w:rPr>
            </w:pPr>
            <w:r w:rsidRPr="00184DE3">
              <w:rPr>
                <w:rFonts w:ascii="Arial Narrow" w:eastAsiaTheme="majorEastAsia" w:hAnsi="Arial Narrow" w:cstheme="majorBidi"/>
                <w:bCs/>
                <w:sz w:val="20"/>
              </w:rPr>
              <w:t xml:space="preserve">DUSC considered </w:t>
            </w:r>
            <w:r w:rsidR="00F352AB" w:rsidRPr="00184DE3">
              <w:rPr>
                <w:rFonts w:ascii="Arial Narrow" w:eastAsiaTheme="majorEastAsia" w:hAnsi="Arial Narrow" w:cstheme="majorBidi"/>
                <w:bCs/>
                <w:sz w:val="20"/>
              </w:rPr>
              <w:t xml:space="preserve">the </w:t>
            </w:r>
            <w:r w:rsidRPr="00184DE3">
              <w:rPr>
                <w:rFonts w:ascii="Arial Narrow" w:eastAsiaTheme="majorEastAsia" w:hAnsi="Arial Narrow" w:cstheme="majorBidi"/>
                <w:bCs/>
                <w:sz w:val="20"/>
              </w:rPr>
              <w:t>progression rate</w:t>
            </w:r>
            <w:r w:rsidR="00EF6365" w:rsidRPr="00184DE3">
              <w:rPr>
                <w:rFonts w:ascii="Arial Narrow" w:eastAsiaTheme="majorEastAsia" w:hAnsi="Arial Narrow" w:cstheme="majorBidi"/>
                <w:bCs/>
                <w:sz w:val="20"/>
              </w:rPr>
              <w:t xml:space="preserve"> </w:t>
            </w:r>
            <w:r w:rsidR="00F352AB" w:rsidRPr="00184DE3">
              <w:rPr>
                <w:rFonts w:ascii="Arial Narrow" w:eastAsiaTheme="majorEastAsia" w:hAnsi="Arial Narrow" w:cstheme="majorBidi"/>
                <w:bCs/>
                <w:sz w:val="20"/>
              </w:rPr>
              <w:t xml:space="preserve">was </w:t>
            </w:r>
            <w:r w:rsidR="00EF6365" w:rsidRPr="00184DE3">
              <w:rPr>
                <w:rFonts w:ascii="Arial Narrow" w:eastAsiaTheme="majorEastAsia" w:hAnsi="Arial Narrow" w:cstheme="majorBidi"/>
                <w:bCs/>
                <w:sz w:val="20"/>
              </w:rPr>
              <w:t>u</w:t>
            </w:r>
            <w:r w:rsidR="00194135" w:rsidRPr="00184DE3">
              <w:rPr>
                <w:rFonts w:ascii="Arial Narrow" w:eastAsiaTheme="majorEastAsia" w:hAnsi="Arial Narrow" w:cstheme="majorBidi"/>
                <w:bCs/>
                <w:sz w:val="20"/>
              </w:rPr>
              <w:t>ncertain</w:t>
            </w:r>
            <w:r w:rsidRPr="00184DE3">
              <w:rPr>
                <w:rFonts w:ascii="Arial Narrow" w:eastAsiaTheme="majorEastAsia" w:hAnsi="Arial Narrow" w:cstheme="majorBidi"/>
                <w:bCs/>
                <w:sz w:val="20"/>
              </w:rPr>
              <w:t>, noting:</w:t>
            </w:r>
          </w:p>
          <w:p w14:paraId="53FFA98C" w14:textId="366395A4" w:rsidR="00194135" w:rsidRPr="00184DE3" w:rsidRDefault="00242534" w:rsidP="00981D55">
            <w:pPr>
              <w:pStyle w:val="TableText0"/>
              <w:widowControl w:val="0"/>
              <w:numPr>
                <w:ilvl w:val="0"/>
                <w:numId w:val="11"/>
              </w:numPr>
              <w:ind w:left="177" w:hanging="142"/>
            </w:pPr>
            <w:r w:rsidRPr="00184DE3">
              <w:rPr>
                <w:bCs w:val="0"/>
              </w:rPr>
              <w:t xml:space="preserve"> </w:t>
            </w:r>
            <w:r w:rsidR="00F352AB" w:rsidRPr="00184DE3">
              <w:rPr>
                <w:bCs w:val="0"/>
              </w:rPr>
              <w:t xml:space="preserve">The </w:t>
            </w:r>
            <w:r w:rsidR="00194135" w:rsidRPr="00184DE3">
              <w:t>submission used 29.1% over the period.</w:t>
            </w:r>
          </w:p>
          <w:p w14:paraId="47BAAA91" w14:textId="296E38E6" w:rsidR="00194135" w:rsidRPr="00184DE3" w:rsidRDefault="00EF6365" w:rsidP="00981D55">
            <w:pPr>
              <w:pStyle w:val="TableText0"/>
              <w:widowControl w:val="0"/>
              <w:numPr>
                <w:ilvl w:val="0"/>
                <w:numId w:val="11"/>
              </w:numPr>
              <w:ind w:left="177" w:hanging="142"/>
            </w:pPr>
            <w:r w:rsidRPr="00184DE3">
              <w:t>l</w:t>
            </w:r>
            <w:r w:rsidR="00194135" w:rsidRPr="00184DE3">
              <w:t>iterature overall range: ~25% to ~48% of salvaged patients later develop distant metastases.</w:t>
            </w:r>
          </w:p>
          <w:p w14:paraId="5F2E669F" w14:textId="77777777" w:rsidR="00194135" w:rsidRPr="00184DE3" w:rsidRDefault="00194135" w:rsidP="00981D55">
            <w:pPr>
              <w:pStyle w:val="TableText0"/>
              <w:widowControl w:val="0"/>
              <w:numPr>
                <w:ilvl w:val="0"/>
                <w:numId w:val="11"/>
              </w:numPr>
              <w:ind w:left="177" w:hanging="142"/>
            </w:pPr>
            <w:r w:rsidRPr="00184DE3">
              <w:t>Contemporary, larger cohort: ~48% develop distant metastases after abdominoperineal resection (APR), (Rosen et al. 2024).</w:t>
            </w:r>
          </w:p>
          <w:p w14:paraId="4E67B2EC" w14:textId="0989B974" w:rsidR="00194135" w:rsidRDefault="00194135" w:rsidP="00981D55">
            <w:pPr>
              <w:pStyle w:val="TableText0"/>
              <w:widowControl w:val="0"/>
              <w:numPr>
                <w:ilvl w:val="0"/>
                <w:numId w:val="11"/>
              </w:numPr>
              <w:ind w:left="177" w:hanging="142"/>
            </w:pPr>
            <w:r w:rsidRPr="00184DE3">
              <w:t>Older single-centre series: ~25% develop distant metastases after APR (Schiller et al, Hallemeier et al).</w:t>
            </w:r>
          </w:p>
          <w:p w14:paraId="4AD3937F" w14:textId="4FCCE0D7" w:rsidR="00785E5B" w:rsidRPr="000E5B3A" w:rsidRDefault="00785E5B" w:rsidP="00785E5B">
            <w:pPr>
              <w:pStyle w:val="TableText0"/>
              <w:widowControl w:val="0"/>
              <w:ind w:left="35"/>
            </w:pPr>
            <w:r>
              <w:t xml:space="preserve">However, overall the PBAC considered </w:t>
            </w:r>
            <w:r w:rsidR="002A4FB8">
              <w:t>this input was</w:t>
            </w:r>
            <w:r>
              <w:t xml:space="preserve"> reasonable.</w:t>
            </w:r>
          </w:p>
        </w:tc>
      </w:tr>
      <w:tr w:rsidR="009B2D91" w:rsidRPr="000E5B3A" w14:paraId="540CC142" w14:textId="77777777" w:rsidTr="00130285">
        <w:tc>
          <w:tcPr>
            <w:tcW w:w="9180" w:type="dxa"/>
            <w:gridSpan w:val="4"/>
            <w:vAlign w:val="center"/>
          </w:tcPr>
          <w:p w14:paraId="526DA982" w14:textId="77777777" w:rsidR="009B2D91" w:rsidRPr="000E5B3A" w:rsidRDefault="009B2D91" w:rsidP="00130285">
            <w:pPr>
              <w:pStyle w:val="In-tableHeading"/>
              <w:keepNext w:val="0"/>
              <w:keepLines w:val="0"/>
              <w:widowControl w:val="0"/>
              <w:jc w:val="left"/>
              <w:rPr>
                <w:lang w:val="en-AU"/>
              </w:rPr>
            </w:pPr>
            <w:r w:rsidRPr="000E5B3A">
              <w:rPr>
                <w:lang w:val="en-AU"/>
              </w:rPr>
              <w:t>Treatment utilisation</w:t>
            </w:r>
          </w:p>
        </w:tc>
      </w:tr>
      <w:tr w:rsidR="009B2D91" w:rsidRPr="000E5B3A" w14:paraId="74AFC9C2" w14:textId="77777777" w:rsidTr="00130285">
        <w:tc>
          <w:tcPr>
            <w:tcW w:w="1526" w:type="dxa"/>
            <w:vAlign w:val="center"/>
          </w:tcPr>
          <w:p w14:paraId="085EE370" w14:textId="77777777" w:rsidR="009B2D91" w:rsidRPr="000E5B3A" w:rsidRDefault="009B2D91" w:rsidP="00130285">
            <w:pPr>
              <w:pStyle w:val="TableText0"/>
              <w:keepNext w:val="0"/>
              <w:keepLines w:val="0"/>
              <w:widowControl w:val="0"/>
            </w:pPr>
            <w:r w:rsidRPr="000E5B3A">
              <w:t>Uptake rate</w:t>
            </w:r>
          </w:p>
        </w:tc>
        <w:tc>
          <w:tcPr>
            <w:tcW w:w="1304" w:type="dxa"/>
            <w:vAlign w:val="center"/>
          </w:tcPr>
          <w:p w14:paraId="3B47E6BA" w14:textId="4E8AE73D" w:rsidR="009B2D91" w:rsidRPr="000E5B3A" w:rsidRDefault="009951A2" w:rsidP="00130285">
            <w:pPr>
              <w:pStyle w:val="TableText0"/>
              <w:keepNext w:val="0"/>
              <w:keepLines w:val="0"/>
              <w:widowControl w:val="0"/>
            </w:pPr>
            <w:r w:rsidRPr="009951A2">
              <w:rPr>
                <w:highlight w:val="black"/>
              </w:rPr>
              <w:t>&amp;&amp;&amp;&amp;</w:t>
            </w:r>
            <w:r w:rsidR="009B2D91" w:rsidRPr="000E5B3A">
              <w:t>%</w:t>
            </w:r>
          </w:p>
        </w:tc>
        <w:tc>
          <w:tcPr>
            <w:tcW w:w="2977" w:type="dxa"/>
            <w:vAlign w:val="center"/>
          </w:tcPr>
          <w:p w14:paraId="506B3966" w14:textId="77777777" w:rsidR="009B2D91" w:rsidRPr="000E5B3A" w:rsidRDefault="009B2D91" w:rsidP="00130285">
            <w:pPr>
              <w:pStyle w:val="TableText0"/>
              <w:keepNext w:val="0"/>
              <w:keepLines w:val="0"/>
              <w:widowControl w:val="0"/>
            </w:pPr>
            <w:r w:rsidRPr="000E5B3A">
              <w:t>Assumption</w:t>
            </w:r>
          </w:p>
        </w:tc>
        <w:tc>
          <w:tcPr>
            <w:tcW w:w="3373" w:type="dxa"/>
            <w:vAlign w:val="center"/>
          </w:tcPr>
          <w:p w14:paraId="3AF315AB" w14:textId="52A61C5F" w:rsidR="009B2D91" w:rsidRPr="000E5B3A" w:rsidRDefault="0076726B" w:rsidP="00130285">
            <w:pPr>
              <w:pStyle w:val="TableText0"/>
              <w:keepNext w:val="0"/>
              <w:keepLines w:val="0"/>
              <w:widowControl w:val="0"/>
            </w:pPr>
            <w:r>
              <w:t>The evaluation considered that a</w:t>
            </w:r>
            <w:r w:rsidR="009B2D91" w:rsidRPr="000E5B3A">
              <w:t xml:space="preserve"> high uptake rate </w:t>
            </w:r>
            <w:r>
              <w:t>wa</w:t>
            </w:r>
            <w:r w:rsidR="009B2D91" w:rsidRPr="000E5B3A">
              <w:t>s likely reasonable for anal cancer treatment where chemotherapy remains standard of care.</w:t>
            </w:r>
          </w:p>
          <w:p w14:paraId="3C85D100" w14:textId="18CFC076" w:rsidR="00194135" w:rsidRPr="000E5B3A" w:rsidRDefault="00194135" w:rsidP="00130285">
            <w:pPr>
              <w:pStyle w:val="TableText0"/>
              <w:keepNext w:val="0"/>
              <w:keepLines w:val="0"/>
              <w:widowControl w:val="0"/>
            </w:pPr>
            <w:r w:rsidRPr="000E5B3A">
              <w:t>DUSC</w:t>
            </w:r>
            <w:r w:rsidR="00184DE3">
              <w:t xml:space="preserve"> and PBAC</w:t>
            </w:r>
            <w:r w:rsidRPr="000E5B3A">
              <w:t xml:space="preserve"> considered this was </w:t>
            </w:r>
            <w:r w:rsidRPr="000E5B3A">
              <w:lastRenderedPageBreak/>
              <w:t xml:space="preserve">reasonable. </w:t>
            </w:r>
          </w:p>
        </w:tc>
      </w:tr>
      <w:tr w:rsidR="009B2D91" w:rsidRPr="000E5B3A" w14:paraId="421F6F9A" w14:textId="77777777" w:rsidTr="00130285">
        <w:tc>
          <w:tcPr>
            <w:tcW w:w="1526" w:type="dxa"/>
            <w:vAlign w:val="center"/>
          </w:tcPr>
          <w:p w14:paraId="16DC12BD" w14:textId="77777777" w:rsidR="009B2D91" w:rsidRPr="000E5B3A" w:rsidRDefault="009B2D91" w:rsidP="005A0B46">
            <w:pPr>
              <w:pStyle w:val="TableText0"/>
            </w:pPr>
            <w:r w:rsidRPr="000E5B3A">
              <w:lastRenderedPageBreak/>
              <w:t>Retifanlimab number of doses</w:t>
            </w:r>
          </w:p>
        </w:tc>
        <w:tc>
          <w:tcPr>
            <w:tcW w:w="1304" w:type="dxa"/>
            <w:vAlign w:val="center"/>
          </w:tcPr>
          <w:p w14:paraId="13C7887F" w14:textId="77777777" w:rsidR="009B2D91" w:rsidRPr="000E5B3A" w:rsidRDefault="009B2D91" w:rsidP="005A0B46">
            <w:pPr>
              <w:pStyle w:val="TableText0"/>
            </w:pPr>
            <w:r w:rsidRPr="000E5B3A">
              <w:t>9 doses</w:t>
            </w:r>
          </w:p>
        </w:tc>
        <w:tc>
          <w:tcPr>
            <w:tcW w:w="2977" w:type="dxa"/>
            <w:vAlign w:val="center"/>
          </w:tcPr>
          <w:p w14:paraId="68CC2D93" w14:textId="77777777" w:rsidR="009B2D91" w:rsidRPr="000E5B3A" w:rsidRDefault="009B2D91" w:rsidP="005A0B46">
            <w:pPr>
              <w:pStyle w:val="TableText0"/>
            </w:pPr>
            <w:r w:rsidRPr="000E5B3A">
              <w:t>Based on the median number of doses from POD1UM-303, which corresponds to 8.28 months of retifanlimab treatment.</w:t>
            </w:r>
          </w:p>
        </w:tc>
        <w:tc>
          <w:tcPr>
            <w:tcW w:w="3373" w:type="dxa"/>
            <w:vAlign w:val="center"/>
          </w:tcPr>
          <w:p w14:paraId="7491DE5E" w14:textId="1AE3E246" w:rsidR="00474E40" w:rsidRPr="00474E40" w:rsidRDefault="00474E40" w:rsidP="00474E40">
            <w:pPr>
              <w:pStyle w:val="TableText0"/>
            </w:pPr>
            <w:r w:rsidRPr="00474E40">
              <w:t>The PBAC considered this was reasonable as it aligned with the economic model</w:t>
            </w:r>
            <w:r w:rsidR="00135241">
              <w:t>.</w:t>
            </w:r>
          </w:p>
          <w:p w14:paraId="7BFD5E81" w14:textId="646BAC96" w:rsidR="00BA419E" w:rsidRPr="000E5B3A" w:rsidRDefault="00BA419E" w:rsidP="005A0B46">
            <w:pPr>
              <w:pStyle w:val="TableText0"/>
            </w:pPr>
          </w:p>
        </w:tc>
      </w:tr>
      <w:tr w:rsidR="009B2D91" w:rsidRPr="000E5B3A" w14:paraId="719311CB" w14:textId="77777777" w:rsidTr="00130285">
        <w:tc>
          <w:tcPr>
            <w:tcW w:w="1526" w:type="dxa"/>
            <w:vAlign w:val="center"/>
          </w:tcPr>
          <w:p w14:paraId="4B0940C9" w14:textId="77777777" w:rsidR="009B2D91" w:rsidRPr="000E5B3A" w:rsidRDefault="009B2D91" w:rsidP="00130285">
            <w:pPr>
              <w:pStyle w:val="TableText0"/>
              <w:keepNext w:val="0"/>
              <w:keepLines w:val="0"/>
              <w:widowControl w:val="0"/>
            </w:pPr>
            <w:r w:rsidRPr="000E5B3A">
              <w:t>Chemotherapy use</w:t>
            </w:r>
          </w:p>
        </w:tc>
        <w:tc>
          <w:tcPr>
            <w:tcW w:w="1304" w:type="dxa"/>
            <w:vAlign w:val="center"/>
          </w:tcPr>
          <w:p w14:paraId="3D0730B1" w14:textId="77777777" w:rsidR="009B2D91" w:rsidRPr="000E5B3A" w:rsidRDefault="009B2D91" w:rsidP="00130285">
            <w:pPr>
              <w:pStyle w:val="TableText0"/>
              <w:keepNext w:val="0"/>
              <w:keepLines w:val="0"/>
              <w:widowControl w:val="0"/>
            </w:pPr>
            <w:r w:rsidRPr="000E5B3A">
              <w:t>Not included</w:t>
            </w:r>
          </w:p>
        </w:tc>
        <w:tc>
          <w:tcPr>
            <w:tcW w:w="2977" w:type="dxa"/>
            <w:vAlign w:val="center"/>
          </w:tcPr>
          <w:p w14:paraId="57E3CFB0" w14:textId="77777777" w:rsidR="009B2D91" w:rsidRPr="000E5B3A" w:rsidRDefault="009B2D91" w:rsidP="00130285">
            <w:pPr>
              <w:pStyle w:val="TableText0"/>
              <w:keepNext w:val="0"/>
              <w:keepLines w:val="0"/>
              <w:widowControl w:val="0"/>
            </w:pPr>
            <w:r w:rsidRPr="000E5B3A">
              <w:t>The submission claimed there is not expected to be a change in the number of doses of CP dispensed for each SCAC patient if retifanlimab is listed on the PBS.</w:t>
            </w:r>
          </w:p>
        </w:tc>
        <w:tc>
          <w:tcPr>
            <w:tcW w:w="3373" w:type="dxa"/>
            <w:vAlign w:val="center"/>
          </w:tcPr>
          <w:p w14:paraId="097A08C2" w14:textId="6213952B" w:rsidR="009B2D91" w:rsidRPr="000E5B3A" w:rsidRDefault="00C1480C" w:rsidP="00130285">
            <w:pPr>
              <w:pStyle w:val="TableText0"/>
              <w:keepNext w:val="0"/>
              <w:keepLines w:val="0"/>
              <w:widowControl w:val="0"/>
            </w:pPr>
            <w:r>
              <w:t>The evaluation considered that the c</w:t>
            </w:r>
            <w:r w:rsidR="009B2D91" w:rsidRPr="000E5B3A">
              <w:t xml:space="preserve">hemotherapy costs may </w:t>
            </w:r>
            <w:r>
              <w:t xml:space="preserve">have </w:t>
            </w:r>
            <w:r w:rsidR="009B2D91" w:rsidRPr="000E5B3A">
              <w:t>be</w:t>
            </w:r>
            <w:r>
              <w:t>en</w:t>
            </w:r>
            <w:r w:rsidR="009B2D91" w:rsidRPr="000E5B3A">
              <w:t xml:space="preserve"> underestimated as there may be an increase in the number of patients receiving CP if retifanlimab is listed on the PBS, as a higher proportion of patients may to elect to receive </w:t>
            </w:r>
            <w:r w:rsidR="00B15FF4" w:rsidRPr="000E5B3A">
              <w:t>1L</w:t>
            </w:r>
            <w:r w:rsidR="009B2D91" w:rsidRPr="000E5B3A">
              <w:t xml:space="preserve"> treatment. </w:t>
            </w:r>
          </w:p>
          <w:p w14:paraId="2C5FE64F" w14:textId="77777777" w:rsidR="00481E7D" w:rsidRPr="000E5B3A" w:rsidRDefault="00481E7D" w:rsidP="00130285">
            <w:pPr>
              <w:pStyle w:val="TableText0"/>
              <w:keepNext w:val="0"/>
              <w:keepLines w:val="0"/>
              <w:widowControl w:val="0"/>
            </w:pPr>
          </w:p>
          <w:p w14:paraId="59A38786" w14:textId="1AE51445" w:rsidR="00481E7D" w:rsidRPr="000E5B3A" w:rsidRDefault="008C6171" w:rsidP="00130285">
            <w:pPr>
              <w:pStyle w:val="TableText0"/>
              <w:keepNext w:val="0"/>
              <w:keepLines w:val="0"/>
              <w:widowControl w:val="0"/>
            </w:pPr>
            <w:r w:rsidRPr="000E5B3A">
              <w:t xml:space="preserve">DUSC considered that </w:t>
            </w:r>
            <w:r w:rsidR="00481E7D" w:rsidRPr="000E5B3A">
              <w:t>the increase would likely be small.</w:t>
            </w:r>
          </w:p>
        </w:tc>
      </w:tr>
      <w:tr w:rsidR="009B2D91" w:rsidRPr="000E5B3A" w14:paraId="58CAAC06" w14:textId="77777777" w:rsidTr="00130285">
        <w:tc>
          <w:tcPr>
            <w:tcW w:w="9180" w:type="dxa"/>
            <w:gridSpan w:val="4"/>
            <w:vAlign w:val="center"/>
          </w:tcPr>
          <w:p w14:paraId="321E8B16" w14:textId="77777777" w:rsidR="009B2D91" w:rsidRPr="000E5B3A" w:rsidRDefault="009B2D91" w:rsidP="00130285">
            <w:pPr>
              <w:pStyle w:val="In-tableHeading"/>
              <w:keepNext w:val="0"/>
              <w:keepLines w:val="0"/>
              <w:widowControl w:val="0"/>
              <w:jc w:val="left"/>
              <w:rPr>
                <w:lang w:val="en-AU"/>
              </w:rPr>
            </w:pPr>
            <w:r w:rsidRPr="000E5B3A">
              <w:rPr>
                <w:lang w:val="en-AU"/>
              </w:rPr>
              <w:t>Costs</w:t>
            </w:r>
          </w:p>
        </w:tc>
      </w:tr>
      <w:tr w:rsidR="009B2D91" w:rsidRPr="000E5B3A" w14:paraId="14687B1C" w14:textId="77777777" w:rsidTr="00130285">
        <w:tc>
          <w:tcPr>
            <w:tcW w:w="1526" w:type="dxa"/>
            <w:vAlign w:val="center"/>
          </w:tcPr>
          <w:p w14:paraId="723644A2" w14:textId="77777777" w:rsidR="009B2D91" w:rsidRPr="000E5B3A" w:rsidRDefault="009B2D91" w:rsidP="00130285">
            <w:pPr>
              <w:pStyle w:val="TableText0"/>
              <w:keepNext w:val="0"/>
              <w:keepLines w:val="0"/>
              <w:widowControl w:val="0"/>
            </w:pPr>
            <w:r w:rsidRPr="000E5B3A">
              <w:t>MBS costs</w:t>
            </w:r>
          </w:p>
        </w:tc>
        <w:tc>
          <w:tcPr>
            <w:tcW w:w="1304" w:type="dxa"/>
            <w:vAlign w:val="center"/>
          </w:tcPr>
          <w:p w14:paraId="26F3EE9E" w14:textId="77777777" w:rsidR="009B2D91" w:rsidRPr="000E5B3A" w:rsidRDefault="009B2D91" w:rsidP="00130285">
            <w:pPr>
              <w:pStyle w:val="TableText0"/>
              <w:keepNext w:val="0"/>
              <w:keepLines w:val="0"/>
              <w:widowControl w:val="0"/>
            </w:pPr>
            <w:r w:rsidRPr="000E5B3A">
              <w:t>$126.00</w:t>
            </w:r>
          </w:p>
        </w:tc>
        <w:tc>
          <w:tcPr>
            <w:tcW w:w="2977" w:type="dxa"/>
            <w:vAlign w:val="center"/>
          </w:tcPr>
          <w:p w14:paraId="7715EF4C" w14:textId="77777777" w:rsidR="009B2D91" w:rsidRPr="000E5B3A" w:rsidRDefault="009B2D91" w:rsidP="00130285">
            <w:pPr>
              <w:pStyle w:val="TableText0"/>
              <w:keepNext w:val="0"/>
              <w:keepLines w:val="0"/>
              <w:widowControl w:val="0"/>
            </w:pPr>
            <w:r w:rsidRPr="000E5B3A">
              <w:t>MBS item number 13950</w:t>
            </w:r>
          </w:p>
        </w:tc>
        <w:tc>
          <w:tcPr>
            <w:tcW w:w="3373" w:type="dxa"/>
            <w:vAlign w:val="center"/>
          </w:tcPr>
          <w:p w14:paraId="1F8A36E4" w14:textId="6A5961CD" w:rsidR="009B2D91" w:rsidRPr="000E5B3A" w:rsidRDefault="009B2D91" w:rsidP="00130285">
            <w:pPr>
              <w:pStyle w:val="TableText0"/>
              <w:keepNext w:val="0"/>
              <w:keepLines w:val="0"/>
              <w:widowControl w:val="0"/>
            </w:pPr>
            <w:r w:rsidRPr="000E5B3A">
              <w:t>Use of MBS item 13950 was consistent with the economic model. Submission appropriately used an 80% rebate.</w:t>
            </w:r>
            <w:r w:rsidR="005D0C10" w:rsidRPr="000E5B3A">
              <w:t xml:space="preserve"> DUSC considered this was reasonable. </w:t>
            </w:r>
          </w:p>
        </w:tc>
      </w:tr>
    </w:tbl>
    <w:p w14:paraId="07479015" w14:textId="77777777" w:rsidR="009B2D91" w:rsidRPr="000E5B3A" w:rsidRDefault="009B2D91" w:rsidP="009B2D91">
      <w:pPr>
        <w:pStyle w:val="TableFigureFooter"/>
      </w:pPr>
      <w:r w:rsidRPr="000E5B3A">
        <w:t>Source: pp162-183 of the submission.</w:t>
      </w:r>
    </w:p>
    <w:p w14:paraId="5F6F1DDD" w14:textId="5DAD5315" w:rsidR="009B2D91" w:rsidRPr="000E5B3A" w:rsidRDefault="00B15FF4" w:rsidP="009B2D91">
      <w:pPr>
        <w:pStyle w:val="TableFigureFooter"/>
      </w:pPr>
      <w:r w:rsidRPr="000E5B3A">
        <w:t>1L</w:t>
      </w:r>
      <w:r w:rsidR="001408B7" w:rsidRPr="000E5B3A">
        <w:t xml:space="preserve"> = </w:t>
      </w:r>
      <w:r w:rsidR="00483159" w:rsidRPr="000E5B3A">
        <w:t xml:space="preserve">first-line; </w:t>
      </w:r>
      <w:r w:rsidR="009B2D91" w:rsidRPr="000E5B3A">
        <w:t>AIHW = Australian Institute of Health and Welfare; CP = carboplatin + paclitaxel; MCC = Merkel cell carcinoma; SCAC = squamous cell anal carcinoma</w:t>
      </w:r>
    </w:p>
    <w:p w14:paraId="44D995E1" w14:textId="77777777" w:rsidR="009B2D91" w:rsidRPr="000E5B3A" w:rsidRDefault="009B2D91" w:rsidP="009B2D91">
      <w:pPr>
        <w:pStyle w:val="TableFigureFooter"/>
      </w:pPr>
      <w:r w:rsidRPr="000E5B3A">
        <w:rPr>
          <w:vertAlign w:val="superscript"/>
        </w:rPr>
        <w:t>a</w:t>
      </w:r>
      <w:r w:rsidRPr="000E5B3A">
        <w:t xml:space="preserve"> Incidence of locoregional SCAC at diagnosis = 100-8.9% = 91.1% (population 1).</w:t>
      </w:r>
    </w:p>
    <w:p w14:paraId="6A57B679" w14:textId="77777777" w:rsidR="009B2D91" w:rsidRPr="000E5B3A" w:rsidRDefault="009B2D91" w:rsidP="009B2D91">
      <w:pPr>
        <w:pStyle w:val="TableFigureFooter"/>
      </w:pPr>
      <w:r w:rsidRPr="000E5B3A">
        <w:rPr>
          <w:vertAlign w:val="superscript"/>
        </w:rPr>
        <w:t>b</w:t>
      </w:r>
      <w:r w:rsidRPr="000E5B3A">
        <w:t xml:space="preserve"> Cancer data in Australia, Data - Australian Institute of Health and Welfare AIHW data tables CDIA 2024: Book 1b.</w:t>
      </w:r>
    </w:p>
    <w:p w14:paraId="420022B6" w14:textId="77777777" w:rsidR="009B2D91" w:rsidRPr="000E5B3A" w:rsidRDefault="009B2D91" w:rsidP="009B2D91">
      <w:pPr>
        <w:pStyle w:val="TableFigureFooter"/>
      </w:pPr>
      <w:r w:rsidRPr="000E5B3A">
        <w:rPr>
          <w:vertAlign w:val="superscript"/>
        </w:rPr>
        <w:t>c</w:t>
      </w:r>
      <w:r w:rsidRPr="000E5B3A">
        <w:t xml:space="preserve"> Cancer data in Australia, Data - Australian Institute of Health and Welfare AIHW data tables CDIA 2024: Book 1e.</w:t>
      </w:r>
    </w:p>
    <w:p w14:paraId="1A408965" w14:textId="2F7E40B7" w:rsidR="009B2D91" w:rsidRPr="000E5B3A" w:rsidRDefault="009B2D91" w:rsidP="009B2D91">
      <w:pPr>
        <w:pStyle w:val="TableFigureFooter"/>
      </w:pPr>
      <w:r w:rsidRPr="000E5B3A">
        <w:rPr>
          <w:vertAlign w:val="superscript"/>
        </w:rPr>
        <w:t>d</w:t>
      </w:r>
      <w:r w:rsidRPr="000E5B3A">
        <w:t xml:space="preserve"> Soeberg et al. Trends in incidence and survival for anal cancer in New South Wales, Australia, 1972–2009. Cancer Epidemiology. 2015; 39(6): pp842-847. </w:t>
      </w:r>
      <w:hyperlink r:id="rId15" w:history="1">
        <w:r w:rsidRPr="000E5B3A">
          <w:t>https://doi.org/10.1016/j.canep.2015.10.008</w:t>
        </w:r>
      </w:hyperlink>
    </w:p>
    <w:p w14:paraId="38E3A309" w14:textId="32004F27" w:rsidR="009B2D91" w:rsidRPr="000E5B3A" w:rsidRDefault="009B2D91" w:rsidP="009B2D91">
      <w:pPr>
        <w:pStyle w:val="TableFigureFooter"/>
      </w:pPr>
      <w:r w:rsidRPr="000E5B3A">
        <w:rPr>
          <w:vertAlign w:val="superscript"/>
        </w:rPr>
        <w:t>e</w:t>
      </w:r>
      <w:r w:rsidRPr="000E5B3A">
        <w:t xml:space="preserve"> Northover et al. Chemoradiation for the treatment of epidermoid anal cancer: 13-year follow-up of the first randomised UKCCCR Anal Cancer Trial (ACT I). British Journal of Cancer. 2010; 102: pp1123-1127. </w:t>
      </w:r>
      <w:hyperlink r:id="rId16" w:history="1">
        <w:r w:rsidRPr="000E5B3A">
          <w:t>https://doi.org/10.1038/sj.bjc.6605605</w:t>
        </w:r>
      </w:hyperlink>
    </w:p>
    <w:p w14:paraId="0FF264B8" w14:textId="23312248" w:rsidR="009B2D91" w:rsidRPr="000E5B3A" w:rsidRDefault="009B2D91" w:rsidP="009B2D91">
      <w:pPr>
        <w:pStyle w:val="TableFigureFooter"/>
      </w:pPr>
      <w:r w:rsidRPr="000E5B3A">
        <w:rPr>
          <w:vertAlign w:val="superscript"/>
        </w:rPr>
        <w:t>f</w:t>
      </w:r>
      <w:r w:rsidRPr="000E5B3A">
        <w:t xml:space="preserve"> Renehan et al. Patterns of local disease failure and outcome after salvage surgery in patients with anal cancer. British Journal of Surgery. 2005; 92(5): pp605-614. </w:t>
      </w:r>
      <w:hyperlink r:id="rId17" w:history="1">
        <w:r w:rsidRPr="000E5B3A">
          <w:t>https://doi.org/10.1002/bjs.4908</w:t>
        </w:r>
      </w:hyperlink>
    </w:p>
    <w:p w14:paraId="21665DE2" w14:textId="77777777" w:rsidR="003E6FF7" w:rsidRDefault="009B2D91" w:rsidP="003E6FF7">
      <w:pPr>
        <w:pStyle w:val="TableFigureFooter"/>
        <w:rPr>
          <w:i/>
          <w:szCs w:val="18"/>
        </w:rPr>
      </w:pPr>
      <w:r w:rsidRPr="000E5B3A">
        <w:rPr>
          <w:vertAlign w:val="superscript"/>
        </w:rPr>
        <w:t>g</w:t>
      </w:r>
      <w:r w:rsidRPr="000E5B3A">
        <w:t xml:space="preserve"> Damron et al. Salvage Treatment of Recurrent or Persistent Anal Squamous Cell Carcinoma: The Role of Multi-modality Therapy. Clinical Colorectal Cancer. 2024; 23(1): pp85-94. </w:t>
      </w:r>
      <w:hyperlink r:id="rId18" w:history="1">
        <w:r w:rsidRPr="000E5B3A">
          <w:t>https://doi.org/10.1016/j.clcc.2023.12.002</w:t>
        </w:r>
      </w:hyperlink>
    </w:p>
    <w:p w14:paraId="4D4DCC9D" w14:textId="008FA2D4" w:rsidR="003E6FF7" w:rsidRPr="003E6FF7" w:rsidRDefault="003E6FF7" w:rsidP="003E6FF7">
      <w:pPr>
        <w:pStyle w:val="TableFigureFooter"/>
        <w:rPr>
          <w:i/>
        </w:rPr>
      </w:pPr>
      <w:r w:rsidRPr="003E6FF7">
        <w:rPr>
          <w:i/>
        </w:rPr>
        <w:t xml:space="preserve">The redacted values correspond to the following ranges: </w:t>
      </w:r>
    </w:p>
    <w:p w14:paraId="610E8F27" w14:textId="72C9A246" w:rsidR="009B2D91" w:rsidRPr="00274759" w:rsidRDefault="003E6FF7" w:rsidP="009B2D91">
      <w:pPr>
        <w:pStyle w:val="TableFigureFooter"/>
        <w:rPr>
          <w:i/>
        </w:rPr>
      </w:pPr>
      <w:r w:rsidRPr="003E6FF7">
        <w:rPr>
          <w:i/>
          <w:vertAlign w:val="superscript"/>
        </w:rPr>
        <w:t>1</w:t>
      </w:r>
      <w:r w:rsidRPr="003E6FF7">
        <w:rPr>
          <w:i/>
        </w:rPr>
        <w:t xml:space="preserve"> </w:t>
      </w:r>
      <w:bookmarkStart w:id="95" w:name="_Hlk219128922"/>
      <w:bookmarkStart w:id="96" w:name="_Hlk219199074"/>
      <w:r w:rsidR="00274759" w:rsidRPr="00274759">
        <w:rPr>
          <w:i/>
        </w:rPr>
        <w:t>500 to &lt; 5,000</w:t>
      </w:r>
      <w:bookmarkEnd w:id="95"/>
      <w:bookmarkEnd w:id="96"/>
    </w:p>
    <w:p w14:paraId="0696C0BC" w14:textId="12FB90AB" w:rsidR="009B2D91" w:rsidRPr="000E5B3A" w:rsidRDefault="009B2D91" w:rsidP="009B2D91">
      <w:pPr>
        <w:pStyle w:val="3-BodyText"/>
      </w:pPr>
      <w:r w:rsidRPr="000E5B3A">
        <w:t xml:space="preserve">The predicted use and financial implications associated with the proposed listing of retifanlimab is summarised in </w:t>
      </w:r>
      <w:r w:rsidRPr="000E5B3A">
        <w:fldChar w:fldCharType="begin"/>
      </w:r>
      <w:r w:rsidRPr="000E5B3A">
        <w:instrText xml:space="preserve"> REF _Ref104805295 </w:instrText>
      </w:r>
      <w:r w:rsidR="008655E4" w:rsidRPr="000E5B3A">
        <w:instrText xml:space="preserve"> \* MERGEFORMAT </w:instrText>
      </w:r>
      <w:r w:rsidRPr="000E5B3A">
        <w:fldChar w:fldCharType="separate"/>
      </w:r>
      <w:r w:rsidR="00DB6E72" w:rsidRPr="000E5B3A">
        <w:t xml:space="preserve">Table </w:t>
      </w:r>
      <w:r w:rsidR="00DB6E72">
        <w:t>17</w:t>
      </w:r>
      <w:r w:rsidRPr="000E5B3A">
        <w:fldChar w:fldCharType="end"/>
      </w:r>
      <w:r w:rsidRPr="000E5B3A">
        <w:t>.</w:t>
      </w:r>
    </w:p>
    <w:p w14:paraId="606C9F8C" w14:textId="4759F2F4" w:rsidR="009B2D91" w:rsidRPr="000E5B3A" w:rsidRDefault="009B2D91" w:rsidP="009B2D91">
      <w:pPr>
        <w:pStyle w:val="Caption"/>
        <w:rPr>
          <w:rStyle w:val="CommentReference"/>
          <w:b/>
          <w:szCs w:val="24"/>
        </w:rPr>
      </w:pPr>
      <w:bookmarkStart w:id="97" w:name="_Ref104805295"/>
      <w:r w:rsidRPr="000E5B3A">
        <w:lastRenderedPageBreak/>
        <w:t xml:space="preserve">Table </w:t>
      </w:r>
      <w:fldSimple w:instr=" SEQ Table \* ARABIC ">
        <w:r w:rsidR="00DB6E72">
          <w:rPr>
            <w:noProof/>
          </w:rPr>
          <w:t>17</w:t>
        </w:r>
      </w:fldSimple>
      <w:bookmarkEnd w:id="97"/>
      <w:r w:rsidRPr="000E5B3A">
        <w:t>:</w:t>
      </w:r>
      <w:r w:rsidRPr="000E5B3A">
        <w:rPr>
          <w:rStyle w:val="CommentReference"/>
          <w:b/>
          <w:szCs w:val="24"/>
        </w:rPr>
        <w:t xml:space="preserve"> Estimated use and financial implications for retifanlimab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for retifanlimab"/>
      </w:tblPr>
      <w:tblGrid>
        <w:gridCol w:w="2825"/>
        <w:gridCol w:w="992"/>
        <w:gridCol w:w="992"/>
        <w:gridCol w:w="994"/>
        <w:gridCol w:w="1132"/>
        <w:gridCol w:w="994"/>
        <w:gridCol w:w="1087"/>
      </w:tblGrid>
      <w:tr w:rsidR="009B2D91" w:rsidRPr="000E5B3A" w14:paraId="75EF5E4B" w14:textId="77777777" w:rsidTr="00130285">
        <w:trPr>
          <w:tblHeader/>
        </w:trPr>
        <w:tc>
          <w:tcPr>
            <w:tcW w:w="1567" w:type="pct"/>
          </w:tcPr>
          <w:p w14:paraId="4231A0FD" w14:textId="77777777" w:rsidR="009B2D91" w:rsidRPr="000E5B3A" w:rsidRDefault="009B2D91" w:rsidP="00130285">
            <w:pPr>
              <w:pStyle w:val="In-tableHeading"/>
              <w:rPr>
                <w:lang w:val="en-AU"/>
              </w:rPr>
            </w:pPr>
          </w:p>
        </w:tc>
        <w:tc>
          <w:tcPr>
            <w:tcW w:w="550" w:type="pct"/>
          </w:tcPr>
          <w:p w14:paraId="04F9EFAB" w14:textId="77777777" w:rsidR="009B2D91" w:rsidRPr="000E5B3A" w:rsidRDefault="009B2D91" w:rsidP="00130285">
            <w:pPr>
              <w:pStyle w:val="In-tableHeading"/>
              <w:rPr>
                <w:lang w:val="en-AU"/>
              </w:rPr>
            </w:pPr>
            <w:r w:rsidRPr="000E5B3A">
              <w:rPr>
                <w:lang w:val="en-AU"/>
              </w:rPr>
              <w:t>2026</w:t>
            </w:r>
          </w:p>
        </w:tc>
        <w:tc>
          <w:tcPr>
            <w:tcW w:w="550" w:type="pct"/>
          </w:tcPr>
          <w:p w14:paraId="036C19DD" w14:textId="77777777" w:rsidR="009B2D91" w:rsidRPr="000E5B3A" w:rsidRDefault="009B2D91" w:rsidP="00130285">
            <w:pPr>
              <w:pStyle w:val="In-tableHeading"/>
              <w:rPr>
                <w:lang w:val="en-AU"/>
              </w:rPr>
            </w:pPr>
            <w:r w:rsidRPr="000E5B3A">
              <w:rPr>
                <w:lang w:val="en-AU"/>
              </w:rPr>
              <w:t>2027</w:t>
            </w:r>
          </w:p>
        </w:tc>
        <w:tc>
          <w:tcPr>
            <w:tcW w:w="551" w:type="pct"/>
          </w:tcPr>
          <w:p w14:paraId="6528E33D" w14:textId="77777777" w:rsidR="009B2D91" w:rsidRPr="000E5B3A" w:rsidRDefault="009B2D91" w:rsidP="00130285">
            <w:pPr>
              <w:pStyle w:val="In-tableHeading"/>
              <w:rPr>
                <w:lang w:val="en-AU"/>
              </w:rPr>
            </w:pPr>
            <w:r w:rsidRPr="000E5B3A">
              <w:rPr>
                <w:lang w:val="en-AU"/>
              </w:rPr>
              <w:t>2028</w:t>
            </w:r>
          </w:p>
        </w:tc>
        <w:tc>
          <w:tcPr>
            <w:tcW w:w="628" w:type="pct"/>
          </w:tcPr>
          <w:p w14:paraId="6CA27E96" w14:textId="77777777" w:rsidR="009B2D91" w:rsidRPr="000E5B3A" w:rsidRDefault="009B2D91" w:rsidP="00130285">
            <w:pPr>
              <w:pStyle w:val="In-tableHeading"/>
              <w:rPr>
                <w:lang w:val="en-AU"/>
              </w:rPr>
            </w:pPr>
            <w:r w:rsidRPr="000E5B3A">
              <w:rPr>
                <w:lang w:val="en-AU"/>
              </w:rPr>
              <w:t>2029</w:t>
            </w:r>
          </w:p>
        </w:tc>
        <w:tc>
          <w:tcPr>
            <w:tcW w:w="551" w:type="pct"/>
          </w:tcPr>
          <w:p w14:paraId="30DF421F" w14:textId="77777777" w:rsidR="009B2D91" w:rsidRPr="000E5B3A" w:rsidRDefault="009B2D91" w:rsidP="00130285">
            <w:pPr>
              <w:pStyle w:val="In-tableHeading"/>
              <w:rPr>
                <w:lang w:val="en-AU"/>
              </w:rPr>
            </w:pPr>
            <w:r w:rsidRPr="000E5B3A">
              <w:rPr>
                <w:lang w:val="en-AU"/>
              </w:rPr>
              <w:t>2030</w:t>
            </w:r>
          </w:p>
        </w:tc>
        <w:tc>
          <w:tcPr>
            <w:tcW w:w="602" w:type="pct"/>
          </w:tcPr>
          <w:p w14:paraId="7FF85C06" w14:textId="77777777" w:rsidR="009B2D91" w:rsidRPr="000E5B3A" w:rsidRDefault="009B2D91" w:rsidP="00130285">
            <w:pPr>
              <w:pStyle w:val="In-tableHeading"/>
              <w:rPr>
                <w:lang w:val="en-AU"/>
              </w:rPr>
            </w:pPr>
            <w:r w:rsidRPr="000E5B3A">
              <w:rPr>
                <w:lang w:val="en-AU"/>
              </w:rPr>
              <w:t>2031</w:t>
            </w:r>
          </w:p>
        </w:tc>
      </w:tr>
      <w:tr w:rsidR="009B2D91" w:rsidRPr="000E5B3A" w14:paraId="7D6E1A3F" w14:textId="77777777" w:rsidTr="00130285">
        <w:tc>
          <w:tcPr>
            <w:tcW w:w="5000" w:type="pct"/>
            <w:gridSpan w:val="7"/>
          </w:tcPr>
          <w:p w14:paraId="7B0156DB" w14:textId="77777777" w:rsidR="009B2D91" w:rsidRPr="000E5B3A" w:rsidRDefault="009B2D91" w:rsidP="00130285">
            <w:pPr>
              <w:pStyle w:val="In-tableHeading"/>
              <w:jc w:val="left"/>
              <w:rPr>
                <w:lang w:val="en-AU"/>
              </w:rPr>
            </w:pPr>
            <w:r w:rsidRPr="000E5B3A">
              <w:rPr>
                <w:lang w:val="en-AU"/>
              </w:rPr>
              <w:t>Estimated extent of use</w:t>
            </w:r>
          </w:p>
        </w:tc>
      </w:tr>
      <w:tr w:rsidR="009B2D91" w:rsidRPr="000E5B3A" w14:paraId="6F0075DE" w14:textId="77777777" w:rsidTr="00130285">
        <w:trPr>
          <w:trHeight w:val="58"/>
        </w:trPr>
        <w:tc>
          <w:tcPr>
            <w:tcW w:w="1567" w:type="pct"/>
          </w:tcPr>
          <w:p w14:paraId="03F1EB7C" w14:textId="77777777" w:rsidR="009B2D91" w:rsidRPr="000E5B3A" w:rsidRDefault="009B2D91" w:rsidP="00130285">
            <w:pPr>
              <w:pStyle w:val="TableText0"/>
            </w:pPr>
            <w:r w:rsidRPr="000E5B3A">
              <w:t>Patients with SCAC</w:t>
            </w:r>
          </w:p>
        </w:tc>
        <w:tc>
          <w:tcPr>
            <w:tcW w:w="550" w:type="pct"/>
            <w:vAlign w:val="center"/>
          </w:tcPr>
          <w:p w14:paraId="72E3AC9D" w14:textId="446FCCA8"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2362088F" w14:textId="17B58622"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02EF23CE" w14:textId="31983BE9"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2B3D3EC0" w14:textId="6AFA757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79D05F8" w14:textId="48F350EE" w:rsidR="009B2D91" w:rsidRPr="002437A9" w:rsidRDefault="009951A2" w:rsidP="00130285">
            <w:pPr>
              <w:pStyle w:val="TableText0"/>
              <w:jc w:val="center"/>
              <w:rPr>
                <w:vertAlign w:val="superscript"/>
              </w:rPr>
            </w:pPr>
            <w:r w:rsidRPr="009951A2">
              <w:rPr>
                <w:szCs w:val="20"/>
                <w:highlight w:val="black"/>
              </w:rPr>
              <w:t>&amp;&amp;&amp;&amp;</w:t>
            </w:r>
            <w:r w:rsidR="002437A9">
              <w:rPr>
                <w:szCs w:val="20"/>
                <w:vertAlign w:val="superscript"/>
              </w:rPr>
              <w:t>2</w:t>
            </w:r>
          </w:p>
        </w:tc>
        <w:tc>
          <w:tcPr>
            <w:tcW w:w="602" w:type="pct"/>
            <w:vAlign w:val="center"/>
          </w:tcPr>
          <w:p w14:paraId="0DFAF11C" w14:textId="4A446A4E" w:rsidR="009B2D91" w:rsidRPr="002437A9" w:rsidRDefault="009951A2" w:rsidP="00130285">
            <w:pPr>
              <w:pStyle w:val="TableText0"/>
              <w:jc w:val="center"/>
              <w:rPr>
                <w:vertAlign w:val="superscript"/>
              </w:rPr>
            </w:pPr>
            <w:r w:rsidRPr="009951A2">
              <w:rPr>
                <w:szCs w:val="20"/>
                <w:highlight w:val="black"/>
              </w:rPr>
              <w:t>&amp;&amp;&amp;&amp;</w:t>
            </w:r>
            <w:r w:rsidR="002437A9">
              <w:rPr>
                <w:szCs w:val="20"/>
                <w:vertAlign w:val="superscript"/>
              </w:rPr>
              <w:t>2</w:t>
            </w:r>
          </w:p>
        </w:tc>
      </w:tr>
      <w:tr w:rsidR="009B2D91" w:rsidRPr="000E5B3A" w14:paraId="6EDA8B43" w14:textId="77777777" w:rsidTr="00130285">
        <w:trPr>
          <w:trHeight w:val="58"/>
        </w:trPr>
        <w:tc>
          <w:tcPr>
            <w:tcW w:w="1567" w:type="pct"/>
            <w:vAlign w:val="center"/>
          </w:tcPr>
          <w:p w14:paraId="7FB6B669" w14:textId="77777777" w:rsidR="009B2D91" w:rsidRPr="000E5B3A" w:rsidRDefault="009B2D91" w:rsidP="00130285">
            <w:pPr>
              <w:pStyle w:val="TableText0"/>
            </w:pPr>
            <w:r w:rsidRPr="000E5B3A">
              <w:rPr>
                <w:szCs w:val="20"/>
              </w:rPr>
              <w:t>Patients with metastatic disease at diagnosis (population 1)</w:t>
            </w:r>
          </w:p>
        </w:tc>
        <w:tc>
          <w:tcPr>
            <w:tcW w:w="550" w:type="pct"/>
            <w:vAlign w:val="center"/>
          </w:tcPr>
          <w:p w14:paraId="1F80E896" w14:textId="00F6FA9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2F678182" w14:textId="2E70EBDB"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30E028DA" w14:textId="6897CB2E"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228BF7C2" w14:textId="0915C7C8"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EAC88AB" w14:textId="7C61191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6C03F4FD" w14:textId="3B270FFC"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20D5ED6D" w14:textId="77777777" w:rsidTr="00130285">
        <w:trPr>
          <w:trHeight w:val="58"/>
        </w:trPr>
        <w:tc>
          <w:tcPr>
            <w:tcW w:w="1567" w:type="pct"/>
            <w:vAlign w:val="center"/>
          </w:tcPr>
          <w:p w14:paraId="511D8532" w14:textId="77777777" w:rsidR="009B2D91" w:rsidRPr="000E5B3A" w:rsidRDefault="009B2D91" w:rsidP="00130285">
            <w:pPr>
              <w:pStyle w:val="TableText0"/>
            </w:pPr>
            <w:r w:rsidRPr="000E5B3A">
              <w:rPr>
                <w:szCs w:val="20"/>
              </w:rPr>
              <w:t>Patients that progress from locoregional to metastatic disease upon first relapse (population 2)</w:t>
            </w:r>
          </w:p>
        </w:tc>
        <w:tc>
          <w:tcPr>
            <w:tcW w:w="550" w:type="pct"/>
            <w:vAlign w:val="center"/>
          </w:tcPr>
          <w:p w14:paraId="748BB2BE" w14:textId="79D508C3"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2E550C39" w14:textId="22ECECDB"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0FC2C173" w14:textId="2709C2C5"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3D840AFB" w14:textId="5ABDD0A0"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0DA60D7D" w14:textId="04C6DB0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366020C5" w14:textId="4B99D4E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337D05A1" w14:textId="77777777" w:rsidTr="00130285">
        <w:trPr>
          <w:trHeight w:val="58"/>
        </w:trPr>
        <w:tc>
          <w:tcPr>
            <w:tcW w:w="1567" w:type="pct"/>
            <w:vAlign w:val="center"/>
          </w:tcPr>
          <w:p w14:paraId="4A02297E" w14:textId="77777777" w:rsidR="009B2D91" w:rsidRPr="000E5B3A" w:rsidRDefault="009B2D91" w:rsidP="00130285">
            <w:pPr>
              <w:pStyle w:val="TableText0"/>
            </w:pPr>
            <w:r w:rsidRPr="000E5B3A">
              <w:rPr>
                <w:szCs w:val="20"/>
              </w:rPr>
              <w:t>Patients that progress from locoregional to inoperable locally recurrent disease (population 3)</w:t>
            </w:r>
          </w:p>
        </w:tc>
        <w:tc>
          <w:tcPr>
            <w:tcW w:w="550" w:type="pct"/>
            <w:vAlign w:val="center"/>
          </w:tcPr>
          <w:p w14:paraId="4FFE97C5" w14:textId="0120BAF0"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751147F7" w14:textId="0622A24C"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3302C20C" w14:textId="48CEB61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0BDB0ED2" w14:textId="7CADD123"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DD43433" w14:textId="4C632CC6"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00E3854A" w14:textId="4EEAD1C8"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5DB2A113" w14:textId="77777777" w:rsidTr="00130285">
        <w:trPr>
          <w:trHeight w:val="58"/>
        </w:trPr>
        <w:tc>
          <w:tcPr>
            <w:tcW w:w="1567" w:type="pct"/>
            <w:vAlign w:val="center"/>
          </w:tcPr>
          <w:p w14:paraId="5E4DCF99" w14:textId="77777777" w:rsidR="009B2D91" w:rsidRPr="000E5B3A" w:rsidRDefault="009B2D91" w:rsidP="00130285">
            <w:pPr>
              <w:pStyle w:val="TableText0"/>
            </w:pPr>
            <w:r w:rsidRPr="000E5B3A">
              <w:rPr>
                <w:szCs w:val="20"/>
              </w:rPr>
              <w:t>Patients that progress from operable locally recurrent to metastatic disease after surgery (population 4)</w:t>
            </w:r>
          </w:p>
        </w:tc>
        <w:tc>
          <w:tcPr>
            <w:tcW w:w="550" w:type="pct"/>
            <w:vAlign w:val="center"/>
          </w:tcPr>
          <w:p w14:paraId="6A220B51" w14:textId="1637A04E"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371905C8" w14:textId="73E2BB9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55FF9DF3" w14:textId="38E0530D"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4A5B5A61" w14:textId="53D990FE"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2DA712AE" w14:textId="7242C720"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7D847613" w14:textId="0E1F1739"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63B178C4" w14:textId="77777777" w:rsidTr="00130285">
        <w:tc>
          <w:tcPr>
            <w:tcW w:w="1567" w:type="pct"/>
          </w:tcPr>
          <w:p w14:paraId="28DA3E94" w14:textId="77777777" w:rsidR="009B2D91" w:rsidRPr="000E5B3A" w:rsidRDefault="009B2D91" w:rsidP="00130285">
            <w:pPr>
              <w:pStyle w:val="TableText0"/>
            </w:pPr>
            <w:r w:rsidRPr="000E5B3A">
              <w:t>Total patients eligible</w:t>
            </w:r>
          </w:p>
        </w:tc>
        <w:tc>
          <w:tcPr>
            <w:tcW w:w="550" w:type="pct"/>
            <w:vAlign w:val="center"/>
          </w:tcPr>
          <w:p w14:paraId="579F8416" w14:textId="4A7DA79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1D9B3568" w14:textId="272AFF4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65CA275" w14:textId="07DA1E55"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0AD14DE1" w14:textId="4DFB1742"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1AA56F62" w14:textId="142A0C49"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57AEB062" w14:textId="47F79586"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6B246862" w14:textId="77777777" w:rsidTr="00130285">
        <w:tc>
          <w:tcPr>
            <w:tcW w:w="1567" w:type="pct"/>
          </w:tcPr>
          <w:p w14:paraId="2A72D6E3" w14:textId="77777777" w:rsidR="009B2D91" w:rsidRPr="000E5B3A" w:rsidRDefault="009B2D91" w:rsidP="00130285">
            <w:pPr>
              <w:pStyle w:val="TableText0"/>
              <w:rPr>
                <w:rFonts w:ascii="Times" w:hAnsi="Times"/>
                <w:vertAlign w:val="superscript"/>
              </w:rPr>
            </w:pPr>
            <w:r w:rsidRPr="000E5B3A">
              <w:t xml:space="preserve">Total Number of patients treated </w:t>
            </w:r>
            <w:r w:rsidRPr="000E5B3A">
              <w:rPr>
                <w:vertAlign w:val="superscript"/>
              </w:rPr>
              <w:t>a</w:t>
            </w:r>
          </w:p>
        </w:tc>
        <w:tc>
          <w:tcPr>
            <w:tcW w:w="550" w:type="pct"/>
          </w:tcPr>
          <w:p w14:paraId="12AA9A95" w14:textId="518AB390"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550" w:type="pct"/>
          </w:tcPr>
          <w:p w14:paraId="35F910FC" w14:textId="0B4CA0DC"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551" w:type="pct"/>
          </w:tcPr>
          <w:p w14:paraId="2F0D58A2" w14:textId="1486EC69"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628" w:type="pct"/>
          </w:tcPr>
          <w:p w14:paraId="2E0E0476" w14:textId="7AAE2979"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551" w:type="pct"/>
          </w:tcPr>
          <w:p w14:paraId="6ACDF2E3" w14:textId="137715F3"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602" w:type="pct"/>
          </w:tcPr>
          <w:p w14:paraId="79EBEE5D" w14:textId="279FBDA3"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r>
      <w:tr w:rsidR="009B2D91" w:rsidRPr="000E5B3A" w14:paraId="265F33F2" w14:textId="77777777" w:rsidTr="00130285">
        <w:tc>
          <w:tcPr>
            <w:tcW w:w="1567" w:type="pct"/>
          </w:tcPr>
          <w:p w14:paraId="6EC56884" w14:textId="77777777" w:rsidR="009B2D91" w:rsidRPr="000E5B3A" w:rsidRDefault="009B2D91" w:rsidP="00130285">
            <w:pPr>
              <w:pStyle w:val="TableText0"/>
              <w:rPr>
                <w:rFonts w:ascii="Times" w:hAnsi="Times"/>
              </w:rPr>
            </w:pPr>
            <w:r w:rsidRPr="000E5B3A">
              <w:t xml:space="preserve">Number of scripts dispensed </w:t>
            </w:r>
            <w:r w:rsidRPr="000E5B3A">
              <w:rPr>
                <w:vertAlign w:val="superscript"/>
              </w:rPr>
              <w:t>b</w:t>
            </w:r>
          </w:p>
        </w:tc>
        <w:tc>
          <w:tcPr>
            <w:tcW w:w="550" w:type="pct"/>
          </w:tcPr>
          <w:p w14:paraId="264785F8" w14:textId="0A102930"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550" w:type="pct"/>
          </w:tcPr>
          <w:p w14:paraId="20EB31DE" w14:textId="54646314"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551" w:type="pct"/>
          </w:tcPr>
          <w:p w14:paraId="79E4E304" w14:textId="0A52A68F"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628" w:type="pct"/>
          </w:tcPr>
          <w:p w14:paraId="5CE61AB2" w14:textId="7EDEB128"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551" w:type="pct"/>
          </w:tcPr>
          <w:p w14:paraId="029AFD74" w14:textId="574C1CD7"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602" w:type="pct"/>
          </w:tcPr>
          <w:p w14:paraId="0EF9F601" w14:textId="49D4E679"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r>
      <w:tr w:rsidR="009B2D91" w:rsidRPr="000E5B3A" w14:paraId="3C5F15AA" w14:textId="77777777" w:rsidTr="00130285">
        <w:tc>
          <w:tcPr>
            <w:tcW w:w="5000" w:type="pct"/>
            <w:gridSpan w:val="7"/>
          </w:tcPr>
          <w:p w14:paraId="2D58A282" w14:textId="77777777" w:rsidR="009B2D91" w:rsidRPr="000E5B3A" w:rsidRDefault="009B2D91" w:rsidP="00130285">
            <w:pPr>
              <w:pStyle w:val="In-tableHeading"/>
              <w:jc w:val="left"/>
              <w:rPr>
                <w:lang w:val="en-AU"/>
              </w:rPr>
            </w:pPr>
            <w:r w:rsidRPr="000E5B3A">
              <w:rPr>
                <w:lang w:val="en-AU"/>
              </w:rPr>
              <w:t>Estimated financial implications of retifanlimab</w:t>
            </w:r>
          </w:p>
        </w:tc>
      </w:tr>
      <w:tr w:rsidR="009B2D91" w:rsidRPr="000E5B3A" w14:paraId="65234005" w14:textId="77777777" w:rsidTr="00130285">
        <w:tc>
          <w:tcPr>
            <w:tcW w:w="1567" w:type="pct"/>
          </w:tcPr>
          <w:p w14:paraId="26CEFCB1" w14:textId="77777777" w:rsidR="009B2D91" w:rsidRPr="000E5B3A" w:rsidRDefault="009B2D91" w:rsidP="00130285">
            <w:pPr>
              <w:pStyle w:val="TableText0"/>
            </w:pPr>
            <w:r w:rsidRPr="000E5B3A">
              <w:t>Cost to PBS/RPBS less copayments</w:t>
            </w:r>
          </w:p>
        </w:tc>
        <w:tc>
          <w:tcPr>
            <w:tcW w:w="550" w:type="pct"/>
            <w:vAlign w:val="center"/>
          </w:tcPr>
          <w:p w14:paraId="0CB51173" w14:textId="51C164F5" w:rsidR="009F049A" w:rsidRDefault="009B2D91" w:rsidP="00130285">
            <w:pPr>
              <w:pStyle w:val="TableText0"/>
              <w:jc w:val="center"/>
            </w:pPr>
            <w:r w:rsidRPr="000E5B3A">
              <w:t>$</w:t>
            </w:r>
            <w:r w:rsidR="009951A2" w:rsidRPr="009951A2">
              <w:rPr>
                <w:highlight w:val="black"/>
              </w:rPr>
              <w:t>&amp;&amp;&amp;&amp;</w:t>
            </w:r>
          </w:p>
          <w:p w14:paraId="6DC0D549" w14:textId="44019B71" w:rsidR="009B2D91" w:rsidRPr="00DA6262" w:rsidRDefault="00DA6262" w:rsidP="00130285">
            <w:pPr>
              <w:pStyle w:val="TableText0"/>
              <w:jc w:val="center"/>
              <w:rPr>
                <w:vertAlign w:val="superscript"/>
              </w:rPr>
            </w:pPr>
            <w:r>
              <w:rPr>
                <w:vertAlign w:val="superscript"/>
              </w:rPr>
              <w:t>3</w:t>
            </w:r>
          </w:p>
        </w:tc>
        <w:tc>
          <w:tcPr>
            <w:tcW w:w="550" w:type="pct"/>
            <w:vAlign w:val="center"/>
          </w:tcPr>
          <w:p w14:paraId="7224A333" w14:textId="6C9014C0" w:rsidR="009F049A" w:rsidRDefault="009B2D91" w:rsidP="00130285">
            <w:pPr>
              <w:pStyle w:val="TableText0"/>
              <w:jc w:val="center"/>
            </w:pPr>
            <w:r w:rsidRPr="000E5B3A">
              <w:t>$</w:t>
            </w:r>
            <w:r w:rsidR="009951A2" w:rsidRPr="009951A2">
              <w:rPr>
                <w:highlight w:val="black"/>
              </w:rPr>
              <w:t>&amp;&amp;&amp;&amp;</w:t>
            </w:r>
          </w:p>
          <w:p w14:paraId="19C33A32" w14:textId="2FE7FEBF" w:rsidR="009B2D91" w:rsidRPr="00DA6262" w:rsidRDefault="00DA6262" w:rsidP="00130285">
            <w:pPr>
              <w:pStyle w:val="TableText0"/>
              <w:jc w:val="center"/>
              <w:rPr>
                <w:vertAlign w:val="superscript"/>
              </w:rPr>
            </w:pPr>
            <w:r>
              <w:rPr>
                <w:vertAlign w:val="superscript"/>
              </w:rPr>
              <w:t>3</w:t>
            </w:r>
          </w:p>
        </w:tc>
        <w:tc>
          <w:tcPr>
            <w:tcW w:w="551" w:type="pct"/>
            <w:vAlign w:val="center"/>
          </w:tcPr>
          <w:p w14:paraId="6B577AB1" w14:textId="2FEDD307" w:rsidR="009F049A" w:rsidRDefault="009B2D91" w:rsidP="00130285">
            <w:pPr>
              <w:pStyle w:val="TableText0"/>
              <w:jc w:val="center"/>
            </w:pPr>
            <w:r w:rsidRPr="000E5B3A">
              <w:t>$</w:t>
            </w:r>
            <w:r w:rsidR="009951A2" w:rsidRPr="009951A2">
              <w:rPr>
                <w:highlight w:val="black"/>
              </w:rPr>
              <w:t>&amp;&amp;&amp;&amp;</w:t>
            </w:r>
          </w:p>
          <w:p w14:paraId="719C608F" w14:textId="071FD5BD" w:rsidR="009B2D91" w:rsidRPr="00DA6262" w:rsidRDefault="00DA6262" w:rsidP="00130285">
            <w:pPr>
              <w:pStyle w:val="TableText0"/>
              <w:jc w:val="center"/>
              <w:rPr>
                <w:vertAlign w:val="superscript"/>
              </w:rPr>
            </w:pPr>
            <w:r>
              <w:rPr>
                <w:vertAlign w:val="superscript"/>
              </w:rPr>
              <w:t>3</w:t>
            </w:r>
          </w:p>
        </w:tc>
        <w:tc>
          <w:tcPr>
            <w:tcW w:w="628" w:type="pct"/>
            <w:vAlign w:val="center"/>
          </w:tcPr>
          <w:p w14:paraId="355F3E27" w14:textId="20D3D109" w:rsidR="009F049A" w:rsidRDefault="009B2D91" w:rsidP="00130285">
            <w:pPr>
              <w:pStyle w:val="TableText0"/>
              <w:jc w:val="center"/>
            </w:pPr>
            <w:r w:rsidRPr="000E5B3A">
              <w:t>$</w:t>
            </w:r>
            <w:r w:rsidR="009951A2" w:rsidRPr="009951A2">
              <w:rPr>
                <w:highlight w:val="black"/>
              </w:rPr>
              <w:t>&amp;&amp;&amp;&amp;</w:t>
            </w:r>
          </w:p>
          <w:p w14:paraId="17314A55" w14:textId="0558A930" w:rsidR="009B2D91" w:rsidRPr="009F049A" w:rsidRDefault="009F049A" w:rsidP="00130285">
            <w:pPr>
              <w:pStyle w:val="TableText0"/>
              <w:jc w:val="center"/>
              <w:rPr>
                <w:vertAlign w:val="superscript"/>
              </w:rPr>
            </w:pPr>
            <w:r>
              <w:rPr>
                <w:vertAlign w:val="superscript"/>
              </w:rPr>
              <w:t>4</w:t>
            </w:r>
          </w:p>
        </w:tc>
        <w:tc>
          <w:tcPr>
            <w:tcW w:w="551" w:type="pct"/>
            <w:vAlign w:val="center"/>
          </w:tcPr>
          <w:p w14:paraId="58FD666F" w14:textId="20CC6AD4" w:rsidR="009B2D91" w:rsidRPr="009F049A" w:rsidRDefault="009B2D91" w:rsidP="00130285">
            <w:pPr>
              <w:pStyle w:val="TableText0"/>
              <w:jc w:val="center"/>
              <w:rPr>
                <w:vertAlign w:val="superscript"/>
              </w:rPr>
            </w:pPr>
            <w:r w:rsidRPr="000E5B3A">
              <w:t>$</w:t>
            </w:r>
            <w:r w:rsidR="009951A2" w:rsidRPr="009951A2">
              <w:rPr>
                <w:highlight w:val="black"/>
              </w:rPr>
              <w:t>&amp;&amp;&amp;&amp;</w:t>
            </w:r>
            <w:r w:rsidR="009F049A">
              <w:rPr>
                <w:vertAlign w:val="superscript"/>
              </w:rPr>
              <w:t>4</w:t>
            </w:r>
          </w:p>
        </w:tc>
        <w:tc>
          <w:tcPr>
            <w:tcW w:w="602" w:type="pct"/>
            <w:vAlign w:val="center"/>
          </w:tcPr>
          <w:p w14:paraId="75BF313C" w14:textId="5961D132" w:rsidR="009F049A" w:rsidRDefault="009B2D91" w:rsidP="00130285">
            <w:pPr>
              <w:pStyle w:val="TableText0"/>
              <w:jc w:val="center"/>
            </w:pPr>
            <w:r w:rsidRPr="000E5B3A">
              <w:t>$</w:t>
            </w:r>
            <w:r w:rsidR="009951A2" w:rsidRPr="009951A2">
              <w:rPr>
                <w:highlight w:val="black"/>
              </w:rPr>
              <w:t>&amp;&amp;&amp;&amp;</w:t>
            </w:r>
          </w:p>
          <w:p w14:paraId="0C4F9C13" w14:textId="2906678C" w:rsidR="009B2D91" w:rsidRPr="009F049A" w:rsidRDefault="009F049A" w:rsidP="00130285">
            <w:pPr>
              <w:pStyle w:val="TableText0"/>
              <w:jc w:val="center"/>
              <w:rPr>
                <w:vertAlign w:val="superscript"/>
              </w:rPr>
            </w:pPr>
            <w:r>
              <w:rPr>
                <w:vertAlign w:val="superscript"/>
              </w:rPr>
              <w:t>4</w:t>
            </w:r>
          </w:p>
        </w:tc>
      </w:tr>
      <w:tr w:rsidR="009B2D91" w:rsidRPr="000E5B3A" w14:paraId="24889EE2" w14:textId="77777777" w:rsidTr="00130285">
        <w:tc>
          <w:tcPr>
            <w:tcW w:w="5000" w:type="pct"/>
            <w:gridSpan w:val="7"/>
          </w:tcPr>
          <w:p w14:paraId="145BE5B9" w14:textId="77777777" w:rsidR="009B2D91" w:rsidRPr="000E5B3A" w:rsidRDefault="009B2D91" w:rsidP="00130285">
            <w:pPr>
              <w:pStyle w:val="TableText0"/>
            </w:pPr>
            <w:r w:rsidRPr="000E5B3A">
              <w:t>Estimated financial implications for carboplatin + paclitaxel</w:t>
            </w:r>
          </w:p>
        </w:tc>
      </w:tr>
      <w:tr w:rsidR="009B2D91" w:rsidRPr="000E5B3A" w14:paraId="35A6F440" w14:textId="77777777" w:rsidTr="00130285">
        <w:tc>
          <w:tcPr>
            <w:tcW w:w="1567" w:type="pct"/>
          </w:tcPr>
          <w:p w14:paraId="2844122E" w14:textId="77777777" w:rsidR="009B2D91" w:rsidRPr="000E5B3A" w:rsidRDefault="009B2D91" w:rsidP="00130285">
            <w:pPr>
              <w:pStyle w:val="TableText0"/>
            </w:pPr>
            <w:r w:rsidRPr="000E5B3A">
              <w:t>Cost to PBS/RPBS less copayments</w:t>
            </w:r>
            <w:r w:rsidRPr="000E5B3A">
              <w:rPr>
                <w:vertAlign w:val="superscript"/>
              </w:rPr>
              <w:t xml:space="preserve"> c</w:t>
            </w:r>
          </w:p>
        </w:tc>
        <w:tc>
          <w:tcPr>
            <w:tcW w:w="550" w:type="pct"/>
            <w:vAlign w:val="center"/>
          </w:tcPr>
          <w:p w14:paraId="567A2C87" w14:textId="77777777" w:rsidR="009B2D91" w:rsidRPr="000E5B3A" w:rsidRDefault="009B2D91" w:rsidP="00130285">
            <w:pPr>
              <w:pStyle w:val="TableText0"/>
              <w:jc w:val="center"/>
            </w:pPr>
            <w:r w:rsidRPr="000E5B3A">
              <w:t>0</w:t>
            </w:r>
          </w:p>
        </w:tc>
        <w:tc>
          <w:tcPr>
            <w:tcW w:w="550" w:type="pct"/>
            <w:vAlign w:val="center"/>
          </w:tcPr>
          <w:p w14:paraId="280B0B44" w14:textId="77777777" w:rsidR="009B2D91" w:rsidRPr="000E5B3A" w:rsidRDefault="009B2D91" w:rsidP="00130285">
            <w:pPr>
              <w:pStyle w:val="TableText0"/>
              <w:jc w:val="center"/>
            </w:pPr>
            <w:r w:rsidRPr="000E5B3A">
              <w:t>0</w:t>
            </w:r>
          </w:p>
        </w:tc>
        <w:tc>
          <w:tcPr>
            <w:tcW w:w="551" w:type="pct"/>
            <w:vAlign w:val="center"/>
          </w:tcPr>
          <w:p w14:paraId="4ABBE979" w14:textId="77777777" w:rsidR="009B2D91" w:rsidRPr="000E5B3A" w:rsidRDefault="009B2D91" w:rsidP="00130285">
            <w:pPr>
              <w:pStyle w:val="TableText0"/>
              <w:jc w:val="center"/>
            </w:pPr>
            <w:r w:rsidRPr="000E5B3A">
              <w:t>0</w:t>
            </w:r>
          </w:p>
        </w:tc>
        <w:tc>
          <w:tcPr>
            <w:tcW w:w="628" w:type="pct"/>
            <w:vAlign w:val="center"/>
          </w:tcPr>
          <w:p w14:paraId="25F8A285" w14:textId="77777777" w:rsidR="009B2D91" w:rsidRPr="000E5B3A" w:rsidRDefault="009B2D91" w:rsidP="00130285">
            <w:pPr>
              <w:pStyle w:val="TableText0"/>
              <w:jc w:val="center"/>
            </w:pPr>
            <w:r w:rsidRPr="000E5B3A">
              <w:t>0</w:t>
            </w:r>
          </w:p>
        </w:tc>
        <w:tc>
          <w:tcPr>
            <w:tcW w:w="551" w:type="pct"/>
            <w:vAlign w:val="center"/>
          </w:tcPr>
          <w:p w14:paraId="4E7FA0CE" w14:textId="77777777" w:rsidR="009B2D91" w:rsidRPr="000E5B3A" w:rsidRDefault="009B2D91" w:rsidP="00130285">
            <w:pPr>
              <w:pStyle w:val="TableText0"/>
              <w:jc w:val="center"/>
            </w:pPr>
            <w:r w:rsidRPr="000E5B3A">
              <w:t>0</w:t>
            </w:r>
          </w:p>
        </w:tc>
        <w:tc>
          <w:tcPr>
            <w:tcW w:w="602" w:type="pct"/>
            <w:vAlign w:val="center"/>
          </w:tcPr>
          <w:p w14:paraId="1148EC89" w14:textId="77777777" w:rsidR="009B2D91" w:rsidRPr="000E5B3A" w:rsidRDefault="009B2D91" w:rsidP="00130285">
            <w:pPr>
              <w:pStyle w:val="TableText0"/>
              <w:jc w:val="center"/>
            </w:pPr>
            <w:r w:rsidRPr="000E5B3A">
              <w:t>0</w:t>
            </w:r>
          </w:p>
        </w:tc>
      </w:tr>
      <w:tr w:rsidR="009B2D91" w:rsidRPr="000E5B3A" w14:paraId="3276A4B7" w14:textId="77777777" w:rsidTr="00130285">
        <w:tc>
          <w:tcPr>
            <w:tcW w:w="5000" w:type="pct"/>
            <w:gridSpan w:val="7"/>
          </w:tcPr>
          <w:p w14:paraId="60F502BB" w14:textId="77777777" w:rsidR="009B2D91" w:rsidRPr="000E5B3A" w:rsidRDefault="009B2D91" w:rsidP="00130285">
            <w:pPr>
              <w:pStyle w:val="In-tableHeading"/>
              <w:jc w:val="left"/>
              <w:rPr>
                <w:lang w:val="en-AU"/>
              </w:rPr>
            </w:pPr>
            <w:r w:rsidRPr="000E5B3A">
              <w:rPr>
                <w:lang w:val="en-AU"/>
              </w:rPr>
              <w:t>Net financial implications</w:t>
            </w:r>
          </w:p>
        </w:tc>
      </w:tr>
      <w:tr w:rsidR="009B2D91" w:rsidRPr="000E5B3A" w14:paraId="7813F157" w14:textId="77777777" w:rsidTr="00130285">
        <w:tc>
          <w:tcPr>
            <w:tcW w:w="1567" w:type="pct"/>
          </w:tcPr>
          <w:p w14:paraId="0C99BFB9" w14:textId="77777777" w:rsidR="009B2D91" w:rsidRPr="000E5B3A" w:rsidRDefault="009B2D91" w:rsidP="00130285">
            <w:pPr>
              <w:pStyle w:val="TableText0"/>
            </w:pPr>
            <w:r w:rsidRPr="000E5B3A">
              <w:t>Net cost to PBS/RPBS</w:t>
            </w:r>
          </w:p>
        </w:tc>
        <w:tc>
          <w:tcPr>
            <w:tcW w:w="550" w:type="pct"/>
          </w:tcPr>
          <w:p w14:paraId="560FDB35" w14:textId="4DFF21FA" w:rsidR="009F049A" w:rsidRDefault="009B2D91" w:rsidP="00130285">
            <w:pPr>
              <w:pStyle w:val="TableText0"/>
              <w:jc w:val="center"/>
            </w:pPr>
            <w:r w:rsidRPr="000E5B3A">
              <w:t>$</w:t>
            </w:r>
            <w:r w:rsidR="009951A2" w:rsidRPr="009951A2">
              <w:rPr>
                <w:highlight w:val="black"/>
              </w:rPr>
              <w:t>&amp;&amp;&amp;&amp;</w:t>
            </w:r>
          </w:p>
          <w:p w14:paraId="015CDB60" w14:textId="63D3F94D" w:rsidR="009B2D91" w:rsidRPr="00DA6262" w:rsidRDefault="00DA6262" w:rsidP="00130285">
            <w:pPr>
              <w:pStyle w:val="TableText0"/>
              <w:jc w:val="center"/>
              <w:rPr>
                <w:vertAlign w:val="superscript"/>
              </w:rPr>
            </w:pPr>
            <w:r>
              <w:rPr>
                <w:vertAlign w:val="superscript"/>
              </w:rPr>
              <w:t>3</w:t>
            </w:r>
          </w:p>
        </w:tc>
        <w:tc>
          <w:tcPr>
            <w:tcW w:w="550" w:type="pct"/>
          </w:tcPr>
          <w:p w14:paraId="5C6F9BF6" w14:textId="2F1FF9DB" w:rsidR="009F049A" w:rsidRDefault="009B2D91" w:rsidP="00130285">
            <w:pPr>
              <w:pStyle w:val="TableText0"/>
              <w:jc w:val="center"/>
            </w:pPr>
            <w:r w:rsidRPr="000E5B3A">
              <w:t>$</w:t>
            </w:r>
            <w:r w:rsidR="009951A2" w:rsidRPr="009951A2">
              <w:rPr>
                <w:highlight w:val="black"/>
              </w:rPr>
              <w:t>&amp;&amp;&amp;&amp;</w:t>
            </w:r>
          </w:p>
          <w:p w14:paraId="6258AA12" w14:textId="3FCAA6D9" w:rsidR="009B2D91" w:rsidRPr="00DA6262" w:rsidRDefault="00DA6262" w:rsidP="00130285">
            <w:pPr>
              <w:pStyle w:val="TableText0"/>
              <w:jc w:val="center"/>
              <w:rPr>
                <w:vertAlign w:val="superscript"/>
              </w:rPr>
            </w:pPr>
            <w:r>
              <w:rPr>
                <w:vertAlign w:val="superscript"/>
              </w:rPr>
              <w:t>3</w:t>
            </w:r>
          </w:p>
        </w:tc>
        <w:tc>
          <w:tcPr>
            <w:tcW w:w="551" w:type="pct"/>
          </w:tcPr>
          <w:p w14:paraId="08532A79" w14:textId="238080AD" w:rsidR="009F049A" w:rsidRDefault="009B2D91" w:rsidP="00130285">
            <w:pPr>
              <w:pStyle w:val="TableText0"/>
              <w:jc w:val="center"/>
            </w:pPr>
            <w:r w:rsidRPr="000E5B3A">
              <w:t>$</w:t>
            </w:r>
            <w:r w:rsidR="009951A2" w:rsidRPr="009951A2">
              <w:rPr>
                <w:highlight w:val="black"/>
              </w:rPr>
              <w:t>&amp;&amp;&amp;&amp;</w:t>
            </w:r>
          </w:p>
          <w:p w14:paraId="7E815738" w14:textId="705BAEF0" w:rsidR="009B2D91" w:rsidRPr="00DA6262" w:rsidRDefault="00DA6262" w:rsidP="00130285">
            <w:pPr>
              <w:pStyle w:val="TableText0"/>
              <w:jc w:val="center"/>
              <w:rPr>
                <w:vertAlign w:val="superscript"/>
              </w:rPr>
            </w:pPr>
            <w:r>
              <w:rPr>
                <w:vertAlign w:val="superscript"/>
              </w:rPr>
              <w:t>3</w:t>
            </w:r>
          </w:p>
        </w:tc>
        <w:tc>
          <w:tcPr>
            <w:tcW w:w="628" w:type="pct"/>
          </w:tcPr>
          <w:p w14:paraId="133A0ADF" w14:textId="779E2443" w:rsidR="009F049A" w:rsidRDefault="009B2D91" w:rsidP="00130285">
            <w:pPr>
              <w:pStyle w:val="TableText0"/>
              <w:jc w:val="center"/>
            </w:pPr>
            <w:r w:rsidRPr="000E5B3A">
              <w:t>$</w:t>
            </w:r>
            <w:r w:rsidR="009951A2" w:rsidRPr="009951A2">
              <w:rPr>
                <w:highlight w:val="black"/>
              </w:rPr>
              <w:t>&amp;&amp;&amp;&amp;</w:t>
            </w:r>
          </w:p>
          <w:p w14:paraId="42FBED1D" w14:textId="3C7C9A59" w:rsidR="009B2D91" w:rsidRPr="009F049A" w:rsidRDefault="009F049A" w:rsidP="00130285">
            <w:pPr>
              <w:pStyle w:val="TableText0"/>
              <w:jc w:val="center"/>
              <w:rPr>
                <w:vertAlign w:val="superscript"/>
              </w:rPr>
            </w:pPr>
            <w:r>
              <w:rPr>
                <w:vertAlign w:val="superscript"/>
              </w:rPr>
              <w:t>4</w:t>
            </w:r>
          </w:p>
        </w:tc>
        <w:tc>
          <w:tcPr>
            <w:tcW w:w="551" w:type="pct"/>
          </w:tcPr>
          <w:p w14:paraId="55C44F6B" w14:textId="64E5D5D0" w:rsidR="009B2D91" w:rsidRPr="009F049A" w:rsidRDefault="009B2D91" w:rsidP="00130285">
            <w:pPr>
              <w:pStyle w:val="TableText0"/>
              <w:jc w:val="center"/>
              <w:rPr>
                <w:vertAlign w:val="superscript"/>
              </w:rPr>
            </w:pPr>
            <w:r w:rsidRPr="000E5B3A">
              <w:t>$</w:t>
            </w:r>
            <w:r w:rsidR="009951A2" w:rsidRPr="009951A2">
              <w:rPr>
                <w:highlight w:val="black"/>
              </w:rPr>
              <w:t>&amp;&amp;&amp;&amp;</w:t>
            </w:r>
            <w:r w:rsidR="009F049A">
              <w:rPr>
                <w:vertAlign w:val="superscript"/>
              </w:rPr>
              <w:t>4</w:t>
            </w:r>
          </w:p>
        </w:tc>
        <w:tc>
          <w:tcPr>
            <w:tcW w:w="602" w:type="pct"/>
          </w:tcPr>
          <w:p w14:paraId="29594DE5" w14:textId="553CA733" w:rsidR="002437A9" w:rsidRDefault="009B2D91" w:rsidP="00130285">
            <w:pPr>
              <w:pStyle w:val="TableText0"/>
              <w:jc w:val="center"/>
            </w:pPr>
            <w:r w:rsidRPr="000E5B3A">
              <w:t>$</w:t>
            </w:r>
            <w:r w:rsidR="009951A2" w:rsidRPr="009951A2">
              <w:rPr>
                <w:highlight w:val="black"/>
              </w:rPr>
              <w:t>&amp;&amp;&amp;&amp;</w:t>
            </w:r>
          </w:p>
          <w:p w14:paraId="6727AC90" w14:textId="28F064D7" w:rsidR="009B2D91" w:rsidRPr="009F049A" w:rsidRDefault="009F049A" w:rsidP="00130285">
            <w:pPr>
              <w:pStyle w:val="TableText0"/>
              <w:jc w:val="center"/>
              <w:rPr>
                <w:vertAlign w:val="superscript"/>
              </w:rPr>
            </w:pPr>
            <w:r>
              <w:rPr>
                <w:vertAlign w:val="superscript"/>
              </w:rPr>
              <w:t>4</w:t>
            </w:r>
          </w:p>
        </w:tc>
      </w:tr>
      <w:tr w:rsidR="009B2D91" w:rsidRPr="000E5B3A" w14:paraId="79B09BDA" w14:textId="77777777" w:rsidTr="00130285">
        <w:tc>
          <w:tcPr>
            <w:tcW w:w="1567" w:type="pct"/>
          </w:tcPr>
          <w:p w14:paraId="301E9F6D" w14:textId="77777777" w:rsidR="009B2D91" w:rsidRPr="000E5B3A" w:rsidRDefault="009B2D91" w:rsidP="00130285">
            <w:pPr>
              <w:pStyle w:val="TableText0"/>
              <w:rPr>
                <w:rFonts w:ascii="Times" w:hAnsi="Times"/>
              </w:rPr>
            </w:pPr>
            <w:r w:rsidRPr="000E5B3A">
              <w:t>Net cost to MBS</w:t>
            </w:r>
          </w:p>
        </w:tc>
        <w:tc>
          <w:tcPr>
            <w:tcW w:w="550" w:type="pct"/>
          </w:tcPr>
          <w:p w14:paraId="21D6E627" w14:textId="4BABCFFB"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550" w:type="pct"/>
          </w:tcPr>
          <w:p w14:paraId="4C481991" w14:textId="2CF657A8"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551" w:type="pct"/>
          </w:tcPr>
          <w:p w14:paraId="0509C0BF" w14:textId="2CB6912A"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628" w:type="pct"/>
          </w:tcPr>
          <w:p w14:paraId="62341688" w14:textId="5C524178"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551" w:type="pct"/>
          </w:tcPr>
          <w:p w14:paraId="035153A0" w14:textId="40CB439D"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602" w:type="pct"/>
          </w:tcPr>
          <w:p w14:paraId="6201CA09" w14:textId="4B211922"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r>
      <w:tr w:rsidR="009B2D91" w:rsidRPr="000E5B3A" w14:paraId="3E2E1489" w14:textId="77777777" w:rsidTr="00130285">
        <w:tc>
          <w:tcPr>
            <w:tcW w:w="1567" w:type="pct"/>
          </w:tcPr>
          <w:p w14:paraId="0757F036" w14:textId="77777777" w:rsidR="009B2D91" w:rsidRPr="000E5B3A" w:rsidRDefault="009B2D91" w:rsidP="00130285">
            <w:pPr>
              <w:pStyle w:val="TableText0"/>
            </w:pPr>
            <w:r w:rsidRPr="000E5B3A">
              <w:t>Net cost to health budget</w:t>
            </w:r>
          </w:p>
        </w:tc>
        <w:tc>
          <w:tcPr>
            <w:tcW w:w="550" w:type="pct"/>
          </w:tcPr>
          <w:p w14:paraId="02EDC197" w14:textId="2D6CBAAF" w:rsidR="009F049A" w:rsidRDefault="009B2D91" w:rsidP="00130285">
            <w:pPr>
              <w:pStyle w:val="TableText0"/>
              <w:jc w:val="center"/>
            </w:pPr>
            <w:r w:rsidRPr="000E5B3A">
              <w:t>$</w:t>
            </w:r>
            <w:r w:rsidR="009951A2" w:rsidRPr="009951A2">
              <w:rPr>
                <w:highlight w:val="black"/>
              </w:rPr>
              <w:t>&amp;&amp;&amp;&amp;</w:t>
            </w:r>
          </w:p>
          <w:p w14:paraId="53A6FE64" w14:textId="216D8E03" w:rsidR="009B2D91" w:rsidRPr="00DA6262" w:rsidRDefault="00DA6262" w:rsidP="00130285">
            <w:pPr>
              <w:pStyle w:val="TableText0"/>
              <w:jc w:val="center"/>
              <w:rPr>
                <w:vertAlign w:val="superscript"/>
              </w:rPr>
            </w:pPr>
            <w:r>
              <w:rPr>
                <w:vertAlign w:val="superscript"/>
              </w:rPr>
              <w:t>3</w:t>
            </w:r>
          </w:p>
        </w:tc>
        <w:tc>
          <w:tcPr>
            <w:tcW w:w="550" w:type="pct"/>
          </w:tcPr>
          <w:p w14:paraId="0A574380" w14:textId="75E59DD2" w:rsidR="009F049A" w:rsidRDefault="009B2D91" w:rsidP="00130285">
            <w:pPr>
              <w:pStyle w:val="TableText0"/>
              <w:jc w:val="center"/>
            </w:pPr>
            <w:r w:rsidRPr="000E5B3A">
              <w:t>$</w:t>
            </w:r>
            <w:r w:rsidR="009951A2" w:rsidRPr="009951A2">
              <w:rPr>
                <w:highlight w:val="black"/>
              </w:rPr>
              <w:t>&amp;&amp;&amp;&amp;</w:t>
            </w:r>
          </w:p>
          <w:p w14:paraId="487A13B3" w14:textId="1AC4C8C7" w:rsidR="009B2D91" w:rsidRPr="00DA6262" w:rsidRDefault="00DA6262" w:rsidP="00130285">
            <w:pPr>
              <w:pStyle w:val="TableText0"/>
              <w:jc w:val="center"/>
              <w:rPr>
                <w:vertAlign w:val="superscript"/>
              </w:rPr>
            </w:pPr>
            <w:r>
              <w:rPr>
                <w:vertAlign w:val="superscript"/>
              </w:rPr>
              <w:t>3</w:t>
            </w:r>
          </w:p>
        </w:tc>
        <w:tc>
          <w:tcPr>
            <w:tcW w:w="551" w:type="pct"/>
          </w:tcPr>
          <w:p w14:paraId="54F43599" w14:textId="4D820DEF" w:rsidR="009F049A" w:rsidRDefault="009B2D91" w:rsidP="00130285">
            <w:pPr>
              <w:pStyle w:val="TableText0"/>
              <w:jc w:val="center"/>
            </w:pPr>
            <w:r w:rsidRPr="000E5B3A">
              <w:t>$</w:t>
            </w:r>
            <w:r w:rsidR="009951A2" w:rsidRPr="009951A2">
              <w:rPr>
                <w:highlight w:val="black"/>
              </w:rPr>
              <w:t>&amp;&amp;&amp;&amp;</w:t>
            </w:r>
          </w:p>
          <w:p w14:paraId="0E529DE9" w14:textId="7E81CF22" w:rsidR="009B2D91" w:rsidRPr="00DA6262" w:rsidRDefault="00DA6262" w:rsidP="00130285">
            <w:pPr>
              <w:pStyle w:val="TableText0"/>
              <w:jc w:val="center"/>
              <w:rPr>
                <w:vertAlign w:val="superscript"/>
              </w:rPr>
            </w:pPr>
            <w:r>
              <w:rPr>
                <w:vertAlign w:val="superscript"/>
              </w:rPr>
              <w:t>3</w:t>
            </w:r>
          </w:p>
        </w:tc>
        <w:tc>
          <w:tcPr>
            <w:tcW w:w="628" w:type="pct"/>
          </w:tcPr>
          <w:p w14:paraId="4F8AC523" w14:textId="46E4E102" w:rsidR="009F049A" w:rsidRDefault="009B2D91" w:rsidP="00130285">
            <w:pPr>
              <w:pStyle w:val="TableText0"/>
              <w:jc w:val="center"/>
            </w:pPr>
            <w:r w:rsidRPr="000E5B3A">
              <w:t>$</w:t>
            </w:r>
            <w:r w:rsidR="009951A2" w:rsidRPr="009951A2">
              <w:rPr>
                <w:highlight w:val="black"/>
              </w:rPr>
              <w:t>&amp;&amp;&amp;&amp;</w:t>
            </w:r>
          </w:p>
          <w:p w14:paraId="1280ABFE" w14:textId="1211CA4E" w:rsidR="009B2D91" w:rsidRPr="009F049A" w:rsidRDefault="009F049A" w:rsidP="00130285">
            <w:pPr>
              <w:pStyle w:val="TableText0"/>
              <w:jc w:val="center"/>
              <w:rPr>
                <w:vertAlign w:val="superscript"/>
              </w:rPr>
            </w:pPr>
            <w:r>
              <w:rPr>
                <w:vertAlign w:val="superscript"/>
              </w:rPr>
              <w:t>4</w:t>
            </w:r>
          </w:p>
        </w:tc>
        <w:tc>
          <w:tcPr>
            <w:tcW w:w="551" w:type="pct"/>
          </w:tcPr>
          <w:p w14:paraId="6D52F986" w14:textId="64427026" w:rsidR="009B2D91" w:rsidRPr="009F049A" w:rsidRDefault="009B2D91" w:rsidP="00130285">
            <w:pPr>
              <w:pStyle w:val="TableText0"/>
              <w:jc w:val="center"/>
              <w:rPr>
                <w:vertAlign w:val="superscript"/>
              </w:rPr>
            </w:pPr>
            <w:r w:rsidRPr="000E5B3A">
              <w:t>$</w:t>
            </w:r>
            <w:r w:rsidR="009951A2" w:rsidRPr="009951A2">
              <w:rPr>
                <w:highlight w:val="black"/>
              </w:rPr>
              <w:t>&amp;&amp;&amp;&amp;</w:t>
            </w:r>
            <w:r w:rsidR="009F049A">
              <w:rPr>
                <w:vertAlign w:val="superscript"/>
              </w:rPr>
              <w:t>4</w:t>
            </w:r>
          </w:p>
        </w:tc>
        <w:tc>
          <w:tcPr>
            <w:tcW w:w="602" w:type="pct"/>
          </w:tcPr>
          <w:p w14:paraId="0862104A" w14:textId="09F2F15D" w:rsidR="002437A9" w:rsidRDefault="009B2D91" w:rsidP="00130285">
            <w:pPr>
              <w:pStyle w:val="TableText0"/>
              <w:jc w:val="center"/>
            </w:pPr>
            <w:r w:rsidRPr="000E5B3A">
              <w:t>$</w:t>
            </w:r>
            <w:r w:rsidR="009951A2" w:rsidRPr="009951A2">
              <w:rPr>
                <w:highlight w:val="black"/>
              </w:rPr>
              <w:t>&amp;&amp;&amp;&amp;</w:t>
            </w:r>
          </w:p>
          <w:p w14:paraId="233B8A1C" w14:textId="4789B142" w:rsidR="009B2D91" w:rsidRPr="009F049A" w:rsidRDefault="009F049A" w:rsidP="00130285">
            <w:pPr>
              <w:pStyle w:val="TableText0"/>
              <w:jc w:val="center"/>
              <w:rPr>
                <w:vertAlign w:val="superscript"/>
              </w:rPr>
            </w:pPr>
            <w:r>
              <w:rPr>
                <w:vertAlign w:val="superscript"/>
              </w:rPr>
              <w:t>4</w:t>
            </w:r>
          </w:p>
        </w:tc>
      </w:tr>
    </w:tbl>
    <w:p w14:paraId="08D6A6BC" w14:textId="77777777" w:rsidR="009B2D91" w:rsidRPr="000E5B3A" w:rsidRDefault="009B2D91" w:rsidP="009B2D91">
      <w:pPr>
        <w:pStyle w:val="TableFigureFooter"/>
      </w:pPr>
      <w:r w:rsidRPr="000E5B3A">
        <w:t>Source: Tables 105, 106 and 110, p179 and 183 of the submission.</w:t>
      </w:r>
    </w:p>
    <w:p w14:paraId="2DC74168" w14:textId="61073E81" w:rsidR="009B2D91" w:rsidRPr="000E5B3A" w:rsidRDefault="009B2D91" w:rsidP="009B2D91">
      <w:pPr>
        <w:pStyle w:val="TableFigureFooter"/>
      </w:pPr>
      <w:r w:rsidRPr="000E5B3A">
        <w:rPr>
          <w:vertAlign w:val="superscript"/>
        </w:rPr>
        <w:t>a</w:t>
      </w:r>
      <w:r w:rsidRPr="000E5B3A">
        <w:t xml:space="preserve"> Assumed </w:t>
      </w:r>
      <w:r w:rsidR="009951A2" w:rsidRPr="009951A2">
        <w:rPr>
          <w:highlight w:val="black"/>
        </w:rPr>
        <w:t>&amp;&amp;&amp;&amp;</w:t>
      </w:r>
      <w:r w:rsidRPr="000E5B3A">
        <w:t xml:space="preserve">% uptake rate </w:t>
      </w:r>
    </w:p>
    <w:p w14:paraId="5024F4B8" w14:textId="77777777" w:rsidR="009B2D91" w:rsidRPr="000E5B3A" w:rsidRDefault="009B2D91" w:rsidP="009B2D91">
      <w:pPr>
        <w:pStyle w:val="TableFigureFooter"/>
      </w:pPr>
      <w:r w:rsidRPr="000E5B3A">
        <w:rPr>
          <w:vertAlign w:val="superscript"/>
        </w:rPr>
        <w:t>b</w:t>
      </w:r>
      <w:r w:rsidRPr="000E5B3A">
        <w:t xml:space="preserve"> Assuming 9 scripts per patient as estimated by the submission.</w:t>
      </w:r>
    </w:p>
    <w:p w14:paraId="6D394B19" w14:textId="77777777" w:rsidR="00620E18" w:rsidRDefault="009B2D91" w:rsidP="00620E18">
      <w:pPr>
        <w:pStyle w:val="TableFigureFooter"/>
        <w:rPr>
          <w:i/>
          <w:szCs w:val="18"/>
        </w:rPr>
      </w:pPr>
      <w:r w:rsidRPr="000E5B3A">
        <w:rPr>
          <w:vertAlign w:val="superscript"/>
        </w:rPr>
        <w:t>c</w:t>
      </w:r>
      <w:r w:rsidRPr="000E5B3A">
        <w:t xml:space="preserve"> Carboplatin and paclitaxel costs were not included in the financial estimates as the submission assumed these costs would be equal if retifanlimab is or is not PBS listed.</w:t>
      </w:r>
    </w:p>
    <w:p w14:paraId="59765294" w14:textId="378E6805" w:rsidR="00620E18" w:rsidRPr="00620E18" w:rsidRDefault="00620E18" w:rsidP="00620E18">
      <w:pPr>
        <w:pStyle w:val="TableFigureFooter"/>
        <w:rPr>
          <w:i/>
        </w:rPr>
      </w:pPr>
      <w:r w:rsidRPr="00620E18">
        <w:rPr>
          <w:i/>
        </w:rPr>
        <w:t xml:space="preserve">The redacted values correspond to the following ranges: </w:t>
      </w:r>
    </w:p>
    <w:p w14:paraId="2B4ADBA6" w14:textId="26868E2B" w:rsidR="00620E18" w:rsidRPr="00620E18" w:rsidRDefault="00620E18" w:rsidP="00620E18">
      <w:pPr>
        <w:pStyle w:val="TableFigureFooter"/>
        <w:rPr>
          <w:i/>
        </w:rPr>
      </w:pPr>
      <w:r w:rsidRPr="00620E18">
        <w:rPr>
          <w:i/>
          <w:vertAlign w:val="superscript"/>
        </w:rPr>
        <w:t>1</w:t>
      </w:r>
      <w:r w:rsidRPr="00620E18">
        <w:rPr>
          <w:i/>
        </w:rPr>
        <w:t xml:space="preserve"> </w:t>
      </w:r>
      <w:r w:rsidR="007A4D68" w:rsidRPr="007A4D68">
        <w:rPr>
          <w:i/>
        </w:rPr>
        <w:t>&lt; 500</w:t>
      </w:r>
    </w:p>
    <w:p w14:paraId="71D927A6" w14:textId="177A080D" w:rsidR="00620E18" w:rsidRPr="00620E18" w:rsidRDefault="00620E18" w:rsidP="00620E18">
      <w:pPr>
        <w:pStyle w:val="TableFigureFooter"/>
        <w:rPr>
          <w:i/>
        </w:rPr>
      </w:pPr>
      <w:r w:rsidRPr="00620E18">
        <w:rPr>
          <w:i/>
          <w:vertAlign w:val="superscript"/>
        </w:rPr>
        <w:t>2</w:t>
      </w:r>
      <w:r w:rsidRPr="00620E18">
        <w:rPr>
          <w:i/>
        </w:rPr>
        <w:t xml:space="preserve"> </w:t>
      </w:r>
      <w:r w:rsidR="00D24281" w:rsidRPr="00D24281">
        <w:rPr>
          <w:i/>
        </w:rPr>
        <w:t>500 to &lt; 5,000</w:t>
      </w:r>
    </w:p>
    <w:p w14:paraId="32D2FBEC" w14:textId="5E15179F" w:rsidR="00620E18" w:rsidRPr="00620E18" w:rsidRDefault="00620E18" w:rsidP="00620E18">
      <w:pPr>
        <w:pStyle w:val="TableFigureFooter"/>
        <w:rPr>
          <w:i/>
        </w:rPr>
      </w:pPr>
      <w:r w:rsidRPr="00620E18">
        <w:rPr>
          <w:i/>
          <w:vertAlign w:val="superscript"/>
        </w:rPr>
        <w:t>3</w:t>
      </w:r>
      <w:r w:rsidRPr="00620E18">
        <w:rPr>
          <w:i/>
        </w:rPr>
        <w:t xml:space="preserve"> </w:t>
      </w:r>
      <w:r w:rsidR="00DA6262" w:rsidRPr="00DA6262">
        <w:rPr>
          <w:i/>
        </w:rPr>
        <w:t>$0 to &lt; $10 million</w:t>
      </w:r>
    </w:p>
    <w:p w14:paraId="631766DF" w14:textId="167ECD0C" w:rsidR="00620E18" w:rsidRPr="00620E18" w:rsidRDefault="00620E18" w:rsidP="00620E18">
      <w:pPr>
        <w:pStyle w:val="TableFigureFooter"/>
        <w:rPr>
          <w:i/>
        </w:rPr>
      </w:pPr>
      <w:r w:rsidRPr="00620E18">
        <w:rPr>
          <w:i/>
          <w:vertAlign w:val="superscript"/>
        </w:rPr>
        <w:t>4</w:t>
      </w:r>
      <w:r w:rsidRPr="00620E18">
        <w:rPr>
          <w:i/>
        </w:rPr>
        <w:t xml:space="preserve"> </w:t>
      </w:r>
      <w:bookmarkStart w:id="98" w:name="_Hlk219128703"/>
      <w:r w:rsidR="009F049A" w:rsidRPr="009F049A">
        <w:rPr>
          <w:i/>
        </w:rPr>
        <w:t>$10 million to &lt; $20 million</w:t>
      </w:r>
      <w:bookmarkEnd w:id="98"/>
    </w:p>
    <w:p w14:paraId="34CD0AB1" w14:textId="0A1F5549" w:rsidR="009B2D91" w:rsidRPr="000E5B3A" w:rsidRDefault="009B2D91" w:rsidP="009B2D91">
      <w:pPr>
        <w:pStyle w:val="TableFigureFooter"/>
      </w:pPr>
    </w:p>
    <w:p w14:paraId="31E6C9BC" w14:textId="0824B7EB" w:rsidR="00162413" w:rsidRPr="000E5B3A" w:rsidRDefault="009B2D91" w:rsidP="00162413">
      <w:pPr>
        <w:pStyle w:val="3-BodyText"/>
      </w:pPr>
      <w:r w:rsidRPr="000E5B3A">
        <w:t xml:space="preserve">The </w:t>
      </w:r>
      <w:r w:rsidR="00E81747">
        <w:t xml:space="preserve">submission estimated that the </w:t>
      </w:r>
      <w:r w:rsidRPr="000E5B3A">
        <w:t xml:space="preserve">total cost to the PBS/RPBS of listing retifanlimab </w:t>
      </w:r>
      <w:r w:rsidR="00E81747">
        <w:t>would</w:t>
      </w:r>
      <w:r w:rsidRPr="000E5B3A">
        <w:t xml:space="preserve"> be </w:t>
      </w:r>
      <w:r w:rsidR="009F049A" w:rsidRPr="009F049A">
        <w:t>$10 million to &lt; $20 million</w:t>
      </w:r>
      <w:r w:rsidRPr="000E5B3A">
        <w:t xml:space="preserve"> in Year 1, increasing to </w:t>
      </w:r>
      <w:r w:rsidR="009F049A" w:rsidRPr="009F049A">
        <w:t>$10 million to &lt; $20 million</w:t>
      </w:r>
      <w:r w:rsidRPr="000E5B3A">
        <w:t xml:space="preserve"> in Year 6, and a total of </w:t>
      </w:r>
      <w:r w:rsidR="00D34F76" w:rsidRPr="00D34F76">
        <w:t>$50 million to &lt; $60 million</w:t>
      </w:r>
      <w:r w:rsidRPr="000E5B3A">
        <w:t xml:space="preserve"> in the first 6 years of listing</w:t>
      </w:r>
      <w:r w:rsidR="00B73A81" w:rsidRPr="000E5B3A">
        <w:rPr>
          <w:color w:val="3366FF"/>
        </w:rPr>
        <w:t>.</w:t>
      </w:r>
      <w:r w:rsidR="00B73A81" w:rsidRPr="000E5B3A">
        <w:t xml:space="preserve"> </w:t>
      </w:r>
      <w:r w:rsidR="00162413" w:rsidRPr="000E5B3A">
        <w:t xml:space="preserve">DUSC considered </w:t>
      </w:r>
      <w:r w:rsidR="00BB2EA9" w:rsidRPr="000E5B3A">
        <w:t>that t</w:t>
      </w:r>
      <w:r w:rsidR="00162413" w:rsidRPr="000E5B3A">
        <w:t xml:space="preserve">here is a great unmet clinical need in this population and as such there would likely be high uptake in this market. </w:t>
      </w:r>
      <w:r w:rsidR="00EE0676">
        <w:t xml:space="preserve">The PBAC considered the submission’s estimated uptake rate, of </w:t>
      </w:r>
      <w:r w:rsidR="009951A2" w:rsidRPr="009951A2">
        <w:rPr>
          <w:highlight w:val="black"/>
        </w:rPr>
        <w:t>&amp;&amp;&amp;&amp;</w:t>
      </w:r>
      <w:r w:rsidR="00EE0676">
        <w:t>% was reasonable.</w:t>
      </w:r>
    </w:p>
    <w:p w14:paraId="0092090E" w14:textId="4DB4F50B" w:rsidR="009B2D91" w:rsidRPr="000E5B3A" w:rsidRDefault="009B2D91" w:rsidP="009B2D91">
      <w:pPr>
        <w:pStyle w:val="3-BodyText"/>
      </w:pPr>
      <w:bookmarkStart w:id="99" w:name="_Ref208084888"/>
      <w:r w:rsidRPr="000E5B3A">
        <w:t>The</w:t>
      </w:r>
      <w:r w:rsidR="000E67FC" w:rsidRPr="000E5B3A">
        <w:t xml:space="preserve"> </w:t>
      </w:r>
      <w:r w:rsidR="003A0986">
        <w:t>DUSC and the PBAC</w:t>
      </w:r>
      <w:r w:rsidR="000E67FC" w:rsidRPr="000E5B3A">
        <w:t xml:space="preserve"> noted </w:t>
      </w:r>
      <w:r w:rsidRPr="000E5B3A">
        <w:t>additional uncertainties regarding the inputs used to estimate the number of eligible patients and retifanlimab uptake:</w:t>
      </w:r>
      <w:bookmarkEnd w:id="99"/>
    </w:p>
    <w:p w14:paraId="7D720293" w14:textId="1F31EDA3" w:rsidR="009B2D91" w:rsidRPr="000E5B3A" w:rsidRDefault="009B2D91" w:rsidP="00981D55">
      <w:pPr>
        <w:pStyle w:val="ListParagraph"/>
        <w:numPr>
          <w:ilvl w:val="0"/>
          <w:numId w:val="9"/>
        </w:numPr>
      </w:pPr>
      <w:r w:rsidRPr="000E5B3A">
        <w:t>The submission applied a linear extrapolation of AIHW data instead of using the published projections for anal cancer by the AIHW. Using the projected AIHW data increased the cost over six years by 5%;</w:t>
      </w:r>
    </w:p>
    <w:p w14:paraId="19D9ACDA" w14:textId="6EDDDBE1" w:rsidR="009B2D91" w:rsidRPr="000E5B3A" w:rsidRDefault="009B2D91" w:rsidP="00981D55">
      <w:pPr>
        <w:pStyle w:val="3-BodyText"/>
        <w:numPr>
          <w:ilvl w:val="0"/>
          <w:numId w:val="9"/>
        </w:numPr>
      </w:pPr>
      <w:r w:rsidRPr="000E5B3A">
        <w:lastRenderedPageBreak/>
        <w:t>The assumed percentage of patients with SCAC as a proportion of all anal cancer (71.8%) may be underestimated as Pedersen 2025 reported a SCAC proportion of 75-95%. Assuming a SCAC proportion of 75% and 95% increased the cost over six years by 4% and 32%, respectively</w:t>
      </w:r>
      <w:r w:rsidR="0068307A" w:rsidRPr="000E5B3A">
        <w:t xml:space="preserve">. DUSC considered the incidence of SCAC at diagnosis </w:t>
      </w:r>
      <w:r w:rsidR="006A1BB5">
        <w:t>wa</w:t>
      </w:r>
      <w:r w:rsidR="0068307A" w:rsidRPr="000E5B3A">
        <w:t>s likely underestimated</w:t>
      </w:r>
      <w:r w:rsidRPr="000E5B3A">
        <w:t>;</w:t>
      </w:r>
    </w:p>
    <w:p w14:paraId="389B0FF8" w14:textId="37F2B8BE" w:rsidR="00C80117" w:rsidRPr="000E5B3A" w:rsidRDefault="009D7232" w:rsidP="00640BC0">
      <w:pPr>
        <w:pStyle w:val="3-BodyText"/>
        <w:keepNext/>
        <w:keepLines/>
      </w:pPr>
      <w:bookmarkStart w:id="100" w:name="_Ref215560352"/>
      <w:r w:rsidRPr="000E5B3A">
        <w:t>Overall, DUSC believed the population structure aligned well with the indication, however the incidence estimates overall may be underestimated. The financial impact was sensitive to how the eligible population was defined, but it also showed that the estimates were reasonably stable within a predictable range. The impact could be larger if the assumptions included in the submission’s sensitivity analyses were combined.</w:t>
      </w:r>
      <w:r w:rsidR="005D637F" w:rsidRPr="000E5B3A">
        <w:t xml:space="preserve"> </w:t>
      </w:r>
      <w:r w:rsidRPr="000E5B3A">
        <w:t>DUSC advised that minor changes to the methods used to derive the utilisation and financial estimates and structure of the estimates model should be considered</w:t>
      </w:r>
      <w:r w:rsidR="005D637F" w:rsidRPr="000E5B3A">
        <w:t>, including using</w:t>
      </w:r>
      <w:r w:rsidR="00291F17" w:rsidRPr="000E5B3A">
        <w:t xml:space="preserve"> t</w:t>
      </w:r>
      <w:r w:rsidRPr="000E5B3A">
        <w:t>he latest Australian Institute of Health and Welfare (AIHW) data to estimate the incident patients with anal cancer</w:t>
      </w:r>
      <w:r w:rsidR="00291F17" w:rsidRPr="000E5B3A">
        <w:t xml:space="preserve">, and increasing </w:t>
      </w:r>
      <w:r w:rsidRPr="000E5B3A">
        <w:t>the population of patients with anal cancer who have SCAC at diagnosis to 85%.</w:t>
      </w:r>
      <w:bookmarkEnd w:id="100"/>
    </w:p>
    <w:p w14:paraId="6E0E46E8" w14:textId="7565588A" w:rsidR="00B4588D" w:rsidRPr="006C2ECF" w:rsidRDefault="006D7D7C" w:rsidP="00E46A29">
      <w:pPr>
        <w:pStyle w:val="3-BodyText"/>
      </w:pPr>
      <w:bookmarkStart w:id="101" w:name="_Ref215560322"/>
      <w:r w:rsidRPr="000E5B3A">
        <w:t>The Pre-PBAC response</w:t>
      </w:r>
      <w:r w:rsidR="00C834C4" w:rsidRPr="000E5B3A">
        <w:t xml:space="preserve"> </w:t>
      </w:r>
      <w:r w:rsidRPr="000E5B3A">
        <w:t>presented revised f</w:t>
      </w:r>
      <w:r w:rsidRPr="006C2ECF">
        <w:t xml:space="preserve">inancial estimates </w:t>
      </w:r>
      <w:r w:rsidR="00F541B7" w:rsidRPr="006C2ECF">
        <w:t xml:space="preserve">(see </w:t>
      </w:r>
      <w:r w:rsidR="000C659F" w:rsidRPr="006C2ECF">
        <w:fldChar w:fldCharType="begin"/>
      </w:r>
      <w:r w:rsidR="000C659F" w:rsidRPr="006C2ECF">
        <w:instrText xml:space="preserve"> REF _Ref215558663 \h </w:instrText>
      </w:r>
      <w:r w:rsidR="006C2ECF">
        <w:instrText xml:space="preserve"> \* MERGEFORMAT </w:instrText>
      </w:r>
      <w:r w:rsidR="000C659F" w:rsidRPr="006C2ECF">
        <w:fldChar w:fldCharType="separate"/>
      </w:r>
      <w:r w:rsidR="00DB6E72" w:rsidRPr="000E5B3A">
        <w:t xml:space="preserve">Table </w:t>
      </w:r>
      <w:r w:rsidR="00DB6E72">
        <w:t>18</w:t>
      </w:r>
      <w:r w:rsidR="000C659F" w:rsidRPr="006C2ECF">
        <w:fldChar w:fldCharType="end"/>
      </w:r>
      <w:r w:rsidR="002B4FAA" w:rsidRPr="006C2ECF">
        <w:t xml:space="preserve">) </w:t>
      </w:r>
      <w:r w:rsidRPr="006C2ECF">
        <w:t xml:space="preserve">to align with </w:t>
      </w:r>
      <w:r w:rsidR="00F81709">
        <w:t xml:space="preserve">the </w:t>
      </w:r>
      <w:r w:rsidRPr="006C2ECF">
        <w:t>DUSC advice, whereby the projected number of patients with anal cancer was based on AIHW long-term cancer projections and the proportion of anal cancer cases with the SCAC subtype was equal to 85% (increased from 71.8%). Additionally, a retifanlimab price of $</w:t>
      </w:r>
      <w:r w:rsidR="009951A2" w:rsidRPr="009951A2">
        <w:rPr>
          <w:highlight w:val="black"/>
        </w:rPr>
        <w:t>&amp;&amp;&amp;&amp;</w:t>
      </w:r>
      <w:r w:rsidRPr="006C2ECF">
        <w:t xml:space="preserve"> per 500 mg vial was applied in line with the revised base case (paragraph </w:t>
      </w:r>
      <w:r w:rsidRPr="006C2ECF">
        <w:fldChar w:fldCharType="begin"/>
      </w:r>
      <w:r w:rsidRPr="006C2ECF">
        <w:instrText xml:space="preserve"> REF _Ref215490727 \r \h </w:instrText>
      </w:r>
      <w:r w:rsidR="006C2ECF">
        <w:instrText xml:space="preserve"> \* MERGEFORMAT </w:instrText>
      </w:r>
      <w:r w:rsidRPr="006C2ECF">
        <w:fldChar w:fldCharType="separate"/>
      </w:r>
      <w:r w:rsidR="00DB6E72">
        <w:t>6.49</w:t>
      </w:r>
      <w:r w:rsidRPr="006C2ECF">
        <w:fldChar w:fldCharType="end"/>
      </w:r>
      <w:r w:rsidRPr="006C2ECF">
        <w:t>)</w:t>
      </w:r>
      <w:r w:rsidR="003C47A5">
        <w:t>.</w:t>
      </w:r>
      <w:r w:rsidR="00FC3D13">
        <w:t xml:space="preserve"> </w:t>
      </w:r>
      <w:r w:rsidR="003C47A5">
        <w:t xml:space="preserve">This resulted in </w:t>
      </w:r>
      <w:r w:rsidRPr="006C2ECF">
        <w:t xml:space="preserve">an increased combined net financial impact to the PBS/RBS and MBS </w:t>
      </w:r>
      <w:r w:rsidR="00FC013F">
        <w:t>of</w:t>
      </w:r>
      <w:r w:rsidRPr="006C2ECF">
        <w:t xml:space="preserve"> </w:t>
      </w:r>
      <w:r w:rsidR="000C5EE8" w:rsidRPr="000C5EE8">
        <w:t>$0 to &lt; $10 million</w:t>
      </w:r>
      <w:r w:rsidRPr="006C2ECF">
        <w:t xml:space="preserve"> Year 1, increasing to </w:t>
      </w:r>
      <w:r w:rsidR="00990BB0" w:rsidRPr="00990BB0">
        <w:t>$10 million to &lt; $20 million</w:t>
      </w:r>
      <w:r w:rsidRPr="006C2ECF">
        <w:t xml:space="preserve"> in </w:t>
      </w:r>
      <w:r w:rsidR="007F2089">
        <w:t>Y</w:t>
      </w:r>
      <w:r w:rsidRPr="006C2ECF">
        <w:t xml:space="preserve">ear </w:t>
      </w:r>
      <w:r w:rsidR="007F2089">
        <w:t>6</w:t>
      </w:r>
      <w:r w:rsidRPr="006C2ECF">
        <w:t xml:space="preserve">, and a total of </w:t>
      </w:r>
      <w:r w:rsidR="00915935" w:rsidRPr="00915935">
        <w:t>$50 million to &lt; $60 million</w:t>
      </w:r>
      <w:r w:rsidRPr="006C2ECF">
        <w:t xml:space="preserve"> in the first </w:t>
      </w:r>
      <w:r w:rsidR="00640BC0">
        <w:t>6</w:t>
      </w:r>
      <w:r w:rsidRPr="006C2ECF">
        <w:t xml:space="preserve"> years of listing.</w:t>
      </w:r>
      <w:bookmarkEnd w:id="101"/>
      <w:r w:rsidR="00416F6A">
        <w:t xml:space="preserve"> </w:t>
      </w:r>
    </w:p>
    <w:p w14:paraId="2A2CA3F2" w14:textId="4D6CF8D5" w:rsidR="00E46A29" w:rsidRPr="000E5B3A" w:rsidRDefault="00E46A29" w:rsidP="00E46A29">
      <w:pPr>
        <w:pStyle w:val="Caption"/>
      </w:pPr>
      <w:bookmarkStart w:id="102" w:name="_Ref215558663"/>
      <w:r w:rsidRPr="000E5B3A">
        <w:t xml:space="preserve">Table </w:t>
      </w:r>
      <w:fldSimple w:instr=" SEQ Table \* ARABIC ">
        <w:r w:rsidR="00DB6E72">
          <w:rPr>
            <w:noProof/>
          </w:rPr>
          <w:t>18</w:t>
        </w:r>
      </w:fldSimple>
      <w:bookmarkEnd w:id="102"/>
      <w:r w:rsidRPr="000E5B3A">
        <w:t xml:space="preserve"> Pre-PBAC Revised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Pre-PBAC Revised financial estimates"/>
      </w:tblPr>
      <w:tblGrid>
        <w:gridCol w:w="2688"/>
        <w:gridCol w:w="985"/>
        <w:gridCol w:w="1066"/>
        <w:gridCol w:w="1067"/>
        <w:gridCol w:w="1066"/>
        <w:gridCol w:w="1066"/>
        <w:gridCol w:w="1078"/>
      </w:tblGrid>
      <w:tr w:rsidR="00B4588D" w:rsidRPr="000E5B3A" w14:paraId="66FCF2AD" w14:textId="77777777" w:rsidTr="00416F6A">
        <w:trPr>
          <w:trHeight w:val="255"/>
        </w:trPr>
        <w:tc>
          <w:tcPr>
            <w:tcW w:w="1491" w:type="pct"/>
            <w:vAlign w:val="center"/>
            <w:hideMark/>
          </w:tcPr>
          <w:p w14:paraId="34C32CB7" w14:textId="77777777" w:rsidR="00B4588D" w:rsidRPr="000E5B3A" w:rsidRDefault="00B4588D" w:rsidP="00B4588D">
            <w:pPr>
              <w:pStyle w:val="Tabletext"/>
            </w:pPr>
            <w:r w:rsidRPr="000E5B3A">
              <w:t> </w:t>
            </w:r>
          </w:p>
        </w:tc>
        <w:tc>
          <w:tcPr>
            <w:tcW w:w="546" w:type="pct"/>
            <w:vAlign w:val="center"/>
            <w:hideMark/>
          </w:tcPr>
          <w:p w14:paraId="3E973AD4" w14:textId="77777777" w:rsidR="00B4588D" w:rsidRPr="000E5B3A" w:rsidRDefault="00B4588D" w:rsidP="00B4588D">
            <w:pPr>
              <w:pStyle w:val="Tabletext"/>
            </w:pPr>
            <w:r w:rsidRPr="000E5B3A">
              <w:t>2026</w:t>
            </w:r>
          </w:p>
        </w:tc>
        <w:tc>
          <w:tcPr>
            <w:tcW w:w="591" w:type="pct"/>
            <w:vAlign w:val="center"/>
            <w:hideMark/>
          </w:tcPr>
          <w:p w14:paraId="4AB8A265" w14:textId="77777777" w:rsidR="00B4588D" w:rsidRPr="000E5B3A" w:rsidRDefault="00B4588D" w:rsidP="00B4588D">
            <w:pPr>
              <w:pStyle w:val="Tabletext"/>
            </w:pPr>
            <w:r w:rsidRPr="000E5B3A">
              <w:t>2027</w:t>
            </w:r>
          </w:p>
        </w:tc>
        <w:tc>
          <w:tcPr>
            <w:tcW w:w="592" w:type="pct"/>
            <w:vAlign w:val="center"/>
            <w:hideMark/>
          </w:tcPr>
          <w:p w14:paraId="283ACC31" w14:textId="77777777" w:rsidR="00B4588D" w:rsidRPr="000E5B3A" w:rsidRDefault="00B4588D" w:rsidP="00B4588D">
            <w:pPr>
              <w:pStyle w:val="Tabletext"/>
            </w:pPr>
            <w:r w:rsidRPr="000E5B3A">
              <w:t>2028</w:t>
            </w:r>
          </w:p>
        </w:tc>
        <w:tc>
          <w:tcPr>
            <w:tcW w:w="591" w:type="pct"/>
            <w:vAlign w:val="center"/>
            <w:hideMark/>
          </w:tcPr>
          <w:p w14:paraId="72B842EC" w14:textId="77777777" w:rsidR="00B4588D" w:rsidRPr="000E5B3A" w:rsidRDefault="00B4588D" w:rsidP="00B4588D">
            <w:pPr>
              <w:pStyle w:val="Tabletext"/>
            </w:pPr>
            <w:r w:rsidRPr="000E5B3A">
              <w:t>2029</w:t>
            </w:r>
          </w:p>
        </w:tc>
        <w:tc>
          <w:tcPr>
            <w:tcW w:w="591" w:type="pct"/>
            <w:vAlign w:val="center"/>
            <w:hideMark/>
          </w:tcPr>
          <w:p w14:paraId="21EC50BF" w14:textId="77777777" w:rsidR="00B4588D" w:rsidRPr="000E5B3A" w:rsidRDefault="00B4588D" w:rsidP="00B4588D">
            <w:pPr>
              <w:pStyle w:val="Tabletext"/>
            </w:pPr>
            <w:r w:rsidRPr="000E5B3A">
              <w:t>2030</w:t>
            </w:r>
          </w:p>
        </w:tc>
        <w:tc>
          <w:tcPr>
            <w:tcW w:w="598" w:type="pct"/>
            <w:vAlign w:val="center"/>
            <w:hideMark/>
          </w:tcPr>
          <w:p w14:paraId="01E2705B" w14:textId="77777777" w:rsidR="00B4588D" w:rsidRPr="000E5B3A" w:rsidRDefault="00B4588D" w:rsidP="00B4588D">
            <w:pPr>
              <w:pStyle w:val="Tabletext"/>
            </w:pPr>
            <w:r w:rsidRPr="000E5B3A">
              <w:t>2031</w:t>
            </w:r>
          </w:p>
        </w:tc>
      </w:tr>
      <w:tr w:rsidR="00B4588D" w:rsidRPr="000E5B3A" w14:paraId="66A54D6A" w14:textId="77777777" w:rsidTr="00416F6A">
        <w:trPr>
          <w:trHeight w:val="255"/>
        </w:trPr>
        <w:tc>
          <w:tcPr>
            <w:tcW w:w="5000" w:type="pct"/>
            <w:gridSpan w:val="7"/>
            <w:vAlign w:val="center"/>
            <w:hideMark/>
          </w:tcPr>
          <w:p w14:paraId="10F6C9B8" w14:textId="77777777" w:rsidR="00B4588D" w:rsidRPr="000E5B3A" w:rsidRDefault="00B4588D" w:rsidP="00B4588D">
            <w:pPr>
              <w:pStyle w:val="Tabletext"/>
            </w:pPr>
            <w:r w:rsidRPr="000E5B3A">
              <w:t>Estimated extent of use</w:t>
            </w:r>
          </w:p>
        </w:tc>
      </w:tr>
      <w:tr w:rsidR="00B4588D" w:rsidRPr="000E5B3A" w14:paraId="71E42247" w14:textId="77777777" w:rsidTr="00416F6A">
        <w:trPr>
          <w:trHeight w:val="255"/>
        </w:trPr>
        <w:tc>
          <w:tcPr>
            <w:tcW w:w="1491" w:type="pct"/>
            <w:vAlign w:val="center"/>
            <w:hideMark/>
          </w:tcPr>
          <w:p w14:paraId="6E97D6D6" w14:textId="77777777" w:rsidR="00B4588D" w:rsidRPr="000E5B3A" w:rsidRDefault="00B4588D" w:rsidP="00B4588D">
            <w:pPr>
              <w:pStyle w:val="Tabletext"/>
            </w:pPr>
            <w:r w:rsidRPr="000E5B3A">
              <w:t>Total patients eligible</w:t>
            </w:r>
          </w:p>
        </w:tc>
        <w:tc>
          <w:tcPr>
            <w:tcW w:w="546" w:type="pct"/>
            <w:vAlign w:val="center"/>
            <w:hideMark/>
          </w:tcPr>
          <w:p w14:paraId="5219CF32" w14:textId="43AD881A"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432E89F4" w14:textId="2437B851"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2" w:type="pct"/>
            <w:vAlign w:val="center"/>
            <w:hideMark/>
          </w:tcPr>
          <w:p w14:paraId="6B6F38D8" w14:textId="7EDE1696" w:rsidR="00B4588D" w:rsidRPr="00583EB2" w:rsidRDefault="009951A2" w:rsidP="00B4588D">
            <w:pPr>
              <w:pStyle w:val="Tabletext"/>
              <w:rPr>
                <w:highlight w:val="darkGray"/>
                <w:vertAlign w:val="superscript"/>
              </w:rPr>
            </w:pPr>
            <w:r w:rsidRPr="009951A2">
              <w:rPr>
                <w:highlight w:val="black"/>
              </w:rPr>
              <w:t>&amp;&amp;&amp;&amp;</w:t>
            </w:r>
          </w:p>
        </w:tc>
        <w:tc>
          <w:tcPr>
            <w:tcW w:w="591" w:type="pct"/>
            <w:vAlign w:val="center"/>
            <w:hideMark/>
          </w:tcPr>
          <w:p w14:paraId="24E4A331" w14:textId="350C75B5"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725557DA" w14:textId="0CBC3FE7"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8" w:type="pct"/>
            <w:vAlign w:val="center"/>
            <w:hideMark/>
          </w:tcPr>
          <w:p w14:paraId="4F184A38" w14:textId="7BD101CD"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r>
      <w:tr w:rsidR="00B4588D" w:rsidRPr="000E5B3A" w14:paraId="0D602D0C" w14:textId="77777777" w:rsidTr="00416F6A">
        <w:trPr>
          <w:trHeight w:val="255"/>
        </w:trPr>
        <w:tc>
          <w:tcPr>
            <w:tcW w:w="1491" w:type="pct"/>
            <w:vAlign w:val="center"/>
            <w:hideMark/>
          </w:tcPr>
          <w:p w14:paraId="5803F920" w14:textId="5815CF31" w:rsidR="00B4588D" w:rsidRPr="000E5B3A" w:rsidRDefault="00B4588D" w:rsidP="00B4588D">
            <w:pPr>
              <w:pStyle w:val="Tabletext"/>
            </w:pPr>
            <w:r w:rsidRPr="000E5B3A">
              <w:t>Total number of patients treated</w:t>
            </w:r>
            <w:r w:rsidRPr="000E5B3A">
              <w:rPr>
                <w:vertAlign w:val="superscript"/>
              </w:rPr>
              <w:t>a</w:t>
            </w:r>
            <w:r w:rsidR="00AC219F">
              <w:rPr>
                <w:vertAlign w:val="superscript"/>
              </w:rPr>
              <w:t>,c</w:t>
            </w:r>
          </w:p>
        </w:tc>
        <w:tc>
          <w:tcPr>
            <w:tcW w:w="546" w:type="pct"/>
            <w:vAlign w:val="center"/>
            <w:hideMark/>
          </w:tcPr>
          <w:p w14:paraId="2B7919DE" w14:textId="3A354AC6"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5FE219EF" w14:textId="06FF8E58"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2" w:type="pct"/>
            <w:vAlign w:val="center"/>
            <w:hideMark/>
          </w:tcPr>
          <w:p w14:paraId="0009E030" w14:textId="6583554D"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15EA364E" w14:textId="2BF9934A"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55320FE6" w14:textId="734A04A8"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8" w:type="pct"/>
            <w:vAlign w:val="center"/>
            <w:hideMark/>
          </w:tcPr>
          <w:p w14:paraId="7C98CF93" w14:textId="4623EA08"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r>
      <w:tr w:rsidR="00B4588D" w:rsidRPr="000E5B3A" w14:paraId="0A5C0817" w14:textId="77777777" w:rsidTr="00416F6A">
        <w:trPr>
          <w:trHeight w:val="255"/>
        </w:trPr>
        <w:tc>
          <w:tcPr>
            <w:tcW w:w="1491" w:type="pct"/>
            <w:vAlign w:val="center"/>
            <w:hideMark/>
          </w:tcPr>
          <w:p w14:paraId="3DACD58A" w14:textId="1B99450E" w:rsidR="00B4588D" w:rsidRPr="000E5B3A" w:rsidRDefault="00B4588D" w:rsidP="00B4588D">
            <w:pPr>
              <w:pStyle w:val="Tabletext"/>
            </w:pPr>
            <w:r w:rsidRPr="000E5B3A">
              <w:t>Number of scripts dispensed</w:t>
            </w:r>
            <w:r w:rsidRPr="000E5B3A">
              <w:rPr>
                <w:vertAlign w:val="superscript"/>
              </w:rPr>
              <w:t>b</w:t>
            </w:r>
          </w:p>
        </w:tc>
        <w:tc>
          <w:tcPr>
            <w:tcW w:w="546" w:type="pct"/>
            <w:vAlign w:val="center"/>
            <w:hideMark/>
          </w:tcPr>
          <w:p w14:paraId="2A88E11B" w14:textId="2F121D4E"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1" w:type="pct"/>
            <w:vAlign w:val="center"/>
            <w:hideMark/>
          </w:tcPr>
          <w:p w14:paraId="603097B5" w14:textId="0C0D9A33"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2" w:type="pct"/>
            <w:vAlign w:val="center"/>
            <w:hideMark/>
          </w:tcPr>
          <w:p w14:paraId="4338DEDC" w14:textId="5F118C53"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1" w:type="pct"/>
            <w:vAlign w:val="center"/>
            <w:hideMark/>
          </w:tcPr>
          <w:p w14:paraId="77CA6B2B" w14:textId="44D0B694"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1" w:type="pct"/>
            <w:vAlign w:val="center"/>
            <w:hideMark/>
          </w:tcPr>
          <w:p w14:paraId="2B7E5B3D" w14:textId="1061314A"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8" w:type="pct"/>
            <w:vAlign w:val="center"/>
            <w:hideMark/>
          </w:tcPr>
          <w:p w14:paraId="297F0E80" w14:textId="265FDFCC" w:rsidR="00B4588D" w:rsidRPr="00583EB2" w:rsidRDefault="009951A2" w:rsidP="00B4588D">
            <w:pPr>
              <w:pStyle w:val="Tabletext"/>
              <w:rPr>
                <w:highlight w:val="darkGray"/>
                <w:vertAlign w:val="superscript"/>
              </w:rPr>
            </w:pPr>
            <w:r w:rsidRPr="009951A2">
              <w:rPr>
                <w:highlight w:val="black"/>
              </w:rPr>
              <w:t>&amp;&amp;&amp;&amp;</w:t>
            </w:r>
            <w:r w:rsidR="00583EB2" w:rsidRPr="00583EB2">
              <w:rPr>
                <w:vertAlign w:val="superscript"/>
              </w:rPr>
              <w:t>2</w:t>
            </w:r>
          </w:p>
        </w:tc>
      </w:tr>
      <w:tr w:rsidR="00B4588D" w:rsidRPr="000E5B3A" w14:paraId="7D0BA72E" w14:textId="77777777" w:rsidTr="00416F6A">
        <w:trPr>
          <w:trHeight w:val="255"/>
        </w:trPr>
        <w:tc>
          <w:tcPr>
            <w:tcW w:w="1491" w:type="pct"/>
            <w:vAlign w:val="center"/>
            <w:hideMark/>
          </w:tcPr>
          <w:p w14:paraId="07AF07B1" w14:textId="77777777" w:rsidR="00B4588D" w:rsidRPr="000E5B3A" w:rsidRDefault="00B4588D" w:rsidP="00B4588D">
            <w:pPr>
              <w:pStyle w:val="Tabletext"/>
            </w:pPr>
            <w:r w:rsidRPr="000E5B3A">
              <w:t>Net cost to PBS/RPBS</w:t>
            </w:r>
          </w:p>
        </w:tc>
        <w:tc>
          <w:tcPr>
            <w:tcW w:w="546" w:type="pct"/>
            <w:vAlign w:val="center"/>
            <w:hideMark/>
          </w:tcPr>
          <w:p w14:paraId="60C6C0A7" w14:textId="3047711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43D9BF14" w14:textId="252A5B66"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2" w:type="pct"/>
            <w:vAlign w:val="center"/>
            <w:hideMark/>
          </w:tcPr>
          <w:p w14:paraId="13843823" w14:textId="769C95A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526A5055" w14:textId="56E1A1F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5398C0DE" w14:textId="28664B17"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c>
          <w:tcPr>
            <w:tcW w:w="598" w:type="pct"/>
            <w:vAlign w:val="center"/>
            <w:hideMark/>
          </w:tcPr>
          <w:p w14:paraId="262BE562" w14:textId="0CFADA38"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r>
      <w:tr w:rsidR="00B4588D" w:rsidRPr="000E5B3A" w14:paraId="7DD84B78" w14:textId="77777777" w:rsidTr="00416F6A">
        <w:trPr>
          <w:trHeight w:val="255"/>
        </w:trPr>
        <w:tc>
          <w:tcPr>
            <w:tcW w:w="1491" w:type="pct"/>
            <w:vAlign w:val="center"/>
            <w:hideMark/>
          </w:tcPr>
          <w:p w14:paraId="431993F6" w14:textId="77777777" w:rsidR="00B4588D" w:rsidRPr="000E5B3A" w:rsidRDefault="00B4588D" w:rsidP="00B4588D">
            <w:pPr>
              <w:pStyle w:val="Tabletext"/>
            </w:pPr>
            <w:r w:rsidRPr="000E5B3A">
              <w:t>Net cost to MBS</w:t>
            </w:r>
          </w:p>
        </w:tc>
        <w:tc>
          <w:tcPr>
            <w:tcW w:w="546" w:type="pct"/>
            <w:vAlign w:val="center"/>
            <w:hideMark/>
          </w:tcPr>
          <w:p w14:paraId="474E0EC5" w14:textId="1FB6317A"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18998392" w14:textId="08C22AF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2" w:type="pct"/>
            <w:vAlign w:val="center"/>
            <w:hideMark/>
          </w:tcPr>
          <w:p w14:paraId="54593002" w14:textId="42D01B16"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7C93B0DD" w14:textId="15AE0C1A"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48F4FCF4" w14:textId="62A92C9B"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8" w:type="pct"/>
            <w:vAlign w:val="center"/>
            <w:hideMark/>
          </w:tcPr>
          <w:p w14:paraId="7999016A" w14:textId="06D6610B" w:rsidR="00B4588D" w:rsidRPr="00583EB2" w:rsidRDefault="00B4588D" w:rsidP="00B4588D">
            <w:pPr>
              <w:pStyle w:val="Tabletext"/>
              <w:rPr>
                <w:szCs w:val="20"/>
                <w:highlight w:val="darkGray"/>
                <w:vertAlign w:val="superscript"/>
              </w:rPr>
            </w:pPr>
            <w:r w:rsidRPr="00416F6A">
              <w:rPr>
                <w:rFonts w:cs="Arial"/>
                <w:color w:val="000000"/>
                <w:szCs w:val="20"/>
              </w:rPr>
              <w:t>$</w:t>
            </w:r>
            <w:r w:rsidR="009951A2" w:rsidRPr="009951A2">
              <w:rPr>
                <w:rFonts w:cs="Arial"/>
                <w:color w:val="000000"/>
                <w:szCs w:val="20"/>
                <w:highlight w:val="black"/>
              </w:rPr>
              <w:t>&amp;&amp;&amp;&amp;</w:t>
            </w:r>
            <w:r w:rsidR="00583EB2" w:rsidRPr="00583EB2">
              <w:rPr>
                <w:rFonts w:cs="Arial"/>
                <w:color w:val="000000"/>
                <w:szCs w:val="20"/>
                <w:vertAlign w:val="superscript"/>
              </w:rPr>
              <w:t>3</w:t>
            </w:r>
          </w:p>
        </w:tc>
      </w:tr>
      <w:tr w:rsidR="00B4588D" w:rsidRPr="000E5B3A" w14:paraId="6D865734" w14:textId="77777777" w:rsidTr="00416F6A">
        <w:trPr>
          <w:trHeight w:val="255"/>
        </w:trPr>
        <w:tc>
          <w:tcPr>
            <w:tcW w:w="1491" w:type="pct"/>
            <w:vAlign w:val="center"/>
            <w:hideMark/>
          </w:tcPr>
          <w:p w14:paraId="6DD4467B" w14:textId="3997D356" w:rsidR="00B4588D" w:rsidRPr="000E5B3A" w:rsidRDefault="00B4588D" w:rsidP="00B4588D">
            <w:pPr>
              <w:pStyle w:val="Tabletext"/>
            </w:pPr>
            <w:r w:rsidRPr="000E5B3A">
              <w:t xml:space="preserve">Net cost to </w:t>
            </w:r>
            <w:r w:rsidR="00E40DE5">
              <w:t>PBS/RPBS/MBS</w:t>
            </w:r>
          </w:p>
        </w:tc>
        <w:tc>
          <w:tcPr>
            <w:tcW w:w="546" w:type="pct"/>
            <w:vAlign w:val="center"/>
            <w:hideMark/>
          </w:tcPr>
          <w:p w14:paraId="03A0E1AF" w14:textId="14046B6D"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4DFEB9EF" w14:textId="1271BDB3"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2" w:type="pct"/>
            <w:vAlign w:val="center"/>
            <w:hideMark/>
          </w:tcPr>
          <w:p w14:paraId="402FEAFA" w14:textId="4E83AA88"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09565AE8" w14:textId="17D548A5"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c>
          <w:tcPr>
            <w:tcW w:w="591" w:type="pct"/>
            <w:vAlign w:val="center"/>
            <w:hideMark/>
          </w:tcPr>
          <w:p w14:paraId="50EA20D7" w14:textId="6A69FC93"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c>
          <w:tcPr>
            <w:tcW w:w="598" w:type="pct"/>
            <w:vAlign w:val="center"/>
            <w:hideMark/>
          </w:tcPr>
          <w:p w14:paraId="40FAB88A" w14:textId="794FFCCE"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r>
    </w:tbl>
    <w:p w14:paraId="5A8F1C6F" w14:textId="77777777" w:rsidR="00B076CB" w:rsidRPr="000E5B3A" w:rsidRDefault="00B4588D" w:rsidP="00B076CB">
      <w:pPr>
        <w:pStyle w:val="TableFigureFooter"/>
      </w:pPr>
      <w:r w:rsidRPr="000E5B3A">
        <w:t xml:space="preserve">Source: </w:t>
      </w:r>
      <w:r w:rsidR="00E46A29" w:rsidRPr="000E5B3A">
        <w:t xml:space="preserve">Pre-PBAC </w:t>
      </w:r>
      <w:r w:rsidR="00A749C4" w:rsidRPr="000E5B3A">
        <w:t>response (</w:t>
      </w:r>
      <w:r w:rsidR="00B076CB" w:rsidRPr="000E5B3A">
        <w:t>from revised financial workbook)</w:t>
      </w:r>
    </w:p>
    <w:p w14:paraId="513C74B0" w14:textId="4ED72608" w:rsidR="007436AA" w:rsidRPr="000E5B3A" w:rsidRDefault="00B4588D" w:rsidP="00B076CB">
      <w:pPr>
        <w:pStyle w:val="TableFigureFooter"/>
      </w:pPr>
      <w:r w:rsidRPr="000E5B3A">
        <w:rPr>
          <w:vertAlign w:val="superscript"/>
        </w:rPr>
        <w:t>a</w:t>
      </w:r>
      <w:r w:rsidRPr="000E5B3A">
        <w:t xml:space="preserve"> Assumed </w:t>
      </w:r>
      <w:r w:rsidR="009951A2" w:rsidRPr="009951A2">
        <w:rPr>
          <w:highlight w:val="black"/>
        </w:rPr>
        <w:t>&amp;&amp;&amp;&amp;</w:t>
      </w:r>
      <w:r w:rsidRPr="000E5B3A">
        <w:t xml:space="preserve">% uptake rate. </w:t>
      </w:r>
    </w:p>
    <w:p w14:paraId="355489D3" w14:textId="66832C04" w:rsidR="00AF6FB2" w:rsidRDefault="00B4588D" w:rsidP="00246A65">
      <w:pPr>
        <w:pStyle w:val="TableFigureFooter"/>
        <w:spacing w:after="0"/>
      </w:pPr>
      <w:r w:rsidRPr="000E5B3A">
        <w:rPr>
          <w:vertAlign w:val="superscript"/>
        </w:rPr>
        <w:t>b</w:t>
      </w:r>
      <w:r w:rsidRPr="000E5B3A">
        <w:t xml:space="preserve"> Assuming 9 scripts per patient as estimated by the submission.</w:t>
      </w:r>
    </w:p>
    <w:p w14:paraId="04EB61F9" w14:textId="77777777" w:rsidR="007E2D29" w:rsidRDefault="000070AA" w:rsidP="007E2D29">
      <w:pPr>
        <w:pStyle w:val="TableFigureFooter"/>
        <w:rPr>
          <w:i/>
        </w:rPr>
      </w:pPr>
      <w:r w:rsidRPr="00246A65">
        <w:rPr>
          <w:vertAlign w:val="superscript"/>
        </w:rPr>
        <w:t>c</w:t>
      </w:r>
      <w:r w:rsidRPr="00246A65">
        <w:t xml:space="preserve"> </w:t>
      </w:r>
      <w:r w:rsidR="00246A65" w:rsidRPr="00246A65">
        <w:t>The pre-PBAC response used updated AIHW data from the Cancer data in Australia, Data - Australian Institute of Health and Welfare AIHW data tables CDIA 202</w:t>
      </w:r>
      <w:r w:rsidR="00246A65">
        <w:t>5</w:t>
      </w:r>
      <w:r w:rsidR="00246A65" w:rsidRPr="00246A65">
        <w:t>: Book 1e.</w:t>
      </w:r>
    </w:p>
    <w:p w14:paraId="40598F3E" w14:textId="65944A18" w:rsidR="007E2D29" w:rsidRPr="00620E18" w:rsidRDefault="007E2D29" w:rsidP="007E2D29">
      <w:pPr>
        <w:pStyle w:val="TableFigureFooter"/>
        <w:rPr>
          <w:i/>
        </w:rPr>
      </w:pPr>
      <w:r w:rsidRPr="00620E18">
        <w:rPr>
          <w:i/>
        </w:rPr>
        <w:t xml:space="preserve">The redacted values correspond to the following ranges: </w:t>
      </w:r>
    </w:p>
    <w:p w14:paraId="46D9175D" w14:textId="77777777" w:rsidR="007E2D29" w:rsidRPr="00620E18" w:rsidRDefault="007E2D29" w:rsidP="007E2D29">
      <w:pPr>
        <w:pStyle w:val="TableFigureFooter"/>
        <w:rPr>
          <w:i/>
        </w:rPr>
      </w:pPr>
      <w:r w:rsidRPr="00620E18">
        <w:rPr>
          <w:i/>
          <w:vertAlign w:val="superscript"/>
        </w:rPr>
        <w:t>1</w:t>
      </w:r>
      <w:r w:rsidRPr="00620E18">
        <w:rPr>
          <w:i/>
        </w:rPr>
        <w:t xml:space="preserve"> </w:t>
      </w:r>
      <w:r w:rsidRPr="007A4D68">
        <w:rPr>
          <w:i/>
        </w:rPr>
        <w:t>&lt; 500</w:t>
      </w:r>
    </w:p>
    <w:p w14:paraId="11621C76" w14:textId="77777777" w:rsidR="007E2D29" w:rsidRPr="00620E18" w:rsidRDefault="007E2D29" w:rsidP="007E2D29">
      <w:pPr>
        <w:pStyle w:val="TableFigureFooter"/>
        <w:rPr>
          <w:i/>
        </w:rPr>
      </w:pPr>
      <w:r w:rsidRPr="00620E18">
        <w:rPr>
          <w:i/>
          <w:vertAlign w:val="superscript"/>
        </w:rPr>
        <w:t>2</w:t>
      </w:r>
      <w:r w:rsidRPr="00620E18">
        <w:rPr>
          <w:i/>
        </w:rPr>
        <w:t xml:space="preserve"> </w:t>
      </w:r>
      <w:r w:rsidRPr="00D24281">
        <w:rPr>
          <w:i/>
        </w:rPr>
        <w:t>500 to &lt; 5,000</w:t>
      </w:r>
    </w:p>
    <w:p w14:paraId="7BEA8DE4" w14:textId="77777777" w:rsidR="007E2D29" w:rsidRPr="00620E18" w:rsidRDefault="007E2D29" w:rsidP="007E2D29">
      <w:pPr>
        <w:pStyle w:val="TableFigureFooter"/>
        <w:rPr>
          <w:i/>
        </w:rPr>
      </w:pPr>
      <w:r w:rsidRPr="00620E18">
        <w:rPr>
          <w:i/>
          <w:vertAlign w:val="superscript"/>
        </w:rPr>
        <w:t>3</w:t>
      </w:r>
      <w:r w:rsidRPr="00620E18">
        <w:rPr>
          <w:i/>
        </w:rPr>
        <w:t xml:space="preserve"> </w:t>
      </w:r>
      <w:r w:rsidRPr="00DA6262">
        <w:rPr>
          <w:i/>
        </w:rPr>
        <w:t>$0 to &lt; $10 million</w:t>
      </w:r>
    </w:p>
    <w:p w14:paraId="7052586A" w14:textId="77777777" w:rsidR="007E2D29" w:rsidRPr="00620E18" w:rsidRDefault="007E2D29" w:rsidP="007E2D29">
      <w:pPr>
        <w:pStyle w:val="TableFigureFooter"/>
        <w:rPr>
          <w:i/>
        </w:rPr>
      </w:pPr>
      <w:r w:rsidRPr="00620E18">
        <w:rPr>
          <w:i/>
          <w:vertAlign w:val="superscript"/>
        </w:rPr>
        <w:t>4</w:t>
      </w:r>
      <w:r w:rsidRPr="00620E18">
        <w:rPr>
          <w:i/>
        </w:rPr>
        <w:t xml:space="preserve"> </w:t>
      </w:r>
      <w:r w:rsidRPr="009F049A">
        <w:rPr>
          <w:i/>
        </w:rPr>
        <w:t>$10 million to &lt; $20 million</w:t>
      </w:r>
    </w:p>
    <w:p w14:paraId="37566984" w14:textId="2216CCA0" w:rsidR="000070AA" w:rsidRPr="00246A65" w:rsidRDefault="000070AA" w:rsidP="00246A65">
      <w:pPr>
        <w:pStyle w:val="3-BodyText"/>
        <w:numPr>
          <w:ilvl w:val="0"/>
          <w:numId w:val="0"/>
        </w:numPr>
        <w:spacing w:before="0"/>
        <w:ind w:left="142" w:hanging="142"/>
        <w:rPr>
          <w:rFonts w:ascii="Arial Narrow" w:eastAsia="Times New Roman" w:hAnsi="Arial Narrow" w:cs="Arial"/>
          <w:snapToGrid w:val="0"/>
          <w:sz w:val="18"/>
        </w:rPr>
      </w:pPr>
    </w:p>
    <w:p w14:paraId="1F3F049B" w14:textId="77777777" w:rsidR="009D7232" w:rsidRPr="000E5B3A" w:rsidRDefault="009D7232" w:rsidP="009D7232">
      <w:pPr>
        <w:pStyle w:val="3-BodyText"/>
        <w:numPr>
          <w:ilvl w:val="0"/>
          <w:numId w:val="0"/>
        </w:numPr>
        <w:ind w:left="720" w:hanging="720"/>
      </w:pPr>
    </w:p>
    <w:p w14:paraId="6015A395" w14:textId="4916593C" w:rsidR="00576972" w:rsidRPr="000E5B3A" w:rsidRDefault="00576972" w:rsidP="00606FBA">
      <w:pPr>
        <w:pStyle w:val="4-SubsectionHeading"/>
      </w:pPr>
      <w:r w:rsidRPr="000E5B3A">
        <w:lastRenderedPageBreak/>
        <w:t>Financial Management – Risk Sharing Arrangements</w:t>
      </w:r>
      <w:bookmarkEnd w:id="92"/>
      <w:bookmarkEnd w:id="93"/>
    </w:p>
    <w:p w14:paraId="395E7C1A" w14:textId="1B543ED5" w:rsidR="00995334" w:rsidRPr="000E5B3A" w:rsidRDefault="00995334" w:rsidP="00834B9F">
      <w:pPr>
        <w:pStyle w:val="3-BodyText"/>
      </w:pPr>
      <w:r w:rsidRPr="000E5B3A">
        <w:t xml:space="preserve">The submission claimed that as the proposed restriction criteria for retifanlimab for the treatment of SCAC is well defined, </w:t>
      </w:r>
      <w:r w:rsidR="004B0F35" w:rsidRPr="000E5B3A">
        <w:t xml:space="preserve">this </w:t>
      </w:r>
      <w:r w:rsidRPr="000E5B3A">
        <w:t xml:space="preserve">will help to ensure only suitable patients are treated and will cap the duration of treatment with retifanlimab, mitigating leakage and providing greater certainty in terms of the financial impact of listing retifanlimab for SCAC. Consequently, the submission claimed that a Risk Sharing Arrangement </w:t>
      </w:r>
      <w:r w:rsidR="006F7B73">
        <w:t>wa</w:t>
      </w:r>
      <w:r w:rsidR="006F7B73" w:rsidRPr="000E5B3A">
        <w:t xml:space="preserve">s </w:t>
      </w:r>
      <w:r w:rsidRPr="000E5B3A">
        <w:t>not required for retifanlimab in this setting.</w:t>
      </w:r>
      <w:r w:rsidR="00D961AD" w:rsidRPr="000E5B3A">
        <w:t xml:space="preserve"> </w:t>
      </w:r>
      <w:r w:rsidR="00724584" w:rsidRPr="000E5B3A">
        <w:t>The evaluation considered that w</w:t>
      </w:r>
      <w:r w:rsidR="00D961AD" w:rsidRPr="000E5B3A">
        <w:t>hile the proposed restriction would allow use of retifanlimab initiated in combination with CP</w:t>
      </w:r>
      <w:r w:rsidR="00724584" w:rsidRPr="000E5B3A">
        <w:t>,</w:t>
      </w:r>
      <w:r w:rsidR="00D961AD" w:rsidRPr="000E5B3A">
        <w:t xml:space="preserve"> there is a potential risk of retifanlimab being used as monotherapy</w:t>
      </w:r>
      <w:r w:rsidR="00C53351">
        <w:t xml:space="preserve"> in the </w:t>
      </w:r>
      <w:r w:rsidR="002B15F0">
        <w:t>2L</w:t>
      </w:r>
      <w:r w:rsidR="00C53351">
        <w:t xml:space="preserve"> setting</w:t>
      </w:r>
      <w:r w:rsidR="00D961AD" w:rsidRPr="000E5B3A">
        <w:t>.</w:t>
      </w:r>
    </w:p>
    <w:p w14:paraId="1FD60915" w14:textId="6B265639" w:rsidR="002A477F" w:rsidRPr="000E5B3A" w:rsidRDefault="0088470F" w:rsidP="007F2089">
      <w:pPr>
        <w:pStyle w:val="3-BodyText"/>
        <w:keepNext/>
        <w:keepLines/>
      </w:pPr>
      <w:r w:rsidRPr="000E5B3A">
        <w:t xml:space="preserve">DUSC </w:t>
      </w:r>
      <w:r w:rsidR="003B1D42">
        <w:t>consider</w:t>
      </w:r>
      <w:r w:rsidRPr="000E5B3A">
        <w:t>ed that there would likely be limited extent of usage beyond the requested restriction.</w:t>
      </w:r>
    </w:p>
    <w:p w14:paraId="6761A1B3" w14:textId="77777777" w:rsidR="00A97432" w:rsidRPr="000E5B3A" w:rsidRDefault="00A97432" w:rsidP="007F2089">
      <w:pPr>
        <w:keepNext/>
        <w:keepLines/>
      </w:pPr>
    </w:p>
    <w:p w14:paraId="5969DA24" w14:textId="2A81C588" w:rsidR="00D85679" w:rsidRPr="000E5B3A" w:rsidRDefault="00765C1E" w:rsidP="00AC3CE8">
      <w:pPr>
        <w:keepNext/>
        <w:keepLines/>
        <w:ind w:firstLine="709"/>
      </w:pPr>
      <w:r w:rsidRPr="000E5B3A">
        <w:rPr>
          <w:rFonts w:asciiTheme="minorHAnsi" w:hAnsiTheme="minorHAnsi"/>
          <w:i/>
        </w:rPr>
        <w:t>For more detail on PBAC’s view, see section 7 PBAC outcome.</w:t>
      </w:r>
    </w:p>
    <w:p w14:paraId="7C807BE6" w14:textId="77777777" w:rsidR="00D1633A" w:rsidRPr="000E5B3A" w:rsidRDefault="00D1633A" w:rsidP="00D1633A">
      <w:pPr>
        <w:pStyle w:val="2-SectionHeading"/>
        <w:numPr>
          <w:ilvl w:val="0"/>
          <w:numId w:val="1"/>
        </w:numPr>
      </w:pPr>
      <w:bookmarkStart w:id="103" w:name="_Hlk76381249"/>
      <w:bookmarkStart w:id="104" w:name="_Hlk76377955"/>
      <w:r w:rsidRPr="000E5B3A">
        <w:t>PBAC Outcome</w:t>
      </w:r>
    </w:p>
    <w:p w14:paraId="3EF30C33" w14:textId="77CCD858" w:rsidR="00BA6746" w:rsidRPr="000E5B3A" w:rsidRDefault="00D65342">
      <w:pPr>
        <w:widowControl w:val="0"/>
        <w:numPr>
          <w:ilvl w:val="1"/>
          <w:numId w:val="1"/>
        </w:numPr>
        <w:spacing w:after="120"/>
        <w:rPr>
          <w:rFonts w:asciiTheme="minorHAnsi" w:hAnsiTheme="minorHAnsi"/>
          <w:snapToGrid w:val="0"/>
        </w:rPr>
      </w:pPr>
      <w:r w:rsidRPr="000E5B3A">
        <w:rPr>
          <w:rFonts w:asciiTheme="minorHAnsi" w:hAnsiTheme="minorHAnsi"/>
          <w:snapToGrid w:val="0"/>
        </w:rPr>
        <w:t xml:space="preserve">The PBAC deferred making a recommendation for retifanlimab for </w:t>
      </w:r>
      <w:r w:rsidR="00505B54" w:rsidRPr="000E5B3A">
        <w:rPr>
          <w:rFonts w:asciiTheme="minorHAnsi" w:hAnsiTheme="minorHAnsi"/>
          <w:snapToGrid w:val="0"/>
        </w:rPr>
        <w:t xml:space="preserve">the treatment, </w:t>
      </w:r>
      <w:r w:rsidR="001F2184" w:rsidRPr="000E5B3A">
        <w:rPr>
          <w:rFonts w:asciiTheme="minorHAnsi" w:hAnsiTheme="minorHAnsi"/>
          <w:snapToGrid w:val="0"/>
        </w:rPr>
        <w:t>in combination with carboplatin and paclitaxel (CP)</w:t>
      </w:r>
      <w:r w:rsidR="00505B54" w:rsidRPr="000E5B3A">
        <w:rPr>
          <w:rFonts w:asciiTheme="minorHAnsi" w:hAnsiTheme="minorHAnsi"/>
          <w:snapToGrid w:val="0"/>
        </w:rPr>
        <w:t>,</w:t>
      </w:r>
      <w:r w:rsidR="007E7A15">
        <w:rPr>
          <w:rFonts w:asciiTheme="minorHAnsi" w:hAnsiTheme="minorHAnsi"/>
          <w:snapToGrid w:val="0"/>
        </w:rPr>
        <w:t xml:space="preserve"> </w:t>
      </w:r>
      <w:r w:rsidR="001F2184" w:rsidRPr="000E5B3A">
        <w:rPr>
          <w:rFonts w:asciiTheme="minorHAnsi" w:hAnsiTheme="minorHAnsi"/>
          <w:snapToGrid w:val="0"/>
        </w:rPr>
        <w:t>of inoperable locally recurrent or metastatic squamous cell anal carcinoma (SCAC) not previously treated with systemic chemotherapy</w:t>
      </w:r>
      <w:r w:rsidRPr="000E5B3A">
        <w:rPr>
          <w:rFonts w:asciiTheme="minorHAnsi" w:hAnsiTheme="minorHAnsi"/>
          <w:snapToGrid w:val="0"/>
        </w:rPr>
        <w:t xml:space="preserve">. </w:t>
      </w:r>
      <w:r w:rsidR="00B46F1F" w:rsidRPr="000E5B3A">
        <w:rPr>
          <w:rFonts w:asciiTheme="minorHAnsi" w:hAnsiTheme="minorHAnsi"/>
          <w:snapToGrid w:val="0"/>
        </w:rPr>
        <w:t>The PBAC was of a mind to recommend retifanlimab pending the provision of a positive TGA Delegate</w:t>
      </w:r>
      <w:r w:rsidR="004A2E75">
        <w:rPr>
          <w:rFonts w:asciiTheme="minorHAnsi" w:hAnsiTheme="minorHAnsi"/>
          <w:snapToGrid w:val="0"/>
        </w:rPr>
        <w:t>’</w:t>
      </w:r>
      <w:r w:rsidR="00B46F1F" w:rsidRPr="000E5B3A">
        <w:rPr>
          <w:rFonts w:asciiTheme="minorHAnsi" w:hAnsiTheme="minorHAnsi"/>
          <w:snapToGrid w:val="0"/>
        </w:rPr>
        <w:t>s Overview</w:t>
      </w:r>
      <w:r w:rsidR="00B61305" w:rsidRPr="000E5B3A">
        <w:rPr>
          <w:rFonts w:asciiTheme="minorHAnsi" w:hAnsiTheme="minorHAnsi"/>
          <w:snapToGrid w:val="0"/>
        </w:rPr>
        <w:t xml:space="preserve">, based on </w:t>
      </w:r>
      <w:r w:rsidR="0069154D" w:rsidRPr="000E5B3A">
        <w:rPr>
          <w:rFonts w:asciiTheme="minorHAnsi" w:hAnsiTheme="minorHAnsi"/>
          <w:snapToGrid w:val="0"/>
        </w:rPr>
        <w:t>superior efficacy to CP alone</w:t>
      </w:r>
      <w:r w:rsidR="00631FC2" w:rsidRPr="000E5B3A">
        <w:rPr>
          <w:rFonts w:asciiTheme="minorHAnsi" w:hAnsiTheme="minorHAnsi"/>
          <w:snapToGrid w:val="0"/>
        </w:rPr>
        <w:t xml:space="preserve"> as demonstrated in a double blind, randomised controlled trial (RCT)</w:t>
      </w:r>
      <w:r w:rsidR="0069154D" w:rsidRPr="000E5B3A">
        <w:rPr>
          <w:rFonts w:asciiTheme="minorHAnsi" w:hAnsiTheme="minorHAnsi"/>
          <w:snapToGrid w:val="0"/>
        </w:rPr>
        <w:t xml:space="preserve">. The PBAC considered that retifanlimab </w:t>
      </w:r>
      <w:r w:rsidR="00BA6746" w:rsidRPr="000E5B3A">
        <w:rPr>
          <w:rFonts w:asciiTheme="minorHAnsi" w:hAnsiTheme="minorHAnsi"/>
          <w:snapToGrid w:val="0"/>
        </w:rPr>
        <w:t>would be acceptably cost-effective at a price resulting in an</w:t>
      </w:r>
      <w:r w:rsidR="006550CB" w:rsidRPr="000E5B3A">
        <w:rPr>
          <w:rFonts w:asciiTheme="minorHAnsi" w:hAnsiTheme="minorHAnsi"/>
          <w:snapToGrid w:val="0"/>
        </w:rPr>
        <w:t xml:space="preserve"> incremental cost effectiveness ratio</w:t>
      </w:r>
      <w:r w:rsidR="00BA6746" w:rsidRPr="000E5B3A">
        <w:rPr>
          <w:rFonts w:asciiTheme="minorHAnsi" w:hAnsiTheme="minorHAnsi"/>
          <w:snapToGrid w:val="0"/>
        </w:rPr>
        <w:t xml:space="preserve"> </w:t>
      </w:r>
      <w:r w:rsidR="006550CB" w:rsidRPr="000E5B3A">
        <w:rPr>
          <w:rFonts w:asciiTheme="minorHAnsi" w:hAnsiTheme="minorHAnsi"/>
          <w:snapToGrid w:val="0"/>
        </w:rPr>
        <w:t>(</w:t>
      </w:r>
      <w:r w:rsidR="00BA6746" w:rsidRPr="000E5B3A">
        <w:rPr>
          <w:rFonts w:asciiTheme="minorHAnsi" w:hAnsiTheme="minorHAnsi"/>
          <w:snapToGrid w:val="0"/>
        </w:rPr>
        <w:t>ICER</w:t>
      </w:r>
      <w:r w:rsidR="006550CB" w:rsidRPr="000E5B3A">
        <w:rPr>
          <w:rFonts w:asciiTheme="minorHAnsi" w:hAnsiTheme="minorHAnsi"/>
          <w:snapToGrid w:val="0"/>
        </w:rPr>
        <w:t>)</w:t>
      </w:r>
      <w:r w:rsidR="00BA6746" w:rsidRPr="000E5B3A">
        <w:rPr>
          <w:rFonts w:asciiTheme="minorHAnsi" w:hAnsiTheme="minorHAnsi"/>
          <w:snapToGrid w:val="0"/>
        </w:rPr>
        <w:t xml:space="preserve"> </w:t>
      </w:r>
      <w:r w:rsidR="006550CB" w:rsidRPr="000E5B3A">
        <w:rPr>
          <w:rFonts w:asciiTheme="minorHAnsi" w:hAnsiTheme="minorHAnsi"/>
          <w:snapToGrid w:val="0"/>
        </w:rPr>
        <w:t xml:space="preserve">of </w:t>
      </w:r>
      <w:r w:rsidR="00BA6746" w:rsidRPr="000E5B3A">
        <w:rPr>
          <w:rFonts w:asciiTheme="minorHAnsi" w:hAnsiTheme="minorHAnsi"/>
          <w:snapToGrid w:val="0"/>
        </w:rPr>
        <w:t xml:space="preserve">less than </w:t>
      </w:r>
      <w:r w:rsidR="00335FFF" w:rsidRPr="00335FFF">
        <w:rPr>
          <w:rFonts w:asciiTheme="minorHAnsi" w:hAnsiTheme="minorHAnsi"/>
          <w:snapToGrid w:val="0"/>
        </w:rPr>
        <w:t>$75,000 to &lt; $95,000</w:t>
      </w:r>
      <w:r w:rsidR="00BA6746" w:rsidRPr="000E5B3A">
        <w:rPr>
          <w:rFonts w:asciiTheme="minorHAnsi" w:hAnsiTheme="minorHAnsi"/>
          <w:snapToGrid w:val="0"/>
        </w:rPr>
        <w:t xml:space="preserve"> per </w:t>
      </w:r>
      <w:r w:rsidR="00CB142F" w:rsidRPr="000E5B3A">
        <w:rPr>
          <w:rFonts w:asciiTheme="minorHAnsi" w:hAnsiTheme="minorHAnsi"/>
          <w:snapToGrid w:val="0"/>
        </w:rPr>
        <w:t>quality adjusted life year (</w:t>
      </w:r>
      <w:r w:rsidR="00BA6746" w:rsidRPr="000E5B3A">
        <w:rPr>
          <w:rFonts w:asciiTheme="minorHAnsi" w:hAnsiTheme="minorHAnsi"/>
          <w:snapToGrid w:val="0"/>
        </w:rPr>
        <w:t>QALY</w:t>
      </w:r>
      <w:r w:rsidR="00CB142F" w:rsidRPr="000E5B3A">
        <w:rPr>
          <w:rFonts w:asciiTheme="minorHAnsi" w:hAnsiTheme="minorHAnsi"/>
          <w:snapToGrid w:val="0"/>
        </w:rPr>
        <w:t>)</w:t>
      </w:r>
      <w:r w:rsidR="00BA6746" w:rsidRPr="000E5B3A">
        <w:rPr>
          <w:rFonts w:asciiTheme="minorHAnsi" w:hAnsiTheme="minorHAnsi"/>
          <w:snapToGrid w:val="0"/>
        </w:rPr>
        <w:t>, with updated inputs to the economic model</w:t>
      </w:r>
      <w:r w:rsidR="00CB142F" w:rsidRPr="000E5B3A">
        <w:rPr>
          <w:rFonts w:asciiTheme="minorHAnsi" w:hAnsiTheme="minorHAnsi"/>
          <w:snapToGrid w:val="0"/>
        </w:rPr>
        <w:t xml:space="preserve"> including </w:t>
      </w:r>
      <w:r w:rsidR="00BE4778" w:rsidRPr="000E5B3A">
        <w:rPr>
          <w:rFonts w:asciiTheme="minorHAnsi" w:hAnsiTheme="minorHAnsi"/>
          <w:snapToGrid w:val="0"/>
        </w:rPr>
        <w:t>a</w:t>
      </w:r>
      <w:r w:rsidR="00BA6746" w:rsidRPr="000E5B3A">
        <w:rPr>
          <w:rFonts w:asciiTheme="minorHAnsi" w:hAnsiTheme="minorHAnsi"/>
          <w:snapToGrid w:val="0"/>
        </w:rPr>
        <w:t xml:space="preserve"> 10</w:t>
      </w:r>
      <w:r w:rsidR="007F7E7F" w:rsidRPr="000E5B3A">
        <w:rPr>
          <w:rFonts w:asciiTheme="minorHAnsi" w:hAnsiTheme="minorHAnsi"/>
          <w:snapToGrid w:val="0"/>
        </w:rPr>
        <w:t>-</w:t>
      </w:r>
      <w:r w:rsidR="00BA6746" w:rsidRPr="000E5B3A">
        <w:rPr>
          <w:rFonts w:asciiTheme="minorHAnsi" w:hAnsiTheme="minorHAnsi"/>
          <w:snapToGrid w:val="0"/>
        </w:rPr>
        <w:t xml:space="preserve">year time horizon and using the intention-to-treat </w:t>
      </w:r>
      <w:r w:rsidR="007F7E7F" w:rsidRPr="000E5B3A">
        <w:rPr>
          <w:rFonts w:asciiTheme="minorHAnsi" w:hAnsiTheme="minorHAnsi"/>
          <w:snapToGrid w:val="0"/>
        </w:rPr>
        <w:t xml:space="preserve">(ITT) </w:t>
      </w:r>
      <w:r w:rsidR="00BA6746" w:rsidRPr="000E5B3A">
        <w:rPr>
          <w:rFonts w:asciiTheme="minorHAnsi" w:hAnsiTheme="minorHAnsi"/>
          <w:snapToGrid w:val="0"/>
        </w:rPr>
        <w:t>results for overall survival</w:t>
      </w:r>
      <w:r w:rsidR="00BE4778" w:rsidRPr="000E5B3A">
        <w:rPr>
          <w:rFonts w:asciiTheme="minorHAnsi" w:hAnsiTheme="minorHAnsi"/>
          <w:snapToGrid w:val="0"/>
        </w:rPr>
        <w:t xml:space="preserve"> (OS)</w:t>
      </w:r>
      <w:r w:rsidR="00BA6746" w:rsidRPr="000E5B3A">
        <w:rPr>
          <w:rFonts w:asciiTheme="minorHAnsi" w:hAnsiTheme="minorHAnsi"/>
          <w:snapToGrid w:val="0"/>
        </w:rPr>
        <w:t xml:space="preserve">. </w:t>
      </w:r>
    </w:p>
    <w:p w14:paraId="7E5A0915" w14:textId="4DA37B5D" w:rsidR="00D1633A" w:rsidRPr="000E5B3A" w:rsidRDefault="00D1633A" w:rsidP="00D1633A">
      <w:pPr>
        <w:widowControl w:val="0"/>
        <w:numPr>
          <w:ilvl w:val="1"/>
          <w:numId w:val="1"/>
        </w:numPr>
        <w:spacing w:after="120"/>
        <w:rPr>
          <w:rFonts w:asciiTheme="minorHAnsi" w:hAnsiTheme="minorHAnsi"/>
          <w:snapToGrid w:val="0"/>
        </w:rPr>
      </w:pPr>
      <w:r w:rsidRPr="000E5B3A">
        <w:rPr>
          <w:rFonts w:asciiTheme="minorHAnsi" w:hAnsiTheme="minorHAnsi"/>
          <w:snapToGrid w:val="0"/>
        </w:rPr>
        <w:t xml:space="preserve">The PBAC </w:t>
      </w:r>
      <w:r w:rsidR="004E2190">
        <w:rPr>
          <w:rFonts w:asciiTheme="minorHAnsi" w:hAnsiTheme="minorHAnsi"/>
          <w:snapToGrid w:val="0"/>
        </w:rPr>
        <w:t>wa</w:t>
      </w:r>
      <w:r w:rsidRPr="000E5B3A">
        <w:rPr>
          <w:rFonts w:asciiTheme="minorHAnsi" w:hAnsiTheme="minorHAnsi"/>
          <w:snapToGrid w:val="0"/>
        </w:rPr>
        <w:t xml:space="preserve">s satisfied that </w:t>
      </w:r>
      <w:r w:rsidR="002E17FE" w:rsidRPr="000E5B3A">
        <w:rPr>
          <w:rFonts w:asciiTheme="minorHAnsi" w:hAnsiTheme="minorHAnsi"/>
          <w:snapToGrid w:val="0"/>
        </w:rPr>
        <w:t>retifanlimab</w:t>
      </w:r>
      <w:r w:rsidRPr="000E5B3A">
        <w:rPr>
          <w:rFonts w:asciiTheme="minorHAnsi" w:hAnsiTheme="minorHAnsi"/>
          <w:snapToGrid w:val="0"/>
        </w:rPr>
        <w:t xml:space="preserve"> </w:t>
      </w:r>
      <w:r w:rsidR="00BA35C8" w:rsidRPr="000E5B3A">
        <w:rPr>
          <w:rFonts w:asciiTheme="minorHAnsi" w:hAnsiTheme="minorHAnsi"/>
          <w:snapToGrid w:val="0"/>
        </w:rPr>
        <w:t>in combination with</w:t>
      </w:r>
      <w:r w:rsidR="00BE4778" w:rsidRPr="000E5B3A">
        <w:rPr>
          <w:rFonts w:asciiTheme="minorHAnsi" w:hAnsiTheme="minorHAnsi"/>
          <w:snapToGrid w:val="0"/>
        </w:rPr>
        <w:t xml:space="preserve"> CP </w:t>
      </w:r>
      <w:r w:rsidRPr="000E5B3A">
        <w:rPr>
          <w:rFonts w:asciiTheme="minorHAnsi" w:hAnsiTheme="minorHAnsi"/>
          <w:snapToGrid w:val="0"/>
        </w:rPr>
        <w:t>provides, for some patients, a significant improvement in efficacy over</w:t>
      </w:r>
      <w:r w:rsidR="0003684C" w:rsidRPr="000E5B3A">
        <w:rPr>
          <w:rFonts w:asciiTheme="minorHAnsi" w:hAnsiTheme="minorHAnsi"/>
          <w:snapToGrid w:val="0"/>
        </w:rPr>
        <w:t xml:space="preserve"> </w:t>
      </w:r>
      <w:r w:rsidR="00BA35C8" w:rsidRPr="000E5B3A">
        <w:rPr>
          <w:rFonts w:asciiTheme="minorHAnsi" w:hAnsiTheme="minorHAnsi"/>
          <w:snapToGrid w:val="0"/>
        </w:rPr>
        <w:t>CP alone</w:t>
      </w:r>
      <w:r w:rsidRPr="000E5B3A">
        <w:rPr>
          <w:rFonts w:asciiTheme="minorHAnsi" w:hAnsiTheme="minorHAnsi"/>
          <w:snapToGrid w:val="0"/>
        </w:rPr>
        <w:t xml:space="preserve">. </w:t>
      </w:r>
    </w:p>
    <w:p w14:paraId="02BC5B14" w14:textId="7100C772" w:rsidR="00B40DC8" w:rsidRPr="000E5B3A" w:rsidRDefault="00587ADA" w:rsidP="0077485F">
      <w:pPr>
        <w:widowControl w:val="0"/>
        <w:numPr>
          <w:ilvl w:val="1"/>
          <w:numId w:val="1"/>
        </w:numPr>
        <w:spacing w:after="120"/>
        <w:rPr>
          <w:bCs/>
        </w:rPr>
      </w:pPr>
      <w:bookmarkStart w:id="105" w:name="_Ref229469687"/>
      <w:r w:rsidRPr="000E5B3A">
        <w:rPr>
          <w:rFonts w:asciiTheme="minorHAnsi" w:hAnsiTheme="minorHAnsi"/>
          <w:snapToGrid w:val="0"/>
        </w:rPr>
        <w:t xml:space="preserve">The PBAC </w:t>
      </w:r>
      <w:r w:rsidR="002904B1" w:rsidRPr="000E5B3A">
        <w:rPr>
          <w:rFonts w:asciiTheme="minorHAnsi" w:hAnsiTheme="minorHAnsi"/>
          <w:snapToGrid w:val="0"/>
        </w:rPr>
        <w:t xml:space="preserve">considered there was </w:t>
      </w:r>
      <w:r w:rsidR="001C0DE4">
        <w:rPr>
          <w:rFonts w:asciiTheme="minorHAnsi" w:hAnsiTheme="minorHAnsi"/>
          <w:snapToGrid w:val="0"/>
        </w:rPr>
        <w:t xml:space="preserve">a </w:t>
      </w:r>
      <w:r w:rsidR="00A71381" w:rsidRPr="000E5B3A">
        <w:rPr>
          <w:rFonts w:asciiTheme="minorHAnsi" w:hAnsiTheme="minorHAnsi"/>
          <w:snapToGrid w:val="0"/>
        </w:rPr>
        <w:t>h</w:t>
      </w:r>
      <w:r w:rsidRPr="000E5B3A">
        <w:rPr>
          <w:rFonts w:asciiTheme="minorHAnsi" w:hAnsiTheme="minorHAnsi"/>
          <w:snapToGrid w:val="0"/>
        </w:rPr>
        <w:t>igh</w:t>
      </w:r>
      <w:r w:rsidR="002904B1" w:rsidRPr="000E5B3A">
        <w:rPr>
          <w:rFonts w:asciiTheme="minorHAnsi" w:hAnsiTheme="minorHAnsi"/>
          <w:snapToGrid w:val="0"/>
        </w:rPr>
        <w:t xml:space="preserve"> </w:t>
      </w:r>
      <w:r w:rsidR="00A71381" w:rsidRPr="000E5B3A">
        <w:rPr>
          <w:rFonts w:asciiTheme="minorHAnsi" w:hAnsiTheme="minorHAnsi"/>
          <w:snapToGrid w:val="0"/>
        </w:rPr>
        <w:t>c</w:t>
      </w:r>
      <w:r w:rsidR="002904B1" w:rsidRPr="000E5B3A">
        <w:rPr>
          <w:rFonts w:asciiTheme="minorHAnsi" w:hAnsiTheme="minorHAnsi"/>
          <w:snapToGrid w:val="0"/>
        </w:rPr>
        <w:t>linical need for new treatments for SCAC</w:t>
      </w:r>
      <w:r w:rsidR="00A71381" w:rsidRPr="000E5B3A">
        <w:rPr>
          <w:rFonts w:asciiTheme="minorHAnsi" w:hAnsiTheme="minorHAnsi"/>
          <w:snapToGrid w:val="0"/>
        </w:rPr>
        <w:t>,</w:t>
      </w:r>
      <w:r w:rsidR="002904B1" w:rsidRPr="000E5B3A">
        <w:rPr>
          <w:rFonts w:asciiTheme="minorHAnsi" w:hAnsiTheme="minorHAnsi"/>
          <w:snapToGrid w:val="0"/>
        </w:rPr>
        <w:t xml:space="preserve"> </w:t>
      </w:r>
      <w:r w:rsidR="00775087" w:rsidRPr="000E5B3A">
        <w:rPr>
          <w:rFonts w:asciiTheme="minorHAnsi" w:hAnsiTheme="minorHAnsi"/>
          <w:snapToGrid w:val="0"/>
        </w:rPr>
        <w:t xml:space="preserve">as response rates to </w:t>
      </w:r>
      <w:r w:rsidR="00632C15" w:rsidRPr="000E5B3A">
        <w:rPr>
          <w:rFonts w:asciiTheme="minorHAnsi" w:hAnsiTheme="minorHAnsi"/>
          <w:snapToGrid w:val="0"/>
        </w:rPr>
        <w:t>standard of care (</w:t>
      </w:r>
      <w:r w:rsidRPr="000E5B3A">
        <w:rPr>
          <w:rFonts w:asciiTheme="minorHAnsi" w:hAnsiTheme="minorHAnsi"/>
          <w:snapToGrid w:val="0"/>
        </w:rPr>
        <w:t>SOC</w:t>
      </w:r>
      <w:r w:rsidR="00632C15" w:rsidRPr="000E5B3A">
        <w:rPr>
          <w:rFonts w:asciiTheme="minorHAnsi" w:hAnsiTheme="minorHAnsi"/>
          <w:snapToGrid w:val="0"/>
        </w:rPr>
        <w:t>)</w:t>
      </w:r>
      <w:r w:rsidRPr="000E5B3A">
        <w:rPr>
          <w:rFonts w:asciiTheme="minorHAnsi" w:hAnsiTheme="minorHAnsi"/>
          <w:snapToGrid w:val="0"/>
        </w:rPr>
        <w:t xml:space="preserve"> chemotherapy </w:t>
      </w:r>
      <w:r w:rsidR="00632C15" w:rsidRPr="000E5B3A">
        <w:rPr>
          <w:rFonts w:asciiTheme="minorHAnsi" w:hAnsiTheme="minorHAnsi"/>
          <w:snapToGrid w:val="0"/>
        </w:rPr>
        <w:t>(</w:t>
      </w:r>
      <w:r w:rsidR="00D247ED" w:rsidRPr="000E5B3A">
        <w:rPr>
          <w:rFonts w:asciiTheme="minorHAnsi" w:hAnsiTheme="minorHAnsi"/>
          <w:snapToGrid w:val="0"/>
        </w:rPr>
        <w:t>e.g.</w:t>
      </w:r>
      <w:r w:rsidR="00632C15" w:rsidRPr="000E5B3A">
        <w:rPr>
          <w:rFonts w:asciiTheme="minorHAnsi" w:hAnsiTheme="minorHAnsi"/>
          <w:snapToGrid w:val="0"/>
        </w:rPr>
        <w:t xml:space="preserve"> carboplatin and paclitaxel) </w:t>
      </w:r>
      <w:r w:rsidR="00775087" w:rsidRPr="000E5B3A">
        <w:rPr>
          <w:rFonts w:asciiTheme="minorHAnsi" w:hAnsiTheme="minorHAnsi"/>
          <w:snapToGrid w:val="0"/>
        </w:rPr>
        <w:t xml:space="preserve">are moderate, and </w:t>
      </w:r>
      <w:r w:rsidR="00CF0A73" w:rsidRPr="000E5B3A">
        <w:rPr>
          <w:rFonts w:asciiTheme="minorHAnsi" w:hAnsiTheme="minorHAnsi"/>
          <w:snapToGrid w:val="0"/>
        </w:rPr>
        <w:t>disease progression is</w:t>
      </w:r>
      <w:r w:rsidRPr="000E5B3A">
        <w:rPr>
          <w:rFonts w:asciiTheme="minorHAnsi" w:hAnsiTheme="minorHAnsi"/>
          <w:snapToGrid w:val="0"/>
        </w:rPr>
        <w:t xml:space="preserve"> inevitable</w:t>
      </w:r>
      <w:r w:rsidR="00CF0A73" w:rsidRPr="000E5B3A">
        <w:rPr>
          <w:rFonts w:asciiTheme="minorHAnsi" w:hAnsiTheme="minorHAnsi"/>
          <w:snapToGrid w:val="0"/>
        </w:rPr>
        <w:t xml:space="preserve">. </w:t>
      </w:r>
      <w:r w:rsidR="00A71381" w:rsidRPr="000E5B3A">
        <w:rPr>
          <w:rFonts w:asciiTheme="minorHAnsi" w:hAnsiTheme="minorHAnsi"/>
          <w:snapToGrid w:val="0"/>
        </w:rPr>
        <w:t xml:space="preserve">The PBAC noted </w:t>
      </w:r>
      <w:r w:rsidR="00E57BF5" w:rsidRPr="000E5B3A">
        <w:rPr>
          <w:rFonts w:asciiTheme="minorHAnsi" w:hAnsiTheme="minorHAnsi"/>
          <w:snapToGrid w:val="0"/>
        </w:rPr>
        <w:t xml:space="preserve">that SCAC is a rare cancer, with </w:t>
      </w:r>
      <w:r w:rsidR="00E57BF5" w:rsidRPr="000E5B3A">
        <w:t>increased prevalence in people with HIV</w:t>
      </w:r>
      <w:r w:rsidR="00B40DC8" w:rsidRPr="000E5B3A">
        <w:t>.</w:t>
      </w:r>
      <w:bookmarkEnd w:id="105"/>
      <w:r w:rsidR="00B40DC8" w:rsidRPr="000E5B3A">
        <w:t xml:space="preserve"> </w:t>
      </w:r>
    </w:p>
    <w:p w14:paraId="1636ABB0" w14:textId="6A877C08" w:rsidR="00782843" w:rsidRPr="000E5B3A" w:rsidRDefault="00EF590A" w:rsidP="00B40DC8">
      <w:pPr>
        <w:widowControl w:val="0"/>
        <w:numPr>
          <w:ilvl w:val="1"/>
          <w:numId w:val="1"/>
        </w:numPr>
        <w:spacing w:after="120"/>
        <w:rPr>
          <w:bCs/>
        </w:rPr>
      </w:pPr>
      <w:bookmarkStart w:id="106" w:name="_Ref229469758"/>
      <w:r w:rsidRPr="000E5B3A">
        <w:rPr>
          <w:rFonts w:asciiTheme="minorHAnsi" w:hAnsiTheme="minorHAnsi"/>
          <w:snapToGrid w:val="0"/>
        </w:rPr>
        <w:t xml:space="preserve">The PBAC considered that </w:t>
      </w:r>
      <w:r w:rsidR="002A2BF5" w:rsidRPr="000E5B3A">
        <w:rPr>
          <w:snapToGrid w:val="0"/>
        </w:rPr>
        <w:t xml:space="preserve">it </w:t>
      </w:r>
      <w:r w:rsidR="00A77834" w:rsidRPr="000E5B3A">
        <w:rPr>
          <w:snapToGrid w:val="0"/>
        </w:rPr>
        <w:t xml:space="preserve">is appropriate for </w:t>
      </w:r>
      <w:r w:rsidRPr="000E5B3A">
        <w:rPr>
          <w:rFonts w:asciiTheme="minorHAnsi" w:hAnsiTheme="minorHAnsi"/>
          <w:snapToGrid w:val="0"/>
        </w:rPr>
        <w:t xml:space="preserve">the restriction </w:t>
      </w:r>
      <w:r w:rsidR="00A77834" w:rsidRPr="000E5B3A">
        <w:rPr>
          <w:snapToGrid w:val="0"/>
        </w:rPr>
        <w:t>to be Authority required (</w:t>
      </w:r>
      <w:r w:rsidR="00A77834" w:rsidRPr="000E5B3A">
        <w:rPr>
          <w:rFonts w:asciiTheme="minorHAnsi" w:hAnsiTheme="minorHAnsi"/>
          <w:snapToGrid w:val="0"/>
        </w:rPr>
        <w:t>STREAMLINED</w:t>
      </w:r>
      <w:r w:rsidR="00A77834" w:rsidRPr="000E5B3A">
        <w:rPr>
          <w:snapToGrid w:val="0"/>
        </w:rPr>
        <w:t>)</w:t>
      </w:r>
      <w:r w:rsidR="007F3C7B" w:rsidRPr="000E5B3A">
        <w:rPr>
          <w:snapToGrid w:val="0"/>
        </w:rPr>
        <w:t xml:space="preserve">, </w:t>
      </w:r>
      <w:r w:rsidR="00AF7A1B">
        <w:rPr>
          <w:snapToGrid w:val="0"/>
        </w:rPr>
        <w:t>as requested in the submission. The PBAC</w:t>
      </w:r>
      <w:r w:rsidR="007F3C7B" w:rsidRPr="000E5B3A">
        <w:rPr>
          <w:snapToGrid w:val="0"/>
        </w:rPr>
        <w:t xml:space="preserve"> </w:t>
      </w:r>
      <w:r w:rsidR="00B3282A" w:rsidRPr="000E5B3A">
        <w:rPr>
          <w:snapToGrid w:val="0"/>
        </w:rPr>
        <w:t xml:space="preserve">recommended </w:t>
      </w:r>
      <w:r w:rsidR="00F029C8" w:rsidRPr="000E5B3A">
        <w:rPr>
          <w:snapToGrid w:val="0"/>
        </w:rPr>
        <w:t xml:space="preserve">that </w:t>
      </w:r>
      <w:r w:rsidR="00B3282A" w:rsidRPr="000E5B3A">
        <w:rPr>
          <w:snapToGrid w:val="0"/>
        </w:rPr>
        <w:t>the clinical criteria</w:t>
      </w:r>
      <w:r w:rsidR="002F3223" w:rsidRPr="000E5B3A">
        <w:rPr>
          <w:snapToGrid w:val="0"/>
        </w:rPr>
        <w:t>, “</w:t>
      </w:r>
      <w:r w:rsidR="008917B2" w:rsidRPr="000E5B3A">
        <w:rPr>
          <w:bCs/>
        </w:rPr>
        <w:t xml:space="preserve">Patients must </w:t>
      </w:r>
      <w:r w:rsidR="00936B8D">
        <w:rPr>
          <w:bCs/>
        </w:rPr>
        <w:t xml:space="preserve">not </w:t>
      </w:r>
      <w:r w:rsidR="008917B2" w:rsidRPr="000E5B3A">
        <w:rPr>
          <w:bCs/>
        </w:rPr>
        <w:t>have received prior systemic therapy</w:t>
      </w:r>
      <w:r w:rsidR="00B3282A" w:rsidRPr="000E5B3A">
        <w:rPr>
          <w:bCs/>
        </w:rPr>
        <w:t xml:space="preserve">” should include </w:t>
      </w:r>
      <w:r w:rsidR="008917B2" w:rsidRPr="000E5B3A">
        <w:rPr>
          <w:bCs/>
        </w:rPr>
        <w:t>“</w:t>
      </w:r>
      <w:r w:rsidR="00B3282A" w:rsidRPr="000E5B3A">
        <w:rPr>
          <w:bCs/>
        </w:rPr>
        <w:t xml:space="preserve">… </w:t>
      </w:r>
      <w:r w:rsidR="008917B2" w:rsidRPr="000E5B3A">
        <w:rPr>
          <w:bCs/>
        </w:rPr>
        <w:t>in the inoperable locally recurrent or metastatic setting</w:t>
      </w:r>
      <w:r w:rsidR="00D247ED" w:rsidRPr="000E5B3A">
        <w:rPr>
          <w:bCs/>
        </w:rPr>
        <w:t>,”</w:t>
      </w:r>
      <w:r w:rsidR="008917B2" w:rsidRPr="000E5B3A">
        <w:rPr>
          <w:bCs/>
        </w:rPr>
        <w:t xml:space="preserve"> as patients may have received chemotherapy with radiation for localised disease</w:t>
      </w:r>
      <w:r w:rsidR="00D64965" w:rsidRPr="000E5B3A">
        <w:rPr>
          <w:bCs/>
        </w:rPr>
        <w:t>.</w:t>
      </w:r>
      <w:bookmarkEnd w:id="106"/>
      <w:r w:rsidR="00F03D9E" w:rsidRPr="000E5B3A">
        <w:rPr>
          <w:bCs/>
        </w:rPr>
        <w:t xml:space="preserve"> </w:t>
      </w:r>
    </w:p>
    <w:p w14:paraId="5B09D51E" w14:textId="0178B99B" w:rsidR="00C42762" w:rsidRPr="000E5B3A" w:rsidRDefault="00CF0A73">
      <w:pPr>
        <w:pStyle w:val="3-BodyText"/>
        <w:rPr>
          <w:rFonts w:eastAsia="Times New Roman" w:cs="Arial"/>
          <w:snapToGrid w:val="0"/>
          <w:szCs w:val="24"/>
        </w:rPr>
      </w:pPr>
      <w:r w:rsidRPr="000E5B3A">
        <w:rPr>
          <w:snapToGrid w:val="0"/>
        </w:rPr>
        <w:t xml:space="preserve">The PBAC considered that the </w:t>
      </w:r>
      <w:r w:rsidR="00D158B5" w:rsidRPr="000E5B3A">
        <w:rPr>
          <w:snapToGrid w:val="0"/>
        </w:rPr>
        <w:t>s</w:t>
      </w:r>
      <w:r w:rsidR="004D4EEA">
        <w:rPr>
          <w:snapToGrid w:val="0"/>
        </w:rPr>
        <w:t>ubmission</w:t>
      </w:r>
      <w:r w:rsidR="00D158B5" w:rsidRPr="000E5B3A">
        <w:rPr>
          <w:snapToGrid w:val="0"/>
        </w:rPr>
        <w:t xml:space="preserve">’s </w:t>
      </w:r>
      <w:r w:rsidRPr="000E5B3A">
        <w:rPr>
          <w:snapToGrid w:val="0"/>
        </w:rPr>
        <w:t>proposed place in therapy</w:t>
      </w:r>
      <w:r w:rsidR="002231AF" w:rsidRPr="000E5B3A">
        <w:rPr>
          <w:snapToGrid w:val="0"/>
        </w:rPr>
        <w:t xml:space="preserve"> was</w:t>
      </w:r>
      <w:r w:rsidRPr="000E5B3A">
        <w:rPr>
          <w:snapToGrid w:val="0"/>
        </w:rPr>
        <w:t xml:space="preserve"> c</w:t>
      </w:r>
      <w:r w:rsidRPr="000E5B3A">
        <w:rPr>
          <w:rFonts w:eastAsia="Times New Roman" w:cs="Arial"/>
          <w:snapToGrid w:val="0"/>
          <w:szCs w:val="24"/>
        </w:rPr>
        <w:t xml:space="preserve">onsistent with </w:t>
      </w:r>
      <w:r w:rsidR="009C276F" w:rsidRPr="000E5B3A">
        <w:rPr>
          <w:snapToGrid w:val="0"/>
        </w:rPr>
        <w:t xml:space="preserve">the </w:t>
      </w:r>
      <w:r w:rsidR="002231AF" w:rsidRPr="000E5B3A">
        <w:rPr>
          <w:snapToGrid w:val="0"/>
        </w:rPr>
        <w:t xml:space="preserve">supporting </w:t>
      </w:r>
      <w:r w:rsidRPr="000E5B3A">
        <w:rPr>
          <w:rFonts w:eastAsia="Times New Roman" w:cs="Arial"/>
          <w:snapToGrid w:val="0"/>
          <w:szCs w:val="24"/>
        </w:rPr>
        <w:t>clinical trial</w:t>
      </w:r>
      <w:r w:rsidR="009C276F" w:rsidRPr="000E5B3A">
        <w:rPr>
          <w:snapToGrid w:val="0"/>
        </w:rPr>
        <w:t xml:space="preserve"> (</w:t>
      </w:r>
      <w:r w:rsidR="009C276F" w:rsidRPr="000E5B3A">
        <w:rPr>
          <w:rFonts w:eastAsia="Times New Roman" w:cs="Arial"/>
          <w:snapToGrid w:val="0"/>
          <w:szCs w:val="24"/>
        </w:rPr>
        <w:t>POD1UM</w:t>
      </w:r>
      <w:r w:rsidR="00056334" w:rsidRPr="000E5B3A">
        <w:rPr>
          <w:snapToGrid w:val="0"/>
        </w:rPr>
        <w:t>-</w:t>
      </w:r>
      <w:r w:rsidR="00E02FD8" w:rsidRPr="000E5B3A">
        <w:rPr>
          <w:snapToGrid w:val="0"/>
        </w:rPr>
        <w:t>303</w:t>
      </w:r>
      <w:r w:rsidR="00056334" w:rsidRPr="000E5B3A">
        <w:rPr>
          <w:snapToGrid w:val="0"/>
        </w:rPr>
        <w:t>)</w:t>
      </w:r>
      <w:r w:rsidR="009C276F" w:rsidRPr="000E5B3A">
        <w:rPr>
          <w:snapToGrid w:val="0"/>
        </w:rPr>
        <w:t>,</w:t>
      </w:r>
      <w:r w:rsidRPr="000E5B3A">
        <w:rPr>
          <w:rFonts w:eastAsia="Times New Roman" w:cs="Arial"/>
          <w:snapToGrid w:val="0"/>
          <w:szCs w:val="24"/>
        </w:rPr>
        <w:t xml:space="preserve"> </w:t>
      </w:r>
      <w:r w:rsidR="00883A75" w:rsidRPr="000E5B3A">
        <w:rPr>
          <w:snapToGrid w:val="0"/>
        </w:rPr>
        <w:t>the</w:t>
      </w:r>
      <w:r w:rsidR="002A419C" w:rsidRPr="000E5B3A">
        <w:rPr>
          <w:snapToGrid w:val="0"/>
        </w:rPr>
        <w:t xml:space="preserve"> </w:t>
      </w:r>
      <w:r w:rsidR="00A1694C" w:rsidRPr="000E5B3A">
        <w:rPr>
          <w:snapToGrid w:val="0"/>
        </w:rPr>
        <w:t>N</w:t>
      </w:r>
      <w:r w:rsidR="00827696" w:rsidRPr="000E5B3A">
        <w:rPr>
          <w:snapToGrid w:val="0"/>
        </w:rPr>
        <w:t xml:space="preserve">ational Comprehensive Cancer </w:t>
      </w:r>
      <w:r w:rsidR="00827696" w:rsidRPr="000E5B3A">
        <w:rPr>
          <w:snapToGrid w:val="0"/>
        </w:rPr>
        <w:lastRenderedPageBreak/>
        <w:t>Network (</w:t>
      </w:r>
      <w:r w:rsidR="002A419C" w:rsidRPr="000E5B3A">
        <w:rPr>
          <w:snapToGrid w:val="0"/>
        </w:rPr>
        <w:t>NCCN</w:t>
      </w:r>
      <w:r w:rsidR="00D247ED" w:rsidRPr="000E5B3A">
        <w:rPr>
          <w:snapToGrid w:val="0"/>
        </w:rPr>
        <w:t>),</w:t>
      </w:r>
      <w:r w:rsidR="00883A75" w:rsidRPr="000E5B3A">
        <w:rPr>
          <w:snapToGrid w:val="0"/>
        </w:rPr>
        <w:t xml:space="preserve"> and </w:t>
      </w:r>
      <w:r w:rsidR="00827696" w:rsidRPr="000E5B3A">
        <w:rPr>
          <w:snapToGrid w:val="0"/>
        </w:rPr>
        <w:t xml:space="preserve">European Society for Medical Oncology (ESMO) </w:t>
      </w:r>
      <w:r w:rsidR="00883A75" w:rsidRPr="000E5B3A">
        <w:rPr>
          <w:snapToGrid w:val="0"/>
        </w:rPr>
        <w:t xml:space="preserve">clinical </w:t>
      </w:r>
      <w:r w:rsidR="002A419C" w:rsidRPr="000E5B3A">
        <w:rPr>
          <w:snapToGrid w:val="0"/>
        </w:rPr>
        <w:t>guidelines</w:t>
      </w:r>
      <w:r w:rsidR="00D247ED" w:rsidRPr="000E5B3A">
        <w:rPr>
          <w:snapToGrid w:val="0"/>
        </w:rPr>
        <w:t xml:space="preserve">. </w:t>
      </w:r>
    </w:p>
    <w:p w14:paraId="4BB9CC66" w14:textId="3CF22300" w:rsidR="00A504CC" w:rsidRPr="000E5B3A" w:rsidRDefault="006F0201" w:rsidP="009B06E2">
      <w:pPr>
        <w:pStyle w:val="3-BodyText"/>
        <w:rPr>
          <w:rFonts w:eastAsia="Times New Roman" w:cs="Arial"/>
          <w:snapToGrid w:val="0"/>
          <w:szCs w:val="24"/>
        </w:rPr>
      </w:pPr>
      <w:r w:rsidRPr="000E5B3A">
        <w:t xml:space="preserve">The PBAC considered that the submission’s proposed comparator, </w:t>
      </w:r>
      <w:r w:rsidRPr="000E5B3A">
        <w:rPr>
          <w:rFonts w:eastAsia="Times New Roman" w:cs="Arial"/>
          <w:snapToGrid w:val="0"/>
          <w:szCs w:val="24"/>
        </w:rPr>
        <w:t>CP</w:t>
      </w:r>
      <w:r w:rsidR="0092595F" w:rsidRPr="000E5B3A">
        <w:rPr>
          <w:rFonts w:eastAsia="Times New Roman" w:cs="Arial"/>
          <w:snapToGrid w:val="0"/>
          <w:szCs w:val="24"/>
        </w:rPr>
        <w:t>, was appropriate</w:t>
      </w:r>
      <w:r w:rsidR="009F24CA" w:rsidRPr="000E5B3A">
        <w:rPr>
          <w:rFonts w:eastAsia="Times New Roman" w:cs="Arial"/>
          <w:snapToGrid w:val="0"/>
          <w:szCs w:val="24"/>
        </w:rPr>
        <w:t xml:space="preserve">, noting that </w:t>
      </w:r>
      <w:r w:rsidRPr="000E5B3A">
        <w:rPr>
          <w:rFonts w:eastAsia="Times New Roman" w:cs="Arial"/>
          <w:snapToGrid w:val="0"/>
          <w:szCs w:val="24"/>
        </w:rPr>
        <w:t>CP is the current standard of care for the 1L treatment of advanced or metastatic SCAC in the NCCN and ESMO guidelines.</w:t>
      </w:r>
      <w:r w:rsidR="001937DE" w:rsidRPr="000E5B3A">
        <w:rPr>
          <w:rFonts w:eastAsia="Times New Roman" w:cs="Arial"/>
          <w:snapToGrid w:val="0"/>
          <w:szCs w:val="24"/>
        </w:rPr>
        <w:t xml:space="preserve"> The PBAC </w:t>
      </w:r>
      <w:r w:rsidR="00E171E9" w:rsidRPr="000E5B3A">
        <w:rPr>
          <w:rFonts w:eastAsia="Times New Roman" w:cs="Arial"/>
          <w:snapToGrid w:val="0"/>
          <w:szCs w:val="24"/>
        </w:rPr>
        <w:t>recalled</w:t>
      </w:r>
      <w:r w:rsidR="001937DE" w:rsidRPr="000E5B3A">
        <w:rPr>
          <w:rFonts w:eastAsia="Times New Roman" w:cs="Arial"/>
          <w:snapToGrid w:val="0"/>
          <w:szCs w:val="24"/>
        </w:rPr>
        <w:t xml:space="preserve"> that</w:t>
      </w:r>
      <w:r w:rsidR="007A713B">
        <w:rPr>
          <w:rFonts w:eastAsia="Times New Roman" w:cs="Arial"/>
          <w:snapToGrid w:val="0"/>
          <w:szCs w:val="24"/>
        </w:rPr>
        <w:t>,</w:t>
      </w:r>
      <w:r w:rsidR="001937DE" w:rsidRPr="000E5B3A">
        <w:rPr>
          <w:rFonts w:eastAsia="Times New Roman" w:cs="Arial"/>
          <w:snapToGrid w:val="0"/>
          <w:szCs w:val="24"/>
        </w:rPr>
        <w:t xml:space="preserve"> </w:t>
      </w:r>
      <w:r w:rsidR="00E171E9" w:rsidRPr="000E5B3A">
        <w:rPr>
          <w:rFonts w:eastAsia="Times New Roman" w:cs="Arial"/>
          <w:snapToGrid w:val="0"/>
          <w:szCs w:val="24"/>
        </w:rPr>
        <w:t xml:space="preserve">at its September 2025 intracycle meeting, </w:t>
      </w:r>
      <w:r w:rsidR="0016745A">
        <w:rPr>
          <w:rFonts w:eastAsia="Times New Roman" w:cs="Arial"/>
          <w:snapToGrid w:val="0"/>
          <w:szCs w:val="24"/>
        </w:rPr>
        <w:t>it had</w:t>
      </w:r>
      <w:r w:rsidR="00E171E9" w:rsidRPr="000E5B3A">
        <w:rPr>
          <w:rFonts w:eastAsia="Times New Roman" w:cs="Arial"/>
          <w:snapToGrid w:val="0"/>
          <w:szCs w:val="24"/>
        </w:rPr>
        <w:t xml:space="preserve"> recommended a multi</w:t>
      </w:r>
      <w:r w:rsidR="006C4FF8">
        <w:rPr>
          <w:rFonts w:eastAsia="Times New Roman" w:cs="Arial"/>
          <w:snapToGrid w:val="0"/>
          <w:szCs w:val="24"/>
        </w:rPr>
        <w:noBreakHyphen/>
      </w:r>
      <w:r w:rsidR="00E171E9" w:rsidRPr="000E5B3A">
        <w:rPr>
          <w:rFonts w:eastAsia="Times New Roman" w:cs="Arial"/>
          <w:snapToGrid w:val="0"/>
          <w:szCs w:val="24"/>
        </w:rPr>
        <w:t xml:space="preserve">indication (broad) listing for nivolumab and ipilimumab in advanced or metastatic cancers, which would include SCAC, </w:t>
      </w:r>
      <w:r w:rsidR="0053303E" w:rsidRPr="000E5B3A">
        <w:t xml:space="preserve">however </w:t>
      </w:r>
      <w:r w:rsidR="00AA0F0C">
        <w:t xml:space="preserve">the Committee also noted that </w:t>
      </w:r>
      <w:r w:rsidR="0053303E" w:rsidRPr="000E5B3A">
        <w:t>nivolumab is not currently TGA registered for this indication</w:t>
      </w:r>
      <w:r w:rsidR="0053303E">
        <w:t>.</w:t>
      </w:r>
      <w:r w:rsidR="0053303E" w:rsidRPr="000E5B3A">
        <w:rPr>
          <w:rFonts w:eastAsia="Times New Roman" w:cs="Arial"/>
          <w:snapToGrid w:val="0"/>
          <w:szCs w:val="24"/>
        </w:rPr>
        <w:t xml:space="preserve"> </w:t>
      </w:r>
      <w:bookmarkStart w:id="107" w:name="_Ref215561575"/>
    </w:p>
    <w:bookmarkEnd w:id="107"/>
    <w:p w14:paraId="2915A369" w14:textId="0FFCC92B" w:rsidR="00161ECB" w:rsidRPr="000E5B3A" w:rsidRDefault="001C0807" w:rsidP="006C4FF8">
      <w:pPr>
        <w:pStyle w:val="3-BodyText"/>
        <w:keepNext/>
        <w:keepLines/>
        <w:rPr>
          <w:rFonts w:eastAsia="Times New Roman" w:cs="Arial"/>
          <w:snapToGrid w:val="0"/>
          <w:szCs w:val="24"/>
        </w:rPr>
      </w:pPr>
      <w:r w:rsidRPr="000E5B3A">
        <w:rPr>
          <w:snapToGrid w:val="0"/>
        </w:rPr>
        <w:t xml:space="preserve">The submission was based on one head-to-head </w:t>
      </w:r>
      <w:r w:rsidR="00BF1816" w:rsidRPr="000E5B3A">
        <w:rPr>
          <w:snapToGrid w:val="0"/>
        </w:rPr>
        <w:t>double-blind RCT</w:t>
      </w:r>
      <w:r w:rsidRPr="000E5B3A">
        <w:rPr>
          <w:snapToGrid w:val="0"/>
        </w:rPr>
        <w:t xml:space="preserve"> </w:t>
      </w:r>
      <w:r w:rsidR="004032D0" w:rsidRPr="000E5B3A">
        <w:rPr>
          <w:snapToGrid w:val="0"/>
        </w:rPr>
        <w:t xml:space="preserve">(POD1UM-303) </w:t>
      </w:r>
      <w:r w:rsidRPr="000E5B3A">
        <w:rPr>
          <w:snapToGrid w:val="0"/>
        </w:rPr>
        <w:t>comparing retifanlimab + CP to placebo + CP (N=308)</w:t>
      </w:r>
      <w:r w:rsidR="00521C17" w:rsidRPr="000E5B3A">
        <w:rPr>
          <w:snapToGrid w:val="0"/>
        </w:rPr>
        <w:t xml:space="preserve"> </w:t>
      </w:r>
      <w:r w:rsidR="0081121F">
        <w:rPr>
          <w:snapToGrid w:val="0"/>
        </w:rPr>
        <w:t>in which patients</w:t>
      </w:r>
      <w:r w:rsidR="00093FB4">
        <w:rPr>
          <w:snapToGrid w:val="0"/>
        </w:rPr>
        <w:t xml:space="preserve"> </w:t>
      </w:r>
      <w:r w:rsidR="00326510">
        <w:rPr>
          <w:snapToGrid w:val="0"/>
        </w:rPr>
        <w:t xml:space="preserve">received </w:t>
      </w:r>
      <w:r w:rsidR="004032D0" w:rsidRPr="000E5B3A">
        <w:rPr>
          <w:snapToGrid w:val="0"/>
        </w:rPr>
        <w:t xml:space="preserve">a maximum </w:t>
      </w:r>
      <w:r w:rsidR="00BF417A">
        <w:rPr>
          <w:snapToGrid w:val="0"/>
        </w:rPr>
        <w:t xml:space="preserve">of one year of </w:t>
      </w:r>
      <w:r w:rsidR="004032D0" w:rsidRPr="000E5B3A">
        <w:rPr>
          <w:snapToGrid w:val="0"/>
        </w:rPr>
        <w:t>treatment</w:t>
      </w:r>
      <w:r w:rsidRPr="000E5B3A">
        <w:rPr>
          <w:snapToGrid w:val="0"/>
        </w:rPr>
        <w:t xml:space="preserve">. </w:t>
      </w:r>
      <w:r w:rsidR="006146EB" w:rsidRPr="000E5B3A">
        <w:rPr>
          <w:snapToGrid w:val="0"/>
        </w:rPr>
        <w:t xml:space="preserve">After disease progression, patients randomised to placebo + CP could elect to receive open label retifanlimab monotherapy for up to one year. </w:t>
      </w:r>
      <w:r w:rsidRPr="000E5B3A">
        <w:rPr>
          <w:snapToGrid w:val="0"/>
        </w:rPr>
        <w:t xml:space="preserve">The PBAC considered that </w:t>
      </w:r>
      <w:r w:rsidR="00C1150E" w:rsidRPr="000E5B3A">
        <w:rPr>
          <w:snapToGrid w:val="0"/>
        </w:rPr>
        <w:t>the trial was well designed and at low risk of bias</w:t>
      </w:r>
      <w:r w:rsidR="00EE05D1" w:rsidRPr="000E5B3A">
        <w:rPr>
          <w:snapToGrid w:val="0"/>
        </w:rPr>
        <w:t xml:space="preserve"> </w:t>
      </w:r>
      <w:r w:rsidR="003E3DD7" w:rsidRPr="000E5B3A">
        <w:rPr>
          <w:snapToGrid w:val="0"/>
        </w:rPr>
        <w:t>during</w:t>
      </w:r>
      <w:r w:rsidR="00EE05D1" w:rsidRPr="000E5B3A">
        <w:rPr>
          <w:snapToGrid w:val="0"/>
        </w:rPr>
        <w:t xml:space="preserve"> the </w:t>
      </w:r>
      <w:r w:rsidR="00387217" w:rsidRPr="000E5B3A">
        <w:rPr>
          <w:snapToGrid w:val="0"/>
        </w:rPr>
        <w:t>double-blind</w:t>
      </w:r>
      <w:r w:rsidR="003E3DD7" w:rsidRPr="000E5B3A">
        <w:rPr>
          <w:snapToGrid w:val="0"/>
        </w:rPr>
        <w:t xml:space="preserve"> period</w:t>
      </w:r>
      <w:r w:rsidR="00165F15" w:rsidRPr="000E5B3A">
        <w:rPr>
          <w:snapToGrid w:val="0"/>
        </w:rPr>
        <w:t xml:space="preserve"> (until progression</w:t>
      </w:r>
      <w:r w:rsidR="00387217" w:rsidRPr="000E5B3A">
        <w:rPr>
          <w:snapToGrid w:val="0"/>
        </w:rPr>
        <w:t>) and</w:t>
      </w:r>
      <w:r w:rsidR="00B40DC8" w:rsidRPr="000E5B3A">
        <w:rPr>
          <w:rFonts w:eastAsia="Times New Roman" w:cs="Arial"/>
          <w:snapToGrid w:val="0"/>
          <w:szCs w:val="24"/>
        </w:rPr>
        <w:t xml:space="preserve"> acknowledged the </w:t>
      </w:r>
      <w:r w:rsidR="003672A4" w:rsidRPr="000E5B3A">
        <w:rPr>
          <w:rFonts w:eastAsia="Times New Roman" w:cs="Arial"/>
          <w:snapToGrid w:val="0"/>
          <w:szCs w:val="24"/>
        </w:rPr>
        <w:t>challenges</w:t>
      </w:r>
      <w:r w:rsidR="00B40DC8" w:rsidRPr="000E5B3A">
        <w:rPr>
          <w:rFonts w:eastAsia="Times New Roman" w:cs="Arial"/>
          <w:snapToGrid w:val="0"/>
          <w:szCs w:val="24"/>
        </w:rPr>
        <w:t xml:space="preserve"> in conduc</w:t>
      </w:r>
      <w:r w:rsidR="003672A4" w:rsidRPr="000E5B3A">
        <w:rPr>
          <w:rFonts w:eastAsia="Times New Roman" w:cs="Arial"/>
          <w:snapToGrid w:val="0"/>
          <w:szCs w:val="24"/>
        </w:rPr>
        <w:t>t</w:t>
      </w:r>
      <w:r w:rsidR="00B40DC8" w:rsidRPr="000E5B3A">
        <w:rPr>
          <w:rFonts w:eastAsia="Times New Roman" w:cs="Arial"/>
          <w:snapToGrid w:val="0"/>
          <w:szCs w:val="24"/>
        </w:rPr>
        <w:t>ing an RCT in this</w:t>
      </w:r>
      <w:r w:rsidR="003672A4" w:rsidRPr="000E5B3A">
        <w:rPr>
          <w:rFonts w:eastAsia="Times New Roman" w:cs="Arial"/>
          <w:snapToGrid w:val="0"/>
          <w:szCs w:val="24"/>
        </w:rPr>
        <w:t xml:space="preserve"> rare</w:t>
      </w:r>
      <w:r w:rsidR="00B40DC8" w:rsidRPr="000E5B3A">
        <w:rPr>
          <w:rFonts w:eastAsia="Times New Roman" w:cs="Arial"/>
          <w:snapToGrid w:val="0"/>
          <w:szCs w:val="24"/>
        </w:rPr>
        <w:t xml:space="preserve"> </w:t>
      </w:r>
      <w:r w:rsidR="004637BB">
        <w:rPr>
          <w:rFonts w:eastAsia="Times New Roman" w:cs="Arial"/>
          <w:snapToGrid w:val="0"/>
          <w:szCs w:val="24"/>
        </w:rPr>
        <w:t>condition</w:t>
      </w:r>
      <w:r w:rsidR="00B40DC8" w:rsidRPr="000E5B3A">
        <w:rPr>
          <w:rFonts w:eastAsia="Times New Roman" w:cs="Arial"/>
          <w:snapToGrid w:val="0"/>
          <w:szCs w:val="24"/>
        </w:rPr>
        <w:t xml:space="preserve">. </w:t>
      </w:r>
      <w:r w:rsidR="00161ECB" w:rsidRPr="000E5B3A">
        <w:rPr>
          <w:rFonts w:eastAsia="Times New Roman" w:cs="Arial"/>
          <w:snapToGrid w:val="0"/>
          <w:szCs w:val="24"/>
        </w:rPr>
        <w:t xml:space="preserve">The PBAC considered that the trial population and processes of care were representative of care in Australia. </w:t>
      </w:r>
    </w:p>
    <w:p w14:paraId="064E2AEE" w14:textId="071E5A30" w:rsidR="00DC65B5" w:rsidRPr="000E5B3A" w:rsidRDefault="00982774" w:rsidP="00DC65B5">
      <w:pPr>
        <w:pStyle w:val="3-BodyText"/>
      </w:pPr>
      <w:bookmarkStart w:id="108" w:name="_Ref215048214"/>
      <w:r w:rsidRPr="000E5B3A">
        <w:t xml:space="preserve">The PBAC considered that there was </w:t>
      </w:r>
      <w:r w:rsidR="00826D38" w:rsidRPr="000E5B3A">
        <w:t>strong evidence to support</w:t>
      </w:r>
      <w:r w:rsidRPr="000E5B3A">
        <w:t xml:space="preserve"> </w:t>
      </w:r>
      <w:r w:rsidR="00E171FE">
        <w:t xml:space="preserve">a </w:t>
      </w:r>
      <w:r w:rsidRPr="000E5B3A">
        <w:t xml:space="preserve">PFS benefit </w:t>
      </w:r>
      <w:r w:rsidR="00826D38" w:rsidRPr="000E5B3A">
        <w:t>in POD1UM-303</w:t>
      </w:r>
      <w:r w:rsidR="00EA053C" w:rsidRPr="000E5B3A">
        <w:t xml:space="preserve">, with a </w:t>
      </w:r>
      <w:r w:rsidR="00826D38" w:rsidRPr="000E5B3A">
        <w:t>PFS hazard ratio</w:t>
      </w:r>
      <w:r w:rsidR="00EA053C" w:rsidRPr="000E5B3A">
        <w:t xml:space="preserve"> (</w:t>
      </w:r>
      <w:r w:rsidR="002F53C4" w:rsidRPr="000E5B3A">
        <w:t>HR</w:t>
      </w:r>
      <w:r w:rsidR="00EA053C" w:rsidRPr="000E5B3A">
        <w:t>) of</w:t>
      </w:r>
      <w:r w:rsidR="002F53C4" w:rsidRPr="000E5B3A">
        <w:t xml:space="preserve"> 0.63 (</w:t>
      </w:r>
      <w:r w:rsidR="00867197">
        <w:t xml:space="preserve">95% CI: </w:t>
      </w:r>
      <w:r w:rsidR="002F53C4" w:rsidRPr="000E5B3A">
        <w:t>0.47, 0.84)</w:t>
      </w:r>
      <w:r w:rsidR="00EA053C" w:rsidRPr="000E5B3A">
        <w:t xml:space="preserve">. </w:t>
      </w:r>
      <w:r w:rsidR="0004549D" w:rsidRPr="000E5B3A">
        <w:t>T</w:t>
      </w:r>
      <w:r w:rsidR="00912264" w:rsidRPr="000E5B3A">
        <w:t xml:space="preserve">he PBAC </w:t>
      </w:r>
      <w:r w:rsidR="0004549D" w:rsidRPr="000E5B3A">
        <w:t>considered</w:t>
      </w:r>
      <w:r w:rsidR="00912264" w:rsidRPr="000E5B3A">
        <w:t xml:space="preserve"> that </w:t>
      </w:r>
      <w:r w:rsidR="005559CA">
        <w:t>an</w:t>
      </w:r>
      <w:r w:rsidR="002D029D" w:rsidRPr="000E5B3A">
        <w:t xml:space="preserve"> OS benefit</w:t>
      </w:r>
      <w:r w:rsidR="005559CA">
        <w:t xml:space="preserve"> was likely</w:t>
      </w:r>
      <w:r w:rsidR="0019005F" w:rsidRPr="000E5B3A">
        <w:t xml:space="preserve">, </w:t>
      </w:r>
      <w:r w:rsidR="001C2569">
        <w:t>noting</w:t>
      </w:r>
      <w:r w:rsidR="001C2569" w:rsidRPr="000E5B3A">
        <w:t xml:space="preserve"> </w:t>
      </w:r>
      <w:r w:rsidR="00901049" w:rsidRPr="000E5B3A">
        <w:t xml:space="preserve">an OS </w:t>
      </w:r>
      <w:r w:rsidR="0004549D" w:rsidRPr="000E5B3A">
        <w:t xml:space="preserve">HR </w:t>
      </w:r>
      <w:r w:rsidR="00901049" w:rsidRPr="000E5B3A">
        <w:t xml:space="preserve">of </w:t>
      </w:r>
      <w:r w:rsidR="0004549D" w:rsidRPr="000E5B3A">
        <w:t xml:space="preserve">0.70 </w:t>
      </w:r>
      <w:r w:rsidR="002637AB" w:rsidRPr="000E5B3A">
        <w:rPr>
          <w:snapToGrid w:val="0"/>
        </w:rPr>
        <w:t>(95% CI: 0.49, 1.01; p = 0.0273</w:t>
      </w:r>
      <w:r w:rsidR="0004549D" w:rsidRPr="000E5B3A">
        <w:t>)</w:t>
      </w:r>
      <w:r w:rsidR="008C5C94" w:rsidRPr="000E5B3A">
        <w:t xml:space="preserve">; however </w:t>
      </w:r>
      <w:r w:rsidR="0004549D" w:rsidRPr="000E5B3A">
        <w:t xml:space="preserve">the </w:t>
      </w:r>
      <w:r w:rsidR="002D029D" w:rsidRPr="000E5B3A">
        <w:t xml:space="preserve">magnitude </w:t>
      </w:r>
      <w:r w:rsidR="001C2569">
        <w:t>w</w:t>
      </w:r>
      <w:r w:rsidR="00100B73">
        <w:t>a</w:t>
      </w:r>
      <w:r w:rsidR="001C2569" w:rsidRPr="000E5B3A">
        <w:t xml:space="preserve">s </w:t>
      </w:r>
      <w:r w:rsidR="002D029D" w:rsidRPr="000E5B3A">
        <w:t>uncertain</w:t>
      </w:r>
      <w:r w:rsidR="0004549D" w:rsidRPr="000E5B3A">
        <w:t xml:space="preserve"> due to </w:t>
      </w:r>
      <w:r w:rsidR="001D68F7">
        <w:t xml:space="preserve">relatively </w:t>
      </w:r>
      <w:r w:rsidR="0004549D" w:rsidRPr="000E5B3A">
        <w:t>immature OS data (</w:t>
      </w:r>
      <w:r w:rsidR="0004549D" w:rsidRPr="00F25AF1">
        <w:t xml:space="preserve">only 41% </w:t>
      </w:r>
      <w:r w:rsidR="001D68F7" w:rsidRPr="00F25AF1">
        <w:t xml:space="preserve">of patients </w:t>
      </w:r>
      <w:r w:rsidR="007C4515" w:rsidRPr="00F25AF1">
        <w:t>had died</w:t>
      </w:r>
      <w:r w:rsidR="0004549D" w:rsidRPr="00F25AF1">
        <w:t xml:space="preserve">), </w:t>
      </w:r>
      <w:r w:rsidR="006A6458" w:rsidRPr="00F25AF1">
        <w:t xml:space="preserve">and </w:t>
      </w:r>
      <w:r w:rsidR="00B32B82" w:rsidRPr="00F25AF1">
        <w:t xml:space="preserve">potential confounding due to </w:t>
      </w:r>
      <w:r w:rsidR="005E0B99" w:rsidRPr="00F25AF1">
        <w:t>45%</w:t>
      </w:r>
      <w:r w:rsidR="004E6139" w:rsidRPr="00F25AF1">
        <w:t xml:space="preserve"> of patients </w:t>
      </w:r>
      <w:r w:rsidR="003A6A91" w:rsidRPr="00F25AF1">
        <w:t>randomised to</w:t>
      </w:r>
      <w:r w:rsidR="004E6139" w:rsidRPr="00F25AF1">
        <w:t xml:space="preserve"> the p</w:t>
      </w:r>
      <w:r w:rsidR="004E6139" w:rsidRPr="00F211A0">
        <w:t>lacebo arm</w:t>
      </w:r>
      <w:r w:rsidR="005E0B99" w:rsidRPr="00F211A0">
        <w:t xml:space="preserve"> cross</w:t>
      </w:r>
      <w:r w:rsidR="004E6139" w:rsidRPr="00F211A0">
        <w:t xml:space="preserve">ing </w:t>
      </w:r>
      <w:r w:rsidR="005E0B99" w:rsidRPr="00F211A0">
        <w:t>over</w:t>
      </w:r>
      <w:r w:rsidR="00743799" w:rsidRPr="00F211A0">
        <w:t xml:space="preserve"> </w:t>
      </w:r>
      <w:r w:rsidR="00B32B82" w:rsidRPr="00F211A0">
        <w:t xml:space="preserve">to </w:t>
      </w:r>
      <w:r w:rsidR="000D514B">
        <w:t xml:space="preserve">receive </w:t>
      </w:r>
      <w:r w:rsidR="00B32B82" w:rsidRPr="00F211A0">
        <w:t xml:space="preserve">retifanlimab monotherapy </w:t>
      </w:r>
      <w:r w:rsidR="005E0B99" w:rsidRPr="00F211A0">
        <w:t>a</w:t>
      </w:r>
      <w:r w:rsidR="00743799" w:rsidRPr="00F211A0">
        <w:t>f</w:t>
      </w:r>
      <w:r w:rsidR="005E0B99" w:rsidRPr="00F211A0">
        <w:t>t</w:t>
      </w:r>
      <w:r w:rsidR="00743799" w:rsidRPr="00F211A0">
        <w:t>er</w:t>
      </w:r>
      <w:r w:rsidR="005E0B99" w:rsidRPr="00F211A0">
        <w:t xml:space="preserve"> </w:t>
      </w:r>
      <w:r w:rsidR="00CD7898" w:rsidRPr="00F211A0">
        <w:t xml:space="preserve">disease </w:t>
      </w:r>
      <w:r w:rsidR="005E0B99" w:rsidRPr="00F211A0">
        <w:t>progression</w:t>
      </w:r>
      <w:r w:rsidR="00B32B82" w:rsidRPr="00F211A0">
        <w:t xml:space="preserve">. The PBAC </w:t>
      </w:r>
      <w:r w:rsidR="00747DAF" w:rsidRPr="00F211A0">
        <w:t>noted that the submission</w:t>
      </w:r>
      <w:r w:rsidR="00747DAF" w:rsidRPr="000E5B3A">
        <w:t xml:space="preserve"> </w:t>
      </w:r>
      <w:r w:rsidR="00B75F16" w:rsidRPr="000E5B3A">
        <w:t>used the rank</w:t>
      </w:r>
      <w:r w:rsidR="006C4FF8">
        <w:noBreakHyphen/>
      </w:r>
      <w:r w:rsidR="00B75F16" w:rsidRPr="000E5B3A">
        <w:t>preserving structural failure time (RPSFT) and inverse probability of censoring weighting (</w:t>
      </w:r>
      <w:r w:rsidR="00B75F16" w:rsidRPr="007209FE">
        <w:t xml:space="preserve">IPCW) models to conduct </w:t>
      </w:r>
      <w:r w:rsidR="00B75F16" w:rsidRPr="007209FE">
        <w:rPr>
          <w:i/>
          <w:iCs/>
        </w:rPr>
        <w:t>post hoc</w:t>
      </w:r>
      <w:r w:rsidR="00B75F16" w:rsidRPr="007209FE">
        <w:t xml:space="preserve"> adjustments for treatment switching</w:t>
      </w:r>
      <w:r w:rsidR="000472F0" w:rsidRPr="007209FE">
        <w:t xml:space="preserve"> (</w:t>
      </w:r>
      <w:r w:rsidR="000472F0" w:rsidRPr="007209FE">
        <w:rPr>
          <w:snapToGrid w:val="0"/>
        </w:rPr>
        <w:t>RPSFT: OS HR = 0.6</w:t>
      </w:r>
      <w:r w:rsidR="00B95DB7" w:rsidRPr="007209FE">
        <w:rPr>
          <w:snapToGrid w:val="0"/>
        </w:rPr>
        <w:t>3</w:t>
      </w:r>
      <w:r w:rsidR="000472F0" w:rsidRPr="007209FE">
        <w:rPr>
          <w:snapToGrid w:val="0"/>
        </w:rPr>
        <w:t>, 95% CI 0.44, 0.90, p=0.0055; IPCW: OS HR = 0.61, 95% CI 0.40, 0.9</w:t>
      </w:r>
      <w:r w:rsidR="00524DCC" w:rsidRPr="007209FE">
        <w:rPr>
          <w:snapToGrid w:val="0"/>
        </w:rPr>
        <w:t>5</w:t>
      </w:r>
      <w:r w:rsidR="000472F0" w:rsidRPr="007209FE">
        <w:rPr>
          <w:snapToGrid w:val="0"/>
        </w:rPr>
        <w:t>, p=0.0063</w:t>
      </w:r>
      <w:r w:rsidR="000472F0" w:rsidRPr="007209FE">
        <w:t>)</w:t>
      </w:r>
      <w:r w:rsidR="002637AB" w:rsidRPr="007209FE">
        <w:t xml:space="preserve">, </w:t>
      </w:r>
      <w:r w:rsidR="003D32CC" w:rsidRPr="007209FE">
        <w:t xml:space="preserve">which the submission claimed were statistically significant (paragraphs </w:t>
      </w:r>
      <w:r w:rsidR="003D32CC" w:rsidRPr="007209FE">
        <w:fldChar w:fldCharType="begin"/>
      </w:r>
      <w:r w:rsidR="003D32CC" w:rsidRPr="007209FE">
        <w:instrText xml:space="preserve"> REF _Ref215043099 \r \h </w:instrText>
      </w:r>
      <w:r w:rsidR="007209FE">
        <w:instrText xml:space="preserve"> \* MERGEFORMAT </w:instrText>
      </w:r>
      <w:r w:rsidR="003D32CC" w:rsidRPr="007209FE">
        <w:fldChar w:fldCharType="separate"/>
      </w:r>
      <w:r w:rsidR="00DB6E72">
        <w:t>6.14</w:t>
      </w:r>
      <w:r w:rsidR="003D32CC" w:rsidRPr="007209FE">
        <w:fldChar w:fldCharType="end"/>
      </w:r>
      <w:r w:rsidR="003D32CC" w:rsidRPr="007209FE">
        <w:t xml:space="preserve"> - </w:t>
      </w:r>
      <w:r w:rsidR="003D32CC" w:rsidRPr="007209FE">
        <w:fldChar w:fldCharType="begin"/>
      </w:r>
      <w:r w:rsidR="003D32CC" w:rsidRPr="007209FE">
        <w:instrText xml:space="preserve"> REF _Ref215043100 \r \h </w:instrText>
      </w:r>
      <w:r w:rsidR="007209FE">
        <w:instrText xml:space="preserve"> \* MERGEFORMAT </w:instrText>
      </w:r>
      <w:r w:rsidR="003D32CC" w:rsidRPr="007209FE">
        <w:fldChar w:fldCharType="separate"/>
      </w:r>
      <w:r w:rsidR="00DB6E72">
        <w:t>6.16</w:t>
      </w:r>
      <w:r w:rsidR="003D32CC" w:rsidRPr="007209FE">
        <w:fldChar w:fldCharType="end"/>
      </w:r>
      <w:r w:rsidR="003D32CC" w:rsidRPr="007209FE">
        <w:t xml:space="preserve">). </w:t>
      </w:r>
      <w:r w:rsidR="0023600F" w:rsidRPr="007209FE">
        <w:t xml:space="preserve">However, the PBAC </w:t>
      </w:r>
      <w:r w:rsidR="00B32B82" w:rsidRPr="007209FE">
        <w:t xml:space="preserve">considered that the </w:t>
      </w:r>
      <w:r w:rsidR="0023600F" w:rsidRPr="007209FE">
        <w:t>RPFST and IPCW</w:t>
      </w:r>
      <w:r w:rsidR="005E0B99" w:rsidRPr="007209FE">
        <w:t xml:space="preserve"> OS analys</w:t>
      </w:r>
      <w:r w:rsidR="0023600F" w:rsidRPr="007209FE">
        <w:t>es</w:t>
      </w:r>
      <w:r w:rsidR="005E0B99" w:rsidRPr="007209FE">
        <w:t xml:space="preserve"> </w:t>
      </w:r>
      <w:r w:rsidR="0023600F" w:rsidRPr="007209FE">
        <w:t>were</w:t>
      </w:r>
      <w:r w:rsidR="00C677FB" w:rsidRPr="007209FE">
        <w:t xml:space="preserve"> highly uncertain and</w:t>
      </w:r>
      <w:r w:rsidR="00916B81" w:rsidRPr="007209FE">
        <w:t xml:space="preserve"> </w:t>
      </w:r>
      <w:r w:rsidR="005E0B99" w:rsidRPr="007209FE">
        <w:t>not well supported</w:t>
      </w:r>
      <w:r w:rsidR="005936E4" w:rsidRPr="007209FE">
        <w:t>. This was</w:t>
      </w:r>
      <w:r w:rsidR="005936E4">
        <w:t xml:space="preserve"> </w:t>
      </w:r>
      <w:r w:rsidR="006678BB">
        <w:t>because</w:t>
      </w:r>
      <w:r w:rsidR="0030513C" w:rsidRPr="000E5B3A">
        <w:t xml:space="preserve"> </w:t>
      </w:r>
      <w:r w:rsidR="00815F2A">
        <w:t>of the</w:t>
      </w:r>
      <w:r w:rsidR="00815F2A" w:rsidRPr="000E5B3A">
        <w:t xml:space="preserve"> relatively short duration of </w:t>
      </w:r>
      <w:r w:rsidR="00815F2A">
        <w:t xml:space="preserve">use of </w:t>
      </w:r>
      <w:r w:rsidR="00815F2A" w:rsidRPr="000E5B3A">
        <w:t>second-line (2L) retifanlimab monotherapy</w:t>
      </w:r>
      <w:r w:rsidR="00815F2A">
        <w:t xml:space="preserve">, and because </w:t>
      </w:r>
      <w:r w:rsidR="0016219E">
        <w:t>several</w:t>
      </w:r>
      <w:r w:rsidR="0016219E" w:rsidRPr="004A71B2">
        <w:t xml:space="preserve"> </w:t>
      </w:r>
      <w:r w:rsidR="004A71B2" w:rsidRPr="004A71B2">
        <w:t xml:space="preserve">of the assumptions </w:t>
      </w:r>
      <w:r w:rsidR="0016219E">
        <w:t>underpinning</w:t>
      </w:r>
      <w:r w:rsidR="004A71B2" w:rsidRPr="004A71B2">
        <w:t xml:space="preserve"> the crossover adjustments were unlikely to </w:t>
      </w:r>
      <w:r w:rsidR="00282340">
        <w:t xml:space="preserve">hold. </w:t>
      </w:r>
      <w:r w:rsidR="00825505">
        <w:t>These</w:t>
      </w:r>
      <w:r w:rsidR="00951226">
        <w:t xml:space="preserve"> </w:t>
      </w:r>
      <w:r w:rsidR="009C1614">
        <w:t>includ</w:t>
      </w:r>
      <w:r w:rsidR="00951226">
        <w:t>ed</w:t>
      </w:r>
      <w:r w:rsidR="00FC3F7E">
        <w:t xml:space="preserve"> </w:t>
      </w:r>
      <w:r w:rsidR="00B435E2">
        <w:t xml:space="preserve">the following </w:t>
      </w:r>
      <w:r w:rsidR="00FC3F7E">
        <w:t>assumption</w:t>
      </w:r>
      <w:r w:rsidR="009D7E1A">
        <w:t>s</w:t>
      </w:r>
      <w:r w:rsidR="002938F6">
        <w:t>:</w:t>
      </w:r>
      <w:r w:rsidR="00B87872">
        <w:t xml:space="preserve"> </w:t>
      </w:r>
      <w:r w:rsidR="00F569CE">
        <w:t>constant treatment effect (</w:t>
      </w:r>
      <w:r w:rsidR="00190752">
        <w:t xml:space="preserve">because </w:t>
      </w:r>
      <w:r w:rsidR="00DF6B2E">
        <w:t xml:space="preserve">the </w:t>
      </w:r>
      <w:r w:rsidR="00D76936" w:rsidRPr="000E5B3A">
        <w:t xml:space="preserve">OS benefit </w:t>
      </w:r>
      <w:r w:rsidR="00402FC3">
        <w:t>of</w:t>
      </w:r>
      <w:r w:rsidR="00D76936" w:rsidRPr="000E5B3A">
        <w:t xml:space="preserve"> </w:t>
      </w:r>
      <w:r w:rsidR="00402FC3" w:rsidRPr="000E5B3A">
        <w:t xml:space="preserve">retifanlimab </w:t>
      </w:r>
      <w:r w:rsidR="00D76936" w:rsidRPr="000E5B3A">
        <w:t>in 2L</w:t>
      </w:r>
      <w:r w:rsidR="00D76936">
        <w:t xml:space="preserve"> </w:t>
      </w:r>
      <w:r w:rsidR="00F058A5">
        <w:t>as</w:t>
      </w:r>
      <w:r w:rsidR="004E6B03">
        <w:t xml:space="preserve"> monotherapy</w:t>
      </w:r>
      <w:r w:rsidR="004E6B03" w:rsidRPr="004E6B03">
        <w:t xml:space="preserve"> </w:t>
      </w:r>
      <w:r w:rsidR="00B9661D">
        <w:t>i</w:t>
      </w:r>
      <w:r w:rsidR="00402FC3">
        <w:t xml:space="preserve">s </w:t>
      </w:r>
      <w:r w:rsidR="00402FC3" w:rsidRPr="000E5B3A">
        <w:t>likely</w:t>
      </w:r>
      <w:r w:rsidR="00402FC3">
        <w:t xml:space="preserve"> </w:t>
      </w:r>
      <w:r w:rsidR="00402FC3" w:rsidRPr="000E5B3A">
        <w:t>smaller</w:t>
      </w:r>
      <w:r w:rsidR="00F058A5">
        <w:t xml:space="preserve"> than in 1L in combination with CP</w:t>
      </w:r>
      <w:r w:rsidR="00402FC3">
        <w:t>)</w:t>
      </w:r>
      <w:r w:rsidR="003B6C52">
        <w:t>;</w:t>
      </w:r>
      <w:r w:rsidR="00402FC3">
        <w:t xml:space="preserve"> </w:t>
      </w:r>
      <w:r w:rsidR="004E6B03" w:rsidRPr="004E6B03">
        <w:t>that all prognostic factors at the time of disease progression were accounted for</w:t>
      </w:r>
      <w:r w:rsidR="003B6C52">
        <w:t>;</w:t>
      </w:r>
      <w:r w:rsidR="004E6B03" w:rsidRPr="004E6B03">
        <w:t xml:space="preserve"> and</w:t>
      </w:r>
      <w:r w:rsidR="0056769B">
        <w:t xml:space="preserve"> that</w:t>
      </w:r>
      <w:r w:rsidR="004E6B03" w:rsidRPr="004E6B03">
        <w:t xml:space="preserve"> there were no other unobserved confounders</w:t>
      </w:r>
      <w:r w:rsidR="00E64407">
        <w:t xml:space="preserve"> </w:t>
      </w:r>
      <w:r w:rsidR="003B4BB6" w:rsidRPr="000E5B3A">
        <w:t xml:space="preserve">(paragraph </w:t>
      </w:r>
      <w:r w:rsidR="003B4BB6" w:rsidRPr="000E5B3A">
        <w:fldChar w:fldCharType="begin"/>
      </w:r>
      <w:r w:rsidR="003B4BB6" w:rsidRPr="000E5B3A">
        <w:instrText xml:space="preserve"> REF _Ref211443685 \r \h </w:instrText>
      </w:r>
      <w:r w:rsidR="00AD72D0" w:rsidRPr="000E5B3A">
        <w:instrText xml:space="preserve"> \* MERGEFORMAT </w:instrText>
      </w:r>
      <w:r w:rsidR="003B4BB6" w:rsidRPr="000E5B3A">
        <w:fldChar w:fldCharType="separate"/>
      </w:r>
      <w:r w:rsidR="00DB6E72">
        <w:t>6.17</w:t>
      </w:r>
      <w:r w:rsidR="003B4BB6" w:rsidRPr="000E5B3A">
        <w:fldChar w:fldCharType="end"/>
      </w:r>
      <w:r w:rsidR="003B4BB6" w:rsidRPr="000E5B3A">
        <w:t xml:space="preserve">). </w:t>
      </w:r>
      <w:r w:rsidR="00471366" w:rsidRPr="000E5B3A">
        <w:t>The PBAC considered that the ITT OS results were more informative</w:t>
      </w:r>
      <w:r w:rsidR="00A65370">
        <w:t xml:space="preserve"> than the results adjusted for crossover</w:t>
      </w:r>
      <w:r w:rsidR="00471366" w:rsidRPr="000E5B3A">
        <w:t>.</w:t>
      </w:r>
      <w:r w:rsidR="00C52D11" w:rsidRPr="000E5B3A">
        <w:t xml:space="preserve"> </w:t>
      </w:r>
      <w:r w:rsidR="00DC65B5" w:rsidRPr="000E5B3A">
        <w:t>Overall, the PBAC considered that the claim of superior comparative effectiveness was reasonable</w:t>
      </w:r>
      <w:r w:rsidR="00EA01EA" w:rsidRPr="000E5B3A">
        <w:t>, but the magnitude of OS benefit remain</w:t>
      </w:r>
      <w:r w:rsidR="00C54C07">
        <w:t>ed</w:t>
      </w:r>
      <w:r w:rsidR="00EA01EA" w:rsidRPr="000E5B3A">
        <w:t xml:space="preserve"> uncertain</w:t>
      </w:r>
      <w:r w:rsidR="00DC65B5" w:rsidRPr="000E5B3A">
        <w:t>.</w:t>
      </w:r>
      <w:bookmarkEnd w:id="108"/>
    </w:p>
    <w:p w14:paraId="0369E82D" w14:textId="6FD64378" w:rsidR="00471366" w:rsidRDefault="002B3E81" w:rsidP="00C53144">
      <w:pPr>
        <w:pStyle w:val="3-BodyText"/>
      </w:pPr>
      <w:bookmarkStart w:id="109" w:name="_Ref229469788"/>
      <w:r w:rsidRPr="000E5B3A">
        <w:t>The PBAC noted that adverse events (</w:t>
      </w:r>
      <w:r w:rsidR="00C42762" w:rsidRPr="000E5B3A">
        <w:t>AEs</w:t>
      </w:r>
      <w:r w:rsidRPr="000E5B3A">
        <w:t>)</w:t>
      </w:r>
      <w:r w:rsidR="00C42762" w:rsidRPr="000E5B3A">
        <w:t xml:space="preserve"> were more commonly observed to occur in the retifanlimab + CP arm of POD1UM-303</w:t>
      </w:r>
      <w:r w:rsidR="0045562B" w:rsidRPr="000E5B3A">
        <w:t xml:space="preserve"> including </w:t>
      </w:r>
      <w:r w:rsidR="00C42762" w:rsidRPr="000E5B3A">
        <w:t>higher rate</w:t>
      </w:r>
      <w:r w:rsidR="00032A6E" w:rsidRPr="000E5B3A">
        <w:t>s</w:t>
      </w:r>
      <w:r w:rsidR="00C42762" w:rsidRPr="000E5B3A">
        <w:t xml:space="preserve"> of </w:t>
      </w:r>
      <w:r w:rsidR="00C42762" w:rsidRPr="000E5B3A">
        <w:lastRenderedPageBreak/>
        <w:t xml:space="preserve">retifanlimab/placebo-related TEAEs (RR 1.15; 95% CI 1.04, 1.28), serious retifanlimab/placebo-related TEAEs (RR 2.47; 95% CI 1.23, 4.96) and </w:t>
      </w:r>
      <w:r w:rsidR="002A6573" w:rsidRPr="000E5B3A">
        <w:t xml:space="preserve">retifanlimab/placebo </w:t>
      </w:r>
      <w:r w:rsidR="00C42762" w:rsidRPr="000E5B3A">
        <w:t xml:space="preserve">treatment discontinuation due to </w:t>
      </w:r>
      <w:r w:rsidR="00032A6E" w:rsidRPr="000E5B3A">
        <w:t xml:space="preserve">a </w:t>
      </w:r>
      <w:r w:rsidR="00C42762" w:rsidRPr="000E5B3A">
        <w:t xml:space="preserve">TEAE (RR 4.19; 95% CI 1.44, 12.18) compared to the placebo + CP arm. </w:t>
      </w:r>
      <w:r w:rsidR="000E055A" w:rsidRPr="000E5B3A">
        <w:t xml:space="preserve">The PBAC </w:t>
      </w:r>
      <w:r w:rsidR="00547248" w:rsidRPr="000E5B3A">
        <w:t>considered</w:t>
      </w:r>
      <w:r w:rsidR="000E055A" w:rsidRPr="000E5B3A">
        <w:t xml:space="preserve"> that </w:t>
      </w:r>
      <w:r w:rsidR="00CA204E">
        <w:t xml:space="preserve">the </w:t>
      </w:r>
      <w:r w:rsidR="000E055A" w:rsidRPr="000E5B3A">
        <w:t xml:space="preserve">additional toxicity was </w:t>
      </w:r>
      <w:r w:rsidR="00547248" w:rsidRPr="000E5B3A">
        <w:t xml:space="preserve">consistent with </w:t>
      </w:r>
      <w:r w:rsidR="000667DA">
        <w:t>that observed</w:t>
      </w:r>
      <w:r w:rsidR="00CA204E">
        <w:t xml:space="preserve"> with</w:t>
      </w:r>
      <w:r w:rsidR="000667DA">
        <w:t xml:space="preserve"> </w:t>
      </w:r>
      <w:r w:rsidR="00547248" w:rsidRPr="000E5B3A">
        <w:t>other immunotherapy agents</w:t>
      </w:r>
      <w:r w:rsidR="000E055A" w:rsidRPr="000E5B3A">
        <w:t>.</w:t>
      </w:r>
      <w:r w:rsidR="00547248" w:rsidRPr="000E5B3A">
        <w:t xml:space="preserve"> The PBAC noted low </w:t>
      </w:r>
      <w:r w:rsidR="007B0842" w:rsidRPr="000E5B3A">
        <w:t xml:space="preserve">completion rates for </w:t>
      </w:r>
      <w:r w:rsidR="009C15D9" w:rsidRPr="000E5B3A">
        <w:t>health-related quality of life (HRQoL) patient-reported outcomes assessed in POD1UM-303</w:t>
      </w:r>
      <w:r w:rsidR="00C53144" w:rsidRPr="000E5B3A">
        <w:t xml:space="preserve"> (paragraph</w:t>
      </w:r>
      <w:r w:rsidR="005808AA" w:rsidRPr="000E5B3A">
        <w:t>s</w:t>
      </w:r>
      <w:r w:rsidR="00C53144" w:rsidRPr="000E5B3A">
        <w:t xml:space="preserve"> </w:t>
      </w:r>
      <w:r w:rsidR="003869FC" w:rsidRPr="000E5B3A">
        <w:fldChar w:fldCharType="begin"/>
      </w:r>
      <w:r w:rsidR="003869FC" w:rsidRPr="000E5B3A">
        <w:instrText xml:space="preserve"> REF _Ref215045752 \r \h </w:instrText>
      </w:r>
      <w:r w:rsidR="003869FC" w:rsidRPr="000E5B3A">
        <w:fldChar w:fldCharType="separate"/>
      </w:r>
      <w:r w:rsidR="00DB6E72">
        <w:t>6.21</w:t>
      </w:r>
      <w:r w:rsidR="003869FC" w:rsidRPr="000E5B3A">
        <w:fldChar w:fldCharType="end"/>
      </w:r>
      <w:r w:rsidR="005808AA" w:rsidRPr="000E5B3A">
        <w:t xml:space="preserve"> - </w:t>
      </w:r>
      <w:r w:rsidR="005808AA" w:rsidRPr="000E5B3A">
        <w:fldChar w:fldCharType="begin"/>
      </w:r>
      <w:r w:rsidR="005808AA" w:rsidRPr="000E5B3A">
        <w:instrText xml:space="preserve"> REF _Ref215045758 \r \h </w:instrText>
      </w:r>
      <w:r w:rsidR="005808AA" w:rsidRPr="000E5B3A">
        <w:fldChar w:fldCharType="separate"/>
      </w:r>
      <w:r w:rsidR="00DB6E72">
        <w:t>6.22</w:t>
      </w:r>
      <w:r w:rsidR="005808AA" w:rsidRPr="000E5B3A">
        <w:fldChar w:fldCharType="end"/>
      </w:r>
      <w:r w:rsidR="00C53144" w:rsidRPr="000E5B3A">
        <w:t>)</w:t>
      </w:r>
      <w:r w:rsidR="009C15D9" w:rsidRPr="000E5B3A">
        <w:t>.</w:t>
      </w:r>
      <w:r w:rsidR="00C53144" w:rsidRPr="000E5B3A">
        <w:t xml:space="preserve"> </w:t>
      </w:r>
      <w:r w:rsidR="00547248" w:rsidRPr="000E5B3A">
        <w:t xml:space="preserve">Overall, the PBAC </w:t>
      </w:r>
      <w:r w:rsidR="00C42762" w:rsidRPr="000E5B3A">
        <w:t>considered the claim of inferior comparative safety was reasonable</w:t>
      </w:r>
      <w:r w:rsidR="00547248" w:rsidRPr="000E5B3A">
        <w:t>.</w:t>
      </w:r>
      <w:bookmarkEnd w:id="109"/>
      <w:r w:rsidR="00547248" w:rsidRPr="000E5B3A">
        <w:t xml:space="preserve"> </w:t>
      </w:r>
    </w:p>
    <w:p w14:paraId="4E15268B" w14:textId="36914745" w:rsidR="005969C7" w:rsidRDefault="0043505D" w:rsidP="008A7EC7">
      <w:pPr>
        <w:pStyle w:val="3-BodyText"/>
        <w:keepNext/>
        <w:keepLines/>
      </w:pPr>
      <w:bookmarkStart w:id="110" w:name="_Ref216350880"/>
      <w:r w:rsidRPr="000E5B3A">
        <w:t>The submission presented a cost-utility analysis based on the POD1UM-303 trial</w:t>
      </w:r>
      <w:r w:rsidR="00F3137B">
        <w:t xml:space="preserve">, </w:t>
      </w:r>
      <w:r w:rsidR="00A65370">
        <w:t>and</w:t>
      </w:r>
      <w:r w:rsidR="00F3137B">
        <w:t xml:space="preserve"> revisions </w:t>
      </w:r>
      <w:r w:rsidR="00A65370">
        <w:t xml:space="preserve">were </w:t>
      </w:r>
      <w:r w:rsidR="00F3137B">
        <w:t>proposed in the pre-PBAC response to address some of the ESC’s key concerns</w:t>
      </w:r>
      <w:r w:rsidRPr="000E5B3A">
        <w:t>.</w:t>
      </w:r>
      <w:r w:rsidR="003B0AF6">
        <w:t xml:space="preserve"> While the </w:t>
      </w:r>
      <w:r w:rsidR="00C7650E">
        <w:t>submission’s</w:t>
      </w:r>
      <w:r w:rsidR="003B0AF6">
        <w:t xml:space="preserve"> </w:t>
      </w:r>
      <w:r w:rsidRPr="000E5B3A">
        <w:t>base case used</w:t>
      </w:r>
      <w:r w:rsidR="00EB6E01">
        <w:t xml:space="preserve"> </w:t>
      </w:r>
      <w:r w:rsidR="00760B66">
        <w:t xml:space="preserve">the OS results that were adjusted for </w:t>
      </w:r>
      <w:r w:rsidR="00EB6E01">
        <w:t>cross-over (</w:t>
      </w:r>
      <w:r w:rsidR="00953FB7">
        <w:t xml:space="preserve">using the </w:t>
      </w:r>
      <w:r w:rsidR="00EB6E01">
        <w:t>RPSFT</w:t>
      </w:r>
      <w:r w:rsidR="00953FB7">
        <w:t xml:space="preserve"> method</w:t>
      </w:r>
      <w:r w:rsidR="00EB6E01">
        <w:t>)</w:t>
      </w:r>
      <w:r w:rsidRPr="000E5B3A">
        <w:t>, th</w:t>
      </w:r>
      <w:r w:rsidR="00F3137B">
        <w:t xml:space="preserve">is was revised to the ITT </w:t>
      </w:r>
      <w:r w:rsidR="00953FB7">
        <w:t xml:space="preserve">OS results </w:t>
      </w:r>
      <w:r w:rsidR="00F3137B">
        <w:t>in the pre</w:t>
      </w:r>
      <w:r w:rsidR="008A7EC7">
        <w:noBreakHyphen/>
      </w:r>
      <w:r w:rsidR="00F3137B">
        <w:t>PBAC</w:t>
      </w:r>
      <w:r w:rsidR="00EB6E01">
        <w:t xml:space="preserve"> response</w:t>
      </w:r>
      <w:r w:rsidR="003B0AF6">
        <w:t xml:space="preserve">. </w:t>
      </w:r>
      <w:r w:rsidR="00710F1D">
        <w:t xml:space="preserve">Further, the pre-PBAC response adjusted </w:t>
      </w:r>
      <w:r w:rsidR="00710F1D" w:rsidRPr="00D24462">
        <w:t xml:space="preserve">the time horizon </w:t>
      </w:r>
      <w:r w:rsidR="00DA7BEE">
        <w:t>from</w:t>
      </w:r>
      <w:r w:rsidR="00DA7BEE" w:rsidRPr="00D24462">
        <w:t xml:space="preserve"> 15 years</w:t>
      </w:r>
      <w:r w:rsidR="00DA7BEE">
        <w:t xml:space="preserve"> </w:t>
      </w:r>
      <w:r w:rsidR="00D24462">
        <w:t>to</w:t>
      </w:r>
      <w:r w:rsidR="00D24462" w:rsidRPr="00D24462">
        <w:t xml:space="preserve"> </w:t>
      </w:r>
      <w:r w:rsidR="00710F1D" w:rsidRPr="00735862">
        <w:t>10</w:t>
      </w:r>
      <w:r w:rsidR="00735862">
        <w:t> </w:t>
      </w:r>
      <w:r w:rsidR="00710F1D" w:rsidRPr="00735862">
        <w:t>years</w:t>
      </w:r>
      <w:r w:rsidR="00710F1D" w:rsidRPr="00D24462">
        <w:t xml:space="preserve"> </w:t>
      </w:r>
      <w:r w:rsidR="00FF0F43">
        <w:t>(maintaining no convergence)</w:t>
      </w:r>
      <w:r w:rsidR="00953FB7">
        <w:t xml:space="preserve"> and included a reduction in the proposed vial price</w:t>
      </w:r>
      <w:r w:rsidR="00710F1D">
        <w:t xml:space="preserve">. </w:t>
      </w:r>
      <w:r w:rsidR="005969C7" w:rsidRPr="005969C7">
        <w:t xml:space="preserve">The PBAC noted that the pre-PBAC response’s revised model estimated an incremental cost effectiveness ratio (ICER) of </w:t>
      </w:r>
      <w:r w:rsidR="00324199" w:rsidRPr="00324199">
        <w:t>$75,000 to &lt; $95,000</w:t>
      </w:r>
      <w:r w:rsidR="005969C7" w:rsidRPr="005969C7">
        <w:t xml:space="preserve"> per QALY. The</w:t>
      </w:r>
      <w:r w:rsidR="00735862">
        <w:t> </w:t>
      </w:r>
      <w:r w:rsidR="005969C7" w:rsidRPr="005969C7">
        <w:t xml:space="preserve">PBAC considered that the </w:t>
      </w:r>
      <w:r w:rsidR="00FE5E08">
        <w:t xml:space="preserve">changes proposed in the </w:t>
      </w:r>
      <w:r w:rsidR="005969C7" w:rsidRPr="005969C7">
        <w:t xml:space="preserve">pre-PBAC </w:t>
      </w:r>
      <w:r w:rsidR="00FE5E08">
        <w:t>response</w:t>
      </w:r>
      <w:r w:rsidR="005969C7" w:rsidRPr="005969C7">
        <w:t xml:space="preserve"> were appropriate, although noted that the ICER remained potentially overestimated due to the assumptions regarding continued benefit over the model time horizon (</w:t>
      </w:r>
      <w:r w:rsidR="00A836A9">
        <w:t>see paragraph</w:t>
      </w:r>
      <w:r w:rsidR="00EC74B3">
        <w:t xml:space="preserve">s </w:t>
      </w:r>
      <w:r w:rsidR="00EC74B3">
        <w:fldChar w:fldCharType="begin"/>
      </w:r>
      <w:r w:rsidR="00EC74B3">
        <w:instrText xml:space="preserve"> REF _Ref215660707 \r \h </w:instrText>
      </w:r>
      <w:r w:rsidR="00EC74B3">
        <w:fldChar w:fldCharType="separate"/>
      </w:r>
      <w:r w:rsidR="00DB6E72">
        <w:t>6.35</w:t>
      </w:r>
      <w:r w:rsidR="00EC74B3">
        <w:fldChar w:fldCharType="end"/>
      </w:r>
      <w:r w:rsidR="00EC74B3">
        <w:t xml:space="preserve"> and </w:t>
      </w:r>
      <w:r w:rsidR="00EC74B3">
        <w:fldChar w:fldCharType="begin"/>
      </w:r>
      <w:r w:rsidR="00EC74B3">
        <w:instrText xml:space="preserve"> REF _Ref211509669 \r \h </w:instrText>
      </w:r>
      <w:r w:rsidR="00EC74B3">
        <w:fldChar w:fldCharType="separate"/>
      </w:r>
      <w:r w:rsidR="00DB6E72">
        <w:t>6.48</w:t>
      </w:r>
      <w:r w:rsidR="00EC74B3">
        <w:fldChar w:fldCharType="end"/>
      </w:r>
      <w:r w:rsidR="005969C7" w:rsidRPr="005969C7">
        <w:t>) and the time point at which the model switches from Kaplan Meier (KM) data to parametric extrapolation (</w:t>
      </w:r>
      <w:r w:rsidR="00EC74B3">
        <w:t xml:space="preserve">see paragraphs </w:t>
      </w:r>
      <w:r w:rsidR="008273B4">
        <w:fldChar w:fldCharType="begin"/>
      </w:r>
      <w:r w:rsidR="008273B4">
        <w:instrText xml:space="preserve"> REF _Ref215660754 \r \h </w:instrText>
      </w:r>
      <w:r w:rsidR="008273B4">
        <w:fldChar w:fldCharType="separate"/>
      </w:r>
      <w:r w:rsidR="00DB6E72">
        <w:t>6.39</w:t>
      </w:r>
      <w:r w:rsidR="008273B4">
        <w:fldChar w:fldCharType="end"/>
      </w:r>
      <w:r w:rsidR="008273B4">
        <w:t xml:space="preserve"> - </w:t>
      </w:r>
      <w:r w:rsidR="008273B4">
        <w:fldChar w:fldCharType="begin"/>
      </w:r>
      <w:r w:rsidR="008273B4">
        <w:instrText xml:space="preserve"> REF _Ref215660756 \r \h </w:instrText>
      </w:r>
      <w:r w:rsidR="008273B4">
        <w:fldChar w:fldCharType="separate"/>
      </w:r>
      <w:r w:rsidR="00DB6E72">
        <w:t>6.41</w:t>
      </w:r>
      <w:r w:rsidR="008273B4">
        <w:fldChar w:fldCharType="end"/>
      </w:r>
      <w:r w:rsidR="008273B4">
        <w:t xml:space="preserve"> and </w:t>
      </w:r>
      <w:r w:rsidR="008273B4">
        <w:fldChar w:fldCharType="begin"/>
      </w:r>
      <w:r w:rsidR="008273B4">
        <w:instrText xml:space="preserve"> REF _Ref211509669 \r \h </w:instrText>
      </w:r>
      <w:r w:rsidR="008273B4">
        <w:fldChar w:fldCharType="separate"/>
      </w:r>
      <w:r w:rsidR="00DB6E72">
        <w:t>6.48</w:t>
      </w:r>
      <w:r w:rsidR="008273B4">
        <w:fldChar w:fldCharType="end"/>
      </w:r>
      <w:r w:rsidR="005969C7" w:rsidRPr="005969C7">
        <w:t xml:space="preserve">). In this context, and noting the rarity of the disease and the available evidence base, the PBAC considered that retifanlimab would be acceptably cost effective with a price reduction resulting in an ICER less than </w:t>
      </w:r>
      <w:r w:rsidR="00324199" w:rsidRPr="00324199">
        <w:t>$75,000 to &lt; $95,000</w:t>
      </w:r>
      <w:r w:rsidR="00735862">
        <w:t> </w:t>
      </w:r>
      <w:r w:rsidR="005969C7" w:rsidRPr="005969C7">
        <w:t>per QALY, using the inputs from the pre-PBAC</w:t>
      </w:r>
      <w:r w:rsidR="006A3AED">
        <w:t xml:space="preserve"> response</w:t>
      </w:r>
      <w:r w:rsidR="005969C7" w:rsidRPr="005969C7">
        <w:t xml:space="preserve">’s </w:t>
      </w:r>
      <w:r w:rsidR="005969C7" w:rsidRPr="009951A2">
        <w:t>respecified base case.</w:t>
      </w:r>
      <w:bookmarkEnd w:id="110"/>
    </w:p>
    <w:p w14:paraId="724A0061" w14:textId="7768773E" w:rsidR="001839B3" w:rsidRPr="000E5B3A" w:rsidRDefault="00007324" w:rsidP="00BB0BAB">
      <w:pPr>
        <w:pStyle w:val="3-BodyText"/>
        <w:widowControl w:val="0"/>
        <w:numPr>
          <w:ilvl w:val="1"/>
          <w:numId w:val="1"/>
        </w:numPr>
        <w:spacing w:after="120"/>
        <w:rPr>
          <w:bCs/>
          <w:snapToGrid w:val="0"/>
        </w:rPr>
      </w:pPr>
      <w:bookmarkStart w:id="111" w:name="_Ref215560560"/>
      <w:bookmarkStart w:id="112" w:name="_Ref229469826"/>
      <w:r w:rsidRPr="000E5B3A">
        <w:t xml:space="preserve">The submission used an epidemiological approach </w:t>
      </w:r>
      <w:r w:rsidR="007851DB" w:rsidRPr="000E5B3A">
        <w:t>to</w:t>
      </w:r>
      <w:r w:rsidRPr="000E5B3A">
        <w:t xml:space="preserve"> estimat</w:t>
      </w:r>
      <w:r w:rsidR="007851DB" w:rsidRPr="000E5B3A">
        <w:t>e</w:t>
      </w:r>
      <w:r w:rsidRPr="000E5B3A">
        <w:t xml:space="preserve"> the size of the eligible patient population. </w:t>
      </w:r>
      <w:r w:rsidR="00193763" w:rsidRPr="000E5B3A">
        <w:t xml:space="preserve">The PBAC considered that the financial estimates </w:t>
      </w:r>
      <w:r w:rsidR="00D52445">
        <w:t xml:space="preserve">presented in the submission </w:t>
      </w:r>
      <w:r w:rsidR="00193763" w:rsidRPr="004E1F7B">
        <w:t xml:space="preserve">were </w:t>
      </w:r>
      <w:r w:rsidR="00D52445" w:rsidRPr="004E1F7B">
        <w:t xml:space="preserve">likely underestimated </w:t>
      </w:r>
      <w:r w:rsidR="00073E9C">
        <w:t xml:space="preserve">and that the following two changes were </w:t>
      </w:r>
      <w:r w:rsidR="00073E9C" w:rsidRPr="00BE4A4B">
        <w:t xml:space="preserve">required: </w:t>
      </w:r>
      <w:r w:rsidR="008555B5" w:rsidRPr="00BE4A4B">
        <w:t xml:space="preserve">the published </w:t>
      </w:r>
      <w:r w:rsidR="00193763" w:rsidRPr="00BE4A4B">
        <w:t xml:space="preserve">AIHW projection data </w:t>
      </w:r>
      <w:r w:rsidR="00BE4A4B" w:rsidRPr="00BE4A4B">
        <w:t xml:space="preserve">should be used </w:t>
      </w:r>
      <w:r w:rsidR="00193763" w:rsidRPr="00BE4A4B">
        <w:t>to</w:t>
      </w:r>
      <w:r w:rsidR="00193763" w:rsidRPr="000E5B3A">
        <w:t xml:space="preserve"> derive incidence of anal cancer</w:t>
      </w:r>
      <w:r w:rsidR="00BE4A4B">
        <w:t>;</w:t>
      </w:r>
      <w:r w:rsidR="00193763" w:rsidRPr="000E5B3A">
        <w:t xml:space="preserve"> and the proportion of SCAC at diagnosis</w:t>
      </w:r>
      <w:r w:rsidR="00BE4A4B">
        <w:t xml:space="preserve"> should be increased</w:t>
      </w:r>
      <w:r w:rsidR="00193763" w:rsidRPr="000E5B3A">
        <w:t xml:space="preserve"> from 72%</w:t>
      </w:r>
      <w:r w:rsidR="00735862">
        <w:t> </w:t>
      </w:r>
      <w:r w:rsidR="00EC4F2D" w:rsidRPr="00735862">
        <w:t>to</w:t>
      </w:r>
      <w:r w:rsidR="00735862">
        <w:t> </w:t>
      </w:r>
      <w:r w:rsidR="00193763" w:rsidRPr="00735862">
        <w:t>85</w:t>
      </w:r>
      <w:r w:rsidR="00193763" w:rsidRPr="000E5B3A">
        <w:t xml:space="preserve">% (paragraph </w:t>
      </w:r>
      <w:r w:rsidR="00193763" w:rsidRPr="000E5B3A">
        <w:fldChar w:fldCharType="begin"/>
      </w:r>
      <w:r w:rsidR="00193763" w:rsidRPr="000E5B3A">
        <w:instrText xml:space="preserve"> REF _Ref215560352 \r \h </w:instrText>
      </w:r>
      <w:r w:rsidR="00193763" w:rsidRPr="000E5B3A">
        <w:fldChar w:fldCharType="separate"/>
      </w:r>
      <w:r w:rsidR="00DB6E72">
        <w:t>6.57</w:t>
      </w:r>
      <w:r w:rsidR="00193763" w:rsidRPr="000E5B3A">
        <w:fldChar w:fldCharType="end"/>
      </w:r>
      <w:r w:rsidR="00193763" w:rsidRPr="000E5B3A">
        <w:t xml:space="preserve">), as applied in the Pre-PBAC response (paragraph </w:t>
      </w:r>
      <w:r w:rsidR="00193763" w:rsidRPr="000E5B3A">
        <w:fldChar w:fldCharType="begin"/>
      </w:r>
      <w:r w:rsidR="00193763" w:rsidRPr="000E5B3A">
        <w:instrText xml:space="preserve"> REF _Ref215560322 \r \h </w:instrText>
      </w:r>
      <w:r w:rsidR="00193763" w:rsidRPr="000E5B3A">
        <w:fldChar w:fldCharType="separate"/>
      </w:r>
      <w:r w:rsidR="00DB6E72">
        <w:t>6.58</w:t>
      </w:r>
      <w:r w:rsidR="00193763" w:rsidRPr="000E5B3A">
        <w:fldChar w:fldCharType="end"/>
      </w:r>
      <w:r w:rsidR="00193763" w:rsidRPr="000E5B3A">
        <w:t>).</w:t>
      </w:r>
      <w:bookmarkEnd w:id="111"/>
      <w:r w:rsidR="00356E37" w:rsidRPr="000E5B3A">
        <w:t xml:space="preserve"> </w:t>
      </w:r>
      <w:r w:rsidR="009A3FBD" w:rsidRPr="000E5B3A">
        <w:t xml:space="preserve">The PBAC considered that the estimates would </w:t>
      </w:r>
      <w:r w:rsidR="00EA0D0B">
        <w:t xml:space="preserve">also </w:t>
      </w:r>
      <w:r w:rsidR="009A3FBD" w:rsidRPr="000E5B3A">
        <w:t>need to be updated with the revised price</w:t>
      </w:r>
      <w:r w:rsidR="00740993" w:rsidRPr="000E5B3A">
        <w:t>, as per paragraph</w:t>
      </w:r>
      <w:r w:rsidR="00681754">
        <w:t xml:space="preserve"> </w:t>
      </w:r>
      <w:r w:rsidR="00681754">
        <w:fldChar w:fldCharType="begin"/>
      </w:r>
      <w:r w:rsidR="00681754">
        <w:instrText xml:space="preserve"> REF _Ref216350880 \r \h </w:instrText>
      </w:r>
      <w:r w:rsidR="00681754">
        <w:fldChar w:fldCharType="separate"/>
      </w:r>
      <w:r w:rsidR="00DB6E72">
        <w:t>7.10</w:t>
      </w:r>
      <w:r w:rsidR="00681754">
        <w:fldChar w:fldCharType="end"/>
      </w:r>
      <w:r w:rsidR="00740993" w:rsidRPr="000E5B3A">
        <w:t>.</w:t>
      </w:r>
      <w:bookmarkEnd w:id="112"/>
    </w:p>
    <w:p w14:paraId="4E4AE786" w14:textId="4D03FA7A" w:rsidR="00D1633A" w:rsidRPr="000E5B3A" w:rsidRDefault="00D1633A" w:rsidP="009F3998">
      <w:pPr>
        <w:pStyle w:val="3-BodyText"/>
        <w:widowControl w:val="0"/>
        <w:numPr>
          <w:ilvl w:val="1"/>
          <w:numId w:val="1"/>
        </w:numPr>
        <w:spacing w:after="120"/>
        <w:rPr>
          <w:bCs/>
          <w:snapToGrid w:val="0"/>
        </w:rPr>
      </w:pPr>
      <w:r w:rsidRPr="000E5B3A">
        <w:rPr>
          <w:bCs/>
          <w:snapToGrid w:val="0"/>
        </w:rPr>
        <w:t>The PBAC noted that this submission is not eligible for an Independent Review</w:t>
      </w:r>
      <w:r w:rsidR="000B5044" w:rsidRPr="000E5B3A">
        <w:rPr>
          <w:bCs/>
          <w:snapToGrid w:val="0"/>
        </w:rPr>
        <w:t xml:space="preserve"> as it was deferred</w:t>
      </w:r>
      <w:r w:rsidRPr="000E5B3A">
        <w:rPr>
          <w:bCs/>
          <w:snapToGrid w:val="0"/>
        </w:rPr>
        <w:t xml:space="preserve">. </w:t>
      </w:r>
    </w:p>
    <w:p w14:paraId="2AA0CFDB" w14:textId="77777777" w:rsidR="00D1633A" w:rsidRPr="000E5B3A" w:rsidRDefault="00D1633A" w:rsidP="00D1633A">
      <w:pPr>
        <w:spacing w:before="240"/>
        <w:rPr>
          <w:rFonts w:asciiTheme="minorHAnsi" w:hAnsiTheme="minorHAnsi"/>
          <w:b/>
          <w:bCs/>
          <w:snapToGrid w:val="0"/>
        </w:rPr>
      </w:pPr>
      <w:r w:rsidRPr="000E5B3A">
        <w:rPr>
          <w:rFonts w:asciiTheme="minorHAnsi" w:hAnsiTheme="minorHAnsi"/>
          <w:b/>
          <w:bCs/>
          <w:snapToGrid w:val="0"/>
        </w:rPr>
        <w:t>Outcome:</w:t>
      </w:r>
    </w:p>
    <w:p w14:paraId="684425E7" w14:textId="77777777" w:rsidR="00EC4EDF" w:rsidRDefault="00D1633A" w:rsidP="000B5044">
      <w:pPr>
        <w:rPr>
          <w:rFonts w:asciiTheme="minorHAnsi" w:hAnsiTheme="minorHAnsi"/>
          <w:bCs/>
          <w:snapToGrid w:val="0"/>
        </w:rPr>
      </w:pPr>
      <w:r w:rsidRPr="000E5B3A">
        <w:rPr>
          <w:rFonts w:asciiTheme="minorHAnsi" w:hAnsiTheme="minorHAnsi"/>
          <w:bCs/>
          <w:snapToGrid w:val="0"/>
        </w:rPr>
        <w:t>Deferred</w:t>
      </w:r>
    </w:p>
    <w:p w14:paraId="60762B67" w14:textId="62C52CD5" w:rsidR="00D1633A" w:rsidRDefault="00D1633A" w:rsidP="000B5044">
      <w:pPr>
        <w:rPr>
          <w:rFonts w:asciiTheme="minorHAnsi" w:hAnsiTheme="minorHAnsi"/>
          <w:bCs/>
          <w:snapToGrid w:val="0"/>
        </w:rPr>
      </w:pPr>
    </w:p>
    <w:p w14:paraId="2E1E2600" w14:textId="3ACC5D3B" w:rsidR="003B35E0" w:rsidRPr="003B35E0" w:rsidRDefault="003B35E0" w:rsidP="003B35E0">
      <w:pPr>
        <w:pStyle w:val="2-SectionHeading"/>
        <w:numPr>
          <w:ilvl w:val="0"/>
          <w:numId w:val="1"/>
        </w:numPr>
      </w:pPr>
      <w:bookmarkStart w:id="113" w:name="_Hlk219200630"/>
      <w:bookmarkStart w:id="114" w:name="_Hlk219200653"/>
      <w:r w:rsidRPr="003B35E0">
        <w:lastRenderedPageBreak/>
        <w:t>Context for Decision</w:t>
      </w:r>
    </w:p>
    <w:p w14:paraId="26A47AFF" w14:textId="55A4A6F0" w:rsidR="00E67383" w:rsidRPr="000E5B3A" w:rsidRDefault="003B35E0" w:rsidP="003B35E0">
      <w:pPr>
        <w:ind w:left="720"/>
        <w:rPr>
          <w:rFonts w:asciiTheme="minorHAnsi" w:hAnsiTheme="minorHAnsi"/>
          <w:bCs/>
          <w:snapToGrid w:val="0"/>
        </w:rPr>
      </w:pPr>
      <w:r w:rsidRPr="003B35E0">
        <w:rPr>
          <w:rFonts w:asciiTheme="minorHAnsi" w:hAnsiTheme="minorHAnsi"/>
          <w:bCs/>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bookmarkEnd w:id="113"/>
      <w:bookmarkEnd w:id="114"/>
    </w:p>
    <w:p w14:paraId="5A983671" w14:textId="77777777" w:rsidR="00981D55" w:rsidRPr="00A1779A" w:rsidRDefault="00981D55" w:rsidP="00981D55">
      <w:pPr>
        <w:keepNext/>
        <w:spacing w:before="240" w:after="120"/>
        <w:ind w:left="720" w:hanging="720"/>
        <w:jc w:val="left"/>
        <w:outlineLvl w:val="0"/>
        <w:rPr>
          <w:rFonts w:asciiTheme="minorHAnsi" w:hAnsiTheme="minorHAnsi"/>
          <w:b/>
          <w:snapToGrid w:val="0"/>
          <w:sz w:val="32"/>
          <w:szCs w:val="32"/>
        </w:rPr>
      </w:pPr>
      <w:bookmarkStart w:id="115" w:name="_Hlk219195112"/>
      <w:bookmarkEnd w:id="103"/>
      <w:bookmarkEnd w:id="104"/>
      <w:r w:rsidRPr="00A1779A">
        <w:rPr>
          <w:rFonts w:asciiTheme="minorHAnsi" w:hAnsiTheme="minorHAnsi"/>
          <w:b/>
          <w:snapToGrid w:val="0"/>
          <w:sz w:val="32"/>
          <w:szCs w:val="32"/>
        </w:rPr>
        <w:t>10</w:t>
      </w:r>
      <w:r w:rsidRPr="00A1779A">
        <w:rPr>
          <w:rFonts w:asciiTheme="minorHAnsi" w:hAnsiTheme="minorHAnsi"/>
          <w:b/>
          <w:snapToGrid w:val="0"/>
          <w:sz w:val="32"/>
          <w:szCs w:val="32"/>
        </w:rPr>
        <w:tab/>
        <w:t>Sponsor’s Comment</w:t>
      </w:r>
    </w:p>
    <w:bookmarkEnd w:id="115"/>
    <w:p w14:paraId="43161C69" w14:textId="01D824E2" w:rsidR="002E21BE" w:rsidRDefault="002E21BE" w:rsidP="00D905B4">
      <w:pPr>
        <w:spacing w:before="120"/>
        <w:ind w:left="720"/>
        <w:rPr>
          <w:rFonts w:asciiTheme="minorHAnsi" w:eastAsiaTheme="minorHAnsi" w:hAnsiTheme="minorHAnsi"/>
          <w:bCs/>
          <w:lang w:eastAsia="en-US"/>
        </w:rPr>
      </w:pPr>
      <w:r w:rsidRPr="00A1779A">
        <w:rPr>
          <w:rFonts w:asciiTheme="minorHAnsi" w:eastAsiaTheme="minorHAnsi" w:hAnsiTheme="minorHAnsi"/>
          <w:bCs/>
          <w:lang w:eastAsia="en-US"/>
        </w:rPr>
        <w:t>The sponsor had no comment</w:t>
      </w:r>
      <w:r w:rsidR="00D905B4">
        <w:rPr>
          <w:rFonts w:asciiTheme="minorHAnsi" w:eastAsiaTheme="minorHAnsi" w:hAnsiTheme="minorHAnsi"/>
          <w:bCs/>
          <w:lang w:eastAsia="en-US"/>
        </w:rPr>
        <w:t>.</w:t>
      </w:r>
    </w:p>
    <w:p w14:paraId="62AADD9E" w14:textId="5004F46D" w:rsidR="008F00FE" w:rsidRDefault="008F00FE">
      <w:pPr>
        <w:jc w:val="left"/>
        <w:rPr>
          <w:rFonts w:asciiTheme="minorHAnsi" w:eastAsiaTheme="minorHAnsi" w:hAnsiTheme="minorHAnsi"/>
          <w:bCs/>
          <w:lang w:eastAsia="en-US"/>
        </w:rPr>
      </w:pPr>
      <w:r>
        <w:rPr>
          <w:rFonts w:asciiTheme="minorHAnsi" w:eastAsiaTheme="minorHAnsi" w:hAnsiTheme="minorHAnsi"/>
          <w:bCs/>
          <w:lang w:eastAsia="en-US"/>
        </w:rPr>
        <w:br w:type="page"/>
      </w:r>
    </w:p>
    <w:p w14:paraId="603746BA" w14:textId="5DFD0A00" w:rsidR="008F00FE" w:rsidRPr="006024BA" w:rsidRDefault="008F00FE" w:rsidP="008F00FE">
      <w:pPr>
        <w:rPr>
          <w:rFonts w:cs="Calibri"/>
          <w:b/>
          <w:bCs/>
          <w:color w:val="FF0000"/>
          <w:sz w:val="28"/>
          <w:szCs w:val="36"/>
        </w:rPr>
      </w:pPr>
      <w:r w:rsidRPr="00753DD8">
        <w:rPr>
          <w:rFonts w:cs="Calibri"/>
          <w:b/>
          <w:bCs/>
          <w:color w:val="FF0000"/>
          <w:sz w:val="28"/>
          <w:szCs w:val="36"/>
        </w:rPr>
        <w:lastRenderedPageBreak/>
        <w:t xml:space="preserve">Addendum to the November 2025 PBAC </w:t>
      </w:r>
      <w:r w:rsidR="006E1B12">
        <w:rPr>
          <w:rFonts w:cs="Calibri"/>
          <w:b/>
          <w:bCs/>
          <w:color w:val="FF0000"/>
          <w:sz w:val="28"/>
          <w:szCs w:val="36"/>
        </w:rPr>
        <w:t>Public Summary Document</w:t>
      </w:r>
      <w:r w:rsidRPr="00753DD8">
        <w:rPr>
          <w:rFonts w:cs="Calibri"/>
          <w:b/>
          <w:bCs/>
          <w:color w:val="FF0000"/>
          <w:sz w:val="28"/>
          <w:szCs w:val="36"/>
        </w:rPr>
        <w:t>:</w:t>
      </w:r>
    </w:p>
    <w:p w14:paraId="792E0415" w14:textId="77777777" w:rsidR="008F00FE" w:rsidRDefault="008F00FE" w:rsidP="008F00FE">
      <w:pPr>
        <w:rPr>
          <w:rFonts w:cs="Calibri"/>
          <w:szCs w:val="32"/>
        </w:rPr>
      </w:pPr>
    </w:p>
    <w:p w14:paraId="755F88D2" w14:textId="77777777" w:rsidR="008F00FE" w:rsidRPr="00D30537" w:rsidRDefault="008F00FE" w:rsidP="008F00FE">
      <w:pPr>
        <w:pStyle w:val="1-MainHeading"/>
      </w:pPr>
      <w:r>
        <w:t>4.03</w:t>
      </w:r>
      <w:r w:rsidRPr="00D30537">
        <w:tab/>
        <w:t>RETIFANLIMAB,</w:t>
      </w:r>
      <w:r w:rsidRPr="00D30537">
        <w:br/>
        <w:t>Solution concentrate for I.V. infusion,</w:t>
      </w:r>
      <w:r w:rsidRPr="00D30537">
        <w:br/>
        <w:t>500 mg in 20 mL,</w:t>
      </w:r>
      <w:r w:rsidRPr="00D30537">
        <w:br/>
        <w:t>Zynyz</w:t>
      </w:r>
      <w:r w:rsidRPr="00D30537">
        <w:rPr>
          <w:vertAlign w:val="superscript"/>
        </w:rPr>
        <w:t>®</w:t>
      </w:r>
      <w:r w:rsidRPr="00D30537">
        <w:t>,</w:t>
      </w:r>
      <w:r w:rsidRPr="00D30537">
        <w:br/>
        <w:t xml:space="preserve">Specialised Therapeutics Alim Pty Ltd. </w:t>
      </w:r>
    </w:p>
    <w:p w14:paraId="6D10CF68" w14:textId="77777777" w:rsidR="008F00FE" w:rsidRPr="00E578E1" w:rsidRDefault="008F00FE" w:rsidP="008F00FE">
      <w:pPr>
        <w:pStyle w:val="2-SectionHeading"/>
        <w:numPr>
          <w:ilvl w:val="0"/>
          <w:numId w:val="1"/>
        </w:numPr>
      </w:pPr>
      <w:r w:rsidRPr="00E578E1">
        <w:t xml:space="preserve">Background </w:t>
      </w:r>
    </w:p>
    <w:p w14:paraId="38F1B102" w14:textId="77777777" w:rsidR="008F00FE" w:rsidRPr="009B529E" w:rsidRDefault="008F00FE" w:rsidP="008F00FE">
      <w:pPr>
        <w:widowControl w:val="0"/>
        <w:numPr>
          <w:ilvl w:val="1"/>
          <w:numId w:val="1"/>
        </w:numPr>
        <w:spacing w:after="120"/>
      </w:pPr>
      <w:r>
        <w:rPr>
          <w:rFonts w:asciiTheme="minorHAnsi" w:hAnsiTheme="minorHAnsi"/>
          <w:snapToGrid w:val="0"/>
        </w:rPr>
        <w:t>At its November 2025 meeting, t</w:t>
      </w:r>
      <w:r w:rsidRPr="000E5B3A">
        <w:rPr>
          <w:rFonts w:asciiTheme="minorHAnsi" w:hAnsiTheme="minorHAnsi"/>
          <w:snapToGrid w:val="0"/>
        </w:rPr>
        <w:t>he PBAC deferred making a recommendation for retifanlimab in combination with carboplatin and paclitaxel (CP)</w:t>
      </w:r>
      <w:r>
        <w:rPr>
          <w:rFonts w:asciiTheme="minorHAnsi" w:hAnsiTheme="minorHAnsi"/>
          <w:snapToGrid w:val="0"/>
        </w:rPr>
        <w:t xml:space="preserve"> </w:t>
      </w:r>
      <w:r w:rsidRPr="000E5B3A">
        <w:rPr>
          <w:rFonts w:asciiTheme="minorHAnsi" w:hAnsiTheme="minorHAnsi"/>
          <w:snapToGrid w:val="0"/>
        </w:rPr>
        <w:t>for the treatment</w:t>
      </w:r>
      <w:r>
        <w:rPr>
          <w:rFonts w:asciiTheme="minorHAnsi" w:hAnsiTheme="minorHAnsi"/>
          <w:snapToGrid w:val="0"/>
        </w:rPr>
        <w:t xml:space="preserve"> </w:t>
      </w:r>
      <w:r w:rsidRPr="000E5B3A">
        <w:rPr>
          <w:rFonts w:asciiTheme="minorHAnsi" w:hAnsiTheme="minorHAnsi"/>
          <w:snapToGrid w:val="0"/>
        </w:rPr>
        <w:t>of inoperable locally recurrent or metastatic squamous cell anal carcinoma (SCAC) not previously treated with systemic chemotherapy.</w:t>
      </w:r>
      <w:r>
        <w:rPr>
          <w:rFonts w:asciiTheme="minorHAnsi" w:hAnsiTheme="minorHAnsi"/>
          <w:snapToGrid w:val="0"/>
        </w:rPr>
        <w:t xml:space="preserve"> </w:t>
      </w:r>
      <w:r w:rsidRPr="000E5B3A">
        <w:rPr>
          <w:rFonts w:asciiTheme="minorHAnsi" w:hAnsiTheme="minorHAnsi"/>
          <w:snapToGrid w:val="0"/>
        </w:rPr>
        <w:t>The PBAC was of a mind to recommend retifanlimab pending the provision of a positive TGA Delegate</w:t>
      </w:r>
      <w:r>
        <w:rPr>
          <w:rFonts w:asciiTheme="minorHAnsi" w:hAnsiTheme="minorHAnsi"/>
          <w:snapToGrid w:val="0"/>
        </w:rPr>
        <w:t>’</w:t>
      </w:r>
      <w:r w:rsidRPr="000E5B3A">
        <w:rPr>
          <w:rFonts w:asciiTheme="minorHAnsi" w:hAnsiTheme="minorHAnsi"/>
          <w:snapToGrid w:val="0"/>
        </w:rPr>
        <w:t>s Overview</w:t>
      </w:r>
      <w:r>
        <w:rPr>
          <w:rFonts w:asciiTheme="minorHAnsi" w:hAnsiTheme="minorHAnsi"/>
          <w:snapToGrid w:val="0"/>
        </w:rPr>
        <w:t>.</w:t>
      </w:r>
    </w:p>
    <w:p w14:paraId="2B2066AE" w14:textId="77777777" w:rsidR="008F00FE" w:rsidRPr="00E578E1" w:rsidRDefault="008F00FE" w:rsidP="008F00FE">
      <w:pPr>
        <w:widowControl w:val="0"/>
        <w:numPr>
          <w:ilvl w:val="1"/>
          <w:numId w:val="1"/>
        </w:numPr>
        <w:spacing w:after="120"/>
      </w:pPr>
      <w:r>
        <w:rPr>
          <w:rFonts w:asciiTheme="minorHAnsi" w:hAnsiTheme="minorHAnsi"/>
          <w:snapToGrid w:val="0"/>
        </w:rPr>
        <w:t>The TGA Delegate’s Overview was provided and the Delegate had proposed the registration of retifanlimab in combination with CP for the first</w:t>
      </w:r>
      <w:r>
        <w:rPr>
          <w:rFonts w:asciiTheme="minorHAnsi" w:hAnsiTheme="minorHAnsi"/>
          <w:snapToGrid w:val="0"/>
        </w:rPr>
        <w:noBreakHyphen/>
        <w:t>line treatment of adult patients with metastatic or with inoperable locally recurrent SCAC.</w:t>
      </w:r>
    </w:p>
    <w:p w14:paraId="150FE998" w14:textId="77777777" w:rsidR="008F00FE" w:rsidRPr="00E578E1" w:rsidRDefault="008F00FE" w:rsidP="008F00FE">
      <w:pPr>
        <w:pStyle w:val="2-SectionHeading"/>
        <w:numPr>
          <w:ilvl w:val="0"/>
          <w:numId w:val="1"/>
        </w:numPr>
      </w:pPr>
      <w:r w:rsidRPr="00E578E1">
        <w:t>PBAC Outcome</w:t>
      </w:r>
    </w:p>
    <w:p w14:paraId="1E813188" w14:textId="77777777" w:rsidR="008F00FE" w:rsidRDefault="008F00FE" w:rsidP="008F00FE">
      <w:pPr>
        <w:widowControl w:val="0"/>
        <w:numPr>
          <w:ilvl w:val="1"/>
          <w:numId w:val="1"/>
        </w:numPr>
        <w:spacing w:after="120"/>
      </w:pPr>
      <w:r w:rsidRPr="002419DC">
        <w:t>The PBAC recommended</w:t>
      </w:r>
      <w:r>
        <w:t xml:space="preserve"> retifanlimab</w:t>
      </w:r>
      <w:r w:rsidRPr="000E5B3A">
        <w:rPr>
          <w:rFonts w:asciiTheme="minorHAnsi" w:hAnsiTheme="minorHAnsi"/>
          <w:snapToGrid w:val="0"/>
        </w:rPr>
        <w:t xml:space="preserve"> in combination with carboplatin and paclitaxel (CP)</w:t>
      </w:r>
      <w:r>
        <w:rPr>
          <w:rFonts w:asciiTheme="minorHAnsi" w:hAnsiTheme="minorHAnsi"/>
          <w:snapToGrid w:val="0"/>
        </w:rPr>
        <w:t xml:space="preserve"> for the treatment of </w:t>
      </w:r>
      <w:r w:rsidRPr="000E5B3A">
        <w:rPr>
          <w:rFonts w:asciiTheme="minorHAnsi" w:hAnsiTheme="minorHAnsi"/>
          <w:snapToGrid w:val="0"/>
        </w:rPr>
        <w:t>inoperable locally recurrent or metastatic squamous cell anal carcinoma (SCAC) not previously treated with systemic chemotherapy.</w:t>
      </w:r>
      <w:r>
        <w:rPr>
          <w:rFonts w:asciiTheme="minorHAnsi" w:hAnsiTheme="minorHAnsi"/>
          <w:snapToGrid w:val="0"/>
        </w:rPr>
        <w:t xml:space="preserve"> </w:t>
      </w:r>
      <w:r>
        <w:t>T</w:t>
      </w:r>
      <w:r w:rsidRPr="00A031A3">
        <w:t xml:space="preserve">he PBAC </w:t>
      </w:r>
      <w:r>
        <w:t xml:space="preserve">recalled it had previously </w:t>
      </w:r>
      <w:r w:rsidRPr="00A031A3">
        <w:t xml:space="preserve">deferred making a recommendation for the listing of retifanlimab </w:t>
      </w:r>
      <w:r>
        <w:t xml:space="preserve">for SCAC </w:t>
      </w:r>
      <w:r w:rsidRPr="00A031A3">
        <w:t>pending the provision of a positive TGA Delegate’s Overview</w:t>
      </w:r>
      <w:r>
        <w:t xml:space="preserve">, which had now been received. </w:t>
      </w:r>
    </w:p>
    <w:p w14:paraId="5D55E28E" w14:textId="226B3899" w:rsidR="008F00FE" w:rsidRDefault="008F00FE" w:rsidP="008F00FE">
      <w:pPr>
        <w:widowControl w:val="0"/>
        <w:numPr>
          <w:ilvl w:val="1"/>
          <w:numId w:val="1"/>
        </w:numPr>
        <w:spacing w:after="120"/>
      </w:pPr>
      <w:r>
        <w:t>The PBAC recalled the consumer inputs received (paragraph</w:t>
      </w:r>
      <w:r w:rsidR="007A6C65">
        <w:t xml:space="preserve"> </w:t>
      </w:r>
      <w:r w:rsidR="007A6C65">
        <w:fldChar w:fldCharType="begin"/>
      </w:r>
      <w:r w:rsidR="007A6C65">
        <w:instrText xml:space="preserve"> REF _Ref229469731 \n \h </w:instrText>
      </w:r>
      <w:r w:rsidR="007A6C65">
        <w:fldChar w:fldCharType="separate"/>
      </w:r>
      <w:r w:rsidR="00BB7FF2">
        <w:t>6.4</w:t>
      </w:r>
      <w:r w:rsidR="007A6C65">
        <w:fldChar w:fldCharType="end"/>
      </w:r>
      <w:r>
        <w:t>) and its previous consideration of the unmet clinical need for treatments for SCAC (see paragraph</w:t>
      </w:r>
      <w:r w:rsidR="00A02D50">
        <w:t xml:space="preserve"> </w:t>
      </w:r>
      <w:r w:rsidR="00A02D50">
        <w:fldChar w:fldCharType="begin"/>
      </w:r>
      <w:r w:rsidR="00A02D50">
        <w:instrText xml:space="preserve"> REF _Ref229469687 \n \h </w:instrText>
      </w:r>
      <w:r w:rsidR="00A02D50">
        <w:fldChar w:fldCharType="separate"/>
      </w:r>
      <w:r w:rsidR="008C26BD">
        <w:t>7.3</w:t>
      </w:r>
      <w:r w:rsidR="00A02D50">
        <w:fldChar w:fldCharType="end"/>
      </w:r>
      <w:r>
        <w:t xml:space="preserve">). </w:t>
      </w:r>
    </w:p>
    <w:p w14:paraId="42E14B9C" w14:textId="22CF943A" w:rsidR="008F00FE" w:rsidRDefault="008F00FE" w:rsidP="008F00FE">
      <w:pPr>
        <w:widowControl w:val="0"/>
        <w:numPr>
          <w:ilvl w:val="1"/>
          <w:numId w:val="1"/>
        </w:numPr>
        <w:spacing w:after="120"/>
      </w:pPr>
      <w:r>
        <w:t>The PBAC advised that its previous recommendations with regards to the restriction (paragraph</w:t>
      </w:r>
      <w:r w:rsidR="007A6C65">
        <w:t xml:space="preserve"> </w:t>
      </w:r>
      <w:r w:rsidR="007A6C65">
        <w:fldChar w:fldCharType="begin"/>
      </w:r>
      <w:r w:rsidR="007A6C65">
        <w:instrText xml:space="preserve"> REF _Ref229469758 \n \h </w:instrText>
      </w:r>
      <w:r w:rsidR="007A6C65">
        <w:fldChar w:fldCharType="separate"/>
      </w:r>
      <w:r w:rsidR="00BB7FF2">
        <w:t>7.4</w:t>
      </w:r>
      <w:r w:rsidR="007A6C65">
        <w:fldChar w:fldCharType="end"/>
      </w:r>
      <w:r>
        <w:t xml:space="preserve">), clinical claim (paragraphs </w:t>
      </w:r>
      <w:r w:rsidR="007A6C65">
        <w:fldChar w:fldCharType="begin"/>
      </w:r>
      <w:r w:rsidR="007A6C65">
        <w:instrText xml:space="preserve"> REF _Ref215048214 \n \h </w:instrText>
      </w:r>
      <w:r w:rsidR="007A6C65">
        <w:fldChar w:fldCharType="separate"/>
      </w:r>
      <w:r w:rsidR="00BB7FF2">
        <w:t>7.8</w:t>
      </w:r>
      <w:r w:rsidR="007A6C65">
        <w:fldChar w:fldCharType="end"/>
      </w:r>
      <w:r>
        <w:t xml:space="preserve"> and </w:t>
      </w:r>
      <w:r w:rsidR="007A6C65">
        <w:fldChar w:fldCharType="begin"/>
      </w:r>
      <w:r w:rsidR="007A6C65">
        <w:instrText xml:space="preserve"> REF _Ref229469788 \n \h </w:instrText>
      </w:r>
      <w:r w:rsidR="007A6C65">
        <w:fldChar w:fldCharType="separate"/>
      </w:r>
      <w:r w:rsidR="00BB7FF2">
        <w:t>7.9</w:t>
      </w:r>
      <w:r w:rsidR="007A6C65">
        <w:fldChar w:fldCharType="end"/>
      </w:r>
      <w:r>
        <w:t xml:space="preserve">), cost effectiveness (paragraph </w:t>
      </w:r>
      <w:r w:rsidR="007A6C65">
        <w:fldChar w:fldCharType="begin"/>
      </w:r>
      <w:r w:rsidR="007A6C65">
        <w:instrText xml:space="preserve"> REF _Ref216350880 \n \h </w:instrText>
      </w:r>
      <w:r w:rsidR="007A6C65">
        <w:fldChar w:fldCharType="separate"/>
      </w:r>
      <w:r w:rsidR="00BB7FF2">
        <w:t>7.10</w:t>
      </w:r>
      <w:r w:rsidR="007A6C65">
        <w:fldChar w:fldCharType="end"/>
      </w:r>
      <w:r>
        <w:t>) and financials (paragraph</w:t>
      </w:r>
      <w:r w:rsidR="007A6C65">
        <w:t xml:space="preserve"> </w:t>
      </w:r>
      <w:r w:rsidR="007A6C65">
        <w:fldChar w:fldCharType="begin"/>
      </w:r>
      <w:r w:rsidR="007A6C65">
        <w:instrText xml:space="preserve"> REF _Ref229469826 \n \h </w:instrText>
      </w:r>
      <w:r w:rsidR="007A6C65">
        <w:fldChar w:fldCharType="separate"/>
      </w:r>
      <w:r w:rsidR="00BB7FF2">
        <w:t>7.11</w:t>
      </w:r>
      <w:r w:rsidR="007A6C65">
        <w:fldChar w:fldCharType="end"/>
      </w:r>
      <w:r>
        <w:t>) remained appropriate.</w:t>
      </w:r>
    </w:p>
    <w:p w14:paraId="581E7A55" w14:textId="77777777" w:rsidR="008F00FE" w:rsidRPr="00881526" w:rsidRDefault="008F00FE" w:rsidP="008F00FE">
      <w:pPr>
        <w:pStyle w:val="3-BodyText"/>
        <w:numPr>
          <w:ilvl w:val="1"/>
          <w:numId w:val="1"/>
        </w:numPr>
        <w:rPr>
          <w:b/>
          <w:bCs/>
          <w:lang w:val="en-GB"/>
        </w:rPr>
      </w:pPr>
      <w:r w:rsidRPr="00525B39">
        <w:rPr>
          <w:rFonts w:cs="Arial"/>
          <w:bCs/>
          <w:snapToGrid w:val="0"/>
          <w:lang w:val="en-GB"/>
        </w:rPr>
        <w:t xml:space="preserve">The PBAC advised that </w:t>
      </w:r>
      <w:r>
        <w:rPr>
          <w:rFonts w:cs="Arial"/>
          <w:bCs/>
          <w:snapToGrid w:val="0"/>
          <w:lang w:val="en-GB"/>
        </w:rPr>
        <w:t xml:space="preserve">retifanlimab </w:t>
      </w:r>
      <w:r w:rsidRPr="00525B39">
        <w:rPr>
          <w:rFonts w:cs="Arial"/>
          <w:bCs/>
          <w:snapToGrid w:val="0"/>
          <w:lang w:val="en-GB"/>
        </w:rPr>
        <w:t>is not suitable for presc</w:t>
      </w:r>
      <w:r>
        <w:rPr>
          <w:rFonts w:cs="Arial"/>
          <w:bCs/>
          <w:snapToGrid w:val="0"/>
          <w:lang w:val="en-GB"/>
        </w:rPr>
        <w:t>ribing by nurse practitioners.</w:t>
      </w:r>
    </w:p>
    <w:p w14:paraId="244806D7" w14:textId="77777777" w:rsidR="008F00FE" w:rsidRPr="007A62BE" w:rsidRDefault="008F00FE" w:rsidP="008F00FE">
      <w:pPr>
        <w:pStyle w:val="3-BodyText"/>
        <w:numPr>
          <w:ilvl w:val="1"/>
          <w:numId w:val="1"/>
        </w:numPr>
        <w:rPr>
          <w:b/>
          <w:bCs/>
          <w:lang w:val="en-GB"/>
        </w:rPr>
      </w:pPr>
      <w:r w:rsidRPr="00525B39">
        <w:rPr>
          <w:rFonts w:cs="Arial"/>
          <w:bCs/>
          <w:snapToGrid w:val="0"/>
          <w:lang w:val="en-GB"/>
        </w:rPr>
        <w:t xml:space="preserve">The PBAC recommended that </w:t>
      </w:r>
      <w:r>
        <w:rPr>
          <w:rFonts w:cs="Arial"/>
          <w:bCs/>
          <w:snapToGrid w:val="0"/>
          <w:lang w:val="en-GB"/>
        </w:rPr>
        <w:t xml:space="preserve">retifanlimab </w:t>
      </w:r>
      <w:r w:rsidRPr="00525B39">
        <w:rPr>
          <w:rFonts w:cs="Arial"/>
          <w:bCs/>
          <w:snapToGrid w:val="0"/>
          <w:lang w:val="en-GB"/>
        </w:rPr>
        <w:t xml:space="preserve">should </w:t>
      </w:r>
      <w:r>
        <w:rPr>
          <w:rFonts w:cs="Arial"/>
          <w:bCs/>
          <w:snapToGrid w:val="0"/>
          <w:lang w:val="en-GB"/>
        </w:rPr>
        <w:t xml:space="preserve">not </w:t>
      </w:r>
      <w:r w:rsidRPr="00525B39">
        <w:rPr>
          <w:rFonts w:cs="Arial"/>
          <w:bCs/>
          <w:snapToGrid w:val="0"/>
          <w:lang w:val="en-GB"/>
        </w:rPr>
        <w:t xml:space="preserve">be treated as interchangeable </w:t>
      </w:r>
      <w:r>
        <w:rPr>
          <w:rFonts w:cs="Arial"/>
          <w:bCs/>
          <w:snapToGrid w:val="0"/>
          <w:lang w:val="en-GB"/>
        </w:rPr>
        <w:t>with any other drugs</w:t>
      </w:r>
      <w:r w:rsidRPr="00525B39">
        <w:rPr>
          <w:rFonts w:cs="Arial"/>
          <w:bCs/>
          <w:snapToGrid w:val="0"/>
          <w:lang w:val="en-GB"/>
        </w:rPr>
        <w:t>.</w:t>
      </w:r>
    </w:p>
    <w:p w14:paraId="7A3B3886" w14:textId="77777777" w:rsidR="008F00FE" w:rsidRPr="001A6924" w:rsidRDefault="008F00FE" w:rsidP="008F00FE">
      <w:pPr>
        <w:widowControl w:val="0"/>
        <w:numPr>
          <w:ilvl w:val="1"/>
          <w:numId w:val="1"/>
        </w:numPr>
        <w:spacing w:after="120"/>
      </w:pPr>
      <w:r w:rsidRPr="004D2414">
        <w:t xml:space="preserve">The PBAC found that the criteria prescribed by the </w:t>
      </w:r>
      <w:bookmarkStart w:id="116" w:name="_Hlk104208947"/>
      <w:r w:rsidRPr="00C12A89">
        <w:rPr>
          <w:i/>
          <w:iCs/>
        </w:rPr>
        <w:t>National Health (Pharmaceuticals and Vaccines – Cost Recovery) Regulations 2022</w:t>
      </w:r>
      <w:r w:rsidRPr="004D2414">
        <w:t xml:space="preserve"> </w:t>
      </w:r>
      <w:bookmarkEnd w:id="116"/>
      <w:r w:rsidRPr="004D2414">
        <w:t xml:space="preserve">for Pricing Pathway A were not met. Specifically the PBAC found that in the circumstances of its recommendation for </w:t>
      </w:r>
      <w:r w:rsidRPr="001A6924">
        <w:lastRenderedPageBreak/>
        <w:t>retifanlimab:</w:t>
      </w:r>
    </w:p>
    <w:p w14:paraId="4CF46564" w14:textId="651656C1" w:rsidR="008F00FE" w:rsidRPr="001A6924" w:rsidRDefault="008F00FE" w:rsidP="008F00FE">
      <w:pPr>
        <w:pStyle w:val="ListParagraph"/>
        <w:widowControl w:val="0"/>
        <w:numPr>
          <w:ilvl w:val="0"/>
          <w:numId w:val="12"/>
        </w:numPr>
        <w:jc w:val="both"/>
      </w:pPr>
      <w:r w:rsidRPr="001A6924">
        <w:t>The treatment is not expected to provide a substantial and clinically relevant improvement in efficacy, or reduction of toxicity, over alternative therapies, because the magnitude of clinical benefit was uncertain (paragraph</w:t>
      </w:r>
      <w:r w:rsidR="007A6C65">
        <w:t xml:space="preserve"> </w:t>
      </w:r>
      <w:r w:rsidR="007A6C65">
        <w:fldChar w:fldCharType="begin"/>
      </w:r>
      <w:r w:rsidR="007A6C65">
        <w:instrText xml:space="preserve"> REF _Ref215048214 \n \h </w:instrText>
      </w:r>
      <w:r w:rsidR="007A6C65">
        <w:fldChar w:fldCharType="separate"/>
      </w:r>
      <w:r w:rsidR="00BB7FF2">
        <w:t>7.8</w:t>
      </w:r>
      <w:r w:rsidR="007A6C65">
        <w:fldChar w:fldCharType="end"/>
      </w:r>
      <w:r w:rsidRPr="001A6924">
        <w:t>), and because retifanlimab would be used in addition to existing therapy (i.e., CP)</w:t>
      </w:r>
      <w:r>
        <w:t xml:space="preserve"> </w:t>
      </w:r>
      <w:r w:rsidRPr="001A6924">
        <w:t xml:space="preserve">thereby increasing overall toxicity (paragraph </w:t>
      </w:r>
      <w:r w:rsidR="007A6C65">
        <w:fldChar w:fldCharType="begin"/>
      </w:r>
      <w:r w:rsidR="007A6C65">
        <w:instrText xml:space="preserve"> REF _Ref229469788 \n \h </w:instrText>
      </w:r>
      <w:r w:rsidR="007A6C65">
        <w:fldChar w:fldCharType="separate"/>
      </w:r>
      <w:r w:rsidR="00BB7FF2">
        <w:t>7.9</w:t>
      </w:r>
      <w:r w:rsidR="007A6C65">
        <w:fldChar w:fldCharType="end"/>
      </w:r>
      <w:r w:rsidRPr="001A6924">
        <w:t>);</w:t>
      </w:r>
    </w:p>
    <w:p w14:paraId="56E278C8" w14:textId="77777777" w:rsidR="008F00FE" w:rsidRPr="001A6924" w:rsidRDefault="008F00FE" w:rsidP="008F00FE">
      <w:pPr>
        <w:pStyle w:val="ListParagraph"/>
        <w:widowControl w:val="0"/>
        <w:numPr>
          <w:ilvl w:val="0"/>
          <w:numId w:val="12"/>
        </w:numPr>
        <w:jc w:val="both"/>
      </w:pPr>
      <w:r w:rsidRPr="001A6924">
        <w:t xml:space="preserve">The treatment is not expected to address a high and urgent unmet clinical need because </w:t>
      </w:r>
      <w:r>
        <w:t xml:space="preserve">there are treatments </w:t>
      </w:r>
      <w:r w:rsidRPr="001A6924">
        <w:t>available for patients with SCAC;</w:t>
      </w:r>
    </w:p>
    <w:p w14:paraId="49406720" w14:textId="77777777" w:rsidR="008F00FE" w:rsidRPr="004D2414" w:rsidRDefault="008F00FE" w:rsidP="008F00FE">
      <w:pPr>
        <w:pStyle w:val="ListParagraph"/>
        <w:widowControl w:val="0"/>
        <w:numPr>
          <w:ilvl w:val="0"/>
          <w:numId w:val="12"/>
        </w:numPr>
        <w:jc w:val="both"/>
      </w:pPr>
      <w:r w:rsidRPr="001A6924">
        <w:t>It was not necessary to make a finding in relation to whether it would be in the public interest</w:t>
      </w:r>
      <w:r w:rsidRPr="004D2414">
        <w:t xml:space="preserve"> for the subsequent pricing application to be progressed under Pricing Pathway A because one or more of the preceding tests had failed</w:t>
      </w:r>
    </w:p>
    <w:p w14:paraId="46C101A1" w14:textId="77777777" w:rsidR="008F00FE" w:rsidRPr="002419DC" w:rsidRDefault="008F00FE" w:rsidP="008F00FE">
      <w:pPr>
        <w:pStyle w:val="3-BodyText"/>
      </w:pPr>
      <w:r w:rsidRPr="00525B39">
        <w:rPr>
          <w:snapToGrid w:val="0"/>
          <w:lang w:val="en-GB"/>
        </w:rPr>
        <w:t xml:space="preserve">The PBAC noted </w:t>
      </w:r>
      <w:r w:rsidRPr="00191459">
        <w:rPr>
          <w:snapToGrid w:val="0"/>
          <w:lang w:val="en-GB"/>
        </w:rPr>
        <w:t>that this submission is</w:t>
      </w:r>
      <w:r w:rsidRPr="00525B39">
        <w:rPr>
          <w:snapToGrid w:val="0"/>
          <w:lang w:val="en-GB"/>
        </w:rPr>
        <w:t xml:space="preserve"> not eligible for an Independent Review</w:t>
      </w:r>
      <w:r>
        <w:rPr>
          <w:snapToGrid w:val="0"/>
          <w:lang w:val="en-GB"/>
        </w:rPr>
        <w:t xml:space="preserve"> </w:t>
      </w:r>
      <w:r>
        <w:rPr>
          <w:bCs/>
          <w:snapToGrid w:val="0"/>
          <w:lang w:val="en-GB" w:eastAsia="en-US"/>
        </w:rPr>
        <w:t>as it received a positive recommendation</w:t>
      </w:r>
      <w:r w:rsidRPr="00525B39">
        <w:rPr>
          <w:snapToGrid w:val="0"/>
          <w:lang w:val="en-GB"/>
        </w:rPr>
        <w:t>.</w:t>
      </w:r>
    </w:p>
    <w:p w14:paraId="75685082" w14:textId="77777777" w:rsidR="008F00FE" w:rsidRDefault="008F00FE" w:rsidP="008F00FE">
      <w:pPr>
        <w:widowControl w:val="0"/>
        <w:spacing w:after="120"/>
      </w:pPr>
    </w:p>
    <w:p w14:paraId="3DE56EF5" w14:textId="77777777" w:rsidR="008F00FE" w:rsidRPr="00F80D3A" w:rsidRDefault="008F00FE" w:rsidP="008F00FE">
      <w:pPr>
        <w:widowControl w:val="0"/>
        <w:rPr>
          <w:b/>
          <w:bCs/>
        </w:rPr>
      </w:pPr>
      <w:r w:rsidRPr="00F80D3A">
        <w:rPr>
          <w:b/>
          <w:bCs/>
        </w:rPr>
        <w:t>Outcome</w:t>
      </w:r>
      <w:r>
        <w:rPr>
          <w:b/>
          <w:bCs/>
        </w:rPr>
        <w:t>:</w:t>
      </w:r>
    </w:p>
    <w:p w14:paraId="25DE7DDA" w14:textId="77777777" w:rsidR="008F00FE" w:rsidRDefault="008F00FE" w:rsidP="008F00FE">
      <w:pPr>
        <w:widowControl w:val="0"/>
        <w:spacing w:after="120"/>
      </w:pPr>
      <w:r>
        <w:t>Recommended</w:t>
      </w:r>
    </w:p>
    <w:p w14:paraId="638EEDA8" w14:textId="77777777" w:rsidR="008F00FE" w:rsidRDefault="008F00FE" w:rsidP="008F00FE">
      <w:pPr>
        <w:pStyle w:val="2-SectionHeading"/>
      </w:pPr>
      <w:r>
        <w:t>Recommended listing</w:t>
      </w:r>
    </w:p>
    <w:p w14:paraId="7D404196" w14:textId="77777777" w:rsidR="008F00FE" w:rsidRDefault="008F00FE" w:rsidP="008F00FE">
      <w:pPr>
        <w:pStyle w:val="3-BodyText"/>
      </w:pPr>
      <w:r>
        <w:t>Add new item:</w:t>
      </w:r>
    </w:p>
    <w:p w14:paraId="2521057D" w14:textId="77777777" w:rsidR="008F00FE" w:rsidRPr="004B25C3" w:rsidRDefault="008F00FE" w:rsidP="008F00FE">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1823"/>
        <w:gridCol w:w="1973"/>
        <w:gridCol w:w="1973"/>
        <w:gridCol w:w="1976"/>
      </w:tblGrid>
      <w:tr w:rsidR="008F00FE" w:rsidRPr="00660806" w14:paraId="08AF3394" w14:textId="77777777" w:rsidTr="00081ABA">
        <w:trPr>
          <w:cantSplit/>
          <w:trHeight w:val="20"/>
        </w:trPr>
        <w:tc>
          <w:tcPr>
            <w:tcW w:w="1716" w:type="pct"/>
            <w:gridSpan w:val="3"/>
            <w:vAlign w:val="center"/>
          </w:tcPr>
          <w:p w14:paraId="7EDC58C2" w14:textId="77777777" w:rsidR="008F00FE" w:rsidRPr="00B1349C" w:rsidRDefault="008F00FE" w:rsidP="00081ABA">
            <w:pPr>
              <w:rPr>
                <w:rFonts w:ascii="Arial Narrow" w:hAnsi="Arial Narrow"/>
                <w:sz w:val="20"/>
                <w:szCs w:val="20"/>
              </w:rPr>
            </w:pPr>
            <w:r w:rsidRPr="00B1349C">
              <w:rPr>
                <w:rFonts w:ascii="Arial Narrow" w:hAnsi="Arial Narrow"/>
                <w:sz w:val="20"/>
                <w:szCs w:val="20"/>
              </w:rPr>
              <w:t>MEDICINAL PRODUCT</w:t>
            </w:r>
          </w:p>
          <w:p w14:paraId="66460E33" w14:textId="77777777" w:rsidR="008F00FE" w:rsidRPr="00B1349C" w:rsidRDefault="008F00FE" w:rsidP="00081ABA">
            <w:pPr>
              <w:rPr>
                <w:rFonts w:ascii="Arial Narrow" w:hAnsi="Arial Narrow"/>
                <w:sz w:val="20"/>
                <w:szCs w:val="20"/>
              </w:rPr>
            </w:pPr>
            <w:r w:rsidRPr="00B1349C">
              <w:rPr>
                <w:rFonts w:ascii="Arial Narrow" w:hAnsi="Arial Narrow"/>
                <w:sz w:val="20"/>
                <w:szCs w:val="20"/>
              </w:rPr>
              <w:t>Form</w:t>
            </w:r>
          </w:p>
        </w:tc>
        <w:tc>
          <w:tcPr>
            <w:tcW w:w="1094" w:type="pct"/>
            <w:vAlign w:val="center"/>
          </w:tcPr>
          <w:p w14:paraId="289BA0F5" w14:textId="77777777" w:rsidR="008F00FE" w:rsidRPr="00B1349C" w:rsidRDefault="008F00FE" w:rsidP="00081ABA">
            <w:pPr>
              <w:jc w:val="center"/>
              <w:rPr>
                <w:rFonts w:ascii="Arial Narrow" w:hAnsi="Arial Narrow"/>
                <w:sz w:val="20"/>
                <w:szCs w:val="20"/>
              </w:rPr>
            </w:pPr>
            <w:r w:rsidRPr="00B1349C">
              <w:rPr>
                <w:rFonts w:ascii="Arial Narrow" w:hAnsi="Arial Narrow"/>
                <w:sz w:val="20"/>
                <w:szCs w:val="20"/>
              </w:rPr>
              <w:t>PBS item code</w:t>
            </w:r>
          </w:p>
        </w:tc>
        <w:tc>
          <w:tcPr>
            <w:tcW w:w="1094" w:type="pct"/>
            <w:vAlign w:val="center"/>
          </w:tcPr>
          <w:p w14:paraId="757A9617" w14:textId="77777777" w:rsidR="008F00FE" w:rsidRPr="00B1349C" w:rsidRDefault="008F00FE" w:rsidP="00081ABA">
            <w:pPr>
              <w:jc w:val="center"/>
              <w:rPr>
                <w:rFonts w:ascii="Arial Narrow" w:hAnsi="Arial Narrow"/>
                <w:sz w:val="20"/>
                <w:szCs w:val="20"/>
              </w:rPr>
            </w:pPr>
            <w:r w:rsidRPr="00B1349C">
              <w:rPr>
                <w:rFonts w:ascii="Arial Narrow" w:hAnsi="Arial Narrow"/>
                <w:sz w:val="20"/>
                <w:szCs w:val="20"/>
              </w:rPr>
              <w:t>Max. Amount</w:t>
            </w:r>
          </w:p>
        </w:tc>
        <w:tc>
          <w:tcPr>
            <w:tcW w:w="1096" w:type="pct"/>
            <w:vAlign w:val="center"/>
          </w:tcPr>
          <w:p w14:paraId="7ADCEE4F" w14:textId="77777777" w:rsidR="008F00FE" w:rsidRPr="00B1349C" w:rsidRDefault="008F00FE" w:rsidP="00081ABA">
            <w:pPr>
              <w:jc w:val="center"/>
              <w:rPr>
                <w:rFonts w:ascii="Arial Narrow" w:hAnsi="Arial Narrow"/>
                <w:sz w:val="20"/>
                <w:szCs w:val="20"/>
              </w:rPr>
            </w:pPr>
            <w:r w:rsidRPr="00B1349C">
              <w:rPr>
                <w:rFonts w:ascii="Arial Narrow" w:hAnsi="Arial Narrow"/>
                <w:sz w:val="20"/>
                <w:szCs w:val="20"/>
              </w:rPr>
              <w:t>№.of Rpts</w:t>
            </w:r>
          </w:p>
        </w:tc>
      </w:tr>
      <w:tr w:rsidR="008F00FE" w:rsidRPr="00660806" w14:paraId="7FBE4BD9" w14:textId="77777777" w:rsidTr="00081ABA">
        <w:trPr>
          <w:cantSplit/>
          <w:trHeight w:val="20"/>
        </w:trPr>
        <w:tc>
          <w:tcPr>
            <w:tcW w:w="1716" w:type="pct"/>
            <w:gridSpan w:val="3"/>
            <w:vAlign w:val="center"/>
          </w:tcPr>
          <w:p w14:paraId="445A7760" w14:textId="77777777" w:rsidR="008F00FE" w:rsidRPr="00B1349C" w:rsidRDefault="008F00FE" w:rsidP="00081ABA">
            <w:pPr>
              <w:keepNext/>
              <w:rPr>
                <w:rFonts w:ascii="Arial Narrow" w:hAnsi="Arial Narrow"/>
                <w:sz w:val="20"/>
                <w:szCs w:val="20"/>
              </w:rPr>
            </w:pPr>
            <w:r w:rsidRPr="00B1349C">
              <w:rPr>
                <w:rFonts w:ascii="Arial Narrow" w:hAnsi="Arial Narrow"/>
                <w:sz w:val="20"/>
                <w:szCs w:val="20"/>
              </w:rPr>
              <w:t>RETIFANLIMAB</w:t>
            </w:r>
            <w:r w:rsidRPr="00B1349C">
              <w:rPr>
                <w:rFonts w:ascii="Arial Narrow" w:hAnsi="Arial Narrow"/>
                <w:color w:val="FF0000"/>
                <w:sz w:val="20"/>
                <w:szCs w:val="20"/>
              </w:rPr>
              <w:br/>
            </w:r>
            <w:r w:rsidRPr="00B1349C">
              <w:rPr>
                <w:rFonts w:ascii="Arial Narrow" w:hAnsi="Arial Narrow" w:cs="Arial Narrow"/>
                <w:sz w:val="20"/>
                <w:szCs w:val="20"/>
              </w:rPr>
              <w:t>Injection</w:t>
            </w:r>
          </w:p>
        </w:tc>
        <w:tc>
          <w:tcPr>
            <w:tcW w:w="1094" w:type="pct"/>
            <w:vAlign w:val="center"/>
          </w:tcPr>
          <w:p w14:paraId="5DA28A12" w14:textId="77777777" w:rsidR="008F00FE" w:rsidRPr="00B1349C" w:rsidRDefault="008F00FE" w:rsidP="00081ABA">
            <w:pPr>
              <w:keepNext/>
              <w:jc w:val="center"/>
              <w:rPr>
                <w:rFonts w:ascii="Arial Narrow" w:hAnsi="Arial Narrow"/>
                <w:sz w:val="20"/>
                <w:szCs w:val="20"/>
              </w:rPr>
            </w:pPr>
            <w:r w:rsidRPr="00B1349C">
              <w:rPr>
                <w:rFonts w:ascii="Arial Narrow" w:hAnsi="Arial Narrow"/>
                <w:sz w:val="20"/>
                <w:szCs w:val="20"/>
              </w:rPr>
              <w:t>NEW (Public)</w:t>
            </w:r>
            <w:r w:rsidRPr="00B1349C">
              <w:rPr>
                <w:rFonts w:ascii="Arial Narrow" w:hAnsi="Arial Narrow"/>
                <w:sz w:val="20"/>
                <w:szCs w:val="20"/>
              </w:rPr>
              <w:br/>
              <w:t>NEW (Private)</w:t>
            </w:r>
          </w:p>
        </w:tc>
        <w:tc>
          <w:tcPr>
            <w:tcW w:w="1094" w:type="pct"/>
            <w:vAlign w:val="center"/>
          </w:tcPr>
          <w:p w14:paraId="3F97B978" w14:textId="77777777" w:rsidR="008F00FE" w:rsidRPr="00B1349C" w:rsidRDefault="008F00FE" w:rsidP="00081ABA">
            <w:pPr>
              <w:keepNext/>
              <w:jc w:val="center"/>
              <w:rPr>
                <w:rFonts w:ascii="Arial Narrow" w:hAnsi="Arial Narrow"/>
                <w:sz w:val="20"/>
                <w:szCs w:val="20"/>
              </w:rPr>
            </w:pPr>
            <w:r w:rsidRPr="00B1349C">
              <w:rPr>
                <w:rFonts w:ascii="Arial Narrow" w:hAnsi="Arial Narrow"/>
                <w:sz w:val="20"/>
                <w:szCs w:val="20"/>
              </w:rPr>
              <w:t>500mg</w:t>
            </w:r>
          </w:p>
        </w:tc>
        <w:tc>
          <w:tcPr>
            <w:tcW w:w="1096" w:type="pct"/>
            <w:vAlign w:val="center"/>
          </w:tcPr>
          <w:p w14:paraId="3AB2FDC5" w14:textId="77777777" w:rsidR="008F00FE" w:rsidRPr="00B1349C" w:rsidRDefault="008F00FE" w:rsidP="00081ABA">
            <w:pPr>
              <w:keepNext/>
              <w:jc w:val="center"/>
              <w:rPr>
                <w:rFonts w:ascii="Arial Narrow" w:hAnsi="Arial Narrow"/>
                <w:sz w:val="20"/>
                <w:szCs w:val="20"/>
              </w:rPr>
            </w:pPr>
            <w:r w:rsidRPr="00B1349C">
              <w:rPr>
                <w:rFonts w:ascii="Arial Narrow" w:hAnsi="Arial Narrow"/>
                <w:sz w:val="20"/>
                <w:szCs w:val="20"/>
              </w:rPr>
              <w:t>5</w:t>
            </w:r>
          </w:p>
        </w:tc>
      </w:tr>
      <w:tr w:rsidR="008F00FE" w:rsidRPr="00660806" w14:paraId="7BEF357F" w14:textId="77777777" w:rsidTr="00081ABA">
        <w:trPr>
          <w:cantSplit/>
          <w:trHeight w:val="20"/>
        </w:trPr>
        <w:tc>
          <w:tcPr>
            <w:tcW w:w="5000" w:type="pct"/>
            <w:gridSpan w:val="6"/>
            <w:vAlign w:val="center"/>
          </w:tcPr>
          <w:p w14:paraId="4270C981" w14:textId="77777777" w:rsidR="008F00FE" w:rsidRPr="00660806" w:rsidRDefault="008F00FE" w:rsidP="00081ABA">
            <w:pPr>
              <w:keepNext/>
              <w:rPr>
                <w:rFonts w:ascii="Arial Narrow" w:hAnsi="Arial Narrow"/>
                <w:b/>
                <w:sz w:val="20"/>
                <w:szCs w:val="20"/>
              </w:rPr>
            </w:pPr>
            <w:r w:rsidRPr="00660806">
              <w:rPr>
                <w:rFonts w:ascii="Arial Narrow" w:hAnsi="Arial Narrow"/>
                <w:b/>
                <w:sz w:val="20"/>
                <w:szCs w:val="20"/>
              </w:rPr>
              <w:t xml:space="preserve">Available brands </w:t>
            </w:r>
          </w:p>
        </w:tc>
      </w:tr>
      <w:tr w:rsidR="008F00FE" w:rsidRPr="00660806" w14:paraId="2BB5F6BB" w14:textId="77777777" w:rsidTr="00081ABA">
        <w:trPr>
          <w:cantSplit/>
          <w:trHeight w:val="20"/>
        </w:trPr>
        <w:tc>
          <w:tcPr>
            <w:tcW w:w="5000" w:type="pct"/>
            <w:gridSpan w:val="6"/>
            <w:vAlign w:val="center"/>
          </w:tcPr>
          <w:p w14:paraId="22E44EF6" w14:textId="77777777" w:rsidR="008F00FE" w:rsidRPr="00660806" w:rsidRDefault="008F00FE" w:rsidP="00081ABA">
            <w:pPr>
              <w:keepNext/>
              <w:rPr>
                <w:rFonts w:ascii="Arial Narrow" w:hAnsi="Arial Narrow"/>
                <w:sz w:val="20"/>
                <w:szCs w:val="20"/>
              </w:rPr>
            </w:pPr>
            <w:r w:rsidRPr="00660806">
              <w:rPr>
                <w:rFonts w:ascii="Arial Narrow" w:hAnsi="Arial Narrow"/>
                <w:sz w:val="20"/>
                <w:szCs w:val="20"/>
              </w:rPr>
              <w:t>Zynyz</w:t>
            </w:r>
            <w:r w:rsidRPr="00660806">
              <w:rPr>
                <w:rFonts w:ascii="Arial Narrow" w:hAnsi="Arial Narrow"/>
                <w:sz w:val="20"/>
                <w:szCs w:val="20"/>
              </w:rPr>
              <w:br/>
              <w:t>(retifanlimab 500 mg/20 mL injection, 20 mL vial)</w:t>
            </w:r>
          </w:p>
        </w:tc>
      </w:tr>
      <w:tr w:rsidR="008F00FE" w:rsidRPr="00660806" w14:paraId="388BF54A" w14:textId="77777777" w:rsidTr="00081ABA">
        <w:trPr>
          <w:cantSplit/>
          <w:trHeight w:val="20"/>
        </w:trPr>
        <w:tc>
          <w:tcPr>
            <w:tcW w:w="5000" w:type="pct"/>
            <w:gridSpan w:val="6"/>
            <w:vAlign w:val="center"/>
          </w:tcPr>
          <w:p w14:paraId="7EC722B8" w14:textId="77777777" w:rsidR="008F00FE" w:rsidRPr="00660806" w:rsidRDefault="008F00FE" w:rsidP="00081ABA">
            <w:pPr>
              <w:rPr>
                <w:rFonts w:ascii="Arial Narrow" w:hAnsi="Arial Narrow"/>
                <w:color w:val="FF0000"/>
                <w:sz w:val="20"/>
                <w:szCs w:val="20"/>
              </w:rPr>
            </w:pPr>
          </w:p>
        </w:tc>
      </w:tr>
      <w:tr w:rsidR="008F00FE" w:rsidRPr="00660806" w14:paraId="45B4D031"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0C0F1D08" w14:textId="77777777" w:rsidR="008F00FE" w:rsidRPr="00660806" w:rsidRDefault="008F00FE" w:rsidP="00081ABA">
            <w:pPr>
              <w:keepNext/>
              <w:jc w:val="center"/>
              <w:rPr>
                <w:rFonts w:ascii="Arial Narrow" w:hAnsi="Arial Narrow"/>
                <w:b/>
                <w:sz w:val="20"/>
                <w:szCs w:val="20"/>
              </w:rPr>
            </w:pPr>
            <w:r w:rsidRPr="00660806">
              <w:rPr>
                <w:rFonts w:ascii="Arial Narrow" w:hAnsi="Arial Narrow"/>
                <w:b/>
                <w:sz w:val="20"/>
                <w:szCs w:val="20"/>
              </w:rPr>
              <w:t xml:space="preserve">Concept ID </w:t>
            </w:r>
            <w:r w:rsidRPr="00660806">
              <w:rPr>
                <w:rFonts w:ascii="Arial Narrow" w:hAnsi="Arial Narrow"/>
                <w:sz w:val="20"/>
                <w:szCs w:val="20"/>
              </w:rPr>
              <w:t>(for internal Dept. use)</w:t>
            </w:r>
          </w:p>
        </w:tc>
        <w:tc>
          <w:tcPr>
            <w:tcW w:w="4295" w:type="pct"/>
            <w:gridSpan w:val="4"/>
          </w:tcPr>
          <w:p w14:paraId="3AD9844A" w14:textId="77777777" w:rsidR="008F00FE" w:rsidRPr="00660806" w:rsidRDefault="008F00FE" w:rsidP="00081ABA">
            <w:pPr>
              <w:keepNext/>
              <w:rPr>
                <w:rFonts w:ascii="Arial Narrow" w:hAnsi="Arial Narrow"/>
                <w:sz w:val="20"/>
                <w:szCs w:val="20"/>
              </w:rPr>
            </w:pPr>
            <w:r w:rsidRPr="00660806">
              <w:rPr>
                <w:rFonts w:ascii="Arial Narrow" w:hAnsi="Arial Narrow"/>
                <w:b/>
                <w:sz w:val="20"/>
                <w:szCs w:val="20"/>
              </w:rPr>
              <w:t xml:space="preserve">Category / Program: </w:t>
            </w:r>
            <w:r w:rsidRPr="00660806">
              <w:rPr>
                <w:rFonts w:ascii="Arial Narrow" w:hAnsi="Arial Narrow"/>
                <w:sz w:val="20"/>
                <w:szCs w:val="20"/>
              </w:rPr>
              <w:t>Section 100 – Efficient Funding of Chemotherapy Public/Private hospitals</w:t>
            </w:r>
          </w:p>
        </w:tc>
      </w:tr>
      <w:tr w:rsidR="008F00FE" w:rsidRPr="00660806" w14:paraId="2E3363A8"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44A3C250" w14:textId="77777777" w:rsidR="008F00FE" w:rsidRPr="00660806" w:rsidRDefault="008F00FE" w:rsidP="00081ABA">
            <w:pPr>
              <w:keepNext/>
              <w:rPr>
                <w:rFonts w:ascii="Arial Narrow" w:hAnsi="Arial Narrow"/>
                <w:sz w:val="20"/>
                <w:szCs w:val="20"/>
              </w:rPr>
            </w:pPr>
          </w:p>
        </w:tc>
        <w:tc>
          <w:tcPr>
            <w:tcW w:w="4295" w:type="pct"/>
            <w:gridSpan w:val="4"/>
          </w:tcPr>
          <w:p w14:paraId="59626116" w14:textId="77777777" w:rsidR="008F00FE" w:rsidRPr="00660806" w:rsidRDefault="008F00FE" w:rsidP="00081ABA">
            <w:pPr>
              <w:keepNext/>
              <w:rPr>
                <w:rFonts w:ascii="Arial Narrow" w:hAnsi="Arial Narrow"/>
                <w:b/>
                <w:sz w:val="20"/>
                <w:szCs w:val="20"/>
              </w:rPr>
            </w:pPr>
            <w:r w:rsidRPr="00660806">
              <w:rPr>
                <w:rFonts w:ascii="Arial Narrow" w:hAnsi="Arial Narrow"/>
                <w:b/>
                <w:sz w:val="20"/>
                <w:szCs w:val="20"/>
              </w:rPr>
              <w:t xml:space="preserve">Prescriber type: </w:t>
            </w:r>
            <w:r w:rsidRPr="00660806">
              <w:rPr>
                <w:rFonts w:ascii="Arial Narrow" w:hAnsi="Arial Narrow"/>
                <w:sz w:val="20"/>
                <w:szCs w:val="20"/>
              </w:rPr>
              <w:fldChar w:fldCharType="begin">
                <w:ffData>
                  <w:name w:val=""/>
                  <w:enabled/>
                  <w:calcOnExit w:val="0"/>
                  <w:checkBox>
                    <w:sizeAuto/>
                    <w:default w:val="1"/>
                  </w:checkBox>
                </w:ffData>
              </w:fldChar>
            </w:r>
            <w:r w:rsidRPr="00660806">
              <w:rPr>
                <w:rFonts w:ascii="Arial Narrow" w:hAnsi="Arial Narrow"/>
                <w:sz w:val="20"/>
                <w:szCs w:val="20"/>
              </w:rPr>
              <w:instrText xml:space="preserve"> FORMCHECKBOX </w:instrText>
            </w:r>
            <w:r w:rsidRPr="00660806">
              <w:rPr>
                <w:rFonts w:ascii="Arial Narrow" w:hAnsi="Arial Narrow"/>
                <w:sz w:val="20"/>
                <w:szCs w:val="20"/>
              </w:rPr>
            </w:r>
            <w:r w:rsidRPr="00660806">
              <w:rPr>
                <w:rFonts w:ascii="Arial Narrow" w:hAnsi="Arial Narrow"/>
                <w:sz w:val="20"/>
                <w:szCs w:val="20"/>
              </w:rPr>
              <w:fldChar w:fldCharType="separate"/>
            </w:r>
            <w:r w:rsidRPr="00660806">
              <w:rPr>
                <w:rFonts w:ascii="Arial Narrow" w:hAnsi="Arial Narrow"/>
                <w:sz w:val="20"/>
                <w:szCs w:val="20"/>
              </w:rPr>
              <w:fldChar w:fldCharType="end"/>
            </w:r>
            <w:r w:rsidRPr="00660806">
              <w:rPr>
                <w:rFonts w:ascii="Arial Narrow" w:hAnsi="Arial Narrow"/>
                <w:sz w:val="20"/>
                <w:szCs w:val="20"/>
              </w:rPr>
              <w:t xml:space="preserve">Medical Practitioners </w:t>
            </w:r>
          </w:p>
        </w:tc>
      </w:tr>
      <w:tr w:rsidR="008F00FE" w:rsidRPr="00660806" w14:paraId="783B03FD"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0482F5A2" w14:textId="77777777" w:rsidR="008F00FE" w:rsidRPr="00660806" w:rsidRDefault="008F00FE" w:rsidP="00081ABA">
            <w:pPr>
              <w:rPr>
                <w:rFonts w:ascii="Arial Narrow" w:hAnsi="Arial Narrow"/>
                <w:sz w:val="20"/>
                <w:szCs w:val="20"/>
              </w:rPr>
            </w:pPr>
          </w:p>
        </w:tc>
        <w:tc>
          <w:tcPr>
            <w:tcW w:w="4295" w:type="pct"/>
            <w:gridSpan w:val="4"/>
          </w:tcPr>
          <w:p w14:paraId="2F15F3E9" w14:textId="77777777" w:rsidR="008F00FE" w:rsidRPr="00660806" w:rsidRDefault="008F00FE" w:rsidP="00081ABA">
            <w:pPr>
              <w:rPr>
                <w:rFonts w:ascii="Arial Narrow" w:eastAsia="Calibri" w:hAnsi="Arial Narrow"/>
                <w:sz w:val="20"/>
                <w:szCs w:val="20"/>
              </w:rPr>
            </w:pPr>
            <w:r w:rsidRPr="00660806">
              <w:rPr>
                <w:rFonts w:ascii="Arial Narrow" w:hAnsi="Arial Narrow"/>
                <w:b/>
                <w:sz w:val="20"/>
                <w:szCs w:val="20"/>
              </w:rPr>
              <w:t xml:space="preserve">Restriction type: </w:t>
            </w:r>
            <w:r w:rsidRPr="00660806">
              <w:rPr>
                <w:rFonts w:ascii="Arial Narrow" w:eastAsia="Calibri" w:hAnsi="Arial Narrow"/>
                <w:sz w:val="20"/>
                <w:szCs w:val="20"/>
              </w:rPr>
              <w:fldChar w:fldCharType="begin">
                <w:ffData>
                  <w:name w:val=""/>
                  <w:enabled/>
                  <w:calcOnExit w:val="0"/>
                  <w:checkBox>
                    <w:sizeAuto/>
                    <w:default w:val="1"/>
                  </w:checkBox>
                </w:ffData>
              </w:fldChar>
            </w:r>
            <w:r w:rsidRPr="00660806">
              <w:rPr>
                <w:rFonts w:ascii="Arial Narrow" w:eastAsia="Calibri" w:hAnsi="Arial Narrow"/>
                <w:sz w:val="20"/>
                <w:szCs w:val="20"/>
              </w:rPr>
              <w:instrText xml:space="preserve"> FORMCHECKBOX </w:instrText>
            </w:r>
            <w:r w:rsidRPr="00660806">
              <w:rPr>
                <w:rFonts w:ascii="Arial Narrow" w:eastAsia="Calibri" w:hAnsi="Arial Narrow"/>
                <w:sz w:val="20"/>
                <w:szCs w:val="20"/>
              </w:rPr>
            </w:r>
            <w:r w:rsidRPr="00660806">
              <w:rPr>
                <w:rFonts w:ascii="Arial Narrow" w:eastAsia="Calibri" w:hAnsi="Arial Narrow"/>
                <w:sz w:val="20"/>
                <w:szCs w:val="20"/>
              </w:rPr>
              <w:fldChar w:fldCharType="separate"/>
            </w:r>
            <w:r w:rsidRPr="00660806">
              <w:rPr>
                <w:rFonts w:ascii="Arial Narrow" w:eastAsia="Calibri" w:hAnsi="Arial Narrow"/>
                <w:sz w:val="20"/>
                <w:szCs w:val="20"/>
              </w:rPr>
              <w:fldChar w:fldCharType="end"/>
            </w:r>
            <w:r w:rsidRPr="00660806">
              <w:rPr>
                <w:rFonts w:ascii="Arial Narrow" w:eastAsia="Calibri" w:hAnsi="Arial Narrow"/>
                <w:sz w:val="20"/>
                <w:szCs w:val="20"/>
              </w:rPr>
              <w:t>Authority Required (STREAMLINED) NEW</w:t>
            </w:r>
            <w:r w:rsidRPr="00660806">
              <w:rPr>
                <w:rFonts w:ascii="Arial Narrow" w:eastAsia="Calibri" w:hAnsi="Arial Narrow"/>
                <w:color w:val="FF0000"/>
                <w:sz w:val="20"/>
                <w:szCs w:val="20"/>
              </w:rPr>
              <w:t xml:space="preserve"> </w:t>
            </w:r>
          </w:p>
        </w:tc>
      </w:tr>
      <w:tr w:rsidR="008F00FE" w:rsidRPr="00660806" w14:paraId="1D6045D1" w14:textId="77777777" w:rsidTr="00081ABA">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0B14F2A8" w14:textId="77777777" w:rsidR="008F00FE" w:rsidRPr="006C782B" w:rsidRDefault="008F00FE" w:rsidP="00081ABA">
            <w:pPr>
              <w:keepLines/>
              <w:ind w:right="113"/>
              <w:jc w:val="center"/>
              <w:rPr>
                <w:rFonts w:ascii="Arial Narrow" w:hAnsi="Arial Narrow"/>
                <w:color w:val="333333"/>
                <w:sz w:val="16"/>
                <w:szCs w:val="16"/>
              </w:rPr>
            </w:pPr>
            <w:r w:rsidRPr="006C782B">
              <w:rPr>
                <w:rFonts w:ascii="Arial Narrow" w:hAnsi="Arial Narrow"/>
                <w:color w:val="333333"/>
                <w:sz w:val="15"/>
                <w:szCs w:val="15"/>
              </w:rPr>
              <w:t>Prescribing</w:t>
            </w:r>
            <w:r w:rsidRPr="006C782B">
              <w:rPr>
                <w:rFonts w:ascii="Arial Narrow" w:hAnsi="Arial Narrow"/>
                <w:color w:val="333333"/>
                <w:sz w:val="16"/>
                <w:szCs w:val="16"/>
              </w:rPr>
              <w:t xml:space="preserve"> rule level</w:t>
            </w:r>
          </w:p>
        </w:tc>
        <w:tc>
          <w:tcPr>
            <w:tcW w:w="393" w:type="pct"/>
            <w:vAlign w:val="center"/>
          </w:tcPr>
          <w:p w14:paraId="3DADC051" w14:textId="1416D6B3" w:rsidR="008F00FE" w:rsidRPr="00660806" w:rsidRDefault="008F00FE" w:rsidP="00081ABA">
            <w:pPr>
              <w:keepLines/>
              <w:ind w:hanging="35"/>
              <w:jc w:val="center"/>
              <w:rPr>
                <w:rFonts w:ascii="Arial Narrow" w:hAnsi="Arial Narrow"/>
                <w:bCs/>
                <w:sz w:val="20"/>
                <w:szCs w:val="20"/>
              </w:rPr>
            </w:pPr>
          </w:p>
        </w:tc>
        <w:tc>
          <w:tcPr>
            <w:tcW w:w="4295" w:type="pct"/>
            <w:gridSpan w:val="4"/>
            <w:vAlign w:val="center"/>
          </w:tcPr>
          <w:p w14:paraId="4DB7C07C" w14:textId="77777777" w:rsidR="008F00FE" w:rsidRPr="00660806" w:rsidRDefault="008F00FE" w:rsidP="00081ABA">
            <w:pPr>
              <w:keepLines/>
              <w:rPr>
                <w:rFonts w:ascii="Arial Narrow" w:hAnsi="Arial Narrow"/>
                <w:b/>
                <w:bCs/>
                <w:sz w:val="20"/>
                <w:szCs w:val="20"/>
              </w:rPr>
            </w:pPr>
            <w:r w:rsidRPr="00660806">
              <w:rPr>
                <w:rFonts w:ascii="Arial Narrow" w:hAnsi="Arial Narrow"/>
                <w:b/>
                <w:sz w:val="20"/>
                <w:szCs w:val="20"/>
              </w:rPr>
              <w:t>Administrative Advice:</w:t>
            </w:r>
            <w:r w:rsidRPr="00660806">
              <w:rPr>
                <w:rFonts w:ascii="Arial Narrow" w:hAnsi="Arial Narrow"/>
                <w:bCs/>
                <w:sz w:val="20"/>
                <w:szCs w:val="20"/>
              </w:rPr>
              <w:t xml:space="preserve"> </w:t>
            </w:r>
            <w:r w:rsidRPr="00660806">
              <w:rPr>
                <w:rFonts w:ascii="Arial Narrow" w:hAnsi="Arial Narrow"/>
                <w:sz w:val="20"/>
                <w:szCs w:val="20"/>
              </w:rPr>
              <w:t>No increase in the maximum amount or number of units may be authorised.</w:t>
            </w:r>
          </w:p>
        </w:tc>
      </w:tr>
      <w:tr w:rsidR="008F00FE" w:rsidRPr="00660806" w14:paraId="50D959EF" w14:textId="77777777" w:rsidTr="00081ABA">
        <w:tblPrEx>
          <w:tblCellMar>
            <w:top w:w="15" w:type="dxa"/>
            <w:bottom w:w="15" w:type="dxa"/>
          </w:tblCellMar>
          <w:tblLook w:val="04A0" w:firstRow="1" w:lastRow="0" w:firstColumn="1" w:lastColumn="0" w:noHBand="0" w:noVBand="1"/>
        </w:tblPrEx>
        <w:trPr>
          <w:trHeight w:val="20"/>
        </w:trPr>
        <w:tc>
          <w:tcPr>
            <w:tcW w:w="312" w:type="pct"/>
            <w:vMerge/>
            <w:textDirection w:val="btLr"/>
            <w:vAlign w:val="center"/>
          </w:tcPr>
          <w:p w14:paraId="11632491" w14:textId="77777777" w:rsidR="008F00FE" w:rsidRPr="00660806" w:rsidRDefault="008F00FE" w:rsidP="00081ABA">
            <w:pPr>
              <w:keepLines/>
              <w:ind w:right="113"/>
              <w:jc w:val="center"/>
              <w:rPr>
                <w:rFonts w:ascii="Arial Narrow" w:hAnsi="Arial Narrow"/>
                <w:color w:val="333333"/>
                <w:sz w:val="20"/>
                <w:szCs w:val="20"/>
              </w:rPr>
            </w:pPr>
          </w:p>
        </w:tc>
        <w:tc>
          <w:tcPr>
            <w:tcW w:w="393" w:type="pct"/>
            <w:vAlign w:val="center"/>
          </w:tcPr>
          <w:p w14:paraId="237E86A6" w14:textId="0A773213" w:rsidR="008F00FE" w:rsidRPr="00660806" w:rsidRDefault="008F00FE" w:rsidP="00081ABA">
            <w:pPr>
              <w:keepLines/>
              <w:ind w:hanging="35"/>
              <w:jc w:val="center"/>
              <w:rPr>
                <w:rFonts w:ascii="Arial Narrow" w:hAnsi="Arial Narrow"/>
                <w:color w:val="333333"/>
                <w:sz w:val="20"/>
                <w:szCs w:val="20"/>
              </w:rPr>
            </w:pPr>
          </w:p>
        </w:tc>
        <w:tc>
          <w:tcPr>
            <w:tcW w:w="4295" w:type="pct"/>
            <w:gridSpan w:val="4"/>
            <w:vAlign w:val="center"/>
          </w:tcPr>
          <w:p w14:paraId="48005C15" w14:textId="77777777" w:rsidR="008F00FE" w:rsidRPr="00660806" w:rsidRDefault="008F00FE" w:rsidP="00081ABA">
            <w:pPr>
              <w:keepLines/>
              <w:rPr>
                <w:rFonts w:ascii="Arial Narrow" w:hAnsi="Arial Narrow"/>
                <w:color w:val="333333"/>
                <w:sz w:val="20"/>
                <w:szCs w:val="20"/>
              </w:rPr>
            </w:pPr>
            <w:r w:rsidRPr="00660806">
              <w:rPr>
                <w:rFonts w:ascii="Arial Narrow" w:hAnsi="Arial Narrow"/>
                <w:b/>
                <w:bCs/>
                <w:sz w:val="20"/>
                <w:szCs w:val="20"/>
              </w:rPr>
              <w:t xml:space="preserve">Administrative Advice: </w:t>
            </w:r>
            <w:r w:rsidRPr="00660806">
              <w:rPr>
                <w:rFonts w:ascii="Arial Narrow" w:hAnsi="Arial Narrow"/>
                <w:bCs/>
                <w:sz w:val="20"/>
                <w:szCs w:val="20"/>
              </w:rPr>
              <w:t>No increase in the maximum number of repeats may be authorised.</w:t>
            </w:r>
          </w:p>
        </w:tc>
      </w:tr>
      <w:tr w:rsidR="008F00FE" w:rsidRPr="00660806" w14:paraId="780D7752" w14:textId="77777777" w:rsidTr="00081ABA">
        <w:tblPrEx>
          <w:tblCellMar>
            <w:top w:w="15" w:type="dxa"/>
            <w:bottom w:w="15" w:type="dxa"/>
          </w:tblCellMar>
          <w:tblLook w:val="04A0" w:firstRow="1" w:lastRow="0" w:firstColumn="1" w:lastColumn="0" w:noHBand="0" w:noVBand="1"/>
        </w:tblPrEx>
        <w:trPr>
          <w:trHeight w:val="20"/>
        </w:trPr>
        <w:tc>
          <w:tcPr>
            <w:tcW w:w="312" w:type="pct"/>
            <w:vMerge/>
            <w:vAlign w:val="center"/>
          </w:tcPr>
          <w:p w14:paraId="3D5C0A87" w14:textId="77777777" w:rsidR="008F00FE" w:rsidRPr="00660806" w:rsidRDefault="008F00FE" w:rsidP="00081ABA">
            <w:pPr>
              <w:keepLines/>
              <w:jc w:val="center"/>
              <w:rPr>
                <w:rFonts w:ascii="Arial Narrow" w:hAnsi="Arial Narrow"/>
                <w:color w:val="333333"/>
                <w:sz w:val="20"/>
                <w:szCs w:val="20"/>
              </w:rPr>
            </w:pPr>
          </w:p>
        </w:tc>
        <w:tc>
          <w:tcPr>
            <w:tcW w:w="393" w:type="pct"/>
            <w:vAlign w:val="center"/>
          </w:tcPr>
          <w:p w14:paraId="0F0CBBAE" w14:textId="3E4B4C7B" w:rsidR="008F00FE" w:rsidRPr="00660806" w:rsidRDefault="008F00FE" w:rsidP="00081ABA">
            <w:pPr>
              <w:keepLines/>
              <w:ind w:hanging="35"/>
              <w:jc w:val="center"/>
              <w:rPr>
                <w:rFonts w:ascii="Arial Narrow" w:hAnsi="Arial Narrow"/>
                <w:color w:val="333333"/>
                <w:sz w:val="20"/>
                <w:szCs w:val="20"/>
              </w:rPr>
            </w:pPr>
          </w:p>
        </w:tc>
        <w:tc>
          <w:tcPr>
            <w:tcW w:w="4295" w:type="pct"/>
            <w:gridSpan w:val="4"/>
            <w:vAlign w:val="center"/>
          </w:tcPr>
          <w:p w14:paraId="7688C57E" w14:textId="77777777" w:rsidR="008F00FE" w:rsidRPr="00660806" w:rsidRDefault="008F00FE" w:rsidP="00081ABA">
            <w:pPr>
              <w:keepLines/>
              <w:rPr>
                <w:rFonts w:ascii="Arial Narrow" w:hAnsi="Arial Narrow"/>
                <w:b/>
                <w:bCs/>
                <w:color w:val="333333"/>
                <w:sz w:val="20"/>
                <w:szCs w:val="20"/>
              </w:rPr>
            </w:pPr>
            <w:r w:rsidRPr="00660806">
              <w:rPr>
                <w:rFonts w:ascii="Arial Narrow" w:hAnsi="Arial Narrow"/>
                <w:b/>
                <w:bCs/>
                <w:sz w:val="20"/>
                <w:szCs w:val="20"/>
              </w:rPr>
              <w:t xml:space="preserve">Administrative Advice: </w:t>
            </w:r>
            <w:r w:rsidRPr="00660806">
              <w:rPr>
                <w:rFonts w:ascii="Arial Narrow" w:hAnsi="Arial Narrow"/>
                <w:bCs/>
                <w:sz w:val="20"/>
                <w:szCs w:val="20"/>
              </w:rPr>
              <w:t>Special Pricing Arrangements apply.</w:t>
            </w:r>
          </w:p>
        </w:tc>
      </w:tr>
      <w:tr w:rsidR="008F00FE" w:rsidRPr="00660806" w14:paraId="59E54001"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37A76B11" w14:textId="77777777" w:rsidR="008F00FE" w:rsidRPr="00660806" w:rsidRDefault="008F00FE" w:rsidP="00081ABA">
            <w:pPr>
              <w:keepLines/>
              <w:jc w:val="center"/>
              <w:rPr>
                <w:rFonts w:ascii="Arial Narrow" w:hAnsi="Arial Narrow"/>
                <w:color w:val="333333"/>
                <w:sz w:val="20"/>
                <w:szCs w:val="20"/>
              </w:rPr>
            </w:pPr>
          </w:p>
        </w:tc>
        <w:tc>
          <w:tcPr>
            <w:tcW w:w="4295" w:type="pct"/>
            <w:gridSpan w:val="4"/>
            <w:vAlign w:val="center"/>
          </w:tcPr>
          <w:p w14:paraId="2CC342C5" w14:textId="77777777" w:rsidR="008F00FE" w:rsidRPr="00660806" w:rsidRDefault="008F00FE" w:rsidP="00081ABA">
            <w:pPr>
              <w:keepLines/>
              <w:rPr>
                <w:rFonts w:ascii="Arial Narrow" w:hAnsi="Arial Narrow"/>
                <w:bCs/>
                <w:sz w:val="20"/>
                <w:szCs w:val="20"/>
              </w:rPr>
            </w:pPr>
            <w:r w:rsidRPr="00660806">
              <w:rPr>
                <w:rFonts w:ascii="Arial Narrow" w:hAnsi="Arial Narrow"/>
                <w:b/>
                <w:bCs/>
                <w:sz w:val="20"/>
                <w:szCs w:val="20"/>
              </w:rPr>
              <w:t xml:space="preserve">Episodicity: </w:t>
            </w:r>
            <w:r w:rsidRPr="00660806">
              <w:rPr>
                <w:rFonts w:ascii="Arial Narrow" w:hAnsi="Arial Narrow"/>
                <w:bCs/>
                <w:sz w:val="20"/>
                <w:szCs w:val="20"/>
              </w:rPr>
              <w:t>BLANK</w:t>
            </w:r>
          </w:p>
        </w:tc>
      </w:tr>
      <w:tr w:rsidR="008F00FE" w:rsidRPr="00660806" w14:paraId="782B05E4"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4AD5484B" w14:textId="77777777" w:rsidR="008F00FE" w:rsidRPr="00660806" w:rsidRDefault="008F00FE" w:rsidP="00081ABA">
            <w:pPr>
              <w:keepLines/>
              <w:jc w:val="center"/>
              <w:rPr>
                <w:rFonts w:ascii="Arial Narrow" w:hAnsi="Arial Narrow"/>
                <w:color w:val="333333"/>
                <w:sz w:val="20"/>
                <w:szCs w:val="20"/>
              </w:rPr>
            </w:pPr>
          </w:p>
        </w:tc>
        <w:tc>
          <w:tcPr>
            <w:tcW w:w="4295" w:type="pct"/>
            <w:gridSpan w:val="4"/>
            <w:vAlign w:val="center"/>
          </w:tcPr>
          <w:p w14:paraId="73434E98" w14:textId="77777777" w:rsidR="008F00FE" w:rsidRPr="00660806" w:rsidRDefault="008F00FE" w:rsidP="00081ABA">
            <w:pPr>
              <w:keepLines/>
              <w:rPr>
                <w:rFonts w:ascii="Arial Narrow" w:hAnsi="Arial Narrow"/>
                <w:b/>
                <w:bCs/>
                <w:sz w:val="20"/>
                <w:szCs w:val="20"/>
              </w:rPr>
            </w:pPr>
            <w:r w:rsidRPr="00660806">
              <w:rPr>
                <w:rFonts w:ascii="Arial Narrow" w:hAnsi="Arial Narrow"/>
                <w:b/>
                <w:bCs/>
                <w:sz w:val="20"/>
                <w:szCs w:val="20"/>
              </w:rPr>
              <w:t xml:space="preserve">Severity: </w:t>
            </w:r>
            <w:r w:rsidRPr="00200E09">
              <w:rPr>
                <w:rFonts w:ascii="Arial Narrow" w:hAnsi="Arial Narrow"/>
                <w:sz w:val="20"/>
                <w:szCs w:val="20"/>
              </w:rPr>
              <w:t>Locally</w:t>
            </w:r>
            <w:r>
              <w:rPr>
                <w:rFonts w:ascii="Arial Narrow" w:hAnsi="Arial Narrow"/>
                <w:b/>
                <w:bCs/>
                <w:sz w:val="20"/>
                <w:szCs w:val="20"/>
              </w:rPr>
              <w:t xml:space="preserve"> </w:t>
            </w:r>
            <w:r>
              <w:rPr>
                <w:rFonts w:ascii="Arial Narrow" w:hAnsi="Arial Narrow"/>
                <w:sz w:val="20"/>
                <w:szCs w:val="20"/>
              </w:rPr>
              <w:t>r</w:t>
            </w:r>
            <w:r w:rsidRPr="00660806">
              <w:rPr>
                <w:rFonts w:ascii="Arial Narrow" w:hAnsi="Arial Narrow"/>
                <w:sz w:val="20"/>
                <w:szCs w:val="20"/>
              </w:rPr>
              <w:t xml:space="preserve">ecurrent or </w:t>
            </w:r>
            <w:r w:rsidRPr="00660806">
              <w:rPr>
                <w:rFonts w:ascii="Arial Narrow" w:hAnsi="Arial Narrow"/>
                <w:bCs/>
                <w:color w:val="333333"/>
                <w:sz w:val="20"/>
                <w:szCs w:val="20"/>
              </w:rPr>
              <w:t>Stage IV (metastatic)</w:t>
            </w:r>
          </w:p>
        </w:tc>
      </w:tr>
      <w:tr w:rsidR="008F00FE" w:rsidRPr="00660806" w14:paraId="10B418CE"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258DF297" w14:textId="77777777" w:rsidR="008F00FE" w:rsidRPr="00660806" w:rsidRDefault="008F00FE" w:rsidP="00081ABA">
            <w:pPr>
              <w:keepLines/>
              <w:jc w:val="center"/>
              <w:rPr>
                <w:rFonts w:ascii="Arial Narrow" w:hAnsi="Arial Narrow"/>
                <w:color w:val="333333"/>
                <w:sz w:val="20"/>
                <w:szCs w:val="20"/>
              </w:rPr>
            </w:pPr>
          </w:p>
        </w:tc>
        <w:tc>
          <w:tcPr>
            <w:tcW w:w="4295" w:type="pct"/>
            <w:gridSpan w:val="4"/>
            <w:vAlign w:val="center"/>
          </w:tcPr>
          <w:p w14:paraId="51A060F3" w14:textId="77777777" w:rsidR="008F00FE" w:rsidRPr="00660806" w:rsidRDefault="008F00FE" w:rsidP="00081ABA">
            <w:pPr>
              <w:keepLines/>
              <w:rPr>
                <w:rFonts w:ascii="Arial Narrow" w:hAnsi="Arial Narrow"/>
                <w:b/>
                <w:bCs/>
                <w:color w:val="333333"/>
                <w:sz w:val="20"/>
                <w:szCs w:val="20"/>
              </w:rPr>
            </w:pPr>
            <w:r w:rsidRPr="00660806">
              <w:rPr>
                <w:rFonts w:ascii="Arial Narrow" w:hAnsi="Arial Narrow"/>
                <w:b/>
                <w:bCs/>
                <w:color w:val="333333"/>
                <w:sz w:val="20"/>
                <w:szCs w:val="20"/>
              </w:rPr>
              <w:t xml:space="preserve">Condition: </w:t>
            </w:r>
            <w:r w:rsidRPr="00660806">
              <w:rPr>
                <w:rFonts w:ascii="Arial Narrow" w:hAnsi="Arial Narrow"/>
                <w:color w:val="333333"/>
                <w:sz w:val="20"/>
                <w:szCs w:val="20"/>
              </w:rPr>
              <w:t>Squamous cell anal cancer</w:t>
            </w:r>
          </w:p>
        </w:tc>
      </w:tr>
      <w:tr w:rsidR="008F00FE" w:rsidRPr="00660806" w14:paraId="20A01192"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68285819" w14:textId="69C1D60F" w:rsidR="008F00FE" w:rsidRPr="00660806" w:rsidRDefault="008F00FE" w:rsidP="00081ABA">
            <w:pPr>
              <w:keepLines/>
              <w:jc w:val="center"/>
              <w:rPr>
                <w:rFonts w:ascii="Arial Narrow" w:hAnsi="Arial Narrow"/>
                <w:color w:val="333333"/>
                <w:sz w:val="20"/>
                <w:szCs w:val="20"/>
              </w:rPr>
            </w:pPr>
          </w:p>
        </w:tc>
        <w:tc>
          <w:tcPr>
            <w:tcW w:w="4295" w:type="pct"/>
            <w:gridSpan w:val="4"/>
            <w:vAlign w:val="center"/>
            <w:hideMark/>
          </w:tcPr>
          <w:p w14:paraId="6EC898F0" w14:textId="77777777" w:rsidR="008F00FE" w:rsidRPr="00660806" w:rsidRDefault="008F00FE" w:rsidP="00081ABA">
            <w:pPr>
              <w:keepLines/>
              <w:rPr>
                <w:rFonts w:ascii="Arial Narrow" w:hAnsi="Arial Narrow"/>
                <w:color w:val="333333"/>
                <w:sz w:val="20"/>
                <w:szCs w:val="20"/>
              </w:rPr>
            </w:pPr>
            <w:r w:rsidRPr="00660806">
              <w:rPr>
                <w:rFonts w:ascii="Arial Narrow" w:hAnsi="Arial Narrow"/>
                <w:b/>
                <w:bCs/>
                <w:color w:val="333333"/>
                <w:sz w:val="20"/>
                <w:szCs w:val="20"/>
              </w:rPr>
              <w:t>Indication:</w:t>
            </w:r>
            <w:r w:rsidRPr="00660806">
              <w:rPr>
                <w:rFonts w:ascii="Arial Narrow" w:hAnsi="Arial Narrow"/>
                <w:color w:val="333333"/>
                <w:sz w:val="20"/>
                <w:szCs w:val="20"/>
              </w:rPr>
              <w:t xml:space="preserve"> </w:t>
            </w:r>
            <w:r>
              <w:rPr>
                <w:rFonts w:ascii="Arial Narrow" w:hAnsi="Arial Narrow"/>
                <w:color w:val="333333"/>
                <w:sz w:val="20"/>
                <w:szCs w:val="20"/>
              </w:rPr>
              <w:t>L</w:t>
            </w:r>
            <w:r w:rsidRPr="00660806">
              <w:rPr>
                <w:rFonts w:ascii="Arial Narrow" w:hAnsi="Arial Narrow"/>
                <w:color w:val="333333"/>
                <w:sz w:val="20"/>
                <w:szCs w:val="20"/>
              </w:rPr>
              <w:t xml:space="preserve">ocally recurrent or </w:t>
            </w:r>
            <w:r>
              <w:rPr>
                <w:rFonts w:ascii="Arial Narrow" w:hAnsi="Arial Narrow"/>
                <w:color w:val="333333"/>
                <w:sz w:val="20"/>
                <w:szCs w:val="20"/>
              </w:rPr>
              <w:t>Stage IV (</w:t>
            </w:r>
            <w:r w:rsidRPr="00660806">
              <w:rPr>
                <w:rFonts w:ascii="Arial Narrow" w:hAnsi="Arial Narrow"/>
                <w:color w:val="333333"/>
                <w:sz w:val="20"/>
                <w:szCs w:val="20"/>
              </w:rPr>
              <w:t>metastatic</w:t>
            </w:r>
            <w:r>
              <w:rPr>
                <w:rFonts w:ascii="Arial Narrow" w:hAnsi="Arial Narrow"/>
                <w:color w:val="333333"/>
                <w:sz w:val="20"/>
                <w:szCs w:val="20"/>
              </w:rPr>
              <w:t>)</w:t>
            </w:r>
            <w:r w:rsidRPr="00660806">
              <w:rPr>
                <w:rFonts w:ascii="Arial Narrow" w:hAnsi="Arial Narrow"/>
                <w:color w:val="333333"/>
                <w:sz w:val="20"/>
                <w:szCs w:val="20"/>
              </w:rPr>
              <w:t xml:space="preserve"> squamous cell anal cancer</w:t>
            </w:r>
          </w:p>
        </w:tc>
      </w:tr>
      <w:tr w:rsidR="008F00FE" w:rsidRPr="00660806" w14:paraId="2B6201BF"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37CED48C" w14:textId="77777777" w:rsidR="008F00FE" w:rsidRPr="00660806" w:rsidRDefault="008F00FE" w:rsidP="00081ABA">
            <w:pPr>
              <w:jc w:val="center"/>
              <w:rPr>
                <w:rFonts w:ascii="Arial Narrow" w:hAnsi="Arial Narrow"/>
                <w:color w:val="333333"/>
                <w:sz w:val="20"/>
                <w:szCs w:val="20"/>
              </w:rPr>
            </w:pPr>
          </w:p>
        </w:tc>
        <w:tc>
          <w:tcPr>
            <w:tcW w:w="4295" w:type="pct"/>
            <w:gridSpan w:val="4"/>
            <w:vAlign w:val="center"/>
            <w:hideMark/>
          </w:tcPr>
          <w:p w14:paraId="14BCD5C7" w14:textId="77777777" w:rsidR="008F00FE" w:rsidRPr="00660806" w:rsidRDefault="008F00FE" w:rsidP="00081ABA">
            <w:pPr>
              <w:rPr>
                <w:rFonts w:ascii="Arial Narrow" w:hAnsi="Arial Narrow"/>
                <w:color w:val="FF0000"/>
                <w:sz w:val="20"/>
                <w:szCs w:val="20"/>
              </w:rPr>
            </w:pPr>
            <w:r w:rsidRPr="00660806">
              <w:rPr>
                <w:rFonts w:ascii="Arial Narrow" w:hAnsi="Arial Narrow"/>
                <w:b/>
                <w:bCs/>
                <w:color w:val="333333"/>
                <w:sz w:val="20"/>
                <w:szCs w:val="20"/>
              </w:rPr>
              <w:t>Treatment Phase:</w:t>
            </w:r>
            <w:r w:rsidRPr="00660806">
              <w:rPr>
                <w:rFonts w:ascii="Arial Narrow" w:hAnsi="Arial Narrow"/>
                <w:color w:val="FF0000"/>
                <w:sz w:val="20"/>
                <w:szCs w:val="20"/>
              </w:rPr>
              <w:t xml:space="preserve"> </w:t>
            </w:r>
          </w:p>
        </w:tc>
      </w:tr>
      <w:tr w:rsidR="008F00FE" w:rsidRPr="00660806" w14:paraId="3F106E72"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9E9B6AE" w14:textId="01D83885"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46121730" w14:textId="77777777" w:rsidR="008F00FE" w:rsidRPr="00660806" w:rsidRDefault="008F00FE" w:rsidP="00081ABA">
            <w:pPr>
              <w:rPr>
                <w:rFonts w:ascii="Arial Narrow" w:hAnsi="Arial Narrow"/>
                <w:b/>
                <w:bCs/>
                <w:color w:val="333333"/>
                <w:sz w:val="20"/>
                <w:szCs w:val="20"/>
              </w:rPr>
            </w:pPr>
            <w:r w:rsidRPr="00660806">
              <w:rPr>
                <w:rFonts w:ascii="Arial Narrow" w:hAnsi="Arial Narrow"/>
                <w:b/>
                <w:bCs/>
                <w:color w:val="333333"/>
                <w:sz w:val="20"/>
                <w:szCs w:val="20"/>
              </w:rPr>
              <w:t>Clinical criteria:</w:t>
            </w:r>
          </w:p>
        </w:tc>
      </w:tr>
      <w:tr w:rsidR="008F00FE" w:rsidRPr="00660806" w14:paraId="6969D93C"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469D55E" w14:textId="1DE97A5E"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1B2B5BB4" w14:textId="77777777" w:rsidR="008F00FE" w:rsidRPr="00660806" w:rsidRDefault="008F00FE" w:rsidP="00081ABA">
            <w:pPr>
              <w:rPr>
                <w:rFonts w:ascii="Arial Narrow" w:hAnsi="Arial Narrow"/>
                <w:b/>
                <w:bCs/>
                <w:color w:val="333333"/>
                <w:sz w:val="20"/>
                <w:szCs w:val="20"/>
              </w:rPr>
            </w:pPr>
            <w:r w:rsidRPr="00660806">
              <w:rPr>
                <w:rFonts w:ascii="Arial Narrow" w:hAnsi="Arial Narrow"/>
                <w:color w:val="333333"/>
                <w:sz w:val="20"/>
                <w:szCs w:val="20"/>
              </w:rPr>
              <w:t>The condition must be inoperable</w:t>
            </w:r>
          </w:p>
        </w:tc>
      </w:tr>
      <w:tr w:rsidR="008F00FE" w:rsidRPr="00660806" w14:paraId="4CD8266C"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CBFD2A1" w14:textId="77777777"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06001953"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AND</w:t>
            </w:r>
          </w:p>
        </w:tc>
      </w:tr>
      <w:tr w:rsidR="008F00FE" w:rsidRPr="00660806" w14:paraId="59E6FD79"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B46C997" w14:textId="6D28DD03" w:rsidR="008F00FE" w:rsidRPr="00660806" w:rsidRDefault="008F00FE" w:rsidP="00081ABA">
            <w:pPr>
              <w:jc w:val="center"/>
              <w:rPr>
                <w:rFonts w:ascii="Arial Narrow" w:hAnsi="Arial Narrow"/>
                <w:color w:val="333333"/>
                <w:sz w:val="20"/>
                <w:szCs w:val="20"/>
              </w:rPr>
            </w:pPr>
          </w:p>
        </w:tc>
        <w:tc>
          <w:tcPr>
            <w:tcW w:w="4295" w:type="pct"/>
            <w:gridSpan w:val="4"/>
            <w:vAlign w:val="center"/>
            <w:hideMark/>
          </w:tcPr>
          <w:p w14:paraId="05B05CDB"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Clinical criteria:</w:t>
            </w:r>
          </w:p>
        </w:tc>
      </w:tr>
      <w:tr w:rsidR="008F00FE" w:rsidRPr="00660806" w14:paraId="3DE5FA70"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D96E27A" w14:textId="21821895"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707B1BCA" w14:textId="77777777" w:rsidR="008F00FE" w:rsidRPr="00660806" w:rsidRDefault="008F00FE" w:rsidP="00081ABA">
            <w:pPr>
              <w:rPr>
                <w:rFonts w:ascii="Arial Narrow" w:hAnsi="Arial Narrow"/>
                <w:color w:val="333333"/>
                <w:sz w:val="20"/>
                <w:szCs w:val="20"/>
              </w:rPr>
            </w:pPr>
            <w:r w:rsidRPr="00660806">
              <w:rPr>
                <w:rFonts w:ascii="Arial Narrow" w:hAnsi="Arial Narrow"/>
                <w:color w:val="333333"/>
                <w:sz w:val="20"/>
                <w:szCs w:val="20"/>
              </w:rPr>
              <w:t>Treatment must be</w:t>
            </w:r>
            <w:r>
              <w:rPr>
                <w:rFonts w:ascii="Arial Narrow" w:hAnsi="Arial Narrow"/>
                <w:color w:val="333333"/>
                <w:sz w:val="20"/>
                <w:szCs w:val="20"/>
              </w:rPr>
              <w:t>/have been</w:t>
            </w:r>
            <w:r w:rsidRPr="00660806">
              <w:rPr>
                <w:rFonts w:ascii="Arial Narrow" w:hAnsi="Arial Narrow"/>
                <w:color w:val="333333"/>
                <w:sz w:val="20"/>
                <w:szCs w:val="20"/>
              </w:rPr>
              <w:t xml:space="preserve"> initiat</w:t>
            </w:r>
            <w:r>
              <w:rPr>
                <w:rFonts w:ascii="Arial Narrow" w:hAnsi="Arial Narrow"/>
                <w:color w:val="333333"/>
                <w:sz w:val="20"/>
                <w:szCs w:val="20"/>
              </w:rPr>
              <w:t xml:space="preserve">ed </w:t>
            </w:r>
            <w:r w:rsidRPr="00660806">
              <w:rPr>
                <w:rFonts w:ascii="Arial Narrow" w:hAnsi="Arial Narrow"/>
                <w:color w:val="333333"/>
                <w:sz w:val="20"/>
                <w:szCs w:val="20"/>
              </w:rPr>
              <w:t>in combination with each of</w:t>
            </w:r>
            <w:r>
              <w:rPr>
                <w:rFonts w:ascii="Arial Narrow" w:hAnsi="Arial Narrow"/>
                <w:color w:val="333333"/>
                <w:sz w:val="20"/>
                <w:szCs w:val="20"/>
              </w:rPr>
              <w:t>:</w:t>
            </w:r>
            <w:r w:rsidRPr="00660806">
              <w:rPr>
                <w:rFonts w:ascii="Arial Narrow" w:hAnsi="Arial Narrow"/>
                <w:color w:val="333333"/>
                <w:sz w:val="20"/>
                <w:szCs w:val="20"/>
              </w:rPr>
              <w:t xml:space="preserve"> (i) carboplatin</w:t>
            </w:r>
            <w:r>
              <w:rPr>
                <w:rFonts w:ascii="Arial Narrow" w:hAnsi="Arial Narrow"/>
                <w:color w:val="333333"/>
                <w:sz w:val="20"/>
                <w:szCs w:val="20"/>
              </w:rPr>
              <w:t>,</w:t>
            </w:r>
            <w:r w:rsidRPr="00660806">
              <w:rPr>
                <w:rFonts w:ascii="Arial Narrow" w:hAnsi="Arial Narrow"/>
                <w:color w:val="333333"/>
                <w:sz w:val="20"/>
                <w:szCs w:val="20"/>
              </w:rPr>
              <w:t xml:space="preserve"> (ii) paclitaxel </w:t>
            </w:r>
          </w:p>
        </w:tc>
      </w:tr>
      <w:tr w:rsidR="008F00FE" w:rsidRPr="00660806" w14:paraId="28E64F8C"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C55D73" w14:textId="77777777"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409ED88C"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AND</w:t>
            </w:r>
          </w:p>
        </w:tc>
      </w:tr>
      <w:tr w:rsidR="008F00FE" w:rsidRPr="00660806" w14:paraId="27757ACE"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tcPr>
          <w:p w14:paraId="26867BC9" w14:textId="65A0F20D"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1047A444"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Clinical criteria:</w:t>
            </w:r>
          </w:p>
        </w:tc>
      </w:tr>
      <w:tr w:rsidR="008F00FE" w:rsidRPr="00660806" w14:paraId="0AB57B99"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tcPr>
          <w:p w14:paraId="60F4E9DB" w14:textId="5C024AA5"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2EBC592A" w14:textId="77777777" w:rsidR="008F00FE" w:rsidRPr="00660806" w:rsidRDefault="008F00FE" w:rsidP="00081ABA">
            <w:pPr>
              <w:rPr>
                <w:rFonts w:ascii="Arial Narrow" w:hAnsi="Arial Narrow"/>
                <w:color w:val="333333"/>
                <w:sz w:val="20"/>
                <w:szCs w:val="20"/>
              </w:rPr>
            </w:pPr>
            <w:r w:rsidRPr="00660806">
              <w:rPr>
                <w:rFonts w:ascii="Arial Narrow" w:hAnsi="Arial Narrow"/>
                <w:color w:val="333333"/>
                <w:sz w:val="20"/>
                <w:szCs w:val="20"/>
              </w:rPr>
              <w:t>Patients must not have received prior systemic anti</w:t>
            </w:r>
            <w:r>
              <w:rPr>
                <w:rFonts w:ascii="Arial Narrow" w:hAnsi="Arial Narrow"/>
                <w:color w:val="333333"/>
                <w:sz w:val="20"/>
                <w:szCs w:val="20"/>
              </w:rPr>
              <w:noBreakHyphen/>
            </w:r>
            <w:r w:rsidRPr="00660806">
              <w:rPr>
                <w:rFonts w:ascii="Arial Narrow" w:hAnsi="Arial Narrow"/>
                <w:color w:val="333333"/>
                <w:sz w:val="20"/>
                <w:szCs w:val="20"/>
              </w:rPr>
              <w:t>cancer therapy in the inoperable locally recurrent/metastatic setting at time treatment with this drug is initiated for this condition</w:t>
            </w:r>
          </w:p>
        </w:tc>
      </w:tr>
      <w:tr w:rsidR="008F00FE" w:rsidRPr="00660806" w14:paraId="63AD6A38"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F53602A" w14:textId="77777777"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6C9D2550"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AND</w:t>
            </w:r>
          </w:p>
        </w:tc>
      </w:tr>
      <w:tr w:rsidR="008F00FE" w:rsidRPr="00660806" w14:paraId="14EF01DF"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ED0BF70" w14:textId="5EF687B0"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794CDE09"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Clinical criteria:</w:t>
            </w:r>
          </w:p>
        </w:tc>
      </w:tr>
      <w:tr w:rsidR="008F00FE" w:rsidRPr="00660806" w14:paraId="0AFA3159"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0279291" w14:textId="3222FF6F"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792E943F" w14:textId="77777777" w:rsidR="008F00FE" w:rsidRPr="00660806" w:rsidRDefault="008F00FE" w:rsidP="00081ABA">
            <w:pPr>
              <w:rPr>
                <w:rFonts w:ascii="Arial Narrow" w:hAnsi="Arial Narrow"/>
                <w:color w:val="333333"/>
                <w:sz w:val="20"/>
                <w:szCs w:val="20"/>
              </w:rPr>
            </w:pPr>
            <w:r w:rsidRPr="00660806">
              <w:rPr>
                <w:rFonts w:ascii="Arial Narrow" w:hAnsi="Arial Narrow"/>
                <w:color w:val="333333"/>
                <w:sz w:val="20"/>
                <w:szCs w:val="20"/>
              </w:rPr>
              <w:t>Patient must not have experienced disease recurrence or progression while being treated with this drug for this condition</w:t>
            </w:r>
          </w:p>
        </w:tc>
      </w:tr>
      <w:tr w:rsidR="008F00FE" w:rsidRPr="00660806" w14:paraId="25DDFCCE"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B43CB92" w14:textId="77777777"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32E56845"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AND</w:t>
            </w:r>
          </w:p>
        </w:tc>
      </w:tr>
      <w:tr w:rsidR="008F00FE" w:rsidRPr="00660806" w14:paraId="30B0A2AD"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38273A" w14:textId="38D576E7"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1545C559" w14:textId="77777777" w:rsidR="008F00FE" w:rsidRPr="00660806" w:rsidRDefault="008F00FE" w:rsidP="00081ABA">
            <w:pPr>
              <w:rPr>
                <w:rFonts w:ascii="Arial Narrow" w:hAnsi="Arial Narrow"/>
                <w:color w:val="333333"/>
                <w:sz w:val="20"/>
                <w:szCs w:val="20"/>
              </w:rPr>
            </w:pPr>
            <w:r w:rsidRPr="00660806">
              <w:rPr>
                <w:rFonts w:ascii="Arial Narrow" w:hAnsi="Arial Narrow"/>
                <w:b/>
                <w:bCs/>
                <w:color w:val="333333"/>
                <w:sz w:val="20"/>
                <w:szCs w:val="20"/>
              </w:rPr>
              <w:t>Clinical criteria:</w:t>
            </w:r>
          </w:p>
        </w:tc>
      </w:tr>
      <w:tr w:rsidR="008F00FE" w:rsidRPr="00660806" w14:paraId="697BDEEE" w14:textId="77777777" w:rsidTr="00081AB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35D9B4C" w14:textId="21E07FF2" w:rsidR="008F00FE" w:rsidRPr="00660806" w:rsidRDefault="008F00FE" w:rsidP="00081ABA">
            <w:pPr>
              <w:jc w:val="center"/>
              <w:rPr>
                <w:rFonts w:ascii="Arial Narrow" w:hAnsi="Arial Narrow"/>
                <w:color w:val="333333"/>
                <w:sz w:val="20"/>
                <w:szCs w:val="20"/>
              </w:rPr>
            </w:pPr>
          </w:p>
        </w:tc>
        <w:tc>
          <w:tcPr>
            <w:tcW w:w="4295" w:type="pct"/>
            <w:gridSpan w:val="4"/>
            <w:vAlign w:val="center"/>
          </w:tcPr>
          <w:p w14:paraId="391B5AEC" w14:textId="77777777" w:rsidR="008F00FE" w:rsidRPr="00660806" w:rsidRDefault="008F00FE" w:rsidP="00081ABA">
            <w:pPr>
              <w:rPr>
                <w:rFonts w:ascii="Arial Narrow" w:hAnsi="Arial Narrow"/>
                <w:color w:val="333333"/>
                <w:sz w:val="20"/>
                <w:szCs w:val="20"/>
              </w:rPr>
            </w:pPr>
            <w:r w:rsidRPr="00660806">
              <w:rPr>
                <w:rFonts w:ascii="Arial Narrow" w:hAnsi="Arial Narrow"/>
                <w:color w:val="333333"/>
                <w:sz w:val="20"/>
                <w:szCs w:val="20"/>
              </w:rPr>
              <w:t>The treatment must not exceed a total of (i) cumulative 12 months; (ii)</w:t>
            </w:r>
            <w:r w:rsidRPr="00660806">
              <w:rPr>
                <w:rFonts w:ascii="Arial Narrow" w:hAnsi="Arial Narrow"/>
                <w:sz w:val="20"/>
                <w:szCs w:val="20"/>
              </w:rPr>
              <w:t xml:space="preserve"> 13 doses of this drug whichever comes first from the first dose of this drug regardless of whether it was PBS/non</w:t>
            </w:r>
            <w:r>
              <w:rPr>
                <w:rFonts w:ascii="Arial Narrow" w:hAnsi="Arial Narrow"/>
                <w:sz w:val="20"/>
                <w:szCs w:val="20"/>
              </w:rPr>
              <w:noBreakHyphen/>
            </w:r>
            <w:r w:rsidRPr="00660806">
              <w:rPr>
                <w:rFonts w:ascii="Arial Narrow" w:hAnsi="Arial Narrow"/>
                <w:sz w:val="20"/>
                <w:szCs w:val="20"/>
              </w:rPr>
              <w:t>PBS subsidised</w:t>
            </w:r>
          </w:p>
        </w:tc>
      </w:tr>
    </w:tbl>
    <w:p w14:paraId="50245070" w14:textId="77777777" w:rsidR="008F00FE" w:rsidRPr="00D30537" w:rsidRDefault="008F00FE" w:rsidP="008F00FE">
      <w:pPr>
        <w:widowControl w:val="0"/>
        <w:spacing w:after="120"/>
      </w:pPr>
    </w:p>
    <w:p w14:paraId="1C2EBBD2" w14:textId="77777777" w:rsidR="008F00FE" w:rsidRPr="00907671" w:rsidRDefault="008F00FE" w:rsidP="008F00FE">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667F1229" w14:textId="54D20DD5" w:rsidR="00F21E9D" w:rsidRPr="00F21E9D" w:rsidRDefault="005C0129" w:rsidP="00F21E9D">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12</w:t>
      </w:r>
      <w:r w:rsidR="00F21E9D" w:rsidRPr="00F21E9D">
        <w:rPr>
          <w:rFonts w:asciiTheme="minorHAnsi" w:hAnsiTheme="minorHAnsi"/>
          <w:b/>
          <w:snapToGrid w:val="0"/>
          <w:sz w:val="32"/>
          <w:szCs w:val="32"/>
          <w:lang w:eastAsia="en-US"/>
        </w:rPr>
        <w:tab/>
        <w:t>Context for Decision</w:t>
      </w:r>
    </w:p>
    <w:p w14:paraId="33E89A91" w14:textId="77777777" w:rsidR="00F21E9D" w:rsidRPr="00F21E9D" w:rsidRDefault="00F21E9D" w:rsidP="00F21E9D">
      <w:pPr>
        <w:spacing w:after="120"/>
        <w:ind w:left="720"/>
        <w:rPr>
          <w:rFonts w:cs="Calibri"/>
          <w:bCs/>
          <w:szCs w:val="22"/>
          <w:lang w:val="en-GB"/>
        </w:rPr>
      </w:pPr>
      <w:r w:rsidRPr="00F21E9D">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D7E8730" w14:textId="7E4D0553" w:rsidR="00F21E9D" w:rsidRPr="00F21E9D" w:rsidRDefault="005C0129" w:rsidP="00F21E9D">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13</w:t>
      </w:r>
      <w:r w:rsidR="00F21E9D" w:rsidRPr="00F21E9D">
        <w:rPr>
          <w:rFonts w:asciiTheme="minorHAnsi" w:hAnsiTheme="minorHAnsi"/>
          <w:b/>
          <w:snapToGrid w:val="0"/>
          <w:sz w:val="32"/>
          <w:szCs w:val="32"/>
          <w:lang w:eastAsia="en-US"/>
        </w:rPr>
        <w:tab/>
        <w:t>Sponsor’s Comment</w:t>
      </w:r>
    </w:p>
    <w:p w14:paraId="47E826AE" w14:textId="1871579C" w:rsidR="008F00FE" w:rsidRPr="000E5B3A" w:rsidRDefault="00F21E9D" w:rsidP="00F21E9D">
      <w:pPr>
        <w:spacing w:before="120"/>
        <w:ind w:firstLine="720"/>
        <w:rPr>
          <w:rFonts w:asciiTheme="minorHAnsi" w:hAnsiTheme="minorHAnsi"/>
          <w:b/>
          <w:i/>
          <w:iCs/>
          <w:snapToGrid w:val="0"/>
        </w:rPr>
      </w:pPr>
      <w:r w:rsidRPr="00F21E9D">
        <w:rPr>
          <w:rFonts w:cs="Calibri"/>
          <w:bCs/>
          <w:szCs w:val="22"/>
          <w:lang w:eastAsia="en-US"/>
        </w:rPr>
        <w:t>The sponsor had no comment.</w:t>
      </w:r>
    </w:p>
    <w:p w14:paraId="6921E75E" w14:textId="77777777" w:rsidR="008F00FE" w:rsidRPr="00D905B4" w:rsidRDefault="008F00FE" w:rsidP="008F00FE">
      <w:pPr>
        <w:spacing w:before="120"/>
        <w:rPr>
          <w:rFonts w:asciiTheme="minorHAnsi" w:eastAsiaTheme="minorHAnsi" w:hAnsiTheme="minorHAnsi"/>
          <w:bCs/>
          <w:lang w:eastAsia="en-US"/>
        </w:rPr>
      </w:pPr>
    </w:p>
    <w:sectPr w:rsidR="008F00FE" w:rsidRPr="00D905B4" w:rsidSect="009E051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9728" w14:textId="77777777" w:rsidR="00F40BB5" w:rsidRPr="00125060" w:rsidRDefault="00F40BB5" w:rsidP="00124A51">
      <w:r w:rsidRPr="00125060">
        <w:separator/>
      </w:r>
    </w:p>
    <w:p w14:paraId="5815B71E" w14:textId="77777777" w:rsidR="00F40BB5" w:rsidRPr="00125060" w:rsidRDefault="00F40BB5"/>
  </w:endnote>
  <w:endnote w:type="continuationSeparator" w:id="0">
    <w:p w14:paraId="405FAC4B" w14:textId="77777777" w:rsidR="00F40BB5" w:rsidRPr="00125060" w:rsidRDefault="00F40BB5" w:rsidP="00124A51">
      <w:r w:rsidRPr="00125060">
        <w:continuationSeparator/>
      </w:r>
    </w:p>
    <w:p w14:paraId="31619B07" w14:textId="77777777" w:rsidR="00F40BB5" w:rsidRPr="00125060" w:rsidRDefault="00F40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2916" w14:textId="3A0ACF66" w:rsidR="00586B8D" w:rsidRDefault="00AB2A0C">
    <w:pPr>
      <w:pStyle w:val="Footer"/>
    </w:pPr>
    <w:r>
      <w:rPr>
        <w:noProof/>
      </w:rPr>
      <mc:AlternateContent>
        <mc:Choice Requires="wps">
          <w:drawing>
            <wp:anchor distT="0" distB="0" distL="0" distR="0" simplePos="0" relativeHeight="251663365" behindDoc="0" locked="0" layoutInCell="1" allowOverlap="1" wp14:anchorId="4BC34E40" wp14:editId="7782C4FF">
              <wp:simplePos x="635" y="635"/>
              <wp:positionH relativeFrom="page">
                <wp:align>center</wp:align>
              </wp:positionH>
              <wp:positionV relativeFrom="page">
                <wp:align>bottom</wp:align>
              </wp:positionV>
              <wp:extent cx="622300" cy="376555"/>
              <wp:effectExtent l="0" t="0" r="6350" b="0"/>
              <wp:wrapNone/>
              <wp:docPr id="1284431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69DDD4" w14:textId="236FDC6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34E4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769DDD4" w14:textId="236FDC6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3AA062A" w:rsidR="00D843F2" w:rsidRPr="00125060" w:rsidRDefault="00AB2A0C" w:rsidP="00753B29">
    <w:pPr>
      <w:pStyle w:val="Footer"/>
      <w:jc w:val="center"/>
    </w:pPr>
    <w:r>
      <w:rPr>
        <w:noProof/>
      </w:rPr>
      <mc:AlternateContent>
        <mc:Choice Requires="wps">
          <w:drawing>
            <wp:anchor distT="0" distB="0" distL="0" distR="0" simplePos="0" relativeHeight="251664389" behindDoc="0" locked="0" layoutInCell="1" allowOverlap="1" wp14:anchorId="1CBB3DD2" wp14:editId="1CE8E8DE">
              <wp:simplePos x="635" y="635"/>
              <wp:positionH relativeFrom="page">
                <wp:align>center</wp:align>
              </wp:positionH>
              <wp:positionV relativeFrom="page">
                <wp:align>bottom</wp:align>
              </wp:positionV>
              <wp:extent cx="622300" cy="376555"/>
              <wp:effectExtent l="0" t="0" r="6350" b="0"/>
              <wp:wrapNone/>
              <wp:docPr id="2761839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CBC78E" w14:textId="3FB36981"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B3DD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7CBC78E" w14:textId="3FB36981"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p w14:paraId="37484CD3" w14:textId="3D9D4F7A" w:rsidR="00D843F2" w:rsidRPr="00125060" w:rsidRDefault="00F40BB5" w:rsidP="006028D3">
    <w:pPr>
      <w:pStyle w:val="PageFooter"/>
    </w:pPr>
    <w:sdt>
      <w:sdtPr>
        <w:id w:val="1036156457"/>
        <w:docPartObj>
          <w:docPartGallery w:val="Page Numbers (Bottom of Page)"/>
          <w:docPartUnique/>
        </w:docPartObj>
      </w:sdtPr>
      <w:sdtEndPr/>
      <w:sdtContent>
        <w:r w:rsidR="00D843F2" w:rsidRPr="00125060">
          <w:fldChar w:fldCharType="begin"/>
        </w:r>
        <w:r w:rsidR="00D843F2" w:rsidRPr="00125060">
          <w:instrText xml:space="preserve"> PAGE   \* MERGEFORMAT </w:instrText>
        </w:r>
        <w:r w:rsidR="00D843F2" w:rsidRPr="00125060">
          <w:fldChar w:fldCharType="separate"/>
        </w:r>
        <w:r w:rsidR="00D843F2" w:rsidRPr="00125060">
          <w:t>2</w:t>
        </w:r>
        <w:r w:rsidR="00D843F2" w:rsidRPr="0012506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11BE" w14:textId="6F0F2738" w:rsidR="00586B8D" w:rsidRDefault="00AB2A0C">
    <w:pPr>
      <w:pStyle w:val="Footer"/>
    </w:pPr>
    <w:r>
      <w:rPr>
        <w:noProof/>
      </w:rPr>
      <mc:AlternateContent>
        <mc:Choice Requires="wps">
          <w:drawing>
            <wp:anchor distT="0" distB="0" distL="0" distR="0" simplePos="0" relativeHeight="251662341" behindDoc="0" locked="0" layoutInCell="1" allowOverlap="1" wp14:anchorId="336072ED" wp14:editId="2FE5543A">
              <wp:simplePos x="635" y="635"/>
              <wp:positionH relativeFrom="page">
                <wp:align>center</wp:align>
              </wp:positionH>
              <wp:positionV relativeFrom="page">
                <wp:align>bottom</wp:align>
              </wp:positionV>
              <wp:extent cx="622300" cy="376555"/>
              <wp:effectExtent l="0" t="0" r="6350" b="0"/>
              <wp:wrapNone/>
              <wp:docPr id="10520512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047B6F" w14:textId="2A0025C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072E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F047B6F" w14:textId="2A0025C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9270" w14:textId="77777777" w:rsidR="00F40BB5" w:rsidRPr="00125060" w:rsidRDefault="00F40BB5" w:rsidP="00124A51">
      <w:r w:rsidRPr="00125060">
        <w:separator/>
      </w:r>
    </w:p>
    <w:p w14:paraId="662ABECF" w14:textId="77777777" w:rsidR="00F40BB5" w:rsidRPr="00125060" w:rsidRDefault="00F40BB5"/>
  </w:footnote>
  <w:footnote w:type="continuationSeparator" w:id="0">
    <w:p w14:paraId="058B9B32" w14:textId="77777777" w:rsidR="00F40BB5" w:rsidRPr="00125060" w:rsidRDefault="00F40BB5" w:rsidP="00124A51">
      <w:r w:rsidRPr="00125060">
        <w:continuationSeparator/>
      </w:r>
    </w:p>
    <w:p w14:paraId="57CD83B6" w14:textId="77777777" w:rsidR="00F40BB5" w:rsidRPr="00125060" w:rsidRDefault="00F40BB5"/>
  </w:footnote>
  <w:footnote w:id="1">
    <w:p w14:paraId="62439A17" w14:textId="4B53F7B4" w:rsidR="006874FD" w:rsidRPr="00125060" w:rsidRDefault="006874FD">
      <w:pPr>
        <w:pStyle w:val="FootnoteText"/>
      </w:pPr>
      <w:r w:rsidRPr="00125060">
        <w:rPr>
          <w:rStyle w:val="FootnoteReference"/>
        </w:rPr>
        <w:footnoteRef/>
      </w:r>
      <w:r w:rsidRPr="00125060">
        <w:t xml:space="preserve"> Number of doses in the retifanlimab + CP arm (mean, median, range): carboplatin = 5.2 infusions, 6.0 infusions, 1-6 infusions; paclitaxel = 13.4 infusions, 15.0 infusions, 1-18 infusions. Number of doses in the placebo + CP arm (mean, median, range): carboplatin = 5.0 infusions, 6.0 infusions, 1-6 infusions; paclitaxel = 13.4 infusions, 15.0 infusions, 1-18 infusions</w:t>
      </w:r>
    </w:p>
  </w:footnote>
  <w:footnote w:id="2">
    <w:p w14:paraId="4E4358B9" w14:textId="219F346C" w:rsidR="005B6510" w:rsidRPr="00125060" w:rsidRDefault="006867F5">
      <w:pPr>
        <w:pStyle w:val="FootnoteText"/>
      </w:pPr>
      <w:r w:rsidRPr="00125060">
        <w:rPr>
          <w:rStyle w:val="FootnoteReference"/>
        </w:rPr>
        <w:footnoteRef/>
      </w:r>
      <w:r w:rsidRPr="00125060">
        <w:t xml:space="preserve"> </w:t>
      </w:r>
      <w:r w:rsidR="00B11634" w:rsidRPr="00125060">
        <w:t>Pedersen</w:t>
      </w:r>
      <w:r w:rsidR="00151642" w:rsidRPr="00125060">
        <w:t xml:space="preserve"> </w:t>
      </w:r>
      <w:r w:rsidR="00536610" w:rsidRPr="00125060">
        <w:t xml:space="preserve">E </w:t>
      </w:r>
      <w:r w:rsidR="00151642" w:rsidRPr="00125060">
        <w:t>et al. Incidence and burden of anal cancer - time to fight the growing disparities</w:t>
      </w:r>
      <w:r w:rsidR="008D520A" w:rsidRPr="00125060">
        <w:t xml:space="preserve">. ESMO Gastrointestinal Oncology. </w:t>
      </w:r>
      <w:r w:rsidR="00130BB5" w:rsidRPr="00125060">
        <w:t xml:space="preserve">2025; </w:t>
      </w:r>
      <w:r w:rsidR="008D520A" w:rsidRPr="00125060">
        <w:t>Article in Press</w:t>
      </w:r>
      <w:r w:rsidR="00151642" w:rsidRPr="00125060">
        <w:t>,</w:t>
      </w:r>
      <w:r w:rsidR="008D520A" w:rsidRPr="00125060">
        <w:t xml:space="preserve"> 100147.</w:t>
      </w:r>
      <w:r w:rsidR="00151642" w:rsidRPr="00125060">
        <w:t xml:space="preserve"> </w:t>
      </w:r>
      <w:hyperlink r:id="rId1" w:history="1">
        <w:r w:rsidR="00293951" w:rsidRPr="00125060">
          <w:rPr>
            <w:rStyle w:val="Hyperlink"/>
          </w:rPr>
          <w:t>https://doi.org/10.1016/j.esmogo.2025.100147</w:t>
        </w:r>
      </w:hyperlink>
    </w:p>
  </w:footnote>
  <w:footnote w:id="3">
    <w:p w14:paraId="04A6CD36" w14:textId="6CFF1B3F" w:rsidR="00930A67" w:rsidRPr="00125060" w:rsidRDefault="00930A67" w:rsidP="004F556E">
      <w:pPr>
        <w:pStyle w:val="FootnoteText"/>
      </w:pPr>
      <w:r w:rsidRPr="00125060">
        <w:rPr>
          <w:rStyle w:val="FootnoteReference"/>
        </w:rPr>
        <w:footnoteRef/>
      </w:r>
      <w:r w:rsidRPr="00125060">
        <w:t xml:space="preserve"> </w:t>
      </w:r>
      <w:r w:rsidR="00293951" w:rsidRPr="00125060">
        <w:t xml:space="preserve">Rao </w:t>
      </w:r>
      <w:r w:rsidR="00240EFA" w:rsidRPr="00125060">
        <w:t xml:space="preserve">S </w:t>
      </w:r>
      <w:r w:rsidR="00293951" w:rsidRPr="00125060">
        <w:t>et al.</w:t>
      </w:r>
      <w:r w:rsidR="004F556E" w:rsidRPr="00125060">
        <w:t xml:space="preserve"> Anal cancer: ESMO Clinical Practice Guidelines for diagnosis, treatment and follow-up</w:t>
      </w:r>
      <w:r w:rsidR="00240EFA" w:rsidRPr="00125060">
        <w:t>. Annals of Oncology</w:t>
      </w:r>
      <w:r w:rsidR="00130BB5" w:rsidRPr="00125060">
        <w:t>. 2021</w:t>
      </w:r>
      <w:r w:rsidR="00240EFA" w:rsidRPr="00125060">
        <w:t>; 32(9)</w:t>
      </w:r>
      <w:r w:rsidR="00885519" w:rsidRPr="00125060">
        <w:t>:</w:t>
      </w:r>
      <w:r w:rsidR="00240EFA" w:rsidRPr="00125060">
        <w:t xml:space="preserve"> pp1087-1100. </w:t>
      </w:r>
      <w:hyperlink r:id="rId2" w:history="1">
        <w:r w:rsidR="004F556E" w:rsidRPr="00125060">
          <w:rPr>
            <w:rStyle w:val="Hyperlink"/>
          </w:rPr>
          <w:t>https://doi.org/10.1016/j.annonc.2021.06.015</w:t>
        </w:r>
      </w:hyperlink>
    </w:p>
  </w:footnote>
  <w:footnote w:id="4">
    <w:p w14:paraId="3C26637A" w14:textId="38A4F49A" w:rsidR="00930A67" w:rsidRPr="00125060" w:rsidRDefault="00930A67" w:rsidP="000B2821">
      <w:pPr>
        <w:pStyle w:val="FootnoteText"/>
      </w:pPr>
      <w:r w:rsidRPr="00125060">
        <w:rPr>
          <w:rStyle w:val="FootnoteReference"/>
        </w:rPr>
        <w:footnoteRef/>
      </w:r>
      <w:r w:rsidRPr="00125060">
        <w:t xml:space="preserve"> </w:t>
      </w:r>
      <w:r w:rsidR="000B2821" w:rsidRPr="00125060">
        <w:t>National comprehensive Cancer Network, Clinical Practice Guidelines in Oncology (NCCN Guidelines) Anal Carcinoma, 2025</w:t>
      </w:r>
      <w:r w:rsidR="00130BB5" w:rsidRPr="00125060">
        <w:t xml:space="preserve"> Version 4.</w:t>
      </w:r>
      <w:r w:rsidR="000B2821" w:rsidRPr="00125060">
        <w:t xml:space="preserve"> </w:t>
      </w:r>
      <w:hyperlink r:id="rId3" w:history="1">
        <w:r w:rsidRPr="00125060">
          <w:rPr>
            <w:rStyle w:val="Hyperlink"/>
          </w:rPr>
          <w:t>https://www.nccn.org/guidelines/category_1</w:t>
        </w:r>
      </w:hyperlink>
    </w:p>
  </w:footnote>
  <w:footnote w:id="5">
    <w:p w14:paraId="279E2413" w14:textId="558291D9" w:rsidR="006867F5" w:rsidRPr="00125060" w:rsidRDefault="006867F5" w:rsidP="000B2821">
      <w:pPr>
        <w:pStyle w:val="FootnoteText"/>
      </w:pPr>
      <w:r w:rsidRPr="00125060">
        <w:rPr>
          <w:rStyle w:val="FootnoteReference"/>
        </w:rPr>
        <w:footnoteRef/>
      </w:r>
      <w:r w:rsidRPr="00125060">
        <w:t xml:space="preserve"> </w:t>
      </w:r>
      <w:r w:rsidR="000B2821" w:rsidRPr="00125060">
        <w:t>Colon-Lopez</w:t>
      </w:r>
      <w:r w:rsidR="00240EFA" w:rsidRPr="00125060">
        <w:t xml:space="preserve"> V</w:t>
      </w:r>
      <w:r w:rsidR="000B2821" w:rsidRPr="00125060">
        <w:t xml:space="preserve"> et al</w:t>
      </w:r>
      <w:r w:rsidR="00240EFA" w:rsidRPr="00125060">
        <w:t xml:space="preserve">. </w:t>
      </w:r>
      <w:r w:rsidR="000B2821" w:rsidRPr="00125060">
        <w:t>Anal cancer risk among people with HIV infection in the United States</w:t>
      </w:r>
      <w:r w:rsidR="00240EFA" w:rsidRPr="00125060">
        <w:t xml:space="preserve">. Journal of </w:t>
      </w:r>
      <w:r w:rsidR="00131D50" w:rsidRPr="00125060">
        <w:t>C</w:t>
      </w:r>
      <w:r w:rsidR="00240EFA" w:rsidRPr="00125060">
        <w:t>linical Oncology</w:t>
      </w:r>
      <w:r w:rsidR="00660A85" w:rsidRPr="00125060">
        <w:t>. 2018</w:t>
      </w:r>
      <w:r w:rsidR="00131D50" w:rsidRPr="00125060">
        <w:t>; 36(1)</w:t>
      </w:r>
      <w:r w:rsidR="00885519" w:rsidRPr="00125060">
        <w:t>:</w:t>
      </w:r>
      <w:r w:rsidR="000B2821" w:rsidRPr="00125060">
        <w:t xml:space="preserve"> </w:t>
      </w:r>
      <w:r w:rsidR="00240EFA" w:rsidRPr="00125060">
        <w:t xml:space="preserve">pp68-75. </w:t>
      </w:r>
      <w:hyperlink r:id="rId4" w:history="1">
        <w:r w:rsidR="00240EFA" w:rsidRPr="00125060">
          <w:rPr>
            <w:rStyle w:val="Hyperlink"/>
          </w:rPr>
          <w:t>https://doi.org/10.1200/JCO.2017.74.9291</w:t>
        </w:r>
      </w:hyperlink>
    </w:p>
  </w:footnote>
  <w:footnote w:id="6">
    <w:p w14:paraId="1BBA64FF" w14:textId="02915A4D" w:rsidR="00525E8A" w:rsidRPr="007D0E0C" w:rsidRDefault="007D0E0C" w:rsidP="00957E47">
      <w:pPr>
        <w:pStyle w:val="FootnoteText"/>
      </w:pPr>
      <w:r w:rsidRPr="00125060">
        <w:rPr>
          <w:rStyle w:val="FootnoteReference"/>
        </w:rPr>
        <w:footnoteRef/>
      </w:r>
      <w:r w:rsidRPr="00125060">
        <w:t xml:space="preserve"> </w:t>
      </w:r>
      <w:r w:rsidR="00957E47" w:rsidRPr="00125060">
        <w:t xml:space="preserve">Gebski </w:t>
      </w:r>
      <w:r w:rsidR="00C43B56" w:rsidRPr="00125060">
        <w:t xml:space="preserve">V </w:t>
      </w:r>
      <w:r w:rsidR="00957E47" w:rsidRPr="00125060">
        <w:t>et al. Data maturity and follow-up in time-to-event analyses</w:t>
      </w:r>
      <w:r w:rsidR="00C43B56" w:rsidRPr="00125060">
        <w:t>. International Journal of Epidemiology</w:t>
      </w:r>
      <w:r w:rsidR="00660A85" w:rsidRPr="00125060">
        <w:t>. 2018</w:t>
      </w:r>
      <w:r w:rsidR="00C43B56" w:rsidRPr="00125060">
        <w:t xml:space="preserve">; </w:t>
      </w:r>
      <w:r w:rsidR="00DD4CFF" w:rsidRPr="00125060">
        <w:t xml:space="preserve">47(3), </w:t>
      </w:r>
      <w:r w:rsidR="00C43B56" w:rsidRPr="00125060">
        <w:t>pp850-859</w:t>
      </w:r>
      <w:r w:rsidR="00957E47" w:rsidRPr="00125060">
        <w:t xml:space="preserve">, </w:t>
      </w:r>
      <w:hyperlink r:id="rId5" w:history="1">
        <w:r w:rsidR="00957E47" w:rsidRPr="00125060">
          <w:rPr>
            <w:rStyle w:val="Hyperlink"/>
          </w:rPr>
          <w:t>https://doi.org/10.1093/ije/dyy013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6F13" w14:textId="136EDF5D" w:rsidR="00586B8D" w:rsidRDefault="00AB2A0C">
    <w:pPr>
      <w:pStyle w:val="Header"/>
    </w:pPr>
    <w:r>
      <w:rPr>
        <w:noProof/>
      </w:rPr>
      <mc:AlternateContent>
        <mc:Choice Requires="wps">
          <w:drawing>
            <wp:anchor distT="0" distB="0" distL="0" distR="0" simplePos="0" relativeHeight="251660293" behindDoc="0" locked="0" layoutInCell="1" allowOverlap="1" wp14:anchorId="1F7BAE0E" wp14:editId="5240BD0E">
              <wp:simplePos x="635" y="635"/>
              <wp:positionH relativeFrom="page">
                <wp:align>center</wp:align>
              </wp:positionH>
              <wp:positionV relativeFrom="page">
                <wp:align>top</wp:align>
              </wp:positionV>
              <wp:extent cx="622300" cy="376555"/>
              <wp:effectExtent l="0" t="0" r="6350" b="4445"/>
              <wp:wrapNone/>
              <wp:docPr id="10151476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41931B" w14:textId="11B56800"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7BAE0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F41931B" w14:textId="11B56800"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91C" w14:textId="0DAA9537" w:rsidR="008F00FE" w:rsidRDefault="00AB2A0C" w:rsidP="008F00FE">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5DE35A81" wp14:editId="72146489">
              <wp:simplePos x="635" y="635"/>
              <wp:positionH relativeFrom="page">
                <wp:align>center</wp:align>
              </wp:positionH>
              <wp:positionV relativeFrom="page">
                <wp:align>top</wp:align>
              </wp:positionV>
              <wp:extent cx="622300" cy="376555"/>
              <wp:effectExtent l="0" t="0" r="6350" b="4445"/>
              <wp:wrapNone/>
              <wp:docPr id="18231231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3298F4" w14:textId="3122C70C"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35A8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53298F4" w14:textId="3122C70C"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r w:rsidR="006F34FF">
      <w:rPr>
        <w:rFonts w:asciiTheme="minorHAnsi" w:hAnsiTheme="minorHAnsi"/>
        <w:color w:val="808080"/>
      </w:rPr>
      <w:t>Public Summary Document</w:t>
    </w:r>
    <w:r w:rsidR="008F00FE">
      <w:rPr>
        <w:rFonts w:asciiTheme="minorHAnsi" w:hAnsiTheme="minorHAnsi"/>
        <w:color w:val="808080"/>
      </w:rPr>
      <w:t xml:space="preserve"> </w:t>
    </w:r>
    <w:r w:rsidR="008F00FE">
      <w:rPr>
        <w:rFonts w:asciiTheme="minorHAnsi" w:hAnsiTheme="minorHAnsi"/>
        <w:color w:val="808080"/>
      </w:rPr>
      <w:noBreakHyphen/>
      <w:t xml:space="preserve"> </w:t>
    </w:r>
    <w:r w:rsidR="008F00FE" w:rsidRPr="00125060">
      <w:rPr>
        <w:rFonts w:asciiTheme="minorHAnsi" w:hAnsiTheme="minorHAnsi"/>
        <w:color w:val="808080"/>
      </w:rPr>
      <w:t>November 2025 PBAC Meeting</w:t>
    </w:r>
    <w:r w:rsidR="008F00FE">
      <w:rPr>
        <w:rFonts w:asciiTheme="minorHAnsi" w:hAnsiTheme="minorHAnsi"/>
        <w:color w:val="808080"/>
      </w:rPr>
      <w:t xml:space="preserve"> with March 2026 Addendum</w:t>
    </w:r>
  </w:p>
  <w:p w14:paraId="03AF943B" w14:textId="77777777" w:rsidR="00D843F2" w:rsidRPr="00125060" w:rsidRDefault="00D843F2" w:rsidP="00AD3FBA">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124" w14:textId="37EB8869" w:rsidR="00586B8D" w:rsidRDefault="00AB2A0C">
    <w:pPr>
      <w:pStyle w:val="Header"/>
    </w:pPr>
    <w:r>
      <w:rPr>
        <w:noProof/>
      </w:rPr>
      <mc:AlternateContent>
        <mc:Choice Requires="wps">
          <w:drawing>
            <wp:anchor distT="0" distB="0" distL="0" distR="0" simplePos="0" relativeHeight="251659269" behindDoc="0" locked="0" layoutInCell="1" allowOverlap="1" wp14:anchorId="61DCF18B" wp14:editId="534B6B3B">
              <wp:simplePos x="635" y="635"/>
              <wp:positionH relativeFrom="page">
                <wp:align>center</wp:align>
              </wp:positionH>
              <wp:positionV relativeFrom="page">
                <wp:align>top</wp:align>
              </wp:positionV>
              <wp:extent cx="622300" cy="376555"/>
              <wp:effectExtent l="0" t="0" r="6350" b="4445"/>
              <wp:wrapNone/>
              <wp:docPr id="14612751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3659E2" w14:textId="69230FEF"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CF18B"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D3659E2" w14:textId="69230FEF"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E09B3"/>
    <w:multiLevelType w:val="hybridMultilevel"/>
    <w:tmpl w:val="4A5628FA"/>
    <w:lvl w:ilvl="0" w:tplc="4888190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8431BC"/>
    <w:multiLevelType w:val="hybridMultilevel"/>
    <w:tmpl w:val="FA067F5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B4165"/>
    <w:multiLevelType w:val="hybridMultilevel"/>
    <w:tmpl w:val="1370E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25B67D1"/>
    <w:multiLevelType w:val="hybridMultilevel"/>
    <w:tmpl w:val="29E8F1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EC272B"/>
    <w:multiLevelType w:val="hybridMultilevel"/>
    <w:tmpl w:val="4008C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04243C"/>
    <w:multiLevelType w:val="hybridMultilevel"/>
    <w:tmpl w:val="7BF86A70"/>
    <w:lvl w:ilvl="0" w:tplc="D3784A20">
      <w:start w:val="1"/>
      <w:numFmt w:val="bullet"/>
      <w:pStyle w:val="PBAC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8"/>
  </w:num>
  <w:num w:numId="2" w16cid:durableId="917793048">
    <w:abstractNumId w:val="4"/>
  </w:num>
  <w:num w:numId="3" w16cid:durableId="263461728">
    <w:abstractNumId w:val="0"/>
  </w:num>
  <w:num w:numId="4" w16cid:durableId="139346788">
    <w:abstractNumId w:val="9"/>
  </w:num>
  <w:num w:numId="5" w16cid:durableId="220360847">
    <w:abstractNumId w:val="6"/>
  </w:num>
  <w:num w:numId="6" w16cid:durableId="268196418">
    <w:abstractNumId w:val="3"/>
  </w:num>
  <w:num w:numId="7" w16cid:durableId="1048839230">
    <w:abstractNumId w:val="8"/>
  </w:num>
  <w:num w:numId="8" w16cid:durableId="513619691">
    <w:abstractNumId w:val="10"/>
  </w:num>
  <w:num w:numId="9" w16cid:durableId="1790053422">
    <w:abstractNumId w:val="7"/>
  </w:num>
  <w:num w:numId="10" w16cid:durableId="1068652184">
    <w:abstractNumId w:val="5"/>
  </w:num>
  <w:num w:numId="11" w16cid:durableId="1040977763">
    <w:abstractNumId w:val="2"/>
  </w:num>
  <w:num w:numId="12" w16cid:durableId="13366854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B1"/>
    <w:rsid w:val="00000790"/>
    <w:rsid w:val="0000110B"/>
    <w:rsid w:val="000015A4"/>
    <w:rsid w:val="00001A10"/>
    <w:rsid w:val="00002272"/>
    <w:rsid w:val="000025E8"/>
    <w:rsid w:val="00002717"/>
    <w:rsid w:val="00002A88"/>
    <w:rsid w:val="00003499"/>
    <w:rsid w:val="000039B7"/>
    <w:rsid w:val="00003E9B"/>
    <w:rsid w:val="0000452D"/>
    <w:rsid w:val="000056B9"/>
    <w:rsid w:val="00005F53"/>
    <w:rsid w:val="00005F75"/>
    <w:rsid w:val="00006001"/>
    <w:rsid w:val="000062B0"/>
    <w:rsid w:val="0000639A"/>
    <w:rsid w:val="00006416"/>
    <w:rsid w:val="00006C11"/>
    <w:rsid w:val="000070AA"/>
    <w:rsid w:val="0000718B"/>
    <w:rsid w:val="00007253"/>
    <w:rsid w:val="00007324"/>
    <w:rsid w:val="00007735"/>
    <w:rsid w:val="00007A6D"/>
    <w:rsid w:val="00007D44"/>
    <w:rsid w:val="00007D6C"/>
    <w:rsid w:val="0001067F"/>
    <w:rsid w:val="00010BC4"/>
    <w:rsid w:val="000116DF"/>
    <w:rsid w:val="00011CBD"/>
    <w:rsid w:val="00011CD2"/>
    <w:rsid w:val="00012AFA"/>
    <w:rsid w:val="00012F14"/>
    <w:rsid w:val="00013247"/>
    <w:rsid w:val="00013439"/>
    <w:rsid w:val="000136A3"/>
    <w:rsid w:val="00013A0D"/>
    <w:rsid w:val="00013AA1"/>
    <w:rsid w:val="00013C02"/>
    <w:rsid w:val="00013E2A"/>
    <w:rsid w:val="00014C54"/>
    <w:rsid w:val="000150FC"/>
    <w:rsid w:val="00015886"/>
    <w:rsid w:val="000159A2"/>
    <w:rsid w:val="00015B86"/>
    <w:rsid w:val="00015BAB"/>
    <w:rsid w:val="00015F17"/>
    <w:rsid w:val="000162EF"/>
    <w:rsid w:val="00016A15"/>
    <w:rsid w:val="00016C41"/>
    <w:rsid w:val="00016DA9"/>
    <w:rsid w:val="00016F76"/>
    <w:rsid w:val="00016FBD"/>
    <w:rsid w:val="00017C17"/>
    <w:rsid w:val="00017FC2"/>
    <w:rsid w:val="000200E2"/>
    <w:rsid w:val="000207C9"/>
    <w:rsid w:val="000212A0"/>
    <w:rsid w:val="00021EC2"/>
    <w:rsid w:val="0002225F"/>
    <w:rsid w:val="00022307"/>
    <w:rsid w:val="000225A7"/>
    <w:rsid w:val="00022F30"/>
    <w:rsid w:val="00023763"/>
    <w:rsid w:val="00023794"/>
    <w:rsid w:val="00023FA4"/>
    <w:rsid w:val="0002407A"/>
    <w:rsid w:val="00024397"/>
    <w:rsid w:val="00024B65"/>
    <w:rsid w:val="00024EB5"/>
    <w:rsid w:val="000253AD"/>
    <w:rsid w:val="00025663"/>
    <w:rsid w:val="000259CB"/>
    <w:rsid w:val="00025A1A"/>
    <w:rsid w:val="00025D7C"/>
    <w:rsid w:val="00026351"/>
    <w:rsid w:val="000263CE"/>
    <w:rsid w:val="00026961"/>
    <w:rsid w:val="00026AF7"/>
    <w:rsid w:val="00026B0B"/>
    <w:rsid w:val="00026CB4"/>
    <w:rsid w:val="00026EB8"/>
    <w:rsid w:val="0002749C"/>
    <w:rsid w:val="000274B8"/>
    <w:rsid w:val="000302A5"/>
    <w:rsid w:val="000306D8"/>
    <w:rsid w:val="000307B3"/>
    <w:rsid w:val="00030D22"/>
    <w:rsid w:val="00030F89"/>
    <w:rsid w:val="00030FF8"/>
    <w:rsid w:val="000310D4"/>
    <w:rsid w:val="000311CA"/>
    <w:rsid w:val="00031F1E"/>
    <w:rsid w:val="000321BD"/>
    <w:rsid w:val="000322CE"/>
    <w:rsid w:val="00032775"/>
    <w:rsid w:val="000328DC"/>
    <w:rsid w:val="00032A6E"/>
    <w:rsid w:val="00032C9A"/>
    <w:rsid w:val="00032EBD"/>
    <w:rsid w:val="00033863"/>
    <w:rsid w:val="000339EE"/>
    <w:rsid w:val="000339F6"/>
    <w:rsid w:val="000341A3"/>
    <w:rsid w:val="00034C26"/>
    <w:rsid w:val="00035215"/>
    <w:rsid w:val="00035280"/>
    <w:rsid w:val="000353B7"/>
    <w:rsid w:val="00035444"/>
    <w:rsid w:val="0003550A"/>
    <w:rsid w:val="00035771"/>
    <w:rsid w:val="00035CD3"/>
    <w:rsid w:val="00035DC0"/>
    <w:rsid w:val="00035DD1"/>
    <w:rsid w:val="00036004"/>
    <w:rsid w:val="0003659E"/>
    <w:rsid w:val="00036829"/>
    <w:rsid w:val="0003684C"/>
    <w:rsid w:val="00036DE0"/>
    <w:rsid w:val="00037288"/>
    <w:rsid w:val="00037362"/>
    <w:rsid w:val="0003750B"/>
    <w:rsid w:val="00037A0F"/>
    <w:rsid w:val="00037BF0"/>
    <w:rsid w:val="0004016E"/>
    <w:rsid w:val="0004018A"/>
    <w:rsid w:val="00040895"/>
    <w:rsid w:val="00040C44"/>
    <w:rsid w:val="000410A0"/>
    <w:rsid w:val="000410BE"/>
    <w:rsid w:val="00041936"/>
    <w:rsid w:val="000419CA"/>
    <w:rsid w:val="00041D7B"/>
    <w:rsid w:val="00041FBD"/>
    <w:rsid w:val="00042033"/>
    <w:rsid w:val="0004274F"/>
    <w:rsid w:val="00042943"/>
    <w:rsid w:val="00042DAA"/>
    <w:rsid w:val="00043329"/>
    <w:rsid w:val="000435EE"/>
    <w:rsid w:val="00043AAF"/>
    <w:rsid w:val="00043C37"/>
    <w:rsid w:val="00044BB7"/>
    <w:rsid w:val="00045017"/>
    <w:rsid w:val="00045261"/>
    <w:rsid w:val="0004549D"/>
    <w:rsid w:val="000457C1"/>
    <w:rsid w:val="00045A2B"/>
    <w:rsid w:val="00045B75"/>
    <w:rsid w:val="00046108"/>
    <w:rsid w:val="00046881"/>
    <w:rsid w:val="0004698F"/>
    <w:rsid w:val="000469E4"/>
    <w:rsid w:val="00046AF1"/>
    <w:rsid w:val="00046D64"/>
    <w:rsid w:val="00046DEA"/>
    <w:rsid w:val="000472F0"/>
    <w:rsid w:val="00047C56"/>
    <w:rsid w:val="00047D61"/>
    <w:rsid w:val="00047D72"/>
    <w:rsid w:val="000500A3"/>
    <w:rsid w:val="000503F1"/>
    <w:rsid w:val="0005043C"/>
    <w:rsid w:val="00050562"/>
    <w:rsid w:val="0005060D"/>
    <w:rsid w:val="000506AD"/>
    <w:rsid w:val="000507BB"/>
    <w:rsid w:val="000508C2"/>
    <w:rsid w:val="000509EE"/>
    <w:rsid w:val="00050C09"/>
    <w:rsid w:val="00050C62"/>
    <w:rsid w:val="00051D51"/>
    <w:rsid w:val="00051DEE"/>
    <w:rsid w:val="00052300"/>
    <w:rsid w:val="0005262C"/>
    <w:rsid w:val="00052B57"/>
    <w:rsid w:val="00052C8D"/>
    <w:rsid w:val="0005304B"/>
    <w:rsid w:val="000532D7"/>
    <w:rsid w:val="0005349D"/>
    <w:rsid w:val="000539D0"/>
    <w:rsid w:val="00053ABE"/>
    <w:rsid w:val="00053D36"/>
    <w:rsid w:val="00054621"/>
    <w:rsid w:val="000546D7"/>
    <w:rsid w:val="00054A8D"/>
    <w:rsid w:val="00054C5A"/>
    <w:rsid w:val="00055078"/>
    <w:rsid w:val="00056334"/>
    <w:rsid w:val="00056CE9"/>
    <w:rsid w:val="00056ECF"/>
    <w:rsid w:val="00057119"/>
    <w:rsid w:val="000572F6"/>
    <w:rsid w:val="000574A8"/>
    <w:rsid w:val="00057686"/>
    <w:rsid w:val="000577BC"/>
    <w:rsid w:val="000600BF"/>
    <w:rsid w:val="00060297"/>
    <w:rsid w:val="00060488"/>
    <w:rsid w:val="000604DF"/>
    <w:rsid w:val="00060CA6"/>
    <w:rsid w:val="00060FF2"/>
    <w:rsid w:val="0006127D"/>
    <w:rsid w:val="000615DA"/>
    <w:rsid w:val="000616BB"/>
    <w:rsid w:val="00061D05"/>
    <w:rsid w:val="00061F59"/>
    <w:rsid w:val="00061FB9"/>
    <w:rsid w:val="0006221D"/>
    <w:rsid w:val="00062324"/>
    <w:rsid w:val="00063483"/>
    <w:rsid w:val="00063704"/>
    <w:rsid w:val="00063735"/>
    <w:rsid w:val="00063BB3"/>
    <w:rsid w:val="0006403F"/>
    <w:rsid w:val="0006404B"/>
    <w:rsid w:val="000643E7"/>
    <w:rsid w:val="00064EC1"/>
    <w:rsid w:val="000653B5"/>
    <w:rsid w:val="00065667"/>
    <w:rsid w:val="00065DE6"/>
    <w:rsid w:val="00066360"/>
    <w:rsid w:val="000666FA"/>
    <w:rsid w:val="000667DA"/>
    <w:rsid w:val="00066AF8"/>
    <w:rsid w:val="00066F28"/>
    <w:rsid w:val="00066F80"/>
    <w:rsid w:val="00067108"/>
    <w:rsid w:val="0006788B"/>
    <w:rsid w:val="00067EA2"/>
    <w:rsid w:val="00067F69"/>
    <w:rsid w:val="00070658"/>
    <w:rsid w:val="00070C00"/>
    <w:rsid w:val="00071248"/>
    <w:rsid w:val="000715E5"/>
    <w:rsid w:val="00071C02"/>
    <w:rsid w:val="00071EFD"/>
    <w:rsid w:val="000720B9"/>
    <w:rsid w:val="000722E7"/>
    <w:rsid w:val="0007292A"/>
    <w:rsid w:val="00072BC9"/>
    <w:rsid w:val="00072E2E"/>
    <w:rsid w:val="000737F7"/>
    <w:rsid w:val="00073908"/>
    <w:rsid w:val="00073D09"/>
    <w:rsid w:val="00073E9C"/>
    <w:rsid w:val="00073F19"/>
    <w:rsid w:val="00074456"/>
    <w:rsid w:val="0007475A"/>
    <w:rsid w:val="00074865"/>
    <w:rsid w:val="00074B87"/>
    <w:rsid w:val="00075710"/>
    <w:rsid w:val="00075B4F"/>
    <w:rsid w:val="000764F2"/>
    <w:rsid w:val="0007672F"/>
    <w:rsid w:val="00076A5C"/>
    <w:rsid w:val="00076B2B"/>
    <w:rsid w:val="00076B54"/>
    <w:rsid w:val="00076CCD"/>
    <w:rsid w:val="00076EC9"/>
    <w:rsid w:val="00076F31"/>
    <w:rsid w:val="00076F4D"/>
    <w:rsid w:val="000772EE"/>
    <w:rsid w:val="000774F0"/>
    <w:rsid w:val="00077BBB"/>
    <w:rsid w:val="00077BF1"/>
    <w:rsid w:val="00077F5E"/>
    <w:rsid w:val="00080590"/>
    <w:rsid w:val="00080909"/>
    <w:rsid w:val="000811E8"/>
    <w:rsid w:val="000812CA"/>
    <w:rsid w:val="00081A56"/>
    <w:rsid w:val="00081CE6"/>
    <w:rsid w:val="00081DC0"/>
    <w:rsid w:val="00081E63"/>
    <w:rsid w:val="0008258D"/>
    <w:rsid w:val="00082BAA"/>
    <w:rsid w:val="00082E48"/>
    <w:rsid w:val="000830E6"/>
    <w:rsid w:val="00083C93"/>
    <w:rsid w:val="00083DF2"/>
    <w:rsid w:val="00083E99"/>
    <w:rsid w:val="0008489C"/>
    <w:rsid w:val="00084BBB"/>
    <w:rsid w:val="00084CFB"/>
    <w:rsid w:val="00084FA8"/>
    <w:rsid w:val="00085189"/>
    <w:rsid w:val="00085681"/>
    <w:rsid w:val="000856C5"/>
    <w:rsid w:val="00085751"/>
    <w:rsid w:val="00085B75"/>
    <w:rsid w:val="00085C31"/>
    <w:rsid w:val="00085DF7"/>
    <w:rsid w:val="00085E73"/>
    <w:rsid w:val="00086526"/>
    <w:rsid w:val="000866F2"/>
    <w:rsid w:val="00086DEF"/>
    <w:rsid w:val="00086E43"/>
    <w:rsid w:val="00087004"/>
    <w:rsid w:val="000870A3"/>
    <w:rsid w:val="00087CC3"/>
    <w:rsid w:val="000902D9"/>
    <w:rsid w:val="00090C7E"/>
    <w:rsid w:val="00090F28"/>
    <w:rsid w:val="00091131"/>
    <w:rsid w:val="000911AC"/>
    <w:rsid w:val="00091496"/>
    <w:rsid w:val="00091C2C"/>
    <w:rsid w:val="0009241C"/>
    <w:rsid w:val="00092600"/>
    <w:rsid w:val="0009262B"/>
    <w:rsid w:val="00092740"/>
    <w:rsid w:val="000930F3"/>
    <w:rsid w:val="00093310"/>
    <w:rsid w:val="000933C6"/>
    <w:rsid w:val="000938D7"/>
    <w:rsid w:val="000938E7"/>
    <w:rsid w:val="00093942"/>
    <w:rsid w:val="00093BA9"/>
    <w:rsid w:val="00093CD8"/>
    <w:rsid w:val="00093E48"/>
    <w:rsid w:val="00093FB4"/>
    <w:rsid w:val="000942F1"/>
    <w:rsid w:val="00094317"/>
    <w:rsid w:val="0009445C"/>
    <w:rsid w:val="000945E3"/>
    <w:rsid w:val="00094876"/>
    <w:rsid w:val="00095094"/>
    <w:rsid w:val="00095200"/>
    <w:rsid w:val="000953D8"/>
    <w:rsid w:val="00095586"/>
    <w:rsid w:val="0009575F"/>
    <w:rsid w:val="00095CB9"/>
    <w:rsid w:val="00095FE5"/>
    <w:rsid w:val="00096284"/>
    <w:rsid w:val="00096DAA"/>
    <w:rsid w:val="00097054"/>
    <w:rsid w:val="00097243"/>
    <w:rsid w:val="00097777"/>
    <w:rsid w:val="00097D4A"/>
    <w:rsid w:val="000A03E1"/>
    <w:rsid w:val="000A0913"/>
    <w:rsid w:val="000A124A"/>
    <w:rsid w:val="000A16E8"/>
    <w:rsid w:val="000A1BC0"/>
    <w:rsid w:val="000A1FF5"/>
    <w:rsid w:val="000A2383"/>
    <w:rsid w:val="000A2440"/>
    <w:rsid w:val="000A24FE"/>
    <w:rsid w:val="000A2AB7"/>
    <w:rsid w:val="000A2F19"/>
    <w:rsid w:val="000A2F9E"/>
    <w:rsid w:val="000A34A0"/>
    <w:rsid w:val="000A3BB5"/>
    <w:rsid w:val="000A3E47"/>
    <w:rsid w:val="000A4461"/>
    <w:rsid w:val="000A522B"/>
    <w:rsid w:val="000A5CA5"/>
    <w:rsid w:val="000A5F4F"/>
    <w:rsid w:val="000A6039"/>
    <w:rsid w:val="000A662E"/>
    <w:rsid w:val="000A682A"/>
    <w:rsid w:val="000A709A"/>
    <w:rsid w:val="000A7453"/>
    <w:rsid w:val="000A7936"/>
    <w:rsid w:val="000A7D08"/>
    <w:rsid w:val="000A7FDA"/>
    <w:rsid w:val="000B0121"/>
    <w:rsid w:val="000B047C"/>
    <w:rsid w:val="000B0670"/>
    <w:rsid w:val="000B0E75"/>
    <w:rsid w:val="000B12CF"/>
    <w:rsid w:val="000B1531"/>
    <w:rsid w:val="000B185A"/>
    <w:rsid w:val="000B2821"/>
    <w:rsid w:val="000B29B3"/>
    <w:rsid w:val="000B2C52"/>
    <w:rsid w:val="000B2DCB"/>
    <w:rsid w:val="000B34E6"/>
    <w:rsid w:val="000B3D6A"/>
    <w:rsid w:val="000B408F"/>
    <w:rsid w:val="000B438A"/>
    <w:rsid w:val="000B4D8C"/>
    <w:rsid w:val="000B5044"/>
    <w:rsid w:val="000B5CE0"/>
    <w:rsid w:val="000B5EDF"/>
    <w:rsid w:val="000B6A1F"/>
    <w:rsid w:val="000B6BCB"/>
    <w:rsid w:val="000B6CAC"/>
    <w:rsid w:val="000B740E"/>
    <w:rsid w:val="000B74E1"/>
    <w:rsid w:val="000B7612"/>
    <w:rsid w:val="000B78AE"/>
    <w:rsid w:val="000C10D1"/>
    <w:rsid w:val="000C13D7"/>
    <w:rsid w:val="000C14A6"/>
    <w:rsid w:val="000C230C"/>
    <w:rsid w:val="000C2B70"/>
    <w:rsid w:val="000C2C73"/>
    <w:rsid w:val="000C2D6E"/>
    <w:rsid w:val="000C3138"/>
    <w:rsid w:val="000C319B"/>
    <w:rsid w:val="000C3201"/>
    <w:rsid w:val="000C37D3"/>
    <w:rsid w:val="000C3DF9"/>
    <w:rsid w:val="000C45D7"/>
    <w:rsid w:val="000C4780"/>
    <w:rsid w:val="000C4BF3"/>
    <w:rsid w:val="000C4C04"/>
    <w:rsid w:val="000C4CF2"/>
    <w:rsid w:val="000C546F"/>
    <w:rsid w:val="000C55CF"/>
    <w:rsid w:val="000C57E9"/>
    <w:rsid w:val="000C5B83"/>
    <w:rsid w:val="000C5EE8"/>
    <w:rsid w:val="000C62C0"/>
    <w:rsid w:val="000C659F"/>
    <w:rsid w:val="000C6713"/>
    <w:rsid w:val="000C698B"/>
    <w:rsid w:val="000C6BAE"/>
    <w:rsid w:val="000C73FF"/>
    <w:rsid w:val="000C774E"/>
    <w:rsid w:val="000C7C8C"/>
    <w:rsid w:val="000C7D81"/>
    <w:rsid w:val="000C7DF1"/>
    <w:rsid w:val="000C7EA7"/>
    <w:rsid w:val="000D05AF"/>
    <w:rsid w:val="000D0664"/>
    <w:rsid w:val="000D1BFC"/>
    <w:rsid w:val="000D1D4F"/>
    <w:rsid w:val="000D1D5D"/>
    <w:rsid w:val="000D1D67"/>
    <w:rsid w:val="000D24CB"/>
    <w:rsid w:val="000D281A"/>
    <w:rsid w:val="000D2848"/>
    <w:rsid w:val="000D2949"/>
    <w:rsid w:val="000D2C1B"/>
    <w:rsid w:val="000D2C85"/>
    <w:rsid w:val="000D326A"/>
    <w:rsid w:val="000D35A0"/>
    <w:rsid w:val="000D3FE3"/>
    <w:rsid w:val="000D410B"/>
    <w:rsid w:val="000D47E0"/>
    <w:rsid w:val="000D485E"/>
    <w:rsid w:val="000D4908"/>
    <w:rsid w:val="000D4D5F"/>
    <w:rsid w:val="000D514B"/>
    <w:rsid w:val="000D51FB"/>
    <w:rsid w:val="000D5CD9"/>
    <w:rsid w:val="000D5F49"/>
    <w:rsid w:val="000D70D0"/>
    <w:rsid w:val="000D715C"/>
    <w:rsid w:val="000D7430"/>
    <w:rsid w:val="000D79F2"/>
    <w:rsid w:val="000D7DD4"/>
    <w:rsid w:val="000E048D"/>
    <w:rsid w:val="000E055A"/>
    <w:rsid w:val="000E0640"/>
    <w:rsid w:val="000E07CD"/>
    <w:rsid w:val="000E07E3"/>
    <w:rsid w:val="000E085F"/>
    <w:rsid w:val="000E0E03"/>
    <w:rsid w:val="000E1123"/>
    <w:rsid w:val="000E135D"/>
    <w:rsid w:val="000E1476"/>
    <w:rsid w:val="000E14FD"/>
    <w:rsid w:val="000E1CFF"/>
    <w:rsid w:val="000E1E2C"/>
    <w:rsid w:val="000E217F"/>
    <w:rsid w:val="000E2713"/>
    <w:rsid w:val="000E2758"/>
    <w:rsid w:val="000E2B23"/>
    <w:rsid w:val="000E37BF"/>
    <w:rsid w:val="000E3D28"/>
    <w:rsid w:val="000E3DB2"/>
    <w:rsid w:val="000E3FB9"/>
    <w:rsid w:val="000E4376"/>
    <w:rsid w:val="000E43FC"/>
    <w:rsid w:val="000E4D16"/>
    <w:rsid w:val="000E4DF6"/>
    <w:rsid w:val="000E51C7"/>
    <w:rsid w:val="000E53FC"/>
    <w:rsid w:val="000E5B3A"/>
    <w:rsid w:val="000E5DB5"/>
    <w:rsid w:val="000E65BB"/>
    <w:rsid w:val="000E67FC"/>
    <w:rsid w:val="000E6908"/>
    <w:rsid w:val="000E6BEB"/>
    <w:rsid w:val="000E6FE3"/>
    <w:rsid w:val="000E717B"/>
    <w:rsid w:val="000E74AA"/>
    <w:rsid w:val="000E7B9C"/>
    <w:rsid w:val="000E7BCD"/>
    <w:rsid w:val="000E7FDF"/>
    <w:rsid w:val="000F00BA"/>
    <w:rsid w:val="000F0215"/>
    <w:rsid w:val="000F0801"/>
    <w:rsid w:val="000F0DD3"/>
    <w:rsid w:val="000F126E"/>
    <w:rsid w:val="000F14FC"/>
    <w:rsid w:val="000F2266"/>
    <w:rsid w:val="000F2B85"/>
    <w:rsid w:val="000F2E91"/>
    <w:rsid w:val="000F316A"/>
    <w:rsid w:val="000F3234"/>
    <w:rsid w:val="000F3454"/>
    <w:rsid w:val="000F3995"/>
    <w:rsid w:val="000F3A28"/>
    <w:rsid w:val="000F3C74"/>
    <w:rsid w:val="000F41FF"/>
    <w:rsid w:val="000F4953"/>
    <w:rsid w:val="000F4BB8"/>
    <w:rsid w:val="000F4F57"/>
    <w:rsid w:val="000F4FA9"/>
    <w:rsid w:val="000F53CA"/>
    <w:rsid w:val="000F53FB"/>
    <w:rsid w:val="000F5717"/>
    <w:rsid w:val="000F6507"/>
    <w:rsid w:val="000F6E84"/>
    <w:rsid w:val="000F7127"/>
    <w:rsid w:val="000F753D"/>
    <w:rsid w:val="000F772D"/>
    <w:rsid w:val="000F793F"/>
    <w:rsid w:val="000F79F8"/>
    <w:rsid w:val="000F7ABF"/>
    <w:rsid w:val="000F7B54"/>
    <w:rsid w:val="001000B3"/>
    <w:rsid w:val="001003A4"/>
    <w:rsid w:val="00100B73"/>
    <w:rsid w:val="00100D56"/>
    <w:rsid w:val="00100E82"/>
    <w:rsid w:val="00100F8A"/>
    <w:rsid w:val="00102336"/>
    <w:rsid w:val="001024FE"/>
    <w:rsid w:val="001029A4"/>
    <w:rsid w:val="00102E55"/>
    <w:rsid w:val="0010344D"/>
    <w:rsid w:val="0010345B"/>
    <w:rsid w:val="001034C1"/>
    <w:rsid w:val="0010452E"/>
    <w:rsid w:val="0010464A"/>
    <w:rsid w:val="00105826"/>
    <w:rsid w:val="00105AE2"/>
    <w:rsid w:val="00105B2C"/>
    <w:rsid w:val="00105D82"/>
    <w:rsid w:val="00105DBF"/>
    <w:rsid w:val="001060C6"/>
    <w:rsid w:val="0010664F"/>
    <w:rsid w:val="00106B80"/>
    <w:rsid w:val="00106F12"/>
    <w:rsid w:val="00107C47"/>
    <w:rsid w:val="00107DD5"/>
    <w:rsid w:val="00107E9D"/>
    <w:rsid w:val="0011032E"/>
    <w:rsid w:val="00110AC1"/>
    <w:rsid w:val="00110C65"/>
    <w:rsid w:val="00111EA1"/>
    <w:rsid w:val="001121DE"/>
    <w:rsid w:val="00112385"/>
    <w:rsid w:val="00112E83"/>
    <w:rsid w:val="0011348B"/>
    <w:rsid w:val="00113DCE"/>
    <w:rsid w:val="00114912"/>
    <w:rsid w:val="00115215"/>
    <w:rsid w:val="00115982"/>
    <w:rsid w:val="00116387"/>
    <w:rsid w:val="00116658"/>
    <w:rsid w:val="00116C53"/>
    <w:rsid w:val="00116CB6"/>
    <w:rsid w:val="00117464"/>
    <w:rsid w:val="0011755D"/>
    <w:rsid w:val="0011797A"/>
    <w:rsid w:val="00117F9A"/>
    <w:rsid w:val="001200A2"/>
    <w:rsid w:val="00120A13"/>
    <w:rsid w:val="00120D7B"/>
    <w:rsid w:val="0012134F"/>
    <w:rsid w:val="00121799"/>
    <w:rsid w:val="001220EE"/>
    <w:rsid w:val="0012214E"/>
    <w:rsid w:val="001222FC"/>
    <w:rsid w:val="0012360A"/>
    <w:rsid w:val="0012371B"/>
    <w:rsid w:val="00123765"/>
    <w:rsid w:val="00123902"/>
    <w:rsid w:val="00123C90"/>
    <w:rsid w:val="00124213"/>
    <w:rsid w:val="00124857"/>
    <w:rsid w:val="00124A51"/>
    <w:rsid w:val="00124D75"/>
    <w:rsid w:val="00125060"/>
    <w:rsid w:val="00125287"/>
    <w:rsid w:val="00125305"/>
    <w:rsid w:val="0012530C"/>
    <w:rsid w:val="00126562"/>
    <w:rsid w:val="00126621"/>
    <w:rsid w:val="001266EC"/>
    <w:rsid w:val="00126B1D"/>
    <w:rsid w:val="00126B49"/>
    <w:rsid w:val="00126BC1"/>
    <w:rsid w:val="001273FE"/>
    <w:rsid w:val="00127EDD"/>
    <w:rsid w:val="001301E9"/>
    <w:rsid w:val="00130285"/>
    <w:rsid w:val="0013029D"/>
    <w:rsid w:val="001303A1"/>
    <w:rsid w:val="00130BB5"/>
    <w:rsid w:val="001311E2"/>
    <w:rsid w:val="001313B2"/>
    <w:rsid w:val="00131849"/>
    <w:rsid w:val="001319E4"/>
    <w:rsid w:val="00131D50"/>
    <w:rsid w:val="00131D82"/>
    <w:rsid w:val="00132111"/>
    <w:rsid w:val="00132B22"/>
    <w:rsid w:val="00132BCD"/>
    <w:rsid w:val="00132FBC"/>
    <w:rsid w:val="00133D36"/>
    <w:rsid w:val="00133F6F"/>
    <w:rsid w:val="0013484D"/>
    <w:rsid w:val="00134B8C"/>
    <w:rsid w:val="00134C18"/>
    <w:rsid w:val="00135173"/>
    <w:rsid w:val="00135241"/>
    <w:rsid w:val="001354DD"/>
    <w:rsid w:val="001354E1"/>
    <w:rsid w:val="00135574"/>
    <w:rsid w:val="00135705"/>
    <w:rsid w:val="001359AB"/>
    <w:rsid w:val="00136027"/>
    <w:rsid w:val="00136A0C"/>
    <w:rsid w:val="00137645"/>
    <w:rsid w:val="00137684"/>
    <w:rsid w:val="0013791A"/>
    <w:rsid w:val="00137E3D"/>
    <w:rsid w:val="00137EA3"/>
    <w:rsid w:val="001400C3"/>
    <w:rsid w:val="0014015A"/>
    <w:rsid w:val="00140274"/>
    <w:rsid w:val="001408B7"/>
    <w:rsid w:val="00140BC3"/>
    <w:rsid w:val="00140E56"/>
    <w:rsid w:val="00140E99"/>
    <w:rsid w:val="001412D1"/>
    <w:rsid w:val="0014136B"/>
    <w:rsid w:val="00142060"/>
    <w:rsid w:val="0014212B"/>
    <w:rsid w:val="00142353"/>
    <w:rsid w:val="00142363"/>
    <w:rsid w:val="001425E6"/>
    <w:rsid w:val="00142652"/>
    <w:rsid w:val="00142939"/>
    <w:rsid w:val="00143DDD"/>
    <w:rsid w:val="00143F67"/>
    <w:rsid w:val="00144B5A"/>
    <w:rsid w:val="00145234"/>
    <w:rsid w:val="00145441"/>
    <w:rsid w:val="00145540"/>
    <w:rsid w:val="0014564E"/>
    <w:rsid w:val="001456B0"/>
    <w:rsid w:val="00146807"/>
    <w:rsid w:val="00146ABF"/>
    <w:rsid w:val="00146B1F"/>
    <w:rsid w:val="00147194"/>
    <w:rsid w:val="00147366"/>
    <w:rsid w:val="001477C6"/>
    <w:rsid w:val="00147C1A"/>
    <w:rsid w:val="00150013"/>
    <w:rsid w:val="001507A8"/>
    <w:rsid w:val="001508BB"/>
    <w:rsid w:val="00150A32"/>
    <w:rsid w:val="00151552"/>
    <w:rsid w:val="00151642"/>
    <w:rsid w:val="001522ED"/>
    <w:rsid w:val="00152400"/>
    <w:rsid w:val="00153015"/>
    <w:rsid w:val="00153352"/>
    <w:rsid w:val="001535B5"/>
    <w:rsid w:val="00153B90"/>
    <w:rsid w:val="00153F58"/>
    <w:rsid w:val="0015400B"/>
    <w:rsid w:val="001547AB"/>
    <w:rsid w:val="00154BB4"/>
    <w:rsid w:val="00154E47"/>
    <w:rsid w:val="00155147"/>
    <w:rsid w:val="00155C54"/>
    <w:rsid w:val="00155F01"/>
    <w:rsid w:val="00155FB7"/>
    <w:rsid w:val="00156242"/>
    <w:rsid w:val="0015631C"/>
    <w:rsid w:val="00156F8F"/>
    <w:rsid w:val="00157130"/>
    <w:rsid w:val="001576B1"/>
    <w:rsid w:val="0016047B"/>
    <w:rsid w:val="0016070E"/>
    <w:rsid w:val="00160A4C"/>
    <w:rsid w:val="00160B29"/>
    <w:rsid w:val="0016100A"/>
    <w:rsid w:val="001616A7"/>
    <w:rsid w:val="00161ECB"/>
    <w:rsid w:val="00162058"/>
    <w:rsid w:val="001620F0"/>
    <w:rsid w:val="0016219E"/>
    <w:rsid w:val="00162413"/>
    <w:rsid w:val="00162913"/>
    <w:rsid w:val="00163846"/>
    <w:rsid w:val="00163EFF"/>
    <w:rsid w:val="00163F66"/>
    <w:rsid w:val="0016478E"/>
    <w:rsid w:val="0016491C"/>
    <w:rsid w:val="00165505"/>
    <w:rsid w:val="00165A80"/>
    <w:rsid w:val="00165EC4"/>
    <w:rsid w:val="00165F15"/>
    <w:rsid w:val="001661FB"/>
    <w:rsid w:val="0016696C"/>
    <w:rsid w:val="00166E9C"/>
    <w:rsid w:val="001671A0"/>
    <w:rsid w:val="0016745A"/>
    <w:rsid w:val="0016761A"/>
    <w:rsid w:val="00167667"/>
    <w:rsid w:val="0016767F"/>
    <w:rsid w:val="00167E0D"/>
    <w:rsid w:val="001704E8"/>
    <w:rsid w:val="00170544"/>
    <w:rsid w:val="00170DC8"/>
    <w:rsid w:val="001713C0"/>
    <w:rsid w:val="0017141C"/>
    <w:rsid w:val="00171424"/>
    <w:rsid w:val="0017161C"/>
    <w:rsid w:val="00171686"/>
    <w:rsid w:val="00171C36"/>
    <w:rsid w:val="00172D37"/>
    <w:rsid w:val="00172EFB"/>
    <w:rsid w:val="00172F50"/>
    <w:rsid w:val="00173565"/>
    <w:rsid w:val="00173802"/>
    <w:rsid w:val="00173B07"/>
    <w:rsid w:val="0017428C"/>
    <w:rsid w:val="001746D1"/>
    <w:rsid w:val="001751FA"/>
    <w:rsid w:val="00175592"/>
    <w:rsid w:val="0017583A"/>
    <w:rsid w:val="001759CB"/>
    <w:rsid w:val="00176907"/>
    <w:rsid w:val="00176EC0"/>
    <w:rsid w:val="00176ECC"/>
    <w:rsid w:val="001776D5"/>
    <w:rsid w:val="00177848"/>
    <w:rsid w:val="00177BBA"/>
    <w:rsid w:val="00177FA2"/>
    <w:rsid w:val="00180451"/>
    <w:rsid w:val="00180683"/>
    <w:rsid w:val="00180AB7"/>
    <w:rsid w:val="00180BF0"/>
    <w:rsid w:val="0018138E"/>
    <w:rsid w:val="001815F4"/>
    <w:rsid w:val="00181C10"/>
    <w:rsid w:val="00181D9C"/>
    <w:rsid w:val="00181EB7"/>
    <w:rsid w:val="00182BB5"/>
    <w:rsid w:val="00183334"/>
    <w:rsid w:val="00183678"/>
    <w:rsid w:val="001837FF"/>
    <w:rsid w:val="0018394E"/>
    <w:rsid w:val="001839B3"/>
    <w:rsid w:val="00183D4B"/>
    <w:rsid w:val="00183EC6"/>
    <w:rsid w:val="00183F93"/>
    <w:rsid w:val="00184040"/>
    <w:rsid w:val="0018429B"/>
    <w:rsid w:val="00184314"/>
    <w:rsid w:val="00184393"/>
    <w:rsid w:val="001847D2"/>
    <w:rsid w:val="001847D9"/>
    <w:rsid w:val="00184B0E"/>
    <w:rsid w:val="00184BDB"/>
    <w:rsid w:val="00184DE3"/>
    <w:rsid w:val="00185057"/>
    <w:rsid w:val="0018555A"/>
    <w:rsid w:val="00185910"/>
    <w:rsid w:val="001865B6"/>
    <w:rsid w:val="00186929"/>
    <w:rsid w:val="00186A23"/>
    <w:rsid w:val="0018752F"/>
    <w:rsid w:val="001875F5"/>
    <w:rsid w:val="00187716"/>
    <w:rsid w:val="00187A96"/>
    <w:rsid w:val="0019005F"/>
    <w:rsid w:val="00190752"/>
    <w:rsid w:val="00190C12"/>
    <w:rsid w:val="0019101D"/>
    <w:rsid w:val="00191247"/>
    <w:rsid w:val="0019157E"/>
    <w:rsid w:val="00191930"/>
    <w:rsid w:val="0019197D"/>
    <w:rsid w:val="00191D2C"/>
    <w:rsid w:val="00192407"/>
    <w:rsid w:val="0019276D"/>
    <w:rsid w:val="00192D45"/>
    <w:rsid w:val="00192E20"/>
    <w:rsid w:val="00192FFC"/>
    <w:rsid w:val="001934DD"/>
    <w:rsid w:val="00193763"/>
    <w:rsid w:val="001937DE"/>
    <w:rsid w:val="00193838"/>
    <w:rsid w:val="00193936"/>
    <w:rsid w:val="00193A4A"/>
    <w:rsid w:val="00194110"/>
    <w:rsid w:val="00194135"/>
    <w:rsid w:val="00194434"/>
    <w:rsid w:val="00194747"/>
    <w:rsid w:val="00194AD8"/>
    <w:rsid w:val="00194B49"/>
    <w:rsid w:val="00195084"/>
    <w:rsid w:val="00195222"/>
    <w:rsid w:val="00195452"/>
    <w:rsid w:val="00195AD0"/>
    <w:rsid w:val="00195C3E"/>
    <w:rsid w:val="001970D6"/>
    <w:rsid w:val="001975D8"/>
    <w:rsid w:val="001979C9"/>
    <w:rsid w:val="001A0191"/>
    <w:rsid w:val="001A0518"/>
    <w:rsid w:val="001A06FD"/>
    <w:rsid w:val="001A072D"/>
    <w:rsid w:val="001A0C57"/>
    <w:rsid w:val="001A0E68"/>
    <w:rsid w:val="001A1280"/>
    <w:rsid w:val="001A1318"/>
    <w:rsid w:val="001A13FC"/>
    <w:rsid w:val="001A1725"/>
    <w:rsid w:val="001A178E"/>
    <w:rsid w:val="001A1905"/>
    <w:rsid w:val="001A196E"/>
    <w:rsid w:val="001A2177"/>
    <w:rsid w:val="001A33CE"/>
    <w:rsid w:val="001A3A90"/>
    <w:rsid w:val="001A3D03"/>
    <w:rsid w:val="001A43FA"/>
    <w:rsid w:val="001A4634"/>
    <w:rsid w:val="001A47C5"/>
    <w:rsid w:val="001A4DC7"/>
    <w:rsid w:val="001A5517"/>
    <w:rsid w:val="001A5599"/>
    <w:rsid w:val="001A59FB"/>
    <w:rsid w:val="001A5A44"/>
    <w:rsid w:val="001A5E9E"/>
    <w:rsid w:val="001A6203"/>
    <w:rsid w:val="001A6354"/>
    <w:rsid w:val="001A6366"/>
    <w:rsid w:val="001A66F5"/>
    <w:rsid w:val="001A6764"/>
    <w:rsid w:val="001A6BC9"/>
    <w:rsid w:val="001A6E86"/>
    <w:rsid w:val="001A771A"/>
    <w:rsid w:val="001A7936"/>
    <w:rsid w:val="001A7AD9"/>
    <w:rsid w:val="001A7AE0"/>
    <w:rsid w:val="001A7AE8"/>
    <w:rsid w:val="001A7DA7"/>
    <w:rsid w:val="001A7DC1"/>
    <w:rsid w:val="001A7E05"/>
    <w:rsid w:val="001B0211"/>
    <w:rsid w:val="001B03B3"/>
    <w:rsid w:val="001B0F2E"/>
    <w:rsid w:val="001B1009"/>
    <w:rsid w:val="001B204E"/>
    <w:rsid w:val="001B20CB"/>
    <w:rsid w:val="001B2210"/>
    <w:rsid w:val="001B2372"/>
    <w:rsid w:val="001B2605"/>
    <w:rsid w:val="001B294A"/>
    <w:rsid w:val="001B2B72"/>
    <w:rsid w:val="001B3443"/>
    <w:rsid w:val="001B3963"/>
    <w:rsid w:val="001B3C75"/>
    <w:rsid w:val="001B3DB8"/>
    <w:rsid w:val="001B421D"/>
    <w:rsid w:val="001B4D20"/>
    <w:rsid w:val="001B4EB6"/>
    <w:rsid w:val="001B4F8B"/>
    <w:rsid w:val="001B55CA"/>
    <w:rsid w:val="001B60B9"/>
    <w:rsid w:val="001B669A"/>
    <w:rsid w:val="001B6CB4"/>
    <w:rsid w:val="001B703D"/>
    <w:rsid w:val="001B7348"/>
    <w:rsid w:val="001B7BB4"/>
    <w:rsid w:val="001B7C68"/>
    <w:rsid w:val="001B7F2E"/>
    <w:rsid w:val="001B7F84"/>
    <w:rsid w:val="001C0047"/>
    <w:rsid w:val="001C0686"/>
    <w:rsid w:val="001C0807"/>
    <w:rsid w:val="001C0DE4"/>
    <w:rsid w:val="001C1181"/>
    <w:rsid w:val="001C1342"/>
    <w:rsid w:val="001C182A"/>
    <w:rsid w:val="001C2569"/>
    <w:rsid w:val="001C264E"/>
    <w:rsid w:val="001C275B"/>
    <w:rsid w:val="001C2A9B"/>
    <w:rsid w:val="001C2D45"/>
    <w:rsid w:val="001C30F0"/>
    <w:rsid w:val="001C32A9"/>
    <w:rsid w:val="001C3D69"/>
    <w:rsid w:val="001C3DD6"/>
    <w:rsid w:val="001C3EA6"/>
    <w:rsid w:val="001C3F8C"/>
    <w:rsid w:val="001C41A1"/>
    <w:rsid w:val="001C4299"/>
    <w:rsid w:val="001C4874"/>
    <w:rsid w:val="001C4C04"/>
    <w:rsid w:val="001C4CFC"/>
    <w:rsid w:val="001C4D59"/>
    <w:rsid w:val="001C5368"/>
    <w:rsid w:val="001C53FE"/>
    <w:rsid w:val="001C5ADB"/>
    <w:rsid w:val="001C5F94"/>
    <w:rsid w:val="001C6359"/>
    <w:rsid w:val="001C68DD"/>
    <w:rsid w:val="001C6A43"/>
    <w:rsid w:val="001C6E66"/>
    <w:rsid w:val="001C705B"/>
    <w:rsid w:val="001C750B"/>
    <w:rsid w:val="001C75E3"/>
    <w:rsid w:val="001D02D2"/>
    <w:rsid w:val="001D08E5"/>
    <w:rsid w:val="001D0FD9"/>
    <w:rsid w:val="001D108E"/>
    <w:rsid w:val="001D1100"/>
    <w:rsid w:val="001D1391"/>
    <w:rsid w:val="001D200C"/>
    <w:rsid w:val="001D25D7"/>
    <w:rsid w:val="001D2C1C"/>
    <w:rsid w:val="001D2D88"/>
    <w:rsid w:val="001D3151"/>
    <w:rsid w:val="001D3690"/>
    <w:rsid w:val="001D4122"/>
    <w:rsid w:val="001D41D5"/>
    <w:rsid w:val="001D4218"/>
    <w:rsid w:val="001D47DF"/>
    <w:rsid w:val="001D47F7"/>
    <w:rsid w:val="001D48FE"/>
    <w:rsid w:val="001D4977"/>
    <w:rsid w:val="001D4D44"/>
    <w:rsid w:val="001D4F70"/>
    <w:rsid w:val="001D50B2"/>
    <w:rsid w:val="001D5C02"/>
    <w:rsid w:val="001D6781"/>
    <w:rsid w:val="001D68F7"/>
    <w:rsid w:val="001D6C55"/>
    <w:rsid w:val="001D6CD5"/>
    <w:rsid w:val="001D6DF6"/>
    <w:rsid w:val="001D6FF0"/>
    <w:rsid w:val="001D71F4"/>
    <w:rsid w:val="001D739B"/>
    <w:rsid w:val="001D7645"/>
    <w:rsid w:val="001D7CD2"/>
    <w:rsid w:val="001D7CFA"/>
    <w:rsid w:val="001D7D7E"/>
    <w:rsid w:val="001E03C7"/>
    <w:rsid w:val="001E042B"/>
    <w:rsid w:val="001E0554"/>
    <w:rsid w:val="001E0CA3"/>
    <w:rsid w:val="001E0CC9"/>
    <w:rsid w:val="001E11E9"/>
    <w:rsid w:val="001E18EB"/>
    <w:rsid w:val="001E1B64"/>
    <w:rsid w:val="001E1C33"/>
    <w:rsid w:val="001E1E08"/>
    <w:rsid w:val="001E1E81"/>
    <w:rsid w:val="001E1E86"/>
    <w:rsid w:val="001E238E"/>
    <w:rsid w:val="001E2483"/>
    <w:rsid w:val="001E26CE"/>
    <w:rsid w:val="001E2B1E"/>
    <w:rsid w:val="001E2CFF"/>
    <w:rsid w:val="001E2F24"/>
    <w:rsid w:val="001E30D4"/>
    <w:rsid w:val="001E313C"/>
    <w:rsid w:val="001E31F2"/>
    <w:rsid w:val="001E338E"/>
    <w:rsid w:val="001E346D"/>
    <w:rsid w:val="001E34DF"/>
    <w:rsid w:val="001E3972"/>
    <w:rsid w:val="001E3ADF"/>
    <w:rsid w:val="001E3C82"/>
    <w:rsid w:val="001E4215"/>
    <w:rsid w:val="001E46AF"/>
    <w:rsid w:val="001E4A3D"/>
    <w:rsid w:val="001E4BFE"/>
    <w:rsid w:val="001E4C55"/>
    <w:rsid w:val="001E4CC7"/>
    <w:rsid w:val="001E4CDF"/>
    <w:rsid w:val="001E513D"/>
    <w:rsid w:val="001E52EB"/>
    <w:rsid w:val="001E5703"/>
    <w:rsid w:val="001E5B12"/>
    <w:rsid w:val="001E5BE6"/>
    <w:rsid w:val="001E5C8A"/>
    <w:rsid w:val="001E5EEF"/>
    <w:rsid w:val="001E5F33"/>
    <w:rsid w:val="001E61D2"/>
    <w:rsid w:val="001E740C"/>
    <w:rsid w:val="001E7A52"/>
    <w:rsid w:val="001F00A8"/>
    <w:rsid w:val="001F03CE"/>
    <w:rsid w:val="001F07DA"/>
    <w:rsid w:val="001F0CC5"/>
    <w:rsid w:val="001F1235"/>
    <w:rsid w:val="001F1C86"/>
    <w:rsid w:val="001F1CB3"/>
    <w:rsid w:val="001F2184"/>
    <w:rsid w:val="001F2312"/>
    <w:rsid w:val="001F2353"/>
    <w:rsid w:val="001F239F"/>
    <w:rsid w:val="001F2408"/>
    <w:rsid w:val="001F270D"/>
    <w:rsid w:val="001F2C62"/>
    <w:rsid w:val="001F2ED1"/>
    <w:rsid w:val="001F313E"/>
    <w:rsid w:val="001F38B5"/>
    <w:rsid w:val="001F4081"/>
    <w:rsid w:val="001F40DA"/>
    <w:rsid w:val="001F40F8"/>
    <w:rsid w:val="001F4266"/>
    <w:rsid w:val="001F4ABE"/>
    <w:rsid w:val="001F5141"/>
    <w:rsid w:val="001F534E"/>
    <w:rsid w:val="001F5808"/>
    <w:rsid w:val="001F58C1"/>
    <w:rsid w:val="001F6599"/>
    <w:rsid w:val="001F65F2"/>
    <w:rsid w:val="001F67B6"/>
    <w:rsid w:val="001F6BD3"/>
    <w:rsid w:val="001F7224"/>
    <w:rsid w:val="001F7361"/>
    <w:rsid w:val="001F7891"/>
    <w:rsid w:val="001F79A2"/>
    <w:rsid w:val="00200071"/>
    <w:rsid w:val="00200E00"/>
    <w:rsid w:val="002011B0"/>
    <w:rsid w:val="00201B5D"/>
    <w:rsid w:val="0020206B"/>
    <w:rsid w:val="002023A6"/>
    <w:rsid w:val="00202743"/>
    <w:rsid w:val="00202763"/>
    <w:rsid w:val="00202F00"/>
    <w:rsid w:val="00203181"/>
    <w:rsid w:val="002035EC"/>
    <w:rsid w:val="00203783"/>
    <w:rsid w:val="002037B5"/>
    <w:rsid w:val="0020382B"/>
    <w:rsid w:val="0020385F"/>
    <w:rsid w:val="0020479F"/>
    <w:rsid w:val="002049C0"/>
    <w:rsid w:val="00204C28"/>
    <w:rsid w:val="00205648"/>
    <w:rsid w:val="00205C81"/>
    <w:rsid w:val="00206386"/>
    <w:rsid w:val="00206453"/>
    <w:rsid w:val="002068A0"/>
    <w:rsid w:val="002068E4"/>
    <w:rsid w:val="00206C37"/>
    <w:rsid w:val="0020700B"/>
    <w:rsid w:val="00207021"/>
    <w:rsid w:val="0020732F"/>
    <w:rsid w:val="00207374"/>
    <w:rsid w:val="00207D00"/>
    <w:rsid w:val="00207E02"/>
    <w:rsid w:val="00210071"/>
    <w:rsid w:val="002104BF"/>
    <w:rsid w:val="002105C1"/>
    <w:rsid w:val="00210DEA"/>
    <w:rsid w:val="0021127C"/>
    <w:rsid w:val="002116FD"/>
    <w:rsid w:val="00212491"/>
    <w:rsid w:val="002124F3"/>
    <w:rsid w:val="002127CF"/>
    <w:rsid w:val="00212E0F"/>
    <w:rsid w:val="00212FFB"/>
    <w:rsid w:val="00213058"/>
    <w:rsid w:val="00213067"/>
    <w:rsid w:val="00213408"/>
    <w:rsid w:val="00213EF5"/>
    <w:rsid w:val="00214B1F"/>
    <w:rsid w:val="00214E75"/>
    <w:rsid w:val="0021541F"/>
    <w:rsid w:val="002156C1"/>
    <w:rsid w:val="00216046"/>
    <w:rsid w:val="00216AEA"/>
    <w:rsid w:val="00216AF5"/>
    <w:rsid w:val="00216BF5"/>
    <w:rsid w:val="00216DAB"/>
    <w:rsid w:val="00217B53"/>
    <w:rsid w:val="00217E7E"/>
    <w:rsid w:val="00220BFE"/>
    <w:rsid w:val="00221941"/>
    <w:rsid w:val="00221D6A"/>
    <w:rsid w:val="00221F4E"/>
    <w:rsid w:val="00222BC7"/>
    <w:rsid w:val="002230BD"/>
    <w:rsid w:val="002231AF"/>
    <w:rsid w:val="00223686"/>
    <w:rsid w:val="00223697"/>
    <w:rsid w:val="002239E7"/>
    <w:rsid w:val="00223B49"/>
    <w:rsid w:val="00223D5A"/>
    <w:rsid w:val="00224383"/>
    <w:rsid w:val="00224DD4"/>
    <w:rsid w:val="00225780"/>
    <w:rsid w:val="0022637A"/>
    <w:rsid w:val="0022667B"/>
    <w:rsid w:val="002269DA"/>
    <w:rsid w:val="00226C0C"/>
    <w:rsid w:val="0022713D"/>
    <w:rsid w:val="002277A6"/>
    <w:rsid w:val="00227806"/>
    <w:rsid w:val="002278A0"/>
    <w:rsid w:val="00227EC9"/>
    <w:rsid w:val="002301ED"/>
    <w:rsid w:val="002309CC"/>
    <w:rsid w:val="00230A0F"/>
    <w:rsid w:val="00231A5A"/>
    <w:rsid w:val="00231BA9"/>
    <w:rsid w:val="00231D11"/>
    <w:rsid w:val="0023209F"/>
    <w:rsid w:val="002321C8"/>
    <w:rsid w:val="00232329"/>
    <w:rsid w:val="002327F4"/>
    <w:rsid w:val="00232918"/>
    <w:rsid w:val="00233B74"/>
    <w:rsid w:val="00233C01"/>
    <w:rsid w:val="0023413C"/>
    <w:rsid w:val="00234397"/>
    <w:rsid w:val="00234637"/>
    <w:rsid w:val="002346F0"/>
    <w:rsid w:val="002347DC"/>
    <w:rsid w:val="002349D6"/>
    <w:rsid w:val="002350DC"/>
    <w:rsid w:val="0023548F"/>
    <w:rsid w:val="002355FD"/>
    <w:rsid w:val="0023573A"/>
    <w:rsid w:val="00235CEF"/>
    <w:rsid w:val="00235E68"/>
    <w:rsid w:val="00235F53"/>
    <w:rsid w:val="0023600F"/>
    <w:rsid w:val="0023629D"/>
    <w:rsid w:val="00236664"/>
    <w:rsid w:val="00236770"/>
    <w:rsid w:val="002367FF"/>
    <w:rsid w:val="00237255"/>
    <w:rsid w:val="0023753A"/>
    <w:rsid w:val="00237549"/>
    <w:rsid w:val="00237677"/>
    <w:rsid w:val="002377F8"/>
    <w:rsid w:val="00237AB3"/>
    <w:rsid w:val="00237DC6"/>
    <w:rsid w:val="00237F96"/>
    <w:rsid w:val="00240EFA"/>
    <w:rsid w:val="00241492"/>
    <w:rsid w:val="00241B0C"/>
    <w:rsid w:val="00241B52"/>
    <w:rsid w:val="0024235A"/>
    <w:rsid w:val="002424AF"/>
    <w:rsid w:val="00242534"/>
    <w:rsid w:val="00242B5A"/>
    <w:rsid w:val="00242EDC"/>
    <w:rsid w:val="00242FB5"/>
    <w:rsid w:val="002437A9"/>
    <w:rsid w:val="002439DC"/>
    <w:rsid w:val="00243BE0"/>
    <w:rsid w:val="00243CBB"/>
    <w:rsid w:val="00243F29"/>
    <w:rsid w:val="00243F79"/>
    <w:rsid w:val="00244016"/>
    <w:rsid w:val="002440A0"/>
    <w:rsid w:val="002440EE"/>
    <w:rsid w:val="002441D2"/>
    <w:rsid w:val="002442B2"/>
    <w:rsid w:val="0024440E"/>
    <w:rsid w:val="0024450E"/>
    <w:rsid w:val="00244C92"/>
    <w:rsid w:val="00244DC8"/>
    <w:rsid w:val="00245286"/>
    <w:rsid w:val="002453E2"/>
    <w:rsid w:val="00245779"/>
    <w:rsid w:val="002458BA"/>
    <w:rsid w:val="00245AFF"/>
    <w:rsid w:val="00245CBC"/>
    <w:rsid w:val="00245CE9"/>
    <w:rsid w:val="00245F1D"/>
    <w:rsid w:val="0024636C"/>
    <w:rsid w:val="00246772"/>
    <w:rsid w:val="00246A65"/>
    <w:rsid w:val="0024787B"/>
    <w:rsid w:val="002478CF"/>
    <w:rsid w:val="00247925"/>
    <w:rsid w:val="00247B03"/>
    <w:rsid w:val="00247FDE"/>
    <w:rsid w:val="002500FA"/>
    <w:rsid w:val="00250BAB"/>
    <w:rsid w:val="00251006"/>
    <w:rsid w:val="00251D92"/>
    <w:rsid w:val="00251E63"/>
    <w:rsid w:val="002524D5"/>
    <w:rsid w:val="002526E4"/>
    <w:rsid w:val="00252FD0"/>
    <w:rsid w:val="002535D6"/>
    <w:rsid w:val="00253943"/>
    <w:rsid w:val="00253B1D"/>
    <w:rsid w:val="00253B2C"/>
    <w:rsid w:val="00254281"/>
    <w:rsid w:val="00254876"/>
    <w:rsid w:val="00254A66"/>
    <w:rsid w:val="00254C38"/>
    <w:rsid w:val="00254CC7"/>
    <w:rsid w:val="00254DCF"/>
    <w:rsid w:val="00255291"/>
    <w:rsid w:val="002552BD"/>
    <w:rsid w:val="0025534B"/>
    <w:rsid w:val="0025564A"/>
    <w:rsid w:val="00255B6F"/>
    <w:rsid w:val="00255BB7"/>
    <w:rsid w:val="0025612B"/>
    <w:rsid w:val="002564DB"/>
    <w:rsid w:val="00256909"/>
    <w:rsid w:val="00256D7B"/>
    <w:rsid w:val="00256F2D"/>
    <w:rsid w:val="00257541"/>
    <w:rsid w:val="00257A39"/>
    <w:rsid w:val="00257AC4"/>
    <w:rsid w:val="00257BBE"/>
    <w:rsid w:val="00257DD2"/>
    <w:rsid w:val="002606CB"/>
    <w:rsid w:val="002607CE"/>
    <w:rsid w:val="00260BF6"/>
    <w:rsid w:val="00261EEF"/>
    <w:rsid w:val="00261F5F"/>
    <w:rsid w:val="0026203E"/>
    <w:rsid w:val="0026239C"/>
    <w:rsid w:val="002624B3"/>
    <w:rsid w:val="00262600"/>
    <w:rsid w:val="00262616"/>
    <w:rsid w:val="0026292F"/>
    <w:rsid w:val="00262A1A"/>
    <w:rsid w:val="00262A87"/>
    <w:rsid w:val="002637AB"/>
    <w:rsid w:val="002639C0"/>
    <w:rsid w:val="0026437C"/>
    <w:rsid w:val="00264CC2"/>
    <w:rsid w:val="00264D26"/>
    <w:rsid w:val="00264DF2"/>
    <w:rsid w:val="00264FD5"/>
    <w:rsid w:val="0026515C"/>
    <w:rsid w:val="00265EEC"/>
    <w:rsid w:val="00266066"/>
    <w:rsid w:val="0026646C"/>
    <w:rsid w:val="00266575"/>
    <w:rsid w:val="00266601"/>
    <w:rsid w:val="002666CB"/>
    <w:rsid w:val="002667A5"/>
    <w:rsid w:val="00266EE5"/>
    <w:rsid w:val="00266FCA"/>
    <w:rsid w:val="00267012"/>
    <w:rsid w:val="00267642"/>
    <w:rsid w:val="002676BD"/>
    <w:rsid w:val="00267AEA"/>
    <w:rsid w:val="00270026"/>
    <w:rsid w:val="002700E6"/>
    <w:rsid w:val="00270395"/>
    <w:rsid w:val="0027050F"/>
    <w:rsid w:val="00270D88"/>
    <w:rsid w:val="00271812"/>
    <w:rsid w:val="00271840"/>
    <w:rsid w:val="00271889"/>
    <w:rsid w:val="00271916"/>
    <w:rsid w:val="00271B18"/>
    <w:rsid w:val="00271C5A"/>
    <w:rsid w:val="00271E37"/>
    <w:rsid w:val="0027220B"/>
    <w:rsid w:val="00272391"/>
    <w:rsid w:val="0027294B"/>
    <w:rsid w:val="0027297E"/>
    <w:rsid w:val="0027299F"/>
    <w:rsid w:val="00272BA4"/>
    <w:rsid w:val="00272C49"/>
    <w:rsid w:val="00272EBC"/>
    <w:rsid w:val="002732F2"/>
    <w:rsid w:val="00273628"/>
    <w:rsid w:val="00273E4E"/>
    <w:rsid w:val="00273EB4"/>
    <w:rsid w:val="00273EE9"/>
    <w:rsid w:val="002741E9"/>
    <w:rsid w:val="002741F2"/>
    <w:rsid w:val="00274682"/>
    <w:rsid w:val="00274759"/>
    <w:rsid w:val="00274EF9"/>
    <w:rsid w:val="00275158"/>
    <w:rsid w:val="002754B4"/>
    <w:rsid w:val="00275730"/>
    <w:rsid w:val="00275AD5"/>
    <w:rsid w:val="00275C11"/>
    <w:rsid w:val="00275C5A"/>
    <w:rsid w:val="00275FC8"/>
    <w:rsid w:val="0027611B"/>
    <w:rsid w:val="0027658B"/>
    <w:rsid w:val="002769FA"/>
    <w:rsid w:val="0027737B"/>
    <w:rsid w:val="00277671"/>
    <w:rsid w:val="002778CA"/>
    <w:rsid w:val="00277F37"/>
    <w:rsid w:val="0028006A"/>
    <w:rsid w:val="002803EA"/>
    <w:rsid w:val="0028042F"/>
    <w:rsid w:val="00280C9C"/>
    <w:rsid w:val="00280F9C"/>
    <w:rsid w:val="00281014"/>
    <w:rsid w:val="002816E6"/>
    <w:rsid w:val="002817CA"/>
    <w:rsid w:val="00282297"/>
    <w:rsid w:val="0028229E"/>
    <w:rsid w:val="00282340"/>
    <w:rsid w:val="00282407"/>
    <w:rsid w:val="0028243A"/>
    <w:rsid w:val="002828ED"/>
    <w:rsid w:val="00282916"/>
    <w:rsid w:val="002829C0"/>
    <w:rsid w:val="00282B93"/>
    <w:rsid w:val="00282DBC"/>
    <w:rsid w:val="00282E7D"/>
    <w:rsid w:val="002832FE"/>
    <w:rsid w:val="00283B57"/>
    <w:rsid w:val="0028421E"/>
    <w:rsid w:val="00284410"/>
    <w:rsid w:val="0028494A"/>
    <w:rsid w:val="00285231"/>
    <w:rsid w:val="0028542D"/>
    <w:rsid w:val="0028569D"/>
    <w:rsid w:val="00285BCE"/>
    <w:rsid w:val="00285ED3"/>
    <w:rsid w:val="00286299"/>
    <w:rsid w:val="0028665D"/>
    <w:rsid w:val="0028667E"/>
    <w:rsid w:val="002868C7"/>
    <w:rsid w:val="00287437"/>
    <w:rsid w:val="00287C6A"/>
    <w:rsid w:val="00287DD3"/>
    <w:rsid w:val="002900D8"/>
    <w:rsid w:val="002904B1"/>
    <w:rsid w:val="002905F3"/>
    <w:rsid w:val="002907A5"/>
    <w:rsid w:val="0029088A"/>
    <w:rsid w:val="002908A2"/>
    <w:rsid w:val="00290947"/>
    <w:rsid w:val="00290ACC"/>
    <w:rsid w:val="00290E09"/>
    <w:rsid w:val="0029147B"/>
    <w:rsid w:val="0029152D"/>
    <w:rsid w:val="002917E6"/>
    <w:rsid w:val="00291B56"/>
    <w:rsid w:val="00291F17"/>
    <w:rsid w:val="0029274E"/>
    <w:rsid w:val="0029280D"/>
    <w:rsid w:val="00292F2D"/>
    <w:rsid w:val="00292F42"/>
    <w:rsid w:val="002933AF"/>
    <w:rsid w:val="00293592"/>
    <w:rsid w:val="002938F6"/>
    <w:rsid w:val="00293951"/>
    <w:rsid w:val="00293E2C"/>
    <w:rsid w:val="00293EFC"/>
    <w:rsid w:val="00294E9E"/>
    <w:rsid w:val="00295590"/>
    <w:rsid w:val="0029583B"/>
    <w:rsid w:val="00295B7A"/>
    <w:rsid w:val="00295EA1"/>
    <w:rsid w:val="00296001"/>
    <w:rsid w:val="0029626C"/>
    <w:rsid w:val="002963C8"/>
    <w:rsid w:val="00296777"/>
    <w:rsid w:val="0029678A"/>
    <w:rsid w:val="00296972"/>
    <w:rsid w:val="002974DF"/>
    <w:rsid w:val="002978E7"/>
    <w:rsid w:val="00297A2E"/>
    <w:rsid w:val="00297ABC"/>
    <w:rsid w:val="00297BD0"/>
    <w:rsid w:val="002A019D"/>
    <w:rsid w:val="002A121C"/>
    <w:rsid w:val="002A14AB"/>
    <w:rsid w:val="002A172D"/>
    <w:rsid w:val="002A1AD7"/>
    <w:rsid w:val="002A1B8F"/>
    <w:rsid w:val="002A22FD"/>
    <w:rsid w:val="002A2ADE"/>
    <w:rsid w:val="002A2BF5"/>
    <w:rsid w:val="002A2F50"/>
    <w:rsid w:val="002A322F"/>
    <w:rsid w:val="002A3544"/>
    <w:rsid w:val="002A3F57"/>
    <w:rsid w:val="002A419C"/>
    <w:rsid w:val="002A449D"/>
    <w:rsid w:val="002A46E4"/>
    <w:rsid w:val="002A477F"/>
    <w:rsid w:val="002A4947"/>
    <w:rsid w:val="002A4F50"/>
    <w:rsid w:val="002A4FB8"/>
    <w:rsid w:val="002A55D1"/>
    <w:rsid w:val="002A5DA7"/>
    <w:rsid w:val="002A6573"/>
    <w:rsid w:val="002A6A04"/>
    <w:rsid w:val="002A6AA7"/>
    <w:rsid w:val="002A738D"/>
    <w:rsid w:val="002A7699"/>
    <w:rsid w:val="002A7760"/>
    <w:rsid w:val="002A7943"/>
    <w:rsid w:val="002A7B72"/>
    <w:rsid w:val="002B0143"/>
    <w:rsid w:val="002B05A1"/>
    <w:rsid w:val="002B05DD"/>
    <w:rsid w:val="002B0925"/>
    <w:rsid w:val="002B09A4"/>
    <w:rsid w:val="002B0C61"/>
    <w:rsid w:val="002B0CA8"/>
    <w:rsid w:val="002B0EDF"/>
    <w:rsid w:val="002B149E"/>
    <w:rsid w:val="002B15F0"/>
    <w:rsid w:val="002B192B"/>
    <w:rsid w:val="002B1A83"/>
    <w:rsid w:val="002B1A84"/>
    <w:rsid w:val="002B1C1F"/>
    <w:rsid w:val="002B2032"/>
    <w:rsid w:val="002B23C2"/>
    <w:rsid w:val="002B25C0"/>
    <w:rsid w:val="002B31D7"/>
    <w:rsid w:val="002B366C"/>
    <w:rsid w:val="002B36AA"/>
    <w:rsid w:val="002B3E81"/>
    <w:rsid w:val="002B432F"/>
    <w:rsid w:val="002B4538"/>
    <w:rsid w:val="002B4FAA"/>
    <w:rsid w:val="002B541F"/>
    <w:rsid w:val="002B54B1"/>
    <w:rsid w:val="002B569D"/>
    <w:rsid w:val="002B599F"/>
    <w:rsid w:val="002B5B4F"/>
    <w:rsid w:val="002B5E13"/>
    <w:rsid w:val="002B5FD3"/>
    <w:rsid w:val="002B62B3"/>
    <w:rsid w:val="002B651E"/>
    <w:rsid w:val="002B6754"/>
    <w:rsid w:val="002B6CCE"/>
    <w:rsid w:val="002B6E1D"/>
    <w:rsid w:val="002B6E6C"/>
    <w:rsid w:val="002B7340"/>
    <w:rsid w:val="002B76B7"/>
    <w:rsid w:val="002B76CD"/>
    <w:rsid w:val="002B79E2"/>
    <w:rsid w:val="002B7B0E"/>
    <w:rsid w:val="002B7DDC"/>
    <w:rsid w:val="002C0146"/>
    <w:rsid w:val="002C02FE"/>
    <w:rsid w:val="002C0424"/>
    <w:rsid w:val="002C0BE2"/>
    <w:rsid w:val="002C0DFA"/>
    <w:rsid w:val="002C14DC"/>
    <w:rsid w:val="002C17DB"/>
    <w:rsid w:val="002C19A2"/>
    <w:rsid w:val="002C20EF"/>
    <w:rsid w:val="002C2116"/>
    <w:rsid w:val="002C2366"/>
    <w:rsid w:val="002C2411"/>
    <w:rsid w:val="002C24CD"/>
    <w:rsid w:val="002C2510"/>
    <w:rsid w:val="002C2775"/>
    <w:rsid w:val="002C27C1"/>
    <w:rsid w:val="002C2995"/>
    <w:rsid w:val="002C29A6"/>
    <w:rsid w:val="002C2A01"/>
    <w:rsid w:val="002C2C9E"/>
    <w:rsid w:val="002C2DF9"/>
    <w:rsid w:val="002C3319"/>
    <w:rsid w:val="002C33B7"/>
    <w:rsid w:val="002C36E3"/>
    <w:rsid w:val="002C3DED"/>
    <w:rsid w:val="002C3F62"/>
    <w:rsid w:val="002C3FA1"/>
    <w:rsid w:val="002C477F"/>
    <w:rsid w:val="002C4ACB"/>
    <w:rsid w:val="002C4D6F"/>
    <w:rsid w:val="002C4DC2"/>
    <w:rsid w:val="002C4DC5"/>
    <w:rsid w:val="002C5099"/>
    <w:rsid w:val="002C5101"/>
    <w:rsid w:val="002C5889"/>
    <w:rsid w:val="002C5BAE"/>
    <w:rsid w:val="002C5D0B"/>
    <w:rsid w:val="002C5DFA"/>
    <w:rsid w:val="002C5F90"/>
    <w:rsid w:val="002C6567"/>
    <w:rsid w:val="002C710F"/>
    <w:rsid w:val="002C71CE"/>
    <w:rsid w:val="002C7547"/>
    <w:rsid w:val="002C7765"/>
    <w:rsid w:val="002C7C94"/>
    <w:rsid w:val="002C7FC4"/>
    <w:rsid w:val="002D0162"/>
    <w:rsid w:val="002D029D"/>
    <w:rsid w:val="002D03BF"/>
    <w:rsid w:val="002D074C"/>
    <w:rsid w:val="002D08F8"/>
    <w:rsid w:val="002D0B7D"/>
    <w:rsid w:val="002D11F1"/>
    <w:rsid w:val="002D17CF"/>
    <w:rsid w:val="002D2071"/>
    <w:rsid w:val="002D214E"/>
    <w:rsid w:val="002D3365"/>
    <w:rsid w:val="002D34AA"/>
    <w:rsid w:val="002D372B"/>
    <w:rsid w:val="002D38CD"/>
    <w:rsid w:val="002D4B2A"/>
    <w:rsid w:val="002D4E7B"/>
    <w:rsid w:val="002D51BE"/>
    <w:rsid w:val="002D5400"/>
    <w:rsid w:val="002D5495"/>
    <w:rsid w:val="002D550F"/>
    <w:rsid w:val="002D577C"/>
    <w:rsid w:val="002D5962"/>
    <w:rsid w:val="002D6156"/>
    <w:rsid w:val="002D63DF"/>
    <w:rsid w:val="002D6838"/>
    <w:rsid w:val="002D6DE2"/>
    <w:rsid w:val="002D6E26"/>
    <w:rsid w:val="002D6F9B"/>
    <w:rsid w:val="002D76F9"/>
    <w:rsid w:val="002D7832"/>
    <w:rsid w:val="002D78EC"/>
    <w:rsid w:val="002D7935"/>
    <w:rsid w:val="002D7C9F"/>
    <w:rsid w:val="002E07D4"/>
    <w:rsid w:val="002E1071"/>
    <w:rsid w:val="002E11D9"/>
    <w:rsid w:val="002E124A"/>
    <w:rsid w:val="002E12DE"/>
    <w:rsid w:val="002E15B9"/>
    <w:rsid w:val="002E164B"/>
    <w:rsid w:val="002E17FE"/>
    <w:rsid w:val="002E2158"/>
    <w:rsid w:val="002E2180"/>
    <w:rsid w:val="002E21BE"/>
    <w:rsid w:val="002E24F1"/>
    <w:rsid w:val="002E276E"/>
    <w:rsid w:val="002E2DA9"/>
    <w:rsid w:val="002E30F2"/>
    <w:rsid w:val="002E31F9"/>
    <w:rsid w:val="002E346E"/>
    <w:rsid w:val="002E44B4"/>
    <w:rsid w:val="002E4C5C"/>
    <w:rsid w:val="002E4F02"/>
    <w:rsid w:val="002E4FA6"/>
    <w:rsid w:val="002E50A5"/>
    <w:rsid w:val="002E51A5"/>
    <w:rsid w:val="002E566B"/>
    <w:rsid w:val="002E5B21"/>
    <w:rsid w:val="002E5B48"/>
    <w:rsid w:val="002E5EF0"/>
    <w:rsid w:val="002E6324"/>
    <w:rsid w:val="002E6CCA"/>
    <w:rsid w:val="002E7722"/>
    <w:rsid w:val="002E7EDC"/>
    <w:rsid w:val="002E7F7E"/>
    <w:rsid w:val="002F063F"/>
    <w:rsid w:val="002F07BA"/>
    <w:rsid w:val="002F0954"/>
    <w:rsid w:val="002F0D58"/>
    <w:rsid w:val="002F0DA9"/>
    <w:rsid w:val="002F1014"/>
    <w:rsid w:val="002F18AD"/>
    <w:rsid w:val="002F1E3B"/>
    <w:rsid w:val="002F285C"/>
    <w:rsid w:val="002F28F9"/>
    <w:rsid w:val="002F29C1"/>
    <w:rsid w:val="002F2C0C"/>
    <w:rsid w:val="002F2D93"/>
    <w:rsid w:val="002F319F"/>
    <w:rsid w:val="002F3223"/>
    <w:rsid w:val="002F3952"/>
    <w:rsid w:val="002F3CF1"/>
    <w:rsid w:val="002F4259"/>
    <w:rsid w:val="002F42C9"/>
    <w:rsid w:val="002F45BB"/>
    <w:rsid w:val="002F4AE7"/>
    <w:rsid w:val="002F4AF6"/>
    <w:rsid w:val="002F4E16"/>
    <w:rsid w:val="002F4EC5"/>
    <w:rsid w:val="002F53C4"/>
    <w:rsid w:val="002F5604"/>
    <w:rsid w:val="002F5C1B"/>
    <w:rsid w:val="002F5D23"/>
    <w:rsid w:val="002F6146"/>
    <w:rsid w:val="002F6404"/>
    <w:rsid w:val="002F643C"/>
    <w:rsid w:val="002F6684"/>
    <w:rsid w:val="002F6D1C"/>
    <w:rsid w:val="002F71C0"/>
    <w:rsid w:val="002F71E5"/>
    <w:rsid w:val="002F74F1"/>
    <w:rsid w:val="002F7D0D"/>
    <w:rsid w:val="00300092"/>
    <w:rsid w:val="00300C53"/>
    <w:rsid w:val="00300D6E"/>
    <w:rsid w:val="00300E7A"/>
    <w:rsid w:val="00301017"/>
    <w:rsid w:val="00301054"/>
    <w:rsid w:val="00301405"/>
    <w:rsid w:val="0030155F"/>
    <w:rsid w:val="0030173C"/>
    <w:rsid w:val="0030189C"/>
    <w:rsid w:val="00301A89"/>
    <w:rsid w:val="0030216B"/>
    <w:rsid w:val="00302459"/>
    <w:rsid w:val="00302866"/>
    <w:rsid w:val="00302AD3"/>
    <w:rsid w:val="0030318A"/>
    <w:rsid w:val="00303273"/>
    <w:rsid w:val="00303441"/>
    <w:rsid w:val="0030364C"/>
    <w:rsid w:val="0030374A"/>
    <w:rsid w:val="00303B7B"/>
    <w:rsid w:val="00303D03"/>
    <w:rsid w:val="00303DE9"/>
    <w:rsid w:val="00304175"/>
    <w:rsid w:val="003041E4"/>
    <w:rsid w:val="003042A6"/>
    <w:rsid w:val="0030486C"/>
    <w:rsid w:val="00304A03"/>
    <w:rsid w:val="00304A52"/>
    <w:rsid w:val="0030513C"/>
    <w:rsid w:val="0030516B"/>
    <w:rsid w:val="00305789"/>
    <w:rsid w:val="0030587B"/>
    <w:rsid w:val="003068DF"/>
    <w:rsid w:val="00306D98"/>
    <w:rsid w:val="0030734F"/>
    <w:rsid w:val="00307384"/>
    <w:rsid w:val="0030786C"/>
    <w:rsid w:val="00310064"/>
    <w:rsid w:val="0031031A"/>
    <w:rsid w:val="00310981"/>
    <w:rsid w:val="00310ACA"/>
    <w:rsid w:val="003114CF"/>
    <w:rsid w:val="0031163F"/>
    <w:rsid w:val="00311819"/>
    <w:rsid w:val="00311B2F"/>
    <w:rsid w:val="00311D9B"/>
    <w:rsid w:val="00311F82"/>
    <w:rsid w:val="0031217F"/>
    <w:rsid w:val="003124D9"/>
    <w:rsid w:val="00312594"/>
    <w:rsid w:val="00312888"/>
    <w:rsid w:val="003130CA"/>
    <w:rsid w:val="0031311C"/>
    <w:rsid w:val="0031372D"/>
    <w:rsid w:val="0031373F"/>
    <w:rsid w:val="003146C7"/>
    <w:rsid w:val="003149B5"/>
    <w:rsid w:val="00314A00"/>
    <w:rsid w:val="00314A0D"/>
    <w:rsid w:val="00314E55"/>
    <w:rsid w:val="00314F61"/>
    <w:rsid w:val="003150B8"/>
    <w:rsid w:val="00315365"/>
    <w:rsid w:val="00315498"/>
    <w:rsid w:val="003159D1"/>
    <w:rsid w:val="00315B4D"/>
    <w:rsid w:val="00316474"/>
    <w:rsid w:val="003167D1"/>
    <w:rsid w:val="003168D2"/>
    <w:rsid w:val="00316C18"/>
    <w:rsid w:val="00316D41"/>
    <w:rsid w:val="00317296"/>
    <w:rsid w:val="00317879"/>
    <w:rsid w:val="00317ACB"/>
    <w:rsid w:val="00320024"/>
    <w:rsid w:val="00320105"/>
    <w:rsid w:val="003202C9"/>
    <w:rsid w:val="00320438"/>
    <w:rsid w:val="0032045F"/>
    <w:rsid w:val="003205D7"/>
    <w:rsid w:val="0032066A"/>
    <w:rsid w:val="00320BE4"/>
    <w:rsid w:val="00320D2B"/>
    <w:rsid w:val="003211D8"/>
    <w:rsid w:val="00321353"/>
    <w:rsid w:val="00321DC0"/>
    <w:rsid w:val="00321EF8"/>
    <w:rsid w:val="00322107"/>
    <w:rsid w:val="003222BE"/>
    <w:rsid w:val="00322355"/>
    <w:rsid w:val="003226A2"/>
    <w:rsid w:val="003226B4"/>
    <w:rsid w:val="00322846"/>
    <w:rsid w:val="00322C21"/>
    <w:rsid w:val="00322C58"/>
    <w:rsid w:val="00322F2B"/>
    <w:rsid w:val="003232B9"/>
    <w:rsid w:val="003239A8"/>
    <w:rsid w:val="00324199"/>
    <w:rsid w:val="00324CCD"/>
    <w:rsid w:val="00324D38"/>
    <w:rsid w:val="00325F9F"/>
    <w:rsid w:val="00326510"/>
    <w:rsid w:val="00326DA7"/>
    <w:rsid w:val="003270E4"/>
    <w:rsid w:val="00327165"/>
    <w:rsid w:val="003272E8"/>
    <w:rsid w:val="00330013"/>
    <w:rsid w:val="00330514"/>
    <w:rsid w:val="003307B5"/>
    <w:rsid w:val="0033092F"/>
    <w:rsid w:val="003309B3"/>
    <w:rsid w:val="00330C95"/>
    <w:rsid w:val="00330DAA"/>
    <w:rsid w:val="00330F5C"/>
    <w:rsid w:val="00331018"/>
    <w:rsid w:val="003310CD"/>
    <w:rsid w:val="00331121"/>
    <w:rsid w:val="003311ED"/>
    <w:rsid w:val="0033141F"/>
    <w:rsid w:val="00331AEC"/>
    <w:rsid w:val="00331B7B"/>
    <w:rsid w:val="00331EAF"/>
    <w:rsid w:val="00332159"/>
    <w:rsid w:val="0033258E"/>
    <w:rsid w:val="0033292A"/>
    <w:rsid w:val="00332A5D"/>
    <w:rsid w:val="00332CD2"/>
    <w:rsid w:val="00332E4D"/>
    <w:rsid w:val="0033310A"/>
    <w:rsid w:val="00333A77"/>
    <w:rsid w:val="0033449E"/>
    <w:rsid w:val="00335FFF"/>
    <w:rsid w:val="003366C9"/>
    <w:rsid w:val="00336E1B"/>
    <w:rsid w:val="003371B0"/>
    <w:rsid w:val="00337399"/>
    <w:rsid w:val="00337553"/>
    <w:rsid w:val="003375B3"/>
    <w:rsid w:val="00337BD3"/>
    <w:rsid w:val="0034009F"/>
    <w:rsid w:val="003404AD"/>
    <w:rsid w:val="00340DF1"/>
    <w:rsid w:val="003413C2"/>
    <w:rsid w:val="003413FE"/>
    <w:rsid w:val="00341869"/>
    <w:rsid w:val="003418B6"/>
    <w:rsid w:val="00341AB0"/>
    <w:rsid w:val="00341B08"/>
    <w:rsid w:val="00342235"/>
    <w:rsid w:val="00342696"/>
    <w:rsid w:val="00342708"/>
    <w:rsid w:val="003427FC"/>
    <w:rsid w:val="003435D7"/>
    <w:rsid w:val="00343DC6"/>
    <w:rsid w:val="00343E80"/>
    <w:rsid w:val="00343E87"/>
    <w:rsid w:val="00343F7E"/>
    <w:rsid w:val="00344104"/>
    <w:rsid w:val="00344168"/>
    <w:rsid w:val="0034444A"/>
    <w:rsid w:val="00344787"/>
    <w:rsid w:val="00344A09"/>
    <w:rsid w:val="00344A4E"/>
    <w:rsid w:val="00344B86"/>
    <w:rsid w:val="00344E2B"/>
    <w:rsid w:val="003450A4"/>
    <w:rsid w:val="00345246"/>
    <w:rsid w:val="003453E2"/>
    <w:rsid w:val="0034548F"/>
    <w:rsid w:val="00345511"/>
    <w:rsid w:val="00345EB2"/>
    <w:rsid w:val="00346241"/>
    <w:rsid w:val="003464A9"/>
    <w:rsid w:val="00346F05"/>
    <w:rsid w:val="00347055"/>
    <w:rsid w:val="003473DA"/>
    <w:rsid w:val="00347481"/>
    <w:rsid w:val="00347C7D"/>
    <w:rsid w:val="00347ECB"/>
    <w:rsid w:val="00350159"/>
    <w:rsid w:val="003504C2"/>
    <w:rsid w:val="003504FD"/>
    <w:rsid w:val="00350509"/>
    <w:rsid w:val="00350CF2"/>
    <w:rsid w:val="003516A2"/>
    <w:rsid w:val="003517F9"/>
    <w:rsid w:val="00351BA9"/>
    <w:rsid w:val="00352A03"/>
    <w:rsid w:val="00352A15"/>
    <w:rsid w:val="00353064"/>
    <w:rsid w:val="003530E6"/>
    <w:rsid w:val="0035313B"/>
    <w:rsid w:val="00353250"/>
    <w:rsid w:val="003539B3"/>
    <w:rsid w:val="00353B4E"/>
    <w:rsid w:val="00354568"/>
    <w:rsid w:val="00354E48"/>
    <w:rsid w:val="00354F64"/>
    <w:rsid w:val="00355561"/>
    <w:rsid w:val="003555CD"/>
    <w:rsid w:val="00355757"/>
    <w:rsid w:val="003557EB"/>
    <w:rsid w:val="00355AE1"/>
    <w:rsid w:val="0035620E"/>
    <w:rsid w:val="003564D3"/>
    <w:rsid w:val="00356583"/>
    <w:rsid w:val="00356E37"/>
    <w:rsid w:val="003570C2"/>
    <w:rsid w:val="003573F3"/>
    <w:rsid w:val="003575BE"/>
    <w:rsid w:val="003578A5"/>
    <w:rsid w:val="00357D38"/>
    <w:rsid w:val="00360345"/>
    <w:rsid w:val="00360360"/>
    <w:rsid w:val="00360D93"/>
    <w:rsid w:val="00360E04"/>
    <w:rsid w:val="00361129"/>
    <w:rsid w:val="00361621"/>
    <w:rsid w:val="0036181D"/>
    <w:rsid w:val="00361A05"/>
    <w:rsid w:val="00361A6F"/>
    <w:rsid w:val="00361D18"/>
    <w:rsid w:val="00361ECE"/>
    <w:rsid w:val="003624C4"/>
    <w:rsid w:val="0036254B"/>
    <w:rsid w:val="003626DF"/>
    <w:rsid w:val="00362736"/>
    <w:rsid w:val="00362F72"/>
    <w:rsid w:val="003631CA"/>
    <w:rsid w:val="00363B00"/>
    <w:rsid w:val="00363D8E"/>
    <w:rsid w:val="00363FF2"/>
    <w:rsid w:val="003641FF"/>
    <w:rsid w:val="00364384"/>
    <w:rsid w:val="00364DBB"/>
    <w:rsid w:val="00365049"/>
    <w:rsid w:val="0036519D"/>
    <w:rsid w:val="00365250"/>
    <w:rsid w:val="003654AC"/>
    <w:rsid w:val="0036579A"/>
    <w:rsid w:val="00365D95"/>
    <w:rsid w:val="00365E40"/>
    <w:rsid w:val="003660BD"/>
    <w:rsid w:val="003660E2"/>
    <w:rsid w:val="003662E6"/>
    <w:rsid w:val="00366555"/>
    <w:rsid w:val="003665AE"/>
    <w:rsid w:val="00366B10"/>
    <w:rsid w:val="00366BE9"/>
    <w:rsid w:val="00366D24"/>
    <w:rsid w:val="00366FD4"/>
    <w:rsid w:val="0036720D"/>
    <w:rsid w:val="003672A4"/>
    <w:rsid w:val="0036738E"/>
    <w:rsid w:val="003678FD"/>
    <w:rsid w:val="00367A4F"/>
    <w:rsid w:val="00367A73"/>
    <w:rsid w:val="003702AB"/>
    <w:rsid w:val="00370440"/>
    <w:rsid w:val="00370571"/>
    <w:rsid w:val="003708CC"/>
    <w:rsid w:val="003709B8"/>
    <w:rsid w:val="00370DBE"/>
    <w:rsid w:val="00370F0C"/>
    <w:rsid w:val="003710CF"/>
    <w:rsid w:val="00371AA2"/>
    <w:rsid w:val="00371CEA"/>
    <w:rsid w:val="00371DEC"/>
    <w:rsid w:val="00371EE7"/>
    <w:rsid w:val="00372076"/>
    <w:rsid w:val="00372271"/>
    <w:rsid w:val="00373555"/>
    <w:rsid w:val="0037358A"/>
    <w:rsid w:val="0037366B"/>
    <w:rsid w:val="003736AC"/>
    <w:rsid w:val="00373D40"/>
    <w:rsid w:val="00374631"/>
    <w:rsid w:val="00374B24"/>
    <w:rsid w:val="003750F6"/>
    <w:rsid w:val="003751F5"/>
    <w:rsid w:val="003753C0"/>
    <w:rsid w:val="00375F0B"/>
    <w:rsid w:val="003760FC"/>
    <w:rsid w:val="003762ED"/>
    <w:rsid w:val="00376385"/>
    <w:rsid w:val="0037643C"/>
    <w:rsid w:val="003765DE"/>
    <w:rsid w:val="00377B29"/>
    <w:rsid w:val="00377BE7"/>
    <w:rsid w:val="00377CCF"/>
    <w:rsid w:val="003800BC"/>
    <w:rsid w:val="0038028C"/>
    <w:rsid w:val="00380731"/>
    <w:rsid w:val="00380788"/>
    <w:rsid w:val="00380E14"/>
    <w:rsid w:val="00381002"/>
    <w:rsid w:val="0038102F"/>
    <w:rsid w:val="003812CE"/>
    <w:rsid w:val="00381348"/>
    <w:rsid w:val="00381919"/>
    <w:rsid w:val="00381EE5"/>
    <w:rsid w:val="003822F9"/>
    <w:rsid w:val="00382633"/>
    <w:rsid w:val="00382E61"/>
    <w:rsid w:val="0038365C"/>
    <w:rsid w:val="0038369B"/>
    <w:rsid w:val="00383B78"/>
    <w:rsid w:val="003848D3"/>
    <w:rsid w:val="00384C83"/>
    <w:rsid w:val="00384F03"/>
    <w:rsid w:val="003852ED"/>
    <w:rsid w:val="00385A9D"/>
    <w:rsid w:val="003862DF"/>
    <w:rsid w:val="003869FC"/>
    <w:rsid w:val="00386F0F"/>
    <w:rsid w:val="00387121"/>
    <w:rsid w:val="00387217"/>
    <w:rsid w:val="00387829"/>
    <w:rsid w:val="00387984"/>
    <w:rsid w:val="00387B93"/>
    <w:rsid w:val="00390249"/>
    <w:rsid w:val="003902B1"/>
    <w:rsid w:val="003904DE"/>
    <w:rsid w:val="00390E91"/>
    <w:rsid w:val="00391070"/>
    <w:rsid w:val="00391078"/>
    <w:rsid w:val="0039179C"/>
    <w:rsid w:val="00391A81"/>
    <w:rsid w:val="003927AA"/>
    <w:rsid w:val="00392A05"/>
    <w:rsid w:val="00392C4D"/>
    <w:rsid w:val="00392D69"/>
    <w:rsid w:val="00393156"/>
    <w:rsid w:val="0039352A"/>
    <w:rsid w:val="00393B31"/>
    <w:rsid w:val="003942C2"/>
    <w:rsid w:val="00394505"/>
    <w:rsid w:val="003947E3"/>
    <w:rsid w:val="00394835"/>
    <w:rsid w:val="00394C0B"/>
    <w:rsid w:val="003952C0"/>
    <w:rsid w:val="0039563F"/>
    <w:rsid w:val="00395AA9"/>
    <w:rsid w:val="00396836"/>
    <w:rsid w:val="00396896"/>
    <w:rsid w:val="00396908"/>
    <w:rsid w:val="00396DD4"/>
    <w:rsid w:val="00396FD0"/>
    <w:rsid w:val="00397295"/>
    <w:rsid w:val="0039749C"/>
    <w:rsid w:val="00397513"/>
    <w:rsid w:val="003975A9"/>
    <w:rsid w:val="00397652"/>
    <w:rsid w:val="00397946"/>
    <w:rsid w:val="00397A30"/>
    <w:rsid w:val="003A010C"/>
    <w:rsid w:val="003A039E"/>
    <w:rsid w:val="003A0504"/>
    <w:rsid w:val="003A0986"/>
    <w:rsid w:val="003A0A46"/>
    <w:rsid w:val="003A0BB6"/>
    <w:rsid w:val="003A1901"/>
    <w:rsid w:val="003A1A7A"/>
    <w:rsid w:val="003A1B0D"/>
    <w:rsid w:val="003A1B4A"/>
    <w:rsid w:val="003A1C35"/>
    <w:rsid w:val="003A2392"/>
    <w:rsid w:val="003A2658"/>
    <w:rsid w:val="003A2822"/>
    <w:rsid w:val="003A2831"/>
    <w:rsid w:val="003A2AF5"/>
    <w:rsid w:val="003A2AFA"/>
    <w:rsid w:val="003A2C2E"/>
    <w:rsid w:val="003A2F77"/>
    <w:rsid w:val="003A2FF5"/>
    <w:rsid w:val="003A3118"/>
    <w:rsid w:val="003A36EB"/>
    <w:rsid w:val="003A3AFE"/>
    <w:rsid w:val="003A3CB6"/>
    <w:rsid w:val="003A3ED1"/>
    <w:rsid w:val="003A40F1"/>
    <w:rsid w:val="003A44DB"/>
    <w:rsid w:val="003A45A1"/>
    <w:rsid w:val="003A4863"/>
    <w:rsid w:val="003A4C14"/>
    <w:rsid w:val="003A4E86"/>
    <w:rsid w:val="003A506C"/>
    <w:rsid w:val="003A5220"/>
    <w:rsid w:val="003A5582"/>
    <w:rsid w:val="003A55DA"/>
    <w:rsid w:val="003A59D1"/>
    <w:rsid w:val="003A5E31"/>
    <w:rsid w:val="003A6249"/>
    <w:rsid w:val="003A665C"/>
    <w:rsid w:val="003A6860"/>
    <w:rsid w:val="003A698E"/>
    <w:rsid w:val="003A6A91"/>
    <w:rsid w:val="003A6D75"/>
    <w:rsid w:val="003A78FD"/>
    <w:rsid w:val="003B000B"/>
    <w:rsid w:val="003B0AF6"/>
    <w:rsid w:val="003B115A"/>
    <w:rsid w:val="003B1336"/>
    <w:rsid w:val="003B14B1"/>
    <w:rsid w:val="003B16D2"/>
    <w:rsid w:val="003B17F2"/>
    <w:rsid w:val="003B1879"/>
    <w:rsid w:val="003B1D42"/>
    <w:rsid w:val="003B2535"/>
    <w:rsid w:val="003B2CE6"/>
    <w:rsid w:val="003B2E5C"/>
    <w:rsid w:val="003B310A"/>
    <w:rsid w:val="003B35E0"/>
    <w:rsid w:val="003B3859"/>
    <w:rsid w:val="003B3931"/>
    <w:rsid w:val="003B3968"/>
    <w:rsid w:val="003B3971"/>
    <w:rsid w:val="003B42CB"/>
    <w:rsid w:val="003B4A3C"/>
    <w:rsid w:val="003B4BB6"/>
    <w:rsid w:val="003B522C"/>
    <w:rsid w:val="003B535D"/>
    <w:rsid w:val="003B55D1"/>
    <w:rsid w:val="003B5B25"/>
    <w:rsid w:val="003B5B61"/>
    <w:rsid w:val="003B5EF5"/>
    <w:rsid w:val="003B6012"/>
    <w:rsid w:val="003B6586"/>
    <w:rsid w:val="003B66A4"/>
    <w:rsid w:val="003B68C4"/>
    <w:rsid w:val="003B6C52"/>
    <w:rsid w:val="003B7B5B"/>
    <w:rsid w:val="003C0232"/>
    <w:rsid w:val="003C0925"/>
    <w:rsid w:val="003C12D3"/>
    <w:rsid w:val="003C1654"/>
    <w:rsid w:val="003C185D"/>
    <w:rsid w:val="003C274B"/>
    <w:rsid w:val="003C2E85"/>
    <w:rsid w:val="003C34C9"/>
    <w:rsid w:val="003C3A93"/>
    <w:rsid w:val="003C435D"/>
    <w:rsid w:val="003C4554"/>
    <w:rsid w:val="003C4641"/>
    <w:rsid w:val="003C47A5"/>
    <w:rsid w:val="003C5542"/>
    <w:rsid w:val="003C57C3"/>
    <w:rsid w:val="003C5C45"/>
    <w:rsid w:val="003C5D60"/>
    <w:rsid w:val="003C6A68"/>
    <w:rsid w:val="003C7889"/>
    <w:rsid w:val="003C79BE"/>
    <w:rsid w:val="003C7AF8"/>
    <w:rsid w:val="003C7C15"/>
    <w:rsid w:val="003C7D19"/>
    <w:rsid w:val="003C7D2F"/>
    <w:rsid w:val="003D0B8C"/>
    <w:rsid w:val="003D0C5A"/>
    <w:rsid w:val="003D148F"/>
    <w:rsid w:val="003D153F"/>
    <w:rsid w:val="003D16AE"/>
    <w:rsid w:val="003D1726"/>
    <w:rsid w:val="003D1828"/>
    <w:rsid w:val="003D1869"/>
    <w:rsid w:val="003D1B74"/>
    <w:rsid w:val="003D1BC0"/>
    <w:rsid w:val="003D1C2A"/>
    <w:rsid w:val="003D1DE4"/>
    <w:rsid w:val="003D1DEB"/>
    <w:rsid w:val="003D1E9A"/>
    <w:rsid w:val="003D2072"/>
    <w:rsid w:val="003D22DA"/>
    <w:rsid w:val="003D2422"/>
    <w:rsid w:val="003D27B8"/>
    <w:rsid w:val="003D28FC"/>
    <w:rsid w:val="003D2B20"/>
    <w:rsid w:val="003D2C31"/>
    <w:rsid w:val="003D32A0"/>
    <w:rsid w:val="003D32CC"/>
    <w:rsid w:val="003D330F"/>
    <w:rsid w:val="003D39A1"/>
    <w:rsid w:val="003D3FBF"/>
    <w:rsid w:val="003D4A30"/>
    <w:rsid w:val="003D5017"/>
    <w:rsid w:val="003D51A1"/>
    <w:rsid w:val="003D544F"/>
    <w:rsid w:val="003D5D6E"/>
    <w:rsid w:val="003D5E7E"/>
    <w:rsid w:val="003D60C3"/>
    <w:rsid w:val="003D6B8B"/>
    <w:rsid w:val="003D6BED"/>
    <w:rsid w:val="003D6FB5"/>
    <w:rsid w:val="003D720A"/>
    <w:rsid w:val="003D727D"/>
    <w:rsid w:val="003D7452"/>
    <w:rsid w:val="003D7787"/>
    <w:rsid w:val="003D79BB"/>
    <w:rsid w:val="003D7C16"/>
    <w:rsid w:val="003D7C98"/>
    <w:rsid w:val="003D7D1A"/>
    <w:rsid w:val="003D7D9D"/>
    <w:rsid w:val="003E0229"/>
    <w:rsid w:val="003E0543"/>
    <w:rsid w:val="003E05D5"/>
    <w:rsid w:val="003E0699"/>
    <w:rsid w:val="003E1202"/>
    <w:rsid w:val="003E1DDE"/>
    <w:rsid w:val="003E23EB"/>
    <w:rsid w:val="003E2487"/>
    <w:rsid w:val="003E3737"/>
    <w:rsid w:val="003E3B9A"/>
    <w:rsid w:val="003E3DD7"/>
    <w:rsid w:val="003E3E8D"/>
    <w:rsid w:val="003E4694"/>
    <w:rsid w:val="003E46A5"/>
    <w:rsid w:val="003E4CD0"/>
    <w:rsid w:val="003E4F75"/>
    <w:rsid w:val="003E5012"/>
    <w:rsid w:val="003E5603"/>
    <w:rsid w:val="003E5649"/>
    <w:rsid w:val="003E615F"/>
    <w:rsid w:val="003E6FF7"/>
    <w:rsid w:val="003E7181"/>
    <w:rsid w:val="003E7417"/>
    <w:rsid w:val="003E749E"/>
    <w:rsid w:val="003E797B"/>
    <w:rsid w:val="003E7AAE"/>
    <w:rsid w:val="003E7CBA"/>
    <w:rsid w:val="003E7CD0"/>
    <w:rsid w:val="003E7D75"/>
    <w:rsid w:val="003E7F35"/>
    <w:rsid w:val="003F04B7"/>
    <w:rsid w:val="003F069B"/>
    <w:rsid w:val="003F0735"/>
    <w:rsid w:val="003F0AC4"/>
    <w:rsid w:val="003F0B23"/>
    <w:rsid w:val="003F0C3B"/>
    <w:rsid w:val="003F0C41"/>
    <w:rsid w:val="003F1258"/>
    <w:rsid w:val="003F158D"/>
    <w:rsid w:val="003F178E"/>
    <w:rsid w:val="003F205F"/>
    <w:rsid w:val="003F20B6"/>
    <w:rsid w:val="003F2118"/>
    <w:rsid w:val="003F29D7"/>
    <w:rsid w:val="003F2A31"/>
    <w:rsid w:val="003F2F04"/>
    <w:rsid w:val="003F320E"/>
    <w:rsid w:val="003F393C"/>
    <w:rsid w:val="003F3C70"/>
    <w:rsid w:val="003F3D8D"/>
    <w:rsid w:val="003F3EA3"/>
    <w:rsid w:val="003F4156"/>
    <w:rsid w:val="003F4AF1"/>
    <w:rsid w:val="003F4D4F"/>
    <w:rsid w:val="003F54FF"/>
    <w:rsid w:val="003F5500"/>
    <w:rsid w:val="003F5ADF"/>
    <w:rsid w:val="003F5C6A"/>
    <w:rsid w:val="003F6033"/>
    <w:rsid w:val="003F6812"/>
    <w:rsid w:val="003F69F4"/>
    <w:rsid w:val="003F6B8E"/>
    <w:rsid w:val="003F7691"/>
    <w:rsid w:val="003F7774"/>
    <w:rsid w:val="003F7876"/>
    <w:rsid w:val="003F78C9"/>
    <w:rsid w:val="003F7AAD"/>
    <w:rsid w:val="003F7AF9"/>
    <w:rsid w:val="004003E4"/>
    <w:rsid w:val="004009E1"/>
    <w:rsid w:val="00400B29"/>
    <w:rsid w:val="00400DC0"/>
    <w:rsid w:val="00400DC1"/>
    <w:rsid w:val="00401057"/>
    <w:rsid w:val="00401089"/>
    <w:rsid w:val="004010F5"/>
    <w:rsid w:val="00401847"/>
    <w:rsid w:val="00401AEF"/>
    <w:rsid w:val="00401AFB"/>
    <w:rsid w:val="00401B33"/>
    <w:rsid w:val="0040239E"/>
    <w:rsid w:val="00402812"/>
    <w:rsid w:val="00402BB8"/>
    <w:rsid w:val="00402FC3"/>
    <w:rsid w:val="00403037"/>
    <w:rsid w:val="004030DB"/>
    <w:rsid w:val="004032D0"/>
    <w:rsid w:val="0040362E"/>
    <w:rsid w:val="0040367F"/>
    <w:rsid w:val="00403A1C"/>
    <w:rsid w:val="00403EED"/>
    <w:rsid w:val="00403FFA"/>
    <w:rsid w:val="004041BB"/>
    <w:rsid w:val="00404675"/>
    <w:rsid w:val="00404871"/>
    <w:rsid w:val="0040498E"/>
    <w:rsid w:val="00404991"/>
    <w:rsid w:val="00404D4D"/>
    <w:rsid w:val="00404DF5"/>
    <w:rsid w:val="0040504B"/>
    <w:rsid w:val="004056F5"/>
    <w:rsid w:val="0040580C"/>
    <w:rsid w:val="004059F4"/>
    <w:rsid w:val="00406834"/>
    <w:rsid w:val="00406CB4"/>
    <w:rsid w:val="0040717D"/>
    <w:rsid w:val="0040766C"/>
    <w:rsid w:val="00407B84"/>
    <w:rsid w:val="00407BA8"/>
    <w:rsid w:val="00407FE5"/>
    <w:rsid w:val="004101B0"/>
    <w:rsid w:val="00410326"/>
    <w:rsid w:val="0041037B"/>
    <w:rsid w:val="00410708"/>
    <w:rsid w:val="00410B38"/>
    <w:rsid w:val="00410EC7"/>
    <w:rsid w:val="00410EFF"/>
    <w:rsid w:val="004116B5"/>
    <w:rsid w:val="00411AB2"/>
    <w:rsid w:val="00411B39"/>
    <w:rsid w:val="00411F8D"/>
    <w:rsid w:val="00412128"/>
    <w:rsid w:val="004121D6"/>
    <w:rsid w:val="00412700"/>
    <w:rsid w:val="004127A7"/>
    <w:rsid w:val="00412ACD"/>
    <w:rsid w:val="00412EA5"/>
    <w:rsid w:val="00413112"/>
    <w:rsid w:val="0041317C"/>
    <w:rsid w:val="004136B9"/>
    <w:rsid w:val="00413A1E"/>
    <w:rsid w:val="0041438B"/>
    <w:rsid w:val="00414476"/>
    <w:rsid w:val="00414801"/>
    <w:rsid w:val="004148F3"/>
    <w:rsid w:val="00414A83"/>
    <w:rsid w:val="00414BD9"/>
    <w:rsid w:val="00414C2E"/>
    <w:rsid w:val="00414CFD"/>
    <w:rsid w:val="004151CF"/>
    <w:rsid w:val="00415539"/>
    <w:rsid w:val="004156EF"/>
    <w:rsid w:val="004157C0"/>
    <w:rsid w:val="00415921"/>
    <w:rsid w:val="00415B5B"/>
    <w:rsid w:val="00415CAE"/>
    <w:rsid w:val="00416364"/>
    <w:rsid w:val="004165ED"/>
    <w:rsid w:val="00416842"/>
    <w:rsid w:val="00416E16"/>
    <w:rsid w:val="00416E61"/>
    <w:rsid w:val="00416F6A"/>
    <w:rsid w:val="00417D45"/>
    <w:rsid w:val="00417E21"/>
    <w:rsid w:val="00417F9D"/>
    <w:rsid w:val="00417FA6"/>
    <w:rsid w:val="0042047F"/>
    <w:rsid w:val="00420AA6"/>
    <w:rsid w:val="00420B9F"/>
    <w:rsid w:val="00420D49"/>
    <w:rsid w:val="00420EA9"/>
    <w:rsid w:val="00421202"/>
    <w:rsid w:val="00421752"/>
    <w:rsid w:val="0042192C"/>
    <w:rsid w:val="00421971"/>
    <w:rsid w:val="00421ECB"/>
    <w:rsid w:val="00422260"/>
    <w:rsid w:val="004222D7"/>
    <w:rsid w:val="00422454"/>
    <w:rsid w:val="0042270F"/>
    <w:rsid w:val="004228B2"/>
    <w:rsid w:val="00422CA6"/>
    <w:rsid w:val="0042307D"/>
    <w:rsid w:val="004235C7"/>
    <w:rsid w:val="004238FC"/>
    <w:rsid w:val="00423D64"/>
    <w:rsid w:val="0042413F"/>
    <w:rsid w:val="00424252"/>
    <w:rsid w:val="00424778"/>
    <w:rsid w:val="0042477C"/>
    <w:rsid w:val="00424963"/>
    <w:rsid w:val="00424A51"/>
    <w:rsid w:val="00424D59"/>
    <w:rsid w:val="00425205"/>
    <w:rsid w:val="004252E0"/>
    <w:rsid w:val="004253EC"/>
    <w:rsid w:val="00425459"/>
    <w:rsid w:val="00425570"/>
    <w:rsid w:val="0042618F"/>
    <w:rsid w:val="004261F6"/>
    <w:rsid w:val="00426545"/>
    <w:rsid w:val="00426BD2"/>
    <w:rsid w:val="00426F5C"/>
    <w:rsid w:val="004278B8"/>
    <w:rsid w:val="00427BFB"/>
    <w:rsid w:val="00427EA9"/>
    <w:rsid w:val="00430646"/>
    <w:rsid w:val="00431377"/>
    <w:rsid w:val="00431672"/>
    <w:rsid w:val="004319F8"/>
    <w:rsid w:val="00431CE7"/>
    <w:rsid w:val="00431D8F"/>
    <w:rsid w:val="00431E55"/>
    <w:rsid w:val="004321F6"/>
    <w:rsid w:val="0043265D"/>
    <w:rsid w:val="00433044"/>
    <w:rsid w:val="0043340A"/>
    <w:rsid w:val="00433764"/>
    <w:rsid w:val="0043398A"/>
    <w:rsid w:val="004339BC"/>
    <w:rsid w:val="00433ABD"/>
    <w:rsid w:val="00433B1B"/>
    <w:rsid w:val="00434088"/>
    <w:rsid w:val="00434206"/>
    <w:rsid w:val="004347FB"/>
    <w:rsid w:val="0043505D"/>
    <w:rsid w:val="00435188"/>
    <w:rsid w:val="004356D8"/>
    <w:rsid w:val="00435DD5"/>
    <w:rsid w:val="0043662C"/>
    <w:rsid w:val="004370F5"/>
    <w:rsid w:val="0043740D"/>
    <w:rsid w:val="004375B9"/>
    <w:rsid w:val="004375E9"/>
    <w:rsid w:val="00440062"/>
    <w:rsid w:val="00440192"/>
    <w:rsid w:val="004401A2"/>
    <w:rsid w:val="00440205"/>
    <w:rsid w:val="004403FF"/>
    <w:rsid w:val="0044084D"/>
    <w:rsid w:val="00440952"/>
    <w:rsid w:val="00440B1F"/>
    <w:rsid w:val="00441201"/>
    <w:rsid w:val="00441494"/>
    <w:rsid w:val="00441975"/>
    <w:rsid w:val="00441AE9"/>
    <w:rsid w:val="00441D18"/>
    <w:rsid w:val="00441F69"/>
    <w:rsid w:val="004428D0"/>
    <w:rsid w:val="0044291E"/>
    <w:rsid w:val="004436B3"/>
    <w:rsid w:val="00443AA9"/>
    <w:rsid w:val="00444185"/>
    <w:rsid w:val="004443A7"/>
    <w:rsid w:val="00444410"/>
    <w:rsid w:val="00444426"/>
    <w:rsid w:val="0044442C"/>
    <w:rsid w:val="00444DE8"/>
    <w:rsid w:val="004455B8"/>
    <w:rsid w:val="00445941"/>
    <w:rsid w:val="00445981"/>
    <w:rsid w:val="00445ABF"/>
    <w:rsid w:val="00445C43"/>
    <w:rsid w:val="004464EB"/>
    <w:rsid w:val="00446893"/>
    <w:rsid w:val="00446D44"/>
    <w:rsid w:val="00446D48"/>
    <w:rsid w:val="00446E47"/>
    <w:rsid w:val="00447706"/>
    <w:rsid w:val="0044782C"/>
    <w:rsid w:val="00447D26"/>
    <w:rsid w:val="00447DFC"/>
    <w:rsid w:val="00450642"/>
    <w:rsid w:val="0045099F"/>
    <w:rsid w:val="00451957"/>
    <w:rsid w:val="004519ED"/>
    <w:rsid w:val="00451A3D"/>
    <w:rsid w:val="00451B8F"/>
    <w:rsid w:val="00451C4E"/>
    <w:rsid w:val="00452461"/>
    <w:rsid w:val="00452A67"/>
    <w:rsid w:val="00452AAF"/>
    <w:rsid w:val="00454914"/>
    <w:rsid w:val="00454B7F"/>
    <w:rsid w:val="0045562B"/>
    <w:rsid w:val="004556DC"/>
    <w:rsid w:val="00455914"/>
    <w:rsid w:val="00455A6B"/>
    <w:rsid w:val="00455C3E"/>
    <w:rsid w:val="00455D45"/>
    <w:rsid w:val="00455E74"/>
    <w:rsid w:val="00456847"/>
    <w:rsid w:val="00456B21"/>
    <w:rsid w:val="00456CFD"/>
    <w:rsid w:val="00456D22"/>
    <w:rsid w:val="0045753E"/>
    <w:rsid w:val="0045777E"/>
    <w:rsid w:val="00457AB6"/>
    <w:rsid w:val="00457C74"/>
    <w:rsid w:val="00457E9E"/>
    <w:rsid w:val="0046086E"/>
    <w:rsid w:val="00460928"/>
    <w:rsid w:val="0046093E"/>
    <w:rsid w:val="00460975"/>
    <w:rsid w:val="004609AF"/>
    <w:rsid w:val="00460A73"/>
    <w:rsid w:val="00460C29"/>
    <w:rsid w:val="00460D3D"/>
    <w:rsid w:val="004611BC"/>
    <w:rsid w:val="0046123C"/>
    <w:rsid w:val="00461388"/>
    <w:rsid w:val="00461E13"/>
    <w:rsid w:val="004622FC"/>
    <w:rsid w:val="00462386"/>
    <w:rsid w:val="004624AB"/>
    <w:rsid w:val="004625D6"/>
    <w:rsid w:val="00462984"/>
    <w:rsid w:val="00462B35"/>
    <w:rsid w:val="00462D31"/>
    <w:rsid w:val="00462EC2"/>
    <w:rsid w:val="0046329F"/>
    <w:rsid w:val="004637BB"/>
    <w:rsid w:val="004640DD"/>
    <w:rsid w:val="00464595"/>
    <w:rsid w:val="0046509C"/>
    <w:rsid w:val="004658B5"/>
    <w:rsid w:val="00465D22"/>
    <w:rsid w:val="00466800"/>
    <w:rsid w:val="0046686A"/>
    <w:rsid w:val="004668FC"/>
    <w:rsid w:val="00466B5F"/>
    <w:rsid w:val="00466CFE"/>
    <w:rsid w:val="00467FA9"/>
    <w:rsid w:val="00470559"/>
    <w:rsid w:val="00471366"/>
    <w:rsid w:val="0047139A"/>
    <w:rsid w:val="0047198C"/>
    <w:rsid w:val="00471A4B"/>
    <w:rsid w:val="00471D17"/>
    <w:rsid w:val="00471EA5"/>
    <w:rsid w:val="004721AC"/>
    <w:rsid w:val="004722D4"/>
    <w:rsid w:val="00472A79"/>
    <w:rsid w:val="004731AB"/>
    <w:rsid w:val="004734F0"/>
    <w:rsid w:val="00473613"/>
    <w:rsid w:val="00473A7E"/>
    <w:rsid w:val="00473EE3"/>
    <w:rsid w:val="00473F19"/>
    <w:rsid w:val="00474E40"/>
    <w:rsid w:val="00474EEF"/>
    <w:rsid w:val="00474F69"/>
    <w:rsid w:val="0047530F"/>
    <w:rsid w:val="00475437"/>
    <w:rsid w:val="00475DD4"/>
    <w:rsid w:val="00475E22"/>
    <w:rsid w:val="00476286"/>
    <w:rsid w:val="004764DF"/>
    <w:rsid w:val="00476CA7"/>
    <w:rsid w:val="00477257"/>
    <w:rsid w:val="00477A52"/>
    <w:rsid w:val="00477DD1"/>
    <w:rsid w:val="00480615"/>
    <w:rsid w:val="004806A6"/>
    <w:rsid w:val="0048088E"/>
    <w:rsid w:val="00480960"/>
    <w:rsid w:val="004809FD"/>
    <w:rsid w:val="00480F2B"/>
    <w:rsid w:val="004813B1"/>
    <w:rsid w:val="00481C76"/>
    <w:rsid w:val="00481E7D"/>
    <w:rsid w:val="0048255C"/>
    <w:rsid w:val="00482720"/>
    <w:rsid w:val="00482D6E"/>
    <w:rsid w:val="00483135"/>
    <w:rsid w:val="00483159"/>
    <w:rsid w:val="004835E7"/>
    <w:rsid w:val="00484B12"/>
    <w:rsid w:val="00484CE7"/>
    <w:rsid w:val="00484EF7"/>
    <w:rsid w:val="00484FB7"/>
    <w:rsid w:val="0048508C"/>
    <w:rsid w:val="004850C5"/>
    <w:rsid w:val="004851A3"/>
    <w:rsid w:val="0048531D"/>
    <w:rsid w:val="00485673"/>
    <w:rsid w:val="004858B2"/>
    <w:rsid w:val="004859E1"/>
    <w:rsid w:val="00485D77"/>
    <w:rsid w:val="00485F6E"/>
    <w:rsid w:val="00486063"/>
    <w:rsid w:val="004866B1"/>
    <w:rsid w:val="004867E2"/>
    <w:rsid w:val="004868B8"/>
    <w:rsid w:val="004869DB"/>
    <w:rsid w:val="0048706D"/>
    <w:rsid w:val="00487400"/>
    <w:rsid w:val="00487420"/>
    <w:rsid w:val="004877FC"/>
    <w:rsid w:val="0048782A"/>
    <w:rsid w:val="00487B27"/>
    <w:rsid w:val="00487BAD"/>
    <w:rsid w:val="004905B5"/>
    <w:rsid w:val="00490B17"/>
    <w:rsid w:val="00490BD5"/>
    <w:rsid w:val="00491185"/>
    <w:rsid w:val="00491B3A"/>
    <w:rsid w:val="00492022"/>
    <w:rsid w:val="00492692"/>
    <w:rsid w:val="00492CFD"/>
    <w:rsid w:val="00492DAE"/>
    <w:rsid w:val="0049353C"/>
    <w:rsid w:val="00493654"/>
    <w:rsid w:val="00493B46"/>
    <w:rsid w:val="00494207"/>
    <w:rsid w:val="004945A7"/>
    <w:rsid w:val="004945DB"/>
    <w:rsid w:val="004945ED"/>
    <w:rsid w:val="0049490C"/>
    <w:rsid w:val="00494DD5"/>
    <w:rsid w:val="00495091"/>
    <w:rsid w:val="004950A8"/>
    <w:rsid w:val="00495170"/>
    <w:rsid w:val="0049519C"/>
    <w:rsid w:val="00495405"/>
    <w:rsid w:val="00495E5E"/>
    <w:rsid w:val="00495EE3"/>
    <w:rsid w:val="004960DA"/>
    <w:rsid w:val="004962D2"/>
    <w:rsid w:val="00496370"/>
    <w:rsid w:val="004971E3"/>
    <w:rsid w:val="00497269"/>
    <w:rsid w:val="00497B35"/>
    <w:rsid w:val="004A037E"/>
    <w:rsid w:val="004A070F"/>
    <w:rsid w:val="004A0811"/>
    <w:rsid w:val="004A0DA1"/>
    <w:rsid w:val="004A0EEE"/>
    <w:rsid w:val="004A0F88"/>
    <w:rsid w:val="004A13D6"/>
    <w:rsid w:val="004A20F8"/>
    <w:rsid w:val="004A2654"/>
    <w:rsid w:val="004A2805"/>
    <w:rsid w:val="004A2E75"/>
    <w:rsid w:val="004A2EF1"/>
    <w:rsid w:val="004A302C"/>
    <w:rsid w:val="004A3053"/>
    <w:rsid w:val="004A3058"/>
    <w:rsid w:val="004A35A2"/>
    <w:rsid w:val="004A3C24"/>
    <w:rsid w:val="004A52E9"/>
    <w:rsid w:val="004A56CD"/>
    <w:rsid w:val="004A59E6"/>
    <w:rsid w:val="004A6040"/>
    <w:rsid w:val="004A6597"/>
    <w:rsid w:val="004A68C3"/>
    <w:rsid w:val="004A70D0"/>
    <w:rsid w:val="004A71B2"/>
    <w:rsid w:val="004A7570"/>
    <w:rsid w:val="004A7848"/>
    <w:rsid w:val="004A793B"/>
    <w:rsid w:val="004A7CD3"/>
    <w:rsid w:val="004B00BA"/>
    <w:rsid w:val="004B02DE"/>
    <w:rsid w:val="004B0B9A"/>
    <w:rsid w:val="004B0D7B"/>
    <w:rsid w:val="004B0F35"/>
    <w:rsid w:val="004B1CB4"/>
    <w:rsid w:val="004B2483"/>
    <w:rsid w:val="004B28DC"/>
    <w:rsid w:val="004B292F"/>
    <w:rsid w:val="004B2F18"/>
    <w:rsid w:val="004B326D"/>
    <w:rsid w:val="004B327F"/>
    <w:rsid w:val="004B364A"/>
    <w:rsid w:val="004B3DDB"/>
    <w:rsid w:val="004B3E42"/>
    <w:rsid w:val="004B400F"/>
    <w:rsid w:val="004B445C"/>
    <w:rsid w:val="004B44FD"/>
    <w:rsid w:val="004B4583"/>
    <w:rsid w:val="004B4630"/>
    <w:rsid w:val="004B4AEA"/>
    <w:rsid w:val="004B5867"/>
    <w:rsid w:val="004B5CFC"/>
    <w:rsid w:val="004B5F0B"/>
    <w:rsid w:val="004B6162"/>
    <w:rsid w:val="004B655A"/>
    <w:rsid w:val="004B6DFC"/>
    <w:rsid w:val="004B6F79"/>
    <w:rsid w:val="004B774D"/>
    <w:rsid w:val="004B7E0B"/>
    <w:rsid w:val="004C0183"/>
    <w:rsid w:val="004C0955"/>
    <w:rsid w:val="004C0D30"/>
    <w:rsid w:val="004C0F17"/>
    <w:rsid w:val="004C1055"/>
    <w:rsid w:val="004C117E"/>
    <w:rsid w:val="004C1A70"/>
    <w:rsid w:val="004C20E6"/>
    <w:rsid w:val="004C21AA"/>
    <w:rsid w:val="004C240B"/>
    <w:rsid w:val="004C2AC2"/>
    <w:rsid w:val="004C3068"/>
    <w:rsid w:val="004C30A9"/>
    <w:rsid w:val="004C3129"/>
    <w:rsid w:val="004C332C"/>
    <w:rsid w:val="004C3B02"/>
    <w:rsid w:val="004C41BF"/>
    <w:rsid w:val="004C4291"/>
    <w:rsid w:val="004C48FA"/>
    <w:rsid w:val="004C4AED"/>
    <w:rsid w:val="004C51DA"/>
    <w:rsid w:val="004C6037"/>
    <w:rsid w:val="004C6197"/>
    <w:rsid w:val="004C6386"/>
    <w:rsid w:val="004C6A1C"/>
    <w:rsid w:val="004C6E62"/>
    <w:rsid w:val="004C7400"/>
    <w:rsid w:val="004C7798"/>
    <w:rsid w:val="004C7A61"/>
    <w:rsid w:val="004C7E05"/>
    <w:rsid w:val="004D03FA"/>
    <w:rsid w:val="004D0431"/>
    <w:rsid w:val="004D0FA6"/>
    <w:rsid w:val="004D1497"/>
    <w:rsid w:val="004D195B"/>
    <w:rsid w:val="004D1E78"/>
    <w:rsid w:val="004D1EB2"/>
    <w:rsid w:val="004D271A"/>
    <w:rsid w:val="004D2C2D"/>
    <w:rsid w:val="004D31DB"/>
    <w:rsid w:val="004D3591"/>
    <w:rsid w:val="004D3669"/>
    <w:rsid w:val="004D3FA3"/>
    <w:rsid w:val="004D42E5"/>
    <w:rsid w:val="004D4AE0"/>
    <w:rsid w:val="004D4EEA"/>
    <w:rsid w:val="004D56C5"/>
    <w:rsid w:val="004D5EBC"/>
    <w:rsid w:val="004D63F9"/>
    <w:rsid w:val="004D6989"/>
    <w:rsid w:val="004D69B5"/>
    <w:rsid w:val="004D6F67"/>
    <w:rsid w:val="004D6FFA"/>
    <w:rsid w:val="004D7227"/>
    <w:rsid w:val="004D78D4"/>
    <w:rsid w:val="004D793F"/>
    <w:rsid w:val="004D7B17"/>
    <w:rsid w:val="004D7B5E"/>
    <w:rsid w:val="004E01F6"/>
    <w:rsid w:val="004E06D2"/>
    <w:rsid w:val="004E0710"/>
    <w:rsid w:val="004E0D4B"/>
    <w:rsid w:val="004E0E7F"/>
    <w:rsid w:val="004E0EB8"/>
    <w:rsid w:val="004E12D1"/>
    <w:rsid w:val="004E14E0"/>
    <w:rsid w:val="004E1713"/>
    <w:rsid w:val="004E18E9"/>
    <w:rsid w:val="004E1F0D"/>
    <w:rsid w:val="004E1F7B"/>
    <w:rsid w:val="004E2190"/>
    <w:rsid w:val="004E22EF"/>
    <w:rsid w:val="004E2489"/>
    <w:rsid w:val="004E267B"/>
    <w:rsid w:val="004E2ADC"/>
    <w:rsid w:val="004E2E90"/>
    <w:rsid w:val="004E2FE0"/>
    <w:rsid w:val="004E380B"/>
    <w:rsid w:val="004E3C7D"/>
    <w:rsid w:val="004E43B2"/>
    <w:rsid w:val="004E45CF"/>
    <w:rsid w:val="004E4ADA"/>
    <w:rsid w:val="004E5031"/>
    <w:rsid w:val="004E51E8"/>
    <w:rsid w:val="004E5D03"/>
    <w:rsid w:val="004E5E95"/>
    <w:rsid w:val="004E5E9D"/>
    <w:rsid w:val="004E6139"/>
    <w:rsid w:val="004E6B03"/>
    <w:rsid w:val="004E72CD"/>
    <w:rsid w:val="004E7EBB"/>
    <w:rsid w:val="004E7F87"/>
    <w:rsid w:val="004F02C1"/>
    <w:rsid w:val="004F0C4B"/>
    <w:rsid w:val="004F12B6"/>
    <w:rsid w:val="004F182A"/>
    <w:rsid w:val="004F19E4"/>
    <w:rsid w:val="004F1A95"/>
    <w:rsid w:val="004F1B04"/>
    <w:rsid w:val="004F1D02"/>
    <w:rsid w:val="004F1DA9"/>
    <w:rsid w:val="004F2192"/>
    <w:rsid w:val="004F2679"/>
    <w:rsid w:val="004F26A4"/>
    <w:rsid w:val="004F2B64"/>
    <w:rsid w:val="004F2C18"/>
    <w:rsid w:val="004F2F21"/>
    <w:rsid w:val="004F3068"/>
    <w:rsid w:val="004F3119"/>
    <w:rsid w:val="004F3311"/>
    <w:rsid w:val="004F33B6"/>
    <w:rsid w:val="004F3DE5"/>
    <w:rsid w:val="004F408A"/>
    <w:rsid w:val="004F40C7"/>
    <w:rsid w:val="004F411D"/>
    <w:rsid w:val="004F414B"/>
    <w:rsid w:val="004F4A24"/>
    <w:rsid w:val="004F516D"/>
    <w:rsid w:val="004F54A7"/>
    <w:rsid w:val="004F556E"/>
    <w:rsid w:val="004F5841"/>
    <w:rsid w:val="004F59F9"/>
    <w:rsid w:val="004F5D8D"/>
    <w:rsid w:val="004F601F"/>
    <w:rsid w:val="004F63E6"/>
    <w:rsid w:val="004F686C"/>
    <w:rsid w:val="004F6913"/>
    <w:rsid w:val="004F6D5B"/>
    <w:rsid w:val="004F6DA1"/>
    <w:rsid w:val="004F6DAC"/>
    <w:rsid w:val="004F72F8"/>
    <w:rsid w:val="004F74E1"/>
    <w:rsid w:val="004F7504"/>
    <w:rsid w:val="004F778F"/>
    <w:rsid w:val="004F7865"/>
    <w:rsid w:val="004F7AD5"/>
    <w:rsid w:val="00500147"/>
    <w:rsid w:val="00500151"/>
    <w:rsid w:val="005004A3"/>
    <w:rsid w:val="005005E3"/>
    <w:rsid w:val="00500B03"/>
    <w:rsid w:val="00501143"/>
    <w:rsid w:val="00501438"/>
    <w:rsid w:val="00501551"/>
    <w:rsid w:val="0050174E"/>
    <w:rsid w:val="00501854"/>
    <w:rsid w:val="00501EA5"/>
    <w:rsid w:val="0050219B"/>
    <w:rsid w:val="00502BE5"/>
    <w:rsid w:val="00503196"/>
    <w:rsid w:val="00503B50"/>
    <w:rsid w:val="00503E50"/>
    <w:rsid w:val="00503F17"/>
    <w:rsid w:val="00503F3A"/>
    <w:rsid w:val="00504444"/>
    <w:rsid w:val="00504772"/>
    <w:rsid w:val="005047E8"/>
    <w:rsid w:val="00505209"/>
    <w:rsid w:val="00505B54"/>
    <w:rsid w:val="00505D72"/>
    <w:rsid w:val="00506015"/>
    <w:rsid w:val="0050674B"/>
    <w:rsid w:val="00506811"/>
    <w:rsid w:val="00506886"/>
    <w:rsid w:val="00506928"/>
    <w:rsid w:val="00506E60"/>
    <w:rsid w:val="00507607"/>
    <w:rsid w:val="005077EF"/>
    <w:rsid w:val="0051059E"/>
    <w:rsid w:val="00510F0C"/>
    <w:rsid w:val="00510F3C"/>
    <w:rsid w:val="005111AB"/>
    <w:rsid w:val="0051132E"/>
    <w:rsid w:val="00511AD5"/>
    <w:rsid w:val="00511BD4"/>
    <w:rsid w:val="00511DC7"/>
    <w:rsid w:val="00511E0C"/>
    <w:rsid w:val="00511F2E"/>
    <w:rsid w:val="00512200"/>
    <w:rsid w:val="005126CE"/>
    <w:rsid w:val="00512877"/>
    <w:rsid w:val="00512C3B"/>
    <w:rsid w:val="005135CC"/>
    <w:rsid w:val="00513B21"/>
    <w:rsid w:val="005142C5"/>
    <w:rsid w:val="00514484"/>
    <w:rsid w:val="00514559"/>
    <w:rsid w:val="005148E4"/>
    <w:rsid w:val="005149FE"/>
    <w:rsid w:val="00514A67"/>
    <w:rsid w:val="00514F21"/>
    <w:rsid w:val="00514FD4"/>
    <w:rsid w:val="0051501B"/>
    <w:rsid w:val="00515061"/>
    <w:rsid w:val="005152B5"/>
    <w:rsid w:val="00515886"/>
    <w:rsid w:val="005158B7"/>
    <w:rsid w:val="00515DE7"/>
    <w:rsid w:val="00515E28"/>
    <w:rsid w:val="0051647F"/>
    <w:rsid w:val="005165D7"/>
    <w:rsid w:val="00516B30"/>
    <w:rsid w:val="00516DC8"/>
    <w:rsid w:val="00517611"/>
    <w:rsid w:val="0051775A"/>
    <w:rsid w:val="00517908"/>
    <w:rsid w:val="00517B59"/>
    <w:rsid w:val="00520075"/>
    <w:rsid w:val="00520B80"/>
    <w:rsid w:val="00520CC4"/>
    <w:rsid w:val="005210FA"/>
    <w:rsid w:val="0052123C"/>
    <w:rsid w:val="00521319"/>
    <w:rsid w:val="005215B7"/>
    <w:rsid w:val="005218DB"/>
    <w:rsid w:val="00521A30"/>
    <w:rsid w:val="00521B38"/>
    <w:rsid w:val="00521C17"/>
    <w:rsid w:val="005220A6"/>
    <w:rsid w:val="005226E0"/>
    <w:rsid w:val="00522B47"/>
    <w:rsid w:val="00522BC8"/>
    <w:rsid w:val="00522D5C"/>
    <w:rsid w:val="00522DB0"/>
    <w:rsid w:val="00522EDA"/>
    <w:rsid w:val="0052340E"/>
    <w:rsid w:val="0052349B"/>
    <w:rsid w:val="0052351B"/>
    <w:rsid w:val="00523873"/>
    <w:rsid w:val="005238C2"/>
    <w:rsid w:val="00523B62"/>
    <w:rsid w:val="00523C28"/>
    <w:rsid w:val="00523D85"/>
    <w:rsid w:val="00524209"/>
    <w:rsid w:val="00524426"/>
    <w:rsid w:val="00524656"/>
    <w:rsid w:val="005247DA"/>
    <w:rsid w:val="00524C45"/>
    <w:rsid w:val="00524DCC"/>
    <w:rsid w:val="0052533C"/>
    <w:rsid w:val="005257CD"/>
    <w:rsid w:val="00525AC4"/>
    <w:rsid w:val="00525E8A"/>
    <w:rsid w:val="005263F1"/>
    <w:rsid w:val="00526B8B"/>
    <w:rsid w:val="005300F0"/>
    <w:rsid w:val="005302D7"/>
    <w:rsid w:val="00530721"/>
    <w:rsid w:val="00530A14"/>
    <w:rsid w:val="00530A41"/>
    <w:rsid w:val="00530C04"/>
    <w:rsid w:val="00530F47"/>
    <w:rsid w:val="0053176B"/>
    <w:rsid w:val="00531975"/>
    <w:rsid w:val="00531E06"/>
    <w:rsid w:val="0053279E"/>
    <w:rsid w:val="00532C4E"/>
    <w:rsid w:val="0053303E"/>
    <w:rsid w:val="005332BB"/>
    <w:rsid w:val="005335AF"/>
    <w:rsid w:val="0053382C"/>
    <w:rsid w:val="005341B3"/>
    <w:rsid w:val="00534A51"/>
    <w:rsid w:val="0053552F"/>
    <w:rsid w:val="0053593A"/>
    <w:rsid w:val="00535C82"/>
    <w:rsid w:val="00535DCA"/>
    <w:rsid w:val="0053623F"/>
    <w:rsid w:val="0053643C"/>
    <w:rsid w:val="00536610"/>
    <w:rsid w:val="00536635"/>
    <w:rsid w:val="00536C7C"/>
    <w:rsid w:val="00536F42"/>
    <w:rsid w:val="0053714B"/>
    <w:rsid w:val="00537182"/>
    <w:rsid w:val="00537603"/>
    <w:rsid w:val="00537A4E"/>
    <w:rsid w:val="00537DBB"/>
    <w:rsid w:val="00537F5D"/>
    <w:rsid w:val="005402CB"/>
    <w:rsid w:val="00540FBC"/>
    <w:rsid w:val="00541058"/>
    <w:rsid w:val="00541819"/>
    <w:rsid w:val="005418C1"/>
    <w:rsid w:val="00541939"/>
    <w:rsid w:val="00541EDD"/>
    <w:rsid w:val="00541FB9"/>
    <w:rsid w:val="00542170"/>
    <w:rsid w:val="005425DB"/>
    <w:rsid w:val="00542619"/>
    <w:rsid w:val="00542743"/>
    <w:rsid w:val="005428C4"/>
    <w:rsid w:val="00542C2D"/>
    <w:rsid w:val="00542E9C"/>
    <w:rsid w:val="005431C1"/>
    <w:rsid w:val="005436DD"/>
    <w:rsid w:val="005438BC"/>
    <w:rsid w:val="00543BE9"/>
    <w:rsid w:val="00544C0D"/>
    <w:rsid w:val="00544D04"/>
    <w:rsid w:val="00544D50"/>
    <w:rsid w:val="00544FA4"/>
    <w:rsid w:val="00545304"/>
    <w:rsid w:val="00545A2B"/>
    <w:rsid w:val="00545D24"/>
    <w:rsid w:val="00545D25"/>
    <w:rsid w:val="00545E95"/>
    <w:rsid w:val="005464B2"/>
    <w:rsid w:val="005464B4"/>
    <w:rsid w:val="00546F0D"/>
    <w:rsid w:val="00547248"/>
    <w:rsid w:val="00547391"/>
    <w:rsid w:val="005477C0"/>
    <w:rsid w:val="005478BD"/>
    <w:rsid w:val="005479E3"/>
    <w:rsid w:val="00547DC0"/>
    <w:rsid w:val="00547DD3"/>
    <w:rsid w:val="005500C3"/>
    <w:rsid w:val="00550942"/>
    <w:rsid w:val="00550CDD"/>
    <w:rsid w:val="00550D50"/>
    <w:rsid w:val="00551359"/>
    <w:rsid w:val="0055140F"/>
    <w:rsid w:val="0055191D"/>
    <w:rsid w:val="00551935"/>
    <w:rsid w:val="00551936"/>
    <w:rsid w:val="00551985"/>
    <w:rsid w:val="00551F95"/>
    <w:rsid w:val="00552054"/>
    <w:rsid w:val="00552A4D"/>
    <w:rsid w:val="00552A56"/>
    <w:rsid w:val="00552BD3"/>
    <w:rsid w:val="00552E05"/>
    <w:rsid w:val="00552F0D"/>
    <w:rsid w:val="005532A0"/>
    <w:rsid w:val="005532E4"/>
    <w:rsid w:val="0055346C"/>
    <w:rsid w:val="00553B7B"/>
    <w:rsid w:val="00553EB9"/>
    <w:rsid w:val="005544C6"/>
    <w:rsid w:val="00554F2C"/>
    <w:rsid w:val="00555109"/>
    <w:rsid w:val="005556AE"/>
    <w:rsid w:val="005556B5"/>
    <w:rsid w:val="0055574E"/>
    <w:rsid w:val="005559CA"/>
    <w:rsid w:val="0055628B"/>
    <w:rsid w:val="00556460"/>
    <w:rsid w:val="005564C4"/>
    <w:rsid w:val="00556A48"/>
    <w:rsid w:val="00556B35"/>
    <w:rsid w:val="00556BC4"/>
    <w:rsid w:val="0055741A"/>
    <w:rsid w:val="00557D89"/>
    <w:rsid w:val="00560846"/>
    <w:rsid w:val="0056108C"/>
    <w:rsid w:val="005611B7"/>
    <w:rsid w:val="005618D4"/>
    <w:rsid w:val="00561CC2"/>
    <w:rsid w:val="00561EBD"/>
    <w:rsid w:val="005622FC"/>
    <w:rsid w:val="00562D07"/>
    <w:rsid w:val="0056336B"/>
    <w:rsid w:val="005634ED"/>
    <w:rsid w:val="00564867"/>
    <w:rsid w:val="00564A85"/>
    <w:rsid w:val="00565207"/>
    <w:rsid w:val="00565958"/>
    <w:rsid w:val="00565C79"/>
    <w:rsid w:val="00565DF0"/>
    <w:rsid w:val="00565EC1"/>
    <w:rsid w:val="005665EF"/>
    <w:rsid w:val="0056696F"/>
    <w:rsid w:val="0056766E"/>
    <w:rsid w:val="0056769B"/>
    <w:rsid w:val="00567EA1"/>
    <w:rsid w:val="00570433"/>
    <w:rsid w:val="005704F6"/>
    <w:rsid w:val="0057091A"/>
    <w:rsid w:val="0057106F"/>
    <w:rsid w:val="005719A0"/>
    <w:rsid w:val="005719E8"/>
    <w:rsid w:val="00571D8C"/>
    <w:rsid w:val="00572269"/>
    <w:rsid w:val="005722CF"/>
    <w:rsid w:val="0057244A"/>
    <w:rsid w:val="005724CD"/>
    <w:rsid w:val="00572B92"/>
    <w:rsid w:val="00572F26"/>
    <w:rsid w:val="00573108"/>
    <w:rsid w:val="005736A3"/>
    <w:rsid w:val="00573795"/>
    <w:rsid w:val="00573807"/>
    <w:rsid w:val="00573B9C"/>
    <w:rsid w:val="00573C5A"/>
    <w:rsid w:val="00573CCC"/>
    <w:rsid w:val="0057459A"/>
    <w:rsid w:val="005750C5"/>
    <w:rsid w:val="005752DE"/>
    <w:rsid w:val="00575840"/>
    <w:rsid w:val="00575AD7"/>
    <w:rsid w:val="00575BCB"/>
    <w:rsid w:val="00575D22"/>
    <w:rsid w:val="00575D5E"/>
    <w:rsid w:val="00575D60"/>
    <w:rsid w:val="00575D8D"/>
    <w:rsid w:val="00576972"/>
    <w:rsid w:val="00576EAC"/>
    <w:rsid w:val="00577131"/>
    <w:rsid w:val="00577248"/>
    <w:rsid w:val="0057731F"/>
    <w:rsid w:val="005800EC"/>
    <w:rsid w:val="005805D5"/>
    <w:rsid w:val="005808AA"/>
    <w:rsid w:val="00580929"/>
    <w:rsid w:val="00580DE3"/>
    <w:rsid w:val="00580F96"/>
    <w:rsid w:val="005811E3"/>
    <w:rsid w:val="00581232"/>
    <w:rsid w:val="005813F1"/>
    <w:rsid w:val="005817D3"/>
    <w:rsid w:val="00581ED5"/>
    <w:rsid w:val="0058289E"/>
    <w:rsid w:val="00582CB3"/>
    <w:rsid w:val="005833C4"/>
    <w:rsid w:val="0058341B"/>
    <w:rsid w:val="00583699"/>
    <w:rsid w:val="00583DAF"/>
    <w:rsid w:val="00583EB2"/>
    <w:rsid w:val="00584217"/>
    <w:rsid w:val="00585010"/>
    <w:rsid w:val="00585085"/>
    <w:rsid w:val="005854D1"/>
    <w:rsid w:val="005856C4"/>
    <w:rsid w:val="00585804"/>
    <w:rsid w:val="00585A70"/>
    <w:rsid w:val="00585CDD"/>
    <w:rsid w:val="00586654"/>
    <w:rsid w:val="00586739"/>
    <w:rsid w:val="00586759"/>
    <w:rsid w:val="00586B8D"/>
    <w:rsid w:val="00586BBC"/>
    <w:rsid w:val="00587058"/>
    <w:rsid w:val="0058787D"/>
    <w:rsid w:val="00587ADA"/>
    <w:rsid w:val="00590134"/>
    <w:rsid w:val="00590495"/>
    <w:rsid w:val="005907E0"/>
    <w:rsid w:val="00590938"/>
    <w:rsid w:val="00591796"/>
    <w:rsid w:val="0059182E"/>
    <w:rsid w:val="00591957"/>
    <w:rsid w:val="00591BCC"/>
    <w:rsid w:val="005928F1"/>
    <w:rsid w:val="005936E4"/>
    <w:rsid w:val="00593A58"/>
    <w:rsid w:val="005940BD"/>
    <w:rsid w:val="005944C5"/>
    <w:rsid w:val="005944EE"/>
    <w:rsid w:val="005949F9"/>
    <w:rsid w:val="00594B75"/>
    <w:rsid w:val="00594E3F"/>
    <w:rsid w:val="00594EEE"/>
    <w:rsid w:val="00596812"/>
    <w:rsid w:val="005969C7"/>
    <w:rsid w:val="00597060"/>
    <w:rsid w:val="00597942"/>
    <w:rsid w:val="00597BF9"/>
    <w:rsid w:val="00597C23"/>
    <w:rsid w:val="00597E64"/>
    <w:rsid w:val="00597E90"/>
    <w:rsid w:val="005A0700"/>
    <w:rsid w:val="005A09AE"/>
    <w:rsid w:val="005A0B46"/>
    <w:rsid w:val="005A0C11"/>
    <w:rsid w:val="005A0E51"/>
    <w:rsid w:val="005A0FCD"/>
    <w:rsid w:val="005A112F"/>
    <w:rsid w:val="005A1597"/>
    <w:rsid w:val="005A1F89"/>
    <w:rsid w:val="005A23E0"/>
    <w:rsid w:val="005A2521"/>
    <w:rsid w:val="005A26AC"/>
    <w:rsid w:val="005A309A"/>
    <w:rsid w:val="005A373D"/>
    <w:rsid w:val="005A450C"/>
    <w:rsid w:val="005A4BB9"/>
    <w:rsid w:val="005A4C5F"/>
    <w:rsid w:val="005A4D22"/>
    <w:rsid w:val="005A5182"/>
    <w:rsid w:val="005A546D"/>
    <w:rsid w:val="005A5979"/>
    <w:rsid w:val="005A6168"/>
    <w:rsid w:val="005A6331"/>
    <w:rsid w:val="005A658E"/>
    <w:rsid w:val="005A6971"/>
    <w:rsid w:val="005A6C5E"/>
    <w:rsid w:val="005A7A57"/>
    <w:rsid w:val="005A7CB3"/>
    <w:rsid w:val="005B03ED"/>
    <w:rsid w:val="005B0B58"/>
    <w:rsid w:val="005B0FB6"/>
    <w:rsid w:val="005B1A06"/>
    <w:rsid w:val="005B21DA"/>
    <w:rsid w:val="005B22C6"/>
    <w:rsid w:val="005B2CF9"/>
    <w:rsid w:val="005B3539"/>
    <w:rsid w:val="005B36EF"/>
    <w:rsid w:val="005B387E"/>
    <w:rsid w:val="005B3B81"/>
    <w:rsid w:val="005B4243"/>
    <w:rsid w:val="005B42FF"/>
    <w:rsid w:val="005B43EE"/>
    <w:rsid w:val="005B4A91"/>
    <w:rsid w:val="005B4E53"/>
    <w:rsid w:val="005B4EC4"/>
    <w:rsid w:val="005B5508"/>
    <w:rsid w:val="005B5706"/>
    <w:rsid w:val="005B5857"/>
    <w:rsid w:val="005B5BCE"/>
    <w:rsid w:val="005B5E58"/>
    <w:rsid w:val="005B6183"/>
    <w:rsid w:val="005B6510"/>
    <w:rsid w:val="005B660C"/>
    <w:rsid w:val="005B6E8C"/>
    <w:rsid w:val="005B6FF7"/>
    <w:rsid w:val="005B706B"/>
    <w:rsid w:val="005B7B76"/>
    <w:rsid w:val="005B7D90"/>
    <w:rsid w:val="005B7F76"/>
    <w:rsid w:val="005C0129"/>
    <w:rsid w:val="005C071D"/>
    <w:rsid w:val="005C177C"/>
    <w:rsid w:val="005C19C4"/>
    <w:rsid w:val="005C1ADE"/>
    <w:rsid w:val="005C1B83"/>
    <w:rsid w:val="005C2244"/>
    <w:rsid w:val="005C22A2"/>
    <w:rsid w:val="005C22CF"/>
    <w:rsid w:val="005C25FF"/>
    <w:rsid w:val="005C271F"/>
    <w:rsid w:val="005C2BB8"/>
    <w:rsid w:val="005C2D55"/>
    <w:rsid w:val="005C3214"/>
    <w:rsid w:val="005C3334"/>
    <w:rsid w:val="005C346B"/>
    <w:rsid w:val="005C43C0"/>
    <w:rsid w:val="005C4785"/>
    <w:rsid w:val="005C4A07"/>
    <w:rsid w:val="005C4BB9"/>
    <w:rsid w:val="005C4C1E"/>
    <w:rsid w:val="005C4E98"/>
    <w:rsid w:val="005C5507"/>
    <w:rsid w:val="005C554B"/>
    <w:rsid w:val="005C5ABC"/>
    <w:rsid w:val="005C5D3A"/>
    <w:rsid w:val="005C5EC9"/>
    <w:rsid w:val="005C65DB"/>
    <w:rsid w:val="005C661B"/>
    <w:rsid w:val="005C6991"/>
    <w:rsid w:val="005C6A5E"/>
    <w:rsid w:val="005C6EBC"/>
    <w:rsid w:val="005C7CC2"/>
    <w:rsid w:val="005D01AD"/>
    <w:rsid w:val="005D044D"/>
    <w:rsid w:val="005D04A6"/>
    <w:rsid w:val="005D0ABD"/>
    <w:rsid w:val="005D0C10"/>
    <w:rsid w:val="005D0EEA"/>
    <w:rsid w:val="005D113C"/>
    <w:rsid w:val="005D1529"/>
    <w:rsid w:val="005D165D"/>
    <w:rsid w:val="005D18AD"/>
    <w:rsid w:val="005D1E0B"/>
    <w:rsid w:val="005D26B4"/>
    <w:rsid w:val="005D2730"/>
    <w:rsid w:val="005D2E24"/>
    <w:rsid w:val="005D302E"/>
    <w:rsid w:val="005D36F8"/>
    <w:rsid w:val="005D38C0"/>
    <w:rsid w:val="005D3ABB"/>
    <w:rsid w:val="005D3EC3"/>
    <w:rsid w:val="005D4261"/>
    <w:rsid w:val="005D4853"/>
    <w:rsid w:val="005D522B"/>
    <w:rsid w:val="005D58C1"/>
    <w:rsid w:val="005D59EE"/>
    <w:rsid w:val="005D5A33"/>
    <w:rsid w:val="005D5A84"/>
    <w:rsid w:val="005D5FA8"/>
    <w:rsid w:val="005D6133"/>
    <w:rsid w:val="005D637F"/>
    <w:rsid w:val="005D63A2"/>
    <w:rsid w:val="005D65AD"/>
    <w:rsid w:val="005D6A4D"/>
    <w:rsid w:val="005D6B7F"/>
    <w:rsid w:val="005D6C0D"/>
    <w:rsid w:val="005D6CAF"/>
    <w:rsid w:val="005D6D4F"/>
    <w:rsid w:val="005D6E5E"/>
    <w:rsid w:val="005D6F13"/>
    <w:rsid w:val="005D71EA"/>
    <w:rsid w:val="005D7499"/>
    <w:rsid w:val="005D7735"/>
    <w:rsid w:val="005E0B4A"/>
    <w:rsid w:val="005E0B99"/>
    <w:rsid w:val="005E0FC4"/>
    <w:rsid w:val="005E1226"/>
    <w:rsid w:val="005E16BF"/>
    <w:rsid w:val="005E16CC"/>
    <w:rsid w:val="005E194F"/>
    <w:rsid w:val="005E1995"/>
    <w:rsid w:val="005E1DB8"/>
    <w:rsid w:val="005E2263"/>
    <w:rsid w:val="005E2360"/>
    <w:rsid w:val="005E26DB"/>
    <w:rsid w:val="005E28C5"/>
    <w:rsid w:val="005E2B40"/>
    <w:rsid w:val="005E38E6"/>
    <w:rsid w:val="005E3A8A"/>
    <w:rsid w:val="005E3FE3"/>
    <w:rsid w:val="005E48B9"/>
    <w:rsid w:val="005E4A55"/>
    <w:rsid w:val="005E4BFB"/>
    <w:rsid w:val="005E5DF3"/>
    <w:rsid w:val="005E6101"/>
    <w:rsid w:val="005E6432"/>
    <w:rsid w:val="005E65C7"/>
    <w:rsid w:val="005E6A19"/>
    <w:rsid w:val="005E6CBC"/>
    <w:rsid w:val="005E72FF"/>
    <w:rsid w:val="005E73C0"/>
    <w:rsid w:val="005E7901"/>
    <w:rsid w:val="005E7CB5"/>
    <w:rsid w:val="005E7E04"/>
    <w:rsid w:val="005E7E34"/>
    <w:rsid w:val="005F0540"/>
    <w:rsid w:val="005F06C4"/>
    <w:rsid w:val="005F07ED"/>
    <w:rsid w:val="005F0988"/>
    <w:rsid w:val="005F09BA"/>
    <w:rsid w:val="005F0EC0"/>
    <w:rsid w:val="005F0F40"/>
    <w:rsid w:val="005F15E8"/>
    <w:rsid w:val="005F20F0"/>
    <w:rsid w:val="005F24F7"/>
    <w:rsid w:val="005F26F8"/>
    <w:rsid w:val="005F2706"/>
    <w:rsid w:val="005F283A"/>
    <w:rsid w:val="005F297E"/>
    <w:rsid w:val="005F2B79"/>
    <w:rsid w:val="005F31C8"/>
    <w:rsid w:val="005F34DA"/>
    <w:rsid w:val="005F36D9"/>
    <w:rsid w:val="005F383F"/>
    <w:rsid w:val="005F3AC1"/>
    <w:rsid w:val="005F4112"/>
    <w:rsid w:val="005F4134"/>
    <w:rsid w:val="005F422F"/>
    <w:rsid w:val="005F44BB"/>
    <w:rsid w:val="005F4AF1"/>
    <w:rsid w:val="005F5170"/>
    <w:rsid w:val="005F5255"/>
    <w:rsid w:val="005F5260"/>
    <w:rsid w:val="005F583E"/>
    <w:rsid w:val="005F5BB7"/>
    <w:rsid w:val="005F5E0B"/>
    <w:rsid w:val="005F609D"/>
    <w:rsid w:val="005F6213"/>
    <w:rsid w:val="005F63B8"/>
    <w:rsid w:val="005F680E"/>
    <w:rsid w:val="005F6A8F"/>
    <w:rsid w:val="005F6BB7"/>
    <w:rsid w:val="005F7588"/>
    <w:rsid w:val="005F7647"/>
    <w:rsid w:val="005F782D"/>
    <w:rsid w:val="005F7A85"/>
    <w:rsid w:val="005F7AB0"/>
    <w:rsid w:val="005F7D85"/>
    <w:rsid w:val="00600088"/>
    <w:rsid w:val="006001D7"/>
    <w:rsid w:val="0060088A"/>
    <w:rsid w:val="006008F9"/>
    <w:rsid w:val="00600A73"/>
    <w:rsid w:val="00600B57"/>
    <w:rsid w:val="00600F2F"/>
    <w:rsid w:val="00600F33"/>
    <w:rsid w:val="00600FA1"/>
    <w:rsid w:val="0060106E"/>
    <w:rsid w:val="0060107B"/>
    <w:rsid w:val="006018D9"/>
    <w:rsid w:val="006018ED"/>
    <w:rsid w:val="00601F7C"/>
    <w:rsid w:val="00602053"/>
    <w:rsid w:val="006020E7"/>
    <w:rsid w:val="006024BA"/>
    <w:rsid w:val="006028D3"/>
    <w:rsid w:val="00603DB9"/>
    <w:rsid w:val="006047DF"/>
    <w:rsid w:val="00604C58"/>
    <w:rsid w:val="00605014"/>
    <w:rsid w:val="006053B4"/>
    <w:rsid w:val="006056CA"/>
    <w:rsid w:val="00605821"/>
    <w:rsid w:val="00605D47"/>
    <w:rsid w:val="00606C2B"/>
    <w:rsid w:val="00606C85"/>
    <w:rsid w:val="00606F14"/>
    <w:rsid w:val="00606FBA"/>
    <w:rsid w:val="00607160"/>
    <w:rsid w:val="00607669"/>
    <w:rsid w:val="006076F4"/>
    <w:rsid w:val="006079D7"/>
    <w:rsid w:val="00607AFD"/>
    <w:rsid w:val="00607DAE"/>
    <w:rsid w:val="00610021"/>
    <w:rsid w:val="00610261"/>
    <w:rsid w:val="0061069B"/>
    <w:rsid w:val="00610A31"/>
    <w:rsid w:val="006116D0"/>
    <w:rsid w:val="00611719"/>
    <w:rsid w:val="00611B12"/>
    <w:rsid w:val="00611CFA"/>
    <w:rsid w:val="00611E07"/>
    <w:rsid w:val="00611F61"/>
    <w:rsid w:val="00612412"/>
    <w:rsid w:val="0061273E"/>
    <w:rsid w:val="006128C4"/>
    <w:rsid w:val="00612CF9"/>
    <w:rsid w:val="00612F72"/>
    <w:rsid w:val="00612F97"/>
    <w:rsid w:val="0061345D"/>
    <w:rsid w:val="0061371C"/>
    <w:rsid w:val="0061438E"/>
    <w:rsid w:val="006146EB"/>
    <w:rsid w:val="00614E62"/>
    <w:rsid w:val="00615407"/>
    <w:rsid w:val="0061549B"/>
    <w:rsid w:val="00615C96"/>
    <w:rsid w:val="00616021"/>
    <w:rsid w:val="006161D7"/>
    <w:rsid w:val="006162AE"/>
    <w:rsid w:val="00616802"/>
    <w:rsid w:val="00616BEF"/>
    <w:rsid w:val="00616D4D"/>
    <w:rsid w:val="006176FE"/>
    <w:rsid w:val="00617888"/>
    <w:rsid w:val="00617948"/>
    <w:rsid w:val="006179B7"/>
    <w:rsid w:val="00617D75"/>
    <w:rsid w:val="00617E12"/>
    <w:rsid w:val="0062021C"/>
    <w:rsid w:val="00620311"/>
    <w:rsid w:val="00620318"/>
    <w:rsid w:val="0062039F"/>
    <w:rsid w:val="006209DF"/>
    <w:rsid w:val="00620C25"/>
    <w:rsid w:val="00620E18"/>
    <w:rsid w:val="0062115B"/>
    <w:rsid w:val="0062117C"/>
    <w:rsid w:val="00621477"/>
    <w:rsid w:val="00621547"/>
    <w:rsid w:val="0062173D"/>
    <w:rsid w:val="0062181F"/>
    <w:rsid w:val="0062189D"/>
    <w:rsid w:val="006218BE"/>
    <w:rsid w:val="00621A76"/>
    <w:rsid w:val="00621ADA"/>
    <w:rsid w:val="00621B14"/>
    <w:rsid w:val="00621F49"/>
    <w:rsid w:val="006224E8"/>
    <w:rsid w:val="0062273F"/>
    <w:rsid w:val="00623F50"/>
    <w:rsid w:val="00623F6D"/>
    <w:rsid w:val="00623F7B"/>
    <w:rsid w:val="006243BF"/>
    <w:rsid w:val="0062475E"/>
    <w:rsid w:val="00624940"/>
    <w:rsid w:val="00624BD4"/>
    <w:rsid w:val="00625210"/>
    <w:rsid w:val="0062530C"/>
    <w:rsid w:val="00625478"/>
    <w:rsid w:val="006255E8"/>
    <w:rsid w:val="00625B3A"/>
    <w:rsid w:val="00626895"/>
    <w:rsid w:val="00626D27"/>
    <w:rsid w:val="00627173"/>
    <w:rsid w:val="00627907"/>
    <w:rsid w:val="00627CE5"/>
    <w:rsid w:val="00627F33"/>
    <w:rsid w:val="0063048D"/>
    <w:rsid w:val="0063158F"/>
    <w:rsid w:val="00631CD8"/>
    <w:rsid w:val="00631D6B"/>
    <w:rsid w:val="00631FC2"/>
    <w:rsid w:val="00632183"/>
    <w:rsid w:val="00632B41"/>
    <w:rsid w:val="00632C15"/>
    <w:rsid w:val="00632D4C"/>
    <w:rsid w:val="00632F4A"/>
    <w:rsid w:val="006330A1"/>
    <w:rsid w:val="006330E9"/>
    <w:rsid w:val="006331B5"/>
    <w:rsid w:val="00633A1B"/>
    <w:rsid w:val="00633C60"/>
    <w:rsid w:val="00634175"/>
    <w:rsid w:val="0063479F"/>
    <w:rsid w:val="00634872"/>
    <w:rsid w:val="00634F15"/>
    <w:rsid w:val="006350D7"/>
    <w:rsid w:val="006351D0"/>
    <w:rsid w:val="006353F0"/>
    <w:rsid w:val="006354A8"/>
    <w:rsid w:val="006354FE"/>
    <w:rsid w:val="006355FB"/>
    <w:rsid w:val="006356D6"/>
    <w:rsid w:val="00635751"/>
    <w:rsid w:val="006357B5"/>
    <w:rsid w:val="006359FC"/>
    <w:rsid w:val="00635FDE"/>
    <w:rsid w:val="006364A1"/>
    <w:rsid w:val="0063678E"/>
    <w:rsid w:val="00636D73"/>
    <w:rsid w:val="00636DDE"/>
    <w:rsid w:val="0063712F"/>
    <w:rsid w:val="00637305"/>
    <w:rsid w:val="00637499"/>
    <w:rsid w:val="00637BFD"/>
    <w:rsid w:val="00637C5C"/>
    <w:rsid w:val="00637C82"/>
    <w:rsid w:val="006402C7"/>
    <w:rsid w:val="00640364"/>
    <w:rsid w:val="00640412"/>
    <w:rsid w:val="006404CA"/>
    <w:rsid w:val="00640697"/>
    <w:rsid w:val="00640828"/>
    <w:rsid w:val="00640BC0"/>
    <w:rsid w:val="00641140"/>
    <w:rsid w:val="00641212"/>
    <w:rsid w:val="006414CA"/>
    <w:rsid w:val="00641791"/>
    <w:rsid w:val="00641817"/>
    <w:rsid w:val="00641956"/>
    <w:rsid w:val="00641C4E"/>
    <w:rsid w:val="00641D4F"/>
    <w:rsid w:val="00641FB3"/>
    <w:rsid w:val="006433B2"/>
    <w:rsid w:val="006435EE"/>
    <w:rsid w:val="00644072"/>
    <w:rsid w:val="0064434C"/>
    <w:rsid w:val="00644D07"/>
    <w:rsid w:val="00644F4A"/>
    <w:rsid w:val="00645BF3"/>
    <w:rsid w:val="00645EB8"/>
    <w:rsid w:val="00646290"/>
    <w:rsid w:val="006463F6"/>
    <w:rsid w:val="00646712"/>
    <w:rsid w:val="00646885"/>
    <w:rsid w:val="00646E0C"/>
    <w:rsid w:val="006471CC"/>
    <w:rsid w:val="0064727B"/>
    <w:rsid w:val="006472FE"/>
    <w:rsid w:val="00647583"/>
    <w:rsid w:val="00647A1F"/>
    <w:rsid w:val="00647A29"/>
    <w:rsid w:val="00647BEF"/>
    <w:rsid w:val="00647CDD"/>
    <w:rsid w:val="00647E43"/>
    <w:rsid w:val="0065012F"/>
    <w:rsid w:val="0065079F"/>
    <w:rsid w:val="006507AD"/>
    <w:rsid w:val="00650B4B"/>
    <w:rsid w:val="00650D44"/>
    <w:rsid w:val="00650EB2"/>
    <w:rsid w:val="006526D0"/>
    <w:rsid w:val="00652A28"/>
    <w:rsid w:val="00652CA1"/>
    <w:rsid w:val="00653401"/>
    <w:rsid w:val="0065379F"/>
    <w:rsid w:val="00653918"/>
    <w:rsid w:val="00653979"/>
    <w:rsid w:val="00653A83"/>
    <w:rsid w:val="00654261"/>
    <w:rsid w:val="00654EC0"/>
    <w:rsid w:val="006550CB"/>
    <w:rsid w:val="006557AD"/>
    <w:rsid w:val="00655C97"/>
    <w:rsid w:val="00656133"/>
    <w:rsid w:val="00656188"/>
    <w:rsid w:val="006570BD"/>
    <w:rsid w:val="0065715A"/>
    <w:rsid w:val="00657650"/>
    <w:rsid w:val="00657A58"/>
    <w:rsid w:val="00660700"/>
    <w:rsid w:val="006608AF"/>
    <w:rsid w:val="006608CE"/>
    <w:rsid w:val="006609B9"/>
    <w:rsid w:val="00660A85"/>
    <w:rsid w:val="00660D5F"/>
    <w:rsid w:val="006610F1"/>
    <w:rsid w:val="00661B3C"/>
    <w:rsid w:val="00661C6B"/>
    <w:rsid w:val="00661D7E"/>
    <w:rsid w:val="00661E25"/>
    <w:rsid w:val="00661ED7"/>
    <w:rsid w:val="00661F00"/>
    <w:rsid w:val="00661F94"/>
    <w:rsid w:val="00662046"/>
    <w:rsid w:val="006622A0"/>
    <w:rsid w:val="00662D3E"/>
    <w:rsid w:val="006631D4"/>
    <w:rsid w:val="00663CF8"/>
    <w:rsid w:val="00663EC1"/>
    <w:rsid w:val="0066413E"/>
    <w:rsid w:val="0066427C"/>
    <w:rsid w:val="006642EB"/>
    <w:rsid w:val="006643B1"/>
    <w:rsid w:val="00664450"/>
    <w:rsid w:val="00664547"/>
    <w:rsid w:val="00664882"/>
    <w:rsid w:val="00664933"/>
    <w:rsid w:val="00664A92"/>
    <w:rsid w:val="0066517D"/>
    <w:rsid w:val="006651FF"/>
    <w:rsid w:val="0066542C"/>
    <w:rsid w:val="00665DE7"/>
    <w:rsid w:val="00665E50"/>
    <w:rsid w:val="00665FD0"/>
    <w:rsid w:val="00667319"/>
    <w:rsid w:val="006675F1"/>
    <w:rsid w:val="006678BB"/>
    <w:rsid w:val="0066796D"/>
    <w:rsid w:val="00667BE3"/>
    <w:rsid w:val="00667D61"/>
    <w:rsid w:val="00667D73"/>
    <w:rsid w:val="006704B6"/>
    <w:rsid w:val="006704ED"/>
    <w:rsid w:val="0067062B"/>
    <w:rsid w:val="0067098F"/>
    <w:rsid w:val="006709A9"/>
    <w:rsid w:val="006709B2"/>
    <w:rsid w:val="00670E31"/>
    <w:rsid w:val="00671004"/>
    <w:rsid w:val="006719D0"/>
    <w:rsid w:val="00671B44"/>
    <w:rsid w:val="00672646"/>
    <w:rsid w:val="006726B5"/>
    <w:rsid w:val="0067274B"/>
    <w:rsid w:val="006731BC"/>
    <w:rsid w:val="00674D01"/>
    <w:rsid w:val="00674E42"/>
    <w:rsid w:val="00675D12"/>
    <w:rsid w:val="00676211"/>
    <w:rsid w:val="00676563"/>
    <w:rsid w:val="006766EC"/>
    <w:rsid w:val="00676B5A"/>
    <w:rsid w:val="0067786C"/>
    <w:rsid w:val="006778A9"/>
    <w:rsid w:val="00677C61"/>
    <w:rsid w:val="0068060E"/>
    <w:rsid w:val="00680C1A"/>
    <w:rsid w:val="006813F8"/>
    <w:rsid w:val="006814E2"/>
    <w:rsid w:val="00681754"/>
    <w:rsid w:val="00681A3C"/>
    <w:rsid w:val="00681AC0"/>
    <w:rsid w:val="00681C79"/>
    <w:rsid w:val="00681DE6"/>
    <w:rsid w:val="00681E81"/>
    <w:rsid w:val="00682112"/>
    <w:rsid w:val="0068268C"/>
    <w:rsid w:val="00682BA6"/>
    <w:rsid w:val="00682D90"/>
    <w:rsid w:val="00683058"/>
    <w:rsid w:val="0068307A"/>
    <w:rsid w:val="00683779"/>
    <w:rsid w:val="00683905"/>
    <w:rsid w:val="00683D33"/>
    <w:rsid w:val="00683D59"/>
    <w:rsid w:val="00684DA2"/>
    <w:rsid w:val="00685400"/>
    <w:rsid w:val="00685AB0"/>
    <w:rsid w:val="00685E5B"/>
    <w:rsid w:val="006867F5"/>
    <w:rsid w:val="00686957"/>
    <w:rsid w:val="006869E8"/>
    <w:rsid w:val="00686AD3"/>
    <w:rsid w:val="00686C28"/>
    <w:rsid w:val="00686F61"/>
    <w:rsid w:val="006872BA"/>
    <w:rsid w:val="006873F5"/>
    <w:rsid w:val="006874FD"/>
    <w:rsid w:val="006875CA"/>
    <w:rsid w:val="00687956"/>
    <w:rsid w:val="00687D3D"/>
    <w:rsid w:val="00687E74"/>
    <w:rsid w:val="00690362"/>
    <w:rsid w:val="0069067C"/>
    <w:rsid w:val="00690795"/>
    <w:rsid w:val="00690A1B"/>
    <w:rsid w:val="00690BBA"/>
    <w:rsid w:val="0069154D"/>
    <w:rsid w:val="00691648"/>
    <w:rsid w:val="006917D7"/>
    <w:rsid w:val="0069194A"/>
    <w:rsid w:val="006919B5"/>
    <w:rsid w:val="00692566"/>
    <w:rsid w:val="00692E45"/>
    <w:rsid w:val="00692FF2"/>
    <w:rsid w:val="0069301A"/>
    <w:rsid w:val="00693044"/>
    <w:rsid w:val="00693E85"/>
    <w:rsid w:val="0069434C"/>
    <w:rsid w:val="00694742"/>
    <w:rsid w:val="0069485C"/>
    <w:rsid w:val="00694A98"/>
    <w:rsid w:val="00694F44"/>
    <w:rsid w:val="006953E0"/>
    <w:rsid w:val="00695B28"/>
    <w:rsid w:val="00695E15"/>
    <w:rsid w:val="00696491"/>
    <w:rsid w:val="00696AF6"/>
    <w:rsid w:val="00696EF9"/>
    <w:rsid w:val="00696F51"/>
    <w:rsid w:val="00696FCA"/>
    <w:rsid w:val="0069702C"/>
    <w:rsid w:val="006971AE"/>
    <w:rsid w:val="006979A5"/>
    <w:rsid w:val="00697A4F"/>
    <w:rsid w:val="00697B19"/>
    <w:rsid w:val="00697C2E"/>
    <w:rsid w:val="006A016F"/>
    <w:rsid w:val="006A052D"/>
    <w:rsid w:val="006A05A8"/>
    <w:rsid w:val="006A06E0"/>
    <w:rsid w:val="006A0A6D"/>
    <w:rsid w:val="006A0A98"/>
    <w:rsid w:val="006A0C89"/>
    <w:rsid w:val="006A0CB0"/>
    <w:rsid w:val="006A0DF7"/>
    <w:rsid w:val="006A1833"/>
    <w:rsid w:val="006A1BB5"/>
    <w:rsid w:val="006A1C7D"/>
    <w:rsid w:val="006A1E81"/>
    <w:rsid w:val="006A25D5"/>
    <w:rsid w:val="006A280A"/>
    <w:rsid w:val="006A3970"/>
    <w:rsid w:val="006A3AED"/>
    <w:rsid w:val="006A405E"/>
    <w:rsid w:val="006A4321"/>
    <w:rsid w:val="006A43D9"/>
    <w:rsid w:val="006A4807"/>
    <w:rsid w:val="006A4E32"/>
    <w:rsid w:val="006A55CF"/>
    <w:rsid w:val="006A573E"/>
    <w:rsid w:val="006A5985"/>
    <w:rsid w:val="006A5DD0"/>
    <w:rsid w:val="006A6004"/>
    <w:rsid w:val="006A60E8"/>
    <w:rsid w:val="006A6458"/>
    <w:rsid w:val="006A6B99"/>
    <w:rsid w:val="006A6BB3"/>
    <w:rsid w:val="006A6BD1"/>
    <w:rsid w:val="006A6CB2"/>
    <w:rsid w:val="006A6E6A"/>
    <w:rsid w:val="006A7791"/>
    <w:rsid w:val="006A7986"/>
    <w:rsid w:val="006A7D5E"/>
    <w:rsid w:val="006A7E5F"/>
    <w:rsid w:val="006B046A"/>
    <w:rsid w:val="006B084F"/>
    <w:rsid w:val="006B0A93"/>
    <w:rsid w:val="006B0E03"/>
    <w:rsid w:val="006B160B"/>
    <w:rsid w:val="006B1629"/>
    <w:rsid w:val="006B2010"/>
    <w:rsid w:val="006B261B"/>
    <w:rsid w:val="006B2A8D"/>
    <w:rsid w:val="006B2C90"/>
    <w:rsid w:val="006B3036"/>
    <w:rsid w:val="006B35E6"/>
    <w:rsid w:val="006B388A"/>
    <w:rsid w:val="006B3AFB"/>
    <w:rsid w:val="006B3C3D"/>
    <w:rsid w:val="006B44DB"/>
    <w:rsid w:val="006B465A"/>
    <w:rsid w:val="006B4BFC"/>
    <w:rsid w:val="006B4F9B"/>
    <w:rsid w:val="006B5BA9"/>
    <w:rsid w:val="006B5BB7"/>
    <w:rsid w:val="006B5DA1"/>
    <w:rsid w:val="006B5F7F"/>
    <w:rsid w:val="006B6134"/>
    <w:rsid w:val="006B630C"/>
    <w:rsid w:val="006B64C8"/>
    <w:rsid w:val="006B66FC"/>
    <w:rsid w:val="006B6867"/>
    <w:rsid w:val="006B6CEC"/>
    <w:rsid w:val="006B6D29"/>
    <w:rsid w:val="006B6DD0"/>
    <w:rsid w:val="006B6E21"/>
    <w:rsid w:val="006B734F"/>
    <w:rsid w:val="006B7524"/>
    <w:rsid w:val="006C0029"/>
    <w:rsid w:val="006C034A"/>
    <w:rsid w:val="006C0399"/>
    <w:rsid w:val="006C096D"/>
    <w:rsid w:val="006C0B62"/>
    <w:rsid w:val="006C0EF5"/>
    <w:rsid w:val="006C1AEB"/>
    <w:rsid w:val="006C2097"/>
    <w:rsid w:val="006C2A8E"/>
    <w:rsid w:val="006C2DA7"/>
    <w:rsid w:val="006C2ECF"/>
    <w:rsid w:val="006C2FE3"/>
    <w:rsid w:val="006C3255"/>
    <w:rsid w:val="006C3457"/>
    <w:rsid w:val="006C3F26"/>
    <w:rsid w:val="006C4058"/>
    <w:rsid w:val="006C42D0"/>
    <w:rsid w:val="006C4963"/>
    <w:rsid w:val="006C4DD3"/>
    <w:rsid w:val="006C4FF8"/>
    <w:rsid w:val="006C559C"/>
    <w:rsid w:val="006C57CB"/>
    <w:rsid w:val="006C5A13"/>
    <w:rsid w:val="006C5B51"/>
    <w:rsid w:val="006C64AE"/>
    <w:rsid w:val="006C6ED8"/>
    <w:rsid w:val="006C7058"/>
    <w:rsid w:val="006C7E26"/>
    <w:rsid w:val="006D0581"/>
    <w:rsid w:val="006D0D17"/>
    <w:rsid w:val="006D0F43"/>
    <w:rsid w:val="006D0F51"/>
    <w:rsid w:val="006D15AC"/>
    <w:rsid w:val="006D190A"/>
    <w:rsid w:val="006D19B0"/>
    <w:rsid w:val="006D2298"/>
    <w:rsid w:val="006D2445"/>
    <w:rsid w:val="006D295D"/>
    <w:rsid w:val="006D30CE"/>
    <w:rsid w:val="006D3708"/>
    <w:rsid w:val="006D3916"/>
    <w:rsid w:val="006D3C7D"/>
    <w:rsid w:val="006D4079"/>
    <w:rsid w:val="006D4659"/>
    <w:rsid w:val="006D504C"/>
    <w:rsid w:val="006D52F2"/>
    <w:rsid w:val="006D54FA"/>
    <w:rsid w:val="006D5952"/>
    <w:rsid w:val="006D5BEF"/>
    <w:rsid w:val="006D5D5F"/>
    <w:rsid w:val="006D5E73"/>
    <w:rsid w:val="006D5F73"/>
    <w:rsid w:val="006D6604"/>
    <w:rsid w:val="006D68FB"/>
    <w:rsid w:val="006D6A86"/>
    <w:rsid w:val="006D6CE2"/>
    <w:rsid w:val="006D7323"/>
    <w:rsid w:val="006D7394"/>
    <w:rsid w:val="006D7578"/>
    <w:rsid w:val="006D77CA"/>
    <w:rsid w:val="006D7D7C"/>
    <w:rsid w:val="006E0335"/>
    <w:rsid w:val="006E0337"/>
    <w:rsid w:val="006E03F8"/>
    <w:rsid w:val="006E0891"/>
    <w:rsid w:val="006E0FA2"/>
    <w:rsid w:val="006E1431"/>
    <w:rsid w:val="006E14C2"/>
    <w:rsid w:val="006E1529"/>
    <w:rsid w:val="006E167A"/>
    <w:rsid w:val="006E1758"/>
    <w:rsid w:val="006E186C"/>
    <w:rsid w:val="006E1B12"/>
    <w:rsid w:val="006E2868"/>
    <w:rsid w:val="006E2FDE"/>
    <w:rsid w:val="006E367C"/>
    <w:rsid w:val="006E36A4"/>
    <w:rsid w:val="006E3A4E"/>
    <w:rsid w:val="006E3C87"/>
    <w:rsid w:val="006E4297"/>
    <w:rsid w:val="006E46DF"/>
    <w:rsid w:val="006E489A"/>
    <w:rsid w:val="006E4B03"/>
    <w:rsid w:val="006E4F25"/>
    <w:rsid w:val="006E503A"/>
    <w:rsid w:val="006E5519"/>
    <w:rsid w:val="006E59DE"/>
    <w:rsid w:val="006E5F9A"/>
    <w:rsid w:val="006E63BD"/>
    <w:rsid w:val="006E6435"/>
    <w:rsid w:val="006E6573"/>
    <w:rsid w:val="006E70F0"/>
    <w:rsid w:val="006E7628"/>
    <w:rsid w:val="006E7CAA"/>
    <w:rsid w:val="006E7F42"/>
    <w:rsid w:val="006F016C"/>
    <w:rsid w:val="006F0201"/>
    <w:rsid w:val="006F03B4"/>
    <w:rsid w:val="006F0696"/>
    <w:rsid w:val="006F06C8"/>
    <w:rsid w:val="006F0891"/>
    <w:rsid w:val="006F0FC0"/>
    <w:rsid w:val="006F0FD4"/>
    <w:rsid w:val="006F1AB0"/>
    <w:rsid w:val="006F1CAF"/>
    <w:rsid w:val="006F2403"/>
    <w:rsid w:val="006F305C"/>
    <w:rsid w:val="006F306C"/>
    <w:rsid w:val="006F34FF"/>
    <w:rsid w:val="006F3565"/>
    <w:rsid w:val="006F3C71"/>
    <w:rsid w:val="006F4553"/>
    <w:rsid w:val="006F480B"/>
    <w:rsid w:val="006F5481"/>
    <w:rsid w:val="006F558E"/>
    <w:rsid w:val="006F5ED8"/>
    <w:rsid w:val="006F6225"/>
    <w:rsid w:val="006F63A5"/>
    <w:rsid w:val="006F7286"/>
    <w:rsid w:val="006F7878"/>
    <w:rsid w:val="006F78BC"/>
    <w:rsid w:val="006F7B73"/>
    <w:rsid w:val="006F7BB4"/>
    <w:rsid w:val="00700703"/>
    <w:rsid w:val="00701002"/>
    <w:rsid w:val="0070142B"/>
    <w:rsid w:val="0070167B"/>
    <w:rsid w:val="00701A95"/>
    <w:rsid w:val="00701FF0"/>
    <w:rsid w:val="00702164"/>
    <w:rsid w:val="0070231A"/>
    <w:rsid w:val="00702644"/>
    <w:rsid w:val="0070276E"/>
    <w:rsid w:val="00702A1D"/>
    <w:rsid w:val="00702C8A"/>
    <w:rsid w:val="00702F8F"/>
    <w:rsid w:val="00703162"/>
    <w:rsid w:val="00703265"/>
    <w:rsid w:val="00703840"/>
    <w:rsid w:val="00703856"/>
    <w:rsid w:val="00703F17"/>
    <w:rsid w:val="0070426E"/>
    <w:rsid w:val="00704527"/>
    <w:rsid w:val="0070463C"/>
    <w:rsid w:val="00704739"/>
    <w:rsid w:val="00705000"/>
    <w:rsid w:val="007051C0"/>
    <w:rsid w:val="00705277"/>
    <w:rsid w:val="00705422"/>
    <w:rsid w:val="00705760"/>
    <w:rsid w:val="007059C5"/>
    <w:rsid w:val="00705A6C"/>
    <w:rsid w:val="00705AA4"/>
    <w:rsid w:val="007064B9"/>
    <w:rsid w:val="00706BBC"/>
    <w:rsid w:val="00706EBF"/>
    <w:rsid w:val="007079FC"/>
    <w:rsid w:val="00707E24"/>
    <w:rsid w:val="00710360"/>
    <w:rsid w:val="00710402"/>
    <w:rsid w:val="00710AC0"/>
    <w:rsid w:val="00710BBF"/>
    <w:rsid w:val="00710D1E"/>
    <w:rsid w:val="00710F1D"/>
    <w:rsid w:val="007110DF"/>
    <w:rsid w:val="007115CD"/>
    <w:rsid w:val="00711A36"/>
    <w:rsid w:val="00712466"/>
    <w:rsid w:val="007125D3"/>
    <w:rsid w:val="007128D9"/>
    <w:rsid w:val="0071321F"/>
    <w:rsid w:val="007136CD"/>
    <w:rsid w:val="00713EDA"/>
    <w:rsid w:val="00713FF7"/>
    <w:rsid w:val="00714150"/>
    <w:rsid w:val="0071437A"/>
    <w:rsid w:val="00714956"/>
    <w:rsid w:val="00714C26"/>
    <w:rsid w:val="00714C97"/>
    <w:rsid w:val="00714E8B"/>
    <w:rsid w:val="00715044"/>
    <w:rsid w:val="007150D5"/>
    <w:rsid w:val="0071529C"/>
    <w:rsid w:val="0071594A"/>
    <w:rsid w:val="00715A79"/>
    <w:rsid w:val="007160D1"/>
    <w:rsid w:val="00716832"/>
    <w:rsid w:val="007169B7"/>
    <w:rsid w:val="007170DA"/>
    <w:rsid w:val="0071721D"/>
    <w:rsid w:val="007172AD"/>
    <w:rsid w:val="0071734E"/>
    <w:rsid w:val="00717546"/>
    <w:rsid w:val="00717657"/>
    <w:rsid w:val="00717716"/>
    <w:rsid w:val="00717924"/>
    <w:rsid w:val="00720207"/>
    <w:rsid w:val="00720637"/>
    <w:rsid w:val="00720801"/>
    <w:rsid w:val="0072080A"/>
    <w:rsid w:val="007209FE"/>
    <w:rsid w:val="00720B74"/>
    <w:rsid w:val="00720C41"/>
    <w:rsid w:val="00720D70"/>
    <w:rsid w:val="00720E8F"/>
    <w:rsid w:val="007211D3"/>
    <w:rsid w:val="00721223"/>
    <w:rsid w:val="00721D39"/>
    <w:rsid w:val="00722098"/>
    <w:rsid w:val="00722106"/>
    <w:rsid w:val="007225EC"/>
    <w:rsid w:val="00722880"/>
    <w:rsid w:val="00722B1B"/>
    <w:rsid w:val="007230BF"/>
    <w:rsid w:val="007232DD"/>
    <w:rsid w:val="00723887"/>
    <w:rsid w:val="007238C4"/>
    <w:rsid w:val="007238FF"/>
    <w:rsid w:val="00723DA7"/>
    <w:rsid w:val="00723ED4"/>
    <w:rsid w:val="0072416F"/>
    <w:rsid w:val="0072445C"/>
    <w:rsid w:val="00724584"/>
    <w:rsid w:val="00724832"/>
    <w:rsid w:val="00724EC3"/>
    <w:rsid w:val="00724ECB"/>
    <w:rsid w:val="007258E6"/>
    <w:rsid w:val="00725A86"/>
    <w:rsid w:val="0072648E"/>
    <w:rsid w:val="00726BE9"/>
    <w:rsid w:val="00727219"/>
    <w:rsid w:val="00727650"/>
    <w:rsid w:val="00727A68"/>
    <w:rsid w:val="00727C94"/>
    <w:rsid w:val="00730259"/>
    <w:rsid w:val="00730309"/>
    <w:rsid w:val="00730704"/>
    <w:rsid w:val="0073086C"/>
    <w:rsid w:val="007308F1"/>
    <w:rsid w:val="00731163"/>
    <w:rsid w:val="007311FB"/>
    <w:rsid w:val="0073188D"/>
    <w:rsid w:val="00731B0A"/>
    <w:rsid w:val="00731C08"/>
    <w:rsid w:val="00731D8A"/>
    <w:rsid w:val="00731EAE"/>
    <w:rsid w:val="00732A96"/>
    <w:rsid w:val="00732BC3"/>
    <w:rsid w:val="00732F98"/>
    <w:rsid w:val="00733073"/>
    <w:rsid w:val="00733566"/>
    <w:rsid w:val="007339D5"/>
    <w:rsid w:val="00733B38"/>
    <w:rsid w:val="007342D5"/>
    <w:rsid w:val="00734422"/>
    <w:rsid w:val="00734768"/>
    <w:rsid w:val="00734D9C"/>
    <w:rsid w:val="00734FD9"/>
    <w:rsid w:val="00735033"/>
    <w:rsid w:val="00735328"/>
    <w:rsid w:val="007353A9"/>
    <w:rsid w:val="00735862"/>
    <w:rsid w:val="00735A4C"/>
    <w:rsid w:val="00735ED3"/>
    <w:rsid w:val="00735F00"/>
    <w:rsid w:val="00736824"/>
    <w:rsid w:val="0073685B"/>
    <w:rsid w:val="00736BE3"/>
    <w:rsid w:val="00736CEA"/>
    <w:rsid w:val="00736DFE"/>
    <w:rsid w:val="00737356"/>
    <w:rsid w:val="007373A7"/>
    <w:rsid w:val="00737589"/>
    <w:rsid w:val="0073795C"/>
    <w:rsid w:val="00740209"/>
    <w:rsid w:val="0074034B"/>
    <w:rsid w:val="0074067B"/>
    <w:rsid w:val="00740993"/>
    <w:rsid w:val="00741DE8"/>
    <w:rsid w:val="00742173"/>
    <w:rsid w:val="00742420"/>
    <w:rsid w:val="00742523"/>
    <w:rsid w:val="007432B9"/>
    <w:rsid w:val="007436AA"/>
    <w:rsid w:val="00743799"/>
    <w:rsid w:val="0074410C"/>
    <w:rsid w:val="00744316"/>
    <w:rsid w:val="007449BF"/>
    <w:rsid w:val="00744CBA"/>
    <w:rsid w:val="00744D20"/>
    <w:rsid w:val="00744D51"/>
    <w:rsid w:val="00745224"/>
    <w:rsid w:val="007458E2"/>
    <w:rsid w:val="00745F54"/>
    <w:rsid w:val="00746143"/>
    <w:rsid w:val="00746177"/>
    <w:rsid w:val="007463FE"/>
    <w:rsid w:val="007464EC"/>
    <w:rsid w:val="007464FE"/>
    <w:rsid w:val="00746B6D"/>
    <w:rsid w:val="00746B84"/>
    <w:rsid w:val="00746BC0"/>
    <w:rsid w:val="007473DB"/>
    <w:rsid w:val="007474E1"/>
    <w:rsid w:val="0074762D"/>
    <w:rsid w:val="00747DAF"/>
    <w:rsid w:val="00747F8F"/>
    <w:rsid w:val="007500A4"/>
    <w:rsid w:val="007500F4"/>
    <w:rsid w:val="00750EDD"/>
    <w:rsid w:val="00750F6B"/>
    <w:rsid w:val="007510B4"/>
    <w:rsid w:val="007511D8"/>
    <w:rsid w:val="00751552"/>
    <w:rsid w:val="0075196C"/>
    <w:rsid w:val="00751B13"/>
    <w:rsid w:val="00751B35"/>
    <w:rsid w:val="00752142"/>
    <w:rsid w:val="007523F9"/>
    <w:rsid w:val="0075241D"/>
    <w:rsid w:val="0075244B"/>
    <w:rsid w:val="00752790"/>
    <w:rsid w:val="00752875"/>
    <w:rsid w:val="00752877"/>
    <w:rsid w:val="00752ECD"/>
    <w:rsid w:val="007534B8"/>
    <w:rsid w:val="0075357E"/>
    <w:rsid w:val="007537A0"/>
    <w:rsid w:val="00753B1B"/>
    <w:rsid w:val="00753B29"/>
    <w:rsid w:val="00753B49"/>
    <w:rsid w:val="00753F49"/>
    <w:rsid w:val="00754417"/>
    <w:rsid w:val="00754457"/>
    <w:rsid w:val="00754692"/>
    <w:rsid w:val="0075510A"/>
    <w:rsid w:val="00755D60"/>
    <w:rsid w:val="0075623E"/>
    <w:rsid w:val="0075679E"/>
    <w:rsid w:val="00756931"/>
    <w:rsid w:val="0075706B"/>
    <w:rsid w:val="00757372"/>
    <w:rsid w:val="007573E3"/>
    <w:rsid w:val="007573E8"/>
    <w:rsid w:val="00757515"/>
    <w:rsid w:val="00757F2A"/>
    <w:rsid w:val="00757F84"/>
    <w:rsid w:val="00760043"/>
    <w:rsid w:val="007604CF"/>
    <w:rsid w:val="00760B66"/>
    <w:rsid w:val="00760BE6"/>
    <w:rsid w:val="00760C4E"/>
    <w:rsid w:val="00760F9E"/>
    <w:rsid w:val="0076116C"/>
    <w:rsid w:val="0076136F"/>
    <w:rsid w:val="0076140D"/>
    <w:rsid w:val="007616E6"/>
    <w:rsid w:val="007619C0"/>
    <w:rsid w:val="007619C5"/>
    <w:rsid w:val="00761F3B"/>
    <w:rsid w:val="00761FCA"/>
    <w:rsid w:val="007625F0"/>
    <w:rsid w:val="007627BE"/>
    <w:rsid w:val="007628C0"/>
    <w:rsid w:val="00762A74"/>
    <w:rsid w:val="00762C3C"/>
    <w:rsid w:val="0076330F"/>
    <w:rsid w:val="0076357B"/>
    <w:rsid w:val="007635C8"/>
    <w:rsid w:val="00763728"/>
    <w:rsid w:val="00764081"/>
    <w:rsid w:val="00764483"/>
    <w:rsid w:val="007644A3"/>
    <w:rsid w:val="00764611"/>
    <w:rsid w:val="00764826"/>
    <w:rsid w:val="00764DFB"/>
    <w:rsid w:val="00764F03"/>
    <w:rsid w:val="00765356"/>
    <w:rsid w:val="0076535B"/>
    <w:rsid w:val="0076552A"/>
    <w:rsid w:val="007657BD"/>
    <w:rsid w:val="00765B1A"/>
    <w:rsid w:val="00765C1E"/>
    <w:rsid w:val="00765DC1"/>
    <w:rsid w:val="0076687F"/>
    <w:rsid w:val="00766988"/>
    <w:rsid w:val="007669F9"/>
    <w:rsid w:val="00766D87"/>
    <w:rsid w:val="0076726B"/>
    <w:rsid w:val="00767F7D"/>
    <w:rsid w:val="0077001D"/>
    <w:rsid w:val="007703A7"/>
    <w:rsid w:val="007706E4"/>
    <w:rsid w:val="007709DA"/>
    <w:rsid w:val="00771757"/>
    <w:rsid w:val="007722E7"/>
    <w:rsid w:val="00772424"/>
    <w:rsid w:val="00773488"/>
    <w:rsid w:val="007747D2"/>
    <w:rsid w:val="0077485F"/>
    <w:rsid w:val="00775087"/>
    <w:rsid w:val="007751E9"/>
    <w:rsid w:val="0077590F"/>
    <w:rsid w:val="00775AE5"/>
    <w:rsid w:val="007766F4"/>
    <w:rsid w:val="007768F6"/>
    <w:rsid w:val="00776A29"/>
    <w:rsid w:val="00777335"/>
    <w:rsid w:val="00777370"/>
    <w:rsid w:val="007778AE"/>
    <w:rsid w:val="00780077"/>
    <w:rsid w:val="007801CD"/>
    <w:rsid w:val="00780F48"/>
    <w:rsid w:val="00781AA7"/>
    <w:rsid w:val="00781ACB"/>
    <w:rsid w:val="00781CC6"/>
    <w:rsid w:val="00781FDD"/>
    <w:rsid w:val="0078214C"/>
    <w:rsid w:val="007821EB"/>
    <w:rsid w:val="00782843"/>
    <w:rsid w:val="00782848"/>
    <w:rsid w:val="00782C2D"/>
    <w:rsid w:val="007833E8"/>
    <w:rsid w:val="00784083"/>
    <w:rsid w:val="007843F2"/>
    <w:rsid w:val="007846FA"/>
    <w:rsid w:val="007851DB"/>
    <w:rsid w:val="00785367"/>
    <w:rsid w:val="00785495"/>
    <w:rsid w:val="00785A9F"/>
    <w:rsid w:val="00785D69"/>
    <w:rsid w:val="00785E5B"/>
    <w:rsid w:val="00785FBE"/>
    <w:rsid w:val="007863D4"/>
    <w:rsid w:val="00786A71"/>
    <w:rsid w:val="00787346"/>
    <w:rsid w:val="00787865"/>
    <w:rsid w:val="007905BF"/>
    <w:rsid w:val="0079074D"/>
    <w:rsid w:val="007910EC"/>
    <w:rsid w:val="00791542"/>
    <w:rsid w:val="007916A1"/>
    <w:rsid w:val="0079185A"/>
    <w:rsid w:val="00791F00"/>
    <w:rsid w:val="0079218E"/>
    <w:rsid w:val="007924DC"/>
    <w:rsid w:val="007925DF"/>
    <w:rsid w:val="00793530"/>
    <w:rsid w:val="007936C4"/>
    <w:rsid w:val="007936F7"/>
    <w:rsid w:val="007937E1"/>
    <w:rsid w:val="007939E4"/>
    <w:rsid w:val="00793E8F"/>
    <w:rsid w:val="00794EEE"/>
    <w:rsid w:val="00794F58"/>
    <w:rsid w:val="007951D8"/>
    <w:rsid w:val="00795B5B"/>
    <w:rsid w:val="00795C12"/>
    <w:rsid w:val="00795FCC"/>
    <w:rsid w:val="007961B5"/>
    <w:rsid w:val="00796791"/>
    <w:rsid w:val="007969B9"/>
    <w:rsid w:val="007969F9"/>
    <w:rsid w:val="00796A13"/>
    <w:rsid w:val="00796B53"/>
    <w:rsid w:val="0079704D"/>
    <w:rsid w:val="00797053"/>
    <w:rsid w:val="0079724A"/>
    <w:rsid w:val="0079748E"/>
    <w:rsid w:val="00797742"/>
    <w:rsid w:val="00797C86"/>
    <w:rsid w:val="007A078A"/>
    <w:rsid w:val="007A08AA"/>
    <w:rsid w:val="007A0A12"/>
    <w:rsid w:val="007A1093"/>
    <w:rsid w:val="007A132D"/>
    <w:rsid w:val="007A1345"/>
    <w:rsid w:val="007A1768"/>
    <w:rsid w:val="007A2320"/>
    <w:rsid w:val="007A2463"/>
    <w:rsid w:val="007A2574"/>
    <w:rsid w:val="007A2B58"/>
    <w:rsid w:val="007A2DDB"/>
    <w:rsid w:val="007A2F8B"/>
    <w:rsid w:val="007A3055"/>
    <w:rsid w:val="007A3314"/>
    <w:rsid w:val="007A3556"/>
    <w:rsid w:val="007A37BC"/>
    <w:rsid w:val="007A419E"/>
    <w:rsid w:val="007A4437"/>
    <w:rsid w:val="007A48A5"/>
    <w:rsid w:val="007A4915"/>
    <w:rsid w:val="007A4C37"/>
    <w:rsid w:val="007A4D68"/>
    <w:rsid w:val="007A514E"/>
    <w:rsid w:val="007A55A8"/>
    <w:rsid w:val="007A5E64"/>
    <w:rsid w:val="007A62A9"/>
    <w:rsid w:val="007A6326"/>
    <w:rsid w:val="007A6353"/>
    <w:rsid w:val="007A639C"/>
    <w:rsid w:val="007A690E"/>
    <w:rsid w:val="007A6C65"/>
    <w:rsid w:val="007A6D23"/>
    <w:rsid w:val="007A6E7B"/>
    <w:rsid w:val="007A70A0"/>
    <w:rsid w:val="007A70BA"/>
    <w:rsid w:val="007A713B"/>
    <w:rsid w:val="007A7247"/>
    <w:rsid w:val="007A7414"/>
    <w:rsid w:val="007A7747"/>
    <w:rsid w:val="007A79AB"/>
    <w:rsid w:val="007B026D"/>
    <w:rsid w:val="007B0448"/>
    <w:rsid w:val="007B0738"/>
    <w:rsid w:val="007B0842"/>
    <w:rsid w:val="007B08BF"/>
    <w:rsid w:val="007B0D68"/>
    <w:rsid w:val="007B1154"/>
    <w:rsid w:val="007B11DE"/>
    <w:rsid w:val="007B13A6"/>
    <w:rsid w:val="007B1647"/>
    <w:rsid w:val="007B18A3"/>
    <w:rsid w:val="007B1EA1"/>
    <w:rsid w:val="007B2013"/>
    <w:rsid w:val="007B2159"/>
    <w:rsid w:val="007B221A"/>
    <w:rsid w:val="007B232B"/>
    <w:rsid w:val="007B251D"/>
    <w:rsid w:val="007B2886"/>
    <w:rsid w:val="007B2C28"/>
    <w:rsid w:val="007B2EC2"/>
    <w:rsid w:val="007B3533"/>
    <w:rsid w:val="007B38B3"/>
    <w:rsid w:val="007B3C08"/>
    <w:rsid w:val="007B416D"/>
    <w:rsid w:val="007B47E1"/>
    <w:rsid w:val="007B4F58"/>
    <w:rsid w:val="007B4FAE"/>
    <w:rsid w:val="007B528D"/>
    <w:rsid w:val="007B52ED"/>
    <w:rsid w:val="007B52F4"/>
    <w:rsid w:val="007B539D"/>
    <w:rsid w:val="007B6206"/>
    <w:rsid w:val="007B62B4"/>
    <w:rsid w:val="007B63CA"/>
    <w:rsid w:val="007B642B"/>
    <w:rsid w:val="007B679A"/>
    <w:rsid w:val="007B6CF1"/>
    <w:rsid w:val="007B7135"/>
    <w:rsid w:val="007B77D1"/>
    <w:rsid w:val="007B7881"/>
    <w:rsid w:val="007B7939"/>
    <w:rsid w:val="007B7C70"/>
    <w:rsid w:val="007B7E9A"/>
    <w:rsid w:val="007C02CC"/>
    <w:rsid w:val="007C0711"/>
    <w:rsid w:val="007C07C7"/>
    <w:rsid w:val="007C09F6"/>
    <w:rsid w:val="007C0ACB"/>
    <w:rsid w:val="007C1026"/>
    <w:rsid w:val="007C1164"/>
    <w:rsid w:val="007C13F9"/>
    <w:rsid w:val="007C183D"/>
    <w:rsid w:val="007C1CD9"/>
    <w:rsid w:val="007C3083"/>
    <w:rsid w:val="007C3214"/>
    <w:rsid w:val="007C321B"/>
    <w:rsid w:val="007C32A4"/>
    <w:rsid w:val="007C32EF"/>
    <w:rsid w:val="007C3505"/>
    <w:rsid w:val="007C361D"/>
    <w:rsid w:val="007C381B"/>
    <w:rsid w:val="007C38A8"/>
    <w:rsid w:val="007C3F40"/>
    <w:rsid w:val="007C4515"/>
    <w:rsid w:val="007C4AA7"/>
    <w:rsid w:val="007C4B75"/>
    <w:rsid w:val="007C4B84"/>
    <w:rsid w:val="007C4BDA"/>
    <w:rsid w:val="007C4DA4"/>
    <w:rsid w:val="007C4E36"/>
    <w:rsid w:val="007C5050"/>
    <w:rsid w:val="007C5130"/>
    <w:rsid w:val="007C58DD"/>
    <w:rsid w:val="007C5ACC"/>
    <w:rsid w:val="007C5B8C"/>
    <w:rsid w:val="007C6AFC"/>
    <w:rsid w:val="007C6CFC"/>
    <w:rsid w:val="007C70FF"/>
    <w:rsid w:val="007C7719"/>
    <w:rsid w:val="007C788F"/>
    <w:rsid w:val="007C7C25"/>
    <w:rsid w:val="007D004F"/>
    <w:rsid w:val="007D035F"/>
    <w:rsid w:val="007D03C4"/>
    <w:rsid w:val="007D06B2"/>
    <w:rsid w:val="007D0B38"/>
    <w:rsid w:val="007D0E0C"/>
    <w:rsid w:val="007D0E58"/>
    <w:rsid w:val="007D124C"/>
    <w:rsid w:val="007D128C"/>
    <w:rsid w:val="007D1594"/>
    <w:rsid w:val="007D1AD1"/>
    <w:rsid w:val="007D2540"/>
    <w:rsid w:val="007D25EE"/>
    <w:rsid w:val="007D3529"/>
    <w:rsid w:val="007D4DC6"/>
    <w:rsid w:val="007D508E"/>
    <w:rsid w:val="007D51EA"/>
    <w:rsid w:val="007D525A"/>
    <w:rsid w:val="007D52EF"/>
    <w:rsid w:val="007D5321"/>
    <w:rsid w:val="007D5440"/>
    <w:rsid w:val="007D577C"/>
    <w:rsid w:val="007D5815"/>
    <w:rsid w:val="007D60A3"/>
    <w:rsid w:val="007D649B"/>
    <w:rsid w:val="007D64B8"/>
    <w:rsid w:val="007D68AC"/>
    <w:rsid w:val="007D69EB"/>
    <w:rsid w:val="007D6DE3"/>
    <w:rsid w:val="007D7812"/>
    <w:rsid w:val="007D7AEE"/>
    <w:rsid w:val="007D7B85"/>
    <w:rsid w:val="007D7B9E"/>
    <w:rsid w:val="007E02E9"/>
    <w:rsid w:val="007E0328"/>
    <w:rsid w:val="007E0481"/>
    <w:rsid w:val="007E05C0"/>
    <w:rsid w:val="007E08B6"/>
    <w:rsid w:val="007E0C42"/>
    <w:rsid w:val="007E128F"/>
    <w:rsid w:val="007E1737"/>
    <w:rsid w:val="007E2212"/>
    <w:rsid w:val="007E23B6"/>
    <w:rsid w:val="007E268A"/>
    <w:rsid w:val="007E2C25"/>
    <w:rsid w:val="007E2D29"/>
    <w:rsid w:val="007E2DE7"/>
    <w:rsid w:val="007E3258"/>
    <w:rsid w:val="007E3522"/>
    <w:rsid w:val="007E3B10"/>
    <w:rsid w:val="007E40F9"/>
    <w:rsid w:val="007E41EA"/>
    <w:rsid w:val="007E4D7A"/>
    <w:rsid w:val="007E53AB"/>
    <w:rsid w:val="007E57DD"/>
    <w:rsid w:val="007E5E67"/>
    <w:rsid w:val="007E6243"/>
    <w:rsid w:val="007E6259"/>
    <w:rsid w:val="007E632E"/>
    <w:rsid w:val="007E6827"/>
    <w:rsid w:val="007E6A87"/>
    <w:rsid w:val="007E6BCA"/>
    <w:rsid w:val="007E6EE3"/>
    <w:rsid w:val="007E75A1"/>
    <w:rsid w:val="007E7789"/>
    <w:rsid w:val="007E7A15"/>
    <w:rsid w:val="007E7ED1"/>
    <w:rsid w:val="007F00C3"/>
    <w:rsid w:val="007F0460"/>
    <w:rsid w:val="007F05F8"/>
    <w:rsid w:val="007F0727"/>
    <w:rsid w:val="007F1017"/>
    <w:rsid w:val="007F1338"/>
    <w:rsid w:val="007F13ED"/>
    <w:rsid w:val="007F16FC"/>
    <w:rsid w:val="007F1784"/>
    <w:rsid w:val="007F18BB"/>
    <w:rsid w:val="007F2089"/>
    <w:rsid w:val="007F210E"/>
    <w:rsid w:val="007F267F"/>
    <w:rsid w:val="007F27BD"/>
    <w:rsid w:val="007F33E9"/>
    <w:rsid w:val="007F37E6"/>
    <w:rsid w:val="007F3884"/>
    <w:rsid w:val="007F392F"/>
    <w:rsid w:val="007F3C7B"/>
    <w:rsid w:val="007F3D13"/>
    <w:rsid w:val="007F3EC3"/>
    <w:rsid w:val="007F46B0"/>
    <w:rsid w:val="007F4A3F"/>
    <w:rsid w:val="007F4A61"/>
    <w:rsid w:val="007F4B7D"/>
    <w:rsid w:val="007F4BD9"/>
    <w:rsid w:val="007F5255"/>
    <w:rsid w:val="007F56CC"/>
    <w:rsid w:val="007F5969"/>
    <w:rsid w:val="007F5E24"/>
    <w:rsid w:val="007F61C2"/>
    <w:rsid w:val="007F6268"/>
    <w:rsid w:val="007F63BC"/>
    <w:rsid w:val="007F668E"/>
    <w:rsid w:val="007F6931"/>
    <w:rsid w:val="007F6AF7"/>
    <w:rsid w:val="007F6BD3"/>
    <w:rsid w:val="007F733F"/>
    <w:rsid w:val="007F7505"/>
    <w:rsid w:val="007F7C43"/>
    <w:rsid w:val="007F7CCE"/>
    <w:rsid w:val="007F7E7F"/>
    <w:rsid w:val="007F7EC4"/>
    <w:rsid w:val="008001E7"/>
    <w:rsid w:val="00800C7E"/>
    <w:rsid w:val="00800F4B"/>
    <w:rsid w:val="00801449"/>
    <w:rsid w:val="008017B1"/>
    <w:rsid w:val="00801927"/>
    <w:rsid w:val="00801B78"/>
    <w:rsid w:val="00801DD4"/>
    <w:rsid w:val="008032E6"/>
    <w:rsid w:val="008034E9"/>
    <w:rsid w:val="0080364D"/>
    <w:rsid w:val="00803DA3"/>
    <w:rsid w:val="00803F36"/>
    <w:rsid w:val="0080456A"/>
    <w:rsid w:val="008046B1"/>
    <w:rsid w:val="00804742"/>
    <w:rsid w:val="00804940"/>
    <w:rsid w:val="00804C41"/>
    <w:rsid w:val="00804D09"/>
    <w:rsid w:val="00805142"/>
    <w:rsid w:val="0080534D"/>
    <w:rsid w:val="0080566B"/>
    <w:rsid w:val="0080568B"/>
    <w:rsid w:val="0080590D"/>
    <w:rsid w:val="00805DDA"/>
    <w:rsid w:val="00805FCE"/>
    <w:rsid w:val="008064D2"/>
    <w:rsid w:val="0080671F"/>
    <w:rsid w:val="00806C96"/>
    <w:rsid w:val="00806E90"/>
    <w:rsid w:val="0080707A"/>
    <w:rsid w:val="00807080"/>
    <w:rsid w:val="00807146"/>
    <w:rsid w:val="008072F0"/>
    <w:rsid w:val="008074A8"/>
    <w:rsid w:val="008078A4"/>
    <w:rsid w:val="00807A8B"/>
    <w:rsid w:val="00807D02"/>
    <w:rsid w:val="00810A35"/>
    <w:rsid w:val="00810A87"/>
    <w:rsid w:val="00810DE9"/>
    <w:rsid w:val="00810E20"/>
    <w:rsid w:val="0081121F"/>
    <w:rsid w:val="00811383"/>
    <w:rsid w:val="0081159B"/>
    <w:rsid w:val="008117E2"/>
    <w:rsid w:val="00812149"/>
    <w:rsid w:val="008124C0"/>
    <w:rsid w:val="00812649"/>
    <w:rsid w:val="00812CAC"/>
    <w:rsid w:val="0081329E"/>
    <w:rsid w:val="0081334A"/>
    <w:rsid w:val="0081345D"/>
    <w:rsid w:val="00813E62"/>
    <w:rsid w:val="00813F36"/>
    <w:rsid w:val="00813F48"/>
    <w:rsid w:val="008140C3"/>
    <w:rsid w:val="0081428B"/>
    <w:rsid w:val="008147FD"/>
    <w:rsid w:val="00814EE3"/>
    <w:rsid w:val="008152C0"/>
    <w:rsid w:val="00815E08"/>
    <w:rsid w:val="00815F2A"/>
    <w:rsid w:val="00816361"/>
    <w:rsid w:val="008166EF"/>
    <w:rsid w:val="008169D1"/>
    <w:rsid w:val="00816A2A"/>
    <w:rsid w:val="00816FEF"/>
    <w:rsid w:val="00817C16"/>
    <w:rsid w:val="00817ED5"/>
    <w:rsid w:val="00820A8C"/>
    <w:rsid w:val="00820ACF"/>
    <w:rsid w:val="00820B38"/>
    <w:rsid w:val="00820CBC"/>
    <w:rsid w:val="00820D28"/>
    <w:rsid w:val="0082159F"/>
    <w:rsid w:val="008215FB"/>
    <w:rsid w:val="00821827"/>
    <w:rsid w:val="00821DEB"/>
    <w:rsid w:val="00821E81"/>
    <w:rsid w:val="008220CC"/>
    <w:rsid w:val="008229B2"/>
    <w:rsid w:val="00823174"/>
    <w:rsid w:val="008237EF"/>
    <w:rsid w:val="008238FE"/>
    <w:rsid w:val="00823D4F"/>
    <w:rsid w:val="0082425C"/>
    <w:rsid w:val="008243A7"/>
    <w:rsid w:val="008248D6"/>
    <w:rsid w:val="00824B22"/>
    <w:rsid w:val="0082532F"/>
    <w:rsid w:val="008253CD"/>
    <w:rsid w:val="0082548A"/>
    <w:rsid w:val="00825505"/>
    <w:rsid w:val="0082562B"/>
    <w:rsid w:val="00825751"/>
    <w:rsid w:val="00825E19"/>
    <w:rsid w:val="0082646E"/>
    <w:rsid w:val="008264EB"/>
    <w:rsid w:val="00826557"/>
    <w:rsid w:val="008265B9"/>
    <w:rsid w:val="008268CE"/>
    <w:rsid w:val="00826D38"/>
    <w:rsid w:val="00826E63"/>
    <w:rsid w:val="008273B4"/>
    <w:rsid w:val="00827696"/>
    <w:rsid w:val="008279FF"/>
    <w:rsid w:val="00827AC3"/>
    <w:rsid w:val="00827C23"/>
    <w:rsid w:val="00827F36"/>
    <w:rsid w:val="00830B01"/>
    <w:rsid w:val="00831027"/>
    <w:rsid w:val="00831152"/>
    <w:rsid w:val="00831FB9"/>
    <w:rsid w:val="008320DD"/>
    <w:rsid w:val="008328B5"/>
    <w:rsid w:val="00832B43"/>
    <w:rsid w:val="00832FBF"/>
    <w:rsid w:val="008335EB"/>
    <w:rsid w:val="00833A82"/>
    <w:rsid w:val="00833B05"/>
    <w:rsid w:val="00833B81"/>
    <w:rsid w:val="00833EEF"/>
    <w:rsid w:val="008348D6"/>
    <w:rsid w:val="00834B9F"/>
    <w:rsid w:val="008352FA"/>
    <w:rsid w:val="0083560C"/>
    <w:rsid w:val="00835C63"/>
    <w:rsid w:val="00835EB0"/>
    <w:rsid w:val="00835F59"/>
    <w:rsid w:val="00835FE9"/>
    <w:rsid w:val="008360F5"/>
    <w:rsid w:val="008362B4"/>
    <w:rsid w:val="00836948"/>
    <w:rsid w:val="00836A1E"/>
    <w:rsid w:val="00836AFA"/>
    <w:rsid w:val="00837246"/>
    <w:rsid w:val="008374C5"/>
    <w:rsid w:val="00837A53"/>
    <w:rsid w:val="0084027A"/>
    <w:rsid w:val="0084046E"/>
    <w:rsid w:val="00840559"/>
    <w:rsid w:val="00840625"/>
    <w:rsid w:val="0084067B"/>
    <w:rsid w:val="00840C43"/>
    <w:rsid w:val="00840CA2"/>
    <w:rsid w:val="00841AE8"/>
    <w:rsid w:val="00841CD2"/>
    <w:rsid w:val="00841D84"/>
    <w:rsid w:val="00842184"/>
    <w:rsid w:val="00842324"/>
    <w:rsid w:val="00842B11"/>
    <w:rsid w:val="00842EF4"/>
    <w:rsid w:val="008434ED"/>
    <w:rsid w:val="0084374F"/>
    <w:rsid w:val="00843808"/>
    <w:rsid w:val="00843A78"/>
    <w:rsid w:val="00843CD6"/>
    <w:rsid w:val="00844A22"/>
    <w:rsid w:val="00844F72"/>
    <w:rsid w:val="0084516B"/>
    <w:rsid w:val="0084524F"/>
    <w:rsid w:val="008458CA"/>
    <w:rsid w:val="00845BFF"/>
    <w:rsid w:val="00845CEB"/>
    <w:rsid w:val="008468E6"/>
    <w:rsid w:val="00846C05"/>
    <w:rsid w:val="00846C20"/>
    <w:rsid w:val="00847703"/>
    <w:rsid w:val="00847904"/>
    <w:rsid w:val="00847DF5"/>
    <w:rsid w:val="00850756"/>
    <w:rsid w:val="00850B39"/>
    <w:rsid w:val="00850D82"/>
    <w:rsid w:val="008518CB"/>
    <w:rsid w:val="00852936"/>
    <w:rsid w:val="00852EDC"/>
    <w:rsid w:val="00852FF4"/>
    <w:rsid w:val="0085309D"/>
    <w:rsid w:val="00853223"/>
    <w:rsid w:val="008533CD"/>
    <w:rsid w:val="00853518"/>
    <w:rsid w:val="008539D5"/>
    <w:rsid w:val="00854433"/>
    <w:rsid w:val="008555B5"/>
    <w:rsid w:val="00855673"/>
    <w:rsid w:val="00855ACA"/>
    <w:rsid w:val="00856537"/>
    <w:rsid w:val="00856897"/>
    <w:rsid w:val="00856B52"/>
    <w:rsid w:val="00856E9A"/>
    <w:rsid w:val="00857649"/>
    <w:rsid w:val="00857E61"/>
    <w:rsid w:val="00860282"/>
    <w:rsid w:val="0086075D"/>
    <w:rsid w:val="008609D6"/>
    <w:rsid w:val="00860EFC"/>
    <w:rsid w:val="008611ED"/>
    <w:rsid w:val="00861470"/>
    <w:rsid w:val="00861D74"/>
    <w:rsid w:val="00861E24"/>
    <w:rsid w:val="00862502"/>
    <w:rsid w:val="00862778"/>
    <w:rsid w:val="00862CC1"/>
    <w:rsid w:val="00862D03"/>
    <w:rsid w:val="008632B8"/>
    <w:rsid w:val="008632F8"/>
    <w:rsid w:val="008636AB"/>
    <w:rsid w:val="008639BB"/>
    <w:rsid w:val="008642A7"/>
    <w:rsid w:val="00864BED"/>
    <w:rsid w:val="00864E17"/>
    <w:rsid w:val="00865240"/>
    <w:rsid w:val="008655E4"/>
    <w:rsid w:val="008657AE"/>
    <w:rsid w:val="008660D4"/>
    <w:rsid w:val="00866D05"/>
    <w:rsid w:val="00866FE6"/>
    <w:rsid w:val="00867197"/>
    <w:rsid w:val="008676FD"/>
    <w:rsid w:val="008677C7"/>
    <w:rsid w:val="00867B7D"/>
    <w:rsid w:val="00870921"/>
    <w:rsid w:val="008709C1"/>
    <w:rsid w:val="00870B43"/>
    <w:rsid w:val="00870D34"/>
    <w:rsid w:val="00870E3A"/>
    <w:rsid w:val="008713A5"/>
    <w:rsid w:val="00871FA9"/>
    <w:rsid w:val="00872266"/>
    <w:rsid w:val="0087278D"/>
    <w:rsid w:val="008728E9"/>
    <w:rsid w:val="00872D4A"/>
    <w:rsid w:val="00873256"/>
    <w:rsid w:val="008737BC"/>
    <w:rsid w:val="00873CD0"/>
    <w:rsid w:val="008744FC"/>
    <w:rsid w:val="008749D6"/>
    <w:rsid w:val="00874BE2"/>
    <w:rsid w:val="008751DF"/>
    <w:rsid w:val="0087546E"/>
    <w:rsid w:val="008759A2"/>
    <w:rsid w:val="00875B68"/>
    <w:rsid w:val="00875D3C"/>
    <w:rsid w:val="00876349"/>
    <w:rsid w:val="00876726"/>
    <w:rsid w:val="00876812"/>
    <w:rsid w:val="00876F8D"/>
    <w:rsid w:val="00877237"/>
    <w:rsid w:val="0087730D"/>
    <w:rsid w:val="00877574"/>
    <w:rsid w:val="0088070B"/>
    <w:rsid w:val="00880805"/>
    <w:rsid w:val="008813B9"/>
    <w:rsid w:val="00881499"/>
    <w:rsid w:val="0088171E"/>
    <w:rsid w:val="00881E8C"/>
    <w:rsid w:val="00881F1E"/>
    <w:rsid w:val="00882498"/>
    <w:rsid w:val="00882874"/>
    <w:rsid w:val="00882980"/>
    <w:rsid w:val="00882987"/>
    <w:rsid w:val="00882C1C"/>
    <w:rsid w:val="00882E3C"/>
    <w:rsid w:val="0088308A"/>
    <w:rsid w:val="008832BA"/>
    <w:rsid w:val="00883784"/>
    <w:rsid w:val="00883787"/>
    <w:rsid w:val="00883A75"/>
    <w:rsid w:val="00883C76"/>
    <w:rsid w:val="00883CC7"/>
    <w:rsid w:val="00883DC6"/>
    <w:rsid w:val="00884118"/>
    <w:rsid w:val="00884566"/>
    <w:rsid w:val="0088470F"/>
    <w:rsid w:val="008848C0"/>
    <w:rsid w:val="008848EA"/>
    <w:rsid w:val="00884AB7"/>
    <w:rsid w:val="00884DF9"/>
    <w:rsid w:val="00885519"/>
    <w:rsid w:val="008855E4"/>
    <w:rsid w:val="008856EB"/>
    <w:rsid w:val="00885744"/>
    <w:rsid w:val="00885780"/>
    <w:rsid w:val="00885782"/>
    <w:rsid w:val="008859C6"/>
    <w:rsid w:val="00885FE8"/>
    <w:rsid w:val="00886CD2"/>
    <w:rsid w:val="00886E67"/>
    <w:rsid w:val="00886F23"/>
    <w:rsid w:val="00887A5F"/>
    <w:rsid w:val="00887B51"/>
    <w:rsid w:val="00887B74"/>
    <w:rsid w:val="00887D77"/>
    <w:rsid w:val="0089081B"/>
    <w:rsid w:val="00890BF1"/>
    <w:rsid w:val="00890CA5"/>
    <w:rsid w:val="008916E6"/>
    <w:rsid w:val="008917B2"/>
    <w:rsid w:val="0089195C"/>
    <w:rsid w:val="00891E6F"/>
    <w:rsid w:val="008925A1"/>
    <w:rsid w:val="008926E5"/>
    <w:rsid w:val="0089275D"/>
    <w:rsid w:val="00892A36"/>
    <w:rsid w:val="00893239"/>
    <w:rsid w:val="008932EC"/>
    <w:rsid w:val="008937A5"/>
    <w:rsid w:val="00893987"/>
    <w:rsid w:val="00893CD1"/>
    <w:rsid w:val="00893D03"/>
    <w:rsid w:val="00893FB2"/>
    <w:rsid w:val="0089420E"/>
    <w:rsid w:val="00894489"/>
    <w:rsid w:val="00894776"/>
    <w:rsid w:val="00894CD6"/>
    <w:rsid w:val="00894CE5"/>
    <w:rsid w:val="00894DAD"/>
    <w:rsid w:val="00895351"/>
    <w:rsid w:val="00895B72"/>
    <w:rsid w:val="00895BB7"/>
    <w:rsid w:val="00895DFE"/>
    <w:rsid w:val="008963A5"/>
    <w:rsid w:val="00896D5D"/>
    <w:rsid w:val="00896EAC"/>
    <w:rsid w:val="00897359"/>
    <w:rsid w:val="008973C7"/>
    <w:rsid w:val="008978FD"/>
    <w:rsid w:val="00897CB3"/>
    <w:rsid w:val="00897E6A"/>
    <w:rsid w:val="008A0D10"/>
    <w:rsid w:val="008A0D36"/>
    <w:rsid w:val="008A13E9"/>
    <w:rsid w:val="008A15E4"/>
    <w:rsid w:val="008A1951"/>
    <w:rsid w:val="008A1D92"/>
    <w:rsid w:val="008A21DA"/>
    <w:rsid w:val="008A2821"/>
    <w:rsid w:val="008A2885"/>
    <w:rsid w:val="008A2BEF"/>
    <w:rsid w:val="008A2E7A"/>
    <w:rsid w:val="008A30D3"/>
    <w:rsid w:val="008A3158"/>
    <w:rsid w:val="008A3363"/>
    <w:rsid w:val="008A3371"/>
    <w:rsid w:val="008A3462"/>
    <w:rsid w:val="008A3800"/>
    <w:rsid w:val="008A39DD"/>
    <w:rsid w:val="008A3C3E"/>
    <w:rsid w:val="008A4022"/>
    <w:rsid w:val="008A40BA"/>
    <w:rsid w:val="008A44DD"/>
    <w:rsid w:val="008A45D8"/>
    <w:rsid w:val="008A477B"/>
    <w:rsid w:val="008A52A9"/>
    <w:rsid w:val="008A54AF"/>
    <w:rsid w:val="008A5A1C"/>
    <w:rsid w:val="008A5E13"/>
    <w:rsid w:val="008A5E46"/>
    <w:rsid w:val="008A6103"/>
    <w:rsid w:val="008A67C0"/>
    <w:rsid w:val="008A6A26"/>
    <w:rsid w:val="008A6B52"/>
    <w:rsid w:val="008A6D37"/>
    <w:rsid w:val="008A6FBE"/>
    <w:rsid w:val="008A709C"/>
    <w:rsid w:val="008A7799"/>
    <w:rsid w:val="008A7879"/>
    <w:rsid w:val="008A790A"/>
    <w:rsid w:val="008A79DE"/>
    <w:rsid w:val="008A7A70"/>
    <w:rsid w:val="008A7B85"/>
    <w:rsid w:val="008A7C65"/>
    <w:rsid w:val="008A7EC7"/>
    <w:rsid w:val="008B0747"/>
    <w:rsid w:val="008B07F0"/>
    <w:rsid w:val="008B084F"/>
    <w:rsid w:val="008B0937"/>
    <w:rsid w:val="008B0A16"/>
    <w:rsid w:val="008B0D59"/>
    <w:rsid w:val="008B1757"/>
    <w:rsid w:val="008B1A13"/>
    <w:rsid w:val="008B1C33"/>
    <w:rsid w:val="008B1CC6"/>
    <w:rsid w:val="008B1E9F"/>
    <w:rsid w:val="008B216E"/>
    <w:rsid w:val="008B25CA"/>
    <w:rsid w:val="008B27A5"/>
    <w:rsid w:val="008B36CA"/>
    <w:rsid w:val="008B3C30"/>
    <w:rsid w:val="008B3DAE"/>
    <w:rsid w:val="008B3E60"/>
    <w:rsid w:val="008B4653"/>
    <w:rsid w:val="008B49E6"/>
    <w:rsid w:val="008B4A43"/>
    <w:rsid w:val="008B4B6F"/>
    <w:rsid w:val="008B4BE2"/>
    <w:rsid w:val="008B4E50"/>
    <w:rsid w:val="008B570A"/>
    <w:rsid w:val="008B5BFA"/>
    <w:rsid w:val="008B618C"/>
    <w:rsid w:val="008B6E0B"/>
    <w:rsid w:val="008B7234"/>
    <w:rsid w:val="008B7992"/>
    <w:rsid w:val="008B7D7E"/>
    <w:rsid w:val="008C011A"/>
    <w:rsid w:val="008C0211"/>
    <w:rsid w:val="008C1037"/>
    <w:rsid w:val="008C10B2"/>
    <w:rsid w:val="008C1326"/>
    <w:rsid w:val="008C1571"/>
    <w:rsid w:val="008C1A1D"/>
    <w:rsid w:val="008C1B35"/>
    <w:rsid w:val="008C1EF4"/>
    <w:rsid w:val="008C20A1"/>
    <w:rsid w:val="008C24B9"/>
    <w:rsid w:val="008C2688"/>
    <w:rsid w:val="008C26BD"/>
    <w:rsid w:val="008C2DCF"/>
    <w:rsid w:val="008C333C"/>
    <w:rsid w:val="008C33FC"/>
    <w:rsid w:val="008C38CF"/>
    <w:rsid w:val="008C4E7E"/>
    <w:rsid w:val="008C544B"/>
    <w:rsid w:val="008C5610"/>
    <w:rsid w:val="008C56BB"/>
    <w:rsid w:val="008C5739"/>
    <w:rsid w:val="008C5BFD"/>
    <w:rsid w:val="008C5C94"/>
    <w:rsid w:val="008C6171"/>
    <w:rsid w:val="008C6316"/>
    <w:rsid w:val="008C69FE"/>
    <w:rsid w:val="008C6B75"/>
    <w:rsid w:val="008C6EC7"/>
    <w:rsid w:val="008C70F3"/>
    <w:rsid w:val="008C7282"/>
    <w:rsid w:val="008C7353"/>
    <w:rsid w:val="008C7ECB"/>
    <w:rsid w:val="008D17F2"/>
    <w:rsid w:val="008D2058"/>
    <w:rsid w:val="008D2480"/>
    <w:rsid w:val="008D2634"/>
    <w:rsid w:val="008D26B2"/>
    <w:rsid w:val="008D288D"/>
    <w:rsid w:val="008D28BA"/>
    <w:rsid w:val="008D3B86"/>
    <w:rsid w:val="008D3BA5"/>
    <w:rsid w:val="008D40FB"/>
    <w:rsid w:val="008D43FD"/>
    <w:rsid w:val="008D4755"/>
    <w:rsid w:val="008D4B8D"/>
    <w:rsid w:val="008D4C3D"/>
    <w:rsid w:val="008D5047"/>
    <w:rsid w:val="008D520A"/>
    <w:rsid w:val="008D56F1"/>
    <w:rsid w:val="008D592C"/>
    <w:rsid w:val="008D59FA"/>
    <w:rsid w:val="008D5E69"/>
    <w:rsid w:val="008D7368"/>
    <w:rsid w:val="008D743C"/>
    <w:rsid w:val="008D7C67"/>
    <w:rsid w:val="008E00FE"/>
    <w:rsid w:val="008E05D1"/>
    <w:rsid w:val="008E05F2"/>
    <w:rsid w:val="008E0A67"/>
    <w:rsid w:val="008E0D3C"/>
    <w:rsid w:val="008E0F9F"/>
    <w:rsid w:val="008E10FA"/>
    <w:rsid w:val="008E19C5"/>
    <w:rsid w:val="008E1B9E"/>
    <w:rsid w:val="008E1C67"/>
    <w:rsid w:val="008E20E0"/>
    <w:rsid w:val="008E2661"/>
    <w:rsid w:val="008E26BA"/>
    <w:rsid w:val="008E2AB7"/>
    <w:rsid w:val="008E2B4B"/>
    <w:rsid w:val="008E3453"/>
    <w:rsid w:val="008E3504"/>
    <w:rsid w:val="008E39EE"/>
    <w:rsid w:val="008E3D5B"/>
    <w:rsid w:val="008E47B1"/>
    <w:rsid w:val="008E4AF6"/>
    <w:rsid w:val="008E51A5"/>
    <w:rsid w:val="008E55AB"/>
    <w:rsid w:val="008E5913"/>
    <w:rsid w:val="008E5D82"/>
    <w:rsid w:val="008E6D32"/>
    <w:rsid w:val="008E6D69"/>
    <w:rsid w:val="008E721D"/>
    <w:rsid w:val="008E7BAC"/>
    <w:rsid w:val="008F00FE"/>
    <w:rsid w:val="008F01A4"/>
    <w:rsid w:val="008F0EFC"/>
    <w:rsid w:val="008F120A"/>
    <w:rsid w:val="008F1588"/>
    <w:rsid w:val="008F18F7"/>
    <w:rsid w:val="008F245F"/>
    <w:rsid w:val="008F27E0"/>
    <w:rsid w:val="008F2F20"/>
    <w:rsid w:val="008F31BA"/>
    <w:rsid w:val="008F3D85"/>
    <w:rsid w:val="008F430B"/>
    <w:rsid w:val="008F47B0"/>
    <w:rsid w:val="008F48EB"/>
    <w:rsid w:val="008F49D4"/>
    <w:rsid w:val="008F4A46"/>
    <w:rsid w:val="008F4DFC"/>
    <w:rsid w:val="008F4E7E"/>
    <w:rsid w:val="008F4F0B"/>
    <w:rsid w:val="008F50E6"/>
    <w:rsid w:val="008F5A21"/>
    <w:rsid w:val="008F5C8F"/>
    <w:rsid w:val="008F645C"/>
    <w:rsid w:val="008F7928"/>
    <w:rsid w:val="008F7CA1"/>
    <w:rsid w:val="009000E7"/>
    <w:rsid w:val="00900844"/>
    <w:rsid w:val="00901015"/>
    <w:rsid w:val="00901049"/>
    <w:rsid w:val="0090126C"/>
    <w:rsid w:val="0090169D"/>
    <w:rsid w:val="00901C8A"/>
    <w:rsid w:val="00901E7B"/>
    <w:rsid w:val="009020C5"/>
    <w:rsid w:val="00902663"/>
    <w:rsid w:val="00902692"/>
    <w:rsid w:val="0090274E"/>
    <w:rsid w:val="009029ED"/>
    <w:rsid w:val="00902B4C"/>
    <w:rsid w:val="00902D86"/>
    <w:rsid w:val="0090318A"/>
    <w:rsid w:val="009034D0"/>
    <w:rsid w:val="00903CC1"/>
    <w:rsid w:val="00903E9A"/>
    <w:rsid w:val="009043F4"/>
    <w:rsid w:val="0090454E"/>
    <w:rsid w:val="0090455D"/>
    <w:rsid w:val="009046C4"/>
    <w:rsid w:val="0090483C"/>
    <w:rsid w:val="00904FC8"/>
    <w:rsid w:val="00905473"/>
    <w:rsid w:val="009058CE"/>
    <w:rsid w:val="00905A28"/>
    <w:rsid w:val="00905AA6"/>
    <w:rsid w:val="00905BDE"/>
    <w:rsid w:val="00905FA1"/>
    <w:rsid w:val="0090605F"/>
    <w:rsid w:val="00906139"/>
    <w:rsid w:val="009062A5"/>
    <w:rsid w:val="009065C2"/>
    <w:rsid w:val="00906B50"/>
    <w:rsid w:val="00906D2D"/>
    <w:rsid w:val="00906DA4"/>
    <w:rsid w:val="009075CE"/>
    <w:rsid w:val="00907699"/>
    <w:rsid w:val="009077AE"/>
    <w:rsid w:val="00907D2C"/>
    <w:rsid w:val="00907DB6"/>
    <w:rsid w:val="009107FC"/>
    <w:rsid w:val="00910FA7"/>
    <w:rsid w:val="00911272"/>
    <w:rsid w:val="00911339"/>
    <w:rsid w:val="00911634"/>
    <w:rsid w:val="009117B9"/>
    <w:rsid w:val="00911855"/>
    <w:rsid w:val="00911868"/>
    <w:rsid w:val="00911A95"/>
    <w:rsid w:val="00912102"/>
    <w:rsid w:val="00912264"/>
    <w:rsid w:val="00912820"/>
    <w:rsid w:val="0091298F"/>
    <w:rsid w:val="009129DC"/>
    <w:rsid w:val="00913075"/>
    <w:rsid w:val="00913094"/>
    <w:rsid w:val="00913147"/>
    <w:rsid w:val="009135D6"/>
    <w:rsid w:val="00913752"/>
    <w:rsid w:val="00913B98"/>
    <w:rsid w:val="00913C87"/>
    <w:rsid w:val="00913D4C"/>
    <w:rsid w:val="0091458A"/>
    <w:rsid w:val="00914978"/>
    <w:rsid w:val="00914AD6"/>
    <w:rsid w:val="00914C77"/>
    <w:rsid w:val="00914E8F"/>
    <w:rsid w:val="009156C5"/>
    <w:rsid w:val="00915922"/>
    <w:rsid w:val="00915935"/>
    <w:rsid w:val="00915A2F"/>
    <w:rsid w:val="00915C6A"/>
    <w:rsid w:val="00916568"/>
    <w:rsid w:val="00916B81"/>
    <w:rsid w:val="00916C6C"/>
    <w:rsid w:val="0091728A"/>
    <w:rsid w:val="0091742D"/>
    <w:rsid w:val="00917579"/>
    <w:rsid w:val="0091759E"/>
    <w:rsid w:val="00917608"/>
    <w:rsid w:val="00917888"/>
    <w:rsid w:val="00917A4B"/>
    <w:rsid w:val="00917CF8"/>
    <w:rsid w:val="00917F1C"/>
    <w:rsid w:val="009200B9"/>
    <w:rsid w:val="009201CD"/>
    <w:rsid w:val="009201DA"/>
    <w:rsid w:val="0092022E"/>
    <w:rsid w:val="009204B1"/>
    <w:rsid w:val="00920C2E"/>
    <w:rsid w:val="00920CF7"/>
    <w:rsid w:val="00920EEB"/>
    <w:rsid w:val="009216EF"/>
    <w:rsid w:val="00921A2E"/>
    <w:rsid w:val="00921ACB"/>
    <w:rsid w:val="00921EDB"/>
    <w:rsid w:val="00921F4A"/>
    <w:rsid w:val="009221C8"/>
    <w:rsid w:val="009223F9"/>
    <w:rsid w:val="00922CE2"/>
    <w:rsid w:val="0092369B"/>
    <w:rsid w:val="00923726"/>
    <w:rsid w:val="00923830"/>
    <w:rsid w:val="00923E51"/>
    <w:rsid w:val="00923FB0"/>
    <w:rsid w:val="00924DB9"/>
    <w:rsid w:val="0092506C"/>
    <w:rsid w:val="0092526F"/>
    <w:rsid w:val="0092595F"/>
    <w:rsid w:val="00925F0A"/>
    <w:rsid w:val="00925FAA"/>
    <w:rsid w:val="00925FC9"/>
    <w:rsid w:val="00926460"/>
    <w:rsid w:val="009264BF"/>
    <w:rsid w:val="009265ED"/>
    <w:rsid w:val="0092698D"/>
    <w:rsid w:val="00926C86"/>
    <w:rsid w:val="00926E8C"/>
    <w:rsid w:val="00926EBB"/>
    <w:rsid w:val="009270B2"/>
    <w:rsid w:val="0092787F"/>
    <w:rsid w:val="00927D05"/>
    <w:rsid w:val="00927D3E"/>
    <w:rsid w:val="00927D8D"/>
    <w:rsid w:val="0093079A"/>
    <w:rsid w:val="009309EB"/>
    <w:rsid w:val="00930A67"/>
    <w:rsid w:val="00930B71"/>
    <w:rsid w:val="00930FE5"/>
    <w:rsid w:val="00931335"/>
    <w:rsid w:val="0093198E"/>
    <w:rsid w:val="00931B57"/>
    <w:rsid w:val="00931D57"/>
    <w:rsid w:val="0093207E"/>
    <w:rsid w:val="009320F6"/>
    <w:rsid w:val="0093249A"/>
    <w:rsid w:val="009326F6"/>
    <w:rsid w:val="00932FA6"/>
    <w:rsid w:val="009336D2"/>
    <w:rsid w:val="009343D1"/>
    <w:rsid w:val="00934988"/>
    <w:rsid w:val="00934B52"/>
    <w:rsid w:val="00934DA8"/>
    <w:rsid w:val="00934E3E"/>
    <w:rsid w:val="00935200"/>
    <w:rsid w:val="00935CFA"/>
    <w:rsid w:val="00936666"/>
    <w:rsid w:val="00936A17"/>
    <w:rsid w:val="00936B8D"/>
    <w:rsid w:val="00937089"/>
    <w:rsid w:val="00937AF1"/>
    <w:rsid w:val="00937E14"/>
    <w:rsid w:val="00937E42"/>
    <w:rsid w:val="00937E87"/>
    <w:rsid w:val="009406E1"/>
    <w:rsid w:val="00940880"/>
    <w:rsid w:val="009409DE"/>
    <w:rsid w:val="00940F7B"/>
    <w:rsid w:val="00941673"/>
    <w:rsid w:val="00941A0A"/>
    <w:rsid w:val="00941CDA"/>
    <w:rsid w:val="0094232F"/>
    <w:rsid w:val="00942BA6"/>
    <w:rsid w:val="00942E07"/>
    <w:rsid w:val="009431C8"/>
    <w:rsid w:val="0094344C"/>
    <w:rsid w:val="0094364E"/>
    <w:rsid w:val="0094397C"/>
    <w:rsid w:val="00944F8A"/>
    <w:rsid w:val="00945532"/>
    <w:rsid w:val="00945B4A"/>
    <w:rsid w:val="00945B56"/>
    <w:rsid w:val="00946059"/>
    <w:rsid w:val="009467D5"/>
    <w:rsid w:val="00946D52"/>
    <w:rsid w:val="00946FF6"/>
    <w:rsid w:val="00947B3D"/>
    <w:rsid w:val="00947E0D"/>
    <w:rsid w:val="00947F41"/>
    <w:rsid w:val="00947FF7"/>
    <w:rsid w:val="00950216"/>
    <w:rsid w:val="009510A2"/>
    <w:rsid w:val="00951163"/>
    <w:rsid w:val="00951226"/>
    <w:rsid w:val="009513A2"/>
    <w:rsid w:val="009513EA"/>
    <w:rsid w:val="00951455"/>
    <w:rsid w:val="00951740"/>
    <w:rsid w:val="0095187A"/>
    <w:rsid w:val="00951A9D"/>
    <w:rsid w:val="00951AE6"/>
    <w:rsid w:val="0095284E"/>
    <w:rsid w:val="00953257"/>
    <w:rsid w:val="0095371E"/>
    <w:rsid w:val="009538B0"/>
    <w:rsid w:val="00953B4D"/>
    <w:rsid w:val="00953BF4"/>
    <w:rsid w:val="00953CCA"/>
    <w:rsid w:val="00953E09"/>
    <w:rsid w:val="00953EFB"/>
    <w:rsid w:val="00953F79"/>
    <w:rsid w:val="00953FB7"/>
    <w:rsid w:val="0095474C"/>
    <w:rsid w:val="009549E3"/>
    <w:rsid w:val="00955220"/>
    <w:rsid w:val="00955A30"/>
    <w:rsid w:val="00955ACC"/>
    <w:rsid w:val="00955D47"/>
    <w:rsid w:val="00955F2D"/>
    <w:rsid w:val="0095603F"/>
    <w:rsid w:val="009562AB"/>
    <w:rsid w:val="00956731"/>
    <w:rsid w:val="00956748"/>
    <w:rsid w:val="00956943"/>
    <w:rsid w:val="00956FE0"/>
    <w:rsid w:val="009571FC"/>
    <w:rsid w:val="0095756B"/>
    <w:rsid w:val="0095759E"/>
    <w:rsid w:val="0095760E"/>
    <w:rsid w:val="00957BBB"/>
    <w:rsid w:val="00957CDF"/>
    <w:rsid w:val="00957D92"/>
    <w:rsid w:val="00957E47"/>
    <w:rsid w:val="00960274"/>
    <w:rsid w:val="00960371"/>
    <w:rsid w:val="009603B3"/>
    <w:rsid w:val="0096055C"/>
    <w:rsid w:val="00961075"/>
    <w:rsid w:val="00961348"/>
    <w:rsid w:val="00961794"/>
    <w:rsid w:val="0096202F"/>
    <w:rsid w:val="00962709"/>
    <w:rsid w:val="00962CB9"/>
    <w:rsid w:val="00962EFA"/>
    <w:rsid w:val="009636A6"/>
    <w:rsid w:val="009639D8"/>
    <w:rsid w:val="00963E7D"/>
    <w:rsid w:val="00963F92"/>
    <w:rsid w:val="00964312"/>
    <w:rsid w:val="0096485D"/>
    <w:rsid w:val="00964B89"/>
    <w:rsid w:val="00964CE7"/>
    <w:rsid w:val="00964CEF"/>
    <w:rsid w:val="009650A7"/>
    <w:rsid w:val="00965200"/>
    <w:rsid w:val="009658B7"/>
    <w:rsid w:val="00965B8A"/>
    <w:rsid w:val="009666D2"/>
    <w:rsid w:val="00966874"/>
    <w:rsid w:val="00966D72"/>
    <w:rsid w:val="00966E48"/>
    <w:rsid w:val="00967200"/>
    <w:rsid w:val="0096784F"/>
    <w:rsid w:val="0097014D"/>
    <w:rsid w:val="00970389"/>
    <w:rsid w:val="0097039E"/>
    <w:rsid w:val="0097071F"/>
    <w:rsid w:val="009710E6"/>
    <w:rsid w:val="00971164"/>
    <w:rsid w:val="009717AC"/>
    <w:rsid w:val="00971E62"/>
    <w:rsid w:val="0097209E"/>
    <w:rsid w:val="00972BA3"/>
    <w:rsid w:val="00972CC1"/>
    <w:rsid w:val="00972E3A"/>
    <w:rsid w:val="00972F15"/>
    <w:rsid w:val="0097337E"/>
    <w:rsid w:val="00973650"/>
    <w:rsid w:val="0097392E"/>
    <w:rsid w:val="00973E71"/>
    <w:rsid w:val="009745C9"/>
    <w:rsid w:val="0097473E"/>
    <w:rsid w:val="00974C91"/>
    <w:rsid w:val="009751C1"/>
    <w:rsid w:val="00975AFA"/>
    <w:rsid w:val="00976C9F"/>
    <w:rsid w:val="009811F1"/>
    <w:rsid w:val="00981749"/>
    <w:rsid w:val="0098183A"/>
    <w:rsid w:val="00981D55"/>
    <w:rsid w:val="00981DED"/>
    <w:rsid w:val="00982396"/>
    <w:rsid w:val="009823BF"/>
    <w:rsid w:val="0098262F"/>
    <w:rsid w:val="00982774"/>
    <w:rsid w:val="009829FB"/>
    <w:rsid w:val="00982BB3"/>
    <w:rsid w:val="00982F26"/>
    <w:rsid w:val="00983266"/>
    <w:rsid w:val="00983306"/>
    <w:rsid w:val="00983644"/>
    <w:rsid w:val="00983649"/>
    <w:rsid w:val="00983888"/>
    <w:rsid w:val="00983E57"/>
    <w:rsid w:val="00984390"/>
    <w:rsid w:val="0098460B"/>
    <w:rsid w:val="00985D66"/>
    <w:rsid w:val="00985DE2"/>
    <w:rsid w:val="00986219"/>
    <w:rsid w:val="0098675D"/>
    <w:rsid w:val="009869E6"/>
    <w:rsid w:val="00986B58"/>
    <w:rsid w:val="00986BE7"/>
    <w:rsid w:val="00986EB4"/>
    <w:rsid w:val="00987489"/>
    <w:rsid w:val="00987880"/>
    <w:rsid w:val="00987BA4"/>
    <w:rsid w:val="00987D78"/>
    <w:rsid w:val="00987E29"/>
    <w:rsid w:val="00987E5E"/>
    <w:rsid w:val="00987F55"/>
    <w:rsid w:val="00987F79"/>
    <w:rsid w:val="0099059E"/>
    <w:rsid w:val="00990BB0"/>
    <w:rsid w:val="009910F8"/>
    <w:rsid w:val="009912D8"/>
    <w:rsid w:val="009919D8"/>
    <w:rsid w:val="00991BBA"/>
    <w:rsid w:val="009926E0"/>
    <w:rsid w:val="009929FC"/>
    <w:rsid w:val="00992B68"/>
    <w:rsid w:val="00993EBD"/>
    <w:rsid w:val="0099451E"/>
    <w:rsid w:val="009950FA"/>
    <w:rsid w:val="009951A2"/>
    <w:rsid w:val="00995232"/>
    <w:rsid w:val="00995334"/>
    <w:rsid w:val="00995358"/>
    <w:rsid w:val="00995A07"/>
    <w:rsid w:val="009963ED"/>
    <w:rsid w:val="009965C2"/>
    <w:rsid w:val="009966A5"/>
    <w:rsid w:val="009967D2"/>
    <w:rsid w:val="00996A95"/>
    <w:rsid w:val="00996B1A"/>
    <w:rsid w:val="00996E3C"/>
    <w:rsid w:val="0099708B"/>
    <w:rsid w:val="009970D9"/>
    <w:rsid w:val="00997C37"/>
    <w:rsid w:val="00997FD9"/>
    <w:rsid w:val="009A0442"/>
    <w:rsid w:val="009A05B6"/>
    <w:rsid w:val="009A06DD"/>
    <w:rsid w:val="009A10C3"/>
    <w:rsid w:val="009A18F6"/>
    <w:rsid w:val="009A19A6"/>
    <w:rsid w:val="009A1B92"/>
    <w:rsid w:val="009A204D"/>
    <w:rsid w:val="009A27A1"/>
    <w:rsid w:val="009A2905"/>
    <w:rsid w:val="009A294A"/>
    <w:rsid w:val="009A2B8E"/>
    <w:rsid w:val="009A2DCC"/>
    <w:rsid w:val="009A3D7A"/>
    <w:rsid w:val="009A3FBD"/>
    <w:rsid w:val="009A439D"/>
    <w:rsid w:val="009A4855"/>
    <w:rsid w:val="009A50DB"/>
    <w:rsid w:val="009A552D"/>
    <w:rsid w:val="009A5ABC"/>
    <w:rsid w:val="009A5AF8"/>
    <w:rsid w:val="009A621C"/>
    <w:rsid w:val="009A69A4"/>
    <w:rsid w:val="009A7530"/>
    <w:rsid w:val="009A75AD"/>
    <w:rsid w:val="009A7A1D"/>
    <w:rsid w:val="009A7F10"/>
    <w:rsid w:val="009B06E2"/>
    <w:rsid w:val="009B0B9B"/>
    <w:rsid w:val="009B0EF0"/>
    <w:rsid w:val="009B11D2"/>
    <w:rsid w:val="009B1350"/>
    <w:rsid w:val="009B1533"/>
    <w:rsid w:val="009B1C59"/>
    <w:rsid w:val="009B1E3E"/>
    <w:rsid w:val="009B217F"/>
    <w:rsid w:val="009B2346"/>
    <w:rsid w:val="009B275C"/>
    <w:rsid w:val="009B2848"/>
    <w:rsid w:val="009B2D91"/>
    <w:rsid w:val="009B2F89"/>
    <w:rsid w:val="009B3B67"/>
    <w:rsid w:val="009B3E26"/>
    <w:rsid w:val="009B481A"/>
    <w:rsid w:val="009B4D71"/>
    <w:rsid w:val="009B503E"/>
    <w:rsid w:val="009B537A"/>
    <w:rsid w:val="009B5561"/>
    <w:rsid w:val="009B5832"/>
    <w:rsid w:val="009B5CBE"/>
    <w:rsid w:val="009B65F4"/>
    <w:rsid w:val="009B7031"/>
    <w:rsid w:val="009B7928"/>
    <w:rsid w:val="009B7DCA"/>
    <w:rsid w:val="009B7FCF"/>
    <w:rsid w:val="009C03C9"/>
    <w:rsid w:val="009C074D"/>
    <w:rsid w:val="009C0A31"/>
    <w:rsid w:val="009C0CD3"/>
    <w:rsid w:val="009C1271"/>
    <w:rsid w:val="009C12CF"/>
    <w:rsid w:val="009C1445"/>
    <w:rsid w:val="009C15D9"/>
    <w:rsid w:val="009C1614"/>
    <w:rsid w:val="009C18EF"/>
    <w:rsid w:val="009C1A68"/>
    <w:rsid w:val="009C22CB"/>
    <w:rsid w:val="009C260E"/>
    <w:rsid w:val="009C267B"/>
    <w:rsid w:val="009C276F"/>
    <w:rsid w:val="009C2A85"/>
    <w:rsid w:val="009C2D90"/>
    <w:rsid w:val="009C3236"/>
    <w:rsid w:val="009C342A"/>
    <w:rsid w:val="009C3706"/>
    <w:rsid w:val="009C3A3A"/>
    <w:rsid w:val="009C3B70"/>
    <w:rsid w:val="009C426B"/>
    <w:rsid w:val="009C4483"/>
    <w:rsid w:val="009C4575"/>
    <w:rsid w:val="009C45EF"/>
    <w:rsid w:val="009C4695"/>
    <w:rsid w:val="009C473E"/>
    <w:rsid w:val="009C47E7"/>
    <w:rsid w:val="009C49B2"/>
    <w:rsid w:val="009C4AC3"/>
    <w:rsid w:val="009C4B79"/>
    <w:rsid w:val="009C55AA"/>
    <w:rsid w:val="009C5839"/>
    <w:rsid w:val="009C5C24"/>
    <w:rsid w:val="009C5C82"/>
    <w:rsid w:val="009C5ED1"/>
    <w:rsid w:val="009C5EFB"/>
    <w:rsid w:val="009C62D8"/>
    <w:rsid w:val="009C69EA"/>
    <w:rsid w:val="009C6CA4"/>
    <w:rsid w:val="009C6CEA"/>
    <w:rsid w:val="009C7A5B"/>
    <w:rsid w:val="009C7B85"/>
    <w:rsid w:val="009C7F15"/>
    <w:rsid w:val="009C7FAD"/>
    <w:rsid w:val="009D0254"/>
    <w:rsid w:val="009D05C4"/>
    <w:rsid w:val="009D0844"/>
    <w:rsid w:val="009D0A79"/>
    <w:rsid w:val="009D0EDE"/>
    <w:rsid w:val="009D1354"/>
    <w:rsid w:val="009D199C"/>
    <w:rsid w:val="009D1A64"/>
    <w:rsid w:val="009D1B15"/>
    <w:rsid w:val="009D1E46"/>
    <w:rsid w:val="009D2095"/>
    <w:rsid w:val="009D2EF7"/>
    <w:rsid w:val="009D31E6"/>
    <w:rsid w:val="009D32F8"/>
    <w:rsid w:val="009D4D2A"/>
    <w:rsid w:val="009D4EE8"/>
    <w:rsid w:val="009D542D"/>
    <w:rsid w:val="009D54C0"/>
    <w:rsid w:val="009D5B91"/>
    <w:rsid w:val="009D68D3"/>
    <w:rsid w:val="009D7232"/>
    <w:rsid w:val="009D7559"/>
    <w:rsid w:val="009D76FC"/>
    <w:rsid w:val="009D792E"/>
    <w:rsid w:val="009D7DF0"/>
    <w:rsid w:val="009D7E1A"/>
    <w:rsid w:val="009D7FA7"/>
    <w:rsid w:val="009E041D"/>
    <w:rsid w:val="009E051D"/>
    <w:rsid w:val="009E0541"/>
    <w:rsid w:val="009E0DFE"/>
    <w:rsid w:val="009E0E25"/>
    <w:rsid w:val="009E11A0"/>
    <w:rsid w:val="009E1CEA"/>
    <w:rsid w:val="009E1D2D"/>
    <w:rsid w:val="009E213B"/>
    <w:rsid w:val="009E31F6"/>
    <w:rsid w:val="009E3C96"/>
    <w:rsid w:val="009E44BA"/>
    <w:rsid w:val="009E4957"/>
    <w:rsid w:val="009E4A24"/>
    <w:rsid w:val="009E4C07"/>
    <w:rsid w:val="009E50EB"/>
    <w:rsid w:val="009E61DC"/>
    <w:rsid w:val="009E66AF"/>
    <w:rsid w:val="009E777F"/>
    <w:rsid w:val="009E77C0"/>
    <w:rsid w:val="009E7A36"/>
    <w:rsid w:val="009E7E09"/>
    <w:rsid w:val="009E7F46"/>
    <w:rsid w:val="009F0193"/>
    <w:rsid w:val="009F031B"/>
    <w:rsid w:val="009F049A"/>
    <w:rsid w:val="009F086F"/>
    <w:rsid w:val="009F08A7"/>
    <w:rsid w:val="009F09FA"/>
    <w:rsid w:val="009F0B89"/>
    <w:rsid w:val="009F138D"/>
    <w:rsid w:val="009F1905"/>
    <w:rsid w:val="009F1C8C"/>
    <w:rsid w:val="009F24CA"/>
    <w:rsid w:val="009F2826"/>
    <w:rsid w:val="009F2B5A"/>
    <w:rsid w:val="009F31E1"/>
    <w:rsid w:val="009F3434"/>
    <w:rsid w:val="009F3998"/>
    <w:rsid w:val="009F45B6"/>
    <w:rsid w:val="009F4E9F"/>
    <w:rsid w:val="009F5CF3"/>
    <w:rsid w:val="009F6120"/>
    <w:rsid w:val="009F73F6"/>
    <w:rsid w:val="009F7FE5"/>
    <w:rsid w:val="00A00695"/>
    <w:rsid w:val="00A00A5C"/>
    <w:rsid w:val="00A00C31"/>
    <w:rsid w:val="00A00D76"/>
    <w:rsid w:val="00A00F2A"/>
    <w:rsid w:val="00A01184"/>
    <w:rsid w:val="00A012C8"/>
    <w:rsid w:val="00A01449"/>
    <w:rsid w:val="00A015CC"/>
    <w:rsid w:val="00A01648"/>
    <w:rsid w:val="00A0171B"/>
    <w:rsid w:val="00A0178F"/>
    <w:rsid w:val="00A0192F"/>
    <w:rsid w:val="00A01A28"/>
    <w:rsid w:val="00A01AB6"/>
    <w:rsid w:val="00A01EA0"/>
    <w:rsid w:val="00A0203D"/>
    <w:rsid w:val="00A02048"/>
    <w:rsid w:val="00A027AB"/>
    <w:rsid w:val="00A02A31"/>
    <w:rsid w:val="00A02D50"/>
    <w:rsid w:val="00A037C2"/>
    <w:rsid w:val="00A03B99"/>
    <w:rsid w:val="00A03D43"/>
    <w:rsid w:val="00A04380"/>
    <w:rsid w:val="00A04786"/>
    <w:rsid w:val="00A0494A"/>
    <w:rsid w:val="00A04C5F"/>
    <w:rsid w:val="00A05472"/>
    <w:rsid w:val="00A05C32"/>
    <w:rsid w:val="00A05E02"/>
    <w:rsid w:val="00A0653F"/>
    <w:rsid w:val="00A065F6"/>
    <w:rsid w:val="00A0683C"/>
    <w:rsid w:val="00A07141"/>
    <w:rsid w:val="00A07722"/>
    <w:rsid w:val="00A07CD3"/>
    <w:rsid w:val="00A10315"/>
    <w:rsid w:val="00A1075B"/>
    <w:rsid w:val="00A1169F"/>
    <w:rsid w:val="00A116C5"/>
    <w:rsid w:val="00A119EB"/>
    <w:rsid w:val="00A11CD0"/>
    <w:rsid w:val="00A1259B"/>
    <w:rsid w:val="00A125A8"/>
    <w:rsid w:val="00A12929"/>
    <w:rsid w:val="00A12B1D"/>
    <w:rsid w:val="00A13506"/>
    <w:rsid w:val="00A13650"/>
    <w:rsid w:val="00A138AC"/>
    <w:rsid w:val="00A13948"/>
    <w:rsid w:val="00A14594"/>
    <w:rsid w:val="00A145CE"/>
    <w:rsid w:val="00A1464A"/>
    <w:rsid w:val="00A15096"/>
    <w:rsid w:val="00A15320"/>
    <w:rsid w:val="00A1555B"/>
    <w:rsid w:val="00A155C5"/>
    <w:rsid w:val="00A162F4"/>
    <w:rsid w:val="00A1648D"/>
    <w:rsid w:val="00A167A7"/>
    <w:rsid w:val="00A16806"/>
    <w:rsid w:val="00A1682C"/>
    <w:rsid w:val="00A1694C"/>
    <w:rsid w:val="00A16AAE"/>
    <w:rsid w:val="00A16AD8"/>
    <w:rsid w:val="00A16CB6"/>
    <w:rsid w:val="00A173ED"/>
    <w:rsid w:val="00A1779A"/>
    <w:rsid w:val="00A17B9A"/>
    <w:rsid w:val="00A17EE7"/>
    <w:rsid w:val="00A20157"/>
    <w:rsid w:val="00A2021E"/>
    <w:rsid w:val="00A2027C"/>
    <w:rsid w:val="00A205AC"/>
    <w:rsid w:val="00A2071D"/>
    <w:rsid w:val="00A208B1"/>
    <w:rsid w:val="00A209CF"/>
    <w:rsid w:val="00A20FC6"/>
    <w:rsid w:val="00A211D5"/>
    <w:rsid w:val="00A21B80"/>
    <w:rsid w:val="00A21C95"/>
    <w:rsid w:val="00A21CF3"/>
    <w:rsid w:val="00A21F08"/>
    <w:rsid w:val="00A22417"/>
    <w:rsid w:val="00A22BC9"/>
    <w:rsid w:val="00A23095"/>
    <w:rsid w:val="00A23246"/>
    <w:rsid w:val="00A2347A"/>
    <w:rsid w:val="00A23D73"/>
    <w:rsid w:val="00A2421A"/>
    <w:rsid w:val="00A2449B"/>
    <w:rsid w:val="00A24813"/>
    <w:rsid w:val="00A24E20"/>
    <w:rsid w:val="00A25411"/>
    <w:rsid w:val="00A25A0C"/>
    <w:rsid w:val="00A26015"/>
    <w:rsid w:val="00A26154"/>
    <w:rsid w:val="00A26487"/>
    <w:rsid w:val="00A265C0"/>
    <w:rsid w:val="00A26610"/>
    <w:rsid w:val="00A2685B"/>
    <w:rsid w:val="00A26A5B"/>
    <w:rsid w:val="00A26D82"/>
    <w:rsid w:val="00A27AEC"/>
    <w:rsid w:val="00A307C3"/>
    <w:rsid w:val="00A313AC"/>
    <w:rsid w:val="00A31D2A"/>
    <w:rsid w:val="00A31F42"/>
    <w:rsid w:val="00A320DB"/>
    <w:rsid w:val="00A32B0B"/>
    <w:rsid w:val="00A32B88"/>
    <w:rsid w:val="00A33567"/>
    <w:rsid w:val="00A33948"/>
    <w:rsid w:val="00A33BC3"/>
    <w:rsid w:val="00A3430C"/>
    <w:rsid w:val="00A343FC"/>
    <w:rsid w:val="00A34578"/>
    <w:rsid w:val="00A34713"/>
    <w:rsid w:val="00A34870"/>
    <w:rsid w:val="00A34F03"/>
    <w:rsid w:val="00A35173"/>
    <w:rsid w:val="00A3591E"/>
    <w:rsid w:val="00A35D03"/>
    <w:rsid w:val="00A35D16"/>
    <w:rsid w:val="00A36949"/>
    <w:rsid w:val="00A36A94"/>
    <w:rsid w:val="00A36C06"/>
    <w:rsid w:val="00A36E83"/>
    <w:rsid w:val="00A37205"/>
    <w:rsid w:val="00A37A19"/>
    <w:rsid w:val="00A37BCD"/>
    <w:rsid w:val="00A4005A"/>
    <w:rsid w:val="00A40116"/>
    <w:rsid w:val="00A40139"/>
    <w:rsid w:val="00A40305"/>
    <w:rsid w:val="00A404FF"/>
    <w:rsid w:val="00A40605"/>
    <w:rsid w:val="00A4075E"/>
    <w:rsid w:val="00A40A9D"/>
    <w:rsid w:val="00A40B07"/>
    <w:rsid w:val="00A41085"/>
    <w:rsid w:val="00A415DC"/>
    <w:rsid w:val="00A41689"/>
    <w:rsid w:val="00A418A0"/>
    <w:rsid w:val="00A41BDE"/>
    <w:rsid w:val="00A41F23"/>
    <w:rsid w:val="00A42592"/>
    <w:rsid w:val="00A42C32"/>
    <w:rsid w:val="00A430DB"/>
    <w:rsid w:val="00A4355C"/>
    <w:rsid w:val="00A43AA5"/>
    <w:rsid w:val="00A43C59"/>
    <w:rsid w:val="00A44911"/>
    <w:rsid w:val="00A44E79"/>
    <w:rsid w:val="00A44E9C"/>
    <w:rsid w:val="00A453A1"/>
    <w:rsid w:val="00A45B0E"/>
    <w:rsid w:val="00A46025"/>
    <w:rsid w:val="00A4656A"/>
    <w:rsid w:val="00A46CB1"/>
    <w:rsid w:val="00A472F2"/>
    <w:rsid w:val="00A473EB"/>
    <w:rsid w:val="00A4746D"/>
    <w:rsid w:val="00A47542"/>
    <w:rsid w:val="00A47879"/>
    <w:rsid w:val="00A47E85"/>
    <w:rsid w:val="00A47F2D"/>
    <w:rsid w:val="00A50391"/>
    <w:rsid w:val="00A504CC"/>
    <w:rsid w:val="00A5087A"/>
    <w:rsid w:val="00A50ECD"/>
    <w:rsid w:val="00A5109C"/>
    <w:rsid w:val="00A5115D"/>
    <w:rsid w:val="00A51437"/>
    <w:rsid w:val="00A514C5"/>
    <w:rsid w:val="00A51729"/>
    <w:rsid w:val="00A518F3"/>
    <w:rsid w:val="00A51A5A"/>
    <w:rsid w:val="00A51BB8"/>
    <w:rsid w:val="00A51CB6"/>
    <w:rsid w:val="00A51EB2"/>
    <w:rsid w:val="00A52377"/>
    <w:rsid w:val="00A52672"/>
    <w:rsid w:val="00A52729"/>
    <w:rsid w:val="00A52758"/>
    <w:rsid w:val="00A534CB"/>
    <w:rsid w:val="00A53675"/>
    <w:rsid w:val="00A546A5"/>
    <w:rsid w:val="00A54B2E"/>
    <w:rsid w:val="00A54C7E"/>
    <w:rsid w:val="00A54FD3"/>
    <w:rsid w:val="00A551F8"/>
    <w:rsid w:val="00A55253"/>
    <w:rsid w:val="00A55611"/>
    <w:rsid w:val="00A55A41"/>
    <w:rsid w:val="00A55AF6"/>
    <w:rsid w:val="00A55B5E"/>
    <w:rsid w:val="00A55C23"/>
    <w:rsid w:val="00A56094"/>
    <w:rsid w:val="00A563AD"/>
    <w:rsid w:val="00A564D7"/>
    <w:rsid w:val="00A565AC"/>
    <w:rsid w:val="00A567E6"/>
    <w:rsid w:val="00A5698C"/>
    <w:rsid w:val="00A56B6A"/>
    <w:rsid w:val="00A56F53"/>
    <w:rsid w:val="00A57563"/>
    <w:rsid w:val="00A578DC"/>
    <w:rsid w:val="00A578FA"/>
    <w:rsid w:val="00A602D9"/>
    <w:rsid w:val="00A60A9C"/>
    <w:rsid w:val="00A613CF"/>
    <w:rsid w:val="00A6150B"/>
    <w:rsid w:val="00A615AE"/>
    <w:rsid w:val="00A61A9D"/>
    <w:rsid w:val="00A61D3F"/>
    <w:rsid w:val="00A61E45"/>
    <w:rsid w:val="00A61E4A"/>
    <w:rsid w:val="00A62C66"/>
    <w:rsid w:val="00A6337E"/>
    <w:rsid w:val="00A639FC"/>
    <w:rsid w:val="00A63CDE"/>
    <w:rsid w:val="00A63E40"/>
    <w:rsid w:val="00A640E2"/>
    <w:rsid w:val="00A64117"/>
    <w:rsid w:val="00A64183"/>
    <w:rsid w:val="00A6422F"/>
    <w:rsid w:val="00A644F2"/>
    <w:rsid w:val="00A648C9"/>
    <w:rsid w:val="00A64D65"/>
    <w:rsid w:val="00A65370"/>
    <w:rsid w:val="00A65B40"/>
    <w:rsid w:val="00A65BAF"/>
    <w:rsid w:val="00A66435"/>
    <w:rsid w:val="00A6671F"/>
    <w:rsid w:val="00A67117"/>
    <w:rsid w:val="00A6725B"/>
    <w:rsid w:val="00A672D6"/>
    <w:rsid w:val="00A675DE"/>
    <w:rsid w:val="00A67931"/>
    <w:rsid w:val="00A67967"/>
    <w:rsid w:val="00A679AE"/>
    <w:rsid w:val="00A679D3"/>
    <w:rsid w:val="00A67BC2"/>
    <w:rsid w:val="00A7050B"/>
    <w:rsid w:val="00A70605"/>
    <w:rsid w:val="00A70FFA"/>
    <w:rsid w:val="00A71356"/>
    <w:rsid w:val="00A71381"/>
    <w:rsid w:val="00A713A4"/>
    <w:rsid w:val="00A72055"/>
    <w:rsid w:val="00A72106"/>
    <w:rsid w:val="00A72C24"/>
    <w:rsid w:val="00A72F0F"/>
    <w:rsid w:val="00A72FEB"/>
    <w:rsid w:val="00A73134"/>
    <w:rsid w:val="00A73659"/>
    <w:rsid w:val="00A7365A"/>
    <w:rsid w:val="00A73794"/>
    <w:rsid w:val="00A73C31"/>
    <w:rsid w:val="00A73D17"/>
    <w:rsid w:val="00A73F0B"/>
    <w:rsid w:val="00A744E3"/>
    <w:rsid w:val="00A74557"/>
    <w:rsid w:val="00A74977"/>
    <w:rsid w:val="00A749C4"/>
    <w:rsid w:val="00A75B91"/>
    <w:rsid w:val="00A76001"/>
    <w:rsid w:val="00A76B67"/>
    <w:rsid w:val="00A774DE"/>
    <w:rsid w:val="00A775A8"/>
    <w:rsid w:val="00A77773"/>
    <w:rsid w:val="00A777B2"/>
    <w:rsid w:val="00A77834"/>
    <w:rsid w:val="00A77A54"/>
    <w:rsid w:val="00A77C06"/>
    <w:rsid w:val="00A80428"/>
    <w:rsid w:val="00A8078B"/>
    <w:rsid w:val="00A808F0"/>
    <w:rsid w:val="00A80D06"/>
    <w:rsid w:val="00A81166"/>
    <w:rsid w:val="00A813AE"/>
    <w:rsid w:val="00A815DD"/>
    <w:rsid w:val="00A818FD"/>
    <w:rsid w:val="00A825D4"/>
    <w:rsid w:val="00A828F6"/>
    <w:rsid w:val="00A82B73"/>
    <w:rsid w:val="00A836A9"/>
    <w:rsid w:val="00A83FE9"/>
    <w:rsid w:val="00A841D9"/>
    <w:rsid w:val="00A84465"/>
    <w:rsid w:val="00A844F9"/>
    <w:rsid w:val="00A84550"/>
    <w:rsid w:val="00A846D8"/>
    <w:rsid w:val="00A855D4"/>
    <w:rsid w:val="00A85A25"/>
    <w:rsid w:val="00A860C7"/>
    <w:rsid w:val="00A86368"/>
    <w:rsid w:val="00A865E5"/>
    <w:rsid w:val="00A86BF6"/>
    <w:rsid w:val="00A86E8B"/>
    <w:rsid w:val="00A87164"/>
    <w:rsid w:val="00A871A9"/>
    <w:rsid w:val="00A876F7"/>
    <w:rsid w:val="00A877F6"/>
    <w:rsid w:val="00A87A76"/>
    <w:rsid w:val="00A87F6B"/>
    <w:rsid w:val="00A90164"/>
    <w:rsid w:val="00A91532"/>
    <w:rsid w:val="00A91F77"/>
    <w:rsid w:val="00A9225C"/>
    <w:rsid w:val="00A9231E"/>
    <w:rsid w:val="00A925DA"/>
    <w:rsid w:val="00A926A1"/>
    <w:rsid w:val="00A92753"/>
    <w:rsid w:val="00A92A54"/>
    <w:rsid w:val="00A92C66"/>
    <w:rsid w:val="00A92CE7"/>
    <w:rsid w:val="00A92DB1"/>
    <w:rsid w:val="00A92F6E"/>
    <w:rsid w:val="00A93072"/>
    <w:rsid w:val="00A938BD"/>
    <w:rsid w:val="00A93953"/>
    <w:rsid w:val="00A93975"/>
    <w:rsid w:val="00A93E3F"/>
    <w:rsid w:val="00A94046"/>
    <w:rsid w:val="00A9408A"/>
    <w:rsid w:val="00A941A1"/>
    <w:rsid w:val="00A944A1"/>
    <w:rsid w:val="00A94D58"/>
    <w:rsid w:val="00A9538C"/>
    <w:rsid w:val="00A95410"/>
    <w:rsid w:val="00A959D8"/>
    <w:rsid w:val="00A95D3E"/>
    <w:rsid w:val="00A95FAE"/>
    <w:rsid w:val="00A96676"/>
    <w:rsid w:val="00A968CA"/>
    <w:rsid w:val="00A96C3B"/>
    <w:rsid w:val="00A96DF5"/>
    <w:rsid w:val="00A970F4"/>
    <w:rsid w:val="00A971AC"/>
    <w:rsid w:val="00A971ED"/>
    <w:rsid w:val="00A97285"/>
    <w:rsid w:val="00A97432"/>
    <w:rsid w:val="00A97563"/>
    <w:rsid w:val="00AA0169"/>
    <w:rsid w:val="00AA0423"/>
    <w:rsid w:val="00AA0CAC"/>
    <w:rsid w:val="00AA0F0C"/>
    <w:rsid w:val="00AA113D"/>
    <w:rsid w:val="00AA12AE"/>
    <w:rsid w:val="00AA1E50"/>
    <w:rsid w:val="00AA2C09"/>
    <w:rsid w:val="00AA2FEA"/>
    <w:rsid w:val="00AA3254"/>
    <w:rsid w:val="00AA3ACC"/>
    <w:rsid w:val="00AA40F7"/>
    <w:rsid w:val="00AA46B6"/>
    <w:rsid w:val="00AA4840"/>
    <w:rsid w:val="00AA4AF9"/>
    <w:rsid w:val="00AA4F66"/>
    <w:rsid w:val="00AA51E6"/>
    <w:rsid w:val="00AA542C"/>
    <w:rsid w:val="00AA5498"/>
    <w:rsid w:val="00AA5DBA"/>
    <w:rsid w:val="00AA6298"/>
    <w:rsid w:val="00AA6467"/>
    <w:rsid w:val="00AA6BD5"/>
    <w:rsid w:val="00AA6BD8"/>
    <w:rsid w:val="00AA6C7D"/>
    <w:rsid w:val="00AA7126"/>
    <w:rsid w:val="00AA73AF"/>
    <w:rsid w:val="00AA77B6"/>
    <w:rsid w:val="00AA7B7D"/>
    <w:rsid w:val="00AA7FD6"/>
    <w:rsid w:val="00AB042A"/>
    <w:rsid w:val="00AB1036"/>
    <w:rsid w:val="00AB11AD"/>
    <w:rsid w:val="00AB11ED"/>
    <w:rsid w:val="00AB14F7"/>
    <w:rsid w:val="00AB19EF"/>
    <w:rsid w:val="00AB1FC5"/>
    <w:rsid w:val="00AB2228"/>
    <w:rsid w:val="00AB22C6"/>
    <w:rsid w:val="00AB2495"/>
    <w:rsid w:val="00AB27C8"/>
    <w:rsid w:val="00AB2A0C"/>
    <w:rsid w:val="00AB2D34"/>
    <w:rsid w:val="00AB3013"/>
    <w:rsid w:val="00AB3430"/>
    <w:rsid w:val="00AB35E2"/>
    <w:rsid w:val="00AB37B9"/>
    <w:rsid w:val="00AB3E01"/>
    <w:rsid w:val="00AB3F29"/>
    <w:rsid w:val="00AB427C"/>
    <w:rsid w:val="00AB480A"/>
    <w:rsid w:val="00AB4AD1"/>
    <w:rsid w:val="00AB4C5C"/>
    <w:rsid w:val="00AB52CE"/>
    <w:rsid w:val="00AB5E07"/>
    <w:rsid w:val="00AB634B"/>
    <w:rsid w:val="00AB6FB2"/>
    <w:rsid w:val="00AB7B6A"/>
    <w:rsid w:val="00AB7C95"/>
    <w:rsid w:val="00AB7CFA"/>
    <w:rsid w:val="00AB7E79"/>
    <w:rsid w:val="00AB7FD3"/>
    <w:rsid w:val="00AC02DA"/>
    <w:rsid w:val="00AC04CD"/>
    <w:rsid w:val="00AC069F"/>
    <w:rsid w:val="00AC0945"/>
    <w:rsid w:val="00AC0B66"/>
    <w:rsid w:val="00AC0CD9"/>
    <w:rsid w:val="00AC0FFC"/>
    <w:rsid w:val="00AC1A54"/>
    <w:rsid w:val="00AC1A93"/>
    <w:rsid w:val="00AC203A"/>
    <w:rsid w:val="00AC219F"/>
    <w:rsid w:val="00AC22D7"/>
    <w:rsid w:val="00AC2512"/>
    <w:rsid w:val="00AC2C02"/>
    <w:rsid w:val="00AC3157"/>
    <w:rsid w:val="00AC332B"/>
    <w:rsid w:val="00AC3438"/>
    <w:rsid w:val="00AC3CE8"/>
    <w:rsid w:val="00AC3D1A"/>
    <w:rsid w:val="00AC475D"/>
    <w:rsid w:val="00AC4B16"/>
    <w:rsid w:val="00AC4D36"/>
    <w:rsid w:val="00AC4EA9"/>
    <w:rsid w:val="00AC527B"/>
    <w:rsid w:val="00AC5997"/>
    <w:rsid w:val="00AC59EC"/>
    <w:rsid w:val="00AC5AA8"/>
    <w:rsid w:val="00AC5B42"/>
    <w:rsid w:val="00AC5B48"/>
    <w:rsid w:val="00AC6052"/>
    <w:rsid w:val="00AC614C"/>
    <w:rsid w:val="00AC6918"/>
    <w:rsid w:val="00AC7130"/>
    <w:rsid w:val="00AD0089"/>
    <w:rsid w:val="00AD00C2"/>
    <w:rsid w:val="00AD03A0"/>
    <w:rsid w:val="00AD08B6"/>
    <w:rsid w:val="00AD0A96"/>
    <w:rsid w:val="00AD0C6F"/>
    <w:rsid w:val="00AD0FB3"/>
    <w:rsid w:val="00AD1173"/>
    <w:rsid w:val="00AD1450"/>
    <w:rsid w:val="00AD15E8"/>
    <w:rsid w:val="00AD1772"/>
    <w:rsid w:val="00AD17AB"/>
    <w:rsid w:val="00AD19EF"/>
    <w:rsid w:val="00AD1B46"/>
    <w:rsid w:val="00AD1D44"/>
    <w:rsid w:val="00AD25E7"/>
    <w:rsid w:val="00AD28B3"/>
    <w:rsid w:val="00AD2A6D"/>
    <w:rsid w:val="00AD2D38"/>
    <w:rsid w:val="00AD2E9D"/>
    <w:rsid w:val="00AD356D"/>
    <w:rsid w:val="00AD35DF"/>
    <w:rsid w:val="00AD3B41"/>
    <w:rsid w:val="00AD3C51"/>
    <w:rsid w:val="00AD3F69"/>
    <w:rsid w:val="00AD3FBA"/>
    <w:rsid w:val="00AD4565"/>
    <w:rsid w:val="00AD47FB"/>
    <w:rsid w:val="00AD590D"/>
    <w:rsid w:val="00AD645F"/>
    <w:rsid w:val="00AD6502"/>
    <w:rsid w:val="00AD6ECD"/>
    <w:rsid w:val="00AD6F29"/>
    <w:rsid w:val="00AD7067"/>
    <w:rsid w:val="00AD72D0"/>
    <w:rsid w:val="00AD72E0"/>
    <w:rsid w:val="00AD7D95"/>
    <w:rsid w:val="00AE021D"/>
    <w:rsid w:val="00AE0695"/>
    <w:rsid w:val="00AE0807"/>
    <w:rsid w:val="00AE0B2C"/>
    <w:rsid w:val="00AE0F3A"/>
    <w:rsid w:val="00AE11D3"/>
    <w:rsid w:val="00AE19F3"/>
    <w:rsid w:val="00AE2A72"/>
    <w:rsid w:val="00AE31E0"/>
    <w:rsid w:val="00AE3A3C"/>
    <w:rsid w:val="00AE3B71"/>
    <w:rsid w:val="00AE3E7E"/>
    <w:rsid w:val="00AE4392"/>
    <w:rsid w:val="00AE468E"/>
    <w:rsid w:val="00AE46FD"/>
    <w:rsid w:val="00AE4BC8"/>
    <w:rsid w:val="00AE50BF"/>
    <w:rsid w:val="00AE53B9"/>
    <w:rsid w:val="00AE54EB"/>
    <w:rsid w:val="00AE5C17"/>
    <w:rsid w:val="00AE5D8D"/>
    <w:rsid w:val="00AE5F1B"/>
    <w:rsid w:val="00AE6064"/>
    <w:rsid w:val="00AE641E"/>
    <w:rsid w:val="00AE663C"/>
    <w:rsid w:val="00AE6B57"/>
    <w:rsid w:val="00AE6BDF"/>
    <w:rsid w:val="00AE6D52"/>
    <w:rsid w:val="00AE713F"/>
    <w:rsid w:val="00AE7236"/>
    <w:rsid w:val="00AE7647"/>
    <w:rsid w:val="00AE7750"/>
    <w:rsid w:val="00AE7812"/>
    <w:rsid w:val="00AE7A46"/>
    <w:rsid w:val="00AE7B1F"/>
    <w:rsid w:val="00AE7E53"/>
    <w:rsid w:val="00AF0272"/>
    <w:rsid w:val="00AF0447"/>
    <w:rsid w:val="00AF0517"/>
    <w:rsid w:val="00AF0620"/>
    <w:rsid w:val="00AF0F99"/>
    <w:rsid w:val="00AF1315"/>
    <w:rsid w:val="00AF19BF"/>
    <w:rsid w:val="00AF1B34"/>
    <w:rsid w:val="00AF1C21"/>
    <w:rsid w:val="00AF1D10"/>
    <w:rsid w:val="00AF1EEC"/>
    <w:rsid w:val="00AF201B"/>
    <w:rsid w:val="00AF27F9"/>
    <w:rsid w:val="00AF2CFD"/>
    <w:rsid w:val="00AF2DC3"/>
    <w:rsid w:val="00AF3952"/>
    <w:rsid w:val="00AF3A68"/>
    <w:rsid w:val="00AF3C77"/>
    <w:rsid w:val="00AF400B"/>
    <w:rsid w:val="00AF5093"/>
    <w:rsid w:val="00AF56EF"/>
    <w:rsid w:val="00AF5F41"/>
    <w:rsid w:val="00AF64BC"/>
    <w:rsid w:val="00AF6EAE"/>
    <w:rsid w:val="00AF6F6D"/>
    <w:rsid w:val="00AF6FB2"/>
    <w:rsid w:val="00AF73A0"/>
    <w:rsid w:val="00AF743C"/>
    <w:rsid w:val="00AF7A1B"/>
    <w:rsid w:val="00AF7FBA"/>
    <w:rsid w:val="00B000B5"/>
    <w:rsid w:val="00B003A7"/>
    <w:rsid w:val="00B004C5"/>
    <w:rsid w:val="00B00750"/>
    <w:rsid w:val="00B008A8"/>
    <w:rsid w:val="00B008AC"/>
    <w:rsid w:val="00B00ACD"/>
    <w:rsid w:val="00B00F53"/>
    <w:rsid w:val="00B02336"/>
    <w:rsid w:val="00B02F4C"/>
    <w:rsid w:val="00B02FC4"/>
    <w:rsid w:val="00B033E5"/>
    <w:rsid w:val="00B0384D"/>
    <w:rsid w:val="00B03A63"/>
    <w:rsid w:val="00B04AB1"/>
    <w:rsid w:val="00B04CF7"/>
    <w:rsid w:val="00B0538C"/>
    <w:rsid w:val="00B0574B"/>
    <w:rsid w:val="00B058E9"/>
    <w:rsid w:val="00B062B4"/>
    <w:rsid w:val="00B067B4"/>
    <w:rsid w:val="00B0687B"/>
    <w:rsid w:val="00B06ADD"/>
    <w:rsid w:val="00B06C53"/>
    <w:rsid w:val="00B06DE9"/>
    <w:rsid w:val="00B06F56"/>
    <w:rsid w:val="00B072AA"/>
    <w:rsid w:val="00B07422"/>
    <w:rsid w:val="00B076CB"/>
    <w:rsid w:val="00B07876"/>
    <w:rsid w:val="00B07F91"/>
    <w:rsid w:val="00B10474"/>
    <w:rsid w:val="00B105D0"/>
    <w:rsid w:val="00B10647"/>
    <w:rsid w:val="00B107B9"/>
    <w:rsid w:val="00B10BDD"/>
    <w:rsid w:val="00B10C47"/>
    <w:rsid w:val="00B111B7"/>
    <w:rsid w:val="00B11634"/>
    <w:rsid w:val="00B11737"/>
    <w:rsid w:val="00B11A63"/>
    <w:rsid w:val="00B11C68"/>
    <w:rsid w:val="00B125ED"/>
    <w:rsid w:val="00B129A4"/>
    <w:rsid w:val="00B12BF0"/>
    <w:rsid w:val="00B12C43"/>
    <w:rsid w:val="00B12DD9"/>
    <w:rsid w:val="00B136D9"/>
    <w:rsid w:val="00B13B7A"/>
    <w:rsid w:val="00B13C29"/>
    <w:rsid w:val="00B13E4C"/>
    <w:rsid w:val="00B1423D"/>
    <w:rsid w:val="00B1459F"/>
    <w:rsid w:val="00B14689"/>
    <w:rsid w:val="00B14994"/>
    <w:rsid w:val="00B14B04"/>
    <w:rsid w:val="00B150EB"/>
    <w:rsid w:val="00B155ED"/>
    <w:rsid w:val="00B1569C"/>
    <w:rsid w:val="00B15816"/>
    <w:rsid w:val="00B15FF4"/>
    <w:rsid w:val="00B163F9"/>
    <w:rsid w:val="00B164BA"/>
    <w:rsid w:val="00B16621"/>
    <w:rsid w:val="00B16C85"/>
    <w:rsid w:val="00B16E04"/>
    <w:rsid w:val="00B17291"/>
    <w:rsid w:val="00B179A9"/>
    <w:rsid w:val="00B201A4"/>
    <w:rsid w:val="00B201D1"/>
    <w:rsid w:val="00B20430"/>
    <w:rsid w:val="00B20A6B"/>
    <w:rsid w:val="00B20FD9"/>
    <w:rsid w:val="00B210C8"/>
    <w:rsid w:val="00B213A6"/>
    <w:rsid w:val="00B2271E"/>
    <w:rsid w:val="00B22B39"/>
    <w:rsid w:val="00B22D72"/>
    <w:rsid w:val="00B22DC6"/>
    <w:rsid w:val="00B232E1"/>
    <w:rsid w:val="00B235B0"/>
    <w:rsid w:val="00B23656"/>
    <w:rsid w:val="00B238D1"/>
    <w:rsid w:val="00B23B85"/>
    <w:rsid w:val="00B24DB4"/>
    <w:rsid w:val="00B24DF6"/>
    <w:rsid w:val="00B25568"/>
    <w:rsid w:val="00B2559F"/>
    <w:rsid w:val="00B257C7"/>
    <w:rsid w:val="00B26667"/>
    <w:rsid w:val="00B267F2"/>
    <w:rsid w:val="00B26B68"/>
    <w:rsid w:val="00B26BB5"/>
    <w:rsid w:val="00B26C01"/>
    <w:rsid w:val="00B27135"/>
    <w:rsid w:val="00B27599"/>
    <w:rsid w:val="00B27A61"/>
    <w:rsid w:val="00B27BE2"/>
    <w:rsid w:val="00B27CE8"/>
    <w:rsid w:val="00B30152"/>
    <w:rsid w:val="00B30173"/>
    <w:rsid w:val="00B30292"/>
    <w:rsid w:val="00B318A6"/>
    <w:rsid w:val="00B3196C"/>
    <w:rsid w:val="00B322A4"/>
    <w:rsid w:val="00B3282A"/>
    <w:rsid w:val="00B32B82"/>
    <w:rsid w:val="00B32DE3"/>
    <w:rsid w:val="00B32E54"/>
    <w:rsid w:val="00B334AC"/>
    <w:rsid w:val="00B33B48"/>
    <w:rsid w:val="00B33D6B"/>
    <w:rsid w:val="00B345E3"/>
    <w:rsid w:val="00B34AC9"/>
    <w:rsid w:val="00B34D50"/>
    <w:rsid w:val="00B34F0D"/>
    <w:rsid w:val="00B34FE2"/>
    <w:rsid w:val="00B35166"/>
    <w:rsid w:val="00B357D8"/>
    <w:rsid w:val="00B360F4"/>
    <w:rsid w:val="00B36A00"/>
    <w:rsid w:val="00B36A3D"/>
    <w:rsid w:val="00B36BD7"/>
    <w:rsid w:val="00B36DF2"/>
    <w:rsid w:val="00B36F37"/>
    <w:rsid w:val="00B370B1"/>
    <w:rsid w:val="00B37316"/>
    <w:rsid w:val="00B3742A"/>
    <w:rsid w:val="00B37487"/>
    <w:rsid w:val="00B375CC"/>
    <w:rsid w:val="00B3762A"/>
    <w:rsid w:val="00B3792B"/>
    <w:rsid w:val="00B37BFC"/>
    <w:rsid w:val="00B37C2D"/>
    <w:rsid w:val="00B37CDB"/>
    <w:rsid w:val="00B37D4F"/>
    <w:rsid w:val="00B37DB1"/>
    <w:rsid w:val="00B37EEC"/>
    <w:rsid w:val="00B37FDC"/>
    <w:rsid w:val="00B40358"/>
    <w:rsid w:val="00B408AB"/>
    <w:rsid w:val="00B409D8"/>
    <w:rsid w:val="00B40B6D"/>
    <w:rsid w:val="00B40DC8"/>
    <w:rsid w:val="00B41214"/>
    <w:rsid w:val="00B41614"/>
    <w:rsid w:val="00B416E9"/>
    <w:rsid w:val="00B41819"/>
    <w:rsid w:val="00B41A03"/>
    <w:rsid w:val="00B41AB7"/>
    <w:rsid w:val="00B41F94"/>
    <w:rsid w:val="00B422D7"/>
    <w:rsid w:val="00B425A5"/>
    <w:rsid w:val="00B42851"/>
    <w:rsid w:val="00B42CC4"/>
    <w:rsid w:val="00B42D60"/>
    <w:rsid w:val="00B42F80"/>
    <w:rsid w:val="00B434AB"/>
    <w:rsid w:val="00B435CB"/>
    <w:rsid w:val="00B435E2"/>
    <w:rsid w:val="00B43F86"/>
    <w:rsid w:val="00B443D2"/>
    <w:rsid w:val="00B448D3"/>
    <w:rsid w:val="00B44EDC"/>
    <w:rsid w:val="00B4513A"/>
    <w:rsid w:val="00B4588D"/>
    <w:rsid w:val="00B45DEB"/>
    <w:rsid w:val="00B4618F"/>
    <w:rsid w:val="00B465EC"/>
    <w:rsid w:val="00B46CB0"/>
    <w:rsid w:val="00B46D04"/>
    <w:rsid w:val="00B46F1F"/>
    <w:rsid w:val="00B46F67"/>
    <w:rsid w:val="00B47028"/>
    <w:rsid w:val="00B470A9"/>
    <w:rsid w:val="00B470F3"/>
    <w:rsid w:val="00B476F2"/>
    <w:rsid w:val="00B47A31"/>
    <w:rsid w:val="00B47C34"/>
    <w:rsid w:val="00B47E37"/>
    <w:rsid w:val="00B47EB2"/>
    <w:rsid w:val="00B501A5"/>
    <w:rsid w:val="00B505C8"/>
    <w:rsid w:val="00B50DB8"/>
    <w:rsid w:val="00B5102C"/>
    <w:rsid w:val="00B5111F"/>
    <w:rsid w:val="00B51165"/>
    <w:rsid w:val="00B511C9"/>
    <w:rsid w:val="00B51798"/>
    <w:rsid w:val="00B51A2E"/>
    <w:rsid w:val="00B51B5B"/>
    <w:rsid w:val="00B51CDD"/>
    <w:rsid w:val="00B52066"/>
    <w:rsid w:val="00B5208D"/>
    <w:rsid w:val="00B524AF"/>
    <w:rsid w:val="00B52B6B"/>
    <w:rsid w:val="00B52BD0"/>
    <w:rsid w:val="00B52F54"/>
    <w:rsid w:val="00B52FA0"/>
    <w:rsid w:val="00B53608"/>
    <w:rsid w:val="00B53654"/>
    <w:rsid w:val="00B53905"/>
    <w:rsid w:val="00B53B99"/>
    <w:rsid w:val="00B53CBA"/>
    <w:rsid w:val="00B54114"/>
    <w:rsid w:val="00B545E6"/>
    <w:rsid w:val="00B546DB"/>
    <w:rsid w:val="00B547AC"/>
    <w:rsid w:val="00B54B5B"/>
    <w:rsid w:val="00B551FA"/>
    <w:rsid w:val="00B553C7"/>
    <w:rsid w:val="00B5562E"/>
    <w:rsid w:val="00B55767"/>
    <w:rsid w:val="00B55862"/>
    <w:rsid w:val="00B55AEB"/>
    <w:rsid w:val="00B55D65"/>
    <w:rsid w:val="00B56034"/>
    <w:rsid w:val="00B56305"/>
    <w:rsid w:val="00B5634F"/>
    <w:rsid w:val="00B5640E"/>
    <w:rsid w:val="00B57000"/>
    <w:rsid w:val="00B57D0E"/>
    <w:rsid w:val="00B60041"/>
    <w:rsid w:val="00B6033D"/>
    <w:rsid w:val="00B60939"/>
    <w:rsid w:val="00B6095F"/>
    <w:rsid w:val="00B609CE"/>
    <w:rsid w:val="00B60AFD"/>
    <w:rsid w:val="00B611B5"/>
    <w:rsid w:val="00B61305"/>
    <w:rsid w:val="00B61538"/>
    <w:rsid w:val="00B61978"/>
    <w:rsid w:val="00B626B8"/>
    <w:rsid w:val="00B626D4"/>
    <w:rsid w:val="00B62715"/>
    <w:rsid w:val="00B62777"/>
    <w:rsid w:val="00B628F1"/>
    <w:rsid w:val="00B62C2D"/>
    <w:rsid w:val="00B63076"/>
    <w:rsid w:val="00B633C7"/>
    <w:rsid w:val="00B63763"/>
    <w:rsid w:val="00B638A8"/>
    <w:rsid w:val="00B63D26"/>
    <w:rsid w:val="00B63EBE"/>
    <w:rsid w:val="00B63F9E"/>
    <w:rsid w:val="00B648BB"/>
    <w:rsid w:val="00B64996"/>
    <w:rsid w:val="00B64ED4"/>
    <w:rsid w:val="00B651D0"/>
    <w:rsid w:val="00B65611"/>
    <w:rsid w:val="00B65BE4"/>
    <w:rsid w:val="00B65CD2"/>
    <w:rsid w:val="00B65DBC"/>
    <w:rsid w:val="00B6629D"/>
    <w:rsid w:val="00B6653D"/>
    <w:rsid w:val="00B6655C"/>
    <w:rsid w:val="00B66DD0"/>
    <w:rsid w:val="00B6712E"/>
    <w:rsid w:val="00B674E3"/>
    <w:rsid w:val="00B7040F"/>
    <w:rsid w:val="00B70D6D"/>
    <w:rsid w:val="00B70E7A"/>
    <w:rsid w:val="00B70E8E"/>
    <w:rsid w:val="00B71331"/>
    <w:rsid w:val="00B71DD1"/>
    <w:rsid w:val="00B724A2"/>
    <w:rsid w:val="00B72F34"/>
    <w:rsid w:val="00B72F47"/>
    <w:rsid w:val="00B73A81"/>
    <w:rsid w:val="00B73AB1"/>
    <w:rsid w:val="00B73CDD"/>
    <w:rsid w:val="00B74087"/>
    <w:rsid w:val="00B74398"/>
    <w:rsid w:val="00B74F66"/>
    <w:rsid w:val="00B75595"/>
    <w:rsid w:val="00B75A84"/>
    <w:rsid w:val="00B75D87"/>
    <w:rsid w:val="00B75F16"/>
    <w:rsid w:val="00B764A2"/>
    <w:rsid w:val="00B76C92"/>
    <w:rsid w:val="00B76FC1"/>
    <w:rsid w:val="00B770D8"/>
    <w:rsid w:val="00B7751B"/>
    <w:rsid w:val="00B7796C"/>
    <w:rsid w:val="00B77AFD"/>
    <w:rsid w:val="00B80158"/>
    <w:rsid w:val="00B8051B"/>
    <w:rsid w:val="00B806C7"/>
    <w:rsid w:val="00B80C0D"/>
    <w:rsid w:val="00B80E06"/>
    <w:rsid w:val="00B80EFD"/>
    <w:rsid w:val="00B8110B"/>
    <w:rsid w:val="00B81632"/>
    <w:rsid w:val="00B81637"/>
    <w:rsid w:val="00B818A4"/>
    <w:rsid w:val="00B81B38"/>
    <w:rsid w:val="00B820D4"/>
    <w:rsid w:val="00B831F6"/>
    <w:rsid w:val="00B83739"/>
    <w:rsid w:val="00B837D9"/>
    <w:rsid w:val="00B8399C"/>
    <w:rsid w:val="00B83AAD"/>
    <w:rsid w:val="00B83D26"/>
    <w:rsid w:val="00B84117"/>
    <w:rsid w:val="00B843EF"/>
    <w:rsid w:val="00B8441C"/>
    <w:rsid w:val="00B848A6"/>
    <w:rsid w:val="00B84C66"/>
    <w:rsid w:val="00B850B5"/>
    <w:rsid w:val="00B858F0"/>
    <w:rsid w:val="00B85AA2"/>
    <w:rsid w:val="00B862E1"/>
    <w:rsid w:val="00B8649C"/>
    <w:rsid w:val="00B8695D"/>
    <w:rsid w:val="00B86C54"/>
    <w:rsid w:val="00B87168"/>
    <w:rsid w:val="00B8750D"/>
    <w:rsid w:val="00B87872"/>
    <w:rsid w:val="00B87B8B"/>
    <w:rsid w:val="00B87C5B"/>
    <w:rsid w:val="00B87C5E"/>
    <w:rsid w:val="00B87F0A"/>
    <w:rsid w:val="00B90145"/>
    <w:rsid w:val="00B90415"/>
    <w:rsid w:val="00B907D7"/>
    <w:rsid w:val="00B90E4F"/>
    <w:rsid w:val="00B90F07"/>
    <w:rsid w:val="00B90F86"/>
    <w:rsid w:val="00B911F2"/>
    <w:rsid w:val="00B912AE"/>
    <w:rsid w:val="00B914FF"/>
    <w:rsid w:val="00B91A63"/>
    <w:rsid w:val="00B91A86"/>
    <w:rsid w:val="00B92299"/>
    <w:rsid w:val="00B92D0B"/>
    <w:rsid w:val="00B92E9B"/>
    <w:rsid w:val="00B93297"/>
    <w:rsid w:val="00B935B2"/>
    <w:rsid w:val="00B9372D"/>
    <w:rsid w:val="00B93FFF"/>
    <w:rsid w:val="00B94017"/>
    <w:rsid w:val="00B94945"/>
    <w:rsid w:val="00B94ABA"/>
    <w:rsid w:val="00B94DD6"/>
    <w:rsid w:val="00B9521E"/>
    <w:rsid w:val="00B952EC"/>
    <w:rsid w:val="00B959D5"/>
    <w:rsid w:val="00B95DB7"/>
    <w:rsid w:val="00B95E5C"/>
    <w:rsid w:val="00B9661D"/>
    <w:rsid w:val="00B96C17"/>
    <w:rsid w:val="00B96C33"/>
    <w:rsid w:val="00B96E4A"/>
    <w:rsid w:val="00B97B21"/>
    <w:rsid w:val="00B97CE5"/>
    <w:rsid w:val="00BA008D"/>
    <w:rsid w:val="00BA0657"/>
    <w:rsid w:val="00BA0D9B"/>
    <w:rsid w:val="00BA115E"/>
    <w:rsid w:val="00BA14F9"/>
    <w:rsid w:val="00BA15B7"/>
    <w:rsid w:val="00BA18D0"/>
    <w:rsid w:val="00BA1B6B"/>
    <w:rsid w:val="00BA1D18"/>
    <w:rsid w:val="00BA260F"/>
    <w:rsid w:val="00BA2761"/>
    <w:rsid w:val="00BA2CFE"/>
    <w:rsid w:val="00BA322D"/>
    <w:rsid w:val="00BA329D"/>
    <w:rsid w:val="00BA35C8"/>
    <w:rsid w:val="00BA3FD3"/>
    <w:rsid w:val="00BA4170"/>
    <w:rsid w:val="00BA419E"/>
    <w:rsid w:val="00BA51C1"/>
    <w:rsid w:val="00BA5258"/>
    <w:rsid w:val="00BA549E"/>
    <w:rsid w:val="00BA5506"/>
    <w:rsid w:val="00BA557A"/>
    <w:rsid w:val="00BA5732"/>
    <w:rsid w:val="00BA5B35"/>
    <w:rsid w:val="00BA5F2A"/>
    <w:rsid w:val="00BA63FA"/>
    <w:rsid w:val="00BA64B3"/>
    <w:rsid w:val="00BA6746"/>
    <w:rsid w:val="00BA69A3"/>
    <w:rsid w:val="00BA708D"/>
    <w:rsid w:val="00BA7168"/>
    <w:rsid w:val="00BA7279"/>
    <w:rsid w:val="00BA7D4E"/>
    <w:rsid w:val="00BA7FC1"/>
    <w:rsid w:val="00BB00B3"/>
    <w:rsid w:val="00BB0970"/>
    <w:rsid w:val="00BB0BAB"/>
    <w:rsid w:val="00BB0BDD"/>
    <w:rsid w:val="00BB0D46"/>
    <w:rsid w:val="00BB14E0"/>
    <w:rsid w:val="00BB158E"/>
    <w:rsid w:val="00BB176C"/>
    <w:rsid w:val="00BB1A25"/>
    <w:rsid w:val="00BB1C7A"/>
    <w:rsid w:val="00BB259E"/>
    <w:rsid w:val="00BB28BD"/>
    <w:rsid w:val="00BB299B"/>
    <w:rsid w:val="00BB2A73"/>
    <w:rsid w:val="00BB2EA9"/>
    <w:rsid w:val="00BB31AD"/>
    <w:rsid w:val="00BB355F"/>
    <w:rsid w:val="00BB392F"/>
    <w:rsid w:val="00BB39AE"/>
    <w:rsid w:val="00BB3A45"/>
    <w:rsid w:val="00BB3E7B"/>
    <w:rsid w:val="00BB45B3"/>
    <w:rsid w:val="00BB4ACC"/>
    <w:rsid w:val="00BB4BB2"/>
    <w:rsid w:val="00BB5276"/>
    <w:rsid w:val="00BB592D"/>
    <w:rsid w:val="00BB5EF6"/>
    <w:rsid w:val="00BB6122"/>
    <w:rsid w:val="00BB69DD"/>
    <w:rsid w:val="00BB6E8A"/>
    <w:rsid w:val="00BB6FF5"/>
    <w:rsid w:val="00BB703E"/>
    <w:rsid w:val="00BB732D"/>
    <w:rsid w:val="00BB73DA"/>
    <w:rsid w:val="00BB7405"/>
    <w:rsid w:val="00BB7944"/>
    <w:rsid w:val="00BB7FF2"/>
    <w:rsid w:val="00BC00CF"/>
    <w:rsid w:val="00BC077C"/>
    <w:rsid w:val="00BC0922"/>
    <w:rsid w:val="00BC0C71"/>
    <w:rsid w:val="00BC0D6A"/>
    <w:rsid w:val="00BC0E56"/>
    <w:rsid w:val="00BC12DA"/>
    <w:rsid w:val="00BC135C"/>
    <w:rsid w:val="00BC149E"/>
    <w:rsid w:val="00BC1CA0"/>
    <w:rsid w:val="00BC2351"/>
    <w:rsid w:val="00BC24FB"/>
    <w:rsid w:val="00BC2582"/>
    <w:rsid w:val="00BC30CC"/>
    <w:rsid w:val="00BC3355"/>
    <w:rsid w:val="00BC34D7"/>
    <w:rsid w:val="00BC3518"/>
    <w:rsid w:val="00BC3631"/>
    <w:rsid w:val="00BC3B0B"/>
    <w:rsid w:val="00BC41E9"/>
    <w:rsid w:val="00BC454A"/>
    <w:rsid w:val="00BC4561"/>
    <w:rsid w:val="00BC4C4D"/>
    <w:rsid w:val="00BC4C9D"/>
    <w:rsid w:val="00BC5354"/>
    <w:rsid w:val="00BC544D"/>
    <w:rsid w:val="00BC591F"/>
    <w:rsid w:val="00BC5EFB"/>
    <w:rsid w:val="00BC625A"/>
    <w:rsid w:val="00BC69F2"/>
    <w:rsid w:val="00BC6E78"/>
    <w:rsid w:val="00BC7254"/>
    <w:rsid w:val="00BC751C"/>
    <w:rsid w:val="00BC77CD"/>
    <w:rsid w:val="00BC77DA"/>
    <w:rsid w:val="00BC7D6D"/>
    <w:rsid w:val="00BD0171"/>
    <w:rsid w:val="00BD088A"/>
    <w:rsid w:val="00BD1A61"/>
    <w:rsid w:val="00BD2108"/>
    <w:rsid w:val="00BD26C4"/>
    <w:rsid w:val="00BD2F03"/>
    <w:rsid w:val="00BD2F2D"/>
    <w:rsid w:val="00BD2FB7"/>
    <w:rsid w:val="00BD374B"/>
    <w:rsid w:val="00BD492D"/>
    <w:rsid w:val="00BD4A6D"/>
    <w:rsid w:val="00BD51F5"/>
    <w:rsid w:val="00BD5415"/>
    <w:rsid w:val="00BD5A5B"/>
    <w:rsid w:val="00BD5D1B"/>
    <w:rsid w:val="00BD5E08"/>
    <w:rsid w:val="00BD6115"/>
    <w:rsid w:val="00BD68A3"/>
    <w:rsid w:val="00BD6938"/>
    <w:rsid w:val="00BD6CF3"/>
    <w:rsid w:val="00BD70DE"/>
    <w:rsid w:val="00BD72F9"/>
    <w:rsid w:val="00BD73CA"/>
    <w:rsid w:val="00BD7E5C"/>
    <w:rsid w:val="00BD7F38"/>
    <w:rsid w:val="00BD7F72"/>
    <w:rsid w:val="00BE0B98"/>
    <w:rsid w:val="00BE0ECA"/>
    <w:rsid w:val="00BE0F73"/>
    <w:rsid w:val="00BE15EF"/>
    <w:rsid w:val="00BE2143"/>
    <w:rsid w:val="00BE2180"/>
    <w:rsid w:val="00BE21F2"/>
    <w:rsid w:val="00BE28CA"/>
    <w:rsid w:val="00BE2C4D"/>
    <w:rsid w:val="00BE37B1"/>
    <w:rsid w:val="00BE3907"/>
    <w:rsid w:val="00BE3DD0"/>
    <w:rsid w:val="00BE3E2F"/>
    <w:rsid w:val="00BE3F9D"/>
    <w:rsid w:val="00BE40B7"/>
    <w:rsid w:val="00BE4198"/>
    <w:rsid w:val="00BE4275"/>
    <w:rsid w:val="00BE4778"/>
    <w:rsid w:val="00BE4790"/>
    <w:rsid w:val="00BE4924"/>
    <w:rsid w:val="00BE4940"/>
    <w:rsid w:val="00BE4A4B"/>
    <w:rsid w:val="00BE4C22"/>
    <w:rsid w:val="00BE4C51"/>
    <w:rsid w:val="00BE59F9"/>
    <w:rsid w:val="00BE5A85"/>
    <w:rsid w:val="00BE5A86"/>
    <w:rsid w:val="00BE5B75"/>
    <w:rsid w:val="00BE5CAB"/>
    <w:rsid w:val="00BE5FE6"/>
    <w:rsid w:val="00BE66F4"/>
    <w:rsid w:val="00BE778E"/>
    <w:rsid w:val="00BE7B05"/>
    <w:rsid w:val="00BE7E78"/>
    <w:rsid w:val="00BF06AE"/>
    <w:rsid w:val="00BF0868"/>
    <w:rsid w:val="00BF0F95"/>
    <w:rsid w:val="00BF1663"/>
    <w:rsid w:val="00BF167D"/>
    <w:rsid w:val="00BF1816"/>
    <w:rsid w:val="00BF242E"/>
    <w:rsid w:val="00BF2433"/>
    <w:rsid w:val="00BF263F"/>
    <w:rsid w:val="00BF2673"/>
    <w:rsid w:val="00BF2C06"/>
    <w:rsid w:val="00BF2E6E"/>
    <w:rsid w:val="00BF38FE"/>
    <w:rsid w:val="00BF3A21"/>
    <w:rsid w:val="00BF3DF8"/>
    <w:rsid w:val="00BF3FEC"/>
    <w:rsid w:val="00BF417A"/>
    <w:rsid w:val="00BF4DD4"/>
    <w:rsid w:val="00BF4E46"/>
    <w:rsid w:val="00BF4EB7"/>
    <w:rsid w:val="00BF500F"/>
    <w:rsid w:val="00BF55E2"/>
    <w:rsid w:val="00BF5BDA"/>
    <w:rsid w:val="00BF61C9"/>
    <w:rsid w:val="00BF68F9"/>
    <w:rsid w:val="00BF6C94"/>
    <w:rsid w:val="00BF7595"/>
    <w:rsid w:val="00BF7B5E"/>
    <w:rsid w:val="00C00424"/>
    <w:rsid w:val="00C00967"/>
    <w:rsid w:val="00C0096C"/>
    <w:rsid w:val="00C00BA5"/>
    <w:rsid w:val="00C00BB0"/>
    <w:rsid w:val="00C00C43"/>
    <w:rsid w:val="00C019A3"/>
    <w:rsid w:val="00C026D6"/>
    <w:rsid w:val="00C02C41"/>
    <w:rsid w:val="00C032AB"/>
    <w:rsid w:val="00C033C2"/>
    <w:rsid w:val="00C035EC"/>
    <w:rsid w:val="00C0386B"/>
    <w:rsid w:val="00C03CA5"/>
    <w:rsid w:val="00C04771"/>
    <w:rsid w:val="00C04BCF"/>
    <w:rsid w:val="00C04DD8"/>
    <w:rsid w:val="00C04DE0"/>
    <w:rsid w:val="00C04FA5"/>
    <w:rsid w:val="00C052AC"/>
    <w:rsid w:val="00C05627"/>
    <w:rsid w:val="00C0670E"/>
    <w:rsid w:val="00C06A1C"/>
    <w:rsid w:val="00C06C96"/>
    <w:rsid w:val="00C06D8E"/>
    <w:rsid w:val="00C078B7"/>
    <w:rsid w:val="00C10433"/>
    <w:rsid w:val="00C106FA"/>
    <w:rsid w:val="00C10736"/>
    <w:rsid w:val="00C10E19"/>
    <w:rsid w:val="00C1150E"/>
    <w:rsid w:val="00C1179F"/>
    <w:rsid w:val="00C117A9"/>
    <w:rsid w:val="00C11FA9"/>
    <w:rsid w:val="00C12065"/>
    <w:rsid w:val="00C1217C"/>
    <w:rsid w:val="00C121AC"/>
    <w:rsid w:val="00C12325"/>
    <w:rsid w:val="00C12447"/>
    <w:rsid w:val="00C127B9"/>
    <w:rsid w:val="00C1280D"/>
    <w:rsid w:val="00C128FA"/>
    <w:rsid w:val="00C12A89"/>
    <w:rsid w:val="00C12B71"/>
    <w:rsid w:val="00C12C14"/>
    <w:rsid w:val="00C12C8C"/>
    <w:rsid w:val="00C131D7"/>
    <w:rsid w:val="00C132FA"/>
    <w:rsid w:val="00C13FA8"/>
    <w:rsid w:val="00C140D1"/>
    <w:rsid w:val="00C141FC"/>
    <w:rsid w:val="00C14224"/>
    <w:rsid w:val="00C1423E"/>
    <w:rsid w:val="00C14589"/>
    <w:rsid w:val="00C14752"/>
    <w:rsid w:val="00C1480C"/>
    <w:rsid w:val="00C14FE7"/>
    <w:rsid w:val="00C15C32"/>
    <w:rsid w:val="00C15F04"/>
    <w:rsid w:val="00C166E5"/>
    <w:rsid w:val="00C167B1"/>
    <w:rsid w:val="00C168FB"/>
    <w:rsid w:val="00C16B52"/>
    <w:rsid w:val="00C16BF8"/>
    <w:rsid w:val="00C16DAC"/>
    <w:rsid w:val="00C1721E"/>
    <w:rsid w:val="00C179B3"/>
    <w:rsid w:val="00C17E3F"/>
    <w:rsid w:val="00C200AA"/>
    <w:rsid w:val="00C20B73"/>
    <w:rsid w:val="00C21589"/>
    <w:rsid w:val="00C219E7"/>
    <w:rsid w:val="00C21D5C"/>
    <w:rsid w:val="00C21F31"/>
    <w:rsid w:val="00C222C1"/>
    <w:rsid w:val="00C224FE"/>
    <w:rsid w:val="00C22575"/>
    <w:rsid w:val="00C237ED"/>
    <w:rsid w:val="00C23A98"/>
    <w:rsid w:val="00C23E7D"/>
    <w:rsid w:val="00C23F42"/>
    <w:rsid w:val="00C23F84"/>
    <w:rsid w:val="00C241B5"/>
    <w:rsid w:val="00C24225"/>
    <w:rsid w:val="00C244C8"/>
    <w:rsid w:val="00C24632"/>
    <w:rsid w:val="00C24A50"/>
    <w:rsid w:val="00C24E2E"/>
    <w:rsid w:val="00C24E4D"/>
    <w:rsid w:val="00C250A2"/>
    <w:rsid w:val="00C25375"/>
    <w:rsid w:val="00C25418"/>
    <w:rsid w:val="00C2580E"/>
    <w:rsid w:val="00C25ADF"/>
    <w:rsid w:val="00C25D82"/>
    <w:rsid w:val="00C25D9C"/>
    <w:rsid w:val="00C25FF5"/>
    <w:rsid w:val="00C26019"/>
    <w:rsid w:val="00C261F0"/>
    <w:rsid w:val="00C265F2"/>
    <w:rsid w:val="00C26623"/>
    <w:rsid w:val="00C26671"/>
    <w:rsid w:val="00C267A4"/>
    <w:rsid w:val="00C26875"/>
    <w:rsid w:val="00C2778B"/>
    <w:rsid w:val="00C277A1"/>
    <w:rsid w:val="00C300F3"/>
    <w:rsid w:val="00C306C4"/>
    <w:rsid w:val="00C3081B"/>
    <w:rsid w:val="00C30935"/>
    <w:rsid w:val="00C30AB2"/>
    <w:rsid w:val="00C30B27"/>
    <w:rsid w:val="00C30FC1"/>
    <w:rsid w:val="00C31164"/>
    <w:rsid w:val="00C31649"/>
    <w:rsid w:val="00C31794"/>
    <w:rsid w:val="00C31C84"/>
    <w:rsid w:val="00C31D24"/>
    <w:rsid w:val="00C32250"/>
    <w:rsid w:val="00C325FC"/>
    <w:rsid w:val="00C328CF"/>
    <w:rsid w:val="00C32D93"/>
    <w:rsid w:val="00C330BF"/>
    <w:rsid w:val="00C3332C"/>
    <w:rsid w:val="00C33382"/>
    <w:rsid w:val="00C3373A"/>
    <w:rsid w:val="00C34146"/>
    <w:rsid w:val="00C3425A"/>
    <w:rsid w:val="00C3434C"/>
    <w:rsid w:val="00C34594"/>
    <w:rsid w:val="00C351D7"/>
    <w:rsid w:val="00C352CD"/>
    <w:rsid w:val="00C35518"/>
    <w:rsid w:val="00C36075"/>
    <w:rsid w:val="00C3685B"/>
    <w:rsid w:val="00C36F76"/>
    <w:rsid w:val="00C3752A"/>
    <w:rsid w:val="00C37C67"/>
    <w:rsid w:val="00C37CE9"/>
    <w:rsid w:val="00C400F2"/>
    <w:rsid w:val="00C40385"/>
    <w:rsid w:val="00C40B20"/>
    <w:rsid w:val="00C40BDB"/>
    <w:rsid w:val="00C41680"/>
    <w:rsid w:val="00C41768"/>
    <w:rsid w:val="00C41DB0"/>
    <w:rsid w:val="00C42762"/>
    <w:rsid w:val="00C4305C"/>
    <w:rsid w:val="00C43B56"/>
    <w:rsid w:val="00C43C0E"/>
    <w:rsid w:val="00C44043"/>
    <w:rsid w:val="00C441BE"/>
    <w:rsid w:val="00C442FF"/>
    <w:rsid w:val="00C4460A"/>
    <w:rsid w:val="00C4461F"/>
    <w:rsid w:val="00C44A49"/>
    <w:rsid w:val="00C44AC9"/>
    <w:rsid w:val="00C45097"/>
    <w:rsid w:val="00C45182"/>
    <w:rsid w:val="00C45185"/>
    <w:rsid w:val="00C4563E"/>
    <w:rsid w:val="00C45DDB"/>
    <w:rsid w:val="00C4621D"/>
    <w:rsid w:val="00C469A0"/>
    <w:rsid w:val="00C46A5E"/>
    <w:rsid w:val="00C46FB0"/>
    <w:rsid w:val="00C470C8"/>
    <w:rsid w:val="00C475AA"/>
    <w:rsid w:val="00C476B6"/>
    <w:rsid w:val="00C4792B"/>
    <w:rsid w:val="00C50038"/>
    <w:rsid w:val="00C50557"/>
    <w:rsid w:val="00C5083A"/>
    <w:rsid w:val="00C50AA8"/>
    <w:rsid w:val="00C50BFF"/>
    <w:rsid w:val="00C50C99"/>
    <w:rsid w:val="00C50D4D"/>
    <w:rsid w:val="00C5104D"/>
    <w:rsid w:val="00C510EE"/>
    <w:rsid w:val="00C5122E"/>
    <w:rsid w:val="00C512BE"/>
    <w:rsid w:val="00C514C8"/>
    <w:rsid w:val="00C5163E"/>
    <w:rsid w:val="00C51733"/>
    <w:rsid w:val="00C51AFE"/>
    <w:rsid w:val="00C51BFE"/>
    <w:rsid w:val="00C52100"/>
    <w:rsid w:val="00C522ED"/>
    <w:rsid w:val="00C5272A"/>
    <w:rsid w:val="00C527C7"/>
    <w:rsid w:val="00C52CF8"/>
    <w:rsid w:val="00C52D11"/>
    <w:rsid w:val="00C53144"/>
    <w:rsid w:val="00C53351"/>
    <w:rsid w:val="00C533C6"/>
    <w:rsid w:val="00C537FE"/>
    <w:rsid w:val="00C53B2A"/>
    <w:rsid w:val="00C53C15"/>
    <w:rsid w:val="00C53C98"/>
    <w:rsid w:val="00C5445F"/>
    <w:rsid w:val="00C545A6"/>
    <w:rsid w:val="00C547F3"/>
    <w:rsid w:val="00C54C07"/>
    <w:rsid w:val="00C54DD6"/>
    <w:rsid w:val="00C5510F"/>
    <w:rsid w:val="00C55545"/>
    <w:rsid w:val="00C55A97"/>
    <w:rsid w:val="00C55BB8"/>
    <w:rsid w:val="00C55BD9"/>
    <w:rsid w:val="00C55C3D"/>
    <w:rsid w:val="00C55FF8"/>
    <w:rsid w:val="00C56A30"/>
    <w:rsid w:val="00C56B38"/>
    <w:rsid w:val="00C56C2C"/>
    <w:rsid w:val="00C56FCF"/>
    <w:rsid w:val="00C572F6"/>
    <w:rsid w:val="00C5744D"/>
    <w:rsid w:val="00C575FD"/>
    <w:rsid w:val="00C57990"/>
    <w:rsid w:val="00C57B6C"/>
    <w:rsid w:val="00C6023B"/>
    <w:rsid w:val="00C60498"/>
    <w:rsid w:val="00C60560"/>
    <w:rsid w:val="00C61069"/>
    <w:rsid w:val="00C611E8"/>
    <w:rsid w:val="00C616B7"/>
    <w:rsid w:val="00C61A59"/>
    <w:rsid w:val="00C61B03"/>
    <w:rsid w:val="00C6262E"/>
    <w:rsid w:val="00C62661"/>
    <w:rsid w:val="00C6274E"/>
    <w:rsid w:val="00C628A6"/>
    <w:rsid w:val="00C62F69"/>
    <w:rsid w:val="00C62F93"/>
    <w:rsid w:val="00C63DB3"/>
    <w:rsid w:val="00C642AE"/>
    <w:rsid w:val="00C6433E"/>
    <w:rsid w:val="00C64344"/>
    <w:rsid w:val="00C65108"/>
    <w:rsid w:val="00C65576"/>
    <w:rsid w:val="00C65ADF"/>
    <w:rsid w:val="00C65AE7"/>
    <w:rsid w:val="00C65B72"/>
    <w:rsid w:val="00C66165"/>
    <w:rsid w:val="00C665AF"/>
    <w:rsid w:val="00C66AA2"/>
    <w:rsid w:val="00C66C73"/>
    <w:rsid w:val="00C66E52"/>
    <w:rsid w:val="00C670A7"/>
    <w:rsid w:val="00C67509"/>
    <w:rsid w:val="00C677D5"/>
    <w:rsid w:val="00C677FB"/>
    <w:rsid w:val="00C67A60"/>
    <w:rsid w:val="00C7040D"/>
    <w:rsid w:val="00C7047D"/>
    <w:rsid w:val="00C7060A"/>
    <w:rsid w:val="00C7151A"/>
    <w:rsid w:val="00C717E3"/>
    <w:rsid w:val="00C71E9D"/>
    <w:rsid w:val="00C71F60"/>
    <w:rsid w:val="00C72241"/>
    <w:rsid w:val="00C72324"/>
    <w:rsid w:val="00C72AC7"/>
    <w:rsid w:val="00C72D8F"/>
    <w:rsid w:val="00C737BD"/>
    <w:rsid w:val="00C737D8"/>
    <w:rsid w:val="00C74352"/>
    <w:rsid w:val="00C743C7"/>
    <w:rsid w:val="00C746E5"/>
    <w:rsid w:val="00C74CBD"/>
    <w:rsid w:val="00C74D06"/>
    <w:rsid w:val="00C74E4A"/>
    <w:rsid w:val="00C74F91"/>
    <w:rsid w:val="00C750C8"/>
    <w:rsid w:val="00C7524D"/>
    <w:rsid w:val="00C7560F"/>
    <w:rsid w:val="00C75E6E"/>
    <w:rsid w:val="00C76024"/>
    <w:rsid w:val="00C764A1"/>
    <w:rsid w:val="00C7650E"/>
    <w:rsid w:val="00C76680"/>
    <w:rsid w:val="00C767C2"/>
    <w:rsid w:val="00C76C9C"/>
    <w:rsid w:val="00C77C63"/>
    <w:rsid w:val="00C77E1D"/>
    <w:rsid w:val="00C80117"/>
    <w:rsid w:val="00C80147"/>
    <w:rsid w:val="00C80941"/>
    <w:rsid w:val="00C80A0E"/>
    <w:rsid w:val="00C81057"/>
    <w:rsid w:val="00C8107F"/>
    <w:rsid w:val="00C810C2"/>
    <w:rsid w:val="00C81135"/>
    <w:rsid w:val="00C811ED"/>
    <w:rsid w:val="00C81345"/>
    <w:rsid w:val="00C81E48"/>
    <w:rsid w:val="00C81E69"/>
    <w:rsid w:val="00C8213F"/>
    <w:rsid w:val="00C82232"/>
    <w:rsid w:val="00C822C3"/>
    <w:rsid w:val="00C82628"/>
    <w:rsid w:val="00C8303F"/>
    <w:rsid w:val="00C83050"/>
    <w:rsid w:val="00C83311"/>
    <w:rsid w:val="00C83482"/>
    <w:rsid w:val="00C834C4"/>
    <w:rsid w:val="00C836C0"/>
    <w:rsid w:val="00C844EB"/>
    <w:rsid w:val="00C84CE1"/>
    <w:rsid w:val="00C8501C"/>
    <w:rsid w:val="00C85061"/>
    <w:rsid w:val="00C85154"/>
    <w:rsid w:val="00C854E7"/>
    <w:rsid w:val="00C85A70"/>
    <w:rsid w:val="00C85D6E"/>
    <w:rsid w:val="00C860AE"/>
    <w:rsid w:val="00C8713D"/>
    <w:rsid w:val="00C8759A"/>
    <w:rsid w:val="00C8797A"/>
    <w:rsid w:val="00C87F35"/>
    <w:rsid w:val="00C900B8"/>
    <w:rsid w:val="00C9015B"/>
    <w:rsid w:val="00C90197"/>
    <w:rsid w:val="00C9049E"/>
    <w:rsid w:val="00C907FC"/>
    <w:rsid w:val="00C90BFA"/>
    <w:rsid w:val="00C90C71"/>
    <w:rsid w:val="00C90DE4"/>
    <w:rsid w:val="00C912A8"/>
    <w:rsid w:val="00C91759"/>
    <w:rsid w:val="00C91EF5"/>
    <w:rsid w:val="00C91F14"/>
    <w:rsid w:val="00C91FD1"/>
    <w:rsid w:val="00C92159"/>
    <w:rsid w:val="00C92419"/>
    <w:rsid w:val="00C925FC"/>
    <w:rsid w:val="00C92659"/>
    <w:rsid w:val="00C92A65"/>
    <w:rsid w:val="00C92AA1"/>
    <w:rsid w:val="00C92BFA"/>
    <w:rsid w:val="00C92FD0"/>
    <w:rsid w:val="00C931CF"/>
    <w:rsid w:val="00C934D4"/>
    <w:rsid w:val="00C938CF"/>
    <w:rsid w:val="00C94053"/>
    <w:rsid w:val="00C9410D"/>
    <w:rsid w:val="00C943FA"/>
    <w:rsid w:val="00C947E7"/>
    <w:rsid w:val="00C94884"/>
    <w:rsid w:val="00C948AA"/>
    <w:rsid w:val="00C94C6F"/>
    <w:rsid w:val="00C94C8E"/>
    <w:rsid w:val="00C94DD4"/>
    <w:rsid w:val="00C95192"/>
    <w:rsid w:val="00C95342"/>
    <w:rsid w:val="00C95834"/>
    <w:rsid w:val="00C95973"/>
    <w:rsid w:val="00C9624D"/>
    <w:rsid w:val="00C962BA"/>
    <w:rsid w:val="00C969DA"/>
    <w:rsid w:val="00C97547"/>
    <w:rsid w:val="00C977B3"/>
    <w:rsid w:val="00CA0226"/>
    <w:rsid w:val="00CA0B27"/>
    <w:rsid w:val="00CA0C94"/>
    <w:rsid w:val="00CA0D83"/>
    <w:rsid w:val="00CA10D7"/>
    <w:rsid w:val="00CA11DD"/>
    <w:rsid w:val="00CA204E"/>
    <w:rsid w:val="00CA2C77"/>
    <w:rsid w:val="00CA2E0F"/>
    <w:rsid w:val="00CA31C8"/>
    <w:rsid w:val="00CA3201"/>
    <w:rsid w:val="00CA3981"/>
    <w:rsid w:val="00CA3DA1"/>
    <w:rsid w:val="00CA3FF6"/>
    <w:rsid w:val="00CA4234"/>
    <w:rsid w:val="00CA444F"/>
    <w:rsid w:val="00CA4953"/>
    <w:rsid w:val="00CA4B4E"/>
    <w:rsid w:val="00CA51D8"/>
    <w:rsid w:val="00CA5245"/>
    <w:rsid w:val="00CA5B51"/>
    <w:rsid w:val="00CA5C2D"/>
    <w:rsid w:val="00CA63E7"/>
    <w:rsid w:val="00CA66D6"/>
    <w:rsid w:val="00CA6967"/>
    <w:rsid w:val="00CA6C0E"/>
    <w:rsid w:val="00CA6F3E"/>
    <w:rsid w:val="00CA71F4"/>
    <w:rsid w:val="00CA7879"/>
    <w:rsid w:val="00CA79B3"/>
    <w:rsid w:val="00CA7B09"/>
    <w:rsid w:val="00CA7CD5"/>
    <w:rsid w:val="00CB048E"/>
    <w:rsid w:val="00CB0D7E"/>
    <w:rsid w:val="00CB0E48"/>
    <w:rsid w:val="00CB12A5"/>
    <w:rsid w:val="00CB142F"/>
    <w:rsid w:val="00CB1499"/>
    <w:rsid w:val="00CB1719"/>
    <w:rsid w:val="00CB1804"/>
    <w:rsid w:val="00CB1BCD"/>
    <w:rsid w:val="00CB1CAC"/>
    <w:rsid w:val="00CB2203"/>
    <w:rsid w:val="00CB2436"/>
    <w:rsid w:val="00CB24D6"/>
    <w:rsid w:val="00CB2809"/>
    <w:rsid w:val="00CB2B9B"/>
    <w:rsid w:val="00CB2F2A"/>
    <w:rsid w:val="00CB30F6"/>
    <w:rsid w:val="00CB3B77"/>
    <w:rsid w:val="00CB4083"/>
    <w:rsid w:val="00CB5119"/>
    <w:rsid w:val="00CB5607"/>
    <w:rsid w:val="00CB5984"/>
    <w:rsid w:val="00CB5B1A"/>
    <w:rsid w:val="00CB601C"/>
    <w:rsid w:val="00CB66B1"/>
    <w:rsid w:val="00CB6B22"/>
    <w:rsid w:val="00CB6B4E"/>
    <w:rsid w:val="00CB7009"/>
    <w:rsid w:val="00CB7396"/>
    <w:rsid w:val="00CB7DF2"/>
    <w:rsid w:val="00CB7E65"/>
    <w:rsid w:val="00CB7F5F"/>
    <w:rsid w:val="00CC081C"/>
    <w:rsid w:val="00CC11F4"/>
    <w:rsid w:val="00CC1806"/>
    <w:rsid w:val="00CC1B39"/>
    <w:rsid w:val="00CC1BFA"/>
    <w:rsid w:val="00CC1DA6"/>
    <w:rsid w:val="00CC1F58"/>
    <w:rsid w:val="00CC2774"/>
    <w:rsid w:val="00CC27AC"/>
    <w:rsid w:val="00CC2E9F"/>
    <w:rsid w:val="00CC3083"/>
    <w:rsid w:val="00CC3398"/>
    <w:rsid w:val="00CC35EA"/>
    <w:rsid w:val="00CC3653"/>
    <w:rsid w:val="00CC3848"/>
    <w:rsid w:val="00CC3C37"/>
    <w:rsid w:val="00CC45C0"/>
    <w:rsid w:val="00CC477C"/>
    <w:rsid w:val="00CC640E"/>
    <w:rsid w:val="00CC66F7"/>
    <w:rsid w:val="00CC6793"/>
    <w:rsid w:val="00CC696C"/>
    <w:rsid w:val="00CC6A24"/>
    <w:rsid w:val="00CC6C74"/>
    <w:rsid w:val="00CC6D5E"/>
    <w:rsid w:val="00CC7493"/>
    <w:rsid w:val="00CC7799"/>
    <w:rsid w:val="00CC7A13"/>
    <w:rsid w:val="00CC7BCD"/>
    <w:rsid w:val="00CD0019"/>
    <w:rsid w:val="00CD0200"/>
    <w:rsid w:val="00CD031C"/>
    <w:rsid w:val="00CD04F1"/>
    <w:rsid w:val="00CD0757"/>
    <w:rsid w:val="00CD0B62"/>
    <w:rsid w:val="00CD0B82"/>
    <w:rsid w:val="00CD0CC0"/>
    <w:rsid w:val="00CD0E24"/>
    <w:rsid w:val="00CD0F02"/>
    <w:rsid w:val="00CD1079"/>
    <w:rsid w:val="00CD11C4"/>
    <w:rsid w:val="00CD131B"/>
    <w:rsid w:val="00CD1A9A"/>
    <w:rsid w:val="00CD25D0"/>
    <w:rsid w:val="00CD26A8"/>
    <w:rsid w:val="00CD2D4F"/>
    <w:rsid w:val="00CD30D5"/>
    <w:rsid w:val="00CD3BEC"/>
    <w:rsid w:val="00CD3EB9"/>
    <w:rsid w:val="00CD3F77"/>
    <w:rsid w:val="00CD511B"/>
    <w:rsid w:val="00CD5639"/>
    <w:rsid w:val="00CD5819"/>
    <w:rsid w:val="00CD584A"/>
    <w:rsid w:val="00CD5B57"/>
    <w:rsid w:val="00CD5FCA"/>
    <w:rsid w:val="00CD65AC"/>
    <w:rsid w:val="00CD6ADC"/>
    <w:rsid w:val="00CD6B27"/>
    <w:rsid w:val="00CD6E7C"/>
    <w:rsid w:val="00CD7193"/>
    <w:rsid w:val="00CD7453"/>
    <w:rsid w:val="00CD7898"/>
    <w:rsid w:val="00CD7DE1"/>
    <w:rsid w:val="00CE0355"/>
    <w:rsid w:val="00CE04C1"/>
    <w:rsid w:val="00CE04E6"/>
    <w:rsid w:val="00CE0BED"/>
    <w:rsid w:val="00CE0C3A"/>
    <w:rsid w:val="00CE0E0B"/>
    <w:rsid w:val="00CE0E58"/>
    <w:rsid w:val="00CE0E6B"/>
    <w:rsid w:val="00CE16C2"/>
    <w:rsid w:val="00CE1810"/>
    <w:rsid w:val="00CE25CE"/>
    <w:rsid w:val="00CE3077"/>
    <w:rsid w:val="00CE38C8"/>
    <w:rsid w:val="00CE43D2"/>
    <w:rsid w:val="00CE445F"/>
    <w:rsid w:val="00CE4B56"/>
    <w:rsid w:val="00CE524F"/>
    <w:rsid w:val="00CE53E2"/>
    <w:rsid w:val="00CE5446"/>
    <w:rsid w:val="00CE58A7"/>
    <w:rsid w:val="00CE58CC"/>
    <w:rsid w:val="00CE6274"/>
    <w:rsid w:val="00CE6C58"/>
    <w:rsid w:val="00CE6E35"/>
    <w:rsid w:val="00CE6E70"/>
    <w:rsid w:val="00CE6EE0"/>
    <w:rsid w:val="00CE7587"/>
    <w:rsid w:val="00CE75F3"/>
    <w:rsid w:val="00CE77B6"/>
    <w:rsid w:val="00CE7848"/>
    <w:rsid w:val="00CE7D1D"/>
    <w:rsid w:val="00CF0037"/>
    <w:rsid w:val="00CF0A73"/>
    <w:rsid w:val="00CF0D97"/>
    <w:rsid w:val="00CF0E35"/>
    <w:rsid w:val="00CF0F45"/>
    <w:rsid w:val="00CF1095"/>
    <w:rsid w:val="00CF1FEF"/>
    <w:rsid w:val="00CF24C2"/>
    <w:rsid w:val="00CF2B8D"/>
    <w:rsid w:val="00CF2C3D"/>
    <w:rsid w:val="00CF2D08"/>
    <w:rsid w:val="00CF3A1B"/>
    <w:rsid w:val="00CF40EB"/>
    <w:rsid w:val="00CF4124"/>
    <w:rsid w:val="00CF424F"/>
    <w:rsid w:val="00CF4377"/>
    <w:rsid w:val="00CF456B"/>
    <w:rsid w:val="00CF47FE"/>
    <w:rsid w:val="00CF48E0"/>
    <w:rsid w:val="00CF5A22"/>
    <w:rsid w:val="00CF5A71"/>
    <w:rsid w:val="00CF5BDB"/>
    <w:rsid w:val="00CF642A"/>
    <w:rsid w:val="00CF6CF9"/>
    <w:rsid w:val="00CF71B6"/>
    <w:rsid w:val="00CF73EB"/>
    <w:rsid w:val="00CF75EE"/>
    <w:rsid w:val="00CF76C8"/>
    <w:rsid w:val="00CF7BB4"/>
    <w:rsid w:val="00D00222"/>
    <w:rsid w:val="00D0055E"/>
    <w:rsid w:val="00D0066D"/>
    <w:rsid w:val="00D006EE"/>
    <w:rsid w:val="00D007B9"/>
    <w:rsid w:val="00D01F31"/>
    <w:rsid w:val="00D02452"/>
    <w:rsid w:val="00D0262E"/>
    <w:rsid w:val="00D0285F"/>
    <w:rsid w:val="00D02FA5"/>
    <w:rsid w:val="00D035E5"/>
    <w:rsid w:val="00D03679"/>
    <w:rsid w:val="00D03DC6"/>
    <w:rsid w:val="00D048E3"/>
    <w:rsid w:val="00D04E43"/>
    <w:rsid w:val="00D05091"/>
    <w:rsid w:val="00D05392"/>
    <w:rsid w:val="00D05571"/>
    <w:rsid w:val="00D05883"/>
    <w:rsid w:val="00D058B4"/>
    <w:rsid w:val="00D0595C"/>
    <w:rsid w:val="00D05C3F"/>
    <w:rsid w:val="00D05C41"/>
    <w:rsid w:val="00D05E3D"/>
    <w:rsid w:val="00D05F18"/>
    <w:rsid w:val="00D06139"/>
    <w:rsid w:val="00D062B5"/>
    <w:rsid w:val="00D06977"/>
    <w:rsid w:val="00D06A83"/>
    <w:rsid w:val="00D07213"/>
    <w:rsid w:val="00D0731C"/>
    <w:rsid w:val="00D07540"/>
    <w:rsid w:val="00D07829"/>
    <w:rsid w:val="00D07AB8"/>
    <w:rsid w:val="00D07D7D"/>
    <w:rsid w:val="00D10210"/>
    <w:rsid w:val="00D103A6"/>
    <w:rsid w:val="00D1052D"/>
    <w:rsid w:val="00D10ACF"/>
    <w:rsid w:val="00D110BD"/>
    <w:rsid w:val="00D11776"/>
    <w:rsid w:val="00D11AFF"/>
    <w:rsid w:val="00D12D67"/>
    <w:rsid w:val="00D12DA1"/>
    <w:rsid w:val="00D12ED8"/>
    <w:rsid w:val="00D130D8"/>
    <w:rsid w:val="00D13675"/>
    <w:rsid w:val="00D137BD"/>
    <w:rsid w:val="00D13AA5"/>
    <w:rsid w:val="00D14024"/>
    <w:rsid w:val="00D14047"/>
    <w:rsid w:val="00D141E1"/>
    <w:rsid w:val="00D14C99"/>
    <w:rsid w:val="00D14CB5"/>
    <w:rsid w:val="00D14D79"/>
    <w:rsid w:val="00D14FE5"/>
    <w:rsid w:val="00D15047"/>
    <w:rsid w:val="00D15111"/>
    <w:rsid w:val="00D1519E"/>
    <w:rsid w:val="00D15314"/>
    <w:rsid w:val="00D158B5"/>
    <w:rsid w:val="00D158BF"/>
    <w:rsid w:val="00D159D7"/>
    <w:rsid w:val="00D15B48"/>
    <w:rsid w:val="00D1633A"/>
    <w:rsid w:val="00D172A8"/>
    <w:rsid w:val="00D175EE"/>
    <w:rsid w:val="00D17D6C"/>
    <w:rsid w:val="00D201FF"/>
    <w:rsid w:val="00D202E6"/>
    <w:rsid w:val="00D2031A"/>
    <w:rsid w:val="00D204EB"/>
    <w:rsid w:val="00D2106A"/>
    <w:rsid w:val="00D2155B"/>
    <w:rsid w:val="00D21A49"/>
    <w:rsid w:val="00D21A7C"/>
    <w:rsid w:val="00D21D62"/>
    <w:rsid w:val="00D21E0B"/>
    <w:rsid w:val="00D21E1A"/>
    <w:rsid w:val="00D22562"/>
    <w:rsid w:val="00D22A7D"/>
    <w:rsid w:val="00D2323B"/>
    <w:rsid w:val="00D23553"/>
    <w:rsid w:val="00D23D11"/>
    <w:rsid w:val="00D23EA6"/>
    <w:rsid w:val="00D24150"/>
    <w:rsid w:val="00D24281"/>
    <w:rsid w:val="00D24462"/>
    <w:rsid w:val="00D244B6"/>
    <w:rsid w:val="00D245C9"/>
    <w:rsid w:val="00D247ED"/>
    <w:rsid w:val="00D24B8C"/>
    <w:rsid w:val="00D24D0A"/>
    <w:rsid w:val="00D24F7C"/>
    <w:rsid w:val="00D253C4"/>
    <w:rsid w:val="00D2554D"/>
    <w:rsid w:val="00D263C9"/>
    <w:rsid w:val="00D267F9"/>
    <w:rsid w:val="00D2683E"/>
    <w:rsid w:val="00D2688F"/>
    <w:rsid w:val="00D26E24"/>
    <w:rsid w:val="00D2754D"/>
    <w:rsid w:val="00D27B27"/>
    <w:rsid w:val="00D27EBF"/>
    <w:rsid w:val="00D300EC"/>
    <w:rsid w:val="00D305EC"/>
    <w:rsid w:val="00D30841"/>
    <w:rsid w:val="00D30D5B"/>
    <w:rsid w:val="00D30F41"/>
    <w:rsid w:val="00D31749"/>
    <w:rsid w:val="00D32A03"/>
    <w:rsid w:val="00D32A2E"/>
    <w:rsid w:val="00D32C46"/>
    <w:rsid w:val="00D32CA9"/>
    <w:rsid w:val="00D332F0"/>
    <w:rsid w:val="00D33A31"/>
    <w:rsid w:val="00D33BE9"/>
    <w:rsid w:val="00D33F93"/>
    <w:rsid w:val="00D345A0"/>
    <w:rsid w:val="00D34B30"/>
    <w:rsid w:val="00D34CFE"/>
    <w:rsid w:val="00D34EF2"/>
    <w:rsid w:val="00D34F68"/>
    <w:rsid w:val="00D34F76"/>
    <w:rsid w:val="00D357FF"/>
    <w:rsid w:val="00D35858"/>
    <w:rsid w:val="00D35EC4"/>
    <w:rsid w:val="00D36429"/>
    <w:rsid w:val="00D3736C"/>
    <w:rsid w:val="00D37D7A"/>
    <w:rsid w:val="00D37EA4"/>
    <w:rsid w:val="00D4004F"/>
    <w:rsid w:val="00D404FD"/>
    <w:rsid w:val="00D40626"/>
    <w:rsid w:val="00D40CD1"/>
    <w:rsid w:val="00D4108E"/>
    <w:rsid w:val="00D41108"/>
    <w:rsid w:val="00D413E6"/>
    <w:rsid w:val="00D4144B"/>
    <w:rsid w:val="00D41983"/>
    <w:rsid w:val="00D41DE1"/>
    <w:rsid w:val="00D422F0"/>
    <w:rsid w:val="00D424C7"/>
    <w:rsid w:val="00D42586"/>
    <w:rsid w:val="00D435E0"/>
    <w:rsid w:val="00D436F5"/>
    <w:rsid w:val="00D43B2A"/>
    <w:rsid w:val="00D43CF1"/>
    <w:rsid w:val="00D43D83"/>
    <w:rsid w:val="00D43EA2"/>
    <w:rsid w:val="00D44067"/>
    <w:rsid w:val="00D4416E"/>
    <w:rsid w:val="00D45C40"/>
    <w:rsid w:val="00D462D6"/>
    <w:rsid w:val="00D47444"/>
    <w:rsid w:val="00D47575"/>
    <w:rsid w:val="00D47586"/>
    <w:rsid w:val="00D47812"/>
    <w:rsid w:val="00D5095D"/>
    <w:rsid w:val="00D5243B"/>
    <w:rsid w:val="00D52445"/>
    <w:rsid w:val="00D52708"/>
    <w:rsid w:val="00D527B5"/>
    <w:rsid w:val="00D52853"/>
    <w:rsid w:val="00D5328C"/>
    <w:rsid w:val="00D533EC"/>
    <w:rsid w:val="00D535B6"/>
    <w:rsid w:val="00D53810"/>
    <w:rsid w:val="00D53B7A"/>
    <w:rsid w:val="00D53F23"/>
    <w:rsid w:val="00D54782"/>
    <w:rsid w:val="00D54BFC"/>
    <w:rsid w:val="00D5531D"/>
    <w:rsid w:val="00D555DB"/>
    <w:rsid w:val="00D5563A"/>
    <w:rsid w:val="00D5579F"/>
    <w:rsid w:val="00D558C3"/>
    <w:rsid w:val="00D558D1"/>
    <w:rsid w:val="00D55AD2"/>
    <w:rsid w:val="00D5604E"/>
    <w:rsid w:val="00D564D2"/>
    <w:rsid w:val="00D565B5"/>
    <w:rsid w:val="00D56A95"/>
    <w:rsid w:val="00D56B7C"/>
    <w:rsid w:val="00D57C54"/>
    <w:rsid w:val="00D57CA1"/>
    <w:rsid w:val="00D60494"/>
    <w:rsid w:val="00D6063B"/>
    <w:rsid w:val="00D6076E"/>
    <w:rsid w:val="00D60855"/>
    <w:rsid w:val="00D608C9"/>
    <w:rsid w:val="00D60B37"/>
    <w:rsid w:val="00D60C66"/>
    <w:rsid w:val="00D60D1A"/>
    <w:rsid w:val="00D60D6D"/>
    <w:rsid w:val="00D60DFF"/>
    <w:rsid w:val="00D61875"/>
    <w:rsid w:val="00D61AD0"/>
    <w:rsid w:val="00D61CA6"/>
    <w:rsid w:val="00D620FC"/>
    <w:rsid w:val="00D62C35"/>
    <w:rsid w:val="00D62F2C"/>
    <w:rsid w:val="00D6306A"/>
    <w:rsid w:val="00D639E2"/>
    <w:rsid w:val="00D6402E"/>
    <w:rsid w:val="00D645D6"/>
    <w:rsid w:val="00D64965"/>
    <w:rsid w:val="00D64A2D"/>
    <w:rsid w:val="00D64D3F"/>
    <w:rsid w:val="00D65342"/>
    <w:rsid w:val="00D65BEB"/>
    <w:rsid w:val="00D663F3"/>
    <w:rsid w:val="00D66782"/>
    <w:rsid w:val="00D66A36"/>
    <w:rsid w:val="00D66BAC"/>
    <w:rsid w:val="00D67377"/>
    <w:rsid w:val="00D6760E"/>
    <w:rsid w:val="00D6786A"/>
    <w:rsid w:val="00D678E3"/>
    <w:rsid w:val="00D67A1D"/>
    <w:rsid w:val="00D67F25"/>
    <w:rsid w:val="00D67FA6"/>
    <w:rsid w:val="00D701EC"/>
    <w:rsid w:val="00D7035B"/>
    <w:rsid w:val="00D70CE7"/>
    <w:rsid w:val="00D70F16"/>
    <w:rsid w:val="00D7123D"/>
    <w:rsid w:val="00D712AB"/>
    <w:rsid w:val="00D714BC"/>
    <w:rsid w:val="00D715A7"/>
    <w:rsid w:val="00D71C02"/>
    <w:rsid w:val="00D71E30"/>
    <w:rsid w:val="00D72094"/>
    <w:rsid w:val="00D725EE"/>
    <w:rsid w:val="00D72617"/>
    <w:rsid w:val="00D72D0C"/>
    <w:rsid w:val="00D72F57"/>
    <w:rsid w:val="00D72F96"/>
    <w:rsid w:val="00D7317B"/>
    <w:rsid w:val="00D73246"/>
    <w:rsid w:val="00D73532"/>
    <w:rsid w:val="00D735E7"/>
    <w:rsid w:val="00D7375D"/>
    <w:rsid w:val="00D73CE0"/>
    <w:rsid w:val="00D73F9D"/>
    <w:rsid w:val="00D74541"/>
    <w:rsid w:val="00D747C9"/>
    <w:rsid w:val="00D74BD0"/>
    <w:rsid w:val="00D7545E"/>
    <w:rsid w:val="00D7549E"/>
    <w:rsid w:val="00D754A4"/>
    <w:rsid w:val="00D75591"/>
    <w:rsid w:val="00D759C5"/>
    <w:rsid w:val="00D75D61"/>
    <w:rsid w:val="00D75E6F"/>
    <w:rsid w:val="00D766F4"/>
    <w:rsid w:val="00D76811"/>
    <w:rsid w:val="00D76936"/>
    <w:rsid w:val="00D76A44"/>
    <w:rsid w:val="00D76E3D"/>
    <w:rsid w:val="00D76FD3"/>
    <w:rsid w:val="00D775B5"/>
    <w:rsid w:val="00D77E12"/>
    <w:rsid w:val="00D77E48"/>
    <w:rsid w:val="00D77F23"/>
    <w:rsid w:val="00D809A1"/>
    <w:rsid w:val="00D80AFD"/>
    <w:rsid w:val="00D81278"/>
    <w:rsid w:val="00D8132A"/>
    <w:rsid w:val="00D81411"/>
    <w:rsid w:val="00D815EF"/>
    <w:rsid w:val="00D818F2"/>
    <w:rsid w:val="00D81949"/>
    <w:rsid w:val="00D81F26"/>
    <w:rsid w:val="00D82260"/>
    <w:rsid w:val="00D822E2"/>
    <w:rsid w:val="00D82B37"/>
    <w:rsid w:val="00D82D5D"/>
    <w:rsid w:val="00D82E2C"/>
    <w:rsid w:val="00D82EA4"/>
    <w:rsid w:val="00D83137"/>
    <w:rsid w:val="00D83494"/>
    <w:rsid w:val="00D834EF"/>
    <w:rsid w:val="00D83932"/>
    <w:rsid w:val="00D84309"/>
    <w:rsid w:val="00D843D5"/>
    <w:rsid w:val="00D843F2"/>
    <w:rsid w:val="00D84539"/>
    <w:rsid w:val="00D84977"/>
    <w:rsid w:val="00D84989"/>
    <w:rsid w:val="00D84D49"/>
    <w:rsid w:val="00D85679"/>
    <w:rsid w:val="00D85C9B"/>
    <w:rsid w:val="00D8622C"/>
    <w:rsid w:val="00D86231"/>
    <w:rsid w:val="00D90008"/>
    <w:rsid w:val="00D900B2"/>
    <w:rsid w:val="00D902D0"/>
    <w:rsid w:val="00D90484"/>
    <w:rsid w:val="00D905B4"/>
    <w:rsid w:val="00D908C0"/>
    <w:rsid w:val="00D90D2A"/>
    <w:rsid w:val="00D91033"/>
    <w:rsid w:val="00D911AE"/>
    <w:rsid w:val="00D912AB"/>
    <w:rsid w:val="00D91320"/>
    <w:rsid w:val="00D9154F"/>
    <w:rsid w:val="00D91923"/>
    <w:rsid w:val="00D91D23"/>
    <w:rsid w:val="00D91DE3"/>
    <w:rsid w:val="00D920F8"/>
    <w:rsid w:val="00D9210F"/>
    <w:rsid w:val="00D92132"/>
    <w:rsid w:val="00D924FA"/>
    <w:rsid w:val="00D92D20"/>
    <w:rsid w:val="00D92D9D"/>
    <w:rsid w:val="00D93380"/>
    <w:rsid w:val="00D93436"/>
    <w:rsid w:val="00D93753"/>
    <w:rsid w:val="00D93A49"/>
    <w:rsid w:val="00D93E2D"/>
    <w:rsid w:val="00D940B4"/>
    <w:rsid w:val="00D94BCC"/>
    <w:rsid w:val="00D94D58"/>
    <w:rsid w:val="00D94D9F"/>
    <w:rsid w:val="00D94FD2"/>
    <w:rsid w:val="00D94FD7"/>
    <w:rsid w:val="00D9510A"/>
    <w:rsid w:val="00D95657"/>
    <w:rsid w:val="00D95C30"/>
    <w:rsid w:val="00D96195"/>
    <w:rsid w:val="00D961AD"/>
    <w:rsid w:val="00D969C3"/>
    <w:rsid w:val="00D969C4"/>
    <w:rsid w:val="00D96CCE"/>
    <w:rsid w:val="00D96D6C"/>
    <w:rsid w:val="00D970C8"/>
    <w:rsid w:val="00D972B1"/>
    <w:rsid w:val="00D97C0E"/>
    <w:rsid w:val="00D97C78"/>
    <w:rsid w:val="00D97D2F"/>
    <w:rsid w:val="00DA00DA"/>
    <w:rsid w:val="00DA0213"/>
    <w:rsid w:val="00DA096E"/>
    <w:rsid w:val="00DA0B0F"/>
    <w:rsid w:val="00DA0C78"/>
    <w:rsid w:val="00DA0D82"/>
    <w:rsid w:val="00DA1390"/>
    <w:rsid w:val="00DA1D0E"/>
    <w:rsid w:val="00DA1DA6"/>
    <w:rsid w:val="00DA1DEE"/>
    <w:rsid w:val="00DA2466"/>
    <w:rsid w:val="00DA2673"/>
    <w:rsid w:val="00DA2781"/>
    <w:rsid w:val="00DA3138"/>
    <w:rsid w:val="00DA3167"/>
    <w:rsid w:val="00DA3203"/>
    <w:rsid w:val="00DA349C"/>
    <w:rsid w:val="00DA36E9"/>
    <w:rsid w:val="00DA3845"/>
    <w:rsid w:val="00DA49F2"/>
    <w:rsid w:val="00DA4C00"/>
    <w:rsid w:val="00DA4DC3"/>
    <w:rsid w:val="00DA53C8"/>
    <w:rsid w:val="00DA544C"/>
    <w:rsid w:val="00DA5BA8"/>
    <w:rsid w:val="00DA5EA5"/>
    <w:rsid w:val="00DA6193"/>
    <w:rsid w:val="00DA6262"/>
    <w:rsid w:val="00DA640B"/>
    <w:rsid w:val="00DA696C"/>
    <w:rsid w:val="00DA6B52"/>
    <w:rsid w:val="00DA7198"/>
    <w:rsid w:val="00DA7421"/>
    <w:rsid w:val="00DA77A5"/>
    <w:rsid w:val="00DA77E0"/>
    <w:rsid w:val="00DA7BEE"/>
    <w:rsid w:val="00DB04F2"/>
    <w:rsid w:val="00DB0540"/>
    <w:rsid w:val="00DB0C28"/>
    <w:rsid w:val="00DB0E34"/>
    <w:rsid w:val="00DB0E36"/>
    <w:rsid w:val="00DB1075"/>
    <w:rsid w:val="00DB1458"/>
    <w:rsid w:val="00DB150F"/>
    <w:rsid w:val="00DB1B3D"/>
    <w:rsid w:val="00DB1CD7"/>
    <w:rsid w:val="00DB2254"/>
    <w:rsid w:val="00DB2360"/>
    <w:rsid w:val="00DB2723"/>
    <w:rsid w:val="00DB2756"/>
    <w:rsid w:val="00DB2793"/>
    <w:rsid w:val="00DB2E97"/>
    <w:rsid w:val="00DB3950"/>
    <w:rsid w:val="00DB3A38"/>
    <w:rsid w:val="00DB3CEC"/>
    <w:rsid w:val="00DB3DBF"/>
    <w:rsid w:val="00DB484F"/>
    <w:rsid w:val="00DB576E"/>
    <w:rsid w:val="00DB5AAC"/>
    <w:rsid w:val="00DB5B1E"/>
    <w:rsid w:val="00DB5E69"/>
    <w:rsid w:val="00DB5FBB"/>
    <w:rsid w:val="00DB612C"/>
    <w:rsid w:val="00DB6577"/>
    <w:rsid w:val="00DB6E72"/>
    <w:rsid w:val="00DB70AE"/>
    <w:rsid w:val="00DB70C5"/>
    <w:rsid w:val="00DB74E2"/>
    <w:rsid w:val="00DB7702"/>
    <w:rsid w:val="00DB79D7"/>
    <w:rsid w:val="00DB7E08"/>
    <w:rsid w:val="00DB7F41"/>
    <w:rsid w:val="00DC0254"/>
    <w:rsid w:val="00DC04F6"/>
    <w:rsid w:val="00DC0690"/>
    <w:rsid w:val="00DC0B7C"/>
    <w:rsid w:val="00DC0C94"/>
    <w:rsid w:val="00DC0DB0"/>
    <w:rsid w:val="00DC0E75"/>
    <w:rsid w:val="00DC0EB7"/>
    <w:rsid w:val="00DC150D"/>
    <w:rsid w:val="00DC18FE"/>
    <w:rsid w:val="00DC1D65"/>
    <w:rsid w:val="00DC227E"/>
    <w:rsid w:val="00DC25EE"/>
    <w:rsid w:val="00DC2B0C"/>
    <w:rsid w:val="00DC2E4F"/>
    <w:rsid w:val="00DC3C57"/>
    <w:rsid w:val="00DC4305"/>
    <w:rsid w:val="00DC482A"/>
    <w:rsid w:val="00DC4C97"/>
    <w:rsid w:val="00DC4E32"/>
    <w:rsid w:val="00DC5304"/>
    <w:rsid w:val="00DC53C1"/>
    <w:rsid w:val="00DC5482"/>
    <w:rsid w:val="00DC5501"/>
    <w:rsid w:val="00DC5DE4"/>
    <w:rsid w:val="00DC5E2A"/>
    <w:rsid w:val="00DC5E33"/>
    <w:rsid w:val="00DC5FCA"/>
    <w:rsid w:val="00DC5FF1"/>
    <w:rsid w:val="00DC659E"/>
    <w:rsid w:val="00DC65B5"/>
    <w:rsid w:val="00DC7154"/>
    <w:rsid w:val="00DC7752"/>
    <w:rsid w:val="00DC77F7"/>
    <w:rsid w:val="00DC77FF"/>
    <w:rsid w:val="00DC7E8A"/>
    <w:rsid w:val="00DC7FDC"/>
    <w:rsid w:val="00DD00F0"/>
    <w:rsid w:val="00DD0BD6"/>
    <w:rsid w:val="00DD0F78"/>
    <w:rsid w:val="00DD12D4"/>
    <w:rsid w:val="00DD13F8"/>
    <w:rsid w:val="00DD16EB"/>
    <w:rsid w:val="00DD24C3"/>
    <w:rsid w:val="00DD24DF"/>
    <w:rsid w:val="00DD273C"/>
    <w:rsid w:val="00DD286D"/>
    <w:rsid w:val="00DD2BED"/>
    <w:rsid w:val="00DD3692"/>
    <w:rsid w:val="00DD39D6"/>
    <w:rsid w:val="00DD3EB9"/>
    <w:rsid w:val="00DD3F28"/>
    <w:rsid w:val="00DD434C"/>
    <w:rsid w:val="00DD4446"/>
    <w:rsid w:val="00DD4537"/>
    <w:rsid w:val="00DD45BD"/>
    <w:rsid w:val="00DD4CFF"/>
    <w:rsid w:val="00DD4E15"/>
    <w:rsid w:val="00DD5053"/>
    <w:rsid w:val="00DD555B"/>
    <w:rsid w:val="00DD6C07"/>
    <w:rsid w:val="00DD78AA"/>
    <w:rsid w:val="00DD79E4"/>
    <w:rsid w:val="00DE0DD5"/>
    <w:rsid w:val="00DE0DE2"/>
    <w:rsid w:val="00DE0E1E"/>
    <w:rsid w:val="00DE0EB6"/>
    <w:rsid w:val="00DE1352"/>
    <w:rsid w:val="00DE142C"/>
    <w:rsid w:val="00DE17E7"/>
    <w:rsid w:val="00DE1E75"/>
    <w:rsid w:val="00DE2304"/>
    <w:rsid w:val="00DE2480"/>
    <w:rsid w:val="00DE30CC"/>
    <w:rsid w:val="00DE3138"/>
    <w:rsid w:val="00DE3666"/>
    <w:rsid w:val="00DE36AA"/>
    <w:rsid w:val="00DE37F8"/>
    <w:rsid w:val="00DE39E7"/>
    <w:rsid w:val="00DE3D03"/>
    <w:rsid w:val="00DE4273"/>
    <w:rsid w:val="00DE45AB"/>
    <w:rsid w:val="00DE4FCB"/>
    <w:rsid w:val="00DE52EE"/>
    <w:rsid w:val="00DE5BD7"/>
    <w:rsid w:val="00DE5D07"/>
    <w:rsid w:val="00DE5DEE"/>
    <w:rsid w:val="00DE5FDA"/>
    <w:rsid w:val="00DE63B9"/>
    <w:rsid w:val="00DE6792"/>
    <w:rsid w:val="00DE6EE5"/>
    <w:rsid w:val="00DE710B"/>
    <w:rsid w:val="00DE72A7"/>
    <w:rsid w:val="00DE73BC"/>
    <w:rsid w:val="00DE7832"/>
    <w:rsid w:val="00DE79CF"/>
    <w:rsid w:val="00DF043F"/>
    <w:rsid w:val="00DF1072"/>
    <w:rsid w:val="00DF10A5"/>
    <w:rsid w:val="00DF18FC"/>
    <w:rsid w:val="00DF1B0A"/>
    <w:rsid w:val="00DF1F91"/>
    <w:rsid w:val="00DF20C2"/>
    <w:rsid w:val="00DF242C"/>
    <w:rsid w:val="00DF246B"/>
    <w:rsid w:val="00DF2551"/>
    <w:rsid w:val="00DF26F6"/>
    <w:rsid w:val="00DF2833"/>
    <w:rsid w:val="00DF28C3"/>
    <w:rsid w:val="00DF2F6F"/>
    <w:rsid w:val="00DF30A5"/>
    <w:rsid w:val="00DF33B6"/>
    <w:rsid w:val="00DF3785"/>
    <w:rsid w:val="00DF3B68"/>
    <w:rsid w:val="00DF3F12"/>
    <w:rsid w:val="00DF4913"/>
    <w:rsid w:val="00DF4E7D"/>
    <w:rsid w:val="00DF5005"/>
    <w:rsid w:val="00DF5161"/>
    <w:rsid w:val="00DF525F"/>
    <w:rsid w:val="00DF5B8D"/>
    <w:rsid w:val="00DF5D2B"/>
    <w:rsid w:val="00DF5E2D"/>
    <w:rsid w:val="00DF60E1"/>
    <w:rsid w:val="00DF6341"/>
    <w:rsid w:val="00DF64FC"/>
    <w:rsid w:val="00DF6556"/>
    <w:rsid w:val="00DF6B2E"/>
    <w:rsid w:val="00DF76FA"/>
    <w:rsid w:val="00DF778C"/>
    <w:rsid w:val="00DF7B89"/>
    <w:rsid w:val="00DF7D50"/>
    <w:rsid w:val="00E00492"/>
    <w:rsid w:val="00E00A0E"/>
    <w:rsid w:val="00E00AF4"/>
    <w:rsid w:val="00E00E8E"/>
    <w:rsid w:val="00E01554"/>
    <w:rsid w:val="00E01628"/>
    <w:rsid w:val="00E01A7B"/>
    <w:rsid w:val="00E01C10"/>
    <w:rsid w:val="00E020DE"/>
    <w:rsid w:val="00E02801"/>
    <w:rsid w:val="00E0281D"/>
    <w:rsid w:val="00E02DEE"/>
    <w:rsid w:val="00E02FD8"/>
    <w:rsid w:val="00E02FDF"/>
    <w:rsid w:val="00E03897"/>
    <w:rsid w:val="00E03A19"/>
    <w:rsid w:val="00E03DE6"/>
    <w:rsid w:val="00E043DC"/>
    <w:rsid w:val="00E0472F"/>
    <w:rsid w:val="00E05168"/>
    <w:rsid w:val="00E05630"/>
    <w:rsid w:val="00E0568B"/>
    <w:rsid w:val="00E0570E"/>
    <w:rsid w:val="00E058DF"/>
    <w:rsid w:val="00E05AB4"/>
    <w:rsid w:val="00E06011"/>
    <w:rsid w:val="00E0622C"/>
    <w:rsid w:val="00E062A9"/>
    <w:rsid w:val="00E06390"/>
    <w:rsid w:val="00E0669B"/>
    <w:rsid w:val="00E0670E"/>
    <w:rsid w:val="00E06CFC"/>
    <w:rsid w:val="00E06DBB"/>
    <w:rsid w:val="00E06E16"/>
    <w:rsid w:val="00E0761C"/>
    <w:rsid w:val="00E07979"/>
    <w:rsid w:val="00E079A8"/>
    <w:rsid w:val="00E07D37"/>
    <w:rsid w:val="00E07ED7"/>
    <w:rsid w:val="00E07F2B"/>
    <w:rsid w:val="00E10149"/>
    <w:rsid w:val="00E105F1"/>
    <w:rsid w:val="00E10840"/>
    <w:rsid w:val="00E111FC"/>
    <w:rsid w:val="00E1122E"/>
    <w:rsid w:val="00E11340"/>
    <w:rsid w:val="00E1155B"/>
    <w:rsid w:val="00E119F0"/>
    <w:rsid w:val="00E11AE9"/>
    <w:rsid w:val="00E11EA3"/>
    <w:rsid w:val="00E122A1"/>
    <w:rsid w:val="00E122EB"/>
    <w:rsid w:val="00E12581"/>
    <w:rsid w:val="00E12C37"/>
    <w:rsid w:val="00E12CAA"/>
    <w:rsid w:val="00E12FF2"/>
    <w:rsid w:val="00E13089"/>
    <w:rsid w:val="00E131B3"/>
    <w:rsid w:val="00E132DA"/>
    <w:rsid w:val="00E13349"/>
    <w:rsid w:val="00E133E9"/>
    <w:rsid w:val="00E13C9B"/>
    <w:rsid w:val="00E158FA"/>
    <w:rsid w:val="00E15ACE"/>
    <w:rsid w:val="00E15DDA"/>
    <w:rsid w:val="00E15F3C"/>
    <w:rsid w:val="00E16372"/>
    <w:rsid w:val="00E165D0"/>
    <w:rsid w:val="00E16A05"/>
    <w:rsid w:val="00E16A8A"/>
    <w:rsid w:val="00E16AD8"/>
    <w:rsid w:val="00E16B19"/>
    <w:rsid w:val="00E16EF6"/>
    <w:rsid w:val="00E17003"/>
    <w:rsid w:val="00E17050"/>
    <w:rsid w:val="00E171E9"/>
    <w:rsid w:val="00E171FE"/>
    <w:rsid w:val="00E17AF2"/>
    <w:rsid w:val="00E17EDD"/>
    <w:rsid w:val="00E17FFA"/>
    <w:rsid w:val="00E2007D"/>
    <w:rsid w:val="00E20099"/>
    <w:rsid w:val="00E201A2"/>
    <w:rsid w:val="00E203D7"/>
    <w:rsid w:val="00E20E4D"/>
    <w:rsid w:val="00E20ED6"/>
    <w:rsid w:val="00E2109F"/>
    <w:rsid w:val="00E21358"/>
    <w:rsid w:val="00E214D6"/>
    <w:rsid w:val="00E22198"/>
    <w:rsid w:val="00E2249B"/>
    <w:rsid w:val="00E2293D"/>
    <w:rsid w:val="00E22A0D"/>
    <w:rsid w:val="00E22BF3"/>
    <w:rsid w:val="00E22CD5"/>
    <w:rsid w:val="00E2338C"/>
    <w:rsid w:val="00E2340C"/>
    <w:rsid w:val="00E234A0"/>
    <w:rsid w:val="00E235A3"/>
    <w:rsid w:val="00E23D68"/>
    <w:rsid w:val="00E2401D"/>
    <w:rsid w:val="00E2414D"/>
    <w:rsid w:val="00E24268"/>
    <w:rsid w:val="00E244F6"/>
    <w:rsid w:val="00E24993"/>
    <w:rsid w:val="00E24E3D"/>
    <w:rsid w:val="00E251AC"/>
    <w:rsid w:val="00E25788"/>
    <w:rsid w:val="00E258DB"/>
    <w:rsid w:val="00E25973"/>
    <w:rsid w:val="00E2624B"/>
    <w:rsid w:val="00E27114"/>
    <w:rsid w:val="00E271EA"/>
    <w:rsid w:val="00E2771E"/>
    <w:rsid w:val="00E303C0"/>
    <w:rsid w:val="00E3064E"/>
    <w:rsid w:val="00E30F20"/>
    <w:rsid w:val="00E3109D"/>
    <w:rsid w:val="00E311EF"/>
    <w:rsid w:val="00E318BA"/>
    <w:rsid w:val="00E31A43"/>
    <w:rsid w:val="00E32180"/>
    <w:rsid w:val="00E32676"/>
    <w:rsid w:val="00E327F6"/>
    <w:rsid w:val="00E3343C"/>
    <w:rsid w:val="00E337FD"/>
    <w:rsid w:val="00E339CF"/>
    <w:rsid w:val="00E33F42"/>
    <w:rsid w:val="00E34306"/>
    <w:rsid w:val="00E34452"/>
    <w:rsid w:val="00E34948"/>
    <w:rsid w:val="00E34C67"/>
    <w:rsid w:val="00E35456"/>
    <w:rsid w:val="00E35458"/>
    <w:rsid w:val="00E361CD"/>
    <w:rsid w:val="00E361F5"/>
    <w:rsid w:val="00E36655"/>
    <w:rsid w:val="00E36CFB"/>
    <w:rsid w:val="00E37507"/>
    <w:rsid w:val="00E37569"/>
    <w:rsid w:val="00E379F6"/>
    <w:rsid w:val="00E37D14"/>
    <w:rsid w:val="00E37E47"/>
    <w:rsid w:val="00E40154"/>
    <w:rsid w:val="00E401B2"/>
    <w:rsid w:val="00E4080B"/>
    <w:rsid w:val="00E40B6F"/>
    <w:rsid w:val="00E40C7D"/>
    <w:rsid w:val="00E40DE5"/>
    <w:rsid w:val="00E4143D"/>
    <w:rsid w:val="00E415E2"/>
    <w:rsid w:val="00E4168E"/>
    <w:rsid w:val="00E41715"/>
    <w:rsid w:val="00E41965"/>
    <w:rsid w:val="00E4198B"/>
    <w:rsid w:val="00E41A8A"/>
    <w:rsid w:val="00E41B27"/>
    <w:rsid w:val="00E41CDB"/>
    <w:rsid w:val="00E41E30"/>
    <w:rsid w:val="00E42038"/>
    <w:rsid w:val="00E429DC"/>
    <w:rsid w:val="00E42D3E"/>
    <w:rsid w:val="00E42E0E"/>
    <w:rsid w:val="00E42F73"/>
    <w:rsid w:val="00E43189"/>
    <w:rsid w:val="00E431A8"/>
    <w:rsid w:val="00E4393A"/>
    <w:rsid w:val="00E43D70"/>
    <w:rsid w:val="00E44636"/>
    <w:rsid w:val="00E4499B"/>
    <w:rsid w:val="00E44EB7"/>
    <w:rsid w:val="00E45337"/>
    <w:rsid w:val="00E45484"/>
    <w:rsid w:val="00E45711"/>
    <w:rsid w:val="00E46104"/>
    <w:rsid w:val="00E4639A"/>
    <w:rsid w:val="00E466F3"/>
    <w:rsid w:val="00E4682A"/>
    <w:rsid w:val="00E46A29"/>
    <w:rsid w:val="00E46C1B"/>
    <w:rsid w:val="00E46E46"/>
    <w:rsid w:val="00E46F5A"/>
    <w:rsid w:val="00E474AC"/>
    <w:rsid w:val="00E47A16"/>
    <w:rsid w:val="00E47B2C"/>
    <w:rsid w:val="00E50DC2"/>
    <w:rsid w:val="00E50E47"/>
    <w:rsid w:val="00E51412"/>
    <w:rsid w:val="00E51560"/>
    <w:rsid w:val="00E51682"/>
    <w:rsid w:val="00E51821"/>
    <w:rsid w:val="00E51892"/>
    <w:rsid w:val="00E51E58"/>
    <w:rsid w:val="00E52568"/>
    <w:rsid w:val="00E525FD"/>
    <w:rsid w:val="00E5268D"/>
    <w:rsid w:val="00E52DE0"/>
    <w:rsid w:val="00E52DE9"/>
    <w:rsid w:val="00E53108"/>
    <w:rsid w:val="00E533B2"/>
    <w:rsid w:val="00E53624"/>
    <w:rsid w:val="00E53703"/>
    <w:rsid w:val="00E53767"/>
    <w:rsid w:val="00E53CA3"/>
    <w:rsid w:val="00E53F67"/>
    <w:rsid w:val="00E53FC8"/>
    <w:rsid w:val="00E54347"/>
    <w:rsid w:val="00E54402"/>
    <w:rsid w:val="00E544CC"/>
    <w:rsid w:val="00E548A4"/>
    <w:rsid w:val="00E54D2A"/>
    <w:rsid w:val="00E551D3"/>
    <w:rsid w:val="00E55424"/>
    <w:rsid w:val="00E556CB"/>
    <w:rsid w:val="00E55833"/>
    <w:rsid w:val="00E55915"/>
    <w:rsid w:val="00E55BB5"/>
    <w:rsid w:val="00E56082"/>
    <w:rsid w:val="00E569B9"/>
    <w:rsid w:val="00E572CD"/>
    <w:rsid w:val="00E5735A"/>
    <w:rsid w:val="00E574BE"/>
    <w:rsid w:val="00E57504"/>
    <w:rsid w:val="00E57BF5"/>
    <w:rsid w:val="00E57C51"/>
    <w:rsid w:val="00E6038F"/>
    <w:rsid w:val="00E603CA"/>
    <w:rsid w:val="00E60622"/>
    <w:rsid w:val="00E60E58"/>
    <w:rsid w:val="00E60EB4"/>
    <w:rsid w:val="00E611DF"/>
    <w:rsid w:val="00E61313"/>
    <w:rsid w:val="00E61586"/>
    <w:rsid w:val="00E615A3"/>
    <w:rsid w:val="00E616C8"/>
    <w:rsid w:val="00E61B24"/>
    <w:rsid w:val="00E61BA4"/>
    <w:rsid w:val="00E61E23"/>
    <w:rsid w:val="00E6210D"/>
    <w:rsid w:val="00E62439"/>
    <w:rsid w:val="00E6250D"/>
    <w:rsid w:val="00E6257E"/>
    <w:rsid w:val="00E62AEA"/>
    <w:rsid w:val="00E63179"/>
    <w:rsid w:val="00E63223"/>
    <w:rsid w:val="00E6344C"/>
    <w:rsid w:val="00E63640"/>
    <w:rsid w:val="00E6387C"/>
    <w:rsid w:val="00E63D09"/>
    <w:rsid w:val="00E63F9C"/>
    <w:rsid w:val="00E64407"/>
    <w:rsid w:val="00E64D26"/>
    <w:rsid w:val="00E65E79"/>
    <w:rsid w:val="00E663A1"/>
    <w:rsid w:val="00E66BA2"/>
    <w:rsid w:val="00E67052"/>
    <w:rsid w:val="00E67150"/>
    <w:rsid w:val="00E6732C"/>
    <w:rsid w:val="00E67383"/>
    <w:rsid w:val="00E67416"/>
    <w:rsid w:val="00E6749C"/>
    <w:rsid w:val="00E679A7"/>
    <w:rsid w:val="00E67A39"/>
    <w:rsid w:val="00E702C3"/>
    <w:rsid w:val="00E706DF"/>
    <w:rsid w:val="00E70823"/>
    <w:rsid w:val="00E70ADD"/>
    <w:rsid w:val="00E70C22"/>
    <w:rsid w:val="00E710AA"/>
    <w:rsid w:val="00E714C6"/>
    <w:rsid w:val="00E7161D"/>
    <w:rsid w:val="00E717A6"/>
    <w:rsid w:val="00E718B6"/>
    <w:rsid w:val="00E71CF0"/>
    <w:rsid w:val="00E71E0B"/>
    <w:rsid w:val="00E722B8"/>
    <w:rsid w:val="00E723BA"/>
    <w:rsid w:val="00E723D2"/>
    <w:rsid w:val="00E726C9"/>
    <w:rsid w:val="00E72A4B"/>
    <w:rsid w:val="00E72E23"/>
    <w:rsid w:val="00E72F2B"/>
    <w:rsid w:val="00E731D3"/>
    <w:rsid w:val="00E73497"/>
    <w:rsid w:val="00E73581"/>
    <w:rsid w:val="00E73D80"/>
    <w:rsid w:val="00E7429C"/>
    <w:rsid w:val="00E74347"/>
    <w:rsid w:val="00E74BD8"/>
    <w:rsid w:val="00E750C3"/>
    <w:rsid w:val="00E75849"/>
    <w:rsid w:val="00E759C3"/>
    <w:rsid w:val="00E75A0B"/>
    <w:rsid w:val="00E765B6"/>
    <w:rsid w:val="00E7672B"/>
    <w:rsid w:val="00E76C4F"/>
    <w:rsid w:val="00E7743C"/>
    <w:rsid w:val="00E77623"/>
    <w:rsid w:val="00E776BB"/>
    <w:rsid w:val="00E77981"/>
    <w:rsid w:val="00E77CB6"/>
    <w:rsid w:val="00E8071D"/>
    <w:rsid w:val="00E80981"/>
    <w:rsid w:val="00E80A28"/>
    <w:rsid w:val="00E80DFE"/>
    <w:rsid w:val="00E81144"/>
    <w:rsid w:val="00E812A7"/>
    <w:rsid w:val="00E81420"/>
    <w:rsid w:val="00E81583"/>
    <w:rsid w:val="00E81747"/>
    <w:rsid w:val="00E819E4"/>
    <w:rsid w:val="00E81DBB"/>
    <w:rsid w:val="00E83117"/>
    <w:rsid w:val="00E832AC"/>
    <w:rsid w:val="00E833F7"/>
    <w:rsid w:val="00E83BDF"/>
    <w:rsid w:val="00E83FAF"/>
    <w:rsid w:val="00E841A9"/>
    <w:rsid w:val="00E84228"/>
    <w:rsid w:val="00E8443E"/>
    <w:rsid w:val="00E84EE5"/>
    <w:rsid w:val="00E84F61"/>
    <w:rsid w:val="00E857CA"/>
    <w:rsid w:val="00E85FF8"/>
    <w:rsid w:val="00E863EC"/>
    <w:rsid w:val="00E864BF"/>
    <w:rsid w:val="00E86FCC"/>
    <w:rsid w:val="00E87766"/>
    <w:rsid w:val="00E87A1D"/>
    <w:rsid w:val="00E90032"/>
    <w:rsid w:val="00E906E4"/>
    <w:rsid w:val="00E90781"/>
    <w:rsid w:val="00E90828"/>
    <w:rsid w:val="00E90906"/>
    <w:rsid w:val="00E9094A"/>
    <w:rsid w:val="00E90E78"/>
    <w:rsid w:val="00E90EB1"/>
    <w:rsid w:val="00E9122D"/>
    <w:rsid w:val="00E91783"/>
    <w:rsid w:val="00E91BAE"/>
    <w:rsid w:val="00E91D35"/>
    <w:rsid w:val="00E91DD9"/>
    <w:rsid w:val="00E91EF5"/>
    <w:rsid w:val="00E920D4"/>
    <w:rsid w:val="00E92400"/>
    <w:rsid w:val="00E926A5"/>
    <w:rsid w:val="00E92A0D"/>
    <w:rsid w:val="00E92DD2"/>
    <w:rsid w:val="00E92EB4"/>
    <w:rsid w:val="00E9329C"/>
    <w:rsid w:val="00E93DBA"/>
    <w:rsid w:val="00E93EBF"/>
    <w:rsid w:val="00E93F5A"/>
    <w:rsid w:val="00E93FA5"/>
    <w:rsid w:val="00E94898"/>
    <w:rsid w:val="00E94D7B"/>
    <w:rsid w:val="00E94F1E"/>
    <w:rsid w:val="00E95BB3"/>
    <w:rsid w:val="00E962CC"/>
    <w:rsid w:val="00E965DE"/>
    <w:rsid w:val="00E96736"/>
    <w:rsid w:val="00E97566"/>
    <w:rsid w:val="00E976A1"/>
    <w:rsid w:val="00E97BEC"/>
    <w:rsid w:val="00E97D06"/>
    <w:rsid w:val="00E97D6A"/>
    <w:rsid w:val="00E97E44"/>
    <w:rsid w:val="00EA0103"/>
    <w:rsid w:val="00EA01EA"/>
    <w:rsid w:val="00EA053C"/>
    <w:rsid w:val="00EA0668"/>
    <w:rsid w:val="00EA0A46"/>
    <w:rsid w:val="00EA0C7A"/>
    <w:rsid w:val="00EA0D0B"/>
    <w:rsid w:val="00EA129E"/>
    <w:rsid w:val="00EA1467"/>
    <w:rsid w:val="00EA148D"/>
    <w:rsid w:val="00EA17C3"/>
    <w:rsid w:val="00EA2070"/>
    <w:rsid w:val="00EA20A0"/>
    <w:rsid w:val="00EA244A"/>
    <w:rsid w:val="00EA27F9"/>
    <w:rsid w:val="00EA2858"/>
    <w:rsid w:val="00EA2CAA"/>
    <w:rsid w:val="00EA3632"/>
    <w:rsid w:val="00EA3765"/>
    <w:rsid w:val="00EA3864"/>
    <w:rsid w:val="00EA3C48"/>
    <w:rsid w:val="00EA42D9"/>
    <w:rsid w:val="00EA459F"/>
    <w:rsid w:val="00EA4692"/>
    <w:rsid w:val="00EA479A"/>
    <w:rsid w:val="00EA4AE8"/>
    <w:rsid w:val="00EA4BC9"/>
    <w:rsid w:val="00EA58BA"/>
    <w:rsid w:val="00EA5A4E"/>
    <w:rsid w:val="00EA62BD"/>
    <w:rsid w:val="00EA63FF"/>
    <w:rsid w:val="00EA684D"/>
    <w:rsid w:val="00EA6B9E"/>
    <w:rsid w:val="00EA6C53"/>
    <w:rsid w:val="00EA6FE8"/>
    <w:rsid w:val="00EA7F1C"/>
    <w:rsid w:val="00EB0498"/>
    <w:rsid w:val="00EB07D9"/>
    <w:rsid w:val="00EB0B2F"/>
    <w:rsid w:val="00EB110F"/>
    <w:rsid w:val="00EB1326"/>
    <w:rsid w:val="00EB15B6"/>
    <w:rsid w:val="00EB15E3"/>
    <w:rsid w:val="00EB2221"/>
    <w:rsid w:val="00EB237D"/>
    <w:rsid w:val="00EB2787"/>
    <w:rsid w:val="00EB2BF1"/>
    <w:rsid w:val="00EB2FE4"/>
    <w:rsid w:val="00EB375D"/>
    <w:rsid w:val="00EB3D06"/>
    <w:rsid w:val="00EB3D36"/>
    <w:rsid w:val="00EB4916"/>
    <w:rsid w:val="00EB4BFE"/>
    <w:rsid w:val="00EB5537"/>
    <w:rsid w:val="00EB57E9"/>
    <w:rsid w:val="00EB5865"/>
    <w:rsid w:val="00EB5DF2"/>
    <w:rsid w:val="00EB611F"/>
    <w:rsid w:val="00EB612F"/>
    <w:rsid w:val="00EB6E01"/>
    <w:rsid w:val="00EB77D2"/>
    <w:rsid w:val="00EB7CDA"/>
    <w:rsid w:val="00EB7E10"/>
    <w:rsid w:val="00EB7F79"/>
    <w:rsid w:val="00EC00C9"/>
    <w:rsid w:val="00EC071D"/>
    <w:rsid w:val="00EC0A0C"/>
    <w:rsid w:val="00EC0DD9"/>
    <w:rsid w:val="00EC0EDF"/>
    <w:rsid w:val="00EC0FB5"/>
    <w:rsid w:val="00EC1083"/>
    <w:rsid w:val="00EC11AD"/>
    <w:rsid w:val="00EC154C"/>
    <w:rsid w:val="00EC1578"/>
    <w:rsid w:val="00EC1BBE"/>
    <w:rsid w:val="00EC1E14"/>
    <w:rsid w:val="00EC201F"/>
    <w:rsid w:val="00EC2649"/>
    <w:rsid w:val="00EC29DB"/>
    <w:rsid w:val="00EC2D53"/>
    <w:rsid w:val="00EC31ED"/>
    <w:rsid w:val="00EC39F1"/>
    <w:rsid w:val="00EC4423"/>
    <w:rsid w:val="00EC4EDF"/>
    <w:rsid w:val="00EC4F2D"/>
    <w:rsid w:val="00EC531E"/>
    <w:rsid w:val="00EC5419"/>
    <w:rsid w:val="00EC56CA"/>
    <w:rsid w:val="00EC5836"/>
    <w:rsid w:val="00EC5FE3"/>
    <w:rsid w:val="00EC633A"/>
    <w:rsid w:val="00EC6843"/>
    <w:rsid w:val="00EC688C"/>
    <w:rsid w:val="00EC6948"/>
    <w:rsid w:val="00EC74B3"/>
    <w:rsid w:val="00EC74BC"/>
    <w:rsid w:val="00EC754F"/>
    <w:rsid w:val="00ED065C"/>
    <w:rsid w:val="00ED07C8"/>
    <w:rsid w:val="00ED08EE"/>
    <w:rsid w:val="00ED0AA3"/>
    <w:rsid w:val="00ED0CBB"/>
    <w:rsid w:val="00ED12E3"/>
    <w:rsid w:val="00ED1C5C"/>
    <w:rsid w:val="00ED1C7E"/>
    <w:rsid w:val="00ED1F63"/>
    <w:rsid w:val="00ED2166"/>
    <w:rsid w:val="00ED2215"/>
    <w:rsid w:val="00ED2C39"/>
    <w:rsid w:val="00ED3317"/>
    <w:rsid w:val="00ED38D6"/>
    <w:rsid w:val="00ED41C6"/>
    <w:rsid w:val="00ED433C"/>
    <w:rsid w:val="00ED46B9"/>
    <w:rsid w:val="00ED4B04"/>
    <w:rsid w:val="00ED556E"/>
    <w:rsid w:val="00ED5790"/>
    <w:rsid w:val="00ED57EA"/>
    <w:rsid w:val="00ED5BD4"/>
    <w:rsid w:val="00ED5E63"/>
    <w:rsid w:val="00ED6379"/>
    <w:rsid w:val="00ED6ADA"/>
    <w:rsid w:val="00ED6E87"/>
    <w:rsid w:val="00ED75DB"/>
    <w:rsid w:val="00ED7886"/>
    <w:rsid w:val="00ED7B4A"/>
    <w:rsid w:val="00ED7C3B"/>
    <w:rsid w:val="00EE05D1"/>
    <w:rsid w:val="00EE0676"/>
    <w:rsid w:val="00EE07D3"/>
    <w:rsid w:val="00EE08DF"/>
    <w:rsid w:val="00EE111E"/>
    <w:rsid w:val="00EE1547"/>
    <w:rsid w:val="00EE1996"/>
    <w:rsid w:val="00EE1C01"/>
    <w:rsid w:val="00EE22AF"/>
    <w:rsid w:val="00EE23B2"/>
    <w:rsid w:val="00EE26B3"/>
    <w:rsid w:val="00EE2A54"/>
    <w:rsid w:val="00EE2AA7"/>
    <w:rsid w:val="00EE305C"/>
    <w:rsid w:val="00EE345F"/>
    <w:rsid w:val="00EE3710"/>
    <w:rsid w:val="00EE3ACD"/>
    <w:rsid w:val="00EE3EEC"/>
    <w:rsid w:val="00EE47D2"/>
    <w:rsid w:val="00EE480C"/>
    <w:rsid w:val="00EE48F4"/>
    <w:rsid w:val="00EE4CAE"/>
    <w:rsid w:val="00EE5E9B"/>
    <w:rsid w:val="00EE5F8C"/>
    <w:rsid w:val="00EE67C0"/>
    <w:rsid w:val="00EE6FB5"/>
    <w:rsid w:val="00EE708D"/>
    <w:rsid w:val="00EE7126"/>
    <w:rsid w:val="00EE7434"/>
    <w:rsid w:val="00EE7C61"/>
    <w:rsid w:val="00EF0171"/>
    <w:rsid w:val="00EF03B7"/>
    <w:rsid w:val="00EF0550"/>
    <w:rsid w:val="00EF0F3C"/>
    <w:rsid w:val="00EF1A26"/>
    <w:rsid w:val="00EF1B25"/>
    <w:rsid w:val="00EF1DA0"/>
    <w:rsid w:val="00EF1FA0"/>
    <w:rsid w:val="00EF22E3"/>
    <w:rsid w:val="00EF2EB7"/>
    <w:rsid w:val="00EF3FCB"/>
    <w:rsid w:val="00EF4064"/>
    <w:rsid w:val="00EF44F6"/>
    <w:rsid w:val="00EF4686"/>
    <w:rsid w:val="00EF4747"/>
    <w:rsid w:val="00EF4831"/>
    <w:rsid w:val="00EF4AE9"/>
    <w:rsid w:val="00EF4BF8"/>
    <w:rsid w:val="00EF4D81"/>
    <w:rsid w:val="00EF4E6B"/>
    <w:rsid w:val="00EF4E86"/>
    <w:rsid w:val="00EF5167"/>
    <w:rsid w:val="00EF590A"/>
    <w:rsid w:val="00EF5A4B"/>
    <w:rsid w:val="00EF6200"/>
    <w:rsid w:val="00EF6365"/>
    <w:rsid w:val="00EF6CD8"/>
    <w:rsid w:val="00EF70BA"/>
    <w:rsid w:val="00EF77FC"/>
    <w:rsid w:val="00EF792F"/>
    <w:rsid w:val="00EF7D48"/>
    <w:rsid w:val="00EF7E4E"/>
    <w:rsid w:val="00EF7EC5"/>
    <w:rsid w:val="00F013CA"/>
    <w:rsid w:val="00F0204E"/>
    <w:rsid w:val="00F0206E"/>
    <w:rsid w:val="00F020E1"/>
    <w:rsid w:val="00F02253"/>
    <w:rsid w:val="00F029C8"/>
    <w:rsid w:val="00F02DC8"/>
    <w:rsid w:val="00F02DE0"/>
    <w:rsid w:val="00F03A53"/>
    <w:rsid w:val="00F03B2C"/>
    <w:rsid w:val="00F03B5E"/>
    <w:rsid w:val="00F03C2E"/>
    <w:rsid w:val="00F03D9E"/>
    <w:rsid w:val="00F04290"/>
    <w:rsid w:val="00F049A4"/>
    <w:rsid w:val="00F04A66"/>
    <w:rsid w:val="00F04B4B"/>
    <w:rsid w:val="00F04EEC"/>
    <w:rsid w:val="00F04F5A"/>
    <w:rsid w:val="00F04FF5"/>
    <w:rsid w:val="00F0516C"/>
    <w:rsid w:val="00F056A1"/>
    <w:rsid w:val="00F058A5"/>
    <w:rsid w:val="00F05E43"/>
    <w:rsid w:val="00F0612F"/>
    <w:rsid w:val="00F06177"/>
    <w:rsid w:val="00F065E1"/>
    <w:rsid w:val="00F067A2"/>
    <w:rsid w:val="00F067D4"/>
    <w:rsid w:val="00F069D1"/>
    <w:rsid w:val="00F06A7F"/>
    <w:rsid w:val="00F074A7"/>
    <w:rsid w:val="00F07B9E"/>
    <w:rsid w:val="00F07BA3"/>
    <w:rsid w:val="00F07CB3"/>
    <w:rsid w:val="00F1116F"/>
    <w:rsid w:val="00F11603"/>
    <w:rsid w:val="00F11784"/>
    <w:rsid w:val="00F1179F"/>
    <w:rsid w:val="00F1189B"/>
    <w:rsid w:val="00F11968"/>
    <w:rsid w:val="00F11B34"/>
    <w:rsid w:val="00F11B87"/>
    <w:rsid w:val="00F11D85"/>
    <w:rsid w:val="00F12458"/>
    <w:rsid w:val="00F12463"/>
    <w:rsid w:val="00F1263A"/>
    <w:rsid w:val="00F12B93"/>
    <w:rsid w:val="00F12DE7"/>
    <w:rsid w:val="00F1309A"/>
    <w:rsid w:val="00F131A6"/>
    <w:rsid w:val="00F131E2"/>
    <w:rsid w:val="00F132DF"/>
    <w:rsid w:val="00F13471"/>
    <w:rsid w:val="00F13739"/>
    <w:rsid w:val="00F139C5"/>
    <w:rsid w:val="00F14549"/>
    <w:rsid w:val="00F147DE"/>
    <w:rsid w:val="00F14909"/>
    <w:rsid w:val="00F14BF1"/>
    <w:rsid w:val="00F14EA7"/>
    <w:rsid w:val="00F15618"/>
    <w:rsid w:val="00F157AF"/>
    <w:rsid w:val="00F15B77"/>
    <w:rsid w:val="00F15BA7"/>
    <w:rsid w:val="00F1634D"/>
    <w:rsid w:val="00F166D1"/>
    <w:rsid w:val="00F1678D"/>
    <w:rsid w:val="00F17470"/>
    <w:rsid w:val="00F17962"/>
    <w:rsid w:val="00F17E39"/>
    <w:rsid w:val="00F202BB"/>
    <w:rsid w:val="00F20400"/>
    <w:rsid w:val="00F20F36"/>
    <w:rsid w:val="00F211A0"/>
    <w:rsid w:val="00F21236"/>
    <w:rsid w:val="00F21380"/>
    <w:rsid w:val="00F21890"/>
    <w:rsid w:val="00F21983"/>
    <w:rsid w:val="00F21CD2"/>
    <w:rsid w:val="00F21DCD"/>
    <w:rsid w:val="00F21E9D"/>
    <w:rsid w:val="00F21F11"/>
    <w:rsid w:val="00F22E41"/>
    <w:rsid w:val="00F231BD"/>
    <w:rsid w:val="00F239DF"/>
    <w:rsid w:val="00F24023"/>
    <w:rsid w:val="00F246D9"/>
    <w:rsid w:val="00F24837"/>
    <w:rsid w:val="00F248F0"/>
    <w:rsid w:val="00F24B0B"/>
    <w:rsid w:val="00F24EAA"/>
    <w:rsid w:val="00F25090"/>
    <w:rsid w:val="00F2575F"/>
    <w:rsid w:val="00F257C2"/>
    <w:rsid w:val="00F25937"/>
    <w:rsid w:val="00F25AAC"/>
    <w:rsid w:val="00F25ACF"/>
    <w:rsid w:val="00F25AF1"/>
    <w:rsid w:val="00F2603A"/>
    <w:rsid w:val="00F26100"/>
    <w:rsid w:val="00F26824"/>
    <w:rsid w:val="00F2752D"/>
    <w:rsid w:val="00F27565"/>
    <w:rsid w:val="00F30257"/>
    <w:rsid w:val="00F30FC9"/>
    <w:rsid w:val="00F310D4"/>
    <w:rsid w:val="00F3111F"/>
    <w:rsid w:val="00F31248"/>
    <w:rsid w:val="00F3130F"/>
    <w:rsid w:val="00F3137B"/>
    <w:rsid w:val="00F31437"/>
    <w:rsid w:val="00F3184B"/>
    <w:rsid w:val="00F31D5A"/>
    <w:rsid w:val="00F324F6"/>
    <w:rsid w:val="00F326C5"/>
    <w:rsid w:val="00F32862"/>
    <w:rsid w:val="00F32B55"/>
    <w:rsid w:val="00F33460"/>
    <w:rsid w:val="00F33971"/>
    <w:rsid w:val="00F33975"/>
    <w:rsid w:val="00F33DE9"/>
    <w:rsid w:val="00F33F0D"/>
    <w:rsid w:val="00F349D6"/>
    <w:rsid w:val="00F34EE4"/>
    <w:rsid w:val="00F352AB"/>
    <w:rsid w:val="00F352C8"/>
    <w:rsid w:val="00F35CE2"/>
    <w:rsid w:val="00F35E01"/>
    <w:rsid w:val="00F35E6D"/>
    <w:rsid w:val="00F35EA5"/>
    <w:rsid w:val="00F35F46"/>
    <w:rsid w:val="00F3619A"/>
    <w:rsid w:val="00F361C7"/>
    <w:rsid w:val="00F362F9"/>
    <w:rsid w:val="00F36652"/>
    <w:rsid w:val="00F36CFC"/>
    <w:rsid w:val="00F37702"/>
    <w:rsid w:val="00F37CF4"/>
    <w:rsid w:val="00F40AAA"/>
    <w:rsid w:val="00F40BA7"/>
    <w:rsid w:val="00F40BB5"/>
    <w:rsid w:val="00F40EFA"/>
    <w:rsid w:val="00F40F9D"/>
    <w:rsid w:val="00F41061"/>
    <w:rsid w:val="00F413AA"/>
    <w:rsid w:val="00F4149E"/>
    <w:rsid w:val="00F41ACD"/>
    <w:rsid w:val="00F42000"/>
    <w:rsid w:val="00F422EC"/>
    <w:rsid w:val="00F42EA1"/>
    <w:rsid w:val="00F43027"/>
    <w:rsid w:val="00F43461"/>
    <w:rsid w:val="00F434E0"/>
    <w:rsid w:val="00F436BF"/>
    <w:rsid w:val="00F43F13"/>
    <w:rsid w:val="00F43F84"/>
    <w:rsid w:val="00F44258"/>
    <w:rsid w:val="00F4429A"/>
    <w:rsid w:val="00F44428"/>
    <w:rsid w:val="00F445ED"/>
    <w:rsid w:val="00F45336"/>
    <w:rsid w:val="00F4556F"/>
    <w:rsid w:val="00F46622"/>
    <w:rsid w:val="00F467D4"/>
    <w:rsid w:val="00F46973"/>
    <w:rsid w:val="00F46CB6"/>
    <w:rsid w:val="00F46D1B"/>
    <w:rsid w:val="00F47079"/>
    <w:rsid w:val="00F470B5"/>
    <w:rsid w:val="00F470E9"/>
    <w:rsid w:val="00F472B4"/>
    <w:rsid w:val="00F4756D"/>
    <w:rsid w:val="00F47CF8"/>
    <w:rsid w:val="00F47DE8"/>
    <w:rsid w:val="00F508E1"/>
    <w:rsid w:val="00F508E8"/>
    <w:rsid w:val="00F5093A"/>
    <w:rsid w:val="00F50A23"/>
    <w:rsid w:val="00F50B11"/>
    <w:rsid w:val="00F51036"/>
    <w:rsid w:val="00F51328"/>
    <w:rsid w:val="00F5150A"/>
    <w:rsid w:val="00F51626"/>
    <w:rsid w:val="00F51B97"/>
    <w:rsid w:val="00F522FF"/>
    <w:rsid w:val="00F5294B"/>
    <w:rsid w:val="00F52ACD"/>
    <w:rsid w:val="00F5305A"/>
    <w:rsid w:val="00F5317C"/>
    <w:rsid w:val="00F531A7"/>
    <w:rsid w:val="00F536C5"/>
    <w:rsid w:val="00F537B2"/>
    <w:rsid w:val="00F5387D"/>
    <w:rsid w:val="00F53949"/>
    <w:rsid w:val="00F53ACA"/>
    <w:rsid w:val="00F53EBF"/>
    <w:rsid w:val="00F53F6D"/>
    <w:rsid w:val="00F541B7"/>
    <w:rsid w:val="00F542C1"/>
    <w:rsid w:val="00F54DF4"/>
    <w:rsid w:val="00F54E96"/>
    <w:rsid w:val="00F550E3"/>
    <w:rsid w:val="00F55370"/>
    <w:rsid w:val="00F55A01"/>
    <w:rsid w:val="00F55DB0"/>
    <w:rsid w:val="00F55E73"/>
    <w:rsid w:val="00F55EDA"/>
    <w:rsid w:val="00F568A3"/>
    <w:rsid w:val="00F569CE"/>
    <w:rsid w:val="00F56C80"/>
    <w:rsid w:val="00F56DD4"/>
    <w:rsid w:val="00F56FEE"/>
    <w:rsid w:val="00F572EB"/>
    <w:rsid w:val="00F577AB"/>
    <w:rsid w:val="00F60092"/>
    <w:rsid w:val="00F6038B"/>
    <w:rsid w:val="00F60425"/>
    <w:rsid w:val="00F60A82"/>
    <w:rsid w:val="00F60C8D"/>
    <w:rsid w:val="00F60D92"/>
    <w:rsid w:val="00F6102A"/>
    <w:rsid w:val="00F612DE"/>
    <w:rsid w:val="00F61C18"/>
    <w:rsid w:val="00F61C1C"/>
    <w:rsid w:val="00F61CC0"/>
    <w:rsid w:val="00F62ACB"/>
    <w:rsid w:val="00F62C14"/>
    <w:rsid w:val="00F63241"/>
    <w:rsid w:val="00F6355A"/>
    <w:rsid w:val="00F6391F"/>
    <w:rsid w:val="00F63A9A"/>
    <w:rsid w:val="00F63BBE"/>
    <w:rsid w:val="00F63F2D"/>
    <w:rsid w:val="00F64311"/>
    <w:rsid w:val="00F645D6"/>
    <w:rsid w:val="00F64B96"/>
    <w:rsid w:val="00F65099"/>
    <w:rsid w:val="00F650E2"/>
    <w:rsid w:val="00F654FD"/>
    <w:rsid w:val="00F658D2"/>
    <w:rsid w:val="00F6595F"/>
    <w:rsid w:val="00F65F24"/>
    <w:rsid w:val="00F65F4B"/>
    <w:rsid w:val="00F662FB"/>
    <w:rsid w:val="00F66559"/>
    <w:rsid w:val="00F6683D"/>
    <w:rsid w:val="00F668BB"/>
    <w:rsid w:val="00F66F37"/>
    <w:rsid w:val="00F67294"/>
    <w:rsid w:val="00F6793A"/>
    <w:rsid w:val="00F679BC"/>
    <w:rsid w:val="00F67A69"/>
    <w:rsid w:val="00F70192"/>
    <w:rsid w:val="00F701AD"/>
    <w:rsid w:val="00F70BFF"/>
    <w:rsid w:val="00F70C9D"/>
    <w:rsid w:val="00F711B3"/>
    <w:rsid w:val="00F71839"/>
    <w:rsid w:val="00F71AE1"/>
    <w:rsid w:val="00F71F5E"/>
    <w:rsid w:val="00F72340"/>
    <w:rsid w:val="00F72786"/>
    <w:rsid w:val="00F72F04"/>
    <w:rsid w:val="00F73078"/>
    <w:rsid w:val="00F730F5"/>
    <w:rsid w:val="00F73A78"/>
    <w:rsid w:val="00F73C29"/>
    <w:rsid w:val="00F73D59"/>
    <w:rsid w:val="00F73E08"/>
    <w:rsid w:val="00F74743"/>
    <w:rsid w:val="00F74CD9"/>
    <w:rsid w:val="00F74FDC"/>
    <w:rsid w:val="00F74FF6"/>
    <w:rsid w:val="00F75303"/>
    <w:rsid w:val="00F7533F"/>
    <w:rsid w:val="00F7637B"/>
    <w:rsid w:val="00F76875"/>
    <w:rsid w:val="00F76DA4"/>
    <w:rsid w:val="00F7700E"/>
    <w:rsid w:val="00F77037"/>
    <w:rsid w:val="00F773CF"/>
    <w:rsid w:val="00F80222"/>
    <w:rsid w:val="00F80316"/>
    <w:rsid w:val="00F80837"/>
    <w:rsid w:val="00F80A7B"/>
    <w:rsid w:val="00F80DAF"/>
    <w:rsid w:val="00F80E5D"/>
    <w:rsid w:val="00F81113"/>
    <w:rsid w:val="00F815C1"/>
    <w:rsid w:val="00F816FE"/>
    <w:rsid w:val="00F81709"/>
    <w:rsid w:val="00F81834"/>
    <w:rsid w:val="00F81BD9"/>
    <w:rsid w:val="00F81CBB"/>
    <w:rsid w:val="00F81E66"/>
    <w:rsid w:val="00F81E78"/>
    <w:rsid w:val="00F81FB7"/>
    <w:rsid w:val="00F82388"/>
    <w:rsid w:val="00F824CA"/>
    <w:rsid w:val="00F82724"/>
    <w:rsid w:val="00F82CDD"/>
    <w:rsid w:val="00F82F57"/>
    <w:rsid w:val="00F833D0"/>
    <w:rsid w:val="00F8369B"/>
    <w:rsid w:val="00F83916"/>
    <w:rsid w:val="00F84FA0"/>
    <w:rsid w:val="00F851CE"/>
    <w:rsid w:val="00F85A0D"/>
    <w:rsid w:val="00F86249"/>
    <w:rsid w:val="00F865FB"/>
    <w:rsid w:val="00F8696F"/>
    <w:rsid w:val="00F86D04"/>
    <w:rsid w:val="00F86F4B"/>
    <w:rsid w:val="00F8741C"/>
    <w:rsid w:val="00F87588"/>
    <w:rsid w:val="00F87623"/>
    <w:rsid w:val="00F8771B"/>
    <w:rsid w:val="00F8787F"/>
    <w:rsid w:val="00F87972"/>
    <w:rsid w:val="00F8799B"/>
    <w:rsid w:val="00F87D69"/>
    <w:rsid w:val="00F87E3D"/>
    <w:rsid w:val="00F900C9"/>
    <w:rsid w:val="00F906A5"/>
    <w:rsid w:val="00F90B36"/>
    <w:rsid w:val="00F90F81"/>
    <w:rsid w:val="00F91219"/>
    <w:rsid w:val="00F9164F"/>
    <w:rsid w:val="00F91822"/>
    <w:rsid w:val="00F91B91"/>
    <w:rsid w:val="00F91E2D"/>
    <w:rsid w:val="00F92271"/>
    <w:rsid w:val="00F92444"/>
    <w:rsid w:val="00F9254D"/>
    <w:rsid w:val="00F92E11"/>
    <w:rsid w:val="00F92F43"/>
    <w:rsid w:val="00F92F80"/>
    <w:rsid w:val="00F9364B"/>
    <w:rsid w:val="00F9393E"/>
    <w:rsid w:val="00F93D97"/>
    <w:rsid w:val="00F93DF9"/>
    <w:rsid w:val="00F93F83"/>
    <w:rsid w:val="00F94CDA"/>
    <w:rsid w:val="00F954DA"/>
    <w:rsid w:val="00F95B0E"/>
    <w:rsid w:val="00F960E3"/>
    <w:rsid w:val="00F96592"/>
    <w:rsid w:val="00F96E18"/>
    <w:rsid w:val="00F96E58"/>
    <w:rsid w:val="00F96FD0"/>
    <w:rsid w:val="00F9710F"/>
    <w:rsid w:val="00F97123"/>
    <w:rsid w:val="00F977BF"/>
    <w:rsid w:val="00F97A78"/>
    <w:rsid w:val="00FA0115"/>
    <w:rsid w:val="00FA072E"/>
    <w:rsid w:val="00FA0B20"/>
    <w:rsid w:val="00FA0B39"/>
    <w:rsid w:val="00FA0C2F"/>
    <w:rsid w:val="00FA0C40"/>
    <w:rsid w:val="00FA140E"/>
    <w:rsid w:val="00FA24E7"/>
    <w:rsid w:val="00FA28DC"/>
    <w:rsid w:val="00FA2BB2"/>
    <w:rsid w:val="00FA2F03"/>
    <w:rsid w:val="00FA3A0F"/>
    <w:rsid w:val="00FA403D"/>
    <w:rsid w:val="00FA43B7"/>
    <w:rsid w:val="00FA4442"/>
    <w:rsid w:val="00FA4697"/>
    <w:rsid w:val="00FA4858"/>
    <w:rsid w:val="00FA4883"/>
    <w:rsid w:val="00FA525D"/>
    <w:rsid w:val="00FA582F"/>
    <w:rsid w:val="00FA5E38"/>
    <w:rsid w:val="00FA5EE6"/>
    <w:rsid w:val="00FA6AB5"/>
    <w:rsid w:val="00FA6B2C"/>
    <w:rsid w:val="00FA7248"/>
    <w:rsid w:val="00FA73F5"/>
    <w:rsid w:val="00FA7934"/>
    <w:rsid w:val="00FA7956"/>
    <w:rsid w:val="00FA7C99"/>
    <w:rsid w:val="00FB05F1"/>
    <w:rsid w:val="00FB0824"/>
    <w:rsid w:val="00FB13FC"/>
    <w:rsid w:val="00FB1698"/>
    <w:rsid w:val="00FB1B4A"/>
    <w:rsid w:val="00FB1BC3"/>
    <w:rsid w:val="00FB1E22"/>
    <w:rsid w:val="00FB26A2"/>
    <w:rsid w:val="00FB2ACD"/>
    <w:rsid w:val="00FB2AE4"/>
    <w:rsid w:val="00FB2E0B"/>
    <w:rsid w:val="00FB2FCB"/>
    <w:rsid w:val="00FB33DD"/>
    <w:rsid w:val="00FB3471"/>
    <w:rsid w:val="00FB34E1"/>
    <w:rsid w:val="00FB3791"/>
    <w:rsid w:val="00FB3DC7"/>
    <w:rsid w:val="00FB3E00"/>
    <w:rsid w:val="00FB42EA"/>
    <w:rsid w:val="00FB480B"/>
    <w:rsid w:val="00FB4A29"/>
    <w:rsid w:val="00FB4C9C"/>
    <w:rsid w:val="00FB526C"/>
    <w:rsid w:val="00FB5486"/>
    <w:rsid w:val="00FB5BB5"/>
    <w:rsid w:val="00FB6698"/>
    <w:rsid w:val="00FB6709"/>
    <w:rsid w:val="00FB67FA"/>
    <w:rsid w:val="00FB6972"/>
    <w:rsid w:val="00FB6D67"/>
    <w:rsid w:val="00FB703D"/>
    <w:rsid w:val="00FB722A"/>
    <w:rsid w:val="00FB7C55"/>
    <w:rsid w:val="00FB7ECB"/>
    <w:rsid w:val="00FC013F"/>
    <w:rsid w:val="00FC02C9"/>
    <w:rsid w:val="00FC0F87"/>
    <w:rsid w:val="00FC1074"/>
    <w:rsid w:val="00FC11F3"/>
    <w:rsid w:val="00FC1859"/>
    <w:rsid w:val="00FC1884"/>
    <w:rsid w:val="00FC1E25"/>
    <w:rsid w:val="00FC1FD9"/>
    <w:rsid w:val="00FC2125"/>
    <w:rsid w:val="00FC2141"/>
    <w:rsid w:val="00FC22FB"/>
    <w:rsid w:val="00FC2358"/>
    <w:rsid w:val="00FC252A"/>
    <w:rsid w:val="00FC2E61"/>
    <w:rsid w:val="00FC3526"/>
    <w:rsid w:val="00FC3633"/>
    <w:rsid w:val="00FC371D"/>
    <w:rsid w:val="00FC3771"/>
    <w:rsid w:val="00FC3C12"/>
    <w:rsid w:val="00FC3CA7"/>
    <w:rsid w:val="00FC3D13"/>
    <w:rsid w:val="00FC3F7E"/>
    <w:rsid w:val="00FC4258"/>
    <w:rsid w:val="00FC427D"/>
    <w:rsid w:val="00FC4391"/>
    <w:rsid w:val="00FC5B45"/>
    <w:rsid w:val="00FC5F0B"/>
    <w:rsid w:val="00FC623B"/>
    <w:rsid w:val="00FC63D3"/>
    <w:rsid w:val="00FC6ADA"/>
    <w:rsid w:val="00FC6E23"/>
    <w:rsid w:val="00FC77E5"/>
    <w:rsid w:val="00FC7E26"/>
    <w:rsid w:val="00FD00F5"/>
    <w:rsid w:val="00FD03BB"/>
    <w:rsid w:val="00FD06DD"/>
    <w:rsid w:val="00FD1151"/>
    <w:rsid w:val="00FD11F8"/>
    <w:rsid w:val="00FD1239"/>
    <w:rsid w:val="00FD1288"/>
    <w:rsid w:val="00FD178B"/>
    <w:rsid w:val="00FD1AAA"/>
    <w:rsid w:val="00FD1F82"/>
    <w:rsid w:val="00FD2100"/>
    <w:rsid w:val="00FD2457"/>
    <w:rsid w:val="00FD2829"/>
    <w:rsid w:val="00FD2A86"/>
    <w:rsid w:val="00FD2C02"/>
    <w:rsid w:val="00FD3015"/>
    <w:rsid w:val="00FD36D7"/>
    <w:rsid w:val="00FD3FA9"/>
    <w:rsid w:val="00FD4212"/>
    <w:rsid w:val="00FD436C"/>
    <w:rsid w:val="00FD438E"/>
    <w:rsid w:val="00FD446D"/>
    <w:rsid w:val="00FD4A94"/>
    <w:rsid w:val="00FD4F2C"/>
    <w:rsid w:val="00FD4FA2"/>
    <w:rsid w:val="00FD5653"/>
    <w:rsid w:val="00FD57BE"/>
    <w:rsid w:val="00FD5940"/>
    <w:rsid w:val="00FD5F81"/>
    <w:rsid w:val="00FD6394"/>
    <w:rsid w:val="00FD670D"/>
    <w:rsid w:val="00FD6ADD"/>
    <w:rsid w:val="00FD6B47"/>
    <w:rsid w:val="00FD6EBF"/>
    <w:rsid w:val="00FD7002"/>
    <w:rsid w:val="00FD777E"/>
    <w:rsid w:val="00FD7846"/>
    <w:rsid w:val="00FD7DA4"/>
    <w:rsid w:val="00FE0006"/>
    <w:rsid w:val="00FE03FE"/>
    <w:rsid w:val="00FE0C19"/>
    <w:rsid w:val="00FE0CB7"/>
    <w:rsid w:val="00FE0E6C"/>
    <w:rsid w:val="00FE1C74"/>
    <w:rsid w:val="00FE1CDC"/>
    <w:rsid w:val="00FE1E68"/>
    <w:rsid w:val="00FE2F3E"/>
    <w:rsid w:val="00FE318E"/>
    <w:rsid w:val="00FE31F7"/>
    <w:rsid w:val="00FE396C"/>
    <w:rsid w:val="00FE4CD1"/>
    <w:rsid w:val="00FE596F"/>
    <w:rsid w:val="00FE5E08"/>
    <w:rsid w:val="00FE6289"/>
    <w:rsid w:val="00FE639A"/>
    <w:rsid w:val="00FE6C89"/>
    <w:rsid w:val="00FE70C3"/>
    <w:rsid w:val="00FE72E5"/>
    <w:rsid w:val="00FE792D"/>
    <w:rsid w:val="00FE7A6A"/>
    <w:rsid w:val="00FE7BCD"/>
    <w:rsid w:val="00FE7F98"/>
    <w:rsid w:val="00FF06B0"/>
    <w:rsid w:val="00FF0AA6"/>
    <w:rsid w:val="00FF0B81"/>
    <w:rsid w:val="00FF0B8D"/>
    <w:rsid w:val="00FF0F43"/>
    <w:rsid w:val="00FF14D7"/>
    <w:rsid w:val="00FF16E0"/>
    <w:rsid w:val="00FF175B"/>
    <w:rsid w:val="00FF1919"/>
    <w:rsid w:val="00FF1A8B"/>
    <w:rsid w:val="00FF1FAA"/>
    <w:rsid w:val="00FF20D9"/>
    <w:rsid w:val="00FF2AD9"/>
    <w:rsid w:val="00FF2B4B"/>
    <w:rsid w:val="00FF2DD4"/>
    <w:rsid w:val="00FF2F8B"/>
    <w:rsid w:val="00FF32EE"/>
    <w:rsid w:val="00FF3569"/>
    <w:rsid w:val="00FF359F"/>
    <w:rsid w:val="00FF35C6"/>
    <w:rsid w:val="00FF3C9E"/>
    <w:rsid w:val="00FF3DCF"/>
    <w:rsid w:val="00FF45C6"/>
    <w:rsid w:val="00FF45EE"/>
    <w:rsid w:val="00FF4707"/>
    <w:rsid w:val="00FF492C"/>
    <w:rsid w:val="00FF4A21"/>
    <w:rsid w:val="00FF500D"/>
    <w:rsid w:val="00FF50DF"/>
    <w:rsid w:val="00FF50FE"/>
    <w:rsid w:val="00FF5AA3"/>
    <w:rsid w:val="00FF5AD8"/>
    <w:rsid w:val="00FF614B"/>
    <w:rsid w:val="00FF7413"/>
    <w:rsid w:val="00FF748F"/>
    <w:rsid w:val="00FF7A1F"/>
    <w:rsid w:val="00FF7CF5"/>
    <w:rsid w:val="00FF7D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E12"/>
    <w:pPr>
      <w:jc w:val="both"/>
    </w:pPr>
    <w:rPr>
      <w:rFonts w:ascii="Calibri" w:hAnsi="Calibri" w:cs="Arial"/>
      <w:sz w:val="24"/>
      <w:szCs w:val="24"/>
    </w:rPr>
  </w:style>
  <w:style w:type="paragraph" w:styleId="Heading1">
    <w:name w:val="heading 1"/>
    <w:basedOn w:val="Normal"/>
    <w:next w:val="Normal"/>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rsid w:val="00124A51"/>
    <w:pPr>
      <w:keepNext/>
      <w:jc w:val="right"/>
      <w:outlineLvl w:val="7"/>
    </w:pPr>
    <w:rPr>
      <w:b/>
    </w:rPr>
  </w:style>
  <w:style w:type="paragraph" w:styleId="Heading9">
    <w:name w:val="heading 9"/>
    <w:basedOn w:val="Normal"/>
    <w:next w:val="Normal"/>
    <w:link w:val="Heading9Char"/>
    <w:uiPriority w:val="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fig cadre"/>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PBAC table,MSD Table Grid,Dossier table,Summary Table,Conclusion box,Table Grid nm,PHE Table Grid,Lash Style Table,Section 3- footnotes,统计型"/>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92FD0"/>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D36D7"/>
    <w:pPr>
      <w:keepNext/>
      <w:keepLines/>
      <w:jc w:val="center"/>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C92FD0"/>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PBACESText">
    <w:name w:val="PBAC ES Text"/>
    <w:basedOn w:val="Normal"/>
    <w:qFormat/>
    <w:rsid w:val="00233B74"/>
    <w:pPr>
      <w:spacing w:before="60" w:after="160"/>
    </w:pPr>
    <w:rPr>
      <w:sz w:val="22"/>
      <w:lang w:eastAsia="en-GB"/>
    </w:rPr>
  </w:style>
  <w:style w:type="paragraph" w:styleId="FootnoteText">
    <w:name w:val="footnote text"/>
    <w:aliases w:val="Char"/>
    <w:basedOn w:val="Normal"/>
    <w:link w:val="FootnoteTextChar"/>
    <w:semiHidden/>
    <w:unhideWhenUsed/>
    <w:rsid w:val="00C06D8E"/>
    <w:rPr>
      <w:sz w:val="20"/>
      <w:szCs w:val="20"/>
    </w:rPr>
  </w:style>
  <w:style w:type="character" w:customStyle="1" w:styleId="FootnoteTextChar">
    <w:name w:val="Footnote Text Char"/>
    <w:aliases w:val="Char Char"/>
    <w:basedOn w:val="DefaultParagraphFont"/>
    <w:link w:val="FootnoteText"/>
    <w:semiHidden/>
    <w:rsid w:val="00C06D8E"/>
    <w:rPr>
      <w:rFonts w:ascii="Calibri" w:hAnsi="Calibri" w:cs="Arial"/>
    </w:rPr>
  </w:style>
  <w:style w:type="character" w:styleId="FootnoteReference">
    <w:name w:val="footnote reference"/>
    <w:basedOn w:val="DefaultParagraphFont"/>
    <w:uiPriority w:val="99"/>
    <w:semiHidden/>
    <w:unhideWhenUsed/>
    <w:rsid w:val="00C06D8E"/>
    <w:rPr>
      <w:vertAlign w:val="superscript"/>
    </w:rPr>
  </w:style>
  <w:style w:type="paragraph" w:customStyle="1" w:styleId="PBACTabletext">
    <w:name w:val="PBAC Table text"/>
    <w:link w:val="PBACTabletextChar"/>
    <w:rsid w:val="00B8399C"/>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B8399C"/>
    <w:rPr>
      <w:rFonts w:ascii="Arial Narrow" w:hAnsi="Arial Narrow" w:cs="Arial"/>
      <w:szCs w:val="24"/>
      <w:lang w:eastAsia="en-GB"/>
    </w:rPr>
  </w:style>
  <w:style w:type="paragraph" w:customStyle="1" w:styleId="PBACTblFignote">
    <w:name w:val="PBAC Tbl/Fig note"/>
    <w:rsid w:val="00B8399C"/>
    <w:pPr>
      <w:keepNext/>
      <w:keepLines/>
      <w:spacing w:after="360"/>
      <w:contextualSpacing/>
      <w:textboxTightWrap w:val="allLines"/>
    </w:pPr>
    <w:rPr>
      <w:rFonts w:ascii="Arial Narrow" w:hAnsi="Arial Narrow" w:cs="Arial"/>
      <w:sz w:val="18"/>
      <w:szCs w:val="24"/>
      <w:lang w:eastAsia="en-GB"/>
    </w:rPr>
  </w:style>
  <w:style w:type="character" w:styleId="UnresolvedMention">
    <w:name w:val="Unresolved Mention"/>
    <w:basedOn w:val="DefaultParagraphFont"/>
    <w:uiPriority w:val="99"/>
    <w:semiHidden/>
    <w:unhideWhenUsed/>
    <w:rsid w:val="00960371"/>
    <w:rPr>
      <w:color w:val="605E5C"/>
      <w:shd w:val="clear" w:color="auto" w:fill="E1DFDD"/>
    </w:rPr>
  </w:style>
  <w:style w:type="numbering" w:customStyle="1" w:styleId="SectionBi1">
    <w:name w:val="Section Bi1"/>
    <w:uiPriority w:val="99"/>
    <w:rsid w:val="00FC63D3"/>
  </w:style>
  <w:style w:type="character" w:customStyle="1" w:styleId="Heading4Char">
    <w:name w:val="Heading 4 Char"/>
    <w:basedOn w:val="DefaultParagraphFont"/>
    <w:link w:val="Heading4"/>
    <w:rsid w:val="00567EA1"/>
    <w:rPr>
      <w:rFonts w:ascii="Calibri" w:hAnsi="Calibri" w:cs="Arial"/>
      <w:b/>
      <w:bCs/>
      <w:i/>
      <w:sz w:val="26"/>
      <w:szCs w:val="28"/>
    </w:rPr>
  </w:style>
  <w:style w:type="paragraph" w:customStyle="1" w:styleId="PBACH3">
    <w:name w:val="PBAC H3#"/>
    <w:basedOn w:val="Heading3"/>
    <w:next w:val="Normal"/>
    <w:rsid w:val="0075623E"/>
    <w:pPr>
      <w:tabs>
        <w:tab w:val="num" w:pos="1419"/>
      </w:tabs>
      <w:spacing w:before="360" w:after="120"/>
      <w:jc w:val="left"/>
    </w:pPr>
    <w:rPr>
      <w:b/>
      <w:sz w:val="28"/>
      <w:u w:val="none"/>
      <w:lang w:eastAsia="en-GB"/>
    </w:rPr>
  </w:style>
  <w:style w:type="table" w:customStyle="1" w:styleId="OPTUMTableNormal">
    <w:name w:val="OPTUM Table Normal"/>
    <w:basedOn w:val="TableNormal"/>
    <w:rsid w:val="005928F1"/>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BACTablebullet">
    <w:name w:val="PBAC Table bullet"/>
    <w:basedOn w:val="PBACTabletext"/>
    <w:next w:val="PBACTabletext"/>
    <w:rsid w:val="005928F1"/>
    <w:pPr>
      <w:numPr>
        <w:numId w:val="8"/>
      </w:numPr>
      <w:tabs>
        <w:tab w:val="num" w:pos="360"/>
      </w:tabs>
      <w:ind w:left="360" w:firstLine="0"/>
    </w:pPr>
  </w:style>
  <w:style w:type="character" w:styleId="Strong">
    <w:name w:val="Strong"/>
    <w:basedOn w:val="DefaultParagraphFont"/>
    <w:uiPriority w:val="22"/>
    <w:rsid w:val="00D60DFF"/>
    <w:rPr>
      <w:b/>
      <w:bCs/>
    </w:rPr>
  </w:style>
  <w:style w:type="paragraph" w:customStyle="1" w:styleId="PBACH6">
    <w:name w:val="PBAC H6"/>
    <w:basedOn w:val="Heading6"/>
    <w:next w:val="Normal"/>
    <w:rsid w:val="00BB14E0"/>
    <w:pPr>
      <w:keepNext/>
      <w:keepLines/>
      <w:spacing w:after="120"/>
      <w:jc w:val="left"/>
    </w:pPr>
    <w:rPr>
      <w:rFonts w:eastAsiaTheme="majorEastAsia" w:cstheme="majorBidi"/>
      <w:b w:val="0"/>
      <w:iCs/>
      <w:szCs w:val="28"/>
      <w:lang w:eastAsia="en-GB"/>
    </w:rPr>
  </w:style>
  <w:style w:type="paragraph" w:customStyle="1" w:styleId="PBACH4">
    <w:name w:val="PBAC H4"/>
    <w:basedOn w:val="Heading4"/>
    <w:next w:val="Normal"/>
    <w:rsid w:val="00D41DE1"/>
    <w:pPr>
      <w:keepLines/>
      <w:spacing w:after="120"/>
      <w:jc w:val="left"/>
    </w:pPr>
    <w:rPr>
      <w:rFonts w:eastAsiaTheme="majorEastAsia" w:cstheme="majorBidi"/>
      <w:i w:val="0"/>
      <w:iCs/>
      <w:szCs w:val="24"/>
      <w:lang w:eastAsia="en-GB"/>
    </w:rPr>
  </w:style>
  <w:style w:type="paragraph" w:customStyle="1" w:styleId="PBACH5">
    <w:name w:val="PBAC H5"/>
    <w:basedOn w:val="Heading5"/>
    <w:next w:val="Normal"/>
    <w:rsid w:val="001A6E86"/>
    <w:pPr>
      <w:spacing w:after="120"/>
      <w:jc w:val="left"/>
    </w:pPr>
    <w:rPr>
      <w:bCs w:val="0"/>
      <w:i/>
      <w:iCs w:val="0"/>
      <w:sz w:val="24"/>
      <w:szCs w:val="24"/>
      <w:lang w:eastAsia="en-GB"/>
    </w:rPr>
  </w:style>
  <w:style w:type="character" w:styleId="Mention">
    <w:name w:val="Mention"/>
    <w:basedOn w:val="DefaultParagraphFont"/>
    <w:uiPriority w:val="99"/>
    <w:unhideWhenUsed/>
    <w:rsid w:val="00B334AC"/>
    <w:rPr>
      <w:color w:val="2B579A"/>
      <w:shd w:val="clear" w:color="auto" w:fill="E1DFDD"/>
    </w:rPr>
  </w:style>
  <w:style w:type="paragraph" w:customStyle="1" w:styleId="paragraph">
    <w:name w:val="paragraph"/>
    <w:basedOn w:val="Normal"/>
    <w:rsid w:val="00427EA9"/>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427EA9"/>
  </w:style>
  <w:style w:type="character" w:customStyle="1" w:styleId="normaltextrun">
    <w:name w:val="normaltextrun"/>
    <w:basedOn w:val="DefaultParagraphFont"/>
    <w:rsid w:val="00427EA9"/>
  </w:style>
  <w:style w:type="paragraph" w:customStyle="1" w:styleId="3-SubsectionHeading">
    <w:name w:val="3-Subsection Heading"/>
    <w:basedOn w:val="Heading2"/>
    <w:next w:val="Normal"/>
    <w:link w:val="3-SubsectionHeadingChar"/>
    <w:qFormat/>
    <w:rsid w:val="0000641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06416"/>
    <w:rPr>
      <w:rFonts w:asciiTheme="minorHAnsi" w:eastAsiaTheme="majorEastAsia" w:hAnsiTheme="minorHAnsi" w:cstheme="majorBidi"/>
      <w:b/>
      <w:i/>
      <w:snapToGrid/>
      <w:spacing w:val="5"/>
      <w:kern w:val="28"/>
      <w:sz w:val="28"/>
      <w:szCs w:val="36"/>
      <w:lang w:eastAsia="en-US"/>
    </w:rPr>
  </w:style>
  <w:style w:type="paragraph" w:styleId="BodyText3">
    <w:name w:val="Body Text 3"/>
    <w:basedOn w:val="Normal"/>
    <w:link w:val="BodyText3Char"/>
    <w:semiHidden/>
    <w:unhideWhenUsed/>
    <w:rsid w:val="000C7DF1"/>
    <w:pPr>
      <w:spacing w:after="120"/>
    </w:pPr>
    <w:rPr>
      <w:sz w:val="16"/>
      <w:szCs w:val="16"/>
    </w:rPr>
  </w:style>
  <w:style w:type="character" w:customStyle="1" w:styleId="BodyText3Char">
    <w:name w:val="Body Text 3 Char"/>
    <w:basedOn w:val="DefaultParagraphFont"/>
    <w:link w:val="BodyText3"/>
    <w:semiHidden/>
    <w:rsid w:val="000C7DF1"/>
    <w:rPr>
      <w:rFonts w:ascii="Calibri" w:hAnsi="Calibr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530">
      <w:bodyDiv w:val="1"/>
      <w:marLeft w:val="0"/>
      <w:marRight w:val="0"/>
      <w:marTop w:val="0"/>
      <w:marBottom w:val="0"/>
      <w:divBdr>
        <w:top w:val="none" w:sz="0" w:space="0" w:color="auto"/>
        <w:left w:val="none" w:sz="0" w:space="0" w:color="auto"/>
        <w:bottom w:val="none" w:sz="0" w:space="0" w:color="auto"/>
        <w:right w:val="none" w:sz="0" w:space="0" w:color="auto"/>
      </w:divBdr>
      <w:divsChild>
        <w:div w:id="2021664597">
          <w:marLeft w:val="1800"/>
          <w:marRight w:val="0"/>
          <w:marTop w:val="100"/>
          <w:marBottom w:val="0"/>
          <w:divBdr>
            <w:top w:val="none" w:sz="0" w:space="0" w:color="auto"/>
            <w:left w:val="none" w:sz="0" w:space="0" w:color="auto"/>
            <w:bottom w:val="none" w:sz="0" w:space="0" w:color="auto"/>
            <w:right w:val="none" w:sz="0" w:space="0" w:color="auto"/>
          </w:divBdr>
        </w:div>
      </w:divsChild>
    </w:div>
    <w:div w:id="8653769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0267242">
      <w:bodyDiv w:val="1"/>
      <w:marLeft w:val="0"/>
      <w:marRight w:val="0"/>
      <w:marTop w:val="0"/>
      <w:marBottom w:val="0"/>
      <w:divBdr>
        <w:top w:val="none" w:sz="0" w:space="0" w:color="auto"/>
        <w:left w:val="none" w:sz="0" w:space="0" w:color="auto"/>
        <w:bottom w:val="none" w:sz="0" w:space="0" w:color="auto"/>
        <w:right w:val="none" w:sz="0" w:space="0" w:color="auto"/>
      </w:divBdr>
    </w:div>
    <w:div w:id="191769094">
      <w:bodyDiv w:val="1"/>
      <w:marLeft w:val="0"/>
      <w:marRight w:val="0"/>
      <w:marTop w:val="0"/>
      <w:marBottom w:val="0"/>
      <w:divBdr>
        <w:top w:val="none" w:sz="0" w:space="0" w:color="auto"/>
        <w:left w:val="none" w:sz="0" w:space="0" w:color="auto"/>
        <w:bottom w:val="none" w:sz="0" w:space="0" w:color="auto"/>
        <w:right w:val="none" w:sz="0" w:space="0" w:color="auto"/>
      </w:divBdr>
    </w:div>
    <w:div w:id="263809718">
      <w:bodyDiv w:val="1"/>
      <w:marLeft w:val="0"/>
      <w:marRight w:val="0"/>
      <w:marTop w:val="0"/>
      <w:marBottom w:val="0"/>
      <w:divBdr>
        <w:top w:val="none" w:sz="0" w:space="0" w:color="auto"/>
        <w:left w:val="none" w:sz="0" w:space="0" w:color="auto"/>
        <w:bottom w:val="none" w:sz="0" w:space="0" w:color="auto"/>
        <w:right w:val="none" w:sz="0" w:space="0" w:color="auto"/>
      </w:divBdr>
    </w:div>
    <w:div w:id="29795644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1482223">
      <w:bodyDiv w:val="1"/>
      <w:marLeft w:val="0"/>
      <w:marRight w:val="0"/>
      <w:marTop w:val="0"/>
      <w:marBottom w:val="0"/>
      <w:divBdr>
        <w:top w:val="none" w:sz="0" w:space="0" w:color="auto"/>
        <w:left w:val="none" w:sz="0" w:space="0" w:color="auto"/>
        <w:bottom w:val="none" w:sz="0" w:space="0" w:color="auto"/>
        <w:right w:val="none" w:sz="0" w:space="0" w:color="auto"/>
      </w:divBdr>
      <w:divsChild>
        <w:div w:id="514537627">
          <w:marLeft w:val="360"/>
          <w:marRight w:val="0"/>
          <w:marTop w:val="200"/>
          <w:marBottom w:val="0"/>
          <w:divBdr>
            <w:top w:val="none" w:sz="0" w:space="0" w:color="auto"/>
            <w:left w:val="none" w:sz="0" w:space="0" w:color="auto"/>
            <w:bottom w:val="none" w:sz="0" w:space="0" w:color="auto"/>
            <w:right w:val="none" w:sz="0" w:space="0" w:color="auto"/>
          </w:divBdr>
        </w:div>
        <w:div w:id="949359367">
          <w:marLeft w:val="1080"/>
          <w:marRight w:val="0"/>
          <w:marTop w:val="100"/>
          <w:marBottom w:val="0"/>
          <w:divBdr>
            <w:top w:val="none" w:sz="0" w:space="0" w:color="auto"/>
            <w:left w:val="none" w:sz="0" w:space="0" w:color="auto"/>
            <w:bottom w:val="none" w:sz="0" w:space="0" w:color="auto"/>
            <w:right w:val="none" w:sz="0" w:space="0" w:color="auto"/>
          </w:divBdr>
        </w:div>
        <w:div w:id="1180043695">
          <w:marLeft w:val="360"/>
          <w:marRight w:val="0"/>
          <w:marTop w:val="200"/>
          <w:marBottom w:val="0"/>
          <w:divBdr>
            <w:top w:val="none" w:sz="0" w:space="0" w:color="auto"/>
            <w:left w:val="none" w:sz="0" w:space="0" w:color="auto"/>
            <w:bottom w:val="none" w:sz="0" w:space="0" w:color="auto"/>
            <w:right w:val="none" w:sz="0" w:space="0" w:color="auto"/>
          </w:divBdr>
        </w:div>
        <w:div w:id="1307977972">
          <w:marLeft w:val="360"/>
          <w:marRight w:val="0"/>
          <w:marTop w:val="200"/>
          <w:marBottom w:val="0"/>
          <w:divBdr>
            <w:top w:val="none" w:sz="0" w:space="0" w:color="auto"/>
            <w:left w:val="none" w:sz="0" w:space="0" w:color="auto"/>
            <w:bottom w:val="none" w:sz="0" w:space="0" w:color="auto"/>
            <w:right w:val="none" w:sz="0" w:space="0" w:color="auto"/>
          </w:divBdr>
        </w:div>
        <w:div w:id="1646275106">
          <w:marLeft w:val="1080"/>
          <w:marRight w:val="0"/>
          <w:marTop w:val="100"/>
          <w:marBottom w:val="0"/>
          <w:divBdr>
            <w:top w:val="none" w:sz="0" w:space="0" w:color="auto"/>
            <w:left w:val="none" w:sz="0" w:space="0" w:color="auto"/>
            <w:bottom w:val="none" w:sz="0" w:space="0" w:color="auto"/>
            <w:right w:val="none" w:sz="0" w:space="0" w:color="auto"/>
          </w:divBdr>
        </w:div>
        <w:div w:id="1765607857">
          <w:marLeft w:val="360"/>
          <w:marRight w:val="0"/>
          <w:marTop w:val="200"/>
          <w:marBottom w:val="0"/>
          <w:divBdr>
            <w:top w:val="none" w:sz="0" w:space="0" w:color="auto"/>
            <w:left w:val="none" w:sz="0" w:space="0" w:color="auto"/>
            <w:bottom w:val="none" w:sz="0" w:space="0" w:color="auto"/>
            <w:right w:val="none" w:sz="0" w:space="0" w:color="auto"/>
          </w:divBdr>
        </w:div>
        <w:div w:id="1765833492">
          <w:marLeft w:val="360"/>
          <w:marRight w:val="0"/>
          <w:marTop w:val="200"/>
          <w:marBottom w:val="0"/>
          <w:divBdr>
            <w:top w:val="none" w:sz="0" w:space="0" w:color="auto"/>
            <w:left w:val="none" w:sz="0" w:space="0" w:color="auto"/>
            <w:bottom w:val="none" w:sz="0" w:space="0" w:color="auto"/>
            <w:right w:val="none" w:sz="0" w:space="0" w:color="auto"/>
          </w:divBdr>
        </w:div>
      </w:divsChild>
    </w:div>
    <w:div w:id="465201552">
      <w:bodyDiv w:val="1"/>
      <w:marLeft w:val="0"/>
      <w:marRight w:val="0"/>
      <w:marTop w:val="0"/>
      <w:marBottom w:val="0"/>
      <w:divBdr>
        <w:top w:val="none" w:sz="0" w:space="0" w:color="auto"/>
        <w:left w:val="none" w:sz="0" w:space="0" w:color="auto"/>
        <w:bottom w:val="none" w:sz="0" w:space="0" w:color="auto"/>
        <w:right w:val="none" w:sz="0" w:space="0" w:color="auto"/>
      </w:divBdr>
    </w:div>
    <w:div w:id="484778415">
      <w:bodyDiv w:val="1"/>
      <w:marLeft w:val="0"/>
      <w:marRight w:val="0"/>
      <w:marTop w:val="0"/>
      <w:marBottom w:val="0"/>
      <w:divBdr>
        <w:top w:val="none" w:sz="0" w:space="0" w:color="auto"/>
        <w:left w:val="none" w:sz="0" w:space="0" w:color="auto"/>
        <w:bottom w:val="none" w:sz="0" w:space="0" w:color="auto"/>
        <w:right w:val="none" w:sz="0" w:space="0" w:color="auto"/>
      </w:divBdr>
    </w:div>
    <w:div w:id="541140412">
      <w:bodyDiv w:val="1"/>
      <w:marLeft w:val="0"/>
      <w:marRight w:val="0"/>
      <w:marTop w:val="0"/>
      <w:marBottom w:val="0"/>
      <w:divBdr>
        <w:top w:val="none" w:sz="0" w:space="0" w:color="auto"/>
        <w:left w:val="none" w:sz="0" w:space="0" w:color="auto"/>
        <w:bottom w:val="none" w:sz="0" w:space="0" w:color="auto"/>
        <w:right w:val="none" w:sz="0" w:space="0" w:color="auto"/>
      </w:divBdr>
      <w:divsChild>
        <w:div w:id="127288152">
          <w:marLeft w:val="1080"/>
          <w:marRight w:val="0"/>
          <w:marTop w:val="100"/>
          <w:marBottom w:val="0"/>
          <w:divBdr>
            <w:top w:val="none" w:sz="0" w:space="0" w:color="auto"/>
            <w:left w:val="none" w:sz="0" w:space="0" w:color="auto"/>
            <w:bottom w:val="none" w:sz="0" w:space="0" w:color="auto"/>
            <w:right w:val="none" w:sz="0" w:space="0" w:color="auto"/>
          </w:divBdr>
        </w:div>
      </w:divsChild>
    </w:div>
    <w:div w:id="542787072">
      <w:bodyDiv w:val="1"/>
      <w:marLeft w:val="0"/>
      <w:marRight w:val="0"/>
      <w:marTop w:val="0"/>
      <w:marBottom w:val="0"/>
      <w:divBdr>
        <w:top w:val="none" w:sz="0" w:space="0" w:color="auto"/>
        <w:left w:val="none" w:sz="0" w:space="0" w:color="auto"/>
        <w:bottom w:val="none" w:sz="0" w:space="0" w:color="auto"/>
        <w:right w:val="none" w:sz="0" w:space="0" w:color="auto"/>
      </w:divBdr>
    </w:div>
    <w:div w:id="638222165">
      <w:bodyDiv w:val="1"/>
      <w:marLeft w:val="0"/>
      <w:marRight w:val="0"/>
      <w:marTop w:val="0"/>
      <w:marBottom w:val="0"/>
      <w:divBdr>
        <w:top w:val="none" w:sz="0" w:space="0" w:color="auto"/>
        <w:left w:val="none" w:sz="0" w:space="0" w:color="auto"/>
        <w:bottom w:val="none" w:sz="0" w:space="0" w:color="auto"/>
        <w:right w:val="none" w:sz="0" w:space="0" w:color="auto"/>
      </w:divBdr>
    </w:div>
    <w:div w:id="63845646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2501896">
      <w:bodyDiv w:val="1"/>
      <w:marLeft w:val="0"/>
      <w:marRight w:val="0"/>
      <w:marTop w:val="0"/>
      <w:marBottom w:val="0"/>
      <w:divBdr>
        <w:top w:val="none" w:sz="0" w:space="0" w:color="auto"/>
        <w:left w:val="none" w:sz="0" w:space="0" w:color="auto"/>
        <w:bottom w:val="none" w:sz="0" w:space="0" w:color="auto"/>
        <w:right w:val="none" w:sz="0" w:space="0" w:color="auto"/>
      </w:divBdr>
    </w:div>
    <w:div w:id="924463204">
      <w:bodyDiv w:val="1"/>
      <w:marLeft w:val="0"/>
      <w:marRight w:val="0"/>
      <w:marTop w:val="0"/>
      <w:marBottom w:val="0"/>
      <w:divBdr>
        <w:top w:val="none" w:sz="0" w:space="0" w:color="auto"/>
        <w:left w:val="none" w:sz="0" w:space="0" w:color="auto"/>
        <w:bottom w:val="none" w:sz="0" w:space="0" w:color="auto"/>
        <w:right w:val="none" w:sz="0" w:space="0" w:color="auto"/>
      </w:divBdr>
      <w:divsChild>
        <w:div w:id="93743827">
          <w:marLeft w:val="1800"/>
          <w:marRight w:val="0"/>
          <w:marTop w:val="100"/>
          <w:marBottom w:val="0"/>
          <w:divBdr>
            <w:top w:val="none" w:sz="0" w:space="0" w:color="auto"/>
            <w:left w:val="none" w:sz="0" w:space="0" w:color="auto"/>
            <w:bottom w:val="none" w:sz="0" w:space="0" w:color="auto"/>
            <w:right w:val="none" w:sz="0" w:space="0" w:color="auto"/>
          </w:divBdr>
        </w:div>
      </w:divsChild>
    </w:div>
    <w:div w:id="950362774">
      <w:bodyDiv w:val="1"/>
      <w:marLeft w:val="0"/>
      <w:marRight w:val="0"/>
      <w:marTop w:val="0"/>
      <w:marBottom w:val="0"/>
      <w:divBdr>
        <w:top w:val="none" w:sz="0" w:space="0" w:color="auto"/>
        <w:left w:val="none" w:sz="0" w:space="0" w:color="auto"/>
        <w:bottom w:val="none" w:sz="0" w:space="0" w:color="auto"/>
        <w:right w:val="none" w:sz="0" w:space="0" w:color="auto"/>
      </w:divBdr>
    </w:div>
    <w:div w:id="960301426">
      <w:bodyDiv w:val="1"/>
      <w:marLeft w:val="0"/>
      <w:marRight w:val="0"/>
      <w:marTop w:val="0"/>
      <w:marBottom w:val="0"/>
      <w:divBdr>
        <w:top w:val="none" w:sz="0" w:space="0" w:color="auto"/>
        <w:left w:val="none" w:sz="0" w:space="0" w:color="auto"/>
        <w:bottom w:val="none" w:sz="0" w:space="0" w:color="auto"/>
        <w:right w:val="none" w:sz="0" w:space="0" w:color="auto"/>
      </w:divBdr>
      <w:divsChild>
        <w:div w:id="228930361">
          <w:marLeft w:val="1080"/>
          <w:marRight w:val="0"/>
          <w:marTop w:val="100"/>
          <w:marBottom w:val="0"/>
          <w:divBdr>
            <w:top w:val="none" w:sz="0" w:space="0" w:color="auto"/>
            <w:left w:val="none" w:sz="0" w:space="0" w:color="auto"/>
            <w:bottom w:val="none" w:sz="0" w:space="0" w:color="auto"/>
            <w:right w:val="none" w:sz="0" w:space="0" w:color="auto"/>
          </w:divBdr>
        </w:div>
        <w:div w:id="896670666">
          <w:marLeft w:val="1080"/>
          <w:marRight w:val="0"/>
          <w:marTop w:val="100"/>
          <w:marBottom w:val="0"/>
          <w:divBdr>
            <w:top w:val="none" w:sz="0" w:space="0" w:color="auto"/>
            <w:left w:val="none" w:sz="0" w:space="0" w:color="auto"/>
            <w:bottom w:val="none" w:sz="0" w:space="0" w:color="auto"/>
            <w:right w:val="none" w:sz="0" w:space="0" w:color="auto"/>
          </w:divBdr>
        </w:div>
        <w:div w:id="1677881260">
          <w:marLeft w:val="1080"/>
          <w:marRight w:val="0"/>
          <w:marTop w:val="100"/>
          <w:marBottom w:val="0"/>
          <w:divBdr>
            <w:top w:val="none" w:sz="0" w:space="0" w:color="auto"/>
            <w:left w:val="none" w:sz="0" w:space="0" w:color="auto"/>
            <w:bottom w:val="none" w:sz="0" w:space="0" w:color="auto"/>
            <w:right w:val="none" w:sz="0" w:space="0" w:color="auto"/>
          </w:divBdr>
        </w:div>
      </w:divsChild>
    </w:div>
    <w:div w:id="998734694">
      <w:bodyDiv w:val="1"/>
      <w:marLeft w:val="0"/>
      <w:marRight w:val="0"/>
      <w:marTop w:val="0"/>
      <w:marBottom w:val="0"/>
      <w:divBdr>
        <w:top w:val="none" w:sz="0" w:space="0" w:color="auto"/>
        <w:left w:val="none" w:sz="0" w:space="0" w:color="auto"/>
        <w:bottom w:val="none" w:sz="0" w:space="0" w:color="auto"/>
        <w:right w:val="none" w:sz="0" w:space="0" w:color="auto"/>
      </w:divBdr>
    </w:div>
    <w:div w:id="1027410085">
      <w:bodyDiv w:val="1"/>
      <w:marLeft w:val="0"/>
      <w:marRight w:val="0"/>
      <w:marTop w:val="0"/>
      <w:marBottom w:val="0"/>
      <w:divBdr>
        <w:top w:val="none" w:sz="0" w:space="0" w:color="auto"/>
        <w:left w:val="none" w:sz="0" w:space="0" w:color="auto"/>
        <w:bottom w:val="none" w:sz="0" w:space="0" w:color="auto"/>
        <w:right w:val="none" w:sz="0" w:space="0" w:color="auto"/>
      </w:divBdr>
    </w:div>
    <w:div w:id="1077021811">
      <w:bodyDiv w:val="1"/>
      <w:marLeft w:val="0"/>
      <w:marRight w:val="0"/>
      <w:marTop w:val="0"/>
      <w:marBottom w:val="0"/>
      <w:divBdr>
        <w:top w:val="none" w:sz="0" w:space="0" w:color="auto"/>
        <w:left w:val="none" w:sz="0" w:space="0" w:color="auto"/>
        <w:bottom w:val="none" w:sz="0" w:space="0" w:color="auto"/>
        <w:right w:val="none" w:sz="0" w:space="0" w:color="auto"/>
      </w:divBdr>
    </w:div>
    <w:div w:id="114616847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862121">
      <w:bodyDiv w:val="1"/>
      <w:marLeft w:val="0"/>
      <w:marRight w:val="0"/>
      <w:marTop w:val="0"/>
      <w:marBottom w:val="0"/>
      <w:divBdr>
        <w:top w:val="none" w:sz="0" w:space="0" w:color="auto"/>
        <w:left w:val="none" w:sz="0" w:space="0" w:color="auto"/>
        <w:bottom w:val="none" w:sz="0" w:space="0" w:color="auto"/>
        <w:right w:val="none" w:sz="0" w:space="0" w:color="auto"/>
      </w:divBdr>
    </w:div>
    <w:div w:id="12124221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6890621">
      <w:bodyDiv w:val="1"/>
      <w:marLeft w:val="0"/>
      <w:marRight w:val="0"/>
      <w:marTop w:val="0"/>
      <w:marBottom w:val="0"/>
      <w:divBdr>
        <w:top w:val="none" w:sz="0" w:space="0" w:color="auto"/>
        <w:left w:val="none" w:sz="0" w:space="0" w:color="auto"/>
        <w:bottom w:val="none" w:sz="0" w:space="0" w:color="auto"/>
        <w:right w:val="none" w:sz="0" w:space="0" w:color="auto"/>
      </w:divBdr>
    </w:div>
    <w:div w:id="1307860828">
      <w:bodyDiv w:val="1"/>
      <w:marLeft w:val="0"/>
      <w:marRight w:val="0"/>
      <w:marTop w:val="0"/>
      <w:marBottom w:val="0"/>
      <w:divBdr>
        <w:top w:val="none" w:sz="0" w:space="0" w:color="auto"/>
        <w:left w:val="none" w:sz="0" w:space="0" w:color="auto"/>
        <w:bottom w:val="none" w:sz="0" w:space="0" w:color="auto"/>
        <w:right w:val="none" w:sz="0" w:space="0" w:color="auto"/>
      </w:divBdr>
    </w:div>
    <w:div w:id="1435592136">
      <w:bodyDiv w:val="1"/>
      <w:marLeft w:val="0"/>
      <w:marRight w:val="0"/>
      <w:marTop w:val="0"/>
      <w:marBottom w:val="0"/>
      <w:divBdr>
        <w:top w:val="none" w:sz="0" w:space="0" w:color="auto"/>
        <w:left w:val="none" w:sz="0" w:space="0" w:color="auto"/>
        <w:bottom w:val="none" w:sz="0" w:space="0" w:color="auto"/>
        <w:right w:val="none" w:sz="0" w:space="0" w:color="auto"/>
      </w:divBdr>
      <w:divsChild>
        <w:div w:id="1092896912">
          <w:marLeft w:val="1080"/>
          <w:marRight w:val="0"/>
          <w:marTop w:val="100"/>
          <w:marBottom w:val="0"/>
          <w:divBdr>
            <w:top w:val="none" w:sz="0" w:space="0" w:color="auto"/>
            <w:left w:val="none" w:sz="0" w:space="0" w:color="auto"/>
            <w:bottom w:val="none" w:sz="0" w:space="0" w:color="auto"/>
            <w:right w:val="none" w:sz="0" w:space="0" w:color="auto"/>
          </w:divBdr>
        </w:div>
      </w:divsChild>
    </w:div>
    <w:div w:id="1533304769">
      <w:bodyDiv w:val="1"/>
      <w:marLeft w:val="0"/>
      <w:marRight w:val="0"/>
      <w:marTop w:val="0"/>
      <w:marBottom w:val="0"/>
      <w:divBdr>
        <w:top w:val="none" w:sz="0" w:space="0" w:color="auto"/>
        <w:left w:val="none" w:sz="0" w:space="0" w:color="auto"/>
        <w:bottom w:val="none" w:sz="0" w:space="0" w:color="auto"/>
        <w:right w:val="none" w:sz="0" w:space="0" w:color="auto"/>
      </w:divBdr>
    </w:div>
    <w:div w:id="1572547372">
      <w:bodyDiv w:val="1"/>
      <w:marLeft w:val="0"/>
      <w:marRight w:val="0"/>
      <w:marTop w:val="0"/>
      <w:marBottom w:val="0"/>
      <w:divBdr>
        <w:top w:val="none" w:sz="0" w:space="0" w:color="auto"/>
        <w:left w:val="none" w:sz="0" w:space="0" w:color="auto"/>
        <w:bottom w:val="none" w:sz="0" w:space="0" w:color="auto"/>
        <w:right w:val="none" w:sz="0" w:space="0" w:color="auto"/>
      </w:divBdr>
      <w:divsChild>
        <w:div w:id="420612279">
          <w:marLeft w:val="1800"/>
          <w:marRight w:val="0"/>
          <w:marTop w:val="100"/>
          <w:marBottom w:val="0"/>
          <w:divBdr>
            <w:top w:val="none" w:sz="0" w:space="0" w:color="auto"/>
            <w:left w:val="none" w:sz="0" w:space="0" w:color="auto"/>
            <w:bottom w:val="none" w:sz="0" w:space="0" w:color="auto"/>
            <w:right w:val="none" w:sz="0" w:space="0" w:color="auto"/>
          </w:divBdr>
        </w:div>
      </w:divsChild>
    </w:div>
    <w:div w:id="1613973957">
      <w:bodyDiv w:val="1"/>
      <w:marLeft w:val="0"/>
      <w:marRight w:val="0"/>
      <w:marTop w:val="0"/>
      <w:marBottom w:val="0"/>
      <w:divBdr>
        <w:top w:val="none" w:sz="0" w:space="0" w:color="auto"/>
        <w:left w:val="none" w:sz="0" w:space="0" w:color="auto"/>
        <w:bottom w:val="none" w:sz="0" w:space="0" w:color="auto"/>
        <w:right w:val="none" w:sz="0" w:space="0" w:color="auto"/>
      </w:divBdr>
    </w:div>
    <w:div w:id="1738362164">
      <w:bodyDiv w:val="1"/>
      <w:marLeft w:val="0"/>
      <w:marRight w:val="0"/>
      <w:marTop w:val="0"/>
      <w:marBottom w:val="0"/>
      <w:divBdr>
        <w:top w:val="none" w:sz="0" w:space="0" w:color="auto"/>
        <w:left w:val="none" w:sz="0" w:space="0" w:color="auto"/>
        <w:bottom w:val="none" w:sz="0" w:space="0" w:color="auto"/>
        <w:right w:val="none" w:sz="0" w:space="0" w:color="auto"/>
      </w:divBdr>
    </w:div>
    <w:div w:id="1769933627">
      <w:bodyDiv w:val="1"/>
      <w:marLeft w:val="0"/>
      <w:marRight w:val="0"/>
      <w:marTop w:val="0"/>
      <w:marBottom w:val="0"/>
      <w:divBdr>
        <w:top w:val="none" w:sz="0" w:space="0" w:color="auto"/>
        <w:left w:val="none" w:sz="0" w:space="0" w:color="auto"/>
        <w:bottom w:val="none" w:sz="0" w:space="0" w:color="auto"/>
        <w:right w:val="none" w:sz="0" w:space="0" w:color="auto"/>
      </w:divBdr>
    </w:div>
    <w:div w:id="1819766711">
      <w:bodyDiv w:val="1"/>
      <w:marLeft w:val="0"/>
      <w:marRight w:val="0"/>
      <w:marTop w:val="0"/>
      <w:marBottom w:val="0"/>
      <w:divBdr>
        <w:top w:val="none" w:sz="0" w:space="0" w:color="auto"/>
        <w:left w:val="none" w:sz="0" w:space="0" w:color="auto"/>
        <w:bottom w:val="none" w:sz="0" w:space="0" w:color="auto"/>
        <w:right w:val="none" w:sz="0" w:space="0" w:color="auto"/>
      </w:divBdr>
    </w:div>
    <w:div w:id="1918979934">
      <w:bodyDiv w:val="1"/>
      <w:marLeft w:val="0"/>
      <w:marRight w:val="0"/>
      <w:marTop w:val="0"/>
      <w:marBottom w:val="0"/>
      <w:divBdr>
        <w:top w:val="none" w:sz="0" w:space="0" w:color="auto"/>
        <w:left w:val="none" w:sz="0" w:space="0" w:color="auto"/>
        <w:bottom w:val="none" w:sz="0" w:space="0" w:color="auto"/>
        <w:right w:val="none" w:sz="0" w:space="0" w:color="auto"/>
      </w:divBdr>
      <w:divsChild>
        <w:div w:id="1351680406">
          <w:marLeft w:val="180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8293596">
      <w:bodyDiv w:val="1"/>
      <w:marLeft w:val="0"/>
      <w:marRight w:val="0"/>
      <w:marTop w:val="0"/>
      <w:marBottom w:val="0"/>
      <w:divBdr>
        <w:top w:val="none" w:sz="0" w:space="0" w:color="auto"/>
        <w:left w:val="none" w:sz="0" w:space="0" w:color="auto"/>
        <w:bottom w:val="none" w:sz="0" w:space="0" w:color="auto"/>
        <w:right w:val="none" w:sz="0" w:space="0" w:color="auto"/>
      </w:divBdr>
      <w:divsChild>
        <w:div w:id="232550371">
          <w:marLeft w:val="1800"/>
          <w:marRight w:val="0"/>
          <w:marTop w:val="100"/>
          <w:marBottom w:val="0"/>
          <w:divBdr>
            <w:top w:val="none" w:sz="0" w:space="0" w:color="auto"/>
            <w:left w:val="none" w:sz="0" w:space="0" w:color="auto"/>
            <w:bottom w:val="none" w:sz="0" w:space="0" w:color="auto"/>
            <w:right w:val="none" w:sz="0" w:space="0" w:color="auto"/>
          </w:divBdr>
        </w:div>
      </w:divsChild>
    </w:div>
    <w:div w:id="1967589198">
      <w:bodyDiv w:val="1"/>
      <w:marLeft w:val="0"/>
      <w:marRight w:val="0"/>
      <w:marTop w:val="0"/>
      <w:marBottom w:val="0"/>
      <w:divBdr>
        <w:top w:val="none" w:sz="0" w:space="0" w:color="auto"/>
        <w:left w:val="none" w:sz="0" w:space="0" w:color="auto"/>
        <w:bottom w:val="none" w:sz="0" w:space="0" w:color="auto"/>
        <w:right w:val="none" w:sz="0" w:space="0" w:color="auto"/>
      </w:divBdr>
    </w:div>
    <w:div w:id="1984314986">
      <w:bodyDiv w:val="1"/>
      <w:marLeft w:val="0"/>
      <w:marRight w:val="0"/>
      <w:marTop w:val="0"/>
      <w:marBottom w:val="0"/>
      <w:divBdr>
        <w:top w:val="none" w:sz="0" w:space="0" w:color="auto"/>
        <w:left w:val="none" w:sz="0" w:space="0" w:color="auto"/>
        <w:bottom w:val="none" w:sz="0" w:space="0" w:color="auto"/>
        <w:right w:val="none" w:sz="0" w:space="0" w:color="auto"/>
      </w:divBdr>
      <w:divsChild>
        <w:div w:id="42096478">
          <w:marLeft w:val="1800"/>
          <w:marRight w:val="0"/>
          <w:marTop w:val="100"/>
          <w:marBottom w:val="0"/>
          <w:divBdr>
            <w:top w:val="none" w:sz="0" w:space="0" w:color="auto"/>
            <w:left w:val="none" w:sz="0" w:space="0" w:color="auto"/>
            <w:bottom w:val="none" w:sz="0" w:space="0" w:color="auto"/>
            <w:right w:val="none" w:sz="0" w:space="0" w:color="auto"/>
          </w:divBdr>
        </w:div>
        <w:div w:id="252207378">
          <w:marLeft w:val="1080"/>
          <w:marRight w:val="0"/>
          <w:marTop w:val="100"/>
          <w:marBottom w:val="0"/>
          <w:divBdr>
            <w:top w:val="none" w:sz="0" w:space="0" w:color="auto"/>
            <w:left w:val="none" w:sz="0" w:space="0" w:color="auto"/>
            <w:bottom w:val="none" w:sz="0" w:space="0" w:color="auto"/>
            <w:right w:val="none" w:sz="0" w:space="0" w:color="auto"/>
          </w:divBdr>
        </w:div>
        <w:div w:id="531529028">
          <w:marLeft w:val="360"/>
          <w:marRight w:val="0"/>
          <w:marTop w:val="200"/>
          <w:marBottom w:val="0"/>
          <w:divBdr>
            <w:top w:val="none" w:sz="0" w:space="0" w:color="auto"/>
            <w:left w:val="none" w:sz="0" w:space="0" w:color="auto"/>
            <w:bottom w:val="none" w:sz="0" w:space="0" w:color="auto"/>
            <w:right w:val="none" w:sz="0" w:space="0" w:color="auto"/>
          </w:divBdr>
        </w:div>
        <w:div w:id="937324960">
          <w:marLeft w:val="1800"/>
          <w:marRight w:val="0"/>
          <w:marTop w:val="100"/>
          <w:marBottom w:val="0"/>
          <w:divBdr>
            <w:top w:val="none" w:sz="0" w:space="0" w:color="auto"/>
            <w:left w:val="none" w:sz="0" w:space="0" w:color="auto"/>
            <w:bottom w:val="none" w:sz="0" w:space="0" w:color="auto"/>
            <w:right w:val="none" w:sz="0" w:space="0" w:color="auto"/>
          </w:divBdr>
        </w:div>
        <w:div w:id="937719066">
          <w:marLeft w:val="1080"/>
          <w:marRight w:val="0"/>
          <w:marTop w:val="100"/>
          <w:marBottom w:val="0"/>
          <w:divBdr>
            <w:top w:val="none" w:sz="0" w:space="0" w:color="auto"/>
            <w:left w:val="none" w:sz="0" w:space="0" w:color="auto"/>
            <w:bottom w:val="none" w:sz="0" w:space="0" w:color="auto"/>
            <w:right w:val="none" w:sz="0" w:space="0" w:color="auto"/>
          </w:divBdr>
        </w:div>
        <w:div w:id="1088844364">
          <w:marLeft w:val="1800"/>
          <w:marRight w:val="0"/>
          <w:marTop w:val="100"/>
          <w:marBottom w:val="0"/>
          <w:divBdr>
            <w:top w:val="none" w:sz="0" w:space="0" w:color="auto"/>
            <w:left w:val="none" w:sz="0" w:space="0" w:color="auto"/>
            <w:bottom w:val="none" w:sz="0" w:space="0" w:color="auto"/>
            <w:right w:val="none" w:sz="0" w:space="0" w:color="auto"/>
          </w:divBdr>
        </w:div>
        <w:div w:id="1303775350">
          <w:marLeft w:val="1080"/>
          <w:marRight w:val="0"/>
          <w:marTop w:val="100"/>
          <w:marBottom w:val="0"/>
          <w:divBdr>
            <w:top w:val="none" w:sz="0" w:space="0" w:color="auto"/>
            <w:left w:val="none" w:sz="0" w:space="0" w:color="auto"/>
            <w:bottom w:val="none" w:sz="0" w:space="0" w:color="auto"/>
            <w:right w:val="none" w:sz="0" w:space="0" w:color="auto"/>
          </w:divBdr>
        </w:div>
        <w:div w:id="1584143233">
          <w:marLeft w:val="1800"/>
          <w:marRight w:val="0"/>
          <w:marTop w:val="100"/>
          <w:marBottom w:val="0"/>
          <w:divBdr>
            <w:top w:val="none" w:sz="0" w:space="0" w:color="auto"/>
            <w:left w:val="none" w:sz="0" w:space="0" w:color="auto"/>
            <w:bottom w:val="none" w:sz="0" w:space="0" w:color="auto"/>
            <w:right w:val="none" w:sz="0" w:space="0" w:color="auto"/>
          </w:divBdr>
        </w:div>
        <w:div w:id="1652097644">
          <w:marLeft w:val="1800"/>
          <w:marRight w:val="0"/>
          <w:marTop w:val="100"/>
          <w:marBottom w:val="0"/>
          <w:divBdr>
            <w:top w:val="none" w:sz="0" w:space="0" w:color="auto"/>
            <w:left w:val="none" w:sz="0" w:space="0" w:color="auto"/>
            <w:bottom w:val="none" w:sz="0" w:space="0" w:color="auto"/>
            <w:right w:val="none" w:sz="0" w:space="0" w:color="auto"/>
          </w:divBdr>
        </w:div>
        <w:div w:id="1728870929">
          <w:marLeft w:val="1080"/>
          <w:marRight w:val="0"/>
          <w:marTop w:val="100"/>
          <w:marBottom w:val="0"/>
          <w:divBdr>
            <w:top w:val="none" w:sz="0" w:space="0" w:color="auto"/>
            <w:left w:val="none" w:sz="0" w:space="0" w:color="auto"/>
            <w:bottom w:val="none" w:sz="0" w:space="0" w:color="auto"/>
            <w:right w:val="none" w:sz="0" w:space="0" w:color="auto"/>
          </w:divBdr>
        </w:div>
      </w:divsChild>
    </w:div>
    <w:div w:id="2034261798">
      <w:bodyDiv w:val="1"/>
      <w:marLeft w:val="0"/>
      <w:marRight w:val="0"/>
      <w:marTop w:val="0"/>
      <w:marBottom w:val="0"/>
      <w:divBdr>
        <w:top w:val="none" w:sz="0" w:space="0" w:color="auto"/>
        <w:left w:val="none" w:sz="0" w:space="0" w:color="auto"/>
        <w:bottom w:val="none" w:sz="0" w:space="0" w:color="auto"/>
        <w:right w:val="none" w:sz="0" w:space="0" w:color="auto"/>
      </w:divBdr>
    </w:div>
    <w:div w:id="2081706703">
      <w:bodyDiv w:val="1"/>
      <w:marLeft w:val="0"/>
      <w:marRight w:val="0"/>
      <w:marTop w:val="0"/>
      <w:marBottom w:val="0"/>
      <w:divBdr>
        <w:top w:val="none" w:sz="0" w:space="0" w:color="auto"/>
        <w:left w:val="none" w:sz="0" w:space="0" w:color="auto"/>
        <w:bottom w:val="none" w:sz="0" w:space="0" w:color="auto"/>
        <w:right w:val="none" w:sz="0" w:space="0" w:color="auto"/>
      </w:divBdr>
      <w:divsChild>
        <w:div w:id="97261101">
          <w:marLeft w:val="1800"/>
          <w:marRight w:val="0"/>
          <w:marTop w:val="100"/>
          <w:marBottom w:val="0"/>
          <w:divBdr>
            <w:top w:val="none" w:sz="0" w:space="0" w:color="auto"/>
            <w:left w:val="none" w:sz="0" w:space="0" w:color="auto"/>
            <w:bottom w:val="none" w:sz="0" w:space="0" w:color="auto"/>
            <w:right w:val="none" w:sz="0" w:space="0" w:color="auto"/>
          </w:divBdr>
        </w:div>
        <w:div w:id="256600381">
          <w:marLeft w:val="2520"/>
          <w:marRight w:val="0"/>
          <w:marTop w:val="100"/>
          <w:marBottom w:val="0"/>
          <w:divBdr>
            <w:top w:val="none" w:sz="0" w:space="0" w:color="auto"/>
            <w:left w:val="none" w:sz="0" w:space="0" w:color="auto"/>
            <w:bottom w:val="none" w:sz="0" w:space="0" w:color="auto"/>
            <w:right w:val="none" w:sz="0" w:space="0" w:color="auto"/>
          </w:divBdr>
        </w:div>
        <w:div w:id="677081175">
          <w:marLeft w:val="360"/>
          <w:marRight w:val="0"/>
          <w:marTop w:val="200"/>
          <w:marBottom w:val="0"/>
          <w:divBdr>
            <w:top w:val="none" w:sz="0" w:space="0" w:color="auto"/>
            <w:left w:val="none" w:sz="0" w:space="0" w:color="auto"/>
            <w:bottom w:val="none" w:sz="0" w:space="0" w:color="auto"/>
            <w:right w:val="none" w:sz="0" w:space="0" w:color="auto"/>
          </w:divBdr>
        </w:div>
        <w:div w:id="864053241">
          <w:marLeft w:val="1080"/>
          <w:marRight w:val="0"/>
          <w:marTop w:val="100"/>
          <w:marBottom w:val="0"/>
          <w:divBdr>
            <w:top w:val="none" w:sz="0" w:space="0" w:color="auto"/>
            <w:left w:val="none" w:sz="0" w:space="0" w:color="auto"/>
            <w:bottom w:val="none" w:sz="0" w:space="0" w:color="auto"/>
            <w:right w:val="none" w:sz="0" w:space="0" w:color="auto"/>
          </w:divBdr>
        </w:div>
        <w:div w:id="1147864717">
          <w:marLeft w:val="1800"/>
          <w:marRight w:val="0"/>
          <w:marTop w:val="100"/>
          <w:marBottom w:val="0"/>
          <w:divBdr>
            <w:top w:val="none" w:sz="0" w:space="0" w:color="auto"/>
            <w:left w:val="none" w:sz="0" w:space="0" w:color="auto"/>
            <w:bottom w:val="none" w:sz="0" w:space="0" w:color="auto"/>
            <w:right w:val="none" w:sz="0" w:space="0" w:color="auto"/>
          </w:divBdr>
        </w:div>
      </w:divsChild>
    </w:div>
    <w:div w:id="21136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i.org/10.1016/j.clcc.2023.12.0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02/bjs.490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38/sj.bjc.660560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1016/j.canep.2015.10.008"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ccn.org/guidelines/category_1" TargetMode="External"/><Relationship Id="rId2" Type="http://schemas.openxmlformats.org/officeDocument/2006/relationships/hyperlink" Target="https://doi.org/10.1016/j.annonc.2021.06.015" TargetMode="External"/><Relationship Id="rId1" Type="http://schemas.openxmlformats.org/officeDocument/2006/relationships/hyperlink" Target="https://doi.org/10.1016/j.esmogo.2025.100147" TargetMode="External"/><Relationship Id="rId5" Type="http://schemas.openxmlformats.org/officeDocument/2006/relationships/hyperlink" Target="https://doi.org/10.1093/ije/dyy013" TargetMode="External"/><Relationship Id="rId4" Type="http://schemas.openxmlformats.org/officeDocument/2006/relationships/hyperlink" Target="https://doi.org/10.1200/JCO.2017.74.9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6B4D6-2441-47E6-B451-0D4A05545AF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62640BC0-2ED2-4685-A9A0-28F1D238C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995583F3-BA34-4147-B2BF-F947F4C0035B}">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14775</Words>
  <Characters>82743</Characters>
  <Application>Microsoft Office Word</Application>
  <DocSecurity>0</DocSecurity>
  <Lines>2364</Lines>
  <Paragraphs>1354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96164</CharactersWithSpaces>
  <SharedDoc>false</SharedDoc>
  <HLinks>
    <vt:vector size="54" baseType="variant">
      <vt:variant>
        <vt:i4>2949172</vt:i4>
      </vt:variant>
      <vt:variant>
        <vt:i4>192</vt:i4>
      </vt:variant>
      <vt:variant>
        <vt:i4>0</vt:i4>
      </vt:variant>
      <vt:variant>
        <vt:i4>5</vt:i4>
      </vt:variant>
      <vt:variant>
        <vt:lpwstr>https://doi.org/10.1016/j.clcc.2023.12.002</vt:lpwstr>
      </vt:variant>
      <vt:variant>
        <vt:lpwstr/>
      </vt:variant>
      <vt:variant>
        <vt:i4>5636173</vt:i4>
      </vt:variant>
      <vt:variant>
        <vt:i4>189</vt:i4>
      </vt:variant>
      <vt:variant>
        <vt:i4>0</vt:i4>
      </vt:variant>
      <vt:variant>
        <vt:i4>5</vt:i4>
      </vt:variant>
      <vt:variant>
        <vt:lpwstr>https://doi.org/10.1002/bjs.4908</vt:lpwstr>
      </vt:variant>
      <vt:variant>
        <vt:lpwstr/>
      </vt:variant>
      <vt:variant>
        <vt:i4>8257656</vt:i4>
      </vt:variant>
      <vt:variant>
        <vt:i4>186</vt:i4>
      </vt:variant>
      <vt:variant>
        <vt:i4>0</vt:i4>
      </vt:variant>
      <vt:variant>
        <vt:i4>5</vt:i4>
      </vt:variant>
      <vt:variant>
        <vt:lpwstr>https://doi.org/10.1038/sj.bjc.6605605</vt:lpwstr>
      </vt:variant>
      <vt:variant>
        <vt:lpwstr/>
      </vt:variant>
      <vt:variant>
        <vt:i4>3932262</vt:i4>
      </vt:variant>
      <vt:variant>
        <vt:i4>183</vt:i4>
      </vt:variant>
      <vt:variant>
        <vt:i4>0</vt:i4>
      </vt:variant>
      <vt:variant>
        <vt:i4>5</vt:i4>
      </vt:variant>
      <vt:variant>
        <vt:lpwstr>https://doi.org/10.1016/j.canep.2015.10.008</vt:lpwstr>
      </vt:variant>
      <vt:variant>
        <vt:lpwstr/>
      </vt:variant>
      <vt:variant>
        <vt:i4>2424953</vt:i4>
      </vt:variant>
      <vt:variant>
        <vt:i4>12</vt:i4>
      </vt:variant>
      <vt:variant>
        <vt:i4>0</vt:i4>
      </vt:variant>
      <vt:variant>
        <vt:i4>5</vt:i4>
      </vt:variant>
      <vt:variant>
        <vt:lpwstr>https://doi.org/10.1093/ije/dyy013</vt:lpwstr>
      </vt:variant>
      <vt:variant>
        <vt:lpwstr/>
      </vt:variant>
      <vt:variant>
        <vt:i4>4390980</vt:i4>
      </vt:variant>
      <vt:variant>
        <vt:i4>9</vt:i4>
      </vt:variant>
      <vt:variant>
        <vt:i4>0</vt:i4>
      </vt:variant>
      <vt:variant>
        <vt:i4>5</vt:i4>
      </vt:variant>
      <vt:variant>
        <vt:lpwstr>https://doi.org/10.1200/JCO.2017.74.9291</vt:lpwstr>
      </vt:variant>
      <vt:variant>
        <vt:lpwstr/>
      </vt:variant>
      <vt:variant>
        <vt:i4>2490371</vt:i4>
      </vt:variant>
      <vt:variant>
        <vt:i4>6</vt:i4>
      </vt:variant>
      <vt:variant>
        <vt:i4>0</vt:i4>
      </vt:variant>
      <vt:variant>
        <vt:i4>5</vt:i4>
      </vt:variant>
      <vt:variant>
        <vt:lpwstr>https://www.nccn.org/guidelines/category_1</vt:lpwstr>
      </vt:variant>
      <vt:variant>
        <vt:lpwstr/>
      </vt:variant>
      <vt:variant>
        <vt:i4>4390999</vt:i4>
      </vt:variant>
      <vt:variant>
        <vt:i4>3</vt:i4>
      </vt:variant>
      <vt:variant>
        <vt:i4>0</vt:i4>
      </vt:variant>
      <vt:variant>
        <vt:i4>5</vt:i4>
      </vt:variant>
      <vt:variant>
        <vt:lpwstr>https://doi.org/10.1016/j.annonc.2021.06.015</vt:lpwstr>
      </vt:variant>
      <vt:variant>
        <vt:lpwstr/>
      </vt:variant>
      <vt:variant>
        <vt:i4>5701703</vt:i4>
      </vt:variant>
      <vt:variant>
        <vt:i4>0</vt:i4>
      </vt:variant>
      <vt:variant>
        <vt:i4>0</vt:i4>
      </vt:variant>
      <vt:variant>
        <vt:i4>5</vt:i4>
      </vt:variant>
      <vt:variant>
        <vt:lpwstr>https://doi.org/10.1016/j.esmogo.2025.100147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2026-04-28T01:12:00Z</dcterms:created>
  <dcterms:modified xsi:type="dcterms:W3CDTF">2026-07-06T01:46:00Z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57194a14,3c81ec88,6caaa6af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3eb5070b,4c8eddcb,10763b9c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2025-12-11T23:44:12Z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3091b10b-8351-4aa7-93b3-d17bfc1dc3bf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